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8B0EB53" w14:textId="77777777" w:rsidR="00616BD1" w:rsidRPr="00FA4D43" w:rsidRDefault="00616BD1" w:rsidP="00616BD1">
      <w:pPr>
        <w:widowControl w:val="0"/>
        <w:autoSpaceDE w:val="0"/>
        <w:autoSpaceDN w:val="0"/>
        <w:adjustRightInd w:val="0"/>
        <w:spacing w:after="300" w:line="276" w:lineRule="auto"/>
        <w:contextualSpacing/>
        <w:jc w:val="center"/>
        <w:rPr>
          <w:rFonts w:ascii="Cambria" w:eastAsia="Times New Roman" w:hAnsi="Cambria" w:cs="Times New Roman"/>
          <w:bCs/>
          <w:color w:val="000000"/>
          <w:spacing w:val="5"/>
          <w:kern w:val="28"/>
          <w:sz w:val="44"/>
          <w:szCs w:val="52"/>
        </w:rPr>
      </w:pPr>
      <w:r w:rsidRPr="00FA4D43">
        <w:rPr>
          <w:rFonts w:ascii="Cambria" w:eastAsia="Times New Roman" w:hAnsi="Cambria" w:cs="Times New Roman"/>
          <w:color w:val="000000"/>
          <w:spacing w:val="5"/>
          <w:kern w:val="28"/>
          <w:sz w:val="44"/>
          <w:szCs w:val="52"/>
          <w:lang w:val="en-CA"/>
        </w:rPr>
        <w:fldChar w:fldCharType="begin"/>
      </w:r>
      <w:r w:rsidRPr="00FA4D43">
        <w:rPr>
          <w:rFonts w:ascii="Cambria" w:eastAsia="Times New Roman" w:hAnsi="Cambria" w:cs="Times New Roman"/>
          <w:color w:val="000000"/>
          <w:spacing w:val="5"/>
          <w:kern w:val="28"/>
          <w:sz w:val="44"/>
          <w:szCs w:val="52"/>
          <w:lang w:val="en-CA"/>
        </w:rPr>
        <w:instrText xml:space="preserve"> SEQ CHAPTER \h \r 1</w:instrText>
      </w:r>
      <w:r w:rsidRPr="00FA4D43">
        <w:rPr>
          <w:rFonts w:ascii="Cambria" w:eastAsia="Times New Roman" w:hAnsi="Cambria" w:cs="Times New Roman"/>
          <w:color w:val="000000"/>
          <w:spacing w:val="5"/>
          <w:kern w:val="28"/>
          <w:sz w:val="44"/>
          <w:szCs w:val="52"/>
          <w:lang w:val="en-CA"/>
        </w:rPr>
        <w:fldChar w:fldCharType="end"/>
      </w:r>
      <w:r w:rsidRPr="00FA4D43">
        <w:rPr>
          <w:rFonts w:ascii="Cambria" w:eastAsia="Times New Roman" w:hAnsi="Cambria" w:cs="Times New Roman"/>
          <w:color w:val="000000"/>
          <w:spacing w:val="5"/>
          <w:kern w:val="28"/>
          <w:sz w:val="44"/>
          <w:szCs w:val="52"/>
          <w:lang w:val="en-CA"/>
        </w:rPr>
        <w:t>S</w:t>
      </w:r>
      <w:r w:rsidRPr="00FA4D43">
        <w:rPr>
          <w:rFonts w:ascii="Cambria" w:eastAsia="Times New Roman" w:hAnsi="Cambria" w:cs="Times New Roman"/>
          <w:bCs/>
          <w:color w:val="000000"/>
          <w:spacing w:val="5"/>
          <w:kern w:val="28"/>
          <w:sz w:val="44"/>
          <w:szCs w:val="52"/>
        </w:rPr>
        <w:t>UPPORTING STATEMENT B:</w:t>
      </w:r>
    </w:p>
    <w:p w14:paraId="2640882D" w14:textId="77777777" w:rsidR="00616BD1" w:rsidRPr="00FA4D43" w:rsidRDefault="00616BD1" w:rsidP="00616BD1">
      <w:pPr>
        <w:widowControl w:val="0"/>
        <w:autoSpaceDE w:val="0"/>
        <w:autoSpaceDN w:val="0"/>
        <w:adjustRightInd w:val="0"/>
        <w:spacing w:after="300" w:line="276" w:lineRule="auto"/>
        <w:contextualSpacing/>
        <w:jc w:val="center"/>
        <w:rPr>
          <w:rFonts w:ascii="Cambria" w:eastAsia="Times New Roman" w:hAnsi="Cambria" w:cs="Times New Roman"/>
          <w:bCs/>
          <w:color w:val="000000"/>
          <w:spacing w:val="5"/>
          <w:kern w:val="28"/>
          <w:sz w:val="44"/>
          <w:szCs w:val="44"/>
        </w:rPr>
      </w:pPr>
      <w:r w:rsidRPr="00FA4D43">
        <w:rPr>
          <w:rFonts w:ascii="Cambria" w:eastAsia="Times New Roman" w:hAnsi="Cambria" w:cs="Times New Roman"/>
          <w:bCs/>
          <w:color w:val="000000"/>
          <w:spacing w:val="5"/>
          <w:kern w:val="28"/>
          <w:sz w:val="44"/>
          <w:szCs w:val="52"/>
        </w:rPr>
        <w:t xml:space="preserve">REQUEST FOR CLEARANCE OF INFORMATION </w:t>
      </w:r>
      <w:r w:rsidRPr="00FA4D43">
        <w:rPr>
          <w:rFonts w:ascii="Cambria" w:eastAsia="Times New Roman" w:hAnsi="Cambria" w:cs="Times New Roman"/>
          <w:bCs/>
          <w:color w:val="000000"/>
          <w:spacing w:val="5"/>
          <w:kern w:val="28"/>
          <w:sz w:val="44"/>
          <w:szCs w:val="44"/>
        </w:rPr>
        <w:t>COLLECTION FORMS FOR</w:t>
      </w:r>
    </w:p>
    <w:p w14:paraId="14B4E298" w14:textId="77777777" w:rsidR="00616BD1" w:rsidRPr="007C373E" w:rsidRDefault="00616BD1" w:rsidP="00616BD1">
      <w:pPr>
        <w:spacing w:before="240" w:after="60" w:line="276" w:lineRule="auto"/>
        <w:jc w:val="center"/>
        <w:outlineLvl w:val="0"/>
        <w:rPr>
          <w:b/>
          <w:sz w:val="28"/>
          <w:szCs w:val="28"/>
        </w:rPr>
      </w:pPr>
      <w:bookmarkStart w:id="1" w:name="_Toc375911177"/>
      <w:bookmarkStart w:id="2" w:name="_Toc375911678"/>
      <w:bookmarkStart w:id="3" w:name="_Toc375911790"/>
      <w:bookmarkStart w:id="4" w:name="_Toc381190235"/>
      <w:bookmarkStart w:id="5" w:name="_Toc407696946"/>
      <w:bookmarkStart w:id="6" w:name="_Toc417375829"/>
      <w:r w:rsidRPr="00767E0B">
        <w:rPr>
          <w:rFonts w:ascii="Cambria" w:eastAsia="Times New Roman" w:hAnsi="Cambria" w:cs="Times New Roman"/>
          <w:bCs/>
          <w:color w:val="000000"/>
          <w:spacing w:val="5"/>
          <w:kern w:val="28"/>
          <w:sz w:val="44"/>
          <w:szCs w:val="52"/>
        </w:rPr>
        <w:t>“</w:t>
      </w:r>
      <w:bookmarkStart w:id="7" w:name="_Toc388539601"/>
      <w:bookmarkStart w:id="8" w:name="_Toc390424531"/>
      <w:bookmarkStart w:id="9" w:name="_Toc390430969"/>
      <w:bookmarkStart w:id="10" w:name="_Toc390431109"/>
      <w:bookmarkStart w:id="11" w:name="_Toc391994941"/>
      <w:bookmarkStart w:id="12" w:name="_Toc397673675"/>
      <w:bookmarkStart w:id="13" w:name="_Toc397675307"/>
      <w:bookmarkEnd w:id="1"/>
      <w:bookmarkEnd w:id="2"/>
      <w:bookmarkEnd w:id="3"/>
      <w:bookmarkEnd w:id="4"/>
      <w:r w:rsidRPr="007C373E">
        <w:rPr>
          <w:rFonts w:ascii="Cambria" w:hAnsi="Cambria"/>
          <w:sz w:val="44"/>
          <w:szCs w:val="44"/>
        </w:rPr>
        <w:t>Understanding the Impact of Providing Information to Parents about the Role of Algebra II: An Opportunistic Study</w:t>
      </w:r>
      <w:bookmarkEnd w:id="7"/>
      <w:bookmarkEnd w:id="8"/>
      <w:bookmarkEnd w:id="9"/>
      <w:bookmarkEnd w:id="10"/>
      <w:bookmarkEnd w:id="11"/>
      <w:bookmarkEnd w:id="12"/>
      <w:bookmarkEnd w:id="13"/>
      <w:r w:rsidRPr="00767E0B">
        <w:rPr>
          <w:rFonts w:ascii="Cambria" w:eastAsia="Times New Roman" w:hAnsi="Cambria" w:cs="Times New Roman"/>
          <w:bCs/>
          <w:color w:val="000000"/>
          <w:spacing w:val="5"/>
          <w:kern w:val="28"/>
          <w:sz w:val="44"/>
          <w:szCs w:val="52"/>
        </w:rPr>
        <w:t>”</w:t>
      </w:r>
      <w:bookmarkEnd w:id="5"/>
      <w:bookmarkEnd w:id="6"/>
    </w:p>
    <w:p w14:paraId="7A659631" w14:textId="77777777" w:rsidR="00616BD1" w:rsidRPr="00767E0B" w:rsidRDefault="00616BD1" w:rsidP="00616BD1">
      <w:pPr>
        <w:widowControl w:val="0"/>
        <w:autoSpaceDE w:val="0"/>
        <w:autoSpaceDN w:val="0"/>
        <w:adjustRightInd w:val="0"/>
        <w:spacing w:after="0" w:line="276" w:lineRule="auto"/>
        <w:jc w:val="center"/>
        <w:rPr>
          <w:rFonts w:ascii="Times New Roman" w:eastAsia="Times New Roman" w:hAnsi="Times New Roman" w:cs="Times New Roman"/>
          <w:sz w:val="24"/>
          <w:szCs w:val="20"/>
        </w:rPr>
      </w:pPr>
    </w:p>
    <w:p w14:paraId="263FBFC0" w14:textId="77777777" w:rsidR="00616BD1" w:rsidRPr="00767E0B" w:rsidRDefault="00616BD1" w:rsidP="00616BD1">
      <w:pPr>
        <w:widowControl w:val="0"/>
        <w:autoSpaceDE w:val="0"/>
        <w:autoSpaceDN w:val="0"/>
        <w:adjustRightInd w:val="0"/>
        <w:spacing w:after="0" w:line="276"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January</w:t>
      </w:r>
      <w:r w:rsidRPr="00767E0B">
        <w:rPr>
          <w:rFonts w:ascii="Times New Roman" w:eastAsia="Times New Roman" w:hAnsi="Times New Roman" w:cs="Times New Roman"/>
          <w:sz w:val="40"/>
          <w:szCs w:val="40"/>
        </w:rPr>
        <w:t xml:space="preserve"> 2014</w:t>
      </w:r>
    </w:p>
    <w:p w14:paraId="76ABFC97" w14:textId="77777777" w:rsidR="00616BD1" w:rsidRPr="00FA4D43" w:rsidRDefault="00616BD1" w:rsidP="00616BD1">
      <w:pPr>
        <w:widowControl w:val="0"/>
        <w:autoSpaceDE w:val="0"/>
        <w:autoSpaceDN w:val="0"/>
        <w:adjustRightInd w:val="0"/>
        <w:spacing w:after="0" w:line="276" w:lineRule="auto"/>
        <w:jc w:val="center"/>
        <w:rPr>
          <w:rFonts w:ascii="Times New Roman" w:eastAsia="Times New Roman" w:hAnsi="Times New Roman" w:cs="Times New Roman"/>
          <w:sz w:val="40"/>
          <w:szCs w:val="40"/>
        </w:rPr>
      </w:pPr>
    </w:p>
    <w:p w14:paraId="3F0636E0" w14:textId="77777777" w:rsidR="00616BD1" w:rsidRPr="00FA4D43" w:rsidRDefault="00616BD1" w:rsidP="00616BD1">
      <w:pPr>
        <w:widowControl w:val="0"/>
        <w:autoSpaceDE w:val="0"/>
        <w:autoSpaceDN w:val="0"/>
        <w:adjustRightInd w:val="0"/>
        <w:spacing w:after="0" w:line="276" w:lineRule="auto"/>
        <w:rPr>
          <w:rFonts w:ascii="Times New Roman" w:eastAsia="Times New Roman" w:hAnsi="Times New Roman" w:cs="Times New Roman"/>
          <w:sz w:val="24"/>
          <w:szCs w:val="20"/>
        </w:rPr>
      </w:pPr>
    </w:p>
    <w:p w14:paraId="6C73F954" w14:textId="77777777" w:rsidR="00616BD1" w:rsidRPr="00FA4D43" w:rsidRDefault="00616BD1" w:rsidP="00616BD1">
      <w:pPr>
        <w:widowControl w:val="0"/>
        <w:autoSpaceDE w:val="0"/>
        <w:autoSpaceDN w:val="0"/>
        <w:adjustRightInd w:val="0"/>
        <w:spacing w:after="0" w:line="276" w:lineRule="auto"/>
        <w:rPr>
          <w:rFonts w:ascii="Times New Roman" w:eastAsia="Times New Roman" w:hAnsi="Times New Roman" w:cs="Times New Roman"/>
          <w:sz w:val="24"/>
          <w:szCs w:val="24"/>
        </w:rPr>
      </w:pPr>
    </w:p>
    <w:p w14:paraId="3830F012" w14:textId="77777777" w:rsidR="00616BD1" w:rsidRPr="00FA4D43" w:rsidRDefault="00616BD1" w:rsidP="00616BD1">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b/>
          <w:sz w:val="24"/>
          <w:szCs w:val="24"/>
        </w:rPr>
        <w:t>Submitted to:</w:t>
      </w:r>
      <w:r w:rsidRPr="00FA4D43">
        <w:rPr>
          <w:rFonts w:ascii="Times New Roman" w:eastAsia="Times New Roman" w:hAnsi="Times New Roman" w:cs="Times New Roman"/>
          <w:b/>
          <w:sz w:val="24"/>
          <w:szCs w:val="24"/>
        </w:rPr>
        <w:tab/>
      </w:r>
      <w:r w:rsidRPr="00FA4D43">
        <w:rPr>
          <w:rFonts w:ascii="Times New Roman" w:eastAsia="Times New Roman" w:hAnsi="Times New Roman" w:cs="Times New Roman"/>
          <w:b/>
          <w:sz w:val="24"/>
          <w:szCs w:val="24"/>
        </w:rPr>
        <w:tab/>
      </w:r>
      <w:r w:rsidRPr="00FA4D43">
        <w:rPr>
          <w:rFonts w:ascii="Times New Roman" w:eastAsia="Times New Roman" w:hAnsi="Times New Roman" w:cs="Times New Roman"/>
          <w:b/>
          <w:sz w:val="24"/>
          <w:szCs w:val="24"/>
        </w:rPr>
        <w:tab/>
      </w:r>
      <w:r w:rsidRPr="00FA4D43">
        <w:rPr>
          <w:rFonts w:ascii="Times New Roman" w:eastAsia="Times New Roman" w:hAnsi="Times New Roman" w:cs="Times New Roman"/>
          <w:b/>
          <w:sz w:val="24"/>
          <w:szCs w:val="24"/>
        </w:rPr>
        <w:tab/>
      </w:r>
      <w:r w:rsidRPr="00FA4D43">
        <w:rPr>
          <w:rFonts w:ascii="Times New Roman" w:eastAsia="Times New Roman" w:hAnsi="Times New Roman" w:cs="Times New Roman"/>
          <w:b/>
          <w:sz w:val="24"/>
          <w:szCs w:val="24"/>
        </w:rPr>
        <w:tab/>
      </w:r>
      <w:r w:rsidRPr="00FA4D43">
        <w:rPr>
          <w:rFonts w:ascii="Times New Roman" w:eastAsia="Times New Roman" w:hAnsi="Times New Roman" w:cs="Times New Roman"/>
          <w:b/>
          <w:sz w:val="24"/>
          <w:szCs w:val="24"/>
        </w:rPr>
        <w:tab/>
        <w:t>Submitted by</w:t>
      </w:r>
      <w:r w:rsidRPr="00FA4D43">
        <w:rPr>
          <w:rFonts w:ascii="Times New Roman" w:eastAsia="Times New Roman" w:hAnsi="Times New Roman" w:cs="Times New Roman"/>
          <w:sz w:val="24"/>
          <w:szCs w:val="24"/>
        </w:rPr>
        <w:t>:</w:t>
      </w:r>
    </w:p>
    <w:p w14:paraId="4876B363" w14:textId="77777777" w:rsidR="00616BD1" w:rsidRPr="00FA4D43" w:rsidRDefault="00616BD1" w:rsidP="00616BD1">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U.S. Department of Education</w:t>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t>SEDL</w:t>
      </w:r>
    </w:p>
    <w:p w14:paraId="0CCCB66F" w14:textId="77777777" w:rsidR="00616BD1" w:rsidRPr="00FA4D43" w:rsidRDefault="00616BD1" w:rsidP="00616BD1">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Institute of Education Sciences</w:t>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t>4700 Mueller Blvd.</w:t>
      </w:r>
      <w:r w:rsidRPr="00FA4D43">
        <w:rPr>
          <w:rFonts w:ascii="Times New Roman" w:eastAsia="Times New Roman" w:hAnsi="Times New Roman" w:cs="Times New Roman"/>
          <w:sz w:val="24"/>
          <w:szCs w:val="24"/>
        </w:rPr>
        <w:br/>
        <w:t>555 New Jersey Ave. NW, Rm. 308</w:t>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t>Austin, TX 78723</w:t>
      </w:r>
    </w:p>
    <w:p w14:paraId="247F6F28" w14:textId="77777777" w:rsidR="00616BD1" w:rsidRPr="00FA4D43" w:rsidRDefault="00616BD1" w:rsidP="00616BD1">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Washington, DC 20208</w:t>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t>Phone: (800) 476-6861</w:t>
      </w:r>
    </w:p>
    <w:p w14:paraId="47D8192A" w14:textId="77777777" w:rsidR="00616BD1" w:rsidRPr="00FA4D43" w:rsidRDefault="00616BD1" w:rsidP="00616BD1">
      <w:pPr>
        <w:widowControl w:val="0"/>
        <w:autoSpaceDE w:val="0"/>
        <w:autoSpaceDN w:val="0"/>
        <w:adjustRightInd w:val="0"/>
        <w:spacing w:after="0" w:line="276" w:lineRule="auto"/>
        <w:rPr>
          <w:rFonts w:ascii="Times New Roman" w:eastAsia="Times New Roman" w:hAnsi="Times New Roman" w:cs="Times New Roman"/>
          <w:sz w:val="24"/>
          <w:szCs w:val="24"/>
        </w:rPr>
      </w:pPr>
    </w:p>
    <w:p w14:paraId="484A2C9C" w14:textId="77777777" w:rsidR="00616BD1" w:rsidRPr="00FA4D43" w:rsidRDefault="00616BD1" w:rsidP="00616BD1">
      <w:pPr>
        <w:widowControl w:val="0"/>
        <w:autoSpaceDE w:val="0"/>
        <w:autoSpaceDN w:val="0"/>
        <w:adjustRightInd w:val="0"/>
        <w:spacing w:after="0" w:line="276" w:lineRule="auto"/>
        <w:rPr>
          <w:rFonts w:ascii="Times New Roman" w:eastAsia="Times New Roman" w:hAnsi="Times New Roman" w:cs="Times New Roman"/>
          <w:sz w:val="24"/>
          <w:szCs w:val="24"/>
        </w:rPr>
      </w:pPr>
    </w:p>
    <w:p w14:paraId="609E3A08" w14:textId="77777777" w:rsidR="00616BD1" w:rsidRPr="00FA4D43" w:rsidRDefault="00616BD1" w:rsidP="00616BD1">
      <w:pPr>
        <w:widowControl w:val="0"/>
        <w:autoSpaceDE w:val="0"/>
        <w:autoSpaceDN w:val="0"/>
        <w:adjustRightInd w:val="0"/>
        <w:spacing w:after="0" w:line="276" w:lineRule="auto"/>
        <w:rPr>
          <w:rFonts w:ascii="Times New Roman" w:eastAsia="Times New Roman" w:hAnsi="Times New Roman" w:cs="Times New Roman"/>
          <w:sz w:val="24"/>
          <w:szCs w:val="24"/>
        </w:rPr>
      </w:pPr>
    </w:p>
    <w:p w14:paraId="31252B2F" w14:textId="77777777" w:rsidR="00616BD1" w:rsidRPr="00FA4D43" w:rsidRDefault="00616BD1" w:rsidP="00616BD1">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noProof/>
          <w:sz w:val="24"/>
          <w:szCs w:val="24"/>
        </w:rPr>
        <w:drawing>
          <wp:inline distT="0" distB="0" distL="0" distR="0" wp14:anchorId="70C5939F" wp14:editId="66BD217D">
            <wp:extent cx="1432054" cy="90577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14:paraId="79F68196" w14:textId="77777777" w:rsidR="00616BD1" w:rsidRPr="00FA4D43" w:rsidRDefault="00616BD1" w:rsidP="00616BD1">
      <w:pPr>
        <w:widowControl w:val="0"/>
        <w:autoSpaceDE w:val="0"/>
        <w:autoSpaceDN w:val="0"/>
        <w:adjustRightInd w:val="0"/>
        <w:spacing w:after="0" w:line="276" w:lineRule="auto"/>
        <w:rPr>
          <w:rFonts w:ascii="Times New Roman" w:eastAsia="Times New Roman" w:hAnsi="Times New Roman" w:cs="Times New Roman"/>
          <w:sz w:val="24"/>
          <w:szCs w:val="24"/>
        </w:rPr>
      </w:pPr>
    </w:p>
    <w:p w14:paraId="00D65DB1" w14:textId="77777777" w:rsidR="00616BD1" w:rsidRPr="00FA4D43" w:rsidRDefault="00616BD1" w:rsidP="00616BD1">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4700 Mueller Blvd. Austin, TX 78723</w:t>
      </w:r>
    </w:p>
    <w:p w14:paraId="3AD50F11" w14:textId="77777777" w:rsidR="00616BD1" w:rsidRPr="00FA4D43" w:rsidRDefault="00616BD1" w:rsidP="00616BD1">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800-476-6861</w:t>
      </w:r>
    </w:p>
    <w:p w14:paraId="1AAFC8C2" w14:textId="77777777" w:rsidR="00616BD1" w:rsidRPr="00FA4D43" w:rsidRDefault="00616BD1" w:rsidP="00616BD1">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www.relsouthwest.org</w:t>
      </w:r>
    </w:p>
    <w:p w14:paraId="64B587A7" w14:textId="77777777" w:rsidR="00616BD1" w:rsidRPr="00FA4D43" w:rsidRDefault="00616BD1" w:rsidP="00616BD1">
      <w:pPr>
        <w:widowControl w:val="0"/>
        <w:autoSpaceDE w:val="0"/>
        <w:autoSpaceDN w:val="0"/>
        <w:adjustRightInd w:val="0"/>
        <w:spacing w:after="0" w:line="276" w:lineRule="auto"/>
        <w:rPr>
          <w:rFonts w:ascii="Times New Roman" w:eastAsia="Times New Roman" w:hAnsi="Times New Roman" w:cs="Times New Roman"/>
          <w:sz w:val="24"/>
          <w:szCs w:val="24"/>
        </w:rPr>
      </w:pPr>
    </w:p>
    <w:p w14:paraId="2321EEF5" w14:textId="77777777" w:rsidR="00616BD1" w:rsidRPr="00FA4D43" w:rsidRDefault="00616BD1" w:rsidP="00616BD1">
      <w:pPr>
        <w:widowControl w:val="0"/>
        <w:autoSpaceDE w:val="0"/>
        <w:autoSpaceDN w:val="0"/>
        <w:adjustRightInd w:val="0"/>
        <w:spacing w:after="0" w:line="276" w:lineRule="auto"/>
        <w:rPr>
          <w:rFonts w:ascii="Times New Roman" w:eastAsia="Times New Roman" w:hAnsi="Times New Roman" w:cs="Times New Roman"/>
          <w:sz w:val="24"/>
          <w:szCs w:val="20"/>
        </w:rPr>
      </w:pPr>
      <w:r w:rsidRPr="00FA4D43">
        <w:rPr>
          <w:rFonts w:ascii="Times New Roman" w:eastAsia="Times New Roman" w:hAnsi="Times New Roman" w:cs="Times New Roman"/>
          <w:sz w:val="20"/>
          <w:szCs w:val="20"/>
        </w:rPr>
        <w:t xml:space="preserve">This publication was prepared for the Institute of Education Sciences (IES) under contract ED-IES-12-C-00012 by Regional Educational Laboratory Southwest, administered by SEDL. The content </w:t>
      </w:r>
      <w:r w:rsidRPr="00FA4D43">
        <w:rPr>
          <w:rFonts w:ascii="Times New Roman" w:eastAsia="Times New Roman" w:hAnsi="Times New Roman" w:cs="Times New Roman"/>
          <w:spacing w:val="-2"/>
          <w:sz w:val="20"/>
          <w:szCs w:val="20"/>
        </w:rPr>
        <w:t>of the publication does not necessarily reflect the views or policies of IES or the U.S. Department of Education,</w:t>
      </w:r>
      <w:r w:rsidRPr="00FA4D43">
        <w:rPr>
          <w:rFonts w:ascii="Times New Roman" w:eastAsia="Times New Roman" w:hAnsi="Times New Roman" w:cs="Times New Roman"/>
          <w:sz w:val="20"/>
          <w:szCs w:val="20"/>
        </w:rPr>
        <w:t xml:space="preserve"> nor does mention of trade names, commercial products, or organizations imply endorsement by the U.S. government. The </w:t>
      </w:r>
      <w:r w:rsidRPr="00FA4D43">
        <w:rPr>
          <w:rFonts w:ascii="Times New Roman" w:eastAsia="Times New Roman" w:hAnsi="Times New Roman" w:cs="Times New Roman"/>
          <w:spacing w:val="-2"/>
          <w:sz w:val="20"/>
          <w:szCs w:val="20"/>
        </w:rPr>
        <w:t>publication is in the public domain. Authorization to reproduce in whole or in part for educational purposes is granted.</w:t>
      </w:r>
      <w:r w:rsidRPr="00FA4D43" w:rsidDel="00FD3502">
        <w:rPr>
          <w:rFonts w:ascii="Times New Roman" w:eastAsia="Times New Roman" w:hAnsi="Times New Roman" w:cs="Times New Roman"/>
          <w:sz w:val="24"/>
          <w:szCs w:val="24"/>
        </w:rPr>
        <w:t xml:space="preserve"> </w:t>
      </w:r>
    </w:p>
    <w:p w14:paraId="67D8E5F3" w14:textId="77777777" w:rsidR="00616BD1" w:rsidRDefault="00616BD1" w:rsidP="00616BD1">
      <w:pPr>
        <w:tabs>
          <w:tab w:val="left" w:pos="2340"/>
        </w:tabs>
        <w:rPr>
          <w:rFonts w:eastAsiaTheme="majorEastAsia" w:cstheme="majorBidi"/>
          <w:sz w:val="28"/>
          <w:szCs w:val="28"/>
        </w:rPr>
      </w:pPr>
    </w:p>
    <w:sdt>
      <w:sdtPr>
        <w:rPr>
          <w:rFonts w:asciiTheme="minorHAnsi" w:eastAsiaTheme="minorHAnsi" w:hAnsiTheme="minorHAnsi" w:cstheme="minorBidi"/>
          <w:color w:val="auto"/>
          <w:sz w:val="22"/>
          <w:szCs w:val="22"/>
        </w:rPr>
        <w:id w:val="625358192"/>
        <w:docPartObj>
          <w:docPartGallery w:val="Table of Contents"/>
          <w:docPartUnique/>
        </w:docPartObj>
      </w:sdtPr>
      <w:sdtEndPr>
        <w:rPr>
          <w:b/>
          <w:bCs/>
          <w:noProof/>
        </w:rPr>
      </w:sdtEndPr>
      <w:sdtContent>
        <w:p w14:paraId="1E7E5CAF" w14:textId="77777777" w:rsidR="008C4AC1" w:rsidRDefault="00616BD1" w:rsidP="0047172C">
          <w:pPr>
            <w:pStyle w:val="TOCHeading"/>
            <w:jc w:val="left"/>
            <w:rPr>
              <w:noProof/>
            </w:rPr>
          </w:pPr>
          <w:r w:rsidRPr="00A56C81">
            <w:rPr>
              <w:b/>
              <w:color w:val="auto"/>
            </w:rPr>
            <w:t>Contents</w:t>
          </w:r>
          <w:r>
            <w:fldChar w:fldCharType="begin"/>
          </w:r>
          <w:r>
            <w:instrText xml:space="preserve"> TOC \o "1-3" \h \z \u </w:instrText>
          </w:r>
          <w:r>
            <w:fldChar w:fldCharType="separate"/>
          </w:r>
        </w:p>
        <w:p w14:paraId="1ED95584" w14:textId="77777777" w:rsidR="008C4AC1" w:rsidRPr="008C4AC1" w:rsidRDefault="00FD5EDC">
          <w:pPr>
            <w:pStyle w:val="TOC1"/>
            <w:tabs>
              <w:tab w:val="right" w:leader="dot" w:pos="9350"/>
            </w:tabs>
            <w:rPr>
              <w:rFonts w:eastAsiaTheme="minorEastAsia"/>
              <w:noProof/>
            </w:rPr>
          </w:pPr>
          <w:hyperlink w:anchor="_Toc417375830" w:history="1">
            <w:r w:rsidR="008C4AC1" w:rsidRPr="008C4AC1">
              <w:rPr>
                <w:rStyle w:val="Hyperlink"/>
                <w:rFonts w:eastAsiaTheme="majorEastAsia" w:cstheme="majorBidi"/>
                <w:noProof/>
              </w:rPr>
              <w:t>1. Respondent Universe and Sampling Methods</w:t>
            </w:r>
            <w:r w:rsidR="008C4AC1" w:rsidRPr="008C4AC1">
              <w:rPr>
                <w:noProof/>
                <w:webHidden/>
              </w:rPr>
              <w:tab/>
            </w:r>
            <w:r w:rsidR="008C4AC1" w:rsidRPr="008C4AC1">
              <w:rPr>
                <w:noProof/>
                <w:webHidden/>
              </w:rPr>
              <w:fldChar w:fldCharType="begin"/>
            </w:r>
            <w:r w:rsidR="008C4AC1" w:rsidRPr="008C4AC1">
              <w:rPr>
                <w:noProof/>
                <w:webHidden/>
              </w:rPr>
              <w:instrText xml:space="preserve"> PAGEREF _Toc417375830 \h </w:instrText>
            </w:r>
            <w:r w:rsidR="008C4AC1" w:rsidRPr="008C4AC1">
              <w:rPr>
                <w:noProof/>
                <w:webHidden/>
              </w:rPr>
            </w:r>
            <w:r w:rsidR="008C4AC1" w:rsidRPr="008C4AC1">
              <w:rPr>
                <w:noProof/>
                <w:webHidden/>
              </w:rPr>
              <w:fldChar w:fldCharType="separate"/>
            </w:r>
            <w:r w:rsidR="00825786">
              <w:rPr>
                <w:noProof/>
                <w:webHidden/>
              </w:rPr>
              <w:t>6</w:t>
            </w:r>
            <w:r w:rsidR="008C4AC1" w:rsidRPr="008C4AC1">
              <w:rPr>
                <w:noProof/>
                <w:webHidden/>
              </w:rPr>
              <w:fldChar w:fldCharType="end"/>
            </w:r>
          </w:hyperlink>
        </w:p>
        <w:p w14:paraId="12B279CE" w14:textId="77777777" w:rsidR="008C4AC1" w:rsidRPr="008C4AC1" w:rsidRDefault="00FD5EDC">
          <w:pPr>
            <w:pStyle w:val="TOC1"/>
            <w:tabs>
              <w:tab w:val="right" w:leader="dot" w:pos="9350"/>
            </w:tabs>
            <w:rPr>
              <w:rFonts w:eastAsiaTheme="minorEastAsia"/>
              <w:noProof/>
            </w:rPr>
          </w:pPr>
          <w:hyperlink w:anchor="_Toc417375831" w:history="1">
            <w:r w:rsidR="008C4AC1" w:rsidRPr="008C4AC1">
              <w:rPr>
                <w:rStyle w:val="Hyperlink"/>
                <w:rFonts w:eastAsiaTheme="majorEastAsia" w:cstheme="majorBidi"/>
                <w:noProof/>
              </w:rPr>
              <w:t>2. Description of Procedures for the Collection of Information</w:t>
            </w:r>
            <w:r w:rsidR="008C4AC1" w:rsidRPr="008C4AC1">
              <w:rPr>
                <w:noProof/>
                <w:webHidden/>
              </w:rPr>
              <w:tab/>
            </w:r>
            <w:r w:rsidR="008C4AC1" w:rsidRPr="008C4AC1">
              <w:rPr>
                <w:noProof/>
                <w:webHidden/>
              </w:rPr>
              <w:fldChar w:fldCharType="begin"/>
            </w:r>
            <w:r w:rsidR="008C4AC1" w:rsidRPr="008C4AC1">
              <w:rPr>
                <w:noProof/>
                <w:webHidden/>
              </w:rPr>
              <w:instrText xml:space="preserve"> PAGEREF _Toc417375831 \h </w:instrText>
            </w:r>
            <w:r w:rsidR="008C4AC1" w:rsidRPr="008C4AC1">
              <w:rPr>
                <w:noProof/>
                <w:webHidden/>
              </w:rPr>
            </w:r>
            <w:r w:rsidR="008C4AC1" w:rsidRPr="008C4AC1">
              <w:rPr>
                <w:noProof/>
                <w:webHidden/>
              </w:rPr>
              <w:fldChar w:fldCharType="separate"/>
            </w:r>
            <w:r w:rsidR="00825786">
              <w:rPr>
                <w:noProof/>
                <w:webHidden/>
              </w:rPr>
              <w:t>8</w:t>
            </w:r>
            <w:r w:rsidR="008C4AC1" w:rsidRPr="008C4AC1">
              <w:rPr>
                <w:noProof/>
                <w:webHidden/>
              </w:rPr>
              <w:fldChar w:fldCharType="end"/>
            </w:r>
          </w:hyperlink>
        </w:p>
        <w:p w14:paraId="63F786EF" w14:textId="77777777" w:rsidR="008C4AC1" w:rsidRPr="008C4AC1" w:rsidRDefault="00FD5EDC">
          <w:pPr>
            <w:pStyle w:val="TOC2"/>
            <w:tabs>
              <w:tab w:val="right" w:leader="dot" w:pos="9350"/>
            </w:tabs>
            <w:rPr>
              <w:rFonts w:eastAsiaTheme="minorEastAsia"/>
              <w:noProof/>
            </w:rPr>
          </w:pPr>
          <w:hyperlink w:anchor="_Toc417375832" w:history="1">
            <w:r w:rsidR="008C4AC1" w:rsidRPr="008C4AC1">
              <w:rPr>
                <w:rStyle w:val="Hyperlink"/>
                <w:noProof/>
              </w:rPr>
              <w:t>Data Sources</w:t>
            </w:r>
            <w:r w:rsidR="008C4AC1" w:rsidRPr="008C4AC1">
              <w:rPr>
                <w:noProof/>
                <w:webHidden/>
              </w:rPr>
              <w:tab/>
            </w:r>
            <w:r w:rsidR="008C4AC1" w:rsidRPr="008C4AC1">
              <w:rPr>
                <w:noProof/>
                <w:webHidden/>
              </w:rPr>
              <w:fldChar w:fldCharType="begin"/>
            </w:r>
            <w:r w:rsidR="008C4AC1" w:rsidRPr="008C4AC1">
              <w:rPr>
                <w:noProof/>
                <w:webHidden/>
              </w:rPr>
              <w:instrText xml:space="preserve"> PAGEREF _Toc417375832 \h </w:instrText>
            </w:r>
            <w:r w:rsidR="008C4AC1" w:rsidRPr="008C4AC1">
              <w:rPr>
                <w:noProof/>
                <w:webHidden/>
              </w:rPr>
            </w:r>
            <w:r w:rsidR="008C4AC1" w:rsidRPr="008C4AC1">
              <w:rPr>
                <w:noProof/>
                <w:webHidden/>
              </w:rPr>
              <w:fldChar w:fldCharType="separate"/>
            </w:r>
            <w:r w:rsidR="00825786">
              <w:rPr>
                <w:noProof/>
                <w:webHidden/>
              </w:rPr>
              <w:t>8</w:t>
            </w:r>
            <w:r w:rsidR="008C4AC1" w:rsidRPr="008C4AC1">
              <w:rPr>
                <w:noProof/>
                <w:webHidden/>
              </w:rPr>
              <w:fldChar w:fldCharType="end"/>
            </w:r>
          </w:hyperlink>
        </w:p>
        <w:p w14:paraId="2A007A62" w14:textId="77777777" w:rsidR="008C4AC1" w:rsidRPr="008C4AC1" w:rsidRDefault="00FD5EDC">
          <w:pPr>
            <w:pStyle w:val="TOC1"/>
            <w:tabs>
              <w:tab w:val="right" w:leader="dot" w:pos="9350"/>
            </w:tabs>
            <w:rPr>
              <w:rFonts w:eastAsiaTheme="minorEastAsia"/>
              <w:noProof/>
            </w:rPr>
          </w:pPr>
          <w:hyperlink w:anchor="_Toc417375833" w:history="1">
            <w:r w:rsidR="008C4AC1" w:rsidRPr="008C4AC1">
              <w:rPr>
                <w:rStyle w:val="Hyperlink"/>
                <w:rFonts w:eastAsiaTheme="majorEastAsia" w:cstheme="majorBidi"/>
                <w:noProof/>
              </w:rPr>
              <w:t>3. Description of Procedures for Maximizing Response Rates</w:t>
            </w:r>
            <w:r w:rsidR="008C4AC1" w:rsidRPr="008C4AC1">
              <w:rPr>
                <w:noProof/>
                <w:webHidden/>
              </w:rPr>
              <w:tab/>
            </w:r>
            <w:r w:rsidR="008C4AC1" w:rsidRPr="008C4AC1">
              <w:rPr>
                <w:noProof/>
                <w:webHidden/>
              </w:rPr>
              <w:fldChar w:fldCharType="begin"/>
            </w:r>
            <w:r w:rsidR="008C4AC1" w:rsidRPr="008C4AC1">
              <w:rPr>
                <w:noProof/>
                <w:webHidden/>
              </w:rPr>
              <w:instrText xml:space="preserve"> PAGEREF _Toc417375833 \h </w:instrText>
            </w:r>
            <w:r w:rsidR="008C4AC1" w:rsidRPr="008C4AC1">
              <w:rPr>
                <w:noProof/>
                <w:webHidden/>
              </w:rPr>
            </w:r>
            <w:r w:rsidR="008C4AC1" w:rsidRPr="008C4AC1">
              <w:rPr>
                <w:noProof/>
                <w:webHidden/>
              </w:rPr>
              <w:fldChar w:fldCharType="separate"/>
            </w:r>
            <w:r w:rsidR="00825786">
              <w:rPr>
                <w:noProof/>
                <w:webHidden/>
              </w:rPr>
              <w:t>9</w:t>
            </w:r>
            <w:r w:rsidR="008C4AC1" w:rsidRPr="008C4AC1">
              <w:rPr>
                <w:noProof/>
                <w:webHidden/>
              </w:rPr>
              <w:fldChar w:fldCharType="end"/>
            </w:r>
          </w:hyperlink>
        </w:p>
        <w:p w14:paraId="6F63C93B" w14:textId="77777777" w:rsidR="008C4AC1" w:rsidRPr="008C4AC1" w:rsidRDefault="00FD5EDC">
          <w:pPr>
            <w:pStyle w:val="TOC1"/>
            <w:tabs>
              <w:tab w:val="right" w:leader="dot" w:pos="9350"/>
            </w:tabs>
            <w:rPr>
              <w:rFonts w:eastAsiaTheme="minorEastAsia"/>
              <w:noProof/>
            </w:rPr>
          </w:pPr>
          <w:hyperlink w:anchor="_Toc417375834" w:history="1">
            <w:r w:rsidR="008C4AC1" w:rsidRPr="008C4AC1">
              <w:rPr>
                <w:rStyle w:val="Hyperlink"/>
                <w:rFonts w:eastAsiaTheme="majorEastAsia" w:cstheme="majorBidi"/>
                <w:noProof/>
              </w:rPr>
              <w:t>4. Description of Tests, Procedures, and Methods</w:t>
            </w:r>
            <w:r w:rsidR="008C4AC1" w:rsidRPr="008C4AC1">
              <w:rPr>
                <w:noProof/>
                <w:webHidden/>
              </w:rPr>
              <w:tab/>
            </w:r>
            <w:r w:rsidR="008C4AC1" w:rsidRPr="008C4AC1">
              <w:rPr>
                <w:noProof/>
                <w:webHidden/>
              </w:rPr>
              <w:fldChar w:fldCharType="begin"/>
            </w:r>
            <w:r w:rsidR="008C4AC1" w:rsidRPr="008C4AC1">
              <w:rPr>
                <w:noProof/>
                <w:webHidden/>
              </w:rPr>
              <w:instrText xml:space="preserve"> PAGEREF _Toc417375834 \h </w:instrText>
            </w:r>
            <w:r w:rsidR="008C4AC1" w:rsidRPr="008C4AC1">
              <w:rPr>
                <w:noProof/>
                <w:webHidden/>
              </w:rPr>
            </w:r>
            <w:r w:rsidR="008C4AC1" w:rsidRPr="008C4AC1">
              <w:rPr>
                <w:noProof/>
                <w:webHidden/>
              </w:rPr>
              <w:fldChar w:fldCharType="separate"/>
            </w:r>
            <w:r w:rsidR="00825786">
              <w:rPr>
                <w:noProof/>
                <w:webHidden/>
              </w:rPr>
              <w:t>10</w:t>
            </w:r>
            <w:r w:rsidR="008C4AC1" w:rsidRPr="008C4AC1">
              <w:rPr>
                <w:noProof/>
                <w:webHidden/>
              </w:rPr>
              <w:fldChar w:fldCharType="end"/>
            </w:r>
          </w:hyperlink>
        </w:p>
        <w:p w14:paraId="622BCF26" w14:textId="77777777" w:rsidR="008C4AC1" w:rsidRPr="008C4AC1" w:rsidRDefault="00FD5EDC">
          <w:pPr>
            <w:pStyle w:val="TOC1"/>
            <w:tabs>
              <w:tab w:val="right" w:leader="dot" w:pos="9350"/>
            </w:tabs>
            <w:rPr>
              <w:rFonts w:eastAsiaTheme="minorEastAsia"/>
              <w:noProof/>
            </w:rPr>
          </w:pPr>
          <w:hyperlink w:anchor="_Toc417375835" w:history="1">
            <w:r w:rsidR="008C4AC1" w:rsidRPr="008C4AC1">
              <w:rPr>
                <w:rStyle w:val="Hyperlink"/>
                <w:rFonts w:eastAsiaTheme="majorEastAsia" w:cstheme="majorBidi"/>
                <w:noProof/>
              </w:rPr>
              <w:t>5. Individuals Consulted on Statistical Aspects of the Design and Key Staff</w:t>
            </w:r>
            <w:r w:rsidR="008C4AC1" w:rsidRPr="008C4AC1">
              <w:rPr>
                <w:noProof/>
                <w:webHidden/>
              </w:rPr>
              <w:tab/>
            </w:r>
            <w:r w:rsidR="008C4AC1" w:rsidRPr="008C4AC1">
              <w:rPr>
                <w:noProof/>
                <w:webHidden/>
              </w:rPr>
              <w:fldChar w:fldCharType="begin"/>
            </w:r>
            <w:r w:rsidR="008C4AC1" w:rsidRPr="008C4AC1">
              <w:rPr>
                <w:noProof/>
                <w:webHidden/>
              </w:rPr>
              <w:instrText xml:space="preserve"> PAGEREF _Toc417375835 \h </w:instrText>
            </w:r>
            <w:r w:rsidR="008C4AC1" w:rsidRPr="008C4AC1">
              <w:rPr>
                <w:noProof/>
                <w:webHidden/>
              </w:rPr>
            </w:r>
            <w:r w:rsidR="008C4AC1" w:rsidRPr="008C4AC1">
              <w:rPr>
                <w:noProof/>
                <w:webHidden/>
              </w:rPr>
              <w:fldChar w:fldCharType="separate"/>
            </w:r>
            <w:r w:rsidR="00825786">
              <w:rPr>
                <w:noProof/>
                <w:webHidden/>
              </w:rPr>
              <w:t>11</w:t>
            </w:r>
            <w:r w:rsidR="008C4AC1" w:rsidRPr="008C4AC1">
              <w:rPr>
                <w:noProof/>
                <w:webHidden/>
              </w:rPr>
              <w:fldChar w:fldCharType="end"/>
            </w:r>
          </w:hyperlink>
        </w:p>
        <w:p w14:paraId="45B6C23E" w14:textId="77777777" w:rsidR="008C4AC1" w:rsidRPr="008C4AC1" w:rsidRDefault="00FD5EDC">
          <w:pPr>
            <w:pStyle w:val="TOC1"/>
            <w:tabs>
              <w:tab w:val="right" w:leader="dot" w:pos="9350"/>
            </w:tabs>
            <w:rPr>
              <w:rFonts w:eastAsiaTheme="minorEastAsia"/>
              <w:noProof/>
            </w:rPr>
          </w:pPr>
          <w:hyperlink w:anchor="_Toc417375836" w:history="1">
            <w:r w:rsidR="008C4AC1" w:rsidRPr="008C4AC1">
              <w:rPr>
                <w:rStyle w:val="Hyperlink"/>
                <w:noProof/>
              </w:rPr>
              <w:t>Attachment B-1. School Agreement to Participate Form</w:t>
            </w:r>
            <w:r w:rsidR="008C4AC1" w:rsidRPr="008C4AC1">
              <w:rPr>
                <w:noProof/>
                <w:webHidden/>
              </w:rPr>
              <w:tab/>
            </w:r>
            <w:r w:rsidR="008C4AC1" w:rsidRPr="008C4AC1">
              <w:rPr>
                <w:noProof/>
                <w:webHidden/>
              </w:rPr>
              <w:fldChar w:fldCharType="begin"/>
            </w:r>
            <w:r w:rsidR="008C4AC1" w:rsidRPr="008C4AC1">
              <w:rPr>
                <w:noProof/>
                <w:webHidden/>
              </w:rPr>
              <w:instrText xml:space="preserve"> PAGEREF _Toc417375836 \h </w:instrText>
            </w:r>
            <w:r w:rsidR="008C4AC1" w:rsidRPr="008C4AC1">
              <w:rPr>
                <w:noProof/>
                <w:webHidden/>
              </w:rPr>
            </w:r>
            <w:r w:rsidR="008C4AC1" w:rsidRPr="008C4AC1">
              <w:rPr>
                <w:noProof/>
                <w:webHidden/>
              </w:rPr>
              <w:fldChar w:fldCharType="separate"/>
            </w:r>
            <w:r w:rsidR="00825786">
              <w:rPr>
                <w:noProof/>
                <w:webHidden/>
              </w:rPr>
              <w:t>13</w:t>
            </w:r>
            <w:r w:rsidR="008C4AC1" w:rsidRPr="008C4AC1">
              <w:rPr>
                <w:noProof/>
                <w:webHidden/>
              </w:rPr>
              <w:fldChar w:fldCharType="end"/>
            </w:r>
          </w:hyperlink>
        </w:p>
        <w:p w14:paraId="1D184106" w14:textId="77777777" w:rsidR="00616BD1" w:rsidRDefault="00616BD1" w:rsidP="00616BD1">
          <w:r>
            <w:rPr>
              <w:b/>
              <w:bCs/>
              <w:noProof/>
            </w:rPr>
            <w:fldChar w:fldCharType="end"/>
          </w:r>
        </w:p>
      </w:sdtContent>
    </w:sdt>
    <w:p w14:paraId="46834770" w14:textId="77777777" w:rsidR="00B32DF5" w:rsidRDefault="00616BD1" w:rsidP="00616BD1">
      <w:pPr>
        <w:tabs>
          <w:tab w:val="left" w:pos="2340"/>
        </w:tabs>
        <w:rPr>
          <w:rFonts w:eastAsiaTheme="majorEastAsia" w:cstheme="majorBidi"/>
          <w:sz w:val="28"/>
          <w:szCs w:val="28"/>
        </w:rPr>
      </w:pPr>
      <w:r>
        <w:rPr>
          <w:rFonts w:eastAsiaTheme="majorEastAsia" w:cstheme="majorBidi"/>
          <w:sz w:val="28"/>
          <w:szCs w:val="28"/>
        </w:rPr>
        <w:tab/>
      </w:r>
    </w:p>
    <w:p w14:paraId="35587FBC" w14:textId="77777777" w:rsidR="00B32DF5" w:rsidRPr="00B32DF5" w:rsidRDefault="00B32DF5" w:rsidP="00B32DF5">
      <w:pPr>
        <w:rPr>
          <w:rFonts w:eastAsiaTheme="majorEastAsia" w:cstheme="majorBidi"/>
          <w:sz w:val="28"/>
          <w:szCs w:val="28"/>
        </w:rPr>
      </w:pPr>
    </w:p>
    <w:p w14:paraId="1F29264A" w14:textId="77777777" w:rsidR="00B32DF5" w:rsidRPr="00B32DF5" w:rsidRDefault="00B32DF5" w:rsidP="00B32DF5">
      <w:pPr>
        <w:rPr>
          <w:rFonts w:eastAsiaTheme="majorEastAsia" w:cstheme="majorBidi"/>
          <w:sz w:val="28"/>
          <w:szCs w:val="28"/>
        </w:rPr>
      </w:pPr>
    </w:p>
    <w:p w14:paraId="08AEBA4E" w14:textId="77777777" w:rsidR="00B32DF5" w:rsidRPr="00B32DF5" w:rsidRDefault="00B32DF5" w:rsidP="00B32DF5">
      <w:pPr>
        <w:rPr>
          <w:rFonts w:eastAsiaTheme="majorEastAsia" w:cstheme="majorBidi"/>
          <w:sz w:val="28"/>
          <w:szCs w:val="28"/>
        </w:rPr>
      </w:pPr>
    </w:p>
    <w:p w14:paraId="322DF883" w14:textId="77777777" w:rsidR="00B32DF5" w:rsidRPr="00B32DF5" w:rsidRDefault="00B32DF5" w:rsidP="00B32DF5">
      <w:pPr>
        <w:rPr>
          <w:rFonts w:eastAsiaTheme="majorEastAsia" w:cstheme="majorBidi"/>
          <w:sz w:val="28"/>
          <w:szCs w:val="28"/>
        </w:rPr>
      </w:pPr>
    </w:p>
    <w:p w14:paraId="28A37995" w14:textId="77777777" w:rsidR="00B32DF5" w:rsidRPr="00B32DF5" w:rsidRDefault="00B32DF5" w:rsidP="00B32DF5">
      <w:pPr>
        <w:rPr>
          <w:rFonts w:eastAsiaTheme="majorEastAsia" w:cstheme="majorBidi"/>
          <w:sz w:val="28"/>
          <w:szCs w:val="28"/>
        </w:rPr>
      </w:pPr>
    </w:p>
    <w:p w14:paraId="227C0141" w14:textId="77777777" w:rsidR="00B32DF5" w:rsidRPr="00B32DF5" w:rsidRDefault="00B32DF5" w:rsidP="00B32DF5">
      <w:pPr>
        <w:rPr>
          <w:rFonts w:eastAsiaTheme="majorEastAsia" w:cstheme="majorBidi"/>
          <w:sz w:val="28"/>
          <w:szCs w:val="28"/>
        </w:rPr>
      </w:pPr>
    </w:p>
    <w:p w14:paraId="0A48CFF7" w14:textId="77777777" w:rsidR="00B32DF5" w:rsidRPr="00B32DF5" w:rsidRDefault="00B32DF5" w:rsidP="00B32DF5">
      <w:pPr>
        <w:rPr>
          <w:rFonts w:eastAsiaTheme="majorEastAsia" w:cstheme="majorBidi"/>
          <w:sz w:val="28"/>
          <w:szCs w:val="28"/>
        </w:rPr>
      </w:pPr>
    </w:p>
    <w:p w14:paraId="265EF6CC" w14:textId="77777777" w:rsidR="00B32DF5" w:rsidRPr="00B32DF5" w:rsidRDefault="00B32DF5" w:rsidP="00B32DF5">
      <w:pPr>
        <w:rPr>
          <w:rFonts w:eastAsiaTheme="majorEastAsia" w:cstheme="majorBidi"/>
          <w:sz w:val="28"/>
          <w:szCs w:val="28"/>
        </w:rPr>
      </w:pPr>
    </w:p>
    <w:p w14:paraId="242EAF33" w14:textId="77777777" w:rsidR="00B32DF5" w:rsidRPr="00B32DF5" w:rsidRDefault="00B32DF5" w:rsidP="00B32DF5">
      <w:pPr>
        <w:rPr>
          <w:rFonts w:eastAsiaTheme="majorEastAsia" w:cstheme="majorBidi"/>
          <w:sz w:val="28"/>
          <w:szCs w:val="28"/>
        </w:rPr>
      </w:pPr>
    </w:p>
    <w:p w14:paraId="2E040F1F" w14:textId="77777777" w:rsidR="00B32DF5" w:rsidRPr="00B32DF5" w:rsidRDefault="00B32DF5" w:rsidP="00B32DF5">
      <w:pPr>
        <w:rPr>
          <w:rFonts w:eastAsiaTheme="majorEastAsia" w:cstheme="majorBidi"/>
          <w:sz w:val="28"/>
          <w:szCs w:val="28"/>
        </w:rPr>
      </w:pPr>
    </w:p>
    <w:p w14:paraId="6CC4D8B3" w14:textId="77777777" w:rsidR="00B32DF5" w:rsidRPr="00B32DF5" w:rsidRDefault="00B32DF5" w:rsidP="00B32DF5">
      <w:pPr>
        <w:rPr>
          <w:rFonts w:eastAsiaTheme="majorEastAsia" w:cstheme="majorBidi"/>
          <w:sz w:val="28"/>
          <w:szCs w:val="28"/>
        </w:rPr>
      </w:pPr>
    </w:p>
    <w:p w14:paraId="56BA2CF5" w14:textId="77777777" w:rsidR="00B32DF5" w:rsidRPr="00B32DF5" w:rsidRDefault="00B32DF5" w:rsidP="00B32DF5">
      <w:pPr>
        <w:rPr>
          <w:rFonts w:eastAsiaTheme="majorEastAsia" w:cstheme="majorBidi"/>
          <w:sz w:val="28"/>
          <w:szCs w:val="28"/>
        </w:rPr>
      </w:pPr>
    </w:p>
    <w:p w14:paraId="3F5B9C6E" w14:textId="77777777" w:rsidR="00B32DF5" w:rsidRPr="00B32DF5" w:rsidRDefault="00B32DF5" w:rsidP="00B32DF5">
      <w:pPr>
        <w:rPr>
          <w:rFonts w:eastAsiaTheme="majorEastAsia" w:cstheme="majorBidi"/>
          <w:sz w:val="28"/>
          <w:szCs w:val="28"/>
        </w:rPr>
      </w:pPr>
    </w:p>
    <w:p w14:paraId="388CF13E" w14:textId="77777777" w:rsidR="00B32DF5" w:rsidRPr="00B32DF5" w:rsidRDefault="00B32DF5" w:rsidP="00B32DF5">
      <w:pPr>
        <w:rPr>
          <w:rFonts w:eastAsiaTheme="majorEastAsia" w:cstheme="majorBidi"/>
          <w:sz w:val="28"/>
          <w:szCs w:val="28"/>
        </w:rPr>
      </w:pPr>
    </w:p>
    <w:p w14:paraId="120FA3BB" w14:textId="77777777" w:rsidR="00B32DF5" w:rsidRPr="00B32DF5" w:rsidRDefault="00B32DF5" w:rsidP="00B32DF5">
      <w:pPr>
        <w:rPr>
          <w:rFonts w:eastAsiaTheme="majorEastAsia" w:cstheme="majorBidi"/>
          <w:sz w:val="28"/>
          <w:szCs w:val="28"/>
        </w:rPr>
      </w:pPr>
    </w:p>
    <w:p w14:paraId="7D08E5FE" w14:textId="77777777" w:rsidR="00B32DF5" w:rsidRDefault="00B32DF5" w:rsidP="00B32DF5">
      <w:pPr>
        <w:rPr>
          <w:rFonts w:eastAsiaTheme="majorEastAsia" w:cstheme="majorBidi"/>
          <w:sz w:val="28"/>
          <w:szCs w:val="28"/>
        </w:rPr>
      </w:pPr>
    </w:p>
    <w:p w14:paraId="596C2FCB" w14:textId="77777777" w:rsidR="00B32DF5" w:rsidRDefault="00B32DF5" w:rsidP="00B32DF5">
      <w:pPr>
        <w:tabs>
          <w:tab w:val="left" w:pos="5409"/>
        </w:tabs>
        <w:rPr>
          <w:rFonts w:eastAsiaTheme="majorEastAsia" w:cstheme="majorBidi"/>
          <w:sz w:val="28"/>
          <w:szCs w:val="28"/>
        </w:rPr>
      </w:pPr>
      <w:r>
        <w:rPr>
          <w:rFonts w:eastAsiaTheme="majorEastAsia" w:cstheme="majorBidi"/>
          <w:sz w:val="28"/>
          <w:szCs w:val="28"/>
        </w:rPr>
        <w:tab/>
      </w:r>
    </w:p>
    <w:p w14:paraId="26725597" w14:textId="77777777" w:rsidR="00616BD1" w:rsidRPr="00B32DF5" w:rsidRDefault="00B32DF5" w:rsidP="00B32DF5">
      <w:pPr>
        <w:tabs>
          <w:tab w:val="left" w:pos="5409"/>
        </w:tabs>
        <w:rPr>
          <w:rFonts w:eastAsiaTheme="majorEastAsia" w:cstheme="majorBidi"/>
          <w:sz w:val="28"/>
          <w:szCs w:val="28"/>
        </w:rPr>
        <w:sectPr w:rsidR="00616BD1" w:rsidRPr="00B32DF5">
          <w:footerReference w:type="default" r:id="rId13"/>
          <w:footerReference w:type="first" r:id="rId14"/>
          <w:pgSz w:w="12240" w:h="15840"/>
          <w:pgMar w:top="1440" w:right="1440" w:bottom="1440" w:left="1440" w:header="720" w:footer="720" w:gutter="0"/>
          <w:cols w:space="720"/>
          <w:docGrid w:linePitch="360"/>
        </w:sectPr>
      </w:pPr>
      <w:r>
        <w:rPr>
          <w:rFonts w:eastAsiaTheme="majorEastAsia" w:cstheme="majorBidi"/>
          <w:sz w:val="28"/>
          <w:szCs w:val="28"/>
        </w:rPr>
        <w:lastRenderedPageBreak/>
        <w:tab/>
      </w:r>
    </w:p>
    <w:p w14:paraId="0B4A4957" w14:textId="77777777" w:rsidR="003F45AA" w:rsidRDefault="003F45AA" w:rsidP="003F45AA">
      <w:pPr>
        <w:pStyle w:val="BodyText"/>
        <w:spacing w:before="200" w:line="276" w:lineRule="auto"/>
        <w:rPr>
          <w:rFonts w:asciiTheme="minorHAnsi" w:hAnsiTheme="minorHAnsi"/>
        </w:rPr>
      </w:pPr>
      <w:r w:rsidRPr="00EC6C25">
        <w:rPr>
          <w:rFonts w:asciiTheme="minorHAnsi" w:hAnsiTheme="minorHAnsi"/>
        </w:rPr>
        <w:lastRenderedPageBreak/>
        <w:t xml:space="preserve">The U.S. Department of Education (ED) requests clearance for data collection under the Office of Management and Budget (OMB) clearance agreement (OMB number </w:t>
      </w:r>
      <w:r w:rsidRPr="00EC6C25">
        <w:rPr>
          <w:rFonts w:asciiTheme="minorHAnsi" w:hAnsiTheme="minorHAnsi"/>
          <w:highlight w:val="yellow"/>
        </w:rPr>
        <w:t>[IES to complete])</w:t>
      </w:r>
      <w:r w:rsidRPr="00EC6C25">
        <w:rPr>
          <w:rFonts w:asciiTheme="minorHAnsi" w:hAnsiTheme="minorHAnsi"/>
        </w:rPr>
        <w:t xml:space="preserve"> for activities related to the Regional Educational Laboratory (REL) Program. ED, in consultation with SEDL, intends to </w:t>
      </w:r>
      <w:r>
        <w:rPr>
          <w:rFonts w:asciiTheme="minorHAnsi" w:hAnsiTheme="minorHAnsi"/>
        </w:rPr>
        <w:t>conduct</w:t>
      </w:r>
      <w:r>
        <w:rPr>
          <w:rFonts w:ascii="Calibri" w:hAnsi="Calibri"/>
        </w:rPr>
        <w:t xml:space="preserve"> </w:t>
      </w:r>
      <w:r w:rsidRPr="0011646C">
        <w:rPr>
          <w:rFonts w:ascii="Calibri" w:hAnsi="Calibri"/>
        </w:rPr>
        <w:t>a timely, policy relevant opportunistic experiment to determine if directly providing parents/guardians, prior to students’ selection of their courses, with information on the importance of completing algebra II for college access and success has an impact on the percentage of students who enroll in and complete algebra II by the end of their junior year.</w:t>
      </w:r>
    </w:p>
    <w:p w14:paraId="3BEC4D05" w14:textId="77777777" w:rsidR="003F45AA" w:rsidRDefault="003F45AA" w:rsidP="003F45AA">
      <w:pPr>
        <w:spacing w:after="0" w:line="276" w:lineRule="auto"/>
        <w:rPr>
          <w:rFonts w:ascii="Calibri" w:eastAsia="Times New Roman" w:hAnsi="Calibri" w:cs="Times New Roman"/>
          <w:sz w:val="24"/>
          <w:szCs w:val="24"/>
        </w:rPr>
      </w:pPr>
    </w:p>
    <w:p w14:paraId="73539E6B" w14:textId="77777777" w:rsidR="003F45AA" w:rsidRDefault="003F45AA" w:rsidP="003F45AA">
      <w:pPr>
        <w:spacing w:after="0" w:line="276" w:lineRule="auto"/>
        <w:rPr>
          <w:rFonts w:ascii="Calibri" w:hAnsi="Calibri"/>
          <w:sz w:val="24"/>
        </w:rPr>
      </w:pPr>
      <w:r>
        <w:rPr>
          <w:rFonts w:ascii="Calibri" w:hAnsi="Calibri"/>
          <w:sz w:val="24"/>
        </w:rPr>
        <w:t xml:space="preserve">In </w:t>
      </w:r>
      <w:r w:rsidRPr="0011646C">
        <w:rPr>
          <w:rFonts w:ascii="Calibri" w:hAnsi="Calibri"/>
          <w:sz w:val="24"/>
        </w:rPr>
        <w:t xml:space="preserve">2013, </w:t>
      </w:r>
      <w:r>
        <w:rPr>
          <w:rFonts w:ascii="Calibri" w:hAnsi="Calibri"/>
          <w:sz w:val="24"/>
        </w:rPr>
        <w:t>the governor of Texas</w:t>
      </w:r>
      <w:r w:rsidRPr="0011646C">
        <w:rPr>
          <w:rFonts w:ascii="Calibri" w:hAnsi="Calibri"/>
          <w:sz w:val="24"/>
        </w:rPr>
        <w:t xml:space="preserve"> signed House Bill (HB) 5—the Foundation High School Program—into law</w:t>
      </w:r>
      <w:r>
        <w:rPr>
          <w:rFonts w:ascii="Calibri" w:hAnsi="Calibri"/>
          <w:sz w:val="24"/>
        </w:rPr>
        <w:t xml:space="preserve">. HB </w:t>
      </w:r>
      <w:r w:rsidRPr="0011646C">
        <w:rPr>
          <w:rFonts w:ascii="Calibri" w:hAnsi="Calibri"/>
          <w:sz w:val="24"/>
        </w:rPr>
        <w:t>changed</w:t>
      </w:r>
      <w:r>
        <w:rPr>
          <w:rFonts w:ascii="Calibri" w:hAnsi="Calibri"/>
          <w:sz w:val="24"/>
        </w:rPr>
        <w:t xml:space="preserve"> the</w:t>
      </w:r>
      <w:r w:rsidRPr="0011646C">
        <w:rPr>
          <w:rFonts w:ascii="Calibri" w:hAnsi="Calibri"/>
          <w:sz w:val="24"/>
        </w:rPr>
        <w:t xml:space="preserve"> high school graduation requirements and reduced the number of required state secondary school exams </w:t>
      </w:r>
      <w:r>
        <w:rPr>
          <w:rFonts w:ascii="Calibri" w:hAnsi="Calibri"/>
          <w:sz w:val="24"/>
        </w:rPr>
        <w:t>for public high school students in Texas</w:t>
      </w:r>
      <w:r w:rsidRPr="0011646C">
        <w:rPr>
          <w:rFonts w:ascii="Calibri" w:hAnsi="Calibri"/>
          <w:sz w:val="24"/>
        </w:rPr>
        <w:t>.</w:t>
      </w:r>
      <w:r>
        <w:rPr>
          <w:rFonts w:ascii="Calibri" w:hAnsi="Calibri"/>
          <w:sz w:val="24"/>
        </w:rPr>
        <w:t xml:space="preserve"> Prior to enactment of HB 5, high school students were required </w:t>
      </w:r>
      <w:r w:rsidRPr="0011646C">
        <w:rPr>
          <w:rFonts w:ascii="Calibri" w:hAnsi="Calibri"/>
          <w:sz w:val="24"/>
        </w:rPr>
        <w:t>take four courses each in English, mathematics</w:t>
      </w:r>
      <w:r>
        <w:rPr>
          <w:rFonts w:ascii="Calibri" w:hAnsi="Calibri"/>
          <w:sz w:val="24"/>
        </w:rPr>
        <w:t xml:space="preserve"> (including algebra II)</w:t>
      </w:r>
      <w:r w:rsidRPr="0011646C">
        <w:rPr>
          <w:rFonts w:ascii="Calibri" w:hAnsi="Calibri"/>
          <w:sz w:val="24"/>
        </w:rPr>
        <w:t xml:space="preserve">, science, and social studies—earning the credits they needed to be admitted to most state universities and colleges. </w:t>
      </w:r>
      <w:r>
        <w:rPr>
          <w:rFonts w:ascii="Calibri" w:hAnsi="Calibri"/>
          <w:sz w:val="24"/>
        </w:rPr>
        <w:t>Now, only one of the three new graduation plans</w:t>
      </w:r>
      <w:r>
        <w:rPr>
          <w:rStyle w:val="FootnoteReference"/>
          <w:rFonts w:ascii="Calibri" w:hAnsi="Calibri"/>
          <w:sz w:val="24"/>
        </w:rPr>
        <w:footnoteReference w:id="1"/>
      </w:r>
      <w:r>
        <w:rPr>
          <w:rFonts w:ascii="Calibri" w:hAnsi="Calibri"/>
          <w:sz w:val="24"/>
        </w:rPr>
        <w:t>, created for the Foundation High School Program requires completion of algebra II in order to graduate. Despite the change in high school graduation requirements, t</w:t>
      </w:r>
      <w:r w:rsidRPr="0011646C">
        <w:rPr>
          <w:rFonts w:ascii="Calibri" w:hAnsi="Calibri"/>
          <w:sz w:val="24"/>
        </w:rPr>
        <w:t>he public universities in Texas will still require students to have completed algebra I, geometry, and algebra II in order to gain admission</w:t>
      </w:r>
    </w:p>
    <w:p w14:paraId="69F15466" w14:textId="77777777" w:rsidR="003F45AA" w:rsidRDefault="003F45AA" w:rsidP="003F45AA">
      <w:pPr>
        <w:spacing w:after="0" w:line="276" w:lineRule="auto"/>
        <w:rPr>
          <w:rFonts w:ascii="Calibri" w:hAnsi="Calibri"/>
          <w:sz w:val="24"/>
        </w:rPr>
      </w:pPr>
    </w:p>
    <w:p w14:paraId="6A3FABB0" w14:textId="77777777" w:rsidR="003F45AA" w:rsidRDefault="003F45AA" w:rsidP="003F45AA">
      <w:pPr>
        <w:spacing w:after="0" w:line="276" w:lineRule="auto"/>
        <w:rPr>
          <w:rFonts w:ascii="Calibri" w:hAnsi="Calibri"/>
          <w:sz w:val="24"/>
        </w:rPr>
      </w:pPr>
      <w:r>
        <w:rPr>
          <w:rFonts w:ascii="Calibri" w:hAnsi="Calibri"/>
          <w:sz w:val="24"/>
        </w:rPr>
        <w:t>Thus, a</w:t>
      </w:r>
      <w:r w:rsidRPr="0011646C">
        <w:rPr>
          <w:rFonts w:ascii="Calibri" w:hAnsi="Calibri"/>
          <w:sz w:val="24"/>
        </w:rPr>
        <w:t xml:space="preserve"> relevant question is whether providing parents/guardians with information about the importance of completing algebra II will help prevent students who aspire to postsecondary degrees from opting to skip algebra II in high school. This study builds on research being conducted in a companion study that investigates the trends in the percentage of students in a school who complete algebra II by the end of their junior year for the graduating classes of 2009-10 through 2016-17. </w:t>
      </w:r>
    </w:p>
    <w:p w14:paraId="27AA6897" w14:textId="77777777" w:rsidR="003F45AA" w:rsidRDefault="003F45AA" w:rsidP="003F45AA">
      <w:pPr>
        <w:spacing w:after="0" w:line="276" w:lineRule="auto"/>
        <w:rPr>
          <w:rFonts w:ascii="Calibri" w:hAnsi="Calibri"/>
          <w:sz w:val="24"/>
        </w:rPr>
      </w:pPr>
    </w:p>
    <w:p w14:paraId="4F7B20AD" w14:textId="77777777" w:rsidR="003F45AA" w:rsidRDefault="003F45AA" w:rsidP="003F45AA">
      <w:pPr>
        <w:spacing w:after="0" w:line="276" w:lineRule="auto"/>
        <w:rPr>
          <w:rFonts w:ascii="Calibri" w:hAnsi="Calibri"/>
          <w:sz w:val="24"/>
        </w:rPr>
      </w:pPr>
      <w:r w:rsidRPr="0011646C">
        <w:rPr>
          <w:rFonts w:ascii="Calibri" w:hAnsi="Calibri"/>
          <w:sz w:val="24"/>
        </w:rPr>
        <w:t>The results of this study will provide T</w:t>
      </w:r>
      <w:r>
        <w:rPr>
          <w:rFonts w:ascii="Calibri" w:hAnsi="Calibri"/>
          <w:sz w:val="24"/>
        </w:rPr>
        <w:t xml:space="preserve">exas </w:t>
      </w:r>
      <w:r w:rsidRPr="0011646C">
        <w:rPr>
          <w:rFonts w:ascii="Calibri" w:hAnsi="Calibri"/>
          <w:sz w:val="24"/>
        </w:rPr>
        <w:t>E</w:t>
      </w:r>
      <w:r>
        <w:rPr>
          <w:rFonts w:ascii="Calibri" w:hAnsi="Calibri"/>
          <w:sz w:val="24"/>
        </w:rPr>
        <w:t xml:space="preserve">ducation </w:t>
      </w:r>
      <w:r w:rsidRPr="0011646C">
        <w:rPr>
          <w:rFonts w:ascii="Calibri" w:hAnsi="Calibri"/>
          <w:sz w:val="24"/>
        </w:rPr>
        <w:t>A</w:t>
      </w:r>
      <w:r>
        <w:rPr>
          <w:rFonts w:ascii="Calibri" w:hAnsi="Calibri"/>
          <w:sz w:val="24"/>
        </w:rPr>
        <w:t>gency (TEA)</w:t>
      </w:r>
      <w:r w:rsidRPr="0011646C">
        <w:rPr>
          <w:rFonts w:ascii="Calibri" w:hAnsi="Calibri"/>
          <w:sz w:val="24"/>
        </w:rPr>
        <w:t xml:space="preserve"> and the Texas Higher Education Coordinating Board (THECB) with information about the role that information dissemination can play in influencing students’ course selection and completion. Information from this study will provide TEA with valuable information that will inform their attempts to stem the number of students who wish to go on to postsecondary education, but may not be aware of the importance completing algebra II has toward this goal. The intervention is relatively inexpensive, so if it is successful, it would demonstrate the benefit of low-cost interventions for influencing student course selection. TEA will be able to use this information to answer questions about changes in course taking patterns and course failure rates that may </w:t>
      </w:r>
      <w:r w:rsidRPr="0011646C">
        <w:rPr>
          <w:rFonts w:ascii="Calibri" w:hAnsi="Calibri"/>
          <w:sz w:val="24"/>
        </w:rPr>
        <w:lastRenderedPageBreak/>
        <w:t>arise from parents, education practitioners and administrators, policymakers, and researchers. It will also allow them to respond to inquiries regarding any variation in how districts responded to the HB 5 graduation requirements.</w:t>
      </w:r>
    </w:p>
    <w:p w14:paraId="41A1730D" w14:textId="77777777" w:rsidR="003F45AA" w:rsidRDefault="003F45AA" w:rsidP="003F45AA">
      <w:pPr>
        <w:spacing w:after="0" w:line="276" w:lineRule="auto"/>
        <w:rPr>
          <w:rFonts w:ascii="Calibri" w:hAnsi="Calibri"/>
          <w:sz w:val="24"/>
        </w:rPr>
      </w:pPr>
    </w:p>
    <w:p w14:paraId="69C78A45" w14:textId="321E8BEF" w:rsidR="003F45AA" w:rsidRPr="0011646C" w:rsidRDefault="003F45AA" w:rsidP="003F45AA">
      <w:pPr>
        <w:spacing w:after="0" w:line="276" w:lineRule="auto"/>
        <w:rPr>
          <w:rFonts w:ascii="Calibri" w:hAnsi="Calibri"/>
          <w:sz w:val="24"/>
        </w:rPr>
      </w:pPr>
      <w:r w:rsidRPr="0011646C">
        <w:rPr>
          <w:rFonts w:ascii="Calibri" w:hAnsi="Calibri"/>
          <w:sz w:val="24"/>
        </w:rPr>
        <w:t xml:space="preserve">Additionally, if the results of the study show that schools in which students’ parents were provided with information </w:t>
      </w:r>
      <w:r w:rsidR="00EA088C">
        <w:rPr>
          <w:rFonts w:ascii="Calibri" w:hAnsi="Calibri"/>
          <w:sz w:val="24"/>
        </w:rPr>
        <w:t>describing</w:t>
      </w:r>
      <w:r w:rsidR="00EA088C" w:rsidRPr="003064E0">
        <w:rPr>
          <w:sz w:val="24"/>
        </w:rPr>
        <w:t xml:space="preserve"> </w:t>
      </w:r>
      <w:r w:rsidR="00EA088C">
        <w:rPr>
          <w:sz w:val="24"/>
        </w:rPr>
        <w:t xml:space="preserve">changes to the Texas high school graduation requirements, with a specific emphasis on changes to the mathematics requirements and how these changes may impact college access, </w:t>
      </w:r>
      <w:r w:rsidRPr="0011646C">
        <w:rPr>
          <w:rFonts w:ascii="Calibri" w:hAnsi="Calibri"/>
          <w:sz w:val="24"/>
        </w:rPr>
        <w:t xml:space="preserve">have higher algebra II completion rates, TEA could recommend that districts conduct an information campaign similar to this one. The Texas Association for School Administrators has already expressed an interest in providing the materials to its members—all school principals in Texas. Similarly, if this study shows positive results, TEA could produce materials for districts to disseminate to parents when statewide policy changes occur. This would allow for a clear and consistent message that is currently lacking, as schools and districts must create their own materials based on their own interpretations of the policy. </w:t>
      </w:r>
    </w:p>
    <w:p w14:paraId="27105D06" w14:textId="77777777" w:rsidR="003F45AA" w:rsidRDefault="003F45AA" w:rsidP="003F45AA">
      <w:pPr>
        <w:spacing w:after="0" w:line="276" w:lineRule="auto"/>
        <w:rPr>
          <w:rFonts w:ascii="Calibri" w:hAnsi="Calibri"/>
          <w:sz w:val="24"/>
        </w:rPr>
      </w:pPr>
    </w:p>
    <w:p w14:paraId="39CD6E7F" w14:textId="77777777" w:rsidR="003F45AA" w:rsidRPr="0011646C" w:rsidRDefault="003F45AA" w:rsidP="003F45AA">
      <w:pPr>
        <w:spacing w:after="0" w:line="276" w:lineRule="auto"/>
        <w:rPr>
          <w:rFonts w:ascii="Calibri" w:hAnsi="Calibri"/>
          <w:sz w:val="24"/>
        </w:rPr>
      </w:pPr>
      <w:r w:rsidRPr="0011646C">
        <w:rPr>
          <w:rFonts w:ascii="Calibri" w:hAnsi="Calibri"/>
          <w:sz w:val="24"/>
        </w:rPr>
        <w:t xml:space="preserve">Finally, results of our study will provide evidence to other states about the impact of providing parents/guardians with information about course completion. Due to the size and demographic makeup, many states look to Texas for guidance when making decisions about implementing statewide policies and programs. The findings of this study should be of particular interest to those states. </w:t>
      </w:r>
    </w:p>
    <w:p w14:paraId="1914C446" w14:textId="77777777" w:rsidR="003F45AA" w:rsidRDefault="003F45AA" w:rsidP="003F45AA">
      <w:pPr>
        <w:spacing w:after="0" w:line="276" w:lineRule="auto"/>
        <w:rPr>
          <w:rFonts w:ascii="Calibri" w:hAnsi="Calibri"/>
          <w:sz w:val="24"/>
        </w:rPr>
      </w:pPr>
    </w:p>
    <w:p w14:paraId="4CBA6581" w14:textId="77777777" w:rsidR="003F45AA" w:rsidRPr="000738E9" w:rsidRDefault="003F45AA" w:rsidP="003F45AA">
      <w:pPr>
        <w:spacing w:after="0" w:line="276" w:lineRule="auto"/>
        <w:rPr>
          <w:sz w:val="24"/>
          <w:szCs w:val="24"/>
        </w:rPr>
      </w:pPr>
      <w:r w:rsidRPr="000738E9">
        <w:rPr>
          <w:sz w:val="24"/>
          <w:szCs w:val="24"/>
        </w:rPr>
        <w:t>OMB approval is being requested to recruit public high schools in Texas to participate in this study</w:t>
      </w:r>
      <w:r>
        <w:rPr>
          <w:sz w:val="24"/>
          <w:szCs w:val="24"/>
        </w:rPr>
        <w:t>, as well as to collect extant student data records from TEA</w:t>
      </w:r>
      <w:r w:rsidRPr="000738E9">
        <w:rPr>
          <w:sz w:val="24"/>
          <w:szCs w:val="24"/>
        </w:rPr>
        <w:t>.</w:t>
      </w:r>
    </w:p>
    <w:p w14:paraId="25D4E8EC" w14:textId="77777777" w:rsidR="003F45AA" w:rsidRDefault="003F45AA" w:rsidP="003F45AA">
      <w:pPr>
        <w:spacing w:after="0"/>
        <w:rPr>
          <w:sz w:val="24"/>
          <w:szCs w:val="24"/>
        </w:rPr>
      </w:pPr>
    </w:p>
    <w:p w14:paraId="73F85E27" w14:textId="77777777" w:rsidR="003F45AA" w:rsidRDefault="003F45AA" w:rsidP="003F45AA">
      <w:pPr>
        <w:spacing w:after="0"/>
        <w:rPr>
          <w:sz w:val="24"/>
          <w:szCs w:val="24"/>
        </w:rPr>
      </w:pPr>
      <w:r w:rsidRPr="00525307">
        <w:rPr>
          <w:sz w:val="24"/>
          <w:szCs w:val="24"/>
        </w:rPr>
        <w:t xml:space="preserve">This study will address the following research questions: </w:t>
      </w:r>
    </w:p>
    <w:p w14:paraId="1A40F5C2" w14:textId="77777777" w:rsidR="003F45AA" w:rsidRDefault="003F45AA" w:rsidP="003F45AA">
      <w:pPr>
        <w:spacing w:after="0"/>
        <w:rPr>
          <w:sz w:val="24"/>
          <w:szCs w:val="24"/>
        </w:rPr>
      </w:pPr>
    </w:p>
    <w:p w14:paraId="4920C30E" w14:textId="77777777" w:rsidR="003F45AA" w:rsidRPr="008B512D" w:rsidRDefault="003F45AA" w:rsidP="003F45AA">
      <w:pPr>
        <w:spacing w:after="200" w:line="276" w:lineRule="auto"/>
        <w:rPr>
          <w:rFonts w:ascii="Calibri" w:hAnsi="Calibri"/>
          <w:b/>
          <w:sz w:val="24"/>
          <w:szCs w:val="24"/>
        </w:rPr>
      </w:pPr>
      <w:r w:rsidRPr="008B512D">
        <w:rPr>
          <w:rFonts w:ascii="Calibri" w:hAnsi="Calibri"/>
          <w:b/>
          <w:sz w:val="24"/>
          <w:szCs w:val="24"/>
        </w:rPr>
        <w:t>Confirmatory Research Questions</w:t>
      </w:r>
    </w:p>
    <w:p w14:paraId="4806C703" w14:textId="77777777" w:rsidR="00EA088C" w:rsidRPr="0011646C" w:rsidRDefault="00EA088C" w:rsidP="00EA088C">
      <w:pPr>
        <w:numPr>
          <w:ilvl w:val="0"/>
          <w:numId w:val="2"/>
        </w:numPr>
        <w:spacing w:after="120" w:line="240" w:lineRule="auto"/>
        <w:contextualSpacing/>
        <w:rPr>
          <w:sz w:val="24"/>
        </w:rPr>
      </w:pPr>
      <w:r w:rsidRPr="0011646C">
        <w:rPr>
          <w:rFonts w:ascii="Calibri" w:hAnsi="Calibri"/>
          <w:sz w:val="24"/>
        </w:rPr>
        <w:t xml:space="preserve">Does providing parents/guardians of students entering grade 9 after the enactment of House Bill 5 </w:t>
      </w:r>
      <w:r>
        <w:rPr>
          <w:rFonts w:ascii="Calibri" w:hAnsi="Calibri"/>
          <w:sz w:val="24"/>
        </w:rPr>
        <w:t xml:space="preserve">with </w:t>
      </w:r>
      <w:r w:rsidRPr="0011646C">
        <w:rPr>
          <w:rFonts w:ascii="Calibri" w:hAnsi="Calibri"/>
          <w:sz w:val="24"/>
        </w:rPr>
        <w:t xml:space="preserve">information </w:t>
      </w:r>
      <w:r>
        <w:rPr>
          <w:rFonts w:ascii="Calibri" w:hAnsi="Calibri"/>
          <w:sz w:val="24"/>
        </w:rPr>
        <w:t>describing</w:t>
      </w:r>
      <w:r w:rsidRPr="003064E0">
        <w:rPr>
          <w:sz w:val="24"/>
        </w:rPr>
        <w:t xml:space="preserve"> </w:t>
      </w:r>
      <w:r>
        <w:rPr>
          <w:sz w:val="24"/>
        </w:rPr>
        <w:t>changes to the Texas high school graduation requirements, with a specific emphasis on changes to the mathematics requirements and how these changes may impact college access,</w:t>
      </w:r>
      <w:r w:rsidRPr="0011646C" w:rsidDel="0005729F">
        <w:rPr>
          <w:rFonts w:ascii="Calibri" w:hAnsi="Calibri"/>
          <w:sz w:val="24"/>
        </w:rPr>
        <w:t xml:space="preserve"> </w:t>
      </w:r>
      <w:r w:rsidRPr="0011646C">
        <w:rPr>
          <w:rFonts w:ascii="Calibri" w:hAnsi="Calibri"/>
          <w:sz w:val="24"/>
        </w:rPr>
        <w:t>have an impact on:</w:t>
      </w:r>
    </w:p>
    <w:p w14:paraId="41316423" w14:textId="77777777" w:rsidR="003F45AA" w:rsidRPr="0011646C" w:rsidRDefault="003F45AA" w:rsidP="003F45AA">
      <w:pPr>
        <w:numPr>
          <w:ilvl w:val="1"/>
          <w:numId w:val="2"/>
        </w:numPr>
        <w:spacing w:after="120" w:line="240" w:lineRule="auto"/>
        <w:rPr>
          <w:rFonts w:ascii="Calibri" w:hAnsi="Calibri"/>
          <w:sz w:val="24"/>
        </w:rPr>
      </w:pPr>
      <w:r w:rsidRPr="0011646C">
        <w:rPr>
          <w:rFonts w:ascii="Calibri" w:hAnsi="Calibri"/>
          <w:sz w:val="24"/>
        </w:rPr>
        <w:t xml:space="preserve">The percentage of students in a school who </w:t>
      </w:r>
      <w:r w:rsidRPr="00BB152E">
        <w:rPr>
          <w:rFonts w:ascii="Calibri" w:hAnsi="Calibri"/>
          <w:sz w:val="24"/>
          <w:u w:val="single"/>
        </w:rPr>
        <w:t>enroll</w:t>
      </w:r>
      <w:r w:rsidRPr="0011646C">
        <w:rPr>
          <w:rFonts w:ascii="Calibri" w:hAnsi="Calibri"/>
          <w:sz w:val="24"/>
        </w:rPr>
        <w:t xml:space="preserve"> in algebra II by the end of their junior year?</w:t>
      </w:r>
    </w:p>
    <w:p w14:paraId="1EDB73D3" w14:textId="77777777" w:rsidR="003F45AA" w:rsidRPr="001942BF" w:rsidRDefault="003F45AA" w:rsidP="003F45AA">
      <w:pPr>
        <w:numPr>
          <w:ilvl w:val="1"/>
          <w:numId w:val="2"/>
        </w:numPr>
        <w:spacing w:after="120" w:line="240" w:lineRule="auto"/>
        <w:rPr>
          <w:rFonts w:ascii="Calibri" w:eastAsia="MS Mincho" w:hAnsi="Calibri" w:cs="Times New Roman"/>
          <w:sz w:val="24"/>
          <w:szCs w:val="24"/>
          <w:lang w:eastAsia="ja-JP"/>
        </w:rPr>
      </w:pPr>
      <w:r w:rsidRPr="001942BF">
        <w:rPr>
          <w:rFonts w:ascii="Calibri" w:eastAsia="MS Mincho" w:hAnsi="Calibri" w:cs="Times New Roman"/>
          <w:sz w:val="24"/>
          <w:szCs w:val="24"/>
          <w:lang w:eastAsia="ja-JP"/>
        </w:rPr>
        <w:t xml:space="preserve">The percentage of students in a school who </w:t>
      </w:r>
      <w:r w:rsidRPr="00BB152E">
        <w:rPr>
          <w:rFonts w:ascii="Calibri" w:eastAsia="MS Mincho" w:hAnsi="Calibri" w:cs="Times New Roman"/>
          <w:sz w:val="24"/>
          <w:szCs w:val="24"/>
          <w:u w:val="single"/>
          <w:lang w:eastAsia="ja-JP"/>
        </w:rPr>
        <w:t>complete</w:t>
      </w:r>
      <w:r w:rsidRPr="001942BF">
        <w:rPr>
          <w:rFonts w:ascii="Calibri" w:eastAsia="MS Mincho" w:hAnsi="Calibri" w:cs="Times New Roman"/>
          <w:sz w:val="24"/>
          <w:szCs w:val="24"/>
          <w:lang w:eastAsia="ja-JP"/>
        </w:rPr>
        <w:t xml:space="preserve"> algebra II by the end of their junior year?</w:t>
      </w:r>
    </w:p>
    <w:p w14:paraId="63F728B6" w14:textId="77777777" w:rsidR="003F45AA" w:rsidRPr="0011646C" w:rsidRDefault="003F45AA" w:rsidP="003F45AA">
      <w:pPr>
        <w:spacing w:after="120" w:line="240" w:lineRule="auto"/>
        <w:ind w:left="1080"/>
        <w:rPr>
          <w:rFonts w:ascii="Calibri" w:hAnsi="Calibri"/>
          <w:sz w:val="24"/>
        </w:rPr>
      </w:pPr>
    </w:p>
    <w:p w14:paraId="1BE1BDC3" w14:textId="77777777" w:rsidR="003F45AA" w:rsidRPr="001942BF" w:rsidRDefault="003F45AA" w:rsidP="003F45AA">
      <w:pPr>
        <w:spacing w:after="120" w:line="240" w:lineRule="auto"/>
        <w:rPr>
          <w:rFonts w:ascii="Calibri" w:eastAsia="MS Mincho" w:hAnsi="Calibri" w:cs="Times New Roman"/>
          <w:b/>
          <w:sz w:val="24"/>
          <w:szCs w:val="24"/>
          <w:lang w:eastAsia="ja-JP"/>
        </w:rPr>
      </w:pPr>
      <w:r w:rsidRPr="0011646C">
        <w:rPr>
          <w:rFonts w:ascii="Calibri" w:hAnsi="Calibri"/>
          <w:b/>
          <w:sz w:val="24"/>
        </w:rPr>
        <w:t>Exploratory Research Questions</w:t>
      </w:r>
    </w:p>
    <w:p w14:paraId="3E39AE0B" w14:textId="77777777" w:rsidR="003F45AA" w:rsidRPr="0011646C" w:rsidRDefault="003F45AA" w:rsidP="003F45AA">
      <w:pPr>
        <w:spacing w:after="120" w:line="240" w:lineRule="auto"/>
        <w:ind w:left="1080"/>
        <w:contextualSpacing/>
        <w:rPr>
          <w:rFonts w:ascii="Calibri" w:hAnsi="Calibri"/>
          <w:sz w:val="24"/>
        </w:rPr>
      </w:pPr>
    </w:p>
    <w:p w14:paraId="3035062E" w14:textId="542AE197" w:rsidR="00EA088C" w:rsidRPr="00917BF4" w:rsidRDefault="00EA088C" w:rsidP="00917BF4">
      <w:pPr>
        <w:pStyle w:val="ListParagraph"/>
        <w:numPr>
          <w:ilvl w:val="0"/>
          <w:numId w:val="2"/>
        </w:numPr>
        <w:spacing w:after="120" w:line="240" w:lineRule="auto"/>
        <w:rPr>
          <w:sz w:val="24"/>
        </w:rPr>
      </w:pPr>
      <w:r w:rsidRPr="00917BF4">
        <w:rPr>
          <w:rFonts w:ascii="Calibri" w:hAnsi="Calibri"/>
          <w:sz w:val="24"/>
        </w:rPr>
        <w:t>Are there differential impacts of providing information describing</w:t>
      </w:r>
      <w:r w:rsidRPr="00917BF4">
        <w:rPr>
          <w:sz w:val="24"/>
        </w:rPr>
        <w:t xml:space="preserve"> changes to the Texas high school graduation requirements, with a specific emphasis on changes to the mathematics requirements and how these changes may impact college access,</w:t>
      </w:r>
      <w:r w:rsidRPr="00917BF4">
        <w:rPr>
          <w:rFonts w:ascii="Calibri" w:hAnsi="Calibri"/>
          <w:sz w:val="24"/>
        </w:rPr>
        <w:t xml:space="preserve"> on students’ algebra II enrollment for:</w:t>
      </w:r>
    </w:p>
    <w:p w14:paraId="577B1664" w14:textId="77777777" w:rsidR="003F45AA" w:rsidRPr="0011646C" w:rsidRDefault="003F45AA" w:rsidP="00917BF4">
      <w:pPr>
        <w:numPr>
          <w:ilvl w:val="1"/>
          <w:numId w:val="2"/>
        </w:numPr>
        <w:spacing w:after="120" w:line="240" w:lineRule="auto"/>
        <w:rPr>
          <w:rFonts w:ascii="Calibri" w:hAnsi="Calibri"/>
          <w:sz w:val="24"/>
        </w:rPr>
      </w:pPr>
      <w:r w:rsidRPr="0011646C">
        <w:rPr>
          <w:rFonts w:ascii="Calibri" w:hAnsi="Calibri"/>
          <w:sz w:val="24"/>
        </w:rPr>
        <w:t xml:space="preserve">Schools with a high percentage of minority students? </w:t>
      </w:r>
    </w:p>
    <w:p w14:paraId="2816D119" w14:textId="77777777" w:rsidR="003F45AA" w:rsidRPr="0011646C" w:rsidRDefault="003F45AA" w:rsidP="00917BF4">
      <w:pPr>
        <w:numPr>
          <w:ilvl w:val="1"/>
          <w:numId w:val="2"/>
        </w:numPr>
        <w:spacing w:after="120" w:line="240" w:lineRule="auto"/>
        <w:rPr>
          <w:rFonts w:ascii="Calibri" w:hAnsi="Calibri"/>
          <w:sz w:val="24"/>
        </w:rPr>
      </w:pPr>
      <w:r w:rsidRPr="0011646C">
        <w:rPr>
          <w:rFonts w:ascii="Calibri" w:hAnsi="Calibri"/>
          <w:sz w:val="24"/>
        </w:rPr>
        <w:t>Schools with a high percentage of low-income students?</w:t>
      </w:r>
    </w:p>
    <w:p w14:paraId="0E606C99" w14:textId="77777777" w:rsidR="003F45AA" w:rsidRPr="0011646C" w:rsidRDefault="003F45AA" w:rsidP="00917BF4">
      <w:pPr>
        <w:numPr>
          <w:ilvl w:val="1"/>
          <w:numId w:val="2"/>
        </w:numPr>
        <w:spacing w:after="120" w:line="240" w:lineRule="auto"/>
        <w:rPr>
          <w:rFonts w:ascii="Calibri" w:hAnsi="Calibri"/>
          <w:sz w:val="24"/>
        </w:rPr>
      </w:pPr>
      <w:r w:rsidRPr="0011646C">
        <w:rPr>
          <w:rFonts w:ascii="Calibri" w:hAnsi="Calibri"/>
          <w:sz w:val="24"/>
        </w:rPr>
        <w:t>Schools with a high percentage of low-achieving students?</w:t>
      </w:r>
    </w:p>
    <w:p w14:paraId="2432EC1F" w14:textId="77777777" w:rsidR="003F45AA" w:rsidRPr="0011646C" w:rsidRDefault="003F45AA" w:rsidP="003F45AA">
      <w:pPr>
        <w:spacing w:after="200" w:line="240" w:lineRule="auto"/>
        <w:ind w:left="1800"/>
        <w:contextualSpacing/>
        <w:rPr>
          <w:rFonts w:ascii="Calibri" w:hAnsi="Calibri"/>
          <w:sz w:val="24"/>
        </w:rPr>
      </w:pPr>
    </w:p>
    <w:p w14:paraId="6E578D08" w14:textId="77777777" w:rsidR="00EA088C" w:rsidRPr="004E0E23" w:rsidRDefault="00EA088C" w:rsidP="00EA088C">
      <w:pPr>
        <w:numPr>
          <w:ilvl w:val="0"/>
          <w:numId w:val="2"/>
        </w:numPr>
        <w:spacing w:after="120" w:line="240" w:lineRule="auto"/>
        <w:rPr>
          <w:rFonts w:ascii="Calibri" w:hAnsi="Calibri"/>
          <w:sz w:val="24"/>
        </w:rPr>
      </w:pPr>
      <w:r w:rsidRPr="0011646C">
        <w:rPr>
          <w:rFonts w:ascii="Calibri" w:hAnsi="Calibri"/>
          <w:sz w:val="24"/>
        </w:rPr>
        <w:t xml:space="preserve">Are there differential impacts of providing information </w:t>
      </w:r>
      <w:r>
        <w:rPr>
          <w:rFonts w:ascii="Calibri" w:hAnsi="Calibri"/>
          <w:sz w:val="24"/>
        </w:rPr>
        <w:t>describing</w:t>
      </w:r>
      <w:r w:rsidRPr="003064E0">
        <w:rPr>
          <w:sz w:val="24"/>
        </w:rPr>
        <w:t xml:space="preserve"> </w:t>
      </w:r>
      <w:r>
        <w:rPr>
          <w:sz w:val="24"/>
        </w:rPr>
        <w:t>changes to the Texas high school graduation requirements, with a specific emphasis on changes to the mathematics requirements and how these changes may impact college access,</w:t>
      </w:r>
      <w:r w:rsidRPr="0011646C">
        <w:rPr>
          <w:rFonts w:ascii="Calibri" w:hAnsi="Calibri"/>
          <w:sz w:val="24"/>
        </w:rPr>
        <w:t xml:space="preserve"> on students’ algebra II completion for</w:t>
      </w:r>
      <w:r w:rsidRPr="001942BF">
        <w:rPr>
          <w:rFonts w:ascii="Calibri" w:eastAsia="MS Mincho" w:hAnsi="Calibri" w:cs="Times New Roman"/>
          <w:sz w:val="24"/>
          <w:szCs w:val="24"/>
          <w:lang w:eastAsia="ja-JP"/>
        </w:rPr>
        <w:t>:</w:t>
      </w:r>
    </w:p>
    <w:p w14:paraId="1D7254AD" w14:textId="77777777" w:rsidR="003F45AA" w:rsidRPr="001942BF" w:rsidRDefault="003F45AA" w:rsidP="003F45AA">
      <w:pPr>
        <w:numPr>
          <w:ilvl w:val="1"/>
          <w:numId w:val="2"/>
        </w:numPr>
        <w:spacing w:after="120" w:line="240" w:lineRule="auto"/>
        <w:rPr>
          <w:rFonts w:ascii="Calibri" w:eastAsia="MS Mincho" w:hAnsi="Calibri" w:cs="Times New Roman"/>
          <w:sz w:val="24"/>
          <w:szCs w:val="24"/>
          <w:lang w:eastAsia="ja-JP"/>
        </w:rPr>
      </w:pPr>
      <w:r w:rsidRPr="001942BF">
        <w:rPr>
          <w:rFonts w:ascii="Calibri" w:eastAsia="MS Mincho" w:hAnsi="Calibri" w:cs="Times New Roman"/>
          <w:sz w:val="24"/>
          <w:szCs w:val="24"/>
          <w:lang w:eastAsia="ja-JP"/>
        </w:rPr>
        <w:t xml:space="preserve">Schools with a high percentage of minority students? </w:t>
      </w:r>
    </w:p>
    <w:p w14:paraId="46273DA6" w14:textId="77777777" w:rsidR="003F45AA" w:rsidRPr="001942BF" w:rsidRDefault="003F45AA" w:rsidP="003F45AA">
      <w:pPr>
        <w:numPr>
          <w:ilvl w:val="1"/>
          <w:numId w:val="2"/>
        </w:numPr>
        <w:spacing w:after="120" w:line="240" w:lineRule="auto"/>
        <w:rPr>
          <w:rFonts w:ascii="Calibri" w:eastAsia="MS Mincho" w:hAnsi="Calibri" w:cs="Times New Roman"/>
          <w:sz w:val="24"/>
          <w:szCs w:val="24"/>
          <w:lang w:eastAsia="ja-JP"/>
        </w:rPr>
      </w:pPr>
      <w:r w:rsidRPr="001942BF">
        <w:rPr>
          <w:rFonts w:ascii="Calibri" w:eastAsia="MS Mincho" w:hAnsi="Calibri" w:cs="Times New Roman"/>
          <w:sz w:val="24"/>
          <w:szCs w:val="24"/>
          <w:lang w:eastAsia="ja-JP"/>
        </w:rPr>
        <w:t>Schools with a high percentage of low-income students?</w:t>
      </w:r>
    </w:p>
    <w:p w14:paraId="6A74EA1C" w14:textId="281D0099" w:rsidR="003F45AA" w:rsidRPr="001942BF" w:rsidRDefault="003F45AA" w:rsidP="003F45AA">
      <w:pPr>
        <w:numPr>
          <w:ilvl w:val="1"/>
          <w:numId w:val="2"/>
        </w:numPr>
        <w:spacing w:after="120" w:line="240" w:lineRule="auto"/>
        <w:rPr>
          <w:rFonts w:ascii="Calibri" w:eastAsia="MS Mincho" w:hAnsi="Calibri" w:cs="Times New Roman"/>
          <w:sz w:val="24"/>
          <w:szCs w:val="24"/>
          <w:lang w:eastAsia="ja-JP"/>
        </w:rPr>
      </w:pPr>
      <w:r w:rsidRPr="001942BF">
        <w:rPr>
          <w:rFonts w:ascii="Calibri" w:eastAsia="MS Mincho" w:hAnsi="Calibri" w:cs="Times New Roman"/>
          <w:sz w:val="24"/>
          <w:szCs w:val="24"/>
          <w:lang w:eastAsia="ja-JP"/>
        </w:rPr>
        <w:t>Schools with a high percentage of low-achieving students?</w:t>
      </w:r>
      <w:r w:rsidR="004872C7">
        <w:rPr>
          <w:rFonts w:ascii="Calibri" w:eastAsia="MS Mincho" w:hAnsi="Calibri" w:cs="Times New Roman"/>
          <w:sz w:val="24"/>
          <w:szCs w:val="24"/>
          <w:lang w:eastAsia="ja-JP"/>
        </w:rPr>
        <w:br/>
      </w:r>
    </w:p>
    <w:p w14:paraId="12D247E6" w14:textId="77777777" w:rsidR="004872C7" w:rsidRPr="009C588B" w:rsidRDefault="004872C7" w:rsidP="004872C7">
      <w:pPr>
        <w:numPr>
          <w:ilvl w:val="0"/>
          <w:numId w:val="2"/>
        </w:numPr>
        <w:spacing w:after="120" w:line="240" w:lineRule="auto"/>
        <w:rPr>
          <w:rFonts w:eastAsia="MS Mincho"/>
          <w:sz w:val="24"/>
          <w:szCs w:val="24"/>
          <w:lang w:eastAsia="ja-JP"/>
        </w:rPr>
      </w:pPr>
      <w:r>
        <w:rPr>
          <w:sz w:val="24"/>
          <w:szCs w:val="24"/>
        </w:rPr>
        <w:t>To what extent are schools implementing the intervention with fidelity?</w:t>
      </w:r>
    </w:p>
    <w:p w14:paraId="22462817" w14:textId="77777777" w:rsidR="003F45AA" w:rsidRPr="0011646C" w:rsidRDefault="003F45AA" w:rsidP="003F45AA">
      <w:pPr>
        <w:spacing w:after="120" w:line="240" w:lineRule="auto"/>
        <w:ind w:left="1800"/>
        <w:rPr>
          <w:rFonts w:ascii="Calibri" w:hAnsi="Calibri"/>
          <w:sz w:val="24"/>
        </w:rPr>
      </w:pPr>
    </w:p>
    <w:p w14:paraId="787CADC1" w14:textId="77777777" w:rsidR="003F45AA" w:rsidRPr="008C0AE0" w:rsidRDefault="003F45AA" w:rsidP="003F45AA">
      <w:pPr>
        <w:rPr>
          <w:sz w:val="24"/>
          <w:szCs w:val="24"/>
        </w:rPr>
      </w:pPr>
      <w:r>
        <w:rPr>
          <w:sz w:val="24"/>
          <w:szCs w:val="24"/>
        </w:rPr>
        <w:t>D</w:t>
      </w:r>
      <w:r w:rsidRPr="008C0AE0">
        <w:rPr>
          <w:sz w:val="24"/>
          <w:szCs w:val="24"/>
        </w:rPr>
        <w:t>ata collection</w:t>
      </w:r>
      <w:r>
        <w:rPr>
          <w:sz w:val="24"/>
          <w:szCs w:val="24"/>
        </w:rPr>
        <w:t xml:space="preserve"> for this project consists of recruitment activities (e.g., telephone calls, email messages) and collection of extant data files from TEA</w:t>
      </w:r>
      <w:r w:rsidRPr="008C0AE0">
        <w:rPr>
          <w:sz w:val="24"/>
          <w:szCs w:val="24"/>
        </w:rPr>
        <w:t>. Specifically, in this OMB clearance package, ED is requesting clearance for the foll</w:t>
      </w:r>
      <w:r>
        <w:rPr>
          <w:sz w:val="24"/>
          <w:szCs w:val="24"/>
        </w:rPr>
        <w:t>owing data collection approach</w:t>
      </w:r>
      <w:r w:rsidRPr="008C0AE0">
        <w:rPr>
          <w:sz w:val="24"/>
          <w:szCs w:val="24"/>
        </w:rPr>
        <w:t>:</w:t>
      </w:r>
    </w:p>
    <w:p w14:paraId="6222B62E" w14:textId="77777777" w:rsidR="003F45AA" w:rsidRDefault="003F45AA" w:rsidP="003F45AA">
      <w:pPr>
        <w:pStyle w:val="Bullet1"/>
        <w:tabs>
          <w:tab w:val="clear" w:pos="360"/>
        </w:tabs>
        <w:spacing w:before="0" w:after="160"/>
        <w:ind w:left="360" w:hanging="360"/>
        <w:rPr>
          <w:rFonts w:asciiTheme="minorHAnsi" w:hAnsiTheme="minorHAnsi"/>
        </w:rPr>
      </w:pPr>
      <w:r>
        <w:rPr>
          <w:rFonts w:asciiTheme="minorHAnsi" w:hAnsiTheme="minorHAnsi"/>
        </w:rPr>
        <w:t>Recruitment activities, including telephone calls and email messages, targeted at public school districts and public high schools in Texas</w:t>
      </w:r>
    </w:p>
    <w:p w14:paraId="714C605E" w14:textId="77777777" w:rsidR="003E3180" w:rsidRDefault="003E3180" w:rsidP="003E3180">
      <w:pPr>
        <w:pStyle w:val="Bullet1"/>
        <w:tabs>
          <w:tab w:val="clear" w:pos="360"/>
        </w:tabs>
        <w:spacing w:before="0" w:after="160"/>
        <w:ind w:left="360" w:hanging="360"/>
        <w:rPr>
          <w:rFonts w:asciiTheme="minorHAnsi" w:hAnsiTheme="minorHAnsi"/>
        </w:rPr>
      </w:pPr>
      <w:r>
        <w:rPr>
          <w:rFonts w:asciiTheme="minorHAnsi" w:hAnsiTheme="minorHAnsi"/>
        </w:rPr>
        <w:t xml:space="preserve">Verification of dissemination of study materials to parents </w:t>
      </w:r>
    </w:p>
    <w:p w14:paraId="68B3E04B" w14:textId="77777777" w:rsidR="003F45AA" w:rsidRDefault="003F45AA" w:rsidP="003F45AA">
      <w:pPr>
        <w:pStyle w:val="Bullet1"/>
        <w:tabs>
          <w:tab w:val="clear" w:pos="360"/>
        </w:tabs>
        <w:spacing w:before="0" w:after="160"/>
        <w:ind w:left="360" w:hanging="360"/>
        <w:rPr>
          <w:rFonts w:asciiTheme="minorHAnsi" w:hAnsiTheme="minorHAnsi"/>
        </w:rPr>
      </w:pPr>
      <w:r>
        <w:rPr>
          <w:rFonts w:asciiTheme="minorHAnsi" w:hAnsiTheme="minorHAnsi"/>
        </w:rPr>
        <w:t>Extant data collection consisting of student records data to be obtained from the Texas Education Agency</w:t>
      </w:r>
    </w:p>
    <w:p w14:paraId="57B0986D" w14:textId="4BCD5465" w:rsidR="003F45AA" w:rsidRDefault="003F45AA" w:rsidP="003F45AA">
      <w:pPr>
        <w:pStyle w:val="BodyText"/>
        <w:spacing w:before="200" w:line="276" w:lineRule="auto"/>
        <w:rPr>
          <w:rFonts w:asciiTheme="minorHAnsi" w:hAnsiTheme="minorHAnsi"/>
        </w:rPr>
      </w:pPr>
      <w:r w:rsidRPr="004E6B8F">
        <w:rPr>
          <w:rFonts w:asciiTheme="minorHAnsi" w:hAnsiTheme="minorHAnsi"/>
        </w:rPr>
        <w:t>ED believes that the data collections for which clearance is being requested represent the bare</w:t>
      </w:r>
      <w:r>
        <w:rPr>
          <w:rFonts w:asciiTheme="minorHAnsi" w:hAnsiTheme="minorHAnsi"/>
        </w:rPr>
        <w:t xml:space="preserve"> minimum necessary to determine if</w:t>
      </w:r>
      <w:r w:rsidRPr="0011646C">
        <w:rPr>
          <w:rFonts w:ascii="Calibri" w:hAnsi="Calibri"/>
        </w:rPr>
        <w:t xml:space="preserve"> providing parents/guardians, prior to students’ selection of their courses, with </w:t>
      </w:r>
      <w:r w:rsidR="009D730B" w:rsidRPr="0011646C">
        <w:rPr>
          <w:rFonts w:ascii="Calibri" w:hAnsi="Calibri"/>
        </w:rPr>
        <w:t xml:space="preserve">information </w:t>
      </w:r>
      <w:r w:rsidR="009D730B" w:rsidRPr="00917BF4">
        <w:rPr>
          <w:rFonts w:asciiTheme="minorHAnsi" w:hAnsiTheme="minorHAnsi"/>
        </w:rPr>
        <w:t>describing changes to the Texas high school graduation requirements, with a specific emphasis on changes to the mathematics requirements and how these changes may impact college access,</w:t>
      </w:r>
      <w:r w:rsidR="009D730B" w:rsidRPr="0011646C">
        <w:rPr>
          <w:rFonts w:ascii="Calibri" w:hAnsi="Calibri"/>
        </w:rPr>
        <w:t xml:space="preserve"> </w:t>
      </w:r>
      <w:r w:rsidRPr="0011646C">
        <w:rPr>
          <w:rFonts w:ascii="Calibri" w:hAnsi="Calibri"/>
        </w:rPr>
        <w:t>has an impact on the percentage of students who enroll in and complete algebra II by the end of their junior year.</w:t>
      </w:r>
    </w:p>
    <w:p w14:paraId="2CD47F1E" w14:textId="77777777" w:rsidR="003F45AA" w:rsidRDefault="003F45AA" w:rsidP="003F45AA">
      <w:pPr>
        <w:keepNext/>
        <w:keepLines/>
        <w:widowControl w:val="0"/>
        <w:autoSpaceDE w:val="0"/>
        <w:autoSpaceDN w:val="0"/>
        <w:adjustRightInd w:val="0"/>
        <w:spacing w:before="480" w:after="0" w:line="276" w:lineRule="auto"/>
        <w:jc w:val="center"/>
        <w:outlineLvl w:val="0"/>
        <w:rPr>
          <w:rFonts w:eastAsiaTheme="majorEastAsia" w:cstheme="majorBidi"/>
          <w:b/>
          <w:sz w:val="28"/>
          <w:szCs w:val="28"/>
        </w:rPr>
      </w:pPr>
      <w:bookmarkStart w:id="14" w:name="_Toc395078973"/>
      <w:bookmarkStart w:id="15" w:name="_Toc417375830"/>
      <w:r w:rsidRPr="003F45AA">
        <w:rPr>
          <w:rFonts w:eastAsiaTheme="majorEastAsia" w:cstheme="majorBidi"/>
          <w:b/>
          <w:sz w:val="28"/>
          <w:szCs w:val="28"/>
        </w:rPr>
        <w:lastRenderedPageBreak/>
        <w:t>1. Respondent Universe and Sampling Methods</w:t>
      </w:r>
      <w:bookmarkEnd w:id="14"/>
      <w:bookmarkEnd w:id="15"/>
    </w:p>
    <w:p w14:paraId="2D4ECF7D" w14:textId="77777777" w:rsidR="00E07A62" w:rsidRDefault="00E07A62" w:rsidP="003F45AA">
      <w:pPr>
        <w:spacing w:after="0" w:line="276" w:lineRule="auto"/>
        <w:rPr>
          <w:b/>
          <w:sz w:val="24"/>
          <w:szCs w:val="24"/>
        </w:rPr>
      </w:pPr>
    </w:p>
    <w:p w14:paraId="0D35426E" w14:textId="0C9438AC" w:rsidR="00E07A62" w:rsidRPr="00E07A62" w:rsidRDefault="00E07A62" w:rsidP="003F45AA">
      <w:pPr>
        <w:spacing w:after="0" w:line="276" w:lineRule="auto"/>
        <w:rPr>
          <w:b/>
          <w:sz w:val="24"/>
          <w:szCs w:val="24"/>
        </w:rPr>
      </w:pPr>
      <w:r w:rsidRPr="00E07A62">
        <w:rPr>
          <w:b/>
          <w:sz w:val="24"/>
          <w:szCs w:val="24"/>
        </w:rPr>
        <w:t>Respondent Universe</w:t>
      </w:r>
    </w:p>
    <w:p w14:paraId="0D96DA7D" w14:textId="65EB50AD" w:rsidR="00E07A62" w:rsidRDefault="00E07A62" w:rsidP="003F45AA">
      <w:pPr>
        <w:spacing w:after="0" w:line="276" w:lineRule="auto"/>
        <w:rPr>
          <w:rFonts w:ascii="Calibri" w:eastAsia="Calibri" w:hAnsi="Calibri" w:cs="Times New Roman"/>
          <w:sz w:val="24"/>
          <w:szCs w:val="24"/>
        </w:rPr>
      </w:pPr>
      <w:r>
        <w:rPr>
          <w:sz w:val="24"/>
          <w:szCs w:val="24"/>
        </w:rPr>
        <w:t>In this study, ED’s contractor</w:t>
      </w:r>
      <w:r w:rsidR="00D06C02">
        <w:rPr>
          <w:sz w:val="24"/>
          <w:szCs w:val="24"/>
        </w:rPr>
        <w:t>, REL Southwest</w:t>
      </w:r>
      <w:r w:rsidRPr="006B473B">
        <w:rPr>
          <w:sz w:val="24"/>
          <w:szCs w:val="24"/>
        </w:rPr>
        <w:t xml:space="preserve"> will investigate </w:t>
      </w:r>
      <w:r>
        <w:rPr>
          <w:sz w:val="24"/>
          <w:szCs w:val="24"/>
        </w:rPr>
        <w:t>differences</w:t>
      </w:r>
      <w:r w:rsidRPr="006B473B">
        <w:rPr>
          <w:sz w:val="24"/>
          <w:szCs w:val="24"/>
        </w:rPr>
        <w:t xml:space="preserve"> in </w:t>
      </w:r>
      <w:r>
        <w:rPr>
          <w:sz w:val="24"/>
          <w:szCs w:val="24"/>
        </w:rPr>
        <w:t>algebra</w:t>
      </w:r>
      <w:r w:rsidRPr="006B473B">
        <w:rPr>
          <w:sz w:val="24"/>
          <w:szCs w:val="24"/>
        </w:rPr>
        <w:t xml:space="preserve"> II</w:t>
      </w:r>
      <w:r>
        <w:rPr>
          <w:sz w:val="24"/>
          <w:szCs w:val="24"/>
        </w:rPr>
        <w:t xml:space="preserve"> enrollment and completion </w:t>
      </w:r>
      <w:r w:rsidRPr="006B473B">
        <w:rPr>
          <w:sz w:val="24"/>
          <w:szCs w:val="24"/>
        </w:rPr>
        <w:t xml:space="preserve">by the end of </w:t>
      </w:r>
      <w:r>
        <w:rPr>
          <w:sz w:val="24"/>
          <w:szCs w:val="24"/>
        </w:rPr>
        <w:t xml:space="preserve">the </w:t>
      </w:r>
      <w:r w:rsidRPr="006B473B">
        <w:rPr>
          <w:sz w:val="24"/>
          <w:szCs w:val="24"/>
        </w:rPr>
        <w:t>junior year</w:t>
      </w:r>
      <w:r>
        <w:rPr>
          <w:sz w:val="24"/>
          <w:szCs w:val="24"/>
        </w:rPr>
        <w:t xml:space="preserve"> between students in study schools who receive </w:t>
      </w:r>
      <w:r w:rsidR="00BA46B5" w:rsidRPr="0011646C">
        <w:rPr>
          <w:rFonts w:ascii="Calibri" w:hAnsi="Calibri"/>
          <w:sz w:val="24"/>
        </w:rPr>
        <w:t xml:space="preserve">information </w:t>
      </w:r>
      <w:r w:rsidR="00BA46B5">
        <w:rPr>
          <w:rFonts w:ascii="Calibri" w:hAnsi="Calibri"/>
          <w:sz w:val="24"/>
        </w:rPr>
        <w:t>describing</w:t>
      </w:r>
      <w:r w:rsidR="00BA46B5" w:rsidRPr="003064E0">
        <w:rPr>
          <w:sz w:val="24"/>
        </w:rPr>
        <w:t xml:space="preserve"> </w:t>
      </w:r>
      <w:r w:rsidR="00BA46B5">
        <w:rPr>
          <w:sz w:val="24"/>
        </w:rPr>
        <w:t xml:space="preserve">changes to the Texas high school graduation requirements, with a specific emphasis on changes to the </w:t>
      </w:r>
      <w:r w:rsidR="00BA46B5" w:rsidRPr="003E3180">
        <w:rPr>
          <w:sz w:val="24"/>
          <w:szCs w:val="24"/>
        </w:rPr>
        <w:t>mathematics requirements and how these changes may impact college access,</w:t>
      </w:r>
      <w:r w:rsidRPr="00BA46B5">
        <w:rPr>
          <w:sz w:val="24"/>
          <w:szCs w:val="24"/>
        </w:rPr>
        <w:t xml:space="preserve"> (treatment group) and students in study schools </w:t>
      </w:r>
      <w:r w:rsidR="00941C7E">
        <w:rPr>
          <w:sz w:val="24"/>
          <w:szCs w:val="24"/>
        </w:rPr>
        <w:t xml:space="preserve">who </w:t>
      </w:r>
      <w:r w:rsidR="00BA46B5" w:rsidRPr="00BA46B5">
        <w:rPr>
          <w:sz w:val="24"/>
          <w:szCs w:val="24"/>
        </w:rPr>
        <w:t xml:space="preserve">receive </w:t>
      </w:r>
      <w:r w:rsidR="00BA46B5" w:rsidRPr="00917BF4">
        <w:rPr>
          <w:rFonts w:ascii="Calibri" w:hAnsi="Calibri"/>
          <w:sz w:val="24"/>
          <w:szCs w:val="24"/>
        </w:rPr>
        <w:t xml:space="preserve">information describing changes to the Texas graduation requirements and providing parents with links to additional resources describing these changes included on state and regional websites </w:t>
      </w:r>
      <w:r w:rsidRPr="00BA46B5">
        <w:rPr>
          <w:sz w:val="24"/>
          <w:szCs w:val="24"/>
        </w:rPr>
        <w:t>(control group).</w:t>
      </w:r>
      <w:r>
        <w:rPr>
          <w:sz w:val="24"/>
          <w:szCs w:val="24"/>
        </w:rPr>
        <w:t xml:space="preserve"> </w:t>
      </w:r>
      <w:r w:rsidRPr="006B473B">
        <w:rPr>
          <w:sz w:val="24"/>
          <w:szCs w:val="24"/>
        </w:rPr>
        <w:t xml:space="preserve">To do so, </w:t>
      </w:r>
      <w:r>
        <w:rPr>
          <w:sz w:val="24"/>
          <w:szCs w:val="24"/>
        </w:rPr>
        <w:t>ED’s contractor</w:t>
      </w:r>
      <w:r w:rsidRPr="006B473B">
        <w:rPr>
          <w:sz w:val="24"/>
          <w:szCs w:val="24"/>
        </w:rPr>
        <w:t xml:space="preserve"> will follow </w:t>
      </w:r>
      <w:r>
        <w:rPr>
          <w:sz w:val="24"/>
          <w:szCs w:val="24"/>
        </w:rPr>
        <w:t>the grade 9 students who begin</w:t>
      </w:r>
      <w:r w:rsidRPr="006B473B">
        <w:rPr>
          <w:sz w:val="24"/>
          <w:szCs w:val="24"/>
        </w:rPr>
        <w:t xml:space="preserve"> high school </w:t>
      </w:r>
      <w:r>
        <w:rPr>
          <w:sz w:val="24"/>
          <w:szCs w:val="24"/>
        </w:rPr>
        <w:t xml:space="preserve">in study schools </w:t>
      </w:r>
      <w:r w:rsidRPr="006B473B">
        <w:rPr>
          <w:sz w:val="24"/>
          <w:szCs w:val="24"/>
        </w:rPr>
        <w:t>during the 2014</w:t>
      </w:r>
      <w:r>
        <w:rPr>
          <w:sz w:val="24"/>
          <w:szCs w:val="24"/>
        </w:rPr>
        <w:t>–</w:t>
      </w:r>
      <w:r w:rsidRPr="006B473B">
        <w:rPr>
          <w:sz w:val="24"/>
          <w:szCs w:val="24"/>
        </w:rPr>
        <w:t xml:space="preserve">15 school year—the first </w:t>
      </w:r>
      <w:r>
        <w:rPr>
          <w:sz w:val="24"/>
          <w:szCs w:val="24"/>
        </w:rPr>
        <w:t>cohort</w:t>
      </w:r>
      <w:r w:rsidRPr="006B473B">
        <w:rPr>
          <w:sz w:val="24"/>
          <w:szCs w:val="24"/>
        </w:rPr>
        <w:t xml:space="preserve"> of students required to graduate under the </w:t>
      </w:r>
      <w:r>
        <w:rPr>
          <w:sz w:val="24"/>
          <w:szCs w:val="24"/>
        </w:rPr>
        <w:t xml:space="preserve">state’s </w:t>
      </w:r>
      <w:r w:rsidRPr="006B473B">
        <w:rPr>
          <w:sz w:val="24"/>
          <w:szCs w:val="24"/>
        </w:rPr>
        <w:t>new diploma plans</w:t>
      </w:r>
      <w:r>
        <w:rPr>
          <w:sz w:val="24"/>
          <w:szCs w:val="24"/>
        </w:rPr>
        <w:t xml:space="preserve">—and assess differences in algebra II enrollment and completion by the end of junior year between students in treatment schools and students in control schools. All grade 9 students, including special education and English learners who enroll in either algebra I or geometry will be included in the study. </w:t>
      </w:r>
      <w:r w:rsidR="001716D7">
        <w:rPr>
          <w:rFonts w:ascii="Calibri" w:eastAsia="Calibri" w:hAnsi="Calibri" w:cs="Times New Roman"/>
          <w:sz w:val="24"/>
          <w:szCs w:val="24"/>
        </w:rPr>
        <w:t>All public high schools in the state of Texas that are not automatically placing their incoming grade 9 students into the Distinguished graduation plan</w:t>
      </w:r>
      <w:r w:rsidR="001716D7">
        <w:rPr>
          <w:rStyle w:val="FootnoteReference"/>
          <w:rFonts w:ascii="Calibri" w:eastAsia="Calibri" w:hAnsi="Calibri" w:cs="Times New Roman"/>
          <w:sz w:val="24"/>
          <w:szCs w:val="24"/>
        </w:rPr>
        <w:footnoteReference w:id="2"/>
      </w:r>
      <w:r w:rsidR="001716D7">
        <w:rPr>
          <w:rFonts w:ascii="Calibri" w:eastAsia="Calibri" w:hAnsi="Calibri" w:cs="Times New Roman"/>
          <w:sz w:val="24"/>
          <w:szCs w:val="24"/>
        </w:rPr>
        <w:t xml:space="preserve"> will be recruited to participate in the study. </w:t>
      </w:r>
    </w:p>
    <w:p w14:paraId="62E4115B" w14:textId="77777777" w:rsidR="00E07A62" w:rsidRDefault="00E07A62" w:rsidP="003F45AA">
      <w:pPr>
        <w:spacing w:after="0" w:line="276" w:lineRule="auto"/>
        <w:rPr>
          <w:rFonts w:ascii="Calibri" w:eastAsia="Calibri" w:hAnsi="Calibri" w:cs="Times New Roman"/>
          <w:sz w:val="24"/>
          <w:szCs w:val="24"/>
        </w:rPr>
      </w:pPr>
    </w:p>
    <w:p w14:paraId="76FAD2BE" w14:textId="649FD610" w:rsidR="00E07A62" w:rsidRPr="00E07A62" w:rsidRDefault="00E07A62" w:rsidP="003F45AA">
      <w:pPr>
        <w:spacing w:after="0" w:line="276" w:lineRule="auto"/>
        <w:rPr>
          <w:rFonts w:ascii="Calibri" w:eastAsia="Calibri" w:hAnsi="Calibri" w:cs="Times New Roman"/>
          <w:b/>
          <w:sz w:val="24"/>
          <w:szCs w:val="24"/>
        </w:rPr>
      </w:pPr>
      <w:r w:rsidRPr="00E07A62">
        <w:rPr>
          <w:rFonts w:ascii="Calibri" w:eastAsia="Calibri" w:hAnsi="Calibri" w:cs="Times New Roman"/>
          <w:b/>
          <w:sz w:val="24"/>
          <w:szCs w:val="24"/>
        </w:rPr>
        <w:t>Power</w:t>
      </w:r>
    </w:p>
    <w:p w14:paraId="757825D7" w14:textId="2352BBA5" w:rsidR="00E07A62" w:rsidRPr="0099714B" w:rsidRDefault="00E07A62" w:rsidP="00E07A62">
      <w:pPr>
        <w:spacing w:after="0"/>
        <w:rPr>
          <w:sz w:val="24"/>
          <w:szCs w:val="24"/>
        </w:rPr>
      </w:pPr>
      <w:r w:rsidRPr="0099714B">
        <w:rPr>
          <w:sz w:val="24"/>
          <w:szCs w:val="24"/>
        </w:rPr>
        <w:t xml:space="preserve">For this study, </w:t>
      </w:r>
      <w:r>
        <w:rPr>
          <w:sz w:val="24"/>
          <w:szCs w:val="24"/>
        </w:rPr>
        <w:t>ED’s contractor</w:t>
      </w:r>
      <w:r w:rsidRPr="0099714B">
        <w:rPr>
          <w:sz w:val="24"/>
          <w:szCs w:val="24"/>
        </w:rPr>
        <w:t xml:space="preserve"> wish</w:t>
      </w:r>
      <w:r>
        <w:rPr>
          <w:sz w:val="24"/>
          <w:szCs w:val="24"/>
        </w:rPr>
        <w:t>es</w:t>
      </w:r>
      <w:r w:rsidRPr="0099714B">
        <w:rPr>
          <w:sz w:val="24"/>
          <w:szCs w:val="24"/>
        </w:rPr>
        <w:t xml:space="preserve"> to be able to detect at least a 5 percentage point difference in algebra II completion between our treatment and control groups—</w:t>
      </w:r>
      <w:r>
        <w:rPr>
          <w:sz w:val="24"/>
          <w:szCs w:val="24"/>
        </w:rPr>
        <w:t>it is not</w:t>
      </w:r>
      <w:r w:rsidRPr="0099714B">
        <w:rPr>
          <w:sz w:val="24"/>
          <w:szCs w:val="24"/>
        </w:rPr>
        <w:t xml:space="preserve"> believe</w:t>
      </w:r>
      <w:r>
        <w:rPr>
          <w:sz w:val="24"/>
          <w:szCs w:val="24"/>
        </w:rPr>
        <w:t>d</w:t>
      </w:r>
      <w:r w:rsidRPr="0099714B">
        <w:rPr>
          <w:sz w:val="24"/>
          <w:szCs w:val="24"/>
        </w:rPr>
        <w:t xml:space="preserve"> that a difference smaller than this would be meaningful.</w:t>
      </w:r>
      <w:r>
        <w:rPr>
          <w:sz w:val="24"/>
          <w:szCs w:val="24"/>
        </w:rPr>
        <w:t xml:space="preserve"> W</w:t>
      </w:r>
      <w:r w:rsidRPr="0099714B">
        <w:rPr>
          <w:sz w:val="24"/>
          <w:szCs w:val="24"/>
        </w:rPr>
        <w:t>e used Optimal Design version 3.01 (Spybrook, Bloom, Congdon, Hill, Liu, Martinez &amp; Raudenbush, 2013)</w:t>
      </w:r>
      <w:r>
        <w:rPr>
          <w:sz w:val="24"/>
          <w:szCs w:val="24"/>
        </w:rPr>
        <w:t xml:space="preserve"> t</w:t>
      </w:r>
      <w:r w:rsidRPr="0099714B">
        <w:rPr>
          <w:sz w:val="24"/>
          <w:szCs w:val="24"/>
        </w:rPr>
        <w:t>o determine the number of schools needed for our study</w:t>
      </w:r>
      <w:r>
        <w:rPr>
          <w:sz w:val="24"/>
          <w:szCs w:val="24"/>
        </w:rPr>
        <w:t>. Within the software package, ED’s contractor estimated a two-level cluster RCT design with binary outcomes</w:t>
      </w:r>
      <w:r>
        <w:rPr>
          <w:rStyle w:val="FootnoteReference"/>
          <w:sz w:val="24"/>
          <w:szCs w:val="24"/>
        </w:rPr>
        <w:footnoteReference w:id="3"/>
      </w:r>
      <w:r w:rsidRPr="0099714B">
        <w:rPr>
          <w:sz w:val="24"/>
          <w:szCs w:val="24"/>
        </w:rPr>
        <w:t>, with the following assumptions:</w:t>
      </w:r>
    </w:p>
    <w:p w14:paraId="1D5095C1" w14:textId="77777777" w:rsidR="00E07A62" w:rsidRPr="0099714B" w:rsidRDefault="00E07A62" w:rsidP="00E07A62">
      <w:pPr>
        <w:spacing w:after="0"/>
        <w:ind w:firstLine="720"/>
        <w:rPr>
          <w:sz w:val="24"/>
          <w:szCs w:val="24"/>
        </w:rPr>
      </w:pPr>
      <w:r w:rsidRPr="0099714B">
        <w:rPr>
          <w:sz w:val="24"/>
          <w:szCs w:val="24"/>
        </w:rPr>
        <w:t>Probability of success in treatment group: 0.70</w:t>
      </w:r>
    </w:p>
    <w:p w14:paraId="378DCF47" w14:textId="77777777" w:rsidR="00E07A62" w:rsidRPr="0099714B" w:rsidRDefault="00E07A62" w:rsidP="00E07A62">
      <w:pPr>
        <w:spacing w:after="0"/>
        <w:ind w:firstLine="720"/>
        <w:rPr>
          <w:sz w:val="24"/>
          <w:szCs w:val="24"/>
        </w:rPr>
      </w:pPr>
      <w:r w:rsidRPr="0099714B">
        <w:rPr>
          <w:sz w:val="24"/>
          <w:szCs w:val="24"/>
        </w:rPr>
        <w:t>Probability of success in control group: 0.65</w:t>
      </w:r>
    </w:p>
    <w:p w14:paraId="5655992E" w14:textId="77777777" w:rsidR="00E07A62" w:rsidRPr="0099714B" w:rsidRDefault="00E07A62" w:rsidP="00E07A62">
      <w:pPr>
        <w:spacing w:after="0"/>
        <w:ind w:left="720"/>
        <w:rPr>
          <w:sz w:val="24"/>
          <w:szCs w:val="24"/>
        </w:rPr>
      </w:pPr>
      <w:r w:rsidRPr="0099714B">
        <w:rPr>
          <w:sz w:val="24"/>
          <w:szCs w:val="24"/>
        </w:rPr>
        <w:t>Number</w:t>
      </w:r>
      <w:r>
        <w:rPr>
          <w:sz w:val="24"/>
          <w:szCs w:val="24"/>
        </w:rPr>
        <w:t xml:space="preserve"> of students in each school: 170 (median number of students in grade 9 in Texas public high schools)</w:t>
      </w:r>
    </w:p>
    <w:p w14:paraId="2CE25101" w14:textId="77777777" w:rsidR="00E07A62" w:rsidRPr="0099714B" w:rsidRDefault="00E07A62" w:rsidP="00E07A62">
      <w:pPr>
        <w:spacing w:after="0"/>
        <w:ind w:firstLine="720"/>
        <w:rPr>
          <w:sz w:val="24"/>
          <w:szCs w:val="24"/>
        </w:rPr>
      </w:pPr>
      <w:r w:rsidRPr="0099714B">
        <w:rPr>
          <w:sz w:val="24"/>
          <w:szCs w:val="24"/>
        </w:rPr>
        <w:t>Plausible value range: 0.60—0.90</w:t>
      </w:r>
    </w:p>
    <w:p w14:paraId="014A5E4C" w14:textId="77777777" w:rsidR="00E07A62" w:rsidRDefault="00E07A62" w:rsidP="00E07A62">
      <w:pPr>
        <w:spacing w:after="0"/>
        <w:ind w:firstLine="720"/>
        <w:rPr>
          <w:sz w:val="24"/>
          <w:szCs w:val="24"/>
        </w:rPr>
      </w:pPr>
      <w:r w:rsidRPr="0099714B">
        <w:rPr>
          <w:sz w:val="24"/>
          <w:szCs w:val="24"/>
        </w:rPr>
        <w:t>Power: 0.80</w:t>
      </w:r>
    </w:p>
    <w:p w14:paraId="39C3A6F0" w14:textId="77777777" w:rsidR="00E07A62" w:rsidRPr="0099714B" w:rsidRDefault="00E07A62" w:rsidP="00E07A62">
      <w:pPr>
        <w:spacing w:after="0"/>
        <w:ind w:firstLine="720"/>
        <w:rPr>
          <w:sz w:val="24"/>
          <w:szCs w:val="24"/>
        </w:rPr>
      </w:pPr>
    </w:p>
    <w:p w14:paraId="0F73B2D2" w14:textId="6AB3CF71" w:rsidR="00E07A62" w:rsidRDefault="00E07A62" w:rsidP="00E07A62">
      <w:pPr>
        <w:spacing w:after="0" w:line="276" w:lineRule="auto"/>
        <w:rPr>
          <w:rFonts w:ascii="Calibri" w:eastAsia="Calibri" w:hAnsi="Calibri" w:cs="Times New Roman"/>
          <w:sz w:val="24"/>
          <w:szCs w:val="24"/>
        </w:rPr>
      </w:pPr>
      <w:r>
        <w:rPr>
          <w:sz w:val="24"/>
          <w:szCs w:val="24"/>
        </w:rPr>
        <w:lastRenderedPageBreak/>
        <w:t>Thus, for this study, ED’s contractor determined that it</w:t>
      </w:r>
      <w:r w:rsidRPr="0099714B">
        <w:rPr>
          <w:sz w:val="24"/>
          <w:szCs w:val="24"/>
        </w:rPr>
        <w:t xml:space="preserve"> will need to include a total of </w:t>
      </w:r>
      <w:r>
        <w:rPr>
          <w:sz w:val="24"/>
          <w:szCs w:val="24"/>
        </w:rPr>
        <w:t>144 schools in the</w:t>
      </w:r>
      <w:r w:rsidRPr="0099714B">
        <w:rPr>
          <w:sz w:val="24"/>
          <w:szCs w:val="24"/>
        </w:rPr>
        <w:t xml:space="preserve"> RCT, with 50 percent of the schools allocated to the treatment and control groups, to be able to detect a 5 percentage point difference between treatment and control schools</w:t>
      </w:r>
      <w:r>
        <w:rPr>
          <w:rStyle w:val="FootnoteReference"/>
          <w:sz w:val="24"/>
          <w:szCs w:val="24"/>
        </w:rPr>
        <w:footnoteReference w:id="4"/>
      </w:r>
      <w:r>
        <w:rPr>
          <w:sz w:val="24"/>
          <w:szCs w:val="24"/>
        </w:rPr>
        <w:t xml:space="preserve">. </w:t>
      </w:r>
    </w:p>
    <w:p w14:paraId="74B9D9E7" w14:textId="77777777" w:rsidR="00E07A62" w:rsidRDefault="00E07A62" w:rsidP="003F45AA">
      <w:pPr>
        <w:spacing w:after="0" w:line="276" w:lineRule="auto"/>
        <w:rPr>
          <w:rFonts w:ascii="Calibri" w:eastAsia="Calibri" w:hAnsi="Calibri" w:cs="Times New Roman"/>
          <w:sz w:val="24"/>
          <w:szCs w:val="24"/>
        </w:rPr>
      </w:pPr>
    </w:p>
    <w:p w14:paraId="437AC04F" w14:textId="57305EA1" w:rsidR="00E07A62" w:rsidRPr="00E07A62" w:rsidRDefault="00E07A62" w:rsidP="00E07A62">
      <w:pPr>
        <w:pStyle w:val="CommentText"/>
        <w:spacing w:after="0"/>
        <w:rPr>
          <w:b/>
          <w:szCs w:val="24"/>
        </w:rPr>
      </w:pPr>
      <w:r w:rsidRPr="00E07A62">
        <w:rPr>
          <w:b/>
          <w:szCs w:val="24"/>
        </w:rPr>
        <w:t>Random Assignment</w:t>
      </w:r>
    </w:p>
    <w:p w14:paraId="2B861A5C" w14:textId="1B357CD8" w:rsidR="00E07A62" w:rsidRPr="006B473B" w:rsidRDefault="00E07A62" w:rsidP="00E07A62">
      <w:pPr>
        <w:pStyle w:val="CommentText"/>
        <w:rPr>
          <w:szCs w:val="24"/>
        </w:rPr>
      </w:pPr>
      <w:r>
        <w:rPr>
          <w:szCs w:val="24"/>
        </w:rPr>
        <w:t xml:space="preserve">Once schools have been consented into the study, ED’s contractor will use cluster analysis to assign schools to strata for randomization. </w:t>
      </w:r>
      <w:r w:rsidRPr="00B54AB8">
        <w:rPr>
          <w:szCs w:val="24"/>
        </w:rPr>
        <w:t>Cluster analysis</w:t>
      </w:r>
      <w:r>
        <w:rPr>
          <w:szCs w:val="24"/>
        </w:rPr>
        <w:t xml:space="preserve"> allows for creation</w:t>
      </w:r>
      <w:r w:rsidRPr="00B54AB8">
        <w:rPr>
          <w:szCs w:val="24"/>
        </w:rPr>
        <w:t xml:space="preserve"> clusters</w:t>
      </w:r>
      <w:r>
        <w:rPr>
          <w:szCs w:val="24"/>
        </w:rPr>
        <w:t xml:space="preserve"> of schools that are similar across</w:t>
      </w:r>
      <w:r w:rsidRPr="00B54AB8">
        <w:rPr>
          <w:szCs w:val="24"/>
        </w:rPr>
        <w:t xml:space="preserve"> </w:t>
      </w:r>
      <w:r>
        <w:rPr>
          <w:szCs w:val="24"/>
        </w:rPr>
        <w:t>multiple</w:t>
      </w:r>
      <w:r w:rsidRPr="00B54AB8">
        <w:rPr>
          <w:szCs w:val="24"/>
        </w:rPr>
        <w:t xml:space="preserve"> variables—rather than just one or two—which should increase precision.</w:t>
      </w:r>
      <w:r>
        <w:rPr>
          <w:b/>
        </w:rPr>
        <w:t xml:space="preserve"> </w:t>
      </w:r>
      <w:r>
        <w:rPr>
          <w:szCs w:val="24"/>
        </w:rPr>
        <w:t xml:space="preserve">Conducting random assignment within strata reduces the likelihood of obtaining treatment and control groups that differ significantly on covariates of interest. For this study, we will use </w:t>
      </w:r>
      <w:r w:rsidRPr="004A4C60">
        <w:rPr>
          <w:i/>
          <w:szCs w:val="24"/>
        </w:rPr>
        <w:t>k</w:t>
      </w:r>
      <w:r>
        <w:rPr>
          <w:szCs w:val="24"/>
        </w:rPr>
        <w:t xml:space="preserve">-means clustering, which creates </w:t>
      </w:r>
      <w:r w:rsidRPr="00826C51">
        <w:rPr>
          <w:i/>
          <w:szCs w:val="24"/>
        </w:rPr>
        <w:t>k</w:t>
      </w:r>
      <w:r>
        <w:rPr>
          <w:szCs w:val="24"/>
        </w:rPr>
        <w:t xml:space="preserve"> strata and then assigns each unit to one stratum, so that a measure of similarity is maximized. Since the covariates are both categorical and continuous, how close the units are to one another will be determined using the general similarity measure (distance) outlined in Glower (1971). To determine the optimal number of strata, ED’s contractor will generate and evaluate results for up to 20 strata and then plot the between-cluster variability in an elbow plot, which is similar to a scree plot in principal components analysis. ED’s contractor will use this plot to determine where the rate of change in the proportion of variance accounted for by each additional strata slows. </w:t>
      </w:r>
      <w:r w:rsidR="000173D2">
        <w:rPr>
          <w:szCs w:val="24"/>
        </w:rPr>
        <w:t>There are</w:t>
      </w:r>
      <w:r w:rsidRPr="006B473B">
        <w:rPr>
          <w:szCs w:val="24"/>
        </w:rPr>
        <w:t xml:space="preserve"> </w:t>
      </w:r>
      <w:r>
        <w:rPr>
          <w:szCs w:val="24"/>
        </w:rPr>
        <w:t xml:space="preserve">6 </w:t>
      </w:r>
      <w:r w:rsidRPr="006B473B">
        <w:rPr>
          <w:szCs w:val="24"/>
        </w:rPr>
        <w:t xml:space="preserve">school-level covariates that </w:t>
      </w:r>
      <w:r w:rsidR="000173D2">
        <w:rPr>
          <w:szCs w:val="24"/>
        </w:rPr>
        <w:t>are likely to</w:t>
      </w:r>
      <w:r w:rsidRPr="006B473B">
        <w:rPr>
          <w:szCs w:val="24"/>
        </w:rPr>
        <w:t xml:space="preserve"> </w:t>
      </w:r>
      <w:r>
        <w:rPr>
          <w:szCs w:val="24"/>
        </w:rPr>
        <w:t>predict whether or not students will</w:t>
      </w:r>
      <w:r w:rsidRPr="006B473B">
        <w:rPr>
          <w:szCs w:val="24"/>
        </w:rPr>
        <w:t xml:space="preserve"> </w:t>
      </w:r>
      <w:r>
        <w:rPr>
          <w:szCs w:val="24"/>
        </w:rPr>
        <w:t>complete</w:t>
      </w:r>
      <w:r w:rsidRPr="006B473B">
        <w:rPr>
          <w:szCs w:val="24"/>
        </w:rPr>
        <w:t xml:space="preserve"> </w:t>
      </w:r>
      <w:r>
        <w:rPr>
          <w:szCs w:val="24"/>
        </w:rPr>
        <w:t>algebra II</w:t>
      </w:r>
      <w:r w:rsidRPr="006B473B">
        <w:rPr>
          <w:szCs w:val="24"/>
        </w:rPr>
        <w:t xml:space="preserve">. </w:t>
      </w:r>
      <w:r>
        <w:rPr>
          <w:szCs w:val="24"/>
        </w:rPr>
        <w:t xml:space="preserve">These covariates, shown in Table </w:t>
      </w:r>
      <w:r w:rsidR="000173D2">
        <w:rPr>
          <w:szCs w:val="24"/>
        </w:rPr>
        <w:t>1</w:t>
      </w:r>
      <w:r>
        <w:rPr>
          <w:szCs w:val="24"/>
        </w:rPr>
        <w:t xml:space="preserve">, will be used in </w:t>
      </w:r>
      <w:r w:rsidR="000173D2">
        <w:rPr>
          <w:szCs w:val="24"/>
        </w:rPr>
        <w:t>the</w:t>
      </w:r>
      <w:r>
        <w:rPr>
          <w:szCs w:val="24"/>
        </w:rPr>
        <w:t xml:space="preserve"> cluster analysis to define strata.</w:t>
      </w:r>
    </w:p>
    <w:p w14:paraId="52ADF57E" w14:textId="7FAE7260" w:rsidR="00E07A62" w:rsidRPr="006B473B" w:rsidRDefault="00E07A62" w:rsidP="00E07A62">
      <w:pPr>
        <w:spacing w:after="120" w:line="240" w:lineRule="auto"/>
        <w:rPr>
          <w:b/>
          <w:sz w:val="24"/>
          <w:szCs w:val="24"/>
        </w:rPr>
      </w:pPr>
      <w:r w:rsidRPr="006B473B">
        <w:rPr>
          <w:b/>
          <w:sz w:val="24"/>
          <w:szCs w:val="24"/>
        </w:rPr>
        <w:t xml:space="preserve">Table </w:t>
      </w:r>
      <w:r w:rsidR="000173D2">
        <w:rPr>
          <w:b/>
          <w:sz w:val="24"/>
          <w:szCs w:val="24"/>
        </w:rPr>
        <w:t>1</w:t>
      </w:r>
      <w:r w:rsidRPr="006B473B">
        <w:rPr>
          <w:b/>
          <w:sz w:val="24"/>
          <w:szCs w:val="24"/>
        </w:rPr>
        <w:t>. Covariates used for cluster analysis</w:t>
      </w:r>
    </w:p>
    <w:tbl>
      <w:tblPr>
        <w:tblStyle w:val="TableGrid"/>
        <w:tblW w:w="9360" w:type="dxa"/>
        <w:tblInd w:w="108" w:type="dxa"/>
        <w:tblLook w:val="04A0" w:firstRow="1" w:lastRow="0" w:firstColumn="1" w:lastColumn="0" w:noHBand="0" w:noVBand="1"/>
      </w:tblPr>
      <w:tblGrid>
        <w:gridCol w:w="3120"/>
        <w:gridCol w:w="3120"/>
        <w:gridCol w:w="3120"/>
      </w:tblGrid>
      <w:tr w:rsidR="00E07A62" w:rsidRPr="006B473B" w14:paraId="1AC0CFB8" w14:textId="77777777" w:rsidTr="003B3335">
        <w:tc>
          <w:tcPr>
            <w:tcW w:w="3120" w:type="dxa"/>
          </w:tcPr>
          <w:p w14:paraId="76AFC17B" w14:textId="77777777" w:rsidR="00E07A62" w:rsidRPr="006B473B" w:rsidRDefault="00E07A62" w:rsidP="003B3335">
            <w:pPr>
              <w:rPr>
                <w:sz w:val="24"/>
                <w:szCs w:val="24"/>
              </w:rPr>
            </w:pPr>
            <w:r w:rsidRPr="006B473B">
              <w:rPr>
                <w:sz w:val="24"/>
                <w:szCs w:val="24"/>
              </w:rPr>
              <w:t>Percent Black, White, Hispanic, Other</w:t>
            </w:r>
          </w:p>
        </w:tc>
        <w:tc>
          <w:tcPr>
            <w:tcW w:w="3120" w:type="dxa"/>
          </w:tcPr>
          <w:p w14:paraId="4F9E7C4D" w14:textId="77777777" w:rsidR="00E07A62" w:rsidRPr="006B473B" w:rsidRDefault="00E07A62" w:rsidP="003B3335">
            <w:pPr>
              <w:rPr>
                <w:sz w:val="24"/>
                <w:szCs w:val="24"/>
              </w:rPr>
            </w:pPr>
            <w:r w:rsidRPr="006B473B">
              <w:rPr>
                <w:sz w:val="24"/>
                <w:szCs w:val="24"/>
              </w:rPr>
              <w:t>School size</w:t>
            </w:r>
            <w:r w:rsidRPr="006B473B" w:rsidDel="008C457E">
              <w:rPr>
                <w:sz w:val="24"/>
                <w:szCs w:val="24"/>
              </w:rPr>
              <w:t xml:space="preserve"> </w:t>
            </w:r>
          </w:p>
        </w:tc>
        <w:tc>
          <w:tcPr>
            <w:tcW w:w="3120" w:type="dxa"/>
          </w:tcPr>
          <w:p w14:paraId="0E13701D" w14:textId="77777777" w:rsidR="00E07A62" w:rsidRPr="006B473B" w:rsidRDefault="00E07A62" w:rsidP="003B3335">
            <w:pPr>
              <w:rPr>
                <w:sz w:val="24"/>
                <w:szCs w:val="24"/>
              </w:rPr>
            </w:pPr>
            <w:r w:rsidRPr="006B473B">
              <w:rPr>
                <w:sz w:val="24"/>
                <w:szCs w:val="24"/>
              </w:rPr>
              <w:t>Percent special education</w:t>
            </w:r>
          </w:p>
        </w:tc>
      </w:tr>
      <w:tr w:rsidR="00E07A62" w:rsidRPr="006B473B" w14:paraId="1C704432" w14:textId="77777777" w:rsidTr="003B3335">
        <w:tc>
          <w:tcPr>
            <w:tcW w:w="3120" w:type="dxa"/>
          </w:tcPr>
          <w:p w14:paraId="71ED8EBF" w14:textId="77777777" w:rsidR="00E07A62" w:rsidRPr="006B473B" w:rsidRDefault="00E07A62" w:rsidP="003B3335">
            <w:pPr>
              <w:rPr>
                <w:sz w:val="24"/>
                <w:szCs w:val="24"/>
              </w:rPr>
            </w:pPr>
            <w:r w:rsidRPr="006B473B">
              <w:rPr>
                <w:sz w:val="24"/>
                <w:szCs w:val="24"/>
              </w:rPr>
              <w:t>Average incoming test scores in math and reading (</w:t>
            </w:r>
            <w:r>
              <w:rPr>
                <w:sz w:val="24"/>
                <w:szCs w:val="24"/>
              </w:rPr>
              <w:t xml:space="preserve">that is, </w:t>
            </w:r>
            <w:r w:rsidRPr="006B473B">
              <w:rPr>
                <w:sz w:val="24"/>
                <w:szCs w:val="24"/>
              </w:rPr>
              <w:t>grade</w:t>
            </w:r>
            <w:r>
              <w:rPr>
                <w:sz w:val="24"/>
                <w:szCs w:val="24"/>
              </w:rPr>
              <w:t xml:space="preserve"> 8</w:t>
            </w:r>
            <w:r w:rsidRPr="006B473B">
              <w:rPr>
                <w:sz w:val="24"/>
                <w:szCs w:val="24"/>
              </w:rPr>
              <w:t>)</w:t>
            </w:r>
          </w:p>
        </w:tc>
        <w:tc>
          <w:tcPr>
            <w:tcW w:w="3120" w:type="dxa"/>
          </w:tcPr>
          <w:p w14:paraId="418A2B79" w14:textId="77777777" w:rsidR="00E07A62" w:rsidRPr="006B473B" w:rsidRDefault="00E07A62" w:rsidP="003B3335">
            <w:pPr>
              <w:rPr>
                <w:sz w:val="24"/>
                <w:szCs w:val="24"/>
              </w:rPr>
            </w:pPr>
            <w:r w:rsidRPr="006B473B">
              <w:rPr>
                <w:sz w:val="24"/>
                <w:szCs w:val="24"/>
              </w:rPr>
              <w:t>School region (</w:t>
            </w:r>
            <w:r>
              <w:rPr>
                <w:sz w:val="24"/>
                <w:szCs w:val="24"/>
              </w:rPr>
              <w:t>such as</w:t>
            </w:r>
            <w:r w:rsidRPr="006B473B">
              <w:rPr>
                <w:sz w:val="24"/>
                <w:szCs w:val="24"/>
              </w:rPr>
              <w:t xml:space="preserve"> suburban, rural, urban)</w:t>
            </w:r>
          </w:p>
        </w:tc>
        <w:tc>
          <w:tcPr>
            <w:tcW w:w="3120" w:type="dxa"/>
          </w:tcPr>
          <w:p w14:paraId="6CB2A4FC" w14:textId="77777777" w:rsidR="00E07A62" w:rsidRPr="006B473B" w:rsidRDefault="00E07A62" w:rsidP="003B3335">
            <w:pPr>
              <w:rPr>
                <w:sz w:val="24"/>
                <w:szCs w:val="24"/>
              </w:rPr>
            </w:pPr>
            <w:r>
              <w:rPr>
                <w:sz w:val="24"/>
                <w:szCs w:val="24"/>
              </w:rPr>
              <w:t>Percent English language learners</w:t>
            </w:r>
          </w:p>
        </w:tc>
      </w:tr>
    </w:tbl>
    <w:p w14:paraId="19F4F454" w14:textId="77777777" w:rsidR="00E07A62" w:rsidRDefault="00E07A62" w:rsidP="00E07A62">
      <w:pPr>
        <w:spacing w:after="0" w:line="240" w:lineRule="auto"/>
        <w:rPr>
          <w:sz w:val="24"/>
          <w:szCs w:val="24"/>
        </w:rPr>
      </w:pPr>
    </w:p>
    <w:p w14:paraId="654DFCE6" w14:textId="77777777" w:rsidR="00E07A62" w:rsidRDefault="00E07A62" w:rsidP="00E07A62">
      <w:pPr>
        <w:spacing w:after="0"/>
        <w:ind w:firstLine="720"/>
        <w:rPr>
          <w:sz w:val="24"/>
          <w:szCs w:val="24"/>
        </w:rPr>
      </w:pPr>
    </w:p>
    <w:p w14:paraId="7BEC0135" w14:textId="77777777" w:rsidR="00E07A62" w:rsidRDefault="00E07A62" w:rsidP="00917BF4">
      <w:pPr>
        <w:spacing w:after="0"/>
        <w:rPr>
          <w:sz w:val="24"/>
          <w:szCs w:val="24"/>
        </w:rPr>
      </w:pPr>
      <w:r>
        <w:rPr>
          <w:sz w:val="24"/>
          <w:szCs w:val="24"/>
        </w:rPr>
        <w:t xml:space="preserve">After the schools have been placed into strata, one-half of the high </w:t>
      </w:r>
      <w:r w:rsidRPr="006B473B">
        <w:rPr>
          <w:sz w:val="24"/>
          <w:szCs w:val="24"/>
        </w:rPr>
        <w:t>schools</w:t>
      </w:r>
      <w:r>
        <w:rPr>
          <w:sz w:val="24"/>
          <w:szCs w:val="24"/>
        </w:rPr>
        <w:t xml:space="preserve"> selected from each strata will be randomly assigned to serve in</w:t>
      </w:r>
      <w:r w:rsidRPr="006B473B">
        <w:rPr>
          <w:sz w:val="24"/>
          <w:szCs w:val="24"/>
        </w:rPr>
        <w:t xml:space="preserve"> the treatment group, while the other half of</w:t>
      </w:r>
      <w:r>
        <w:rPr>
          <w:sz w:val="24"/>
          <w:szCs w:val="24"/>
        </w:rPr>
        <w:t xml:space="preserve"> the schools within each strata</w:t>
      </w:r>
      <w:r w:rsidRPr="006B473B">
        <w:rPr>
          <w:sz w:val="24"/>
          <w:szCs w:val="24"/>
        </w:rPr>
        <w:t xml:space="preserve"> will serve as the control group for the impact study.</w:t>
      </w:r>
    </w:p>
    <w:p w14:paraId="00071A3C" w14:textId="77777777" w:rsidR="00E07A62" w:rsidRDefault="00E07A62" w:rsidP="003F45AA">
      <w:pPr>
        <w:spacing w:after="0" w:line="276" w:lineRule="auto"/>
        <w:rPr>
          <w:rFonts w:ascii="Calibri" w:eastAsia="Calibri" w:hAnsi="Calibri" w:cs="Times New Roman"/>
          <w:sz w:val="24"/>
          <w:szCs w:val="24"/>
        </w:rPr>
      </w:pPr>
    </w:p>
    <w:p w14:paraId="03E7899D" w14:textId="77777777" w:rsidR="003F45AA" w:rsidRPr="003F45AA" w:rsidRDefault="003F45AA" w:rsidP="003F45AA">
      <w:pPr>
        <w:keepNext/>
        <w:keepLines/>
        <w:widowControl w:val="0"/>
        <w:autoSpaceDE w:val="0"/>
        <w:autoSpaceDN w:val="0"/>
        <w:adjustRightInd w:val="0"/>
        <w:spacing w:before="480" w:after="0" w:line="276" w:lineRule="auto"/>
        <w:jc w:val="center"/>
        <w:outlineLvl w:val="0"/>
        <w:rPr>
          <w:rFonts w:eastAsiaTheme="majorEastAsia" w:cstheme="majorBidi"/>
          <w:b/>
          <w:sz w:val="28"/>
          <w:szCs w:val="28"/>
        </w:rPr>
      </w:pPr>
      <w:bookmarkStart w:id="16" w:name="_Toc395078975"/>
      <w:bookmarkStart w:id="17" w:name="_Toc417375831"/>
      <w:r w:rsidRPr="003F45AA">
        <w:rPr>
          <w:rFonts w:eastAsiaTheme="majorEastAsia" w:cstheme="majorBidi"/>
          <w:b/>
          <w:sz w:val="28"/>
          <w:szCs w:val="28"/>
        </w:rPr>
        <w:lastRenderedPageBreak/>
        <w:t>2. Description of Procedures for the Collection of Information</w:t>
      </w:r>
      <w:bookmarkEnd w:id="16"/>
      <w:bookmarkEnd w:id="17"/>
    </w:p>
    <w:p w14:paraId="6496F804" w14:textId="6F12135B" w:rsidR="001F7A7A" w:rsidRDefault="003F45AA" w:rsidP="003F45AA">
      <w:pPr>
        <w:rPr>
          <w:sz w:val="24"/>
          <w:szCs w:val="24"/>
        </w:rPr>
      </w:pPr>
      <w:r w:rsidRPr="00C31199">
        <w:rPr>
          <w:sz w:val="24"/>
          <w:szCs w:val="24"/>
        </w:rPr>
        <w:t xml:space="preserve">ED’s contractor will </w:t>
      </w:r>
      <w:r w:rsidR="00A040B9">
        <w:rPr>
          <w:sz w:val="24"/>
          <w:szCs w:val="24"/>
        </w:rPr>
        <w:t xml:space="preserve">recruit </w:t>
      </w:r>
      <w:r w:rsidR="00AB18B6">
        <w:rPr>
          <w:sz w:val="24"/>
          <w:szCs w:val="24"/>
        </w:rPr>
        <w:t>schools</w:t>
      </w:r>
      <w:r w:rsidR="00A040B9">
        <w:rPr>
          <w:sz w:val="24"/>
          <w:szCs w:val="24"/>
        </w:rPr>
        <w:t xml:space="preserve">, </w:t>
      </w:r>
      <w:r w:rsidRPr="00C31199">
        <w:rPr>
          <w:sz w:val="24"/>
          <w:szCs w:val="24"/>
        </w:rPr>
        <w:t>manage data collection and ensure quality and timeliness. ED’s contractor proposes to collect secondary data</w:t>
      </w:r>
      <w:r w:rsidR="00AB18B6">
        <w:rPr>
          <w:sz w:val="24"/>
          <w:szCs w:val="24"/>
        </w:rPr>
        <w:t xml:space="preserve"> only.</w:t>
      </w:r>
      <w:r w:rsidRPr="00C31199">
        <w:rPr>
          <w:sz w:val="24"/>
          <w:szCs w:val="24"/>
        </w:rPr>
        <w:t xml:space="preserve"> </w:t>
      </w:r>
      <w:r>
        <w:rPr>
          <w:sz w:val="24"/>
          <w:szCs w:val="24"/>
        </w:rPr>
        <w:t xml:space="preserve">This </w:t>
      </w:r>
      <w:r w:rsidRPr="00E068A6">
        <w:rPr>
          <w:sz w:val="24"/>
          <w:szCs w:val="24"/>
        </w:rPr>
        <w:t xml:space="preserve">study will utilize extant </w:t>
      </w:r>
      <w:r w:rsidR="00575C90">
        <w:rPr>
          <w:sz w:val="24"/>
          <w:szCs w:val="24"/>
        </w:rPr>
        <w:t xml:space="preserve">district, school and </w:t>
      </w:r>
      <w:r w:rsidRPr="00E068A6">
        <w:rPr>
          <w:sz w:val="24"/>
          <w:szCs w:val="24"/>
        </w:rPr>
        <w:t>student-</w:t>
      </w:r>
      <w:r>
        <w:rPr>
          <w:sz w:val="24"/>
          <w:szCs w:val="24"/>
        </w:rPr>
        <w:t>level</w:t>
      </w:r>
      <w:r w:rsidRPr="00E068A6">
        <w:rPr>
          <w:sz w:val="24"/>
          <w:szCs w:val="24"/>
        </w:rPr>
        <w:t xml:space="preserve"> dat</w:t>
      </w:r>
      <w:r>
        <w:rPr>
          <w:sz w:val="24"/>
          <w:szCs w:val="24"/>
        </w:rPr>
        <w:t>a collected and archived by TEA.</w:t>
      </w:r>
      <w:r w:rsidR="00AB18B6">
        <w:rPr>
          <w:sz w:val="24"/>
          <w:szCs w:val="24"/>
        </w:rPr>
        <w:t xml:space="preserve"> OMB clearance is being sought for extant data collection, as well as study recruitment activities. </w:t>
      </w:r>
    </w:p>
    <w:p w14:paraId="0EB5A333" w14:textId="77777777" w:rsidR="003F45AA" w:rsidRPr="00E34F21" w:rsidRDefault="003F45AA" w:rsidP="003F45AA">
      <w:pPr>
        <w:pStyle w:val="Heading2"/>
        <w:rPr>
          <w:rFonts w:asciiTheme="minorHAnsi" w:hAnsiTheme="minorHAnsi"/>
          <w:b/>
          <w:color w:val="auto"/>
          <w:sz w:val="24"/>
          <w:szCs w:val="24"/>
        </w:rPr>
      </w:pPr>
      <w:bookmarkStart w:id="18" w:name="_Toc417375832"/>
      <w:r w:rsidRPr="00E34F21">
        <w:rPr>
          <w:rFonts w:asciiTheme="minorHAnsi" w:hAnsiTheme="minorHAnsi"/>
          <w:b/>
          <w:color w:val="auto"/>
          <w:sz w:val="24"/>
          <w:szCs w:val="24"/>
        </w:rPr>
        <w:t>Data Sources</w:t>
      </w:r>
      <w:bookmarkEnd w:id="18"/>
    </w:p>
    <w:p w14:paraId="694284A9" w14:textId="2BD45432" w:rsidR="003F45AA" w:rsidRDefault="003F45AA" w:rsidP="003F45AA">
      <w:pPr>
        <w:rPr>
          <w:sz w:val="24"/>
          <w:szCs w:val="24"/>
        </w:rPr>
      </w:pPr>
      <w:r w:rsidRPr="00182137">
        <w:rPr>
          <w:sz w:val="24"/>
          <w:szCs w:val="24"/>
        </w:rPr>
        <w:t>To answer research questions</w:t>
      </w:r>
      <w:r w:rsidR="004872C7">
        <w:rPr>
          <w:sz w:val="24"/>
          <w:szCs w:val="24"/>
        </w:rPr>
        <w:t xml:space="preserve"> 1 through 3</w:t>
      </w:r>
      <w:r w:rsidRPr="00182137">
        <w:rPr>
          <w:sz w:val="24"/>
          <w:szCs w:val="24"/>
        </w:rPr>
        <w:t xml:space="preserve">, </w:t>
      </w:r>
      <w:r>
        <w:rPr>
          <w:sz w:val="24"/>
          <w:szCs w:val="24"/>
        </w:rPr>
        <w:t>ED’s contractor</w:t>
      </w:r>
      <w:r w:rsidRPr="00182137">
        <w:rPr>
          <w:sz w:val="24"/>
          <w:szCs w:val="24"/>
        </w:rPr>
        <w:t xml:space="preserve"> will utilize</w:t>
      </w:r>
      <w:r>
        <w:rPr>
          <w:sz w:val="24"/>
          <w:szCs w:val="24"/>
        </w:rPr>
        <w:t xml:space="preserve"> longitudinal</w:t>
      </w:r>
      <w:r w:rsidRPr="00182137">
        <w:rPr>
          <w:sz w:val="24"/>
          <w:szCs w:val="24"/>
        </w:rPr>
        <w:t xml:space="preserve"> student- and school-level data sets available from </w:t>
      </w:r>
      <w:r>
        <w:rPr>
          <w:sz w:val="24"/>
          <w:szCs w:val="24"/>
        </w:rPr>
        <w:t>TEA</w:t>
      </w:r>
      <w:r w:rsidRPr="00182137">
        <w:rPr>
          <w:sz w:val="24"/>
          <w:szCs w:val="24"/>
          <w:lang w:eastAsia="ja-JP"/>
        </w:rPr>
        <w:t>. Specifically, t</w:t>
      </w:r>
      <w:r w:rsidRPr="00182137">
        <w:rPr>
          <w:sz w:val="24"/>
          <w:szCs w:val="24"/>
        </w:rPr>
        <w:t xml:space="preserve">he study will use data from TEA’s Public Education Information Management System (PEIMS), statewide assessment files, and Texas Academic Performance Report (TAPR) files. PEIMS contains </w:t>
      </w:r>
      <w:r>
        <w:rPr>
          <w:sz w:val="24"/>
          <w:szCs w:val="24"/>
        </w:rPr>
        <w:t xml:space="preserve">student-level </w:t>
      </w:r>
      <w:r w:rsidRPr="00182137">
        <w:rPr>
          <w:sz w:val="24"/>
          <w:szCs w:val="24"/>
        </w:rPr>
        <w:t>data on student enrollment and demographic characteristics</w:t>
      </w:r>
      <w:r>
        <w:rPr>
          <w:sz w:val="24"/>
          <w:szCs w:val="24"/>
        </w:rPr>
        <w:t>,</w:t>
      </w:r>
      <w:r w:rsidRPr="00182137">
        <w:rPr>
          <w:sz w:val="24"/>
          <w:szCs w:val="24"/>
        </w:rPr>
        <w:t xml:space="preserve"> special program participation, and course completion data. TAPR contains organizational data for schools and districts. </w:t>
      </w:r>
      <w:r w:rsidR="004872C7">
        <w:rPr>
          <w:sz w:val="24"/>
          <w:szCs w:val="24"/>
        </w:rPr>
        <w:t xml:space="preserve">To answer research question 4, ED’s contractor will use the envelopes mailed to the contractor by participating high schools. </w:t>
      </w:r>
      <w:r w:rsidR="00575C90">
        <w:rPr>
          <w:sz w:val="24"/>
          <w:szCs w:val="24"/>
        </w:rPr>
        <w:t xml:space="preserve">REL Southwest will </w:t>
      </w:r>
      <w:r w:rsidR="00C241C3">
        <w:rPr>
          <w:sz w:val="24"/>
          <w:szCs w:val="24"/>
        </w:rPr>
        <w:t xml:space="preserve">also </w:t>
      </w:r>
      <w:r w:rsidR="00575C90">
        <w:rPr>
          <w:sz w:val="24"/>
          <w:szCs w:val="24"/>
        </w:rPr>
        <w:t>u</w:t>
      </w:r>
      <w:r w:rsidR="00C241C3">
        <w:rPr>
          <w:sz w:val="24"/>
          <w:szCs w:val="24"/>
        </w:rPr>
        <w:t>tilize</w:t>
      </w:r>
      <w:r w:rsidR="00575C90">
        <w:rPr>
          <w:sz w:val="24"/>
          <w:szCs w:val="24"/>
        </w:rPr>
        <w:t xml:space="preserve"> data from a survey administered to all districts in Texas to describe the how </w:t>
      </w:r>
      <w:r w:rsidR="00C241C3">
        <w:rPr>
          <w:sz w:val="24"/>
          <w:szCs w:val="24"/>
        </w:rPr>
        <w:t xml:space="preserve">study </w:t>
      </w:r>
      <w:r w:rsidR="00575C90">
        <w:rPr>
          <w:sz w:val="24"/>
          <w:szCs w:val="24"/>
        </w:rPr>
        <w:t xml:space="preserve">districts are disseminating information about the new graduation requirements to parents and students. The survey achieved a response rate of over 80 percent. </w:t>
      </w:r>
    </w:p>
    <w:p w14:paraId="37E83CE2" w14:textId="77777777" w:rsidR="003F45AA" w:rsidRPr="003F45AA" w:rsidRDefault="003F45AA" w:rsidP="003F45AA">
      <w:pPr>
        <w:keepNext/>
        <w:keepLines/>
        <w:widowControl w:val="0"/>
        <w:autoSpaceDE w:val="0"/>
        <w:autoSpaceDN w:val="0"/>
        <w:adjustRightInd w:val="0"/>
        <w:spacing w:before="480" w:after="0" w:line="276" w:lineRule="auto"/>
        <w:jc w:val="center"/>
        <w:outlineLvl w:val="0"/>
        <w:rPr>
          <w:rFonts w:eastAsiaTheme="majorEastAsia" w:cstheme="majorBidi"/>
          <w:b/>
          <w:sz w:val="28"/>
          <w:szCs w:val="28"/>
        </w:rPr>
      </w:pPr>
      <w:bookmarkStart w:id="19" w:name="_Toc395078980"/>
      <w:bookmarkStart w:id="20" w:name="_Toc417375833"/>
      <w:r w:rsidRPr="003F45AA">
        <w:rPr>
          <w:rFonts w:eastAsiaTheme="majorEastAsia" w:cstheme="majorBidi"/>
          <w:b/>
          <w:sz w:val="28"/>
          <w:szCs w:val="28"/>
        </w:rPr>
        <w:t>3. Description of Procedures for Maximizing Response Rates</w:t>
      </w:r>
      <w:bookmarkEnd w:id="19"/>
      <w:bookmarkEnd w:id="20"/>
    </w:p>
    <w:p w14:paraId="63747CBF" w14:textId="05071587" w:rsidR="00AF4723" w:rsidRPr="00F5772F" w:rsidRDefault="00AF4723" w:rsidP="00AF4723">
      <w:pPr>
        <w:pStyle w:val="BodyText"/>
        <w:spacing w:before="0" w:line="276" w:lineRule="auto"/>
      </w:pPr>
      <w:r w:rsidRPr="00B14CE1">
        <w:rPr>
          <w:rFonts w:asciiTheme="minorHAnsi" w:hAnsiTheme="minorHAnsi"/>
        </w:rPr>
        <w:t>ED is committed to obtaining complete data for this evaluation.</w:t>
      </w:r>
      <w:r w:rsidRPr="00F5772F">
        <w:t xml:space="preserve"> </w:t>
      </w:r>
      <w:r w:rsidR="00B37B7D">
        <w:rPr>
          <w:rFonts w:asciiTheme="minorHAnsi" w:hAnsiTheme="minorHAnsi"/>
        </w:rPr>
        <w:t>T</w:t>
      </w:r>
      <w:r>
        <w:rPr>
          <w:rFonts w:asciiTheme="minorHAnsi" w:hAnsiTheme="minorHAnsi"/>
        </w:rPr>
        <w:t xml:space="preserve">his </w:t>
      </w:r>
      <w:r w:rsidR="000173D2">
        <w:rPr>
          <w:rFonts w:asciiTheme="minorHAnsi" w:hAnsiTheme="minorHAnsi"/>
        </w:rPr>
        <w:t>impact study</w:t>
      </w:r>
      <w:r>
        <w:rPr>
          <w:rFonts w:asciiTheme="minorHAnsi" w:hAnsiTheme="minorHAnsi"/>
        </w:rPr>
        <w:t xml:space="preserve"> </w:t>
      </w:r>
      <w:r w:rsidRPr="001B3C27">
        <w:rPr>
          <w:rFonts w:asciiTheme="minorHAnsi" w:hAnsiTheme="minorHAnsi"/>
        </w:rPr>
        <w:t xml:space="preserve">relies on administrative data. ED’s contractor anticipates a 95-percent response rate from </w:t>
      </w:r>
      <w:r>
        <w:rPr>
          <w:rFonts w:asciiTheme="minorHAnsi" w:hAnsiTheme="minorHAnsi"/>
        </w:rPr>
        <w:t>TEA</w:t>
      </w:r>
      <w:r w:rsidRPr="001B3C27">
        <w:rPr>
          <w:rFonts w:asciiTheme="minorHAnsi" w:hAnsiTheme="minorHAnsi"/>
        </w:rPr>
        <w:t xml:space="preserve"> on student</w:t>
      </w:r>
      <w:r>
        <w:rPr>
          <w:rFonts w:asciiTheme="minorHAnsi" w:hAnsiTheme="minorHAnsi"/>
        </w:rPr>
        <w:t xml:space="preserve"> variables</w:t>
      </w:r>
      <w:r w:rsidRPr="001B3C27">
        <w:rPr>
          <w:rFonts w:asciiTheme="minorHAnsi" w:hAnsiTheme="minorHAnsi"/>
        </w:rPr>
        <w:t xml:space="preserve"> in the administrative data. </w:t>
      </w:r>
      <w:r>
        <w:rPr>
          <w:rFonts w:asciiTheme="minorHAnsi" w:hAnsiTheme="minorHAnsi"/>
        </w:rPr>
        <w:t>That is</w:t>
      </w:r>
      <w:r w:rsidR="00B37B7D">
        <w:rPr>
          <w:rFonts w:asciiTheme="minorHAnsi" w:hAnsiTheme="minorHAnsi"/>
        </w:rPr>
        <w:t>,</w:t>
      </w:r>
      <w:r>
        <w:rPr>
          <w:rFonts w:asciiTheme="minorHAnsi" w:hAnsiTheme="minorHAnsi"/>
        </w:rPr>
        <w:t xml:space="preserve"> ED’s contractor assumes 5 percent or less of the data will be missing on key variables. </w:t>
      </w:r>
      <w:r w:rsidRPr="001B3C27">
        <w:rPr>
          <w:rFonts w:asciiTheme="minorHAnsi" w:hAnsiTheme="minorHAnsi"/>
        </w:rPr>
        <w:t xml:space="preserve">ED’s contractor has a strong working relationship with representatives from </w:t>
      </w:r>
      <w:r>
        <w:rPr>
          <w:rFonts w:asciiTheme="minorHAnsi" w:hAnsiTheme="minorHAnsi"/>
        </w:rPr>
        <w:t>TEA</w:t>
      </w:r>
      <w:r w:rsidRPr="001B3C27">
        <w:rPr>
          <w:rFonts w:asciiTheme="minorHAnsi" w:hAnsiTheme="minorHAnsi"/>
        </w:rPr>
        <w:t xml:space="preserve">. All administrative data files will be reviewed for consistency and completeness. </w:t>
      </w:r>
      <w:r w:rsidR="00D06C02">
        <w:rPr>
          <w:rFonts w:asciiTheme="minorHAnsi" w:hAnsiTheme="minorHAnsi"/>
        </w:rPr>
        <w:t xml:space="preserve">The response rate from schools regarding the returned envelopes will be, by definition, 100 percent. </w:t>
      </w:r>
    </w:p>
    <w:p w14:paraId="06E292A4" w14:textId="77777777" w:rsidR="003F45AA" w:rsidRDefault="003F45AA" w:rsidP="003F45AA"/>
    <w:p w14:paraId="3D205C98" w14:textId="5B4D3F76" w:rsidR="00DF45A0" w:rsidRDefault="00111912" w:rsidP="00111912">
      <w:pPr>
        <w:spacing w:after="0" w:line="276" w:lineRule="auto"/>
        <w:rPr>
          <w:sz w:val="24"/>
          <w:szCs w:val="24"/>
        </w:rPr>
      </w:pPr>
      <w:r w:rsidRPr="00B970FB">
        <w:rPr>
          <w:sz w:val="24"/>
          <w:szCs w:val="24"/>
        </w:rPr>
        <w:t xml:space="preserve">Based on its prior experience with </w:t>
      </w:r>
      <w:r w:rsidR="00DF45A0">
        <w:rPr>
          <w:sz w:val="24"/>
          <w:szCs w:val="24"/>
        </w:rPr>
        <w:t>recruiting schools to participate in RCTs</w:t>
      </w:r>
      <w:r w:rsidRPr="00B970FB">
        <w:rPr>
          <w:sz w:val="24"/>
          <w:szCs w:val="24"/>
        </w:rPr>
        <w:t xml:space="preserve">, ED’s contractor expects </w:t>
      </w:r>
      <w:r w:rsidR="00DF45A0">
        <w:rPr>
          <w:sz w:val="24"/>
          <w:szCs w:val="24"/>
        </w:rPr>
        <w:t xml:space="preserve">to have </w:t>
      </w:r>
      <w:r w:rsidR="000173D2">
        <w:rPr>
          <w:sz w:val="24"/>
          <w:szCs w:val="24"/>
        </w:rPr>
        <w:t xml:space="preserve">minimal </w:t>
      </w:r>
      <w:r w:rsidR="00DF45A0">
        <w:rPr>
          <w:sz w:val="24"/>
          <w:szCs w:val="24"/>
        </w:rPr>
        <w:t>difficulty recruiting high schools to participate in the study</w:t>
      </w:r>
      <w:r>
        <w:rPr>
          <w:sz w:val="24"/>
          <w:szCs w:val="24"/>
        </w:rPr>
        <w:t>.</w:t>
      </w:r>
      <w:r w:rsidRPr="00B970FB">
        <w:rPr>
          <w:sz w:val="24"/>
          <w:szCs w:val="24"/>
        </w:rPr>
        <w:t xml:space="preserve"> </w:t>
      </w:r>
      <w:r w:rsidR="00DF45A0">
        <w:rPr>
          <w:sz w:val="24"/>
          <w:szCs w:val="24"/>
        </w:rPr>
        <w:t>ED’s contractor will utilize a t</w:t>
      </w:r>
      <w:r w:rsidR="00AB18B6">
        <w:rPr>
          <w:sz w:val="24"/>
          <w:szCs w:val="24"/>
        </w:rPr>
        <w:t>wo</w:t>
      </w:r>
      <w:r w:rsidR="00DF45A0">
        <w:rPr>
          <w:sz w:val="24"/>
          <w:szCs w:val="24"/>
        </w:rPr>
        <w:t xml:space="preserve">-part process to make schools aware of the project, invite them to participate, and answer questions that schools might have about the study. </w:t>
      </w:r>
    </w:p>
    <w:p w14:paraId="1D8D03D8" w14:textId="77777777" w:rsidR="00DF45A0" w:rsidRDefault="00DF45A0" w:rsidP="00111912">
      <w:pPr>
        <w:spacing w:after="0" w:line="276" w:lineRule="auto"/>
        <w:rPr>
          <w:sz w:val="24"/>
          <w:szCs w:val="24"/>
        </w:rPr>
      </w:pPr>
    </w:p>
    <w:p w14:paraId="45D93A07" w14:textId="0BAEBDE3" w:rsidR="009E7E73" w:rsidRDefault="00DF45A0" w:rsidP="009E7E73">
      <w:pPr>
        <w:spacing w:after="0" w:line="276" w:lineRule="auto"/>
        <w:rPr>
          <w:sz w:val="24"/>
        </w:rPr>
      </w:pPr>
      <w:r w:rsidRPr="0011646C">
        <w:rPr>
          <w:rFonts w:ascii="Calibri" w:hAnsi="Calibri"/>
          <w:sz w:val="24"/>
        </w:rPr>
        <w:t>Recruitment will be conducted via email</w:t>
      </w:r>
      <w:r w:rsidRPr="001942BF">
        <w:rPr>
          <w:rFonts w:ascii="Calibri" w:eastAsia="Calibri" w:hAnsi="Calibri" w:cs="Times New Roman"/>
          <w:sz w:val="24"/>
          <w:szCs w:val="24"/>
        </w:rPr>
        <w:t xml:space="preserve"> and telephone</w:t>
      </w:r>
      <w:r w:rsidRPr="0011646C">
        <w:rPr>
          <w:rFonts w:ascii="Calibri" w:hAnsi="Calibri"/>
          <w:sz w:val="24"/>
        </w:rPr>
        <w:t xml:space="preserve">. Around the third week of October, </w:t>
      </w:r>
      <w:r>
        <w:rPr>
          <w:rFonts w:ascii="Calibri" w:hAnsi="Calibri"/>
          <w:sz w:val="24"/>
        </w:rPr>
        <w:t>ED’s contractor</w:t>
      </w:r>
      <w:r w:rsidRPr="0011646C">
        <w:rPr>
          <w:rFonts w:ascii="Calibri" w:hAnsi="Calibri"/>
          <w:sz w:val="24"/>
        </w:rPr>
        <w:t xml:space="preserve"> will send a</w:t>
      </w:r>
      <w:r w:rsidR="00AB18B6">
        <w:rPr>
          <w:rFonts w:ascii="Calibri" w:hAnsi="Calibri"/>
          <w:sz w:val="24"/>
        </w:rPr>
        <w:t>n</w:t>
      </w:r>
      <w:r w:rsidRPr="0011646C">
        <w:rPr>
          <w:rFonts w:ascii="Calibri" w:hAnsi="Calibri"/>
          <w:sz w:val="24"/>
        </w:rPr>
        <w:t xml:space="preserve"> email </w:t>
      </w:r>
      <w:r w:rsidR="00AB18B6">
        <w:rPr>
          <w:rFonts w:ascii="Calibri" w:hAnsi="Calibri"/>
          <w:sz w:val="24"/>
        </w:rPr>
        <w:t xml:space="preserve">message </w:t>
      </w:r>
      <w:r w:rsidRPr="0011646C">
        <w:rPr>
          <w:rFonts w:ascii="Calibri" w:hAnsi="Calibri"/>
          <w:sz w:val="24"/>
        </w:rPr>
        <w:t>to all high school principals in the state introducing the study and inviting them to participate. The emails will outline the goals of the study, the content of the informational materials, and the school’s role in information dissemination if randomized into the tr</w:t>
      </w:r>
      <w:r w:rsidR="0003261A">
        <w:rPr>
          <w:rFonts w:ascii="Calibri" w:hAnsi="Calibri"/>
          <w:sz w:val="24"/>
        </w:rPr>
        <w:t>eatment condition</w:t>
      </w:r>
      <w:r w:rsidRPr="0011646C">
        <w:rPr>
          <w:rFonts w:ascii="Calibri" w:hAnsi="Calibri"/>
          <w:sz w:val="24"/>
        </w:rPr>
        <w:t xml:space="preserve">. Principals will be made aware that this study is a randomized controlled trial (RCT) and that only half of participating schools will receive the </w:t>
      </w:r>
      <w:r w:rsidR="00C241C3">
        <w:rPr>
          <w:rFonts w:ascii="Calibri" w:hAnsi="Calibri"/>
          <w:sz w:val="24"/>
        </w:rPr>
        <w:lastRenderedPageBreak/>
        <w:t xml:space="preserve">treatment </w:t>
      </w:r>
      <w:r w:rsidRPr="0011646C">
        <w:rPr>
          <w:rFonts w:ascii="Calibri" w:hAnsi="Calibri"/>
          <w:sz w:val="24"/>
        </w:rPr>
        <w:t>informational materials initially</w:t>
      </w:r>
      <w:r w:rsidR="00C241C3">
        <w:rPr>
          <w:rFonts w:ascii="Calibri" w:hAnsi="Calibri"/>
          <w:sz w:val="24"/>
        </w:rPr>
        <w:t xml:space="preserve">, while the control schools will receive </w:t>
      </w:r>
      <w:r w:rsidR="00C241C3">
        <w:rPr>
          <w:rFonts w:ascii="Calibri" w:hAnsi="Calibri"/>
        </w:rPr>
        <w:t xml:space="preserve"> information describing changes to the Texas graduation requirements and providing parents with links to additional resources describing these changes included on state and regional websites</w:t>
      </w:r>
      <w:r w:rsidRPr="0011646C">
        <w:rPr>
          <w:rFonts w:ascii="Calibri" w:hAnsi="Calibri"/>
          <w:sz w:val="24"/>
        </w:rPr>
        <w:t>; however, they will also be informed that their schools will receive the materials, if desired, after the conclusion of the study—the 2017-18 school year. Interested principals will be directed to contact REL Southwest for additional information.</w:t>
      </w:r>
      <w:r w:rsidRPr="001942BF">
        <w:rPr>
          <w:rFonts w:ascii="Calibri" w:eastAsia="Calibri" w:hAnsi="Calibri" w:cs="Times New Roman"/>
          <w:sz w:val="24"/>
          <w:szCs w:val="24"/>
        </w:rPr>
        <w:t xml:space="preserve"> A follow-up email will be sent to all non-responding principals </w:t>
      </w:r>
      <w:r w:rsidR="00D06C02">
        <w:rPr>
          <w:rFonts w:ascii="Calibri" w:eastAsia="Calibri" w:hAnsi="Calibri" w:cs="Times New Roman"/>
          <w:sz w:val="24"/>
          <w:szCs w:val="24"/>
        </w:rPr>
        <w:t>one</w:t>
      </w:r>
      <w:r w:rsidRPr="001942BF">
        <w:rPr>
          <w:rFonts w:ascii="Calibri" w:eastAsia="Calibri" w:hAnsi="Calibri" w:cs="Times New Roman"/>
          <w:sz w:val="24"/>
          <w:szCs w:val="24"/>
        </w:rPr>
        <w:t xml:space="preserve"> week after the initial email</w:t>
      </w:r>
      <w:r w:rsidR="00D06C02">
        <w:rPr>
          <w:rFonts w:ascii="Calibri" w:eastAsia="Calibri" w:hAnsi="Calibri" w:cs="Times New Roman"/>
          <w:sz w:val="24"/>
          <w:szCs w:val="24"/>
        </w:rPr>
        <w:t>, with a second follow-up e-mail sent to all non-responding principals one week after the first follow-up</w:t>
      </w:r>
      <w:r w:rsidRPr="001942BF">
        <w:rPr>
          <w:rFonts w:ascii="Calibri" w:eastAsia="Calibri" w:hAnsi="Calibri" w:cs="Times New Roman"/>
          <w:sz w:val="24"/>
          <w:szCs w:val="24"/>
        </w:rPr>
        <w:t>. One week after distribution of the</w:t>
      </w:r>
      <w:r w:rsidR="00D06C02">
        <w:rPr>
          <w:rFonts w:ascii="Calibri" w:eastAsia="Calibri" w:hAnsi="Calibri" w:cs="Times New Roman"/>
          <w:sz w:val="24"/>
          <w:szCs w:val="24"/>
        </w:rPr>
        <w:t xml:space="preserve"> second</w:t>
      </w:r>
      <w:r w:rsidRPr="001942BF">
        <w:rPr>
          <w:rFonts w:ascii="Calibri" w:eastAsia="Calibri" w:hAnsi="Calibri" w:cs="Times New Roman"/>
          <w:sz w:val="24"/>
          <w:szCs w:val="24"/>
        </w:rPr>
        <w:t xml:space="preserve"> follow-up email, if enough schools have not agree to participate in the study, </w:t>
      </w:r>
      <w:r>
        <w:rPr>
          <w:rFonts w:ascii="Calibri" w:eastAsia="Calibri" w:hAnsi="Calibri" w:cs="Times New Roman"/>
          <w:sz w:val="24"/>
          <w:szCs w:val="24"/>
        </w:rPr>
        <w:t xml:space="preserve">REL Southwest will begin </w:t>
      </w:r>
      <w:r w:rsidRPr="001942BF">
        <w:rPr>
          <w:rFonts w:ascii="Calibri" w:eastAsia="Calibri" w:hAnsi="Calibri" w:cs="Times New Roman"/>
          <w:sz w:val="24"/>
          <w:szCs w:val="24"/>
        </w:rPr>
        <w:t>conduct</w:t>
      </w:r>
      <w:r>
        <w:rPr>
          <w:rFonts w:ascii="Calibri" w:eastAsia="Calibri" w:hAnsi="Calibri" w:cs="Times New Roman"/>
          <w:sz w:val="24"/>
          <w:szCs w:val="24"/>
        </w:rPr>
        <w:t>ing</w:t>
      </w:r>
      <w:r w:rsidRPr="001942BF">
        <w:rPr>
          <w:rFonts w:ascii="Calibri" w:eastAsia="Calibri" w:hAnsi="Calibri" w:cs="Times New Roman"/>
          <w:sz w:val="24"/>
          <w:szCs w:val="24"/>
        </w:rPr>
        <w:t xml:space="preserve"> telephone recruiting calls. </w:t>
      </w:r>
      <w:r w:rsidR="009E7E73">
        <w:rPr>
          <w:rFonts w:eastAsia="Calibri"/>
          <w:color w:val="000000"/>
          <w:sz w:val="24"/>
          <w:szCs w:val="24"/>
        </w:rPr>
        <w:t>REL Southwest</w:t>
      </w:r>
      <w:r w:rsidR="009E7E73" w:rsidRPr="00E73BFB">
        <w:rPr>
          <w:rFonts w:eastAsia="Calibri"/>
          <w:color w:val="000000"/>
          <w:sz w:val="24"/>
          <w:szCs w:val="24"/>
        </w:rPr>
        <w:t xml:space="preserve"> anticipate</w:t>
      </w:r>
      <w:r w:rsidR="009E7E73">
        <w:rPr>
          <w:rFonts w:eastAsia="Calibri"/>
          <w:color w:val="000000"/>
          <w:sz w:val="24"/>
          <w:szCs w:val="24"/>
        </w:rPr>
        <w:t>s that it</w:t>
      </w:r>
      <w:r w:rsidR="009E7E73" w:rsidRPr="00E73BFB">
        <w:rPr>
          <w:rFonts w:eastAsia="Calibri"/>
          <w:color w:val="000000"/>
          <w:sz w:val="24"/>
          <w:szCs w:val="24"/>
        </w:rPr>
        <w:t xml:space="preserve"> will be able to recruit abo</w:t>
      </w:r>
      <w:r w:rsidR="009E7E73">
        <w:rPr>
          <w:rFonts w:eastAsia="Calibri"/>
          <w:color w:val="000000"/>
          <w:sz w:val="24"/>
          <w:szCs w:val="24"/>
        </w:rPr>
        <w:t>ut 80 high schools via email. REL Southwest</w:t>
      </w:r>
      <w:r w:rsidR="009E7E73" w:rsidRPr="00E73BFB">
        <w:rPr>
          <w:rFonts w:eastAsia="Calibri"/>
          <w:color w:val="000000"/>
          <w:sz w:val="24"/>
          <w:szCs w:val="24"/>
        </w:rPr>
        <w:t xml:space="preserve"> also anticipate</w:t>
      </w:r>
      <w:r w:rsidR="009E7E73">
        <w:rPr>
          <w:rFonts w:eastAsia="Calibri"/>
          <w:color w:val="000000"/>
          <w:sz w:val="24"/>
          <w:szCs w:val="24"/>
        </w:rPr>
        <w:t>s</w:t>
      </w:r>
      <w:r w:rsidR="009E7E73" w:rsidRPr="00E73BFB">
        <w:rPr>
          <w:rFonts w:eastAsia="Calibri"/>
          <w:color w:val="000000"/>
          <w:sz w:val="24"/>
          <w:szCs w:val="24"/>
        </w:rPr>
        <w:t xml:space="preserve"> needing to contact approximately 150 high school principals via telephone in order to recruit an additional 64 high schools. To re</w:t>
      </w:r>
      <w:r w:rsidR="009E7E73">
        <w:rPr>
          <w:rFonts w:eastAsia="Calibri"/>
          <w:color w:val="000000"/>
          <w:sz w:val="24"/>
          <w:szCs w:val="24"/>
        </w:rPr>
        <w:t>cruit additional high schools, they</w:t>
      </w:r>
      <w:r w:rsidR="009E7E73" w:rsidRPr="00E73BFB">
        <w:rPr>
          <w:rFonts w:eastAsia="Calibri"/>
          <w:color w:val="000000"/>
          <w:sz w:val="24"/>
          <w:szCs w:val="24"/>
        </w:rPr>
        <w:t xml:space="preserve"> will begin by contacting other high schools within the same districts as those that have already agreed to participate. If this does not result  in a sufficient number of high schools, random numbers will be assigned to each of the high schools in Texas that have not responded to the recruitment emails, and the schools will be sorted in chronological order by these random numbers. Starting with the smallest number, high schools will be contacted via telephone and asked to participate in the study</w:t>
      </w:r>
      <w:r w:rsidR="009E7E73">
        <w:rPr>
          <w:rFonts w:eastAsia="Calibri"/>
          <w:color w:val="000000"/>
        </w:rPr>
        <w:t>.</w:t>
      </w:r>
    </w:p>
    <w:p w14:paraId="3994001A" w14:textId="77777777" w:rsidR="009E7E73" w:rsidRDefault="009E7E73" w:rsidP="00DF45A0">
      <w:pPr>
        <w:spacing w:after="0" w:line="276" w:lineRule="auto"/>
        <w:rPr>
          <w:rFonts w:ascii="Calibri" w:eastAsia="Calibri" w:hAnsi="Calibri" w:cs="Times New Roman"/>
          <w:sz w:val="24"/>
          <w:szCs w:val="24"/>
        </w:rPr>
      </w:pPr>
    </w:p>
    <w:p w14:paraId="7DD4ABF3" w14:textId="6292A97B" w:rsidR="00DF45A0" w:rsidRDefault="009E7E73" w:rsidP="00DF45A0">
      <w:pPr>
        <w:spacing w:after="0" w:line="276" w:lineRule="auto"/>
        <w:rPr>
          <w:rFonts w:ascii="Calibri" w:eastAsia="Calibri" w:hAnsi="Calibri" w:cs="Times New Roman"/>
          <w:sz w:val="24"/>
          <w:szCs w:val="24"/>
        </w:rPr>
      </w:pPr>
      <w:r>
        <w:rPr>
          <w:rFonts w:ascii="Calibri" w:eastAsia="Calibri" w:hAnsi="Calibri" w:cs="Times New Roman"/>
          <w:sz w:val="24"/>
          <w:szCs w:val="24"/>
        </w:rPr>
        <w:t xml:space="preserve">During the recruiting process, </w:t>
      </w:r>
      <w:r w:rsidR="00DF45A0" w:rsidRPr="001942BF">
        <w:rPr>
          <w:rFonts w:ascii="Calibri" w:eastAsia="Calibri" w:hAnsi="Calibri" w:cs="Times New Roman"/>
          <w:sz w:val="24"/>
          <w:szCs w:val="24"/>
        </w:rPr>
        <w:t>REL Southwest researcher</w:t>
      </w:r>
      <w:r>
        <w:rPr>
          <w:rFonts w:ascii="Calibri" w:eastAsia="Calibri" w:hAnsi="Calibri" w:cs="Times New Roman"/>
          <w:sz w:val="24"/>
          <w:szCs w:val="24"/>
        </w:rPr>
        <w:t>s</w:t>
      </w:r>
      <w:r w:rsidR="00DF45A0" w:rsidRPr="001942BF">
        <w:rPr>
          <w:rFonts w:ascii="Calibri" w:eastAsia="Calibri" w:hAnsi="Calibri" w:cs="Times New Roman"/>
          <w:sz w:val="24"/>
          <w:szCs w:val="24"/>
        </w:rPr>
        <w:t xml:space="preserve"> will ensure that principals understand the nature of the study and the responsibilities of participating schools. Once principals have agreed to participate in the study, they will be asked to sign a memorandum of understanding/consent </w:t>
      </w:r>
      <w:r w:rsidR="00471719" w:rsidRPr="001942BF">
        <w:rPr>
          <w:rFonts w:ascii="Calibri" w:eastAsia="Calibri" w:hAnsi="Calibri" w:cs="Times New Roman"/>
          <w:sz w:val="24"/>
          <w:szCs w:val="24"/>
        </w:rPr>
        <w:t>form</w:t>
      </w:r>
      <w:r w:rsidR="00471719">
        <w:rPr>
          <w:rFonts w:ascii="Calibri" w:eastAsia="Calibri" w:hAnsi="Calibri" w:cs="Times New Roman"/>
          <w:sz w:val="24"/>
          <w:szCs w:val="24"/>
        </w:rPr>
        <w:t xml:space="preserve"> (A</w:t>
      </w:r>
      <w:r w:rsidR="008C4AC1">
        <w:rPr>
          <w:rFonts w:ascii="Calibri" w:eastAsia="Calibri" w:hAnsi="Calibri" w:cs="Times New Roman"/>
          <w:sz w:val="24"/>
          <w:szCs w:val="24"/>
        </w:rPr>
        <w:t>ttachment B-1</w:t>
      </w:r>
      <w:r w:rsidR="00471719">
        <w:rPr>
          <w:rFonts w:ascii="Calibri" w:eastAsia="Calibri" w:hAnsi="Calibri" w:cs="Times New Roman"/>
          <w:sz w:val="24"/>
          <w:szCs w:val="24"/>
        </w:rPr>
        <w:t xml:space="preserve">) </w:t>
      </w:r>
      <w:r w:rsidR="00DF45A0" w:rsidRPr="001942BF">
        <w:rPr>
          <w:rFonts w:ascii="Calibri" w:eastAsia="Calibri" w:hAnsi="Calibri" w:cs="Times New Roman"/>
          <w:sz w:val="24"/>
          <w:szCs w:val="24"/>
        </w:rPr>
        <w:t xml:space="preserve">indicating that their school agrees to participate in the study.  </w:t>
      </w:r>
    </w:p>
    <w:p w14:paraId="421428BB" w14:textId="77777777" w:rsidR="000173D2" w:rsidRDefault="000173D2" w:rsidP="00DF45A0">
      <w:pPr>
        <w:spacing w:after="0" w:line="276" w:lineRule="auto"/>
        <w:rPr>
          <w:rFonts w:ascii="Calibri" w:eastAsia="Calibri" w:hAnsi="Calibri" w:cs="Times New Roman"/>
          <w:sz w:val="24"/>
          <w:szCs w:val="24"/>
        </w:rPr>
      </w:pPr>
    </w:p>
    <w:p w14:paraId="1A6B5A5D" w14:textId="6676381C" w:rsidR="000173D2" w:rsidRDefault="000173D2" w:rsidP="00DF45A0">
      <w:pPr>
        <w:spacing w:after="0" w:line="276" w:lineRule="auto"/>
        <w:rPr>
          <w:sz w:val="24"/>
          <w:szCs w:val="24"/>
        </w:rPr>
      </w:pPr>
      <w:r>
        <w:rPr>
          <w:sz w:val="24"/>
          <w:szCs w:val="24"/>
        </w:rPr>
        <w:t>While ED’s contractor does not intend to provide principals or schools with incentives to participate in the study, the cost of materials and material dissemination will be reimburse</w:t>
      </w:r>
      <w:r w:rsidR="00D06C02">
        <w:rPr>
          <w:sz w:val="24"/>
          <w:szCs w:val="24"/>
        </w:rPr>
        <w:t>d</w:t>
      </w:r>
      <w:r w:rsidR="003B1176">
        <w:rPr>
          <w:sz w:val="24"/>
          <w:szCs w:val="24"/>
        </w:rPr>
        <w:t>. As part of the recruiting process</w:t>
      </w:r>
      <w:r>
        <w:rPr>
          <w:sz w:val="24"/>
          <w:szCs w:val="24"/>
        </w:rPr>
        <w:t xml:space="preserve"> principals </w:t>
      </w:r>
      <w:r w:rsidR="003B1176">
        <w:rPr>
          <w:sz w:val="24"/>
          <w:szCs w:val="24"/>
        </w:rPr>
        <w:t>w</w:t>
      </w:r>
      <w:r>
        <w:rPr>
          <w:sz w:val="24"/>
          <w:szCs w:val="24"/>
        </w:rPr>
        <w:t>ill</w:t>
      </w:r>
      <w:r w:rsidR="003B1176">
        <w:rPr>
          <w:sz w:val="24"/>
          <w:szCs w:val="24"/>
        </w:rPr>
        <w:t xml:space="preserve"> be informed that they will be</w:t>
      </w:r>
      <w:r>
        <w:rPr>
          <w:sz w:val="24"/>
          <w:szCs w:val="24"/>
        </w:rPr>
        <w:t xml:space="preserve"> provide</w:t>
      </w:r>
      <w:r w:rsidR="003B1176">
        <w:rPr>
          <w:sz w:val="24"/>
          <w:szCs w:val="24"/>
        </w:rPr>
        <w:t>d</w:t>
      </w:r>
      <w:r>
        <w:rPr>
          <w:sz w:val="24"/>
          <w:szCs w:val="24"/>
        </w:rPr>
        <w:t xml:space="preserve"> with all of the materials necessary to distribute </w:t>
      </w:r>
      <w:r w:rsidR="003B1176">
        <w:rPr>
          <w:sz w:val="24"/>
          <w:szCs w:val="24"/>
        </w:rPr>
        <w:t>the</w:t>
      </w:r>
      <w:r>
        <w:rPr>
          <w:sz w:val="24"/>
          <w:szCs w:val="24"/>
        </w:rPr>
        <w:t xml:space="preserve"> informational brochure</w:t>
      </w:r>
      <w:r w:rsidR="003B1176">
        <w:rPr>
          <w:sz w:val="24"/>
          <w:szCs w:val="24"/>
        </w:rPr>
        <w:t>s</w:t>
      </w:r>
      <w:r>
        <w:rPr>
          <w:sz w:val="24"/>
          <w:szCs w:val="24"/>
        </w:rPr>
        <w:t xml:space="preserve">. </w:t>
      </w:r>
      <w:r w:rsidR="003B1176">
        <w:rPr>
          <w:sz w:val="24"/>
          <w:szCs w:val="24"/>
        </w:rPr>
        <w:t>In January, p</w:t>
      </w:r>
      <w:r>
        <w:rPr>
          <w:sz w:val="24"/>
          <w:szCs w:val="24"/>
        </w:rPr>
        <w:t xml:space="preserve">rincipals will be asked to provide ED’s contractor with the number of </w:t>
      </w:r>
      <w:r w:rsidR="003B1176">
        <w:rPr>
          <w:sz w:val="24"/>
          <w:szCs w:val="24"/>
        </w:rPr>
        <w:t>current students who entered grade 9 during the</w:t>
      </w:r>
      <w:r>
        <w:rPr>
          <w:sz w:val="24"/>
          <w:szCs w:val="24"/>
        </w:rPr>
        <w:t xml:space="preserve"> 2014–15 school year</w:t>
      </w:r>
      <w:r w:rsidR="003B1176">
        <w:rPr>
          <w:sz w:val="24"/>
          <w:szCs w:val="24"/>
        </w:rPr>
        <w:t xml:space="preserve">. Principals </w:t>
      </w:r>
      <w:r>
        <w:rPr>
          <w:sz w:val="24"/>
          <w:szCs w:val="24"/>
        </w:rPr>
        <w:t>will</w:t>
      </w:r>
      <w:r w:rsidR="003B1176">
        <w:rPr>
          <w:sz w:val="24"/>
          <w:szCs w:val="24"/>
        </w:rPr>
        <w:t xml:space="preserve"> be</w:t>
      </w:r>
      <w:r>
        <w:rPr>
          <w:sz w:val="24"/>
          <w:szCs w:val="24"/>
        </w:rPr>
        <w:t xml:space="preserve"> provide</w:t>
      </w:r>
      <w:r w:rsidR="003B1176">
        <w:rPr>
          <w:sz w:val="24"/>
          <w:szCs w:val="24"/>
        </w:rPr>
        <w:t>d</w:t>
      </w:r>
      <w:r>
        <w:rPr>
          <w:sz w:val="24"/>
          <w:szCs w:val="24"/>
        </w:rPr>
        <w:t xml:space="preserve"> with enough </w:t>
      </w:r>
      <w:r w:rsidR="003B1176">
        <w:rPr>
          <w:sz w:val="24"/>
          <w:szCs w:val="24"/>
        </w:rPr>
        <w:t xml:space="preserve">study </w:t>
      </w:r>
      <w:r>
        <w:rPr>
          <w:sz w:val="24"/>
          <w:szCs w:val="24"/>
        </w:rPr>
        <w:t>materials for that number of students, plus a few extra. That is, ED’s contractor will send each participating school a box of postage-paid envelopes containing the informational brochures, and we will ask principals to have their administrative staff create mailing labels, affix the labels to the envelopes, and have the envelopes picked up during the regular mail service.</w:t>
      </w:r>
      <w:r w:rsidR="00846966">
        <w:rPr>
          <w:sz w:val="24"/>
          <w:szCs w:val="24"/>
        </w:rPr>
        <w:t xml:space="preserve"> Schools will not need to supply any resources other than staff time. </w:t>
      </w:r>
    </w:p>
    <w:p w14:paraId="7F47C61A" w14:textId="77777777" w:rsidR="005B5529" w:rsidRDefault="005B5529" w:rsidP="005B5529">
      <w:pPr>
        <w:spacing w:after="0" w:line="276" w:lineRule="auto"/>
        <w:rPr>
          <w:sz w:val="24"/>
          <w:szCs w:val="24"/>
        </w:rPr>
      </w:pPr>
    </w:p>
    <w:p w14:paraId="5FA5430A" w14:textId="13A1872C" w:rsidR="005B5529" w:rsidRPr="004974FF" w:rsidRDefault="005B5529" w:rsidP="00DF45A0">
      <w:pPr>
        <w:spacing w:after="0" w:line="276" w:lineRule="auto"/>
        <w:rPr>
          <w:rFonts w:ascii="Calibri" w:hAnsi="Calibri"/>
          <w:sz w:val="24"/>
        </w:rPr>
      </w:pPr>
      <w:r w:rsidRPr="005B5529">
        <w:rPr>
          <w:rFonts w:ascii="Calibri" w:eastAsia="Calibri" w:hAnsi="Calibri" w:cs="Times New Roman"/>
          <w:sz w:val="24"/>
          <w:szCs w:val="24"/>
        </w:rPr>
        <w:lastRenderedPageBreak/>
        <w:t xml:space="preserve">Along with these materials, schools will be provided with one postage-paid envelope addressed to ED’s contractor. The envelope will contain the name of the school from which it was sent, and schools will be asked to mail this envelope at the same time as the informational materials. ED’s contractor will use these envelopes to determine which high schools have mailed the informational materials and when they were sent. If schools have not mailed the informational materials within one week of the mailing deadline, ED’s contractor will conduct reminder telephone calls to high school principals. </w:t>
      </w:r>
      <w:r w:rsidR="00226371">
        <w:rPr>
          <w:rFonts w:ascii="Calibri" w:eastAsia="Calibri" w:hAnsi="Calibri" w:cs="Times New Roman"/>
          <w:sz w:val="24"/>
          <w:szCs w:val="24"/>
        </w:rPr>
        <w:t>Schools will be reimbursed up to $150.</w:t>
      </w:r>
    </w:p>
    <w:p w14:paraId="62D5868E" w14:textId="77777777" w:rsidR="00111912" w:rsidRPr="00111912" w:rsidRDefault="00111912" w:rsidP="00111912">
      <w:pPr>
        <w:keepNext/>
        <w:keepLines/>
        <w:widowControl w:val="0"/>
        <w:autoSpaceDE w:val="0"/>
        <w:autoSpaceDN w:val="0"/>
        <w:adjustRightInd w:val="0"/>
        <w:spacing w:before="480" w:after="0" w:line="276" w:lineRule="auto"/>
        <w:jc w:val="center"/>
        <w:outlineLvl w:val="0"/>
        <w:rPr>
          <w:rFonts w:eastAsiaTheme="majorEastAsia" w:cstheme="majorBidi"/>
          <w:b/>
          <w:sz w:val="28"/>
          <w:szCs w:val="28"/>
        </w:rPr>
      </w:pPr>
      <w:bookmarkStart w:id="21" w:name="_Toc395078981"/>
      <w:bookmarkStart w:id="22" w:name="_Toc417375834"/>
      <w:r w:rsidRPr="00111912">
        <w:rPr>
          <w:rFonts w:eastAsiaTheme="majorEastAsia" w:cstheme="majorBidi"/>
          <w:b/>
          <w:sz w:val="28"/>
          <w:szCs w:val="28"/>
        </w:rPr>
        <w:t>4. Description of Tests, Procedures, and Methods</w:t>
      </w:r>
      <w:bookmarkEnd w:id="21"/>
      <w:bookmarkEnd w:id="22"/>
    </w:p>
    <w:p w14:paraId="3497EA66" w14:textId="5F755E1B" w:rsidR="00DE407D" w:rsidRDefault="00DE407D" w:rsidP="00DE407D">
      <w:pPr>
        <w:spacing w:after="0" w:line="276" w:lineRule="auto"/>
        <w:rPr>
          <w:sz w:val="24"/>
          <w:szCs w:val="24"/>
        </w:rPr>
      </w:pPr>
      <w:r>
        <w:rPr>
          <w:sz w:val="24"/>
          <w:szCs w:val="24"/>
        </w:rPr>
        <w:t>Data analyses for this study will consist of a confirmatory analysis examining the impact of providing parents/guardians with</w:t>
      </w:r>
      <w:r w:rsidR="003D533D" w:rsidRPr="0011646C">
        <w:rPr>
          <w:rFonts w:ascii="Calibri" w:hAnsi="Calibri"/>
        </w:rPr>
        <w:t xml:space="preserve"> information </w:t>
      </w:r>
      <w:r w:rsidR="003D533D">
        <w:rPr>
          <w:rFonts w:ascii="Calibri" w:hAnsi="Calibri"/>
        </w:rPr>
        <w:t>describing</w:t>
      </w:r>
      <w:r w:rsidR="003D533D" w:rsidRPr="003064E0">
        <w:t xml:space="preserve"> </w:t>
      </w:r>
      <w:r w:rsidR="003D533D" w:rsidRPr="00C85F83">
        <w:t>changes to the Texas high school graduation requirements, with a specific emphasis on changes to the mathematics requirements and how these changes may impact college access</w:t>
      </w:r>
      <w:r w:rsidR="003D533D">
        <w:t>,</w:t>
      </w:r>
      <w:r>
        <w:rPr>
          <w:sz w:val="24"/>
          <w:szCs w:val="24"/>
        </w:rPr>
        <w:t xml:space="preserve"> on algebra II course enrollment and completion by the end of junior year and a set of exploratory analyses investigating differences in the effect of providing </w:t>
      </w:r>
      <w:r w:rsidR="009000D8">
        <w:rPr>
          <w:sz w:val="24"/>
          <w:szCs w:val="24"/>
        </w:rPr>
        <w:t xml:space="preserve">this </w:t>
      </w:r>
      <w:r>
        <w:rPr>
          <w:sz w:val="24"/>
          <w:szCs w:val="24"/>
        </w:rPr>
        <w:t xml:space="preserve">information on students’ mathematics course completion for various subgroups. </w:t>
      </w:r>
    </w:p>
    <w:p w14:paraId="43082BB6" w14:textId="77777777" w:rsidR="00DE407D" w:rsidRDefault="00DE407D" w:rsidP="00DE407D">
      <w:pPr>
        <w:spacing w:after="0" w:line="276" w:lineRule="auto"/>
        <w:rPr>
          <w:rFonts w:eastAsia="MS Mincho"/>
          <w:sz w:val="24"/>
          <w:szCs w:val="24"/>
          <w:lang w:eastAsia="ja-JP"/>
        </w:rPr>
      </w:pPr>
    </w:p>
    <w:p w14:paraId="2B81CB19" w14:textId="13C4420D" w:rsidR="00111912" w:rsidRDefault="00DE407D" w:rsidP="00DE407D">
      <w:pPr>
        <w:spacing w:after="0" w:line="276" w:lineRule="auto"/>
        <w:rPr>
          <w:sz w:val="24"/>
          <w:szCs w:val="24"/>
        </w:rPr>
      </w:pPr>
      <w:r w:rsidRPr="009000D8">
        <w:rPr>
          <w:rFonts w:eastAsia="MS Mincho"/>
          <w:sz w:val="24"/>
          <w:szCs w:val="24"/>
          <w:lang w:eastAsia="ja-JP"/>
        </w:rPr>
        <w:t>To answer our confirmatory research question, we</w:t>
      </w:r>
      <w:r w:rsidRPr="009000D8">
        <w:rPr>
          <w:sz w:val="24"/>
          <w:szCs w:val="24"/>
        </w:rPr>
        <w:t xml:space="preserve"> will utilize multilevel models to compare algebra II enrollment and completion rates by the end of junior year for students in schools that received</w:t>
      </w:r>
      <w:r w:rsidR="009000D8" w:rsidRPr="00917BF4">
        <w:rPr>
          <w:rFonts w:ascii="Calibri" w:hAnsi="Calibri"/>
          <w:sz w:val="24"/>
          <w:szCs w:val="24"/>
        </w:rPr>
        <w:t xml:space="preserve"> information describing</w:t>
      </w:r>
      <w:r w:rsidR="009000D8" w:rsidRPr="00917BF4">
        <w:rPr>
          <w:sz w:val="24"/>
          <w:szCs w:val="24"/>
        </w:rPr>
        <w:t xml:space="preserve"> changes to the Texas high school graduation requirements, with a specific emphasis on changes to the mathematics requirements and how these changes may impact college access</w:t>
      </w:r>
      <w:r w:rsidR="009000D8" w:rsidRPr="009000D8">
        <w:rPr>
          <w:sz w:val="24"/>
          <w:szCs w:val="24"/>
        </w:rPr>
        <w:t xml:space="preserve">, </w:t>
      </w:r>
      <w:r w:rsidRPr="009000D8">
        <w:rPr>
          <w:sz w:val="24"/>
          <w:szCs w:val="24"/>
        </w:rPr>
        <w:t xml:space="preserve">and students in schools that </w:t>
      </w:r>
      <w:r w:rsidR="009000D8" w:rsidRPr="009000D8">
        <w:rPr>
          <w:sz w:val="24"/>
          <w:szCs w:val="24"/>
        </w:rPr>
        <w:t xml:space="preserve">received </w:t>
      </w:r>
      <w:r w:rsidR="009000D8" w:rsidRPr="00917BF4">
        <w:rPr>
          <w:rFonts w:ascii="Calibri" w:hAnsi="Calibri"/>
          <w:sz w:val="24"/>
          <w:szCs w:val="24"/>
        </w:rPr>
        <w:t>information describing changes to the Texas graduation requirements and providing parents with links to additional resources describing these changes included on state and regional websites</w:t>
      </w:r>
      <w:r w:rsidRPr="009000D8">
        <w:rPr>
          <w:sz w:val="24"/>
          <w:szCs w:val="24"/>
        </w:rPr>
        <w:t>. To answer our exploratory research questions, we will include interaction terms into the model used to analyze our confirmatory research question in order to look for differential impacts for</w:t>
      </w:r>
      <w:r>
        <w:rPr>
          <w:sz w:val="24"/>
          <w:szCs w:val="24"/>
        </w:rPr>
        <w:t xml:space="preserve"> schools with high minority populations and high low-income populations. We will also assess whether there are differential impacts in schools with a higher percentage of low-achieving </w:t>
      </w:r>
      <w:r w:rsidR="00191AD7">
        <w:rPr>
          <w:rFonts w:eastAsia="MS Mincho"/>
          <w:sz w:val="24"/>
          <w:szCs w:val="24"/>
          <w:lang w:eastAsia="ja-JP"/>
        </w:rPr>
        <w:t>students</w:t>
      </w:r>
      <w:r>
        <w:rPr>
          <w:sz w:val="24"/>
          <w:szCs w:val="24"/>
        </w:rPr>
        <w:t>.</w:t>
      </w:r>
    </w:p>
    <w:p w14:paraId="49F5F12A" w14:textId="77777777" w:rsidR="00EA1810" w:rsidRDefault="00EA1810" w:rsidP="00DE407D">
      <w:pPr>
        <w:spacing w:after="0" w:line="276" w:lineRule="auto"/>
        <w:rPr>
          <w:sz w:val="24"/>
          <w:szCs w:val="24"/>
        </w:rPr>
      </w:pPr>
    </w:p>
    <w:p w14:paraId="7AC9AFDC" w14:textId="77777777" w:rsidR="00EA1810" w:rsidRDefault="00EA1810" w:rsidP="00DE407D">
      <w:pPr>
        <w:spacing w:after="0" w:line="276" w:lineRule="auto"/>
        <w:rPr>
          <w:sz w:val="24"/>
          <w:szCs w:val="24"/>
        </w:rPr>
      </w:pPr>
      <w:r>
        <w:rPr>
          <w:sz w:val="24"/>
          <w:szCs w:val="24"/>
        </w:rPr>
        <w:t xml:space="preserve">Although the specific email messages and telephone scripts that will be used in this study have not been pilot tested, they are modeled email messages and telephone scripts that ED’s contractor has used for recruitment in other similar randomized controlled trials. Only minor changes have been made to reflect the nuances of this study. The time burden estimate used here is based on experiences from these similar studies. </w:t>
      </w:r>
    </w:p>
    <w:p w14:paraId="1DB331D6" w14:textId="77777777" w:rsidR="00EA1810" w:rsidRDefault="00EA1810" w:rsidP="00DE407D">
      <w:pPr>
        <w:spacing w:after="0" w:line="276" w:lineRule="auto"/>
        <w:rPr>
          <w:sz w:val="24"/>
          <w:szCs w:val="24"/>
        </w:rPr>
      </w:pPr>
    </w:p>
    <w:p w14:paraId="7B31A80E" w14:textId="0FB21C6E" w:rsidR="00EA1810" w:rsidRPr="00EA1810" w:rsidRDefault="00EA1810" w:rsidP="00DE407D">
      <w:pPr>
        <w:spacing w:after="0" w:line="276" w:lineRule="auto"/>
        <w:rPr>
          <w:sz w:val="24"/>
          <w:szCs w:val="24"/>
        </w:rPr>
      </w:pPr>
      <w:r>
        <w:rPr>
          <w:sz w:val="24"/>
          <w:szCs w:val="24"/>
        </w:rPr>
        <w:t xml:space="preserve">The </w:t>
      </w:r>
      <w:r w:rsidR="00191AD7">
        <w:rPr>
          <w:sz w:val="24"/>
          <w:szCs w:val="24"/>
        </w:rPr>
        <w:t xml:space="preserve">treatment group </w:t>
      </w:r>
      <w:r>
        <w:rPr>
          <w:sz w:val="24"/>
          <w:szCs w:val="24"/>
        </w:rPr>
        <w:t>informational materials to be used in the study were pilot tested with parents of students who were enrolled in grade 9 during the 2013-14 school year—these parents and students cannot be included in this study. Several different versions of the brochure were pilot tested</w:t>
      </w:r>
      <w:r w:rsidR="009000D8">
        <w:rPr>
          <w:sz w:val="24"/>
          <w:szCs w:val="24"/>
        </w:rPr>
        <w:t xml:space="preserve"> </w:t>
      </w:r>
      <w:r>
        <w:rPr>
          <w:sz w:val="24"/>
          <w:szCs w:val="24"/>
        </w:rPr>
        <w:t xml:space="preserve">with nine parents. These parents were asked to review the </w:t>
      </w:r>
      <w:r>
        <w:rPr>
          <w:sz w:val="24"/>
          <w:szCs w:val="24"/>
        </w:rPr>
        <w:lastRenderedPageBreak/>
        <w:t xml:space="preserve">brochure. Then, they were asked to identify which brochure was the easiest to read, easiest to understand, most eye catching, and most informative. We used feedback from these parents to create the final version of the brochure.    </w:t>
      </w:r>
    </w:p>
    <w:p w14:paraId="2D5939BA" w14:textId="77777777" w:rsidR="00111912" w:rsidRPr="00111912" w:rsidRDefault="00111912" w:rsidP="00111912">
      <w:pPr>
        <w:keepNext/>
        <w:keepLines/>
        <w:widowControl w:val="0"/>
        <w:autoSpaceDE w:val="0"/>
        <w:autoSpaceDN w:val="0"/>
        <w:adjustRightInd w:val="0"/>
        <w:spacing w:before="480" w:after="0" w:line="276" w:lineRule="auto"/>
        <w:jc w:val="center"/>
        <w:outlineLvl w:val="0"/>
        <w:rPr>
          <w:rFonts w:eastAsiaTheme="majorEastAsia" w:cstheme="majorBidi"/>
          <w:b/>
          <w:sz w:val="28"/>
          <w:szCs w:val="28"/>
        </w:rPr>
      </w:pPr>
      <w:bookmarkStart w:id="23" w:name="_Toc395078982"/>
      <w:bookmarkStart w:id="24" w:name="_Toc417375835"/>
      <w:r w:rsidRPr="00111912">
        <w:rPr>
          <w:rFonts w:eastAsiaTheme="majorEastAsia" w:cstheme="majorBidi"/>
          <w:b/>
          <w:sz w:val="28"/>
          <w:szCs w:val="28"/>
        </w:rPr>
        <w:t>5. Individuals Consulted on Statistical Aspects of the Design and Key Staff</w:t>
      </w:r>
      <w:bookmarkEnd w:id="23"/>
      <w:bookmarkEnd w:id="24"/>
    </w:p>
    <w:p w14:paraId="53085E86" w14:textId="77777777" w:rsidR="00111912" w:rsidRPr="00111912" w:rsidRDefault="00111912" w:rsidP="00111912">
      <w:pPr>
        <w:tabs>
          <w:tab w:val="left" w:pos="540"/>
        </w:tabs>
        <w:spacing w:after="0" w:line="276" w:lineRule="auto"/>
        <w:rPr>
          <w:rFonts w:cs="Times New Roman"/>
          <w:noProof/>
          <w:sz w:val="24"/>
          <w:szCs w:val="24"/>
        </w:rPr>
      </w:pPr>
      <w:r w:rsidRPr="00111912">
        <w:rPr>
          <w:rFonts w:cs="Times New Roman"/>
          <w:noProof/>
          <w:sz w:val="24"/>
          <w:szCs w:val="24"/>
        </w:rPr>
        <w:t>The following individuals were consulted on the statistical, data collection, and analytic aspects of this study through REL Southwest’s Technical Working Group (TWG):</w:t>
      </w:r>
    </w:p>
    <w:p w14:paraId="031F1F3D" w14:textId="77777777" w:rsidR="00111912" w:rsidRPr="00111912" w:rsidRDefault="00111912" w:rsidP="00111912">
      <w:pPr>
        <w:spacing w:after="0" w:line="276" w:lineRule="auto"/>
        <w:rPr>
          <w:b/>
          <w:sz w:val="24"/>
          <w:szCs w:val="24"/>
        </w:rPr>
      </w:pPr>
    </w:p>
    <w:p w14:paraId="5BFE117E" w14:textId="77777777" w:rsidR="00111912" w:rsidRPr="00111912" w:rsidRDefault="00111912" w:rsidP="00111912">
      <w:pPr>
        <w:spacing w:after="0" w:line="276" w:lineRule="auto"/>
        <w:rPr>
          <w:b/>
          <w:sz w:val="24"/>
          <w:szCs w:val="24"/>
        </w:rPr>
      </w:pPr>
      <w:r w:rsidRPr="00111912">
        <w:rPr>
          <w:b/>
          <w:sz w:val="24"/>
          <w:szCs w:val="24"/>
        </w:rPr>
        <w:t>Dan Goldhaber, Ph.D.</w:t>
      </w:r>
    </w:p>
    <w:p w14:paraId="3CF200AB" w14:textId="77777777" w:rsidR="00111912" w:rsidRPr="00111912" w:rsidRDefault="00111912" w:rsidP="00111912">
      <w:pPr>
        <w:spacing w:after="0" w:line="276" w:lineRule="auto"/>
        <w:rPr>
          <w:sz w:val="24"/>
          <w:szCs w:val="24"/>
        </w:rPr>
      </w:pPr>
      <w:r w:rsidRPr="00111912">
        <w:rPr>
          <w:sz w:val="24"/>
          <w:szCs w:val="24"/>
        </w:rPr>
        <w:t>Director, CALDER (National Center for Analysis of Longitudinal Data in Education Research)</w:t>
      </w:r>
    </w:p>
    <w:p w14:paraId="2B106E33" w14:textId="77777777" w:rsidR="00111912" w:rsidRPr="00111912" w:rsidRDefault="00111912" w:rsidP="00111912">
      <w:pPr>
        <w:spacing w:after="0" w:line="276" w:lineRule="auto"/>
        <w:rPr>
          <w:sz w:val="24"/>
          <w:szCs w:val="24"/>
        </w:rPr>
      </w:pPr>
      <w:r w:rsidRPr="00111912">
        <w:rPr>
          <w:sz w:val="24"/>
          <w:szCs w:val="24"/>
        </w:rPr>
        <w:t xml:space="preserve">Vice President, American Institutes for Research (AIR) </w:t>
      </w:r>
    </w:p>
    <w:p w14:paraId="30605858" w14:textId="77777777" w:rsidR="00111912" w:rsidRPr="00111912" w:rsidRDefault="00111912" w:rsidP="00111912">
      <w:pPr>
        <w:spacing w:after="0" w:line="276" w:lineRule="auto"/>
        <w:rPr>
          <w:sz w:val="24"/>
          <w:szCs w:val="24"/>
        </w:rPr>
      </w:pPr>
      <w:r w:rsidRPr="00111912">
        <w:rPr>
          <w:sz w:val="24"/>
          <w:szCs w:val="24"/>
        </w:rPr>
        <w:t>Director, Center for Education Data &amp; Research (CEDR), University of Washington Bothell</w:t>
      </w:r>
    </w:p>
    <w:p w14:paraId="7B29FC2F" w14:textId="77777777" w:rsidR="00111912" w:rsidRPr="00111912" w:rsidRDefault="00111912" w:rsidP="00111912">
      <w:pPr>
        <w:spacing w:after="0" w:line="276" w:lineRule="auto"/>
        <w:rPr>
          <w:sz w:val="24"/>
          <w:szCs w:val="24"/>
        </w:rPr>
      </w:pPr>
      <w:r w:rsidRPr="00111912">
        <w:rPr>
          <w:sz w:val="24"/>
          <w:szCs w:val="24"/>
        </w:rPr>
        <w:t>Co-Editor, Education Finance and Policy</w:t>
      </w:r>
    </w:p>
    <w:p w14:paraId="14BC9D93" w14:textId="77777777" w:rsidR="00111912" w:rsidRPr="00111912" w:rsidRDefault="00111912" w:rsidP="00111912">
      <w:pPr>
        <w:spacing w:after="0" w:line="276" w:lineRule="auto"/>
        <w:rPr>
          <w:sz w:val="24"/>
          <w:szCs w:val="24"/>
        </w:rPr>
      </w:pPr>
      <w:r w:rsidRPr="00111912">
        <w:rPr>
          <w:sz w:val="24"/>
          <w:szCs w:val="24"/>
        </w:rPr>
        <w:t>3876 Bridge Way N,Suite 201</w:t>
      </w:r>
    </w:p>
    <w:p w14:paraId="22F5C5AE" w14:textId="77777777" w:rsidR="00111912" w:rsidRPr="00111912" w:rsidRDefault="00111912" w:rsidP="00111912">
      <w:pPr>
        <w:spacing w:after="0" w:line="276" w:lineRule="auto"/>
        <w:rPr>
          <w:sz w:val="24"/>
          <w:szCs w:val="24"/>
        </w:rPr>
      </w:pPr>
      <w:r w:rsidRPr="00111912">
        <w:rPr>
          <w:sz w:val="24"/>
          <w:szCs w:val="24"/>
        </w:rPr>
        <w:t>Seattle, WA 98103</w:t>
      </w:r>
    </w:p>
    <w:p w14:paraId="49AD5D4E" w14:textId="77777777" w:rsidR="00111912" w:rsidRPr="00111912" w:rsidRDefault="00111912" w:rsidP="00111912">
      <w:pPr>
        <w:spacing w:after="0" w:line="276" w:lineRule="auto"/>
        <w:rPr>
          <w:sz w:val="24"/>
          <w:szCs w:val="24"/>
        </w:rPr>
      </w:pPr>
      <w:r w:rsidRPr="00111912">
        <w:rPr>
          <w:sz w:val="24"/>
          <w:szCs w:val="24"/>
        </w:rPr>
        <w:t>Ph: 206-547-1562</w:t>
      </w:r>
    </w:p>
    <w:p w14:paraId="1AE162EA" w14:textId="77777777" w:rsidR="00111912" w:rsidRPr="00111912" w:rsidRDefault="00111912" w:rsidP="00111912">
      <w:pPr>
        <w:spacing w:after="0" w:line="276" w:lineRule="auto"/>
        <w:rPr>
          <w:sz w:val="24"/>
          <w:szCs w:val="24"/>
        </w:rPr>
      </w:pPr>
      <w:r w:rsidRPr="00111912">
        <w:rPr>
          <w:sz w:val="24"/>
          <w:szCs w:val="24"/>
        </w:rPr>
        <w:t>Fax: 206-547-1641</w:t>
      </w:r>
    </w:p>
    <w:p w14:paraId="539C5BDC" w14:textId="77777777" w:rsidR="00111912" w:rsidRPr="00111912" w:rsidRDefault="00111912" w:rsidP="00111912">
      <w:pPr>
        <w:spacing w:after="0" w:line="276" w:lineRule="auto"/>
        <w:rPr>
          <w:sz w:val="24"/>
          <w:szCs w:val="24"/>
        </w:rPr>
      </w:pPr>
      <w:r w:rsidRPr="00111912">
        <w:rPr>
          <w:sz w:val="24"/>
          <w:szCs w:val="24"/>
        </w:rPr>
        <w:t>E-mail: dgoldhab@uw.edu</w:t>
      </w:r>
    </w:p>
    <w:p w14:paraId="307CF13F" w14:textId="77777777" w:rsidR="00111912" w:rsidRPr="00111912" w:rsidRDefault="00111912" w:rsidP="00111912">
      <w:pPr>
        <w:spacing w:after="0" w:line="276" w:lineRule="auto"/>
        <w:rPr>
          <w:sz w:val="24"/>
          <w:szCs w:val="24"/>
        </w:rPr>
      </w:pPr>
    </w:p>
    <w:p w14:paraId="443FCE0F" w14:textId="77777777" w:rsidR="00111912" w:rsidRPr="00111912" w:rsidRDefault="00111912" w:rsidP="00111912">
      <w:pPr>
        <w:spacing w:after="0" w:line="276" w:lineRule="auto"/>
        <w:rPr>
          <w:b/>
          <w:sz w:val="24"/>
          <w:szCs w:val="24"/>
        </w:rPr>
      </w:pPr>
      <w:r w:rsidRPr="00111912">
        <w:rPr>
          <w:b/>
          <w:sz w:val="24"/>
          <w:szCs w:val="24"/>
        </w:rPr>
        <w:t>Geoffrey Borman, Ph.D.</w:t>
      </w:r>
    </w:p>
    <w:p w14:paraId="5ED0FCEC" w14:textId="77777777" w:rsidR="00111912" w:rsidRPr="00111912" w:rsidRDefault="00111912" w:rsidP="00111912">
      <w:pPr>
        <w:spacing w:after="0" w:line="276" w:lineRule="auto"/>
        <w:rPr>
          <w:sz w:val="24"/>
          <w:szCs w:val="24"/>
        </w:rPr>
      </w:pPr>
      <w:r w:rsidRPr="00111912">
        <w:rPr>
          <w:sz w:val="24"/>
          <w:szCs w:val="24"/>
        </w:rPr>
        <w:t>Professor of Education, University of Wisconsin—Madison</w:t>
      </w:r>
    </w:p>
    <w:p w14:paraId="1283E405" w14:textId="77777777" w:rsidR="00111912" w:rsidRPr="00111912" w:rsidRDefault="00111912" w:rsidP="00111912">
      <w:pPr>
        <w:spacing w:after="0" w:line="276" w:lineRule="auto"/>
        <w:rPr>
          <w:sz w:val="24"/>
          <w:szCs w:val="24"/>
        </w:rPr>
      </w:pPr>
      <w:r w:rsidRPr="00111912">
        <w:rPr>
          <w:sz w:val="24"/>
          <w:szCs w:val="24"/>
        </w:rPr>
        <w:t>Deputy Director of the University of Wisconsin's Predoctoral Interdisciplinary Research Training Program</w:t>
      </w:r>
    </w:p>
    <w:p w14:paraId="68CF5813" w14:textId="77777777" w:rsidR="00111912" w:rsidRPr="00111912" w:rsidRDefault="00111912" w:rsidP="00111912">
      <w:pPr>
        <w:spacing w:after="0" w:line="276" w:lineRule="auto"/>
        <w:rPr>
          <w:sz w:val="24"/>
          <w:szCs w:val="24"/>
        </w:rPr>
      </w:pPr>
      <w:r w:rsidRPr="00111912">
        <w:rPr>
          <w:sz w:val="24"/>
          <w:szCs w:val="24"/>
        </w:rPr>
        <w:t>Senior Researcher, Consortium for Policy Research in Education.</w:t>
      </w:r>
    </w:p>
    <w:p w14:paraId="7572BCF2" w14:textId="77777777" w:rsidR="00111912" w:rsidRPr="00111912" w:rsidRDefault="00111912" w:rsidP="00111912">
      <w:pPr>
        <w:spacing w:after="0" w:line="276" w:lineRule="auto"/>
        <w:rPr>
          <w:sz w:val="24"/>
          <w:szCs w:val="24"/>
        </w:rPr>
      </w:pPr>
      <w:r w:rsidRPr="00111912">
        <w:rPr>
          <w:sz w:val="24"/>
          <w:szCs w:val="24"/>
        </w:rPr>
        <w:t xml:space="preserve">348 </w:t>
      </w:r>
      <w:hyperlink r:id="rId15" w:tgtFrame="_blank" w:tooltip="Find this building on the campus map" w:history="1">
        <w:r w:rsidRPr="00111912">
          <w:rPr>
            <w:color w:val="0000FF"/>
            <w:sz w:val="24"/>
            <w:szCs w:val="24"/>
            <w:u w:val="single"/>
          </w:rPr>
          <w:t>Education Building</w:t>
        </w:r>
      </w:hyperlink>
      <w:r w:rsidRPr="00111912">
        <w:rPr>
          <w:sz w:val="24"/>
          <w:szCs w:val="24"/>
        </w:rPr>
        <w:br/>
        <w:t>1000 Bascom Mall</w:t>
      </w:r>
      <w:r w:rsidRPr="00111912">
        <w:rPr>
          <w:sz w:val="24"/>
          <w:szCs w:val="24"/>
        </w:rPr>
        <w:br/>
        <w:t>Madison, WI 53706-1326</w:t>
      </w:r>
    </w:p>
    <w:p w14:paraId="4DC78D45" w14:textId="77777777" w:rsidR="00111912" w:rsidRPr="00111912" w:rsidRDefault="00111912" w:rsidP="00111912">
      <w:pPr>
        <w:spacing w:after="0" w:line="276" w:lineRule="auto"/>
        <w:rPr>
          <w:sz w:val="24"/>
          <w:szCs w:val="24"/>
        </w:rPr>
      </w:pPr>
      <w:r w:rsidRPr="00111912">
        <w:rPr>
          <w:sz w:val="24"/>
          <w:szCs w:val="24"/>
        </w:rPr>
        <w:t>Ph: 608-263-3688</w:t>
      </w:r>
    </w:p>
    <w:p w14:paraId="7B83658E" w14:textId="77777777" w:rsidR="00111912" w:rsidRPr="00111912" w:rsidRDefault="00111912" w:rsidP="00111912">
      <w:pPr>
        <w:spacing w:after="0" w:line="276" w:lineRule="auto"/>
        <w:rPr>
          <w:sz w:val="24"/>
          <w:szCs w:val="24"/>
        </w:rPr>
      </w:pPr>
      <w:r w:rsidRPr="00111912">
        <w:rPr>
          <w:sz w:val="24"/>
          <w:szCs w:val="24"/>
        </w:rPr>
        <w:t>Fax: 608-265-3135</w:t>
      </w:r>
    </w:p>
    <w:p w14:paraId="7ADC0273" w14:textId="77777777" w:rsidR="00111912" w:rsidRPr="00111912" w:rsidRDefault="00111912" w:rsidP="00111912">
      <w:pPr>
        <w:spacing w:after="0" w:line="276" w:lineRule="auto"/>
        <w:rPr>
          <w:sz w:val="24"/>
          <w:szCs w:val="24"/>
        </w:rPr>
      </w:pPr>
      <w:r w:rsidRPr="00111912">
        <w:rPr>
          <w:sz w:val="24"/>
          <w:szCs w:val="24"/>
        </w:rPr>
        <w:t xml:space="preserve">E-mail: </w:t>
      </w:r>
      <w:hyperlink r:id="rId16" w:tooltip="Email Geoffrey Borman" w:history="1">
        <w:r w:rsidRPr="00111912">
          <w:rPr>
            <w:color w:val="0000FF"/>
            <w:sz w:val="24"/>
            <w:szCs w:val="24"/>
            <w:u w:val="single"/>
          </w:rPr>
          <w:t>gborman@education.wisc.edu</w:t>
        </w:r>
      </w:hyperlink>
    </w:p>
    <w:p w14:paraId="6556FE5F" w14:textId="77777777" w:rsidR="00111912" w:rsidRPr="00111912" w:rsidRDefault="00111912" w:rsidP="00111912">
      <w:pPr>
        <w:spacing w:after="0" w:line="276" w:lineRule="auto"/>
        <w:rPr>
          <w:sz w:val="24"/>
          <w:szCs w:val="24"/>
        </w:rPr>
      </w:pPr>
    </w:p>
    <w:p w14:paraId="55696172" w14:textId="77777777" w:rsidR="00111912" w:rsidRPr="00111912" w:rsidRDefault="00111912" w:rsidP="00111912">
      <w:pPr>
        <w:spacing w:after="0" w:line="276" w:lineRule="auto"/>
        <w:rPr>
          <w:b/>
          <w:sz w:val="24"/>
          <w:szCs w:val="24"/>
        </w:rPr>
      </w:pPr>
      <w:r w:rsidRPr="00111912">
        <w:rPr>
          <w:b/>
          <w:sz w:val="24"/>
          <w:szCs w:val="24"/>
        </w:rPr>
        <w:t>Johannes M. (Hans) Bos, Ph.D.</w:t>
      </w:r>
    </w:p>
    <w:p w14:paraId="46CC3193" w14:textId="77777777" w:rsidR="00111912" w:rsidRPr="00111912" w:rsidRDefault="00111912" w:rsidP="00111912">
      <w:pPr>
        <w:spacing w:after="0" w:line="276" w:lineRule="auto"/>
        <w:rPr>
          <w:sz w:val="24"/>
          <w:szCs w:val="24"/>
        </w:rPr>
      </w:pPr>
      <w:r w:rsidRPr="00111912">
        <w:rPr>
          <w:sz w:val="24"/>
          <w:szCs w:val="24"/>
        </w:rPr>
        <w:t>Vice President and Program Director, International Development, Evaluation, and Research (IDER) Program</w:t>
      </w:r>
    </w:p>
    <w:p w14:paraId="2296A21B" w14:textId="77777777" w:rsidR="00111912" w:rsidRPr="00111912" w:rsidRDefault="00111912" w:rsidP="00111912">
      <w:pPr>
        <w:spacing w:after="0" w:line="276" w:lineRule="auto"/>
        <w:rPr>
          <w:sz w:val="24"/>
          <w:szCs w:val="24"/>
        </w:rPr>
      </w:pPr>
      <w:r w:rsidRPr="00111912">
        <w:rPr>
          <w:sz w:val="24"/>
          <w:szCs w:val="24"/>
        </w:rPr>
        <w:t>American Institutes for Research</w:t>
      </w:r>
    </w:p>
    <w:p w14:paraId="07D5A726" w14:textId="77777777" w:rsidR="00111912" w:rsidRPr="00111912" w:rsidRDefault="00111912" w:rsidP="00111912">
      <w:pPr>
        <w:spacing w:after="0" w:line="276" w:lineRule="auto"/>
        <w:rPr>
          <w:sz w:val="24"/>
          <w:szCs w:val="24"/>
        </w:rPr>
      </w:pPr>
      <w:r w:rsidRPr="00111912">
        <w:rPr>
          <w:sz w:val="24"/>
          <w:szCs w:val="24"/>
        </w:rPr>
        <w:t>2800 Campus Drive, Suite 200</w:t>
      </w:r>
      <w:r w:rsidRPr="00111912">
        <w:rPr>
          <w:sz w:val="24"/>
          <w:szCs w:val="24"/>
        </w:rPr>
        <w:br/>
        <w:t>San Mateo, CA 94403</w:t>
      </w:r>
    </w:p>
    <w:p w14:paraId="2A7A1F45" w14:textId="77777777" w:rsidR="00111912" w:rsidRPr="00111912" w:rsidRDefault="00111912" w:rsidP="00111912">
      <w:pPr>
        <w:spacing w:after="0" w:line="276" w:lineRule="auto"/>
        <w:rPr>
          <w:sz w:val="24"/>
          <w:szCs w:val="24"/>
        </w:rPr>
      </w:pPr>
      <w:r w:rsidRPr="00111912">
        <w:rPr>
          <w:sz w:val="24"/>
          <w:szCs w:val="24"/>
        </w:rPr>
        <w:t>Ph: 650-843-8100</w:t>
      </w:r>
    </w:p>
    <w:p w14:paraId="2A0E51F7" w14:textId="77777777" w:rsidR="00111912" w:rsidRPr="00111912" w:rsidRDefault="00111912" w:rsidP="00111912">
      <w:pPr>
        <w:spacing w:after="0" w:line="276" w:lineRule="auto"/>
        <w:rPr>
          <w:sz w:val="24"/>
          <w:szCs w:val="24"/>
        </w:rPr>
      </w:pPr>
      <w:r w:rsidRPr="00111912">
        <w:rPr>
          <w:sz w:val="24"/>
          <w:szCs w:val="24"/>
        </w:rPr>
        <w:lastRenderedPageBreak/>
        <w:t>Fax: 650-843-8200</w:t>
      </w:r>
    </w:p>
    <w:p w14:paraId="026B378B" w14:textId="77777777" w:rsidR="00111912" w:rsidRPr="00111912" w:rsidRDefault="00111912" w:rsidP="00111912">
      <w:pPr>
        <w:spacing w:after="0" w:line="276" w:lineRule="auto"/>
        <w:rPr>
          <w:sz w:val="24"/>
          <w:szCs w:val="24"/>
        </w:rPr>
      </w:pPr>
      <w:r w:rsidRPr="00111912">
        <w:rPr>
          <w:sz w:val="24"/>
          <w:szCs w:val="24"/>
        </w:rPr>
        <w:t>E-mail: jbos@air.org</w:t>
      </w:r>
    </w:p>
    <w:p w14:paraId="663E758F" w14:textId="77777777" w:rsidR="00111912" w:rsidRPr="00111912" w:rsidRDefault="00111912" w:rsidP="00111912">
      <w:pPr>
        <w:spacing w:after="0" w:line="276" w:lineRule="auto"/>
        <w:rPr>
          <w:sz w:val="24"/>
          <w:szCs w:val="24"/>
        </w:rPr>
      </w:pPr>
    </w:p>
    <w:p w14:paraId="2638A218" w14:textId="77777777" w:rsidR="009000D8" w:rsidRDefault="009000D8">
      <w:pPr>
        <w:rPr>
          <w:b/>
          <w:sz w:val="24"/>
          <w:szCs w:val="24"/>
        </w:rPr>
      </w:pPr>
      <w:r>
        <w:rPr>
          <w:b/>
          <w:sz w:val="24"/>
          <w:szCs w:val="24"/>
        </w:rPr>
        <w:br w:type="page"/>
      </w:r>
    </w:p>
    <w:p w14:paraId="0530D349" w14:textId="073C0FD9" w:rsidR="00111912" w:rsidRPr="00111912" w:rsidRDefault="00111912" w:rsidP="00111912">
      <w:pPr>
        <w:spacing w:after="0" w:line="276" w:lineRule="auto"/>
        <w:rPr>
          <w:b/>
          <w:sz w:val="24"/>
          <w:szCs w:val="24"/>
        </w:rPr>
      </w:pPr>
      <w:r w:rsidRPr="00111912">
        <w:rPr>
          <w:b/>
          <w:sz w:val="24"/>
          <w:szCs w:val="24"/>
        </w:rPr>
        <w:lastRenderedPageBreak/>
        <w:t>W. Steven Barnett, Ph.D.</w:t>
      </w:r>
    </w:p>
    <w:p w14:paraId="3D2643F4" w14:textId="77777777" w:rsidR="00111912" w:rsidRPr="00111912" w:rsidRDefault="00111912" w:rsidP="00111912">
      <w:pPr>
        <w:spacing w:after="0" w:line="276" w:lineRule="auto"/>
        <w:rPr>
          <w:sz w:val="24"/>
          <w:szCs w:val="24"/>
        </w:rPr>
      </w:pPr>
      <w:r w:rsidRPr="00111912">
        <w:rPr>
          <w:sz w:val="24"/>
          <w:szCs w:val="24"/>
        </w:rPr>
        <w:t>Board of Governors Professor and Director of the National Institute for Early Education Research</w:t>
      </w:r>
    </w:p>
    <w:p w14:paraId="0009B678" w14:textId="77777777" w:rsidR="00111912" w:rsidRPr="00111912" w:rsidRDefault="00111912" w:rsidP="00111912">
      <w:pPr>
        <w:spacing w:after="0" w:line="276" w:lineRule="auto"/>
        <w:rPr>
          <w:sz w:val="24"/>
          <w:szCs w:val="24"/>
        </w:rPr>
      </w:pPr>
      <w:r w:rsidRPr="00111912">
        <w:rPr>
          <w:sz w:val="24"/>
          <w:szCs w:val="24"/>
        </w:rPr>
        <w:t>Rutgers University</w:t>
      </w:r>
    </w:p>
    <w:p w14:paraId="0FA9D05F" w14:textId="77777777" w:rsidR="00111912" w:rsidRPr="00111912" w:rsidRDefault="00111912" w:rsidP="00111912">
      <w:pPr>
        <w:spacing w:after="0" w:line="276" w:lineRule="auto"/>
        <w:rPr>
          <w:sz w:val="24"/>
          <w:szCs w:val="24"/>
        </w:rPr>
      </w:pPr>
      <w:r w:rsidRPr="00111912">
        <w:rPr>
          <w:sz w:val="24"/>
          <w:szCs w:val="24"/>
        </w:rPr>
        <w:t>73 Easton Avenue</w:t>
      </w:r>
      <w:r w:rsidRPr="00111912">
        <w:rPr>
          <w:sz w:val="24"/>
          <w:szCs w:val="24"/>
        </w:rPr>
        <w:br/>
        <w:t>New Brunswick, NJ 08901</w:t>
      </w:r>
    </w:p>
    <w:p w14:paraId="00AB7787" w14:textId="77777777" w:rsidR="00111912" w:rsidRPr="00111912" w:rsidRDefault="00111912" w:rsidP="00111912">
      <w:pPr>
        <w:spacing w:after="0" w:line="276" w:lineRule="auto"/>
        <w:rPr>
          <w:sz w:val="24"/>
          <w:szCs w:val="24"/>
        </w:rPr>
      </w:pPr>
      <w:r w:rsidRPr="00111912">
        <w:rPr>
          <w:sz w:val="24"/>
          <w:szCs w:val="24"/>
        </w:rPr>
        <w:t>Ph: 848-932-4350 x23132</w:t>
      </w:r>
    </w:p>
    <w:p w14:paraId="4D151ADA" w14:textId="77777777" w:rsidR="00111912" w:rsidRPr="00111912" w:rsidRDefault="00111912" w:rsidP="00111912">
      <w:pPr>
        <w:spacing w:after="0" w:line="276" w:lineRule="auto"/>
        <w:rPr>
          <w:sz w:val="24"/>
          <w:szCs w:val="24"/>
        </w:rPr>
      </w:pPr>
      <w:r w:rsidRPr="00111912">
        <w:rPr>
          <w:sz w:val="24"/>
          <w:szCs w:val="24"/>
        </w:rPr>
        <w:t>Fax: 732-932-4360</w:t>
      </w:r>
    </w:p>
    <w:p w14:paraId="3DB3F64E" w14:textId="77777777" w:rsidR="00111912" w:rsidRPr="00111912" w:rsidRDefault="00111912" w:rsidP="00111912">
      <w:pPr>
        <w:spacing w:after="0" w:line="276" w:lineRule="auto"/>
        <w:rPr>
          <w:sz w:val="24"/>
          <w:szCs w:val="24"/>
        </w:rPr>
      </w:pPr>
      <w:r w:rsidRPr="00111912">
        <w:rPr>
          <w:sz w:val="24"/>
          <w:szCs w:val="24"/>
        </w:rPr>
        <w:t xml:space="preserve">E-mail: </w:t>
      </w:r>
      <w:hyperlink r:id="rId17" w:history="1">
        <w:r w:rsidRPr="00111912">
          <w:rPr>
            <w:color w:val="0000FF"/>
            <w:sz w:val="24"/>
            <w:szCs w:val="24"/>
            <w:u w:val="single"/>
          </w:rPr>
          <w:t>sbarnett@nieer.org</w:t>
        </w:r>
      </w:hyperlink>
    </w:p>
    <w:p w14:paraId="3BFCEAB9" w14:textId="018230A4" w:rsidR="008C4AC1" w:rsidRDefault="008C4AC1">
      <w:pPr>
        <w:rPr>
          <w:sz w:val="24"/>
          <w:szCs w:val="24"/>
        </w:rPr>
      </w:pPr>
      <w:r>
        <w:rPr>
          <w:sz w:val="24"/>
          <w:szCs w:val="24"/>
        </w:rPr>
        <w:br w:type="page"/>
      </w:r>
    </w:p>
    <w:p w14:paraId="7A90A811" w14:textId="7547CFE9" w:rsidR="00111912" w:rsidRDefault="008C4AC1" w:rsidP="00825786">
      <w:pPr>
        <w:pStyle w:val="Heading1"/>
        <w:jc w:val="center"/>
        <w:rPr>
          <w:rFonts w:asciiTheme="minorHAnsi" w:hAnsiTheme="minorHAnsi"/>
          <w:b/>
          <w:color w:val="auto"/>
          <w:sz w:val="28"/>
          <w:szCs w:val="28"/>
        </w:rPr>
      </w:pPr>
      <w:bookmarkStart w:id="25" w:name="_Toc417375836"/>
      <w:r w:rsidRPr="00575C90">
        <w:rPr>
          <w:rFonts w:asciiTheme="minorHAnsi" w:hAnsiTheme="minorHAnsi"/>
          <w:b/>
          <w:color w:val="auto"/>
          <w:sz w:val="28"/>
          <w:szCs w:val="28"/>
        </w:rPr>
        <w:lastRenderedPageBreak/>
        <w:t>Attachment B-1. School Agreement to Participate Form</w:t>
      </w:r>
      <w:bookmarkEnd w:id="25"/>
    </w:p>
    <w:p w14:paraId="52B4A391" w14:textId="77777777" w:rsidR="00191AD7" w:rsidRDefault="00191AD7" w:rsidP="00917BF4"/>
    <w:p w14:paraId="76F3E1D7" w14:textId="052BF217" w:rsidR="00191AD7" w:rsidRPr="00917BF4" w:rsidRDefault="00191AD7" w:rsidP="00917BF4">
      <w:r>
        <w:t>See attachment</w:t>
      </w:r>
    </w:p>
    <w:sectPr w:rsidR="00191AD7" w:rsidRPr="00917B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300F4" w14:textId="77777777" w:rsidR="00FD5EDC" w:rsidRDefault="00FD5EDC" w:rsidP="003F45AA">
      <w:pPr>
        <w:spacing w:after="0" w:line="240" w:lineRule="auto"/>
      </w:pPr>
      <w:r>
        <w:separator/>
      </w:r>
    </w:p>
  </w:endnote>
  <w:endnote w:type="continuationSeparator" w:id="0">
    <w:p w14:paraId="1EA1334D" w14:textId="77777777" w:rsidR="00FD5EDC" w:rsidRDefault="00FD5EDC" w:rsidP="003F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997254"/>
      <w:docPartObj>
        <w:docPartGallery w:val="Page Numbers (Bottom of Page)"/>
        <w:docPartUnique/>
      </w:docPartObj>
    </w:sdtPr>
    <w:sdtEndPr>
      <w:rPr>
        <w:noProof/>
      </w:rPr>
    </w:sdtEndPr>
    <w:sdtContent>
      <w:p w14:paraId="43D044EF" w14:textId="77777777" w:rsidR="00785FD1" w:rsidRDefault="00772E3C">
        <w:pPr>
          <w:pStyle w:val="Footer"/>
          <w:jc w:val="right"/>
        </w:pPr>
        <w:r>
          <w:fldChar w:fldCharType="begin"/>
        </w:r>
        <w:r>
          <w:instrText xml:space="preserve"> PAGE   \* MERGEFORMAT </w:instrText>
        </w:r>
        <w:r>
          <w:fldChar w:fldCharType="separate"/>
        </w:r>
        <w:r w:rsidR="00676915">
          <w:rPr>
            <w:noProof/>
          </w:rPr>
          <w:t>1</w:t>
        </w:r>
        <w:r>
          <w:rPr>
            <w:noProof/>
          </w:rPr>
          <w:fldChar w:fldCharType="end"/>
        </w:r>
      </w:p>
    </w:sdtContent>
  </w:sdt>
  <w:p w14:paraId="27F1707F" w14:textId="77777777" w:rsidR="00785FD1" w:rsidRDefault="00FD5E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7D454" w14:textId="77777777" w:rsidR="00785FD1" w:rsidRDefault="00FD5EDC">
    <w:pPr>
      <w:pStyle w:val="Footer"/>
      <w:jc w:val="right"/>
    </w:pPr>
  </w:p>
  <w:p w14:paraId="3EE97541" w14:textId="77777777" w:rsidR="00785FD1" w:rsidRDefault="00FD5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50900" w14:textId="77777777" w:rsidR="00FD5EDC" w:rsidRDefault="00FD5EDC" w:rsidP="003F45AA">
      <w:pPr>
        <w:spacing w:after="0" w:line="240" w:lineRule="auto"/>
      </w:pPr>
      <w:r>
        <w:separator/>
      </w:r>
    </w:p>
  </w:footnote>
  <w:footnote w:type="continuationSeparator" w:id="0">
    <w:p w14:paraId="54449089" w14:textId="77777777" w:rsidR="00FD5EDC" w:rsidRDefault="00FD5EDC" w:rsidP="003F45AA">
      <w:pPr>
        <w:spacing w:after="0" w:line="240" w:lineRule="auto"/>
      </w:pPr>
      <w:r>
        <w:continuationSeparator/>
      </w:r>
    </w:p>
  </w:footnote>
  <w:footnote w:id="1">
    <w:p w14:paraId="46385BD0" w14:textId="77777777" w:rsidR="003F45AA" w:rsidRDefault="003F45AA" w:rsidP="003F45AA">
      <w:pPr>
        <w:pStyle w:val="FootnoteText"/>
      </w:pPr>
      <w:r>
        <w:rPr>
          <w:rStyle w:val="FootnoteReference"/>
        </w:rPr>
        <w:footnoteRef/>
      </w:r>
      <w:r>
        <w:t xml:space="preserve"> The STEM endorsement included in the Foundation plus Endorsement Plan also requires completion of algebra II.</w:t>
      </w:r>
    </w:p>
  </w:footnote>
  <w:footnote w:id="2">
    <w:p w14:paraId="7B27026A" w14:textId="77777777" w:rsidR="001716D7" w:rsidRDefault="001716D7">
      <w:pPr>
        <w:pStyle w:val="FootnoteText"/>
      </w:pPr>
      <w:r>
        <w:rPr>
          <w:rStyle w:val="FootnoteReference"/>
        </w:rPr>
        <w:footnoteRef/>
      </w:r>
      <w:r>
        <w:t xml:space="preserve"> The Distinguished graduation plan requires students to complete algebra II in order to earn a Distinguished Level of Achievement. </w:t>
      </w:r>
    </w:p>
  </w:footnote>
  <w:footnote w:id="3">
    <w:p w14:paraId="230E0948" w14:textId="77777777" w:rsidR="00E07A62" w:rsidRDefault="00E07A62" w:rsidP="00E07A62">
      <w:pPr>
        <w:pStyle w:val="FootnoteText"/>
      </w:pPr>
      <w:r>
        <w:rPr>
          <w:rStyle w:val="FootnoteReference"/>
        </w:rPr>
        <w:footnoteRef/>
      </w:r>
      <w:r>
        <w:t xml:space="preserve"> The Optimal Design software does not allow for inclusion of estimates of the amount of variation taken into account by either level-1 or level-2 variables. As such, there is no ICC estimate, and the power for this study is likely an underestimate.    </w:t>
      </w:r>
    </w:p>
  </w:footnote>
  <w:footnote w:id="4">
    <w:p w14:paraId="6C86D330" w14:textId="77777777" w:rsidR="00E07A62" w:rsidRDefault="00E07A62" w:rsidP="00E07A62">
      <w:pPr>
        <w:pStyle w:val="FootnoteText"/>
      </w:pPr>
      <w:r>
        <w:rPr>
          <w:rStyle w:val="FootnoteReference"/>
        </w:rPr>
        <w:footnoteRef/>
      </w:r>
      <w:r>
        <w:t xml:space="preserve"> A difference of less than 5 percentage points between treatment and control groups is not meaningful.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F70AD"/>
    <w:multiLevelType w:val="hybridMultilevel"/>
    <w:tmpl w:val="0E9A8B02"/>
    <w:lvl w:ilvl="0" w:tplc="14CC5688">
      <w:start w:val="1"/>
      <w:numFmt w:val="decimal"/>
      <w:lvlText w:val="%1."/>
      <w:lvlJc w:val="left"/>
      <w:pPr>
        <w:ind w:left="1080" w:hanging="360"/>
      </w:pPr>
      <w:rPr>
        <w:rFonts w:asciiTheme="minorHAnsi" w:hAnsiTheme="minorHAns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A7363D7"/>
    <w:multiLevelType w:val="hybridMultilevel"/>
    <w:tmpl w:val="AEFC81C4"/>
    <w:lvl w:ilvl="0" w:tplc="A1EA18E2">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B036420"/>
    <w:multiLevelType w:val="hybridMultilevel"/>
    <w:tmpl w:val="C23C23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737DD6"/>
    <w:multiLevelType w:val="hybridMultilevel"/>
    <w:tmpl w:val="4A8AF5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1436131"/>
    <w:multiLevelType w:val="hybridMultilevel"/>
    <w:tmpl w:val="71E61DB4"/>
    <w:lvl w:ilvl="0" w:tplc="8A6E46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oker, Ginger">
    <w15:presenceInfo w15:providerId="AD" w15:userId="S-1-5-21-1472932569-214068005-926709054-65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BD1"/>
    <w:rsid w:val="0000055F"/>
    <w:rsid w:val="00001F0E"/>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173D2"/>
    <w:rsid w:val="00020521"/>
    <w:rsid w:val="000219E2"/>
    <w:rsid w:val="000222B0"/>
    <w:rsid w:val="000227C5"/>
    <w:rsid w:val="00022C83"/>
    <w:rsid w:val="000233A5"/>
    <w:rsid w:val="00024C82"/>
    <w:rsid w:val="0002612A"/>
    <w:rsid w:val="00026E81"/>
    <w:rsid w:val="00031849"/>
    <w:rsid w:val="00031B0E"/>
    <w:rsid w:val="0003261A"/>
    <w:rsid w:val="00035408"/>
    <w:rsid w:val="000368A9"/>
    <w:rsid w:val="000379CA"/>
    <w:rsid w:val="00040073"/>
    <w:rsid w:val="00040EB6"/>
    <w:rsid w:val="00041172"/>
    <w:rsid w:val="0004184B"/>
    <w:rsid w:val="000424FF"/>
    <w:rsid w:val="000426AC"/>
    <w:rsid w:val="0004332D"/>
    <w:rsid w:val="00044917"/>
    <w:rsid w:val="0004515B"/>
    <w:rsid w:val="000451C7"/>
    <w:rsid w:val="000463DB"/>
    <w:rsid w:val="00047902"/>
    <w:rsid w:val="000535B3"/>
    <w:rsid w:val="0005392A"/>
    <w:rsid w:val="00054EDA"/>
    <w:rsid w:val="00055C09"/>
    <w:rsid w:val="00056484"/>
    <w:rsid w:val="000611EE"/>
    <w:rsid w:val="000643F1"/>
    <w:rsid w:val="00065555"/>
    <w:rsid w:val="000657D7"/>
    <w:rsid w:val="00072246"/>
    <w:rsid w:val="000724CC"/>
    <w:rsid w:val="00072D0E"/>
    <w:rsid w:val="00075AED"/>
    <w:rsid w:val="00075CD8"/>
    <w:rsid w:val="000778AC"/>
    <w:rsid w:val="000778E1"/>
    <w:rsid w:val="00077D6B"/>
    <w:rsid w:val="000805DE"/>
    <w:rsid w:val="0008129F"/>
    <w:rsid w:val="000818C4"/>
    <w:rsid w:val="0008218B"/>
    <w:rsid w:val="00083763"/>
    <w:rsid w:val="00083769"/>
    <w:rsid w:val="00084B6D"/>
    <w:rsid w:val="00084EAE"/>
    <w:rsid w:val="000861F8"/>
    <w:rsid w:val="0008781F"/>
    <w:rsid w:val="000903D2"/>
    <w:rsid w:val="0009301A"/>
    <w:rsid w:val="00093A78"/>
    <w:rsid w:val="00094231"/>
    <w:rsid w:val="0009769D"/>
    <w:rsid w:val="000A27DA"/>
    <w:rsid w:val="000A57EB"/>
    <w:rsid w:val="000A7837"/>
    <w:rsid w:val="000B1869"/>
    <w:rsid w:val="000B1B35"/>
    <w:rsid w:val="000B7EE2"/>
    <w:rsid w:val="000C1BD1"/>
    <w:rsid w:val="000C5989"/>
    <w:rsid w:val="000D0525"/>
    <w:rsid w:val="000D16BD"/>
    <w:rsid w:val="000D1AA3"/>
    <w:rsid w:val="000D2B2B"/>
    <w:rsid w:val="000D2EE8"/>
    <w:rsid w:val="000D463A"/>
    <w:rsid w:val="000D7336"/>
    <w:rsid w:val="000E26D1"/>
    <w:rsid w:val="000E2D19"/>
    <w:rsid w:val="000E3744"/>
    <w:rsid w:val="000E5E16"/>
    <w:rsid w:val="000E6806"/>
    <w:rsid w:val="000F06DD"/>
    <w:rsid w:val="000F3208"/>
    <w:rsid w:val="000F3963"/>
    <w:rsid w:val="000F3B3C"/>
    <w:rsid w:val="000F6444"/>
    <w:rsid w:val="000F64B8"/>
    <w:rsid w:val="000F6949"/>
    <w:rsid w:val="00106E0F"/>
    <w:rsid w:val="001101BC"/>
    <w:rsid w:val="00111912"/>
    <w:rsid w:val="00112923"/>
    <w:rsid w:val="00112A82"/>
    <w:rsid w:val="0011377D"/>
    <w:rsid w:val="00114FAB"/>
    <w:rsid w:val="00116BB8"/>
    <w:rsid w:val="001177B7"/>
    <w:rsid w:val="00117C73"/>
    <w:rsid w:val="00122068"/>
    <w:rsid w:val="00122C2C"/>
    <w:rsid w:val="001234C3"/>
    <w:rsid w:val="00126BFF"/>
    <w:rsid w:val="001272EC"/>
    <w:rsid w:val="00130DB0"/>
    <w:rsid w:val="00131E14"/>
    <w:rsid w:val="00132638"/>
    <w:rsid w:val="00134327"/>
    <w:rsid w:val="001350C0"/>
    <w:rsid w:val="001363A1"/>
    <w:rsid w:val="001407BC"/>
    <w:rsid w:val="00140DCC"/>
    <w:rsid w:val="00143B0F"/>
    <w:rsid w:val="00143D1C"/>
    <w:rsid w:val="0014490A"/>
    <w:rsid w:val="00151767"/>
    <w:rsid w:val="00151811"/>
    <w:rsid w:val="00153C35"/>
    <w:rsid w:val="0015408E"/>
    <w:rsid w:val="0015691E"/>
    <w:rsid w:val="00156D48"/>
    <w:rsid w:val="00156F91"/>
    <w:rsid w:val="00160645"/>
    <w:rsid w:val="001611B3"/>
    <w:rsid w:val="00162A3B"/>
    <w:rsid w:val="00163E4D"/>
    <w:rsid w:val="00164A26"/>
    <w:rsid w:val="00166DBD"/>
    <w:rsid w:val="001716D7"/>
    <w:rsid w:val="00171EC6"/>
    <w:rsid w:val="00173E39"/>
    <w:rsid w:val="00174761"/>
    <w:rsid w:val="001770BA"/>
    <w:rsid w:val="00177425"/>
    <w:rsid w:val="00177BDF"/>
    <w:rsid w:val="00177C78"/>
    <w:rsid w:val="00177D75"/>
    <w:rsid w:val="00180EBD"/>
    <w:rsid w:val="00181C04"/>
    <w:rsid w:val="0018491A"/>
    <w:rsid w:val="0018606A"/>
    <w:rsid w:val="00186486"/>
    <w:rsid w:val="00186C2E"/>
    <w:rsid w:val="001900BE"/>
    <w:rsid w:val="0019040A"/>
    <w:rsid w:val="00191AD7"/>
    <w:rsid w:val="0019327B"/>
    <w:rsid w:val="00194E82"/>
    <w:rsid w:val="001965A8"/>
    <w:rsid w:val="00196ADC"/>
    <w:rsid w:val="0019701E"/>
    <w:rsid w:val="001A2ED6"/>
    <w:rsid w:val="001A5D5C"/>
    <w:rsid w:val="001A64E5"/>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3912"/>
    <w:rsid w:val="001D500E"/>
    <w:rsid w:val="001D63CD"/>
    <w:rsid w:val="001D714C"/>
    <w:rsid w:val="001D7CBD"/>
    <w:rsid w:val="001E27F3"/>
    <w:rsid w:val="001E2BB3"/>
    <w:rsid w:val="001E35CF"/>
    <w:rsid w:val="001E37A6"/>
    <w:rsid w:val="001E6135"/>
    <w:rsid w:val="001F0060"/>
    <w:rsid w:val="001F3658"/>
    <w:rsid w:val="001F4345"/>
    <w:rsid w:val="001F7A7A"/>
    <w:rsid w:val="002005E8"/>
    <w:rsid w:val="0020234A"/>
    <w:rsid w:val="00203056"/>
    <w:rsid w:val="002043EE"/>
    <w:rsid w:val="00205955"/>
    <w:rsid w:val="002060FC"/>
    <w:rsid w:val="00211508"/>
    <w:rsid w:val="00211E86"/>
    <w:rsid w:val="00213ABC"/>
    <w:rsid w:val="002140EB"/>
    <w:rsid w:val="00215984"/>
    <w:rsid w:val="00216234"/>
    <w:rsid w:val="0022362F"/>
    <w:rsid w:val="00223FE6"/>
    <w:rsid w:val="002245D9"/>
    <w:rsid w:val="00226371"/>
    <w:rsid w:val="00226652"/>
    <w:rsid w:val="00226EC7"/>
    <w:rsid w:val="00233BE3"/>
    <w:rsid w:val="002344FF"/>
    <w:rsid w:val="00234C70"/>
    <w:rsid w:val="002366A9"/>
    <w:rsid w:val="00237F1C"/>
    <w:rsid w:val="0024142B"/>
    <w:rsid w:val="00243158"/>
    <w:rsid w:val="00243FDD"/>
    <w:rsid w:val="0024442C"/>
    <w:rsid w:val="0024506E"/>
    <w:rsid w:val="00247B8B"/>
    <w:rsid w:val="00250F7C"/>
    <w:rsid w:val="00251714"/>
    <w:rsid w:val="00252A12"/>
    <w:rsid w:val="0025300E"/>
    <w:rsid w:val="002548C8"/>
    <w:rsid w:val="00260E1B"/>
    <w:rsid w:val="00260EB9"/>
    <w:rsid w:val="00261DF7"/>
    <w:rsid w:val="002644EE"/>
    <w:rsid w:val="002654A9"/>
    <w:rsid w:val="00267BF7"/>
    <w:rsid w:val="00267FDA"/>
    <w:rsid w:val="002715A3"/>
    <w:rsid w:val="00271D86"/>
    <w:rsid w:val="00273DC6"/>
    <w:rsid w:val="00275DC9"/>
    <w:rsid w:val="00276182"/>
    <w:rsid w:val="0027738F"/>
    <w:rsid w:val="002810F7"/>
    <w:rsid w:val="0028292E"/>
    <w:rsid w:val="00282D06"/>
    <w:rsid w:val="0028452A"/>
    <w:rsid w:val="00284C4D"/>
    <w:rsid w:val="002865C7"/>
    <w:rsid w:val="00286D56"/>
    <w:rsid w:val="002908D2"/>
    <w:rsid w:val="00291893"/>
    <w:rsid w:val="002922B7"/>
    <w:rsid w:val="002931A4"/>
    <w:rsid w:val="00295F1E"/>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E3848"/>
    <w:rsid w:val="002E39F5"/>
    <w:rsid w:val="002E4E26"/>
    <w:rsid w:val="002E4E91"/>
    <w:rsid w:val="002E7190"/>
    <w:rsid w:val="002F046F"/>
    <w:rsid w:val="002F06B3"/>
    <w:rsid w:val="002F10AA"/>
    <w:rsid w:val="002F1B66"/>
    <w:rsid w:val="002F37B0"/>
    <w:rsid w:val="002F47F8"/>
    <w:rsid w:val="002F55D5"/>
    <w:rsid w:val="002F769F"/>
    <w:rsid w:val="002F76F0"/>
    <w:rsid w:val="0030010F"/>
    <w:rsid w:val="0030018B"/>
    <w:rsid w:val="00300C07"/>
    <w:rsid w:val="003018BC"/>
    <w:rsid w:val="00303385"/>
    <w:rsid w:val="003037D9"/>
    <w:rsid w:val="00303AF5"/>
    <w:rsid w:val="00304713"/>
    <w:rsid w:val="00304DA8"/>
    <w:rsid w:val="00306159"/>
    <w:rsid w:val="00307F84"/>
    <w:rsid w:val="0031082B"/>
    <w:rsid w:val="00311978"/>
    <w:rsid w:val="00313E10"/>
    <w:rsid w:val="00320D16"/>
    <w:rsid w:val="0032101C"/>
    <w:rsid w:val="003210BD"/>
    <w:rsid w:val="00321E8B"/>
    <w:rsid w:val="00322548"/>
    <w:rsid w:val="00322B5F"/>
    <w:rsid w:val="00323444"/>
    <w:rsid w:val="0032356E"/>
    <w:rsid w:val="00323B70"/>
    <w:rsid w:val="00324D73"/>
    <w:rsid w:val="00327841"/>
    <w:rsid w:val="00327D1F"/>
    <w:rsid w:val="0033068C"/>
    <w:rsid w:val="0033158D"/>
    <w:rsid w:val="00332003"/>
    <w:rsid w:val="0033290E"/>
    <w:rsid w:val="00332B91"/>
    <w:rsid w:val="00334A3F"/>
    <w:rsid w:val="00336487"/>
    <w:rsid w:val="00337E62"/>
    <w:rsid w:val="00340A35"/>
    <w:rsid w:val="003415A6"/>
    <w:rsid w:val="003417E7"/>
    <w:rsid w:val="003423CC"/>
    <w:rsid w:val="00342F1C"/>
    <w:rsid w:val="00344D59"/>
    <w:rsid w:val="00346013"/>
    <w:rsid w:val="00351D81"/>
    <w:rsid w:val="00353D9F"/>
    <w:rsid w:val="003542BE"/>
    <w:rsid w:val="003557E2"/>
    <w:rsid w:val="00355FCE"/>
    <w:rsid w:val="003607D5"/>
    <w:rsid w:val="00360E1D"/>
    <w:rsid w:val="00362FC5"/>
    <w:rsid w:val="003631D6"/>
    <w:rsid w:val="00363A85"/>
    <w:rsid w:val="0036414C"/>
    <w:rsid w:val="00365C0E"/>
    <w:rsid w:val="00365EFD"/>
    <w:rsid w:val="003664EF"/>
    <w:rsid w:val="00366F94"/>
    <w:rsid w:val="00370136"/>
    <w:rsid w:val="003707E0"/>
    <w:rsid w:val="00371DC9"/>
    <w:rsid w:val="0037390A"/>
    <w:rsid w:val="00373CFF"/>
    <w:rsid w:val="00374BA0"/>
    <w:rsid w:val="0037618C"/>
    <w:rsid w:val="00376865"/>
    <w:rsid w:val="00377C94"/>
    <w:rsid w:val="0038087A"/>
    <w:rsid w:val="00384B07"/>
    <w:rsid w:val="00384E0A"/>
    <w:rsid w:val="00385D59"/>
    <w:rsid w:val="0038649C"/>
    <w:rsid w:val="003920BE"/>
    <w:rsid w:val="00393EBC"/>
    <w:rsid w:val="003944BC"/>
    <w:rsid w:val="003958F0"/>
    <w:rsid w:val="003961BE"/>
    <w:rsid w:val="003A0913"/>
    <w:rsid w:val="003A230F"/>
    <w:rsid w:val="003A37BA"/>
    <w:rsid w:val="003A398B"/>
    <w:rsid w:val="003A54D1"/>
    <w:rsid w:val="003A77D3"/>
    <w:rsid w:val="003B1176"/>
    <w:rsid w:val="003B1378"/>
    <w:rsid w:val="003B1653"/>
    <w:rsid w:val="003B16D9"/>
    <w:rsid w:val="003B42E3"/>
    <w:rsid w:val="003B7253"/>
    <w:rsid w:val="003C389C"/>
    <w:rsid w:val="003C474A"/>
    <w:rsid w:val="003C4B98"/>
    <w:rsid w:val="003C6E2E"/>
    <w:rsid w:val="003D19D3"/>
    <w:rsid w:val="003D2114"/>
    <w:rsid w:val="003D4FEE"/>
    <w:rsid w:val="003D533D"/>
    <w:rsid w:val="003D7C91"/>
    <w:rsid w:val="003E3180"/>
    <w:rsid w:val="003E48DB"/>
    <w:rsid w:val="003E6B35"/>
    <w:rsid w:val="003F1E9B"/>
    <w:rsid w:val="003F2B8E"/>
    <w:rsid w:val="003F45AA"/>
    <w:rsid w:val="003F5CC9"/>
    <w:rsid w:val="003F7732"/>
    <w:rsid w:val="00402D53"/>
    <w:rsid w:val="004047B3"/>
    <w:rsid w:val="00410F87"/>
    <w:rsid w:val="004139C1"/>
    <w:rsid w:val="00413EA8"/>
    <w:rsid w:val="00417777"/>
    <w:rsid w:val="00417A60"/>
    <w:rsid w:val="00420E8D"/>
    <w:rsid w:val="00421122"/>
    <w:rsid w:val="0042218A"/>
    <w:rsid w:val="00426762"/>
    <w:rsid w:val="0042717F"/>
    <w:rsid w:val="00431F9A"/>
    <w:rsid w:val="0043233B"/>
    <w:rsid w:val="00432579"/>
    <w:rsid w:val="0043399A"/>
    <w:rsid w:val="00440723"/>
    <w:rsid w:val="00442077"/>
    <w:rsid w:val="00443178"/>
    <w:rsid w:val="004439CF"/>
    <w:rsid w:val="004441C7"/>
    <w:rsid w:val="004463BE"/>
    <w:rsid w:val="00450562"/>
    <w:rsid w:val="004508A2"/>
    <w:rsid w:val="00450D33"/>
    <w:rsid w:val="00450E54"/>
    <w:rsid w:val="0045128B"/>
    <w:rsid w:val="00453614"/>
    <w:rsid w:val="00454289"/>
    <w:rsid w:val="004553D3"/>
    <w:rsid w:val="0046404A"/>
    <w:rsid w:val="00471719"/>
    <w:rsid w:val="0047172C"/>
    <w:rsid w:val="00471979"/>
    <w:rsid w:val="0047225A"/>
    <w:rsid w:val="004729C8"/>
    <w:rsid w:val="00472B9A"/>
    <w:rsid w:val="004808B3"/>
    <w:rsid w:val="004833F5"/>
    <w:rsid w:val="004872C7"/>
    <w:rsid w:val="00491480"/>
    <w:rsid w:val="00491E11"/>
    <w:rsid w:val="00494A84"/>
    <w:rsid w:val="00494EFA"/>
    <w:rsid w:val="004974FF"/>
    <w:rsid w:val="004A160A"/>
    <w:rsid w:val="004A17B2"/>
    <w:rsid w:val="004A2BE2"/>
    <w:rsid w:val="004A4E08"/>
    <w:rsid w:val="004A50A7"/>
    <w:rsid w:val="004A6E34"/>
    <w:rsid w:val="004B1070"/>
    <w:rsid w:val="004B1D88"/>
    <w:rsid w:val="004B1E53"/>
    <w:rsid w:val="004B3B7E"/>
    <w:rsid w:val="004B76FC"/>
    <w:rsid w:val="004C18C9"/>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483F"/>
    <w:rsid w:val="004E51CA"/>
    <w:rsid w:val="004E57E5"/>
    <w:rsid w:val="004E6BE5"/>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23CC2"/>
    <w:rsid w:val="0052557B"/>
    <w:rsid w:val="005260DB"/>
    <w:rsid w:val="005267D9"/>
    <w:rsid w:val="00532BFB"/>
    <w:rsid w:val="0053476B"/>
    <w:rsid w:val="005412B5"/>
    <w:rsid w:val="00541E60"/>
    <w:rsid w:val="0055096C"/>
    <w:rsid w:val="005522F2"/>
    <w:rsid w:val="00552BE8"/>
    <w:rsid w:val="00554985"/>
    <w:rsid w:val="00555019"/>
    <w:rsid w:val="00555120"/>
    <w:rsid w:val="0055661F"/>
    <w:rsid w:val="00556F0B"/>
    <w:rsid w:val="0056045B"/>
    <w:rsid w:val="005607E6"/>
    <w:rsid w:val="00561888"/>
    <w:rsid w:val="005622B2"/>
    <w:rsid w:val="005641E1"/>
    <w:rsid w:val="00565389"/>
    <w:rsid w:val="005664D7"/>
    <w:rsid w:val="00570BA5"/>
    <w:rsid w:val="00570F0A"/>
    <w:rsid w:val="005725F8"/>
    <w:rsid w:val="005732DB"/>
    <w:rsid w:val="00573A49"/>
    <w:rsid w:val="00573B1E"/>
    <w:rsid w:val="00573DFD"/>
    <w:rsid w:val="00573E91"/>
    <w:rsid w:val="00575C90"/>
    <w:rsid w:val="00576E8D"/>
    <w:rsid w:val="005816A5"/>
    <w:rsid w:val="005821BB"/>
    <w:rsid w:val="00582F89"/>
    <w:rsid w:val="00583862"/>
    <w:rsid w:val="00583A2E"/>
    <w:rsid w:val="00583FD9"/>
    <w:rsid w:val="005847EC"/>
    <w:rsid w:val="00590528"/>
    <w:rsid w:val="00590F67"/>
    <w:rsid w:val="00592EC4"/>
    <w:rsid w:val="00593F1A"/>
    <w:rsid w:val="005941FC"/>
    <w:rsid w:val="00594C60"/>
    <w:rsid w:val="00597E8A"/>
    <w:rsid w:val="005A1185"/>
    <w:rsid w:val="005A1862"/>
    <w:rsid w:val="005A24CE"/>
    <w:rsid w:val="005A6164"/>
    <w:rsid w:val="005A71E2"/>
    <w:rsid w:val="005B22CF"/>
    <w:rsid w:val="005B5529"/>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16BD1"/>
    <w:rsid w:val="00620B52"/>
    <w:rsid w:val="00621CD6"/>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3C10"/>
    <w:rsid w:val="00655B18"/>
    <w:rsid w:val="0066298E"/>
    <w:rsid w:val="00666AA6"/>
    <w:rsid w:val="006677A8"/>
    <w:rsid w:val="006704FD"/>
    <w:rsid w:val="00670678"/>
    <w:rsid w:val="00670DF8"/>
    <w:rsid w:val="00672317"/>
    <w:rsid w:val="00676915"/>
    <w:rsid w:val="00677F5C"/>
    <w:rsid w:val="00680CAB"/>
    <w:rsid w:val="00683200"/>
    <w:rsid w:val="00685C07"/>
    <w:rsid w:val="00685DEB"/>
    <w:rsid w:val="00686509"/>
    <w:rsid w:val="00690B59"/>
    <w:rsid w:val="00691589"/>
    <w:rsid w:val="00691BB4"/>
    <w:rsid w:val="006946AD"/>
    <w:rsid w:val="006A03F8"/>
    <w:rsid w:val="006A1E92"/>
    <w:rsid w:val="006B17BD"/>
    <w:rsid w:val="006B2CFA"/>
    <w:rsid w:val="006B3589"/>
    <w:rsid w:val="006B4F89"/>
    <w:rsid w:val="006B5E76"/>
    <w:rsid w:val="006B67C5"/>
    <w:rsid w:val="006C16A9"/>
    <w:rsid w:val="006C431B"/>
    <w:rsid w:val="006C5ED8"/>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39A1"/>
    <w:rsid w:val="007068C0"/>
    <w:rsid w:val="0071133B"/>
    <w:rsid w:val="00714DAD"/>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DE1"/>
    <w:rsid w:val="00734385"/>
    <w:rsid w:val="00736A65"/>
    <w:rsid w:val="00741519"/>
    <w:rsid w:val="00744E40"/>
    <w:rsid w:val="00745EB8"/>
    <w:rsid w:val="0075084F"/>
    <w:rsid w:val="007508CD"/>
    <w:rsid w:val="0075163B"/>
    <w:rsid w:val="00751C52"/>
    <w:rsid w:val="00751E67"/>
    <w:rsid w:val="00752C04"/>
    <w:rsid w:val="007534FC"/>
    <w:rsid w:val="0075390C"/>
    <w:rsid w:val="007554A1"/>
    <w:rsid w:val="00755C1B"/>
    <w:rsid w:val="0075600D"/>
    <w:rsid w:val="0075683D"/>
    <w:rsid w:val="00756F7C"/>
    <w:rsid w:val="00757C2B"/>
    <w:rsid w:val="00757FD7"/>
    <w:rsid w:val="007623A5"/>
    <w:rsid w:val="00762745"/>
    <w:rsid w:val="00765775"/>
    <w:rsid w:val="00765DD0"/>
    <w:rsid w:val="00771665"/>
    <w:rsid w:val="00772E3C"/>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4474"/>
    <w:rsid w:val="007A719E"/>
    <w:rsid w:val="007B162D"/>
    <w:rsid w:val="007B2F06"/>
    <w:rsid w:val="007B2FF8"/>
    <w:rsid w:val="007B33B9"/>
    <w:rsid w:val="007B3948"/>
    <w:rsid w:val="007B39F9"/>
    <w:rsid w:val="007B4C5B"/>
    <w:rsid w:val="007B555E"/>
    <w:rsid w:val="007C094D"/>
    <w:rsid w:val="007C1078"/>
    <w:rsid w:val="007C3493"/>
    <w:rsid w:val="007C39E6"/>
    <w:rsid w:val="007C3C07"/>
    <w:rsid w:val="007C78CF"/>
    <w:rsid w:val="007C7906"/>
    <w:rsid w:val="007D001B"/>
    <w:rsid w:val="007D1739"/>
    <w:rsid w:val="007D2ADB"/>
    <w:rsid w:val="007D510D"/>
    <w:rsid w:val="007D721D"/>
    <w:rsid w:val="007D7B98"/>
    <w:rsid w:val="007D7F0C"/>
    <w:rsid w:val="007E04CD"/>
    <w:rsid w:val="007E0DA9"/>
    <w:rsid w:val="007E0EEA"/>
    <w:rsid w:val="007E1C33"/>
    <w:rsid w:val="007E211E"/>
    <w:rsid w:val="007E3471"/>
    <w:rsid w:val="007E3D61"/>
    <w:rsid w:val="007E4101"/>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529"/>
    <w:rsid w:val="008109C0"/>
    <w:rsid w:val="00811142"/>
    <w:rsid w:val="00813710"/>
    <w:rsid w:val="00813B7D"/>
    <w:rsid w:val="0081487F"/>
    <w:rsid w:val="00817122"/>
    <w:rsid w:val="00820A6D"/>
    <w:rsid w:val="00822574"/>
    <w:rsid w:val="00823F7E"/>
    <w:rsid w:val="0082433E"/>
    <w:rsid w:val="00824755"/>
    <w:rsid w:val="00824877"/>
    <w:rsid w:val="00825293"/>
    <w:rsid w:val="00825786"/>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6966"/>
    <w:rsid w:val="008477E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8024B"/>
    <w:rsid w:val="0088201D"/>
    <w:rsid w:val="00885E84"/>
    <w:rsid w:val="00887E4C"/>
    <w:rsid w:val="008928AA"/>
    <w:rsid w:val="00895EF4"/>
    <w:rsid w:val="0089622B"/>
    <w:rsid w:val="008A268D"/>
    <w:rsid w:val="008A41CA"/>
    <w:rsid w:val="008A4495"/>
    <w:rsid w:val="008A5D3D"/>
    <w:rsid w:val="008A6D8E"/>
    <w:rsid w:val="008A6DB8"/>
    <w:rsid w:val="008A7E7D"/>
    <w:rsid w:val="008B01EF"/>
    <w:rsid w:val="008B07BE"/>
    <w:rsid w:val="008B20EE"/>
    <w:rsid w:val="008B28FE"/>
    <w:rsid w:val="008B2DE6"/>
    <w:rsid w:val="008B53F3"/>
    <w:rsid w:val="008B56AA"/>
    <w:rsid w:val="008B56E0"/>
    <w:rsid w:val="008C47A1"/>
    <w:rsid w:val="008C4AC1"/>
    <w:rsid w:val="008D1411"/>
    <w:rsid w:val="008D3364"/>
    <w:rsid w:val="008D6C11"/>
    <w:rsid w:val="008D7387"/>
    <w:rsid w:val="008E00E6"/>
    <w:rsid w:val="008E1F56"/>
    <w:rsid w:val="008E20CE"/>
    <w:rsid w:val="008E21EC"/>
    <w:rsid w:val="008E2F73"/>
    <w:rsid w:val="008E33CE"/>
    <w:rsid w:val="008E7852"/>
    <w:rsid w:val="008F3A55"/>
    <w:rsid w:val="008F45F4"/>
    <w:rsid w:val="008F5593"/>
    <w:rsid w:val="008F5D02"/>
    <w:rsid w:val="008F64A1"/>
    <w:rsid w:val="008F6513"/>
    <w:rsid w:val="009000D8"/>
    <w:rsid w:val="00900521"/>
    <w:rsid w:val="00900A36"/>
    <w:rsid w:val="00901F33"/>
    <w:rsid w:val="00903D18"/>
    <w:rsid w:val="0090594B"/>
    <w:rsid w:val="00905EE7"/>
    <w:rsid w:val="00907627"/>
    <w:rsid w:val="00913F5A"/>
    <w:rsid w:val="00917BF4"/>
    <w:rsid w:val="00924CBF"/>
    <w:rsid w:val="0093152D"/>
    <w:rsid w:val="009363F0"/>
    <w:rsid w:val="00936E58"/>
    <w:rsid w:val="00937C6B"/>
    <w:rsid w:val="009400D1"/>
    <w:rsid w:val="0094043A"/>
    <w:rsid w:val="00940F1A"/>
    <w:rsid w:val="00941C7E"/>
    <w:rsid w:val="00941FDC"/>
    <w:rsid w:val="009422C3"/>
    <w:rsid w:val="00943660"/>
    <w:rsid w:val="00944B83"/>
    <w:rsid w:val="00944CA0"/>
    <w:rsid w:val="009461AF"/>
    <w:rsid w:val="009512F0"/>
    <w:rsid w:val="00951977"/>
    <w:rsid w:val="00954CF6"/>
    <w:rsid w:val="00955841"/>
    <w:rsid w:val="00956E75"/>
    <w:rsid w:val="00957DF5"/>
    <w:rsid w:val="009601CE"/>
    <w:rsid w:val="00960380"/>
    <w:rsid w:val="00960567"/>
    <w:rsid w:val="0096135E"/>
    <w:rsid w:val="00961626"/>
    <w:rsid w:val="00962396"/>
    <w:rsid w:val="0096341B"/>
    <w:rsid w:val="009649D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8EB"/>
    <w:rsid w:val="009B2A39"/>
    <w:rsid w:val="009B66C4"/>
    <w:rsid w:val="009C17BB"/>
    <w:rsid w:val="009C2387"/>
    <w:rsid w:val="009C318C"/>
    <w:rsid w:val="009C59F4"/>
    <w:rsid w:val="009D0872"/>
    <w:rsid w:val="009D19B8"/>
    <w:rsid w:val="009D1CFA"/>
    <w:rsid w:val="009D3EB7"/>
    <w:rsid w:val="009D6309"/>
    <w:rsid w:val="009D7052"/>
    <w:rsid w:val="009D730B"/>
    <w:rsid w:val="009D7912"/>
    <w:rsid w:val="009D7BEC"/>
    <w:rsid w:val="009E1C32"/>
    <w:rsid w:val="009E3CBE"/>
    <w:rsid w:val="009E5BBA"/>
    <w:rsid w:val="009E7E73"/>
    <w:rsid w:val="009F0803"/>
    <w:rsid w:val="009F14D9"/>
    <w:rsid w:val="009F152C"/>
    <w:rsid w:val="009F22B2"/>
    <w:rsid w:val="009F2CD7"/>
    <w:rsid w:val="009F3482"/>
    <w:rsid w:val="009F3E5D"/>
    <w:rsid w:val="009F526D"/>
    <w:rsid w:val="009F5ACF"/>
    <w:rsid w:val="009F5DD3"/>
    <w:rsid w:val="009F7861"/>
    <w:rsid w:val="00A009A3"/>
    <w:rsid w:val="00A014AB"/>
    <w:rsid w:val="00A01D72"/>
    <w:rsid w:val="00A03907"/>
    <w:rsid w:val="00A03D53"/>
    <w:rsid w:val="00A040B9"/>
    <w:rsid w:val="00A05FBE"/>
    <w:rsid w:val="00A065CE"/>
    <w:rsid w:val="00A076EE"/>
    <w:rsid w:val="00A121CF"/>
    <w:rsid w:val="00A1226E"/>
    <w:rsid w:val="00A1426F"/>
    <w:rsid w:val="00A17654"/>
    <w:rsid w:val="00A20D68"/>
    <w:rsid w:val="00A21F22"/>
    <w:rsid w:val="00A260EB"/>
    <w:rsid w:val="00A26B0C"/>
    <w:rsid w:val="00A31D6A"/>
    <w:rsid w:val="00A322AA"/>
    <w:rsid w:val="00A325F6"/>
    <w:rsid w:val="00A35158"/>
    <w:rsid w:val="00A37C18"/>
    <w:rsid w:val="00A424EF"/>
    <w:rsid w:val="00A431EE"/>
    <w:rsid w:val="00A44185"/>
    <w:rsid w:val="00A44364"/>
    <w:rsid w:val="00A45617"/>
    <w:rsid w:val="00A4575C"/>
    <w:rsid w:val="00A47D41"/>
    <w:rsid w:val="00A52780"/>
    <w:rsid w:val="00A52999"/>
    <w:rsid w:val="00A53887"/>
    <w:rsid w:val="00A53F31"/>
    <w:rsid w:val="00A56696"/>
    <w:rsid w:val="00A56D85"/>
    <w:rsid w:val="00A56E17"/>
    <w:rsid w:val="00A5700B"/>
    <w:rsid w:val="00A63CBE"/>
    <w:rsid w:val="00A661B3"/>
    <w:rsid w:val="00A6774D"/>
    <w:rsid w:val="00A67FF3"/>
    <w:rsid w:val="00A7024B"/>
    <w:rsid w:val="00A7187B"/>
    <w:rsid w:val="00A74ACE"/>
    <w:rsid w:val="00A8040C"/>
    <w:rsid w:val="00A80B54"/>
    <w:rsid w:val="00A84587"/>
    <w:rsid w:val="00A87522"/>
    <w:rsid w:val="00A87555"/>
    <w:rsid w:val="00A92873"/>
    <w:rsid w:val="00A97C6F"/>
    <w:rsid w:val="00A97D64"/>
    <w:rsid w:val="00AA000E"/>
    <w:rsid w:val="00AA06AA"/>
    <w:rsid w:val="00AA0818"/>
    <w:rsid w:val="00AA100F"/>
    <w:rsid w:val="00AA172E"/>
    <w:rsid w:val="00AA2CE4"/>
    <w:rsid w:val="00AA2DB2"/>
    <w:rsid w:val="00AA3D1D"/>
    <w:rsid w:val="00AA4129"/>
    <w:rsid w:val="00AA6F78"/>
    <w:rsid w:val="00AA78CB"/>
    <w:rsid w:val="00AB008D"/>
    <w:rsid w:val="00AB15CE"/>
    <w:rsid w:val="00AB18B6"/>
    <w:rsid w:val="00AB19BD"/>
    <w:rsid w:val="00AB38DA"/>
    <w:rsid w:val="00AB3B39"/>
    <w:rsid w:val="00AB4268"/>
    <w:rsid w:val="00AB6C5A"/>
    <w:rsid w:val="00AB70B9"/>
    <w:rsid w:val="00AC1592"/>
    <w:rsid w:val="00AC1C06"/>
    <w:rsid w:val="00AC2811"/>
    <w:rsid w:val="00AC37A2"/>
    <w:rsid w:val="00AC3F6B"/>
    <w:rsid w:val="00AD16AF"/>
    <w:rsid w:val="00AD1F2E"/>
    <w:rsid w:val="00AD2A76"/>
    <w:rsid w:val="00AD2D0C"/>
    <w:rsid w:val="00AD7E05"/>
    <w:rsid w:val="00AE0CC8"/>
    <w:rsid w:val="00AE2F05"/>
    <w:rsid w:val="00AE33A5"/>
    <w:rsid w:val="00AE5684"/>
    <w:rsid w:val="00AE57F5"/>
    <w:rsid w:val="00AE5D57"/>
    <w:rsid w:val="00AE72C5"/>
    <w:rsid w:val="00AF072E"/>
    <w:rsid w:val="00AF21A7"/>
    <w:rsid w:val="00AF4326"/>
    <w:rsid w:val="00AF4723"/>
    <w:rsid w:val="00AF553A"/>
    <w:rsid w:val="00AF61EF"/>
    <w:rsid w:val="00AF66ED"/>
    <w:rsid w:val="00AF6CDD"/>
    <w:rsid w:val="00AF728B"/>
    <w:rsid w:val="00AF74C1"/>
    <w:rsid w:val="00B002D4"/>
    <w:rsid w:val="00B003FB"/>
    <w:rsid w:val="00B008DB"/>
    <w:rsid w:val="00B00C3A"/>
    <w:rsid w:val="00B01CAF"/>
    <w:rsid w:val="00B02FED"/>
    <w:rsid w:val="00B049F2"/>
    <w:rsid w:val="00B05368"/>
    <w:rsid w:val="00B05D3C"/>
    <w:rsid w:val="00B07753"/>
    <w:rsid w:val="00B155F7"/>
    <w:rsid w:val="00B16260"/>
    <w:rsid w:val="00B21BDF"/>
    <w:rsid w:val="00B23D27"/>
    <w:rsid w:val="00B27315"/>
    <w:rsid w:val="00B278ED"/>
    <w:rsid w:val="00B27B81"/>
    <w:rsid w:val="00B27CD4"/>
    <w:rsid w:val="00B31FA4"/>
    <w:rsid w:val="00B32DF5"/>
    <w:rsid w:val="00B334E6"/>
    <w:rsid w:val="00B33554"/>
    <w:rsid w:val="00B34852"/>
    <w:rsid w:val="00B34AD0"/>
    <w:rsid w:val="00B360E5"/>
    <w:rsid w:val="00B36D65"/>
    <w:rsid w:val="00B37B7D"/>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713CE"/>
    <w:rsid w:val="00B738F8"/>
    <w:rsid w:val="00B758DB"/>
    <w:rsid w:val="00B76EA7"/>
    <w:rsid w:val="00B7752E"/>
    <w:rsid w:val="00B77D1F"/>
    <w:rsid w:val="00B77F6C"/>
    <w:rsid w:val="00B81159"/>
    <w:rsid w:val="00B82BE6"/>
    <w:rsid w:val="00B831B8"/>
    <w:rsid w:val="00B85CD6"/>
    <w:rsid w:val="00B85F58"/>
    <w:rsid w:val="00B86AA1"/>
    <w:rsid w:val="00B90653"/>
    <w:rsid w:val="00B927A2"/>
    <w:rsid w:val="00B92806"/>
    <w:rsid w:val="00B92826"/>
    <w:rsid w:val="00B93A07"/>
    <w:rsid w:val="00B94633"/>
    <w:rsid w:val="00B94D7B"/>
    <w:rsid w:val="00BA46B5"/>
    <w:rsid w:val="00BA50AD"/>
    <w:rsid w:val="00BA5F4D"/>
    <w:rsid w:val="00BA6160"/>
    <w:rsid w:val="00BA6840"/>
    <w:rsid w:val="00BA6F89"/>
    <w:rsid w:val="00BA73A2"/>
    <w:rsid w:val="00BB0737"/>
    <w:rsid w:val="00BB0A4F"/>
    <w:rsid w:val="00BB3C3D"/>
    <w:rsid w:val="00BB7628"/>
    <w:rsid w:val="00BC085A"/>
    <w:rsid w:val="00BC1B7B"/>
    <w:rsid w:val="00BC33F3"/>
    <w:rsid w:val="00BC3743"/>
    <w:rsid w:val="00BC3CB6"/>
    <w:rsid w:val="00BC47C1"/>
    <w:rsid w:val="00BD0396"/>
    <w:rsid w:val="00BD03B9"/>
    <w:rsid w:val="00BD121F"/>
    <w:rsid w:val="00BD4166"/>
    <w:rsid w:val="00BD749F"/>
    <w:rsid w:val="00BD79D1"/>
    <w:rsid w:val="00BD7FED"/>
    <w:rsid w:val="00BE107B"/>
    <w:rsid w:val="00BE1743"/>
    <w:rsid w:val="00BE3E66"/>
    <w:rsid w:val="00BE4352"/>
    <w:rsid w:val="00BE4381"/>
    <w:rsid w:val="00BE6292"/>
    <w:rsid w:val="00BE6E1D"/>
    <w:rsid w:val="00BE6E64"/>
    <w:rsid w:val="00BF09FF"/>
    <w:rsid w:val="00BF42E8"/>
    <w:rsid w:val="00BF46BC"/>
    <w:rsid w:val="00BF5AC3"/>
    <w:rsid w:val="00BF5F53"/>
    <w:rsid w:val="00BF5F60"/>
    <w:rsid w:val="00BF7CFC"/>
    <w:rsid w:val="00C00A37"/>
    <w:rsid w:val="00C01320"/>
    <w:rsid w:val="00C01435"/>
    <w:rsid w:val="00C019BC"/>
    <w:rsid w:val="00C04A69"/>
    <w:rsid w:val="00C06E39"/>
    <w:rsid w:val="00C102A4"/>
    <w:rsid w:val="00C11EAF"/>
    <w:rsid w:val="00C123EE"/>
    <w:rsid w:val="00C14CA5"/>
    <w:rsid w:val="00C15A2C"/>
    <w:rsid w:val="00C164F1"/>
    <w:rsid w:val="00C20DC3"/>
    <w:rsid w:val="00C241C3"/>
    <w:rsid w:val="00C248D3"/>
    <w:rsid w:val="00C3000A"/>
    <w:rsid w:val="00C3134C"/>
    <w:rsid w:val="00C330F8"/>
    <w:rsid w:val="00C349B8"/>
    <w:rsid w:val="00C47F4E"/>
    <w:rsid w:val="00C5039C"/>
    <w:rsid w:val="00C52466"/>
    <w:rsid w:val="00C54392"/>
    <w:rsid w:val="00C546CF"/>
    <w:rsid w:val="00C55BD6"/>
    <w:rsid w:val="00C56E8E"/>
    <w:rsid w:val="00C5774A"/>
    <w:rsid w:val="00C57A51"/>
    <w:rsid w:val="00C57B32"/>
    <w:rsid w:val="00C61237"/>
    <w:rsid w:val="00C630D4"/>
    <w:rsid w:val="00C64C5A"/>
    <w:rsid w:val="00C66F9D"/>
    <w:rsid w:val="00C67D51"/>
    <w:rsid w:val="00C70063"/>
    <w:rsid w:val="00C70113"/>
    <w:rsid w:val="00C7033E"/>
    <w:rsid w:val="00C70ADB"/>
    <w:rsid w:val="00C713F1"/>
    <w:rsid w:val="00C715B1"/>
    <w:rsid w:val="00C715F6"/>
    <w:rsid w:val="00C71824"/>
    <w:rsid w:val="00C71F8D"/>
    <w:rsid w:val="00C74F56"/>
    <w:rsid w:val="00C756D9"/>
    <w:rsid w:val="00C76709"/>
    <w:rsid w:val="00C767EF"/>
    <w:rsid w:val="00C77BF1"/>
    <w:rsid w:val="00C80343"/>
    <w:rsid w:val="00C83217"/>
    <w:rsid w:val="00C83B2A"/>
    <w:rsid w:val="00C845D6"/>
    <w:rsid w:val="00C86F53"/>
    <w:rsid w:val="00C878BA"/>
    <w:rsid w:val="00C87925"/>
    <w:rsid w:val="00C87C45"/>
    <w:rsid w:val="00C87CC2"/>
    <w:rsid w:val="00C87D3A"/>
    <w:rsid w:val="00C91DC8"/>
    <w:rsid w:val="00C9593A"/>
    <w:rsid w:val="00CA1AE4"/>
    <w:rsid w:val="00CA2BAB"/>
    <w:rsid w:val="00CA3E3E"/>
    <w:rsid w:val="00CB017A"/>
    <w:rsid w:val="00CB0688"/>
    <w:rsid w:val="00CB06B3"/>
    <w:rsid w:val="00CB1570"/>
    <w:rsid w:val="00CB15F4"/>
    <w:rsid w:val="00CB48E7"/>
    <w:rsid w:val="00CB5884"/>
    <w:rsid w:val="00CB669B"/>
    <w:rsid w:val="00CC0E29"/>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D96"/>
    <w:rsid w:val="00CF21A8"/>
    <w:rsid w:val="00CF2C7B"/>
    <w:rsid w:val="00CF6052"/>
    <w:rsid w:val="00CF7D03"/>
    <w:rsid w:val="00D04407"/>
    <w:rsid w:val="00D04E7A"/>
    <w:rsid w:val="00D05D80"/>
    <w:rsid w:val="00D06C02"/>
    <w:rsid w:val="00D0762C"/>
    <w:rsid w:val="00D07745"/>
    <w:rsid w:val="00D10F39"/>
    <w:rsid w:val="00D11243"/>
    <w:rsid w:val="00D11634"/>
    <w:rsid w:val="00D15076"/>
    <w:rsid w:val="00D16AEA"/>
    <w:rsid w:val="00D25888"/>
    <w:rsid w:val="00D25E56"/>
    <w:rsid w:val="00D264ED"/>
    <w:rsid w:val="00D26DAE"/>
    <w:rsid w:val="00D26E3F"/>
    <w:rsid w:val="00D27C45"/>
    <w:rsid w:val="00D33317"/>
    <w:rsid w:val="00D33DD3"/>
    <w:rsid w:val="00D350F5"/>
    <w:rsid w:val="00D42A28"/>
    <w:rsid w:val="00D433C6"/>
    <w:rsid w:val="00D439BF"/>
    <w:rsid w:val="00D43CCC"/>
    <w:rsid w:val="00D44E56"/>
    <w:rsid w:val="00D46473"/>
    <w:rsid w:val="00D46A31"/>
    <w:rsid w:val="00D46C3B"/>
    <w:rsid w:val="00D47976"/>
    <w:rsid w:val="00D507AF"/>
    <w:rsid w:val="00D540C4"/>
    <w:rsid w:val="00D56896"/>
    <w:rsid w:val="00D57846"/>
    <w:rsid w:val="00D60279"/>
    <w:rsid w:val="00D63D3D"/>
    <w:rsid w:val="00D64E6C"/>
    <w:rsid w:val="00D7185B"/>
    <w:rsid w:val="00D72A8B"/>
    <w:rsid w:val="00D73A82"/>
    <w:rsid w:val="00D73D91"/>
    <w:rsid w:val="00D75198"/>
    <w:rsid w:val="00D76CBC"/>
    <w:rsid w:val="00D806E0"/>
    <w:rsid w:val="00D8123E"/>
    <w:rsid w:val="00D818A7"/>
    <w:rsid w:val="00D81CB5"/>
    <w:rsid w:val="00D82C00"/>
    <w:rsid w:val="00D84F93"/>
    <w:rsid w:val="00D85420"/>
    <w:rsid w:val="00D8775B"/>
    <w:rsid w:val="00D90D6F"/>
    <w:rsid w:val="00D9291B"/>
    <w:rsid w:val="00D942BC"/>
    <w:rsid w:val="00D94722"/>
    <w:rsid w:val="00D9678E"/>
    <w:rsid w:val="00D974C2"/>
    <w:rsid w:val="00D97873"/>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1131"/>
    <w:rsid w:val="00DD44B9"/>
    <w:rsid w:val="00DD4F9D"/>
    <w:rsid w:val="00DD59D9"/>
    <w:rsid w:val="00DE3533"/>
    <w:rsid w:val="00DE407D"/>
    <w:rsid w:val="00DE42D3"/>
    <w:rsid w:val="00DE6A66"/>
    <w:rsid w:val="00DE6F46"/>
    <w:rsid w:val="00DE6FE0"/>
    <w:rsid w:val="00DF00BE"/>
    <w:rsid w:val="00DF15E9"/>
    <w:rsid w:val="00DF16E6"/>
    <w:rsid w:val="00DF3A98"/>
    <w:rsid w:val="00DF3DDE"/>
    <w:rsid w:val="00DF45A0"/>
    <w:rsid w:val="00E03AAD"/>
    <w:rsid w:val="00E03E41"/>
    <w:rsid w:val="00E05095"/>
    <w:rsid w:val="00E07299"/>
    <w:rsid w:val="00E074F7"/>
    <w:rsid w:val="00E07A62"/>
    <w:rsid w:val="00E1033B"/>
    <w:rsid w:val="00E105A2"/>
    <w:rsid w:val="00E10B71"/>
    <w:rsid w:val="00E11771"/>
    <w:rsid w:val="00E1196F"/>
    <w:rsid w:val="00E13EDE"/>
    <w:rsid w:val="00E167D8"/>
    <w:rsid w:val="00E16A41"/>
    <w:rsid w:val="00E17D82"/>
    <w:rsid w:val="00E17FC2"/>
    <w:rsid w:val="00E21292"/>
    <w:rsid w:val="00E22051"/>
    <w:rsid w:val="00E22DBA"/>
    <w:rsid w:val="00E23F7E"/>
    <w:rsid w:val="00E309A7"/>
    <w:rsid w:val="00E30BCD"/>
    <w:rsid w:val="00E315F9"/>
    <w:rsid w:val="00E32D0E"/>
    <w:rsid w:val="00E33ED7"/>
    <w:rsid w:val="00E35710"/>
    <w:rsid w:val="00E35D29"/>
    <w:rsid w:val="00E36B62"/>
    <w:rsid w:val="00E371B5"/>
    <w:rsid w:val="00E375D4"/>
    <w:rsid w:val="00E40F66"/>
    <w:rsid w:val="00E412C1"/>
    <w:rsid w:val="00E4166C"/>
    <w:rsid w:val="00E43BF0"/>
    <w:rsid w:val="00E43F00"/>
    <w:rsid w:val="00E4686E"/>
    <w:rsid w:val="00E4725A"/>
    <w:rsid w:val="00E5168A"/>
    <w:rsid w:val="00E51B50"/>
    <w:rsid w:val="00E530F8"/>
    <w:rsid w:val="00E557A7"/>
    <w:rsid w:val="00E55A13"/>
    <w:rsid w:val="00E56192"/>
    <w:rsid w:val="00E57DD4"/>
    <w:rsid w:val="00E61162"/>
    <w:rsid w:val="00E61C1D"/>
    <w:rsid w:val="00E62027"/>
    <w:rsid w:val="00E70E86"/>
    <w:rsid w:val="00E7226B"/>
    <w:rsid w:val="00E73BFB"/>
    <w:rsid w:val="00E75A98"/>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088C"/>
    <w:rsid w:val="00EA1053"/>
    <w:rsid w:val="00EA1810"/>
    <w:rsid w:val="00EA2914"/>
    <w:rsid w:val="00EA532A"/>
    <w:rsid w:val="00EA560E"/>
    <w:rsid w:val="00EA6686"/>
    <w:rsid w:val="00EA6F91"/>
    <w:rsid w:val="00EB042C"/>
    <w:rsid w:val="00EB50DD"/>
    <w:rsid w:val="00EB5DA9"/>
    <w:rsid w:val="00EB606B"/>
    <w:rsid w:val="00EB6176"/>
    <w:rsid w:val="00EC36F0"/>
    <w:rsid w:val="00EC466C"/>
    <w:rsid w:val="00EC4941"/>
    <w:rsid w:val="00EC5CB9"/>
    <w:rsid w:val="00EC5F16"/>
    <w:rsid w:val="00EC7E57"/>
    <w:rsid w:val="00ED1675"/>
    <w:rsid w:val="00ED2C05"/>
    <w:rsid w:val="00ED392F"/>
    <w:rsid w:val="00ED4C56"/>
    <w:rsid w:val="00ED73E2"/>
    <w:rsid w:val="00EE0FB3"/>
    <w:rsid w:val="00EE1481"/>
    <w:rsid w:val="00EE7136"/>
    <w:rsid w:val="00EF0CFE"/>
    <w:rsid w:val="00EF19AC"/>
    <w:rsid w:val="00EF5925"/>
    <w:rsid w:val="00EF5E2F"/>
    <w:rsid w:val="00EF6A4E"/>
    <w:rsid w:val="00EF7302"/>
    <w:rsid w:val="00F000B2"/>
    <w:rsid w:val="00F00343"/>
    <w:rsid w:val="00F037E3"/>
    <w:rsid w:val="00F05211"/>
    <w:rsid w:val="00F05A49"/>
    <w:rsid w:val="00F07DB9"/>
    <w:rsid w:val="00F13D50"/>
    <w:rsid w:val="00F169D7"/>
    <w:rsid w:val="00F20E2D"/>
    <w:rsid w:val="00F21BFC"/>
    <w:rsid w:val="00F21CFE"/>
    <w:rsid w:val="00F230B6"/>
    <w:rsid w:val="00F25591"/>
    <w:rsid w:val="00F26A03"/>
    <w:rsid w:val="00F26E97"/>
    <w:rsid w:val="00F316CF"/>
    <w:rsid w:val="00F344C3"/>
    <w:rsid w:val="00F349CF"/>
    <w:rsid w:val="00F36123"/>
    <w:rsid w:val="00F3624E"/>
    <w:rsid w:val="00F43300"/>
    <w:rsid w:val="00F44197"/>
    <w:rsid w:val="00F444D3"/>
    <w:rsid w:val="00F46F31"/>
    <w:rsid w:val="00F503C8"/>
    <w:rsid w:val="00F50762"/>
    <w:rsid w:val="00F51949"/>
    <w:rsid w:val="00F56CF8"/>
    <w:rsid w:val="00F56E98"/>
    <w:rsid w:val="00F5710C"/>
    <w:rsid w:val="00F62DE3"/>
    <w:rsid w:val="00F63BB6"/>
    <w:rsid w:val="00F6652A"/>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48CA"/>
    <w:rsid w:val="00F95494"/>
    <w:rsid w:val="00F95500"/>
    <w:rsid w:val="00F95D62"/>
    <w:rsid w:val="00F96E9F"/>
    <w:rsid w:val="00F97185"/>
    <w:rsid w:val="00FA285F"/>
    <w:rsid w:val="00FA28B2"/>
    <w:rsid w:val="00FA5D66"/>
    <w:rsid w:val="00FB01F4"/>
    <w:rsid w:val="00FB0387"/>
    <w:rsid w:val="00FB070B"/>
    <w:rsid w:val="00FB549A"/>
    <w:rsid w:val="00FB6145"/>
    <w:rsid w:val="00FB6FB5"/>
    <w:rsid w:val="00FC455E"/>
    <w:rsid w:val="00FC4983"/>
    <w:rsid w:val="00FC4B14"/>
    <w:rsid w:val="00FC5A25"/>
    <w:rsid w:val="00FC5A88"/>
    <w:rsid w:val="00FD5615"/>
    <w:rsid w:val="00FD5AAD"/>
    <w:rsid w:val="00FD5EDC"/>
    <w:rsid w:val="00FD6CED"/>
    <w:rsid w:val="00FD7592"/>
    <w:rsid w:val="00FD7DE1"/>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BD1"/>
  </w:style>
  <w:style w:type="paragraph" w:styleId="Heading1">
    <w:name w:val="heading 1"/>
    <w:basedOn w:val="Normal"/>
    <w:next w:val="Normal"/>
    <w:link w:val="Heading1Char"/>
    <w:uiPriority w:val="9"/>
    <w:qFormat/>
    <w:rsid w:val="00616B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45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6BD1"/>
    <w:rPr>
      <w:color w:val="0000FF"/>
      <w:u w:val="single"/>
    </w:rPr>
  </w:style>
  <w:style w:type="paragraph" w:styleId="Footer">
    <w:name w:val="footer"/>
    <w:basedOn w:val="Normal"/>
    <w:link w:val="FooterChar"/>
    <w:uiPriority w:val="99"/>
    <w:unhideWhenUsed/>
    <w:rsid w:val="00616BD1"/>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16BD1"/>
    <w:rPr>
      <w:rFonts w:ascii="Calibri" w:eastAsia="Calibri" w:hAnsi="Calibri" w:cs="Times New Roman"/>
    </w:rPr>
  </w:style>
  <w:style w:type="character" w:customStyle="1" w:styleId="Heading1Char">
    <w:name w:val="Heading 1 Char"/>
    <w:basedOn w:val="DefaultParagraphFont"/>
    <w:link w:val="Heading1"/>
    <w:uiPriority w:val="9"/>
    <w:rsid w:val="00616BD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16BD1"/>
    <w:pPr>
      <w:jc w:val="center"/>
      <w:outlineLvl w:val="9"/>
    </w:pPr>
  </w:style>
  <w:style w:type="paragraph" w:styleId="TOC1">
    <w:name w:val="toc 1"/>
    <w:basedOn w:val="Normal"/>
    <w:next w:val="Normal"/>
    <w:autoRedefine/>
    <w:uiPriority w:val="39"/>
    <w:unhideWhenUsed/>
    <w:rsid w:val="00616BD1"/>
    <w:pPr>
      <w:spacing w:after="100"/>
    </w:pPr>
  </w:style>
  <w:style w:type="paragraph" w:styleId="TOC2">
    <w:name w:val="toc 2"/>
    <w:basedOn w:val="Normal"/>
    <w:next w:val="Normal"/>
    <w:autoRedefine/>
    <w:uiPriority w:val="39"/>
    <w:unhideWhenUsed/>
    <w:rsid w:val="00616BD1"/>
    <w:pPr>
      <w:spacing w:after="100"/>
      <w:ind w:left="220"/>
    </w:pPr>
  </w:style>
  <w:style w:type="paragraph" w:styleId="BodyText">
    <w:name w:val="Body Text"/>
    <w:basedOn w:val="Normal"/>
    <w:link w:val="BodyTextChar"/>
    <w:qFormat/>
    <w:rsid w:val="003F45AA"/>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F45AA"/>
    <w:rPr>
      <w:rFonts w:ascii="Times New Roman" w:eastAsia="Times New Roman" w:hAnsi="Times New Roman" w:cs="Times New Roman"/>
      <w:sz w:val="24"/>
      <w:szCs w:val="24"/>
    </w:rPr>
  </w:style>
  <w:style w:type="paragraph" w:styleId="FootnoteText">
    <w:name w:val="footnote text"/>
    <w:aliases w:val="fn,ft,figure or table,F1"/>
    <w:basedOn w:val="Normal"/>
    <w:link w:val="FootnoteTextChar"/>
    <w:uiPriority w:val="99"/>
    <w:unhideWhenUsed/>
    <w:qFormat/>
    <w:rsid w:val="003F45AA"/>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igure or table Char,F1 Char"/>
    <w:basedOn w:val="DefaultParagraphFont"/>
    <w:link w:val="FootnoteText"/>
    <w:uiPriority w:val="99"/>
    <w:rsid w:val="003F45AA"/>
    <w:rPr>
      <w:rFonts w:ascii="Calibri" w:eastAsia="Calibri" w:hAnsi="Calibri" w:cs="Times New Roman"/>
      <w:sz w:val="20"/>
      <w:szCs w:val="20"/>
    </w:rPr>
  </w:style>
  <w:style w:type="character" w:styleId="FootnoteReference">
    <w:name w:val="footnote reference"/>
    <w:uiPriority w:val="99"/>
    <w:unhideWhenUsed/>
    <w:qFormat/>
    <w:rsid w:val="003F45AA"/>
    <w:rPr>
      <w:vertAlign w:val="superscript"/>
    </w:rPr>
  </w:style>
  <w:style w:type="paragraph" w:customStyle="1" w:styleId="Bullet1">
    <w:name w:val="Bullet 1"/>
    <w:basedOn w:val="ListParagraph"/>
    <w:qFormat/>
    <w:rsid w:val="003F45AA"/>
    <w:pPr>
      <w:numPr>
        <w:numId w:val="3"/>
      </w:numPr>
      <w:tabs>
        <w:tab w:val="num" w:pos="360"/>
      </w:tabs>
      <w:spacing w:before="120" w:after="0" w:line="276" w:lineRule="auto"/>
      <w:ind w:left="720" w:firstLine="0"/>
      <w:contextualSpacing w:val="0"/>
    </w:pPr>
    <w:rPr>
      <w:rFonts w:ascii="Times New Roman" w:hAnsi="Times New Roman" w:cs="Times New Roman"/>
      <w:sz w:val="24"/>
      <w:szCs w:val="24"/>
    </w:rPr>
  </w:style>
  <w:style w:type="paragraph" w:styleId="ListParagraph">
    <w:name w:val="List Paragraph"/>
    <w:basedOn w:val="Normal"/>
    <w:uiPriority w:val="34"/>
    <w:qFormat/>
    <w:rsid w:val="003F45AA"/>
    <w:pPr>
      <w:ind w:left="720"/>
      <w:contextualSpacing/>
    </w:pPr>
  </w:style>
  <w:style w:type="character" w:customStyle="1" w:styleId="Heading2Char">
    <w:name w:val="Heading 2 Char"/>
    <w:basedOn w:val="DefaultParagraphFont"/>
    <w:link w:val="Heading2"/>
    <w:uiPriority w:val="9"/>
    <w:rsid w:val="003F45AA"/>
    <w:rPr>
      <w:rFonts w:asciiTheme="majorHAnsi" w:eastAsiaTheme="majorEastAsia" w:hAnsiTheme="majorHAnsi" w:cstheme="majorBidi"/>
      <w:color w:val="2E74B5" w:themeColor="accent1" w:themeShade="BF"/>
      <w:sz w:val="26"/>
      <w:szCs w:val="26"/>
    </w:rPr>
  </w:style>
  <w:style w:type="character" w:styleId="CommentReference">
    <w:name w:val="annotation reference"/>
    <w:uiPriority w:val="99"/>
    <w:semiHidden/>
    <w:rsid w:val="003F45AA"/>
    <w:rPr>
      <w:rFonts w:cs="Times New Roman"/>
      <w:sz w:val="16"/>
      <w:szCs w:val="16"/>
    </w:rPr>
  </w:style>
  <w:style w:type="paragraph" w:styleId="CommentText">
    <w:name w:val="annotation text"/>
    <w:basedOn w:val="Normal"/>
    <w:link w:val="CommentTextChar"/>
    <w:uiPriority w:val="99"/>
    <w:semiHidden/>
    <w:rsid w:val="003F45AA"/>
    <w:pPr>
      <w:spacing w:after="200" w:line="276" w:lineRule="auto"/>
    </w:pPr>
    <w:rPr>
      <w:rFonts w:ascii="Calibri" w:eastAsia="Calibri" w:hAnsi="Calibri" w:cs="Times New Roman"/>
      <w:sz w:val="24"/>
      <w:szCs w:val="20"/>
    </w:rPr>
  </w:style>
  <w:style w:type="character" w:customStyle="1" w:styleId="CommentTextChar">
    <w:name w:val="Comment Text Char"/>
    <w:basedOn w:val="DefaultParagraphFont"/>
    <w:link w:val="CommentText"/>
    <w:uiPriority w:val="99"/>
    <w:semiHidden/>
    <w:rsid w:val="003F45AA"/>
    <w:rPr>
      <w:rFonts w:ascii="Calibri" w:eastAsia="Calibri" w:hAnsi="Calibri" w:cs="Times New Roman"/>
      <w:sz w:val="24"/>
      <w:szCs w:val="20"/>
    </w:rPr>
  </w:style>
  <w:style w:type="paragraph" w:styleId="BalloonText">
    <w:name w:val="Balloon Text"/>
    <w:basedOn w:val="Normal"/>
    <w:link w:val="BalloonTextChar"/>
    <w:uiPriority w:val="99"/>
    <w:semiHidden/>
    <w:unhideWhenUsed/>
    <w:rsid w:val="003F4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5AA"/>
    <w:rPr>
      <w:rFonts w:ascii="Segoe UI" w:hAnsi="Segoe UI" w:cs="Segoe UI"/>
      <w:sz w:val="18"/>
      <w:szCs w:val="18"/>
    </w:rPr>
  </w:style>
  <w:style w:type="table" w:styleId="TableGrid">
    <w:name w:val="Table Grid"/>
    <w:basedOn w:val="TableNormal"/>
    <w:uiPriority w:val="39"/>
    <w:rsid w:val="003F45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040B9"/>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A040B9"/>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BD1"/>
  </w:style>
  <w:style w:type="paragraph" w:styleId="Heading1">
    <w:name w:val="heading 1"/>
    <w:basedOn w:val="Normal"/>
    <w:next w:val="Normal"/>
    <w:link w:val="Heading1Char"/>
    <w:uiPriority w:val="9"/>
    <w:qFormat/>
    <w:rsid w:val="00616B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45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6BD1"/>
    <w:rPr>
      <w:color w:val="0000FF"/>
      <w:u w:val="single"/>
    </w:rPr>
  </w:style>
  <w:style w:type="paragraph" w:styleId="Footer">
    <w:name w:val="footer"/>
    <w:basedOn w:val="Normal"/>
    <w:link w:val="FooterChar"/>
    <w:uiPriority w:val="99"/>
    <w:unhideWhenUsed/>
    <w:rsid w:val="00616BD1"/>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16BD1"/>
    <w:rPr>
      <w:rFonts w:ascii="Calibri" w:eastAsia="Calibri" w:hAnsi="Calibri" w:cs="Times New Roman"/>
    </w:rPr>
  </w:style>
  <w:style w:type="character" w:customStyle="1" w:styleId="Heading1Char">
    <w:name w:val="Heading 1 Char"/>
    <w:basedOn w:val="DefaultParagraphFont"/>
    <w:link w:val="Heading1"/>
    <w:uiPriority w:val="9"/>
    <w:rsid w:val="00616BD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16BD1"/>
    <w:pPr>
      <w:jc w:val="center"/>
      <w:outlineLvl w:val="9"/>
    </w:pPr>
  </w:style>
  <w:style w:type="paragraph" w:styleId="TOC1">
    <w:name w:val="toc 1"/>
    <w:basedOn w:val="Normal"/>
    <w:next w:val="Normal"/>
    <w:autoRedefine/>
    <w:uiPriority w:val="39"/>
    <w:unhideWhenUsed/>
    <w:rsid w:val="00616BD1"/>
    <w:pPr>
      <w:spacing w:after="100"/>
    </w:pPr>
  </w:style>
  <w:style w:type="paragraph" w:styleId="TOC2">
    <w:name w:val="toc 2"/>
    <w:basedOn w:val="Normal"/>
    <w:next w:val="Normal"/>
    <w:autoRedefine/>
    <w:uiPriority w:val="39"/>
    <w:unhideWhenUsed/>
    <w:rsid w:val="00616BD1"/>
    <w:pPr>
      <w:spacing w:after="100"/>
      <w:ind w:left="220"/>
    </w:pPr>
  </w:style>
  <w:style w:type="paragraph" w:styleId="BodyText">
    <w:name w:val="Body Text"/>
    <w:basedOn w:val="Normal"/>
    <w:link w:val="BodyTextChar"/>
    <w:qFormat/>
    <w:rsid w:val="003F45AA"/>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F45AA"/>
    <w:rPr>
      <w:rFonts w:ascii="Times New Roman" w:eastAsia="Times New Roman" w:hAnsi="Times New Roman" w:cs="Times New Roman"/>
      <w:sz w:val="24"/>
      <w:szCs w:val="24"/>
    </w:rPr>
  </w:style>
  <w:style w:type="paragraph" w:styleId="FootnoteText">
    <w:name w:val="footnote text"/>
    <w:aliases w:val="fn,ft,figure or table,F1"/>
    <w:basedOn w:val="Normal"/>
    <w:link w:val="FootnoteTextChar"/>
    <w:uiPriority w:val="99"/>
    <w:unhideWhenUsed/>
    <w:qFormat/>
    <w:rsid w:val="003F45AA"/>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igure or table Char,F1 Char"/>
    <w:basedOn w:val="DefaultParagraphFont"/>
    <w:link w:val="FootnoteText"/>
    <w:uiPriority w:val="99"/>
    <w:rsid w:val="003F45AA"/>
    <w:rPr>
      <w:rFonts w:ascii="Calibri" w:eastAsia="Calibri" w:hAnsi="Calibri" w:cs="Times New Roman"/>
      <w:sz w:val="20"/>
      <w:szCs w:val="20"/>
    </w:rPr>
  </w:style>
  <w:style w:type="character" w:styleId="FootnoteReference">
    <w:name w:val="footnote reference"/>
    <w:uiPriority w:val="99"/>
    <w:unhideWhenUsed/>
    <w:qFormat/>
    <w:rsid w:val="003F45AA"/>
    <w:rPr>
      <w:vertAlign w:val="superscript"/>
    </w:rPr>
  </w:style>
  <w:style w:type="paragraph" w:customStyle="1" w:styleId="Bullet1">
    <w:name w:val="Bullet 1"/>
    <w:basedOn w:val="ListParagraph"/>
    <w:qFormat/>
    <w:rsid w:val="003F45AA"/>
    <w:pPr>
      <w:numPr>
        <w:numId w:val="3"/>
      </w:numPr>
      <w:tabs>
        <w:tab w:val="num" w:pos="360"/>
      </w:tabs>
      <w:spacing w:before="120" w:after="0" w:line="276" w:lineRule="auto"/>
      <w:ind w:left="720" w:firstLine="0"/>
      <w:contextualSpacing w:val="0"/>
    </w:pPr>
    <w:rPr>
      <w:rFonts w:ascii="Times New Roman" w:hAnsi="Times New Roman" w:cs="Times New Roman"/>
      <w:sz w:val="24"/>
      <w:szCs w:val="24"/>
    </w:rPr>
  </w:style>
  <w:style w:type="paragraph" w:styleId="ListParagraph">
    <w:name w:val="List Paragraph"/>
    <w:basedOn w:val="Normal"/>
    <w:uiPriority w:val="34"/>
    <w:qFormat/>
    <w:rsid w:val="003F45AA"/>
    <w:pPr>
      <w:ind w:left="720"/>
      <w:contextualSpacing/>
    </w:pPr>
  </w:style>
  <w:style w:type="character" w:customStyle="1" w:styleId="Heading2Char">
    <w:name w:val="Heading 2 Char"/>
    <w:basedOn w:val="DefaultParagraphFont"/>
    <w:link w:val="Heading2"/>
    <w:uiPriority w:val="9"/>
    <w:rsid w:val="003F45AA"/>
    <w:rPr>
      <w:rFonts w:asciiTheme="majorHAnsi" w:eastAsiaTheme="majorEastAsia" w:hAnsiTheme="majorHAnsi" w:cstheme="majorBidi"/>
      <w:color w:val="2E74B5" w:themeColor="accent1" w:themeShade="BF"/>
      <w:sz w:val="26"/>
      <w:szCs w:val="26"/>
    </w:rPr>
  </w:style>
  <w:style w:type="character" w:styleId="CommentReference">
    <w:name w:val="annotation reference"/>
    <w:uiPriority w:val="99"/>
    <w:semiHidden/>
    <w:rsid w:val="003F45AA"/>
    <w:rPr>
      <w:rFonts w:cs="Times New Roman"/>
      <w:sz w:val="16"/>
      <w:szCs w:val="16"/>
    </w:rPr>
  </w:style>
  <w:style w:type="paragraph" w:styleId="CommentText">
    <w:name w:val="annotation text"/>
    <w:basedOn w:val="Normal"/>
    <w:link w:val="CommentTextChar"/>
    <w:uiPriority w:val="99"/>
    <w:semiHidden/>
    <w:rsid w:val="003F45AA"/>
    <w:pPr>
      <w:spacing w:after="200" w:line="276" w:lineRule="auto"/>
    </w:pPr>
    <w:rPr>
      <w:rFonts w:ascii="Calibri" w:eastAsia="Calibri" w:hAnsi="Calibri" w:cs="Times New Roman"/>
      <w:sz w:val="24"/>
      <w:szCs w:val="20"/>
    </w:rPr>
  </w:style>
  <w:style w:type="character" w:customStyle="1" w:styleId="CommentTextChar">
    <w:name w:val="Comment Text Char"/>
    <w:basedOn w:val="DefaultParagraphFont"/>
    <w:link w:val="CommentText"/>
    <w:uiPriority w:val="99"/>
    <w:semiHidden/>
    <w:rsid w:val="003F45AA"/>
    <w:rPr>
      <w:rFonts w:ascii="Calibri" w:eastAsia="Calibri" w:hAnsi="Calibri" w:cs="Times New Roman"/>
      <w:sz w:val="24"/>
      <w:szCs w:val="20"/>
    </w:rPr>
  </w:style>
  <w:style w:type="paragraph" w:styleId="BalloonText">
    <w:name w:val="Balloon Text"/>
    <w:basedOn w:val="Normal"/>
    <w:link w:val="BalloonTextChar"/>
    <w:uiPriority w:val="99"/>
    <w:semiHidden/>
    <w:unhideWhenUsed/>
    <w:rsid w:val="003F4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5AA"/>
    <w:rPr>
      <w:rFonts w:ascii="Segoe UI" w:hAnsi="Segoe UI" w:cs="Segoe UI"/>
      <w:sz w:val="18"/>
      <w:szCs w:val="18"/>
    </w:rPr>
  </w:style>
  <w:style w:type="table" w:styleId="TableGrid">
    <w:name w:val="Table Grid"/>
    <w:basedOn w:val="TableNormal"/>
    <w:uiPriority w:val="39"/>
    <w:rsid w:val="003F45A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040B9"/>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A040B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yperlink" Target="mailto:sbarnett@nieer.org" TargetMode="External"/><Relationship Id="rId2" Type="http://schemas.openxmlformats.org/officeDocument/2006/relationships/customXml" Target="../customXml/item2.xml"/><Relationship Id="rId16" Type="http://schemas.openxmlformats.org/officeDocument/2006/relationships/hyperlink" Target="mailto:gborman@education.wisc.ed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map.wisc.edu/?initObj=040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 xmlns="a0aa4aa5-5db9-46a3-b0f0-2bf9e1a774d5">SW</R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1DAC29AC2B704D8713DC3B726A1342" ma:contentTypeVersion="1" ma:contentTypeDescription="Create a new document." ma:contentTypeScope="" ma:versionID="fb2e372c1fc0dcde6d76a7ce6a70e28e">
  <xsd:schema xmlns:xsd="http://www.w3.org/2001/XMLSchema" xmlns:xs="http://www.w3.org/2001/XMLSchema" xmlns:p="http://schemas.microsoft.com/office/2006/metadata/properties" xmlns:ns2="a0aa4aa5-5db9-46a3-b0f0-2bf9e1a774d5" targetNamespace="http://schemas.microsoft.com/office/2006/metadata/properties" ma:root="true" ma:fieldsID="8337f7f60241559fab478f668f03db65"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0768-68E6-4805-B520-16774940B06C}">
  <ds:schemaRefs>
    <ds:schemaRef ds:uri="http://schemas.microsoft.com/sharepoint/v3/contenttype/forms"/>
  </ds:schemaRefs>
</ds:datastoreItem>
</file>

<file path=customXml/itemProps2.xml><?xml version="1.0" encoding="utf-8"?>
<ds:datastoreItem xmlns:ds="http://schemas.openxmlformats.org/officeDocument/2006/customXml" ds:itemID="{05DB132C-953B-4AD9-91C7-F73F3842CE07}">
  <ds:schemaRefs>
    <ds:schemaRef ds:uri="http://schemas.microsoft.com/office/2006/metadata/properties"/>
    <ds:schemaRef ds:uri="http://schemas.microsoft.com/office/infopath/2007/PartnerControls"/>
    <ds:schemaRef ds:uri="a0aa4aa5-5db9-46a3-b0f0-2bf9e1a774d5"/>
  </ds:schemaRefs>
</ds:datastoreItem>
</file>

<file path=customXml/itemProps3.xml><?xml version="1.0" encoding="utf-8"?>
<ds:datastoreItem xmlns:ds="http://schemas.openxmlformats.org/officeDocument/2006/customXml" ds:itemID="{6B0C5F45-AF7D-4875-BE1C-5C45DC680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7FB68-14C6-40B7-8B14-7DF9B8CC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3711</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4.11</vt:lpstr>
    </vt:vector>
  </TitlesOfParts>
  <Company>U.S. Department of Education</Company>
  <LinksUpToDate>false</LinksUpToDate>
  <CharactersWithSpaces>24816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dc:title>
  <dc:creator>Ginger Stoker</dc:creator>
  <cp:lastModifiedBy>Ingalls, Katrina</cp:lastModifiedBy>
  <cp:revision>2</cp:revision>
  <dcterms:created xsi:type="dcterms:W3CDTF">2015-08-14T18:27:00Z</dcterms:created>
  <dcterms:modified xsi:type="dcterms:W3CDTF">2015-08-14T18:27:00Z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0x0101000B1DAC29AC2B704D8713DC3B726A1342</vt:lpwstr>
  </property>
</Properties>
</file>