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D49" w:rsidRPr="00387E87" w:rsidRDefault="00C31D49">
      <w:pPr>
        <w:pStyle w:val="C1-CtrBoldHd"/>
        <w:spacing w:after="0"/>
        <w:rPr>
          <w:sz w:val="28"/>
        </w:rPr>
      </w:pPr>
    </w:p>
    <w:p w:rsidR="00C31D49" w:rsidRPr="00387E87" w:rsidRDefault="00C31D49">
      <w:pPr>
        <w:pStyle w:val="C1-CtrBoldHd"/>
        <w:spacing w:after="0"/>
        <w:rPr>
          <w:sz w:val="28"/>
        </w:rPr>
      </w:pPr>
    </w:p>
    <w:p w:rsidR="00734935" w:rsidRPr="00387E87" w:rsidRDefault="00734935" w:rsidP="00734935">
      <w:pPr>
        <w:pStyle w:val="C1-CtrBoldHd"/>
        <w:spacing w:after="0"/>
        <w:rPr>
          <w:sz w:val="32"/>
        </w:rPr>
      </w:pPr>
      <w:r w:rsidRPr="00387E87">
        <w:rPr>
          <w:sz w:val="32"/>
        </w:rPr>
        <w:t>PROGRAM FOR INTERNATIONA</w:t>
      </w:r>
      <w:r>
        <w:rPr>
          <w:sz w:val="32"/>
        </w:rPr>
        <w:t>L STUDENT ASSESSMENT (PISA 2015</w:t>
      </w:r>
      <w:r w:rsidRPr="00387E87">
        <w:rPr>
          <w:sz w:val="32"/>
        </w:rPr>
        <w:t>)</w:t>
      </w:r>
      <w:r>
        <w:rPr>
          <w:sz w:val="32"/>
        </w:rPr>
        <w:t xml:space="preserve"> main study</w:t>
      </w:r>
      <w:r w:rsidR="005A2584">
        <w:rPr>
          <w:sz w:val="32"/>
        </w:rPr>
        <w:t xml:space="preserve"> Data Collection</w:t>
      </w:r>
      <w:bookmarkStart w:id="0" w:name="_GoBack"/>
      <w:bookmarkEnd w:id="0"/>
    </w:p>
    <w:p w:rsidR="00734935" w:rsidRPr="00387E87" w:rsidRDefault="00734935" w:rsidP="00734935">
      <w:pPr>
        <w:pStyle w:val="C1-CtrBoldHd"/>
        <w:spacing w:after="0"/>
        <w:rPr>
          <w:sz w:val="28"/>
        </w:rPr>
      </w:pPr>
    </w:p>
    <w:p w:rsidR="00734935" w:rsidRPr="00387E87" w:rsidRDefault="00734935" w:rsidP="00734935">
      <w:pPr>
        <w:pStyle w:val="C1-CtrBoldHd"/>
        <w:spacing w:after="0"/>
        <w:rPr>
          <w:sz w:val="28"/>
        </w:rPr>
      </w:pPr>
    </w:p>
    <w:p w:rsidR="00734935" w:rsidRDefault="00734935" w:rsidP="00734935">
      <w:pPr>
        <w:pStyle w:val="C1-CtrBoldHd"/>
        <w:spacing w:after="0"/>
        <w:rPr>
          <w:sz w:val="28"/>
        </w:rPr>
      </w:pPr>
      <w:r w:rsidRPr="00387E87">
        <w:rPr>
          <w:sz w:val="28"/>
        </w:rPr>
        <w:t>REQUEST FOR OMB Clearance</w:t>
      </w:r>
    </w:p>
    <w:p w:rsidR="00734935" w:rsidRPr="00B82C6A" w:rsidRDefault="00734935" w:rsidP="00734935">
      <w:pPr>
        <w:pStyle w:val="C1-CtrBoldHd"/>
        <w:spacing w:after="0"/>
        <w:rPr>
          <w:sz w:val="28"/>
        </w:rPr>
      </w:pPr>
      <w:r w:rsidRPr="00C30BA4">
        <w:rPr>
          <w:sz w:val="28"/>
        </w:rPr>
        <w:t xml:space="preserve">OMB# 1850-0755 </w:t>
      </w:r>
      <w:r w:rsidRPr="00C30BA4">
        <w:rPr>
          <w:caps w:val="0"/>
          <w:sz w:val="28"/>
        </w:rPr>
        <w:t>v</w:t>
      </w:r>
      <w:r w:rsidR="00B97E45">
        <w:rPr>
          <w:sz w:val="28"/>
        </w:rPr>
        <w:t>.16</w:t>
      </w:r>
    </w:p>
    <w:p w:rsidR="00C31D49" w:rsidRDefault="00C31D49">
      <w:pPr>
        <w:pStyle w:val="C1-CtrBoldHd"/>
        <w:spacing w:after="0"/>
        <w:rPr>
          <w:sz w:val="28"/>
        </w:rPr>
      </w:pPr>
    </w:p>
    <w:p w:rsidR="00C31D49" w:rsidRPr="00725851" w:rsidRDefault="00C31D49" w:rsidP="008928D4">
      <w:pPr>
        <w:pStyle w:val="C1-CtrBoldHd"/>
        <w:spacing w:after="0"/>
        <w:rPr>
          <w:color w:val="FF0000"/>
          <w:sz w:val="32"/>
        </w:rPr>
      </w:pPr>
      <w:r w:rsidRPr="00725851">
        <w:rPr>
          <w:caps w:val="0"/>
          <w:color w:val="FF0000"/>
          <w:sz w:val="32"/>
        </w:rPr>
        <w:t>SUPPORTING STATEMENT PART B</w:t>
      </w:r>
    </w:p>
    <w:p w:rsidR="00C31D49" w:rsidRDefault="00C31D49">
      <w:pPr>
        <w:pStyle w:val="C1-CtrBoldHd"/>
        <w:spacing w:after="0"/>
        <w:rPr>
          <w:sz w:val="28"/>
        </w:rPr>
      </w:pPr>
    </w:p>
    <w:p w:rsidR="00C31D49" w:rsidRDefault="00C31D49">
      <w:pPr>
        <w:pStyle w:val="C1-CtrBoldHd"/>
        <w:spacing w:after="0"/>
        <w:rPr>
          <w:sz w:val="28"/>
        </w:rPr>
      </w:pPr>
    </w:p>
    <w:p w:rsidR="00C31D49" w:rsidRDefault="00C31D49">
      <w:pPr>
        <w:pStyle w:val="C1-CtrBoldHd"/>
        <w:spacing w:after="0"/>
        <w:rPr>
          <w:sz w:val="28"/>
        </w:rPr>
      </w:pPr>
    </w:p>
    <w:p w:rsidR="00C31D49" w:rsidRPr="00387E87" w:rsidRDefault="00C31D49">
      <w:pPr>
        <w:pStyle w:val="C1-CtrBoldHd"/>
        <w:spacing w:after="0"/>
        <w:rPr>
          <w:caps w:val="0"/>
        </w:rPr>
      </w:pPr>
      <w:r w:rsidRPr="00387E87">
        <w:rPr>
          <w:caps w:val="0"/>
        </w:rPr>
        <w:t>Prepared by:</w:t>
      </w:r>
    </w:p>
    <w:p w:rsidR="00C31D49" w:rsidRPr="00387E87" w:rsidRDefault="00C31D49">
      <w:pPr>
        <w:pStyle w:val="C1-CtrBoldHd"/>
        <w:spacing w:after="0"/>
      </w:pPr>
    </w:p>
    <w:p w:rsidR="00C31D49" w:rsidRPr="00387E87" w:rsidRDefault="00C31D49">
      <w:pPr>
        <w:pStyle w:val="C1-CtrBoldHd"/>
        <w:spacing w:after="0"/>
      </w:pPr>
      <w:smartTag w:uri="urn:schemas-microsoft-com:office:smarttags" w:element="PlaceName">
        <w:smartTag w:uri="urn:schemas-microsoft-com:office:smarttags" w:element="place">
          <w:smartTag w:uri="urn:schemas-microsoft-com:office:smarttags" w:element="PlaceName">
            <w:r w:rsidRPr="00387E87">
              <w:rPr>
                <w:caps w:val="0"/>
              </w:rPr>
              <w:t>National</w:t>
            </w:r>
          </w:smartTag>
          <w:r w:rsidRPr="00387E87">
            <w:rPr>
              <w:caps w:val="0"/>
            </w:rPr>
            <w:t xml:space="preserve"> </w:t>
          </w:r>
          <w:smartTag w:uri="urn:schemas-microsoft-com:office:smarttags" w:element="PlaceType">
            <w:r w:rsidRPr="00387E87">
              <w:rPr>
                <w:caps w:val="0"/>
              </w:rPr>
              <w:t>Center</w:t>
            </w:r>
          </w:smartTag>
        </w:smartTag>
      </w:smartTag>
      <w:r w:rsidRPr="00387E87">
        <w:rPr>
          <w:caps w:val="0"/>
        </w:rPr>
        <w:t xml:space="preserve"> for Education Statistics</w:t>
      </w:r>
    </w:p>
    <w:p w:rsidR="00C31D49" w:rsidRPr="00387E87" w:rsidRDefault="00C31D49">
      <w:pPr>
        <w:pStyle w:val="C1-CtrBoldHd"/>
        <w:spacing w:after="0"/>
        <w:rPr>
          <w:caps w:val="0"/>
        </w:rPr>
      </w:pPr>
      <w:smartTag w:uri="urn:schemas-microsoft-com:office:smarttags" w:element="country-region">
        <w:smartTag w:uri="urn:schemas-microsoft-com:office:smarttags" w:element="place">
          <w:r w:rsidRPr="00387E87">
            <w:rPr>
              <w:caps w:val="0"/>
            </w:rPr>
            <w:t>U.S.</w:t>
          </w:r>
        </w:smartTag>
      </w:smartTag>
      <w:r w:rsidRPr="00387E87">
        <w:rPr>
          <w:caps w:val="0"/>
        </w:rPr>
        <w:t xml:space="preserve"> Department of Education</w:t>
      </w:r>
    </w:p>
    <w:p w:rsidR="00C31D49" w:rsidRPr="00387E87" w:rsidRDefault="00C31D49">
      <w:pPr>
        <w:pStyle w:val="C1-CtrBoldHd"/>
        <w:spacing w:after="0"/>
      </w:pPr>
      <w:smartTag w:uri="urn:schemas-microsoft-com:office:smarttags" w:element="PlaceType">
        <w:smartTag w:uri="urn:schemas-microsoft-com:office:smarttags" w:element="place">
          <w:r w:rsidRPr="00387E87">
            <w:rPr>
              <w:caps w:val="0"/>
            </w:rPr>
            <w:t>Institute</w:t>
          </w:r>
        </w:smartTag>
        <w:r w:rsidRPr="00387E87">
          <w:rPr>
            <w:caps w:val="0"/>
          </w:rPr>
          <w:t xml:space="preserve"> of </w:t>
        </w:r>
        <w:smartTag w:uri="urn:schemas-microsoft-com:office:smarttags" w:element="PlaceName">
          <w:r w:rsidRPr="00387E87">
            <w:rPr>
              <w:caps w:val="0"/>
            </w:rPr>
            <w:t>Education</w:t>
          </w:r>
        </w:smartTag>
      </w:smartTag>
      <w:r w:rsidRPr="00387E87">
        <w:rPr>
          <w:caps w:val="0"/>
        </w:rPr>
        <w:t xml:space="preserve"> Sciences</w:t>
      </w:r>
    </w:p>
    <w:p w:rsidR="00C31D49" w:rsidRPr="00387E87" w:rsidRDefault="00C31D49">
      <w:pPr>
        <w:pStyle w:val="C1-CtrBoldHd"/>
        <w:spacing w:after="0"/>
      </w:pPr>
      <w:smartTag w:uri="urn:schemas-microsoft-com:office:smarttags" w:element="City">
        <w:smartTag w:uri="urn:schemas-microsoft-com:office:smarttags" w:element="place">
          <w:r w:rsidRPr="00387E87">
            <w:rPr>
              <w:caps w:val="0"/>
            </w:rPr>
            <w:t>Washington</w:t>
          </w:r>
        </w:smartTag>
        <w:r w:rsidRPr="00387E87">
          <w:rPr>
            <w:caps w:val="0"/>
          </w:rPr>
          <w:t xml:space="preserve">, </w:t>
        </w:r>
        <w:smartTag w:uri="urn:schemas-microsoft-com:office:smarttags" w:element="State">
          <w:r w:rsidRPr="00387E87">
            <w:rPr>
              <w:caps w:val="0"/>
            </w:rPr>
            <w:t>DC</w:t>
          </w:r>
        </w:smartTag>
      </w:smartTag>
    </w:p>
    <w:p w:rsidR="00C31D49" w:rsidRPr="00387E87" w:rsidRDefault="00C31D49">
      <w:pPr>
        <w:pStyle w:val="C1-CtrBoldHd"/>
        <w:spacing w:after="0"/>
      </w:pPr>
    </w:p>
    <w:p w:rsidR="00C31D49" w:rsidRPr="00387E87" w:rsidRDefault="00C31D49">
      <w:pPr>
        <w:pStyle w:val="C1-CtrBoldHd"/>
        <w:spacing w:after="0"/>
      </w:pPr>
    </w:p>
    <w:p w:rsidR="00C31D49" w:rsidRPr="00387E87" w:rsidRDefault="00C31D49">
      <w:pPr>
        <w:pStyle w:val="C1-CtrBoldHd"/>
        <w:spacing w:after="0"/>
      </w:pPr>
    </w:p>
    <w:p w:rsidR="00C31D49" w:rsidRPr="00387E87" w:rsidRDefault="00C31D49">
      <w:pPr>
        <w:pStyle w:val="C1-CtrBoldHd"/>
        <w:spacing w:after="0"/>
      </w:pPr>
    </w:p>
    <w:p w:rsidR="00C31D49" w:rsidRPr="00387E87" w:rsidRDefault="00C31D49">
      <w:pPr>
        <w:pStyle w:val="C1-CtrBoldHd"/>
        <w:spacing w:after="0"/>
      </w:pPr>
    </w:p>
    <w:p w:rsidR="00050108" w:rsidRDefault="00C31D49">
      <w:pPr>
        <w:pStyle w:val="C1-CtrBoldHd"/>
        <w:spacing w:after="0"/>
        <w:rPr>
          <w:caps w:val="0"/>
        </w:rPr>
      </w:pPr>
      <w:r w:rsidRPr="00387E87">
        <w:rPr>
          <w:caps w:val="0"/>
        </w:rPr>
        <w:t>Submitted:</w:t>
      </w:r>
    </w:p>
    <w:p w:rsidR="008833F9" w:rsidRPr="00387E87" w:rsidRDefault="005A2584">
      <w:pPr>
        <w:pStyle w:val="C1-CtrBoldHd"/>
        <w:spacing w:after="0"/>
        <w:rPr>
          <w:caps w:val="0"/>
        </w:rPr>
      </w:pPr>
      <w:r>
        <w:rPr>
          <w:caps w:val="0"/>
        </w:rPr>
        <w:t>January 2015</w:t>
      </w:r>
    </w:p>
    <w:p w:rsidR="00E91F04" w:rsidRDefault="00E91F04" w:rsidP="001608BF">
      <w:pPr>
        <w:pStyle w:val="Title"/>
        <w:rPr>
          <w:rFonts w:ascii="Garamond" w:hAnsi="Garamond"/>
        </w:rPr>
      </w:pPr>
    </w:p>
    <w:p w:rsidR="00645352" w:rsidRPr="004C48E5" w:rsidRDefault="00645352">
      <w:pPr>
        <w:spacing w:line="240" w:lineRule="auto"/>
        <w:jc w:val="left"/>
        <w:rPr>
          <w:rFonts w:ascii="Garamond" w:hAnsi="Garamond"/>
          <w:color w:val="434959"/>
          <w:spacing w:val="5"/>
          <w:kern w:val="28"/>
          <w:sz w:val="6"/>
          <w:szCs w:val="6"/>
        </w:rPr>
      </w:pPr>
    </w:p>
    <w:p w:rsidR="001608BF" w:rsidRPr="00BA3FB2" w:rsidRDefault="001608BF" w:rsidP="001608BF">
      <w:pPr>
        <w:pStyle w:val="Title"/>
        <w:rPr>
          <w:rFonts w:ascii="Garamond" w:hAnsi="Garamond"/>
        </w:rPr>
      </w:pPr>
      <w:r w:rsidRPr="00BA3FB2">
        <w:rPr>
          <w:rFonts w:ascii="Garamond" w:hAnsi="Garamond"/>
        </w:rPr>
        <w:t>TABLE OF CONTENTS</w:t>
      </w:r>
    </w:p>
    <w:p w:rsidR="00C31D49" w:rsidRPr="0003568C" w:rsidRDefault="001A5DDB" w:rsidP="00D179F0">
      <w:pPr>
        <w:pStyle w:val="TOC1"/>
        <w:rPr>
          <w:noProof/>
        </w:rPr>
      </w:pPr>
      <w:r w:rsidRPr="0003568C">
        <w:fldChar w:fldCharType="begin"/>
      </w:r>
      <w:r w:rsidR="00C31D49" w:rsidRPr="0003568C">
        <w:instrText xml:space="preserve"> TOC \h \z \t "Heading 1,2,Heading 2,3,Heading 3,4,Heading 0,1" </w:instrText>
      </w:r>
      <w:r w:rsidRPr="0003568C">
        <w:fldChar w:fldCharType="separate"/>
      </w:r>
      <w:hyperlink w:anchor="_Toc260914714" w:history="1">
        <w:r w:rsidR="00C31D49" w:rsidRPr="0003568C">
          <w:rPr>
            <w:rStyle w:val="Hyperlink"/>
            <w:noProof/>
            <w:szCs w:val="24"/>
          </w:rPr>
          <w:t>B.</w:t>
        </w:r>
        <w:r w:rsidR="00361117">
          <w:rPr>
            <w:rStyle w:val="Hyperlink"/>
            <w:noProof/>
            <w:szCs w:val="24"/>
          </w:rPr>
          <w:t xml:space="preserve"> </w:t>
        </w:r>
        <w:r w:rsidR="00C31D49" w:rsidRPr="0003568C">
          <w:rPr>
            <w:rStyle w:val="Hyperlink"/>
            <w:noProof/>
            <w:szCs w:val="24"/>
          </w:rPr>
          <w:t>COLLECTIONS OF INFORMATION EMPLOYING STATISTICAL METHODS</w:t>
        </w:r>
      </w:hyperlink>
    </w:p>
    <w:p w:rsidR="001608BF" w:rsidRDefault="001608BF">
      <w:pPr>
        <w:pStyle w:val="TOC2"/>
        <w:rPr>
          <w:noProof/>
        </w:rPr>
      </w:pPr>
    </w:p>
    <w:p w:rsidR="00C31D49" w:rsidRPr="0003568C" w:rsidRDefault="00D179F0">
      <w:pPr>
        <w:pStyle w:val="TOC2"/>
        <w:rPr>
          <w:rFonts w:ascii="Garamond" w:hAnsi="Garamond"/>
          <w:noProof/>
          <w:sz w:val="24"/>
          <w:szCs w:val="24"/>
        </w:rPr>
      </w:pPr>
      <w:hyperlink w:anchor="_Toc260914715" w:history="1">
        <w:r w:rsidR="00C31D49" w:rsidRPr="0003568C">
          <w:rPr>
            <w:rStyle w:val="Hyperlink"/>
            <w:rFonts w:ascii="Garamond" w:hAnsi="Garamond"/>
            <w:noProof/>
            <w:sz w:val="24"/>
            <w:szCs w:val="24"/>
          </w:rPr>
          <w:t>B.1</w:t>
        </w:r>
        <w:r w:rsidR="00C31D49" w:rsidRPr="0003568C">
          <w:rPr>
            <w:rFonts w:ascii="Garamond" w:hAnsi="Garamond"/>
            <w:noProof/>
            <w:sz w:val="24"/>
            <w:szCs w:val="24"/>
          </w:rPr>
          <w:tab/>
        </w:r>
        <w:r w:rsidR="00C31D49" w:rsidRPr="0003568C">
          <w:rPr>
            <w:rStyle w:val="Hyperlink"/>
            <w:rFonts w:ascii="Garamond" w:hAnsi="Garamond"/>
            <w:noProof/>
            <w:sz w:val="24"/>
            <w:szCs w:val="24"/>
          </w:rPr>
          <w:t>Respondent Universe</w:t>
        </w:r>
        <w:r w:rsidR="00C31D49" w:rsidRPr="0003568C">
          <w:rPr>
            <w:rFonts w:ascii="Garamond" w:hAnsi="Garamond"/>
            <w:noProof/>
            <w:webHidden/>
            <w:sz w:val="24"/>
            <w:szCs w:val="24"/>
          </w:rPr>
          <w:tab/>
        </w:r>
        <w:r w:rsidR="001A5DDB" w:rsidRPr="0003568C">
          <w:rPr>
            <w:rFonts w:ascii="Garamond" w:hAnsi="Garamond"/>
            <w:noProof/>
            <w:webHidden/>
            <w:sz w:val="24"/>
            <w:szCs w:val="24"/>
          </w:rPr>
          <w:fldChar w:fldCharType="begin"/>
        </w:r>
        <w:r w:rsidR="00C31D49" w:rsidRPr="0003568C">
          <w:rPr>
            <w:rFonts w:ascii="Garamond" w:hAnsi="Garamond"/>
            <w:noProof/>
            <w:webHidden/>
            <w:sz w:val="24"/>
            <w:szCs w:val="24"/>
          </w:rPr>
          <w:instrText xml:space="preserve"> PAGEREF _Toc260914715 \h </w:instrText>
        </w:r>
        <w:r w:rsidR="001A5DDB" w:rsidRPr="0003568C">
          <w:rPr>
            <w:rFonts w:ascii="Garamond" w:hAnsi="Garamond"/>
            <w:noProof/>
            <w:webHidden/>
            <w:sz w:val="24"/>
            <w:szCs w:val="24"/>
          </w:rPr>
        </w:r>
        <w:r w:rsidR="001A5DDB" w:rsidRPr="0003568C">
          <w:rPr>
            <w:rFonts w:ascii="Garamond" w:hAnsi="Garamond"/>
            <w:noProof/>
            <w:webHidden/>
            <w:sz w:val="24"/>
            <w:szCs w:val="24"/>
          </w:rPr>
          <w:fldChar w:fldCharType="separate"/>
        </w:r>
        <w:r>
          <w:rPr>
            <w:rFonts w:ascii="Garamond" w:hAnsi="Garamond"/>
            <w:noProof/>
            <w:webHidden/>
            <w:sz w:val="24"/>
            <w:szCs w:val="24"/>
          </w:rPr>
          <w:t>1</w:t>
        </w:r>
        <w:r w:rsidR="001A5DDB" w:rsidRPr="0003568C">
          <w:rPr>
            <w:rFonts w:ascii="Garamond" w:hAnsi="Garamond"/>
            <w:noProof/>
            <w:webHidden/>
            <w:sz w:val="24"/>
            <w:szCs w:val="24"/>
          </w:rPr>
          <w:fldChar w:fldCharType="end"/>
        </w:r>
      </w:hyperlink>
    </w:p>
    <w:p w:rsidR="00C31D49" w:rsidRPr="0003568C" w:rsidRDefault="00D179F0">
      <w:pPr>
        <w:pStyle w:val="TOC2"/>
        <w:rPr>
          <w:rFonts w:ascii="Garamond" w:hAnsi="Garamond"/>
          <w:noProof/>
          <w:sz w:val="24"/>
          <w:szCs w:val="24"/>
        </w:rPr>
      </w:pPr>
      <w:hyperlink w:anchor="_Toc260914716" w:history="1">
        <w:r w:rsidR="00C31D49" w:rsidRPr="0003568C">
          <w:rPr>
            <w:rStyle w:val="Hyperlink"/>
            <w:rFonts w:ascii="Garamond" w:hAnsi="Garamond"/>
            <w:noProof/>
            <w:sz w:val="24"/>
            <w:szCs w:val="24"/>
          </w:rPr>
          <w:t>B.2</w:t>
        </w:r>
        <w:r w:rsidR="00C31D49" w:rsidRPr="0003568C">
          <w:rPr>
            <w:rFonts w:ascii="Garamond" w:hAnsi="Garamond"/>
            <w:noProof/>
            <w:sz w:val="24"/>
            <w:szCs w:val="24"/>
          </w:rPr>
          <w:tab/>
        </w:r>
        <w:r w:rsidR="00C31D49" w:rsidRPr="0003568C">
          <w:rPr>
            <w:rStyle w:val="Hyperlink"/>
            <w:rFonts w:ascii="Garamond" w:hAnsi="Garamond"/>
            <w:noProof/>
            <w:sz w:val="24"/>
            <w:szCs w:val="24"/>
          </w:rPr>
          <w:t>Statistical Methodology</w:t>
        </w:r>
        <w:r w:rsidR="00C31D49" w:rsidRPr="0003568C">
          <w:rPr>
            <w:rFonts w:ascii="Garamond" w:hAnsi="Garamond"/>
            <w:noProof/>
            <w:webHidden/>
            <w:sz w:val="24"/>
            <w:szCs w:val="24"/>
          </w:rPr>
          <w:tab/>
        </w:r>
        <w:r w:rsidR="001A5DDB" w:rsidRPr="0003568C">
          <w:rPr>
            <w:rFonts w:ascii="Garamond" w:hAnsi="Garamond"/>
            <w:noProof/>
            <w:webHidden/>
            <w:sz w:val="24"/>
            <w:szCs w:val="24"/>
          </w:rPr>
          <w:fldChar w:fldCharType="begin"/>
        </w:r>
        <w:r w:rsidR="00C31D49" w:rsidRPr="0003568C">
          <w:rPr>
            <w:rFonts w:ascii="Garamond" w:hAnsi="Garamond"/>
            <w:noProof/>
            <w:webHidden/>
            <w:sz w:val="24"/>
            <w:szCs w:val="24"/>
          </w:rPr>
          <w:instrText xml:space="preserve"> PAGEREF _Toc260914716 \h </w:instrText>
        </w:r>
        <w:r w:rsidR="001A5DDB" w:rsidRPr="0003568C">
          <w:rPr>
            <w:rFonts w:ascii="Garamond" w:hAnsi="Garamond"/>
            <w:noProof/>
            <w:webHidden/>
            <w:sz w:val="24"/>
            <w:szCs w:val="24"/>
          </w:rPr>
        </w:r>
        <w:r w:rsidR="001A5DDB" w:rsidRPr="0003568C">
          <w:rPr>
            <w:rFonts w:ascii="Garamond" w:hAnsi="Garamond"/>
            <w:noProof/>
            <w:webHidden/>
            <w:sz w:val="24"/>
            <w:szCs w:val="24"/>
          </w:rPr>
          <w:fldChar w:fldCharType="separate"/>
        </w:r>
        <w:r>
          <w:rPr>
            <w:rFonts w:ascii="Garamond" w:hAnsi="Garamond"/>
            <w:noProof/>
            <w:webHidden/>
            <w:sz w:val="24"/>
            <w:szCs w:val="24"/>
          </w:rPr>
          <w:t>1</w:t>
        </w:r>
        <w:r w:rsidR="001A5DDB" w:rsidRPr="0003568C">
          <w:rPr>
            <w:rFonts w:ascii="Garamond" w:hAnsi="Garamond"/>
            <w:noProof/>
            <w:webHidden/>
            <w:sz w:val="24"/>
            <w:szCs w:val="24"/>
          </w:rPr>
          <w:fldChar w:fldCharType="end"/>
        </w:r>
      </w:hyperlink>
    </w:p>
    <w:p w:rsidR="00C31D49" w:rsidRPr="0003568C" w:rsidRDefault="00D179F0">
      <w:pPr>
        <w:pStyle w:val="TOC2"/>
        <w:rPr>
          <w:rFonts w:ascii="Garamond" w:hAnsi="Garamond"/>
          <w:noProof/>
          <w:sz w:val="24"/>
          <w:szCs w:val="24"/>
        </w:rPr>
      </w:pPr>
      <w:hyperlink w:anchor="_Toc260914717" w:history="1">
        <w:r w:rsidR="00C31D49" w:rsidRPr="0003568C">
          <w:rPr>
            <w:rStyle w:val="Hyperlink"/>
            <w:rFonts w:ascii="Garamond" w:hAnsi="Garamond"/>
            <w:noProof/>
            <w:sz w:val="24"/>
            <w:szCs w:val="24"/>
          </w:rPr>
          <w:t>B.3</w:t>
        </w:r>
        <w:r w:rsidR="00C31D49" w:rsidRPr="0003568C">
          <w:rPr>
            <w:rFonts w:ascii="Garamond" w:hAnsi="Garamond"/>
            <w:noProof/>
            <w:sz w:val="24"/>
            <w:szCs w:val="24"/>
          </w:rPr>
          <w:tab/>
        </w:r>
        <w:r w:rsidR="00C31D49" w:rsidRPr="0003568C">
          <w:rPr>
            <w:rStyle w:val="Hyperlink"/>
            <w:rFonts w:ascii="Garamond" w:hAnsi="Garamond"/>
            <w:noProof/>
            <w:sz w:val="24"/>
            <w:szCs w:val="24"/>
          </w:rPr>
          <w:t>Maximizing Response Rates</w:t>
        </w:r>
        <w:r w:rsidR="00C31D49" w:rsidRPr="0003568C">
          <w:rPr>
            <w:rFonts w:ascii="Garamond" w:hAnsi="Garamond"/>
            <w:noProof/>
            <w:webHidden/>
            <w:sz w:val="24"/>
            <w:szCs w:val="24"/>
          </w:rPr>
          <w:tab/>
        </w:r>
      </w:hyperlink>
      <w:r>
        <w:rPr>
          <w:rFonts w:ascii="Garamond" w:hAnsi="Garamond"/>
          <w:noProof/>
          <w:sz w:val="24"/>
          <w:szCs w:val="24"/>
        </w:rPr>
        <w:t>3</w:t>
      </w:r>
    </w:p>
    <w:p w:rsidR="00C31D49" w:rsidRPr="0003568C" w:rsidRDefault="00D179F0">
      <w:pPr>
        <w:pStyle w:val="TOC2"/>
        <w:rPr>
          <w:rFonts w:ascii="Garamond" w:hAnsi="Garamond"/>
          <w:noProof/>
          <w:sz w:val="24"/>
          <w:szCs w:val="24"/>
        </w:rPr>
      </w:pPr>
      <w:hyperlink w:anchor="_Toc260914718" w:history="1">
        <w:r w:rsidR="00C31D49" w:rsidRPr="0003568C">
          <w:rPr>
            <w:rStyle w:val="Hyperlink"/>
            <w:rFonts w:ascii="Garamond" w:hAnsi="Garamond"/>
            <w:noProof/>
            <w:sz w:val="24"/>
            <w:szCs w:val="24"/>
          </w:rPr>
          <w:t>B.4</w:t>
        </w:r>
        <w:r w:rsidR="00C31D49" w:rsidRPr="0003568C">
          <w:rPr>
            <w:rFonts w:ascii="Garamond" w:hAnsi="Garamond"/>
            <w:noProof/>
            <w:sz w:val="24"/>
            <w:szCs w:val="24"/>
          </w:rPr>
          <w:tab/>
        </w:r>
        <w:r w:rsidR="00570916">
          <w:rPr>
            <w:rStyle w:val="Hyperlink"/>
            <w:rFonts w:ascii="Garamond" w:hAnsi="Garamond"/>
            <w:noProof/>
            <w:sz w:val="24"/>
            <w:szCs w:val="24"/>
          </w:rPr>
          <w:t>Tests of Procedures and Methods</w:t>
        </w:r>
        <w:r w:rsidR="00C31D49" w:rsidRPr="0003568C">
          <w:rPr>
            <w:rFonts w:ascii="Garamond" w:hAnsi="Garamond"/>
            <w:noProof/>
            <w:webHidden/>
            <w:sz w:val="24"/>
            <w:szCs w:val="24"/>
          </w:rPr>
          <w:tab/>
        </w:r>
      </w:hyperlink>
      <w:r>
        <w:rPr>
          <w:rFonts w:ascii="Garamond" w:hAnsi="Garamond"/>
          <w:noProof/>
          <w:sz w:val="24"/>
          <w:szCs w:val="24"/>
        </w:rPr>
        <w:t>4</w:t>
      </w:r>
    </w:p>
    <w:p w:rsidR="00C31D49" w:rsidRPr="0003568C" w:rsidRDefault="00D179F0">
      <w:pPr>
        <w:pStyle w:val="TOC2"/>
        <w:rPr>
          <w:rFonts w:ascii="Garamond" w:hAnsi="Garamond"/>
          <w:noProof/>
          <w:sz w:val="24"/>
          <w:szCs w:val="24"/>
        </w:rPr>
      </w:pPr>
      <w:hyperlink w:anchor="_Toc260914719" w:history="1">
        <w:r w:rsidR="00C31D49" w:rsidRPr="0003568C">
          <w:rPr>
            <w:rStyle w:val="Hyperlink"/>
            <w:rFonts w:ascii="Garamond" w:hAnsi="Garamond"/>
            <w:noProof/>
            <w:sz w:val="24"/>
            <w:szCs w:val="24"/>
          </w:rPr>
          <w:t>B.5</w:t>
        </w:r>
        <w:r w:rsidR="00C31D49" w:rsidRPr="0003568C">
          <w:rPr>
            <w:rFonts w:ascii="Garamond" w:hAnsi="Garamond"/>
            <w:noProof/>
            <w:sz w:val="24"/>
            <w:szCs w:val="24"/>
          </w:rPr>
          <w:tab/>
        </w:r>
        <w:r w:rsidR="00C31D49" w:rsidRPr="0003568C">
          <w:rPr>
            <w:rStyle w:val="Hyperlink"/>
            <w:rFonts w:ascii="Garamond" w:hAnsi="Garamond"/>
            <w:noProof/>
            <w:sz w:val="24"/>
            <w:szCs w:val="24"/>
          </w:rPr>
          <w:t>Individuals Consulted on Study Design</w:t>
        </w:r>
        <w:r w:rsidR="00C31D49" w:rsidRPr="0003568C">
          <w:rPr>
            <w:rFonts w:ascii="Garamond" w:hAnsi="Garamond"/>
            <w:noProof/>
            <w:webHidden/>
            <w:sz w:val="24"/>
            <w:szCs w:val="24"/>
          </w:rPr>
          <w:tab/>
        </w:r>
      </w:hyperlink>
      <w:r>
        <w:rPr>
          <w:rFonts w:ascii="Garamond" w:hAnsi="Garamond"/>
          <w:noProof/>
          <w:sz w:val="24"/>
          <w:szCs w:val="24"/>
        </w:rPr>
        <w:t>4</w:t>
      </w:r>
    </w:p>
    <w:p w:rsidR="00C31D49" w:rsidRDefault="001A5DDB" w:rsidP="00A1765A">
      <w:pPr>
        <w:pStyle w:val="C1-CtrBoldHd"/>
        <w:tabs>
          <w:tab w:val="left" w:pos="900"/>
          <w:tab w:val="right" w:leader="dot" w:pos="8640"/>
        </w:tabs>
        <w:spacing w:after="0"/>
        <w:ind w:left="720" w:right="720" w:hanging="360"/>
      </w:pPr>
      <w:r w:rsidRPr="0003568C">
        <w:rPr>
          <w:szCs w:val="24"/>
        </w:rPr>
        <w:fldChar w:fldCharType="end"/>
      </w:r>
    </w:p>
    <w:p w:rsidR="00C31D49" w:rsidRDefault="00C31D49" w:rsidP="00A1765A">
      <w:pPr>
        <w:pStyle w:val="C1-CtrBoldHd"/>
        <w:tabs>
          <w:tab w:val="left" w:pos="450"/>
          <w:tab w:val="right" w:leader="dot" w:pos="8190"/>
          <w:tab w:val="right" w:leader="dot" w:pos="8640"/>
        </w:tabs>
        <w:spacing w:after="0"/>
        <w:ind w:right="720"/>
        <w:jc w:val="both"/>
        <w:sectPr w:rsidR="00C31D49" w:rsidSect="008973C3">
          <w:headerReference w:type="default" r:id="rId12"/>
          <w:footerReference w:type="first" r:id="rId13"/>
          <w:pgSz w:w="12240" w:h="15840" w:code="1"/>
          <w:pgMar w:top="1440" w:right="1440" w:bottom="1440" w:left="1440" w:header="720" w:footer="576" w:gutter="0"/>
          <w:pgNumType w:fmt="lowerRoman" w:start="1"/>
          <w:cols w:space="720"/>
          <w:titlePg/>
          <w:docGrid w:linePitch="299"/>
        </w:sectPr>
      </w:pPr>
    </w:p>
    <w:p w:rsidR="00C31D49" w:rsidRDefault="00C31D49" w:rsidP="004C48E5">
      <w:pPr>
        <w:pStyle w:val="Heading0"/>
        <w:spacing w:after="240"/>
      </w:pPr>
      <w:bookmarkStart w:id="1" w:name="_Toc260914714"/>
      <w:r>
        <w:rPr>
          <w:caps w:val="0"/>
        </w:rPr>
        <w:lastRenderedPageBreak/>
        <w:t>B.</w:t>
      </w:r>
      <w:r w:rsidR="00361117">
        <w:rPr>
          <w:caps w:val="0"/>
        </w:rPr>
        <w:t xml:space="preserve"> </w:t>
      </w:r>
      <w:r>
        <w:rPr>
          <w:caps w:val="0"/>
        </w:rPr>
        <w:t>COLLECTIONS OF INFORMATION EMPLOYING STATISTICAL METHODS</w:t>
      </w:r>
      <w:bookmarkEnd w:id="1"/>
    </w:p>
    <w:p w:rsidR="00050108" w:rsidRDefault="00C31D49" w:rsidP="004C48E5">
      <w:pPr>
        <w:pStyle w:val="Heading1"/>
        <w:tabs>
          <w:tab w:val="clear" w:pos="1152"/>
          <w:tab w:val="left" w:pos="720"/>
        </w:tabs>
        <w:spacing w:before="120" w:after="0" w:line="240" w:lineRule="auto"/>
        <w:ind w:left="720" w:hanging="720"/>
      </w:pPr>
      <w:bookmarkStart w:id="2" w:name="_Toc260914715"/>
      <w:r>
        <w:t>B.1</w:t>
      </w:r>
      <w:r>
        <w:tab/>
        <w:t>Respondent Universe</w:t>
      </w:r>
      <w:bookmarkEnd w:id="2"/>
    </w:p>
    <w:p w:rsidR="00050108" w:rsidRDefault="00C31D49" w:rsidP="00FB052E">
      <w:pPr>
        <w:pStyle w:val="BodyText1"/>
      </w:pPr>
      <w:r>
        <w:t>PISA 201</w:t>
      </w:r>
      <w:r w:rsidR="003E4832">
        <w:t>5</w:t>
      </w:r>
      <w:r>
        <w:t xml:space="preserve"> assesses students</w:t>
      </w:r>
      <w:r w:rsidR="00301118">
        <w:t>’</w:t>
      </w:r>
      <w:r>
        <w:t xml:space="preserve"> </w:t>
      </w:r>
      <w:r w:rsidR="005200C5">
        <w:t xml:space="preserve">knowledge and skills in science, </w:t>
      </w:r>
      <w:r w:rsidR="0089398D">
        <w:t>mathematics</w:t>
      </w:r>
      <w:r w:rsidR="00FF63E5">
        <w:t>,</w:t>
      </w:r>
      <w:r w:rsidR="0089398D">
        <w:t xml:space="preserve"> </w:t>
      </w:r>
      <w:r w:rsidR="005200C5">
        <w:t xml:space="preserve">and reading as they </w:t>
      </w:r>
      <w:r>
        <w:t>near the end of their compulsory school experience</w:t>
      </w:r>
      <w:r w:rsidR="00393315">
        <w:t>.</w:t>
      </w:r>
      <w:r w:rsidR="00361117">
        <w:t xml:space="preserve"> </w:t>
      </w:r>
      <w:r>
        <w:t xml:space="preserve">For international comparability, this is defined as students who are 15 years old, </w:t>
      </w:r>
      <w:r w:rsidR="00540C02">
        <w:t>in grades 7 or higher</w:t>
      </w:r>
      <w:r>
        <w:t>.</w:t>
      </w:r>
      <w:r w:rsidR="00361117">
        <w:t xml:space="preserve"> </w:t>
      </w:r>
      <w:r>
        <w:t>A range of exact birthdates is specified by the international coordinating committees based on the months in which the data will be collected</w:t>
      </w:r>
      <w:r w:rsidR="005200C5">
        <w:t>:</w:t>
      </w:r>
      <w:r>
        <w:t xml:space="preserve"> students must be between the ages of 15 years and 3 completed months and 16 years and 2 completed months at the beginning of the test period.</w:t>
      </w:r>
      <w:r w:rsidR="00361117">
        <w:t xml:space="preserve"> </w:t>
      </w:r>
      <w:r>
        <w:t>The universe for the selection of schools is all types of schools in all states of the United States and the District of Columbia.</w:t>
      </w:r>
      <w:r w:rsidR="00361117">
        <w:t xml:space="preserve"> </w:t>
      </w:r>
      <w:r>
        <w:t>Within sampled schools, students will be selected for participation by drawing a random sample among the 15-year-old students.</w:t>
      </w:r>
    </w:p>
    <w:p w:rsidR="00C31D49" w:rsidRDefault="00C31D49" w:rsidP="00A1765A">
      <w:pPr>
        <w:pStyle w:val="Heading1"/>
        <w:tabs>
          <w:tab w:val="clear" w:pos="1152"/>
          <w:tab w:val="left" w:pos="720"/>
        </w:tabs>
        <w:spacing w:before="240" w:after="0" w:line="240" w:lineRule="auto"/>
        <w:ind w:left="720" w:hanging="720"/>
      </w:pPr>
      <w:bookmarkStart w:id="3" w:name="_Toc260914716"/>
      <w:r>
        <w:t>B.2</w:t>
      </w:r>
      <w:r>
        <w:tab/>
        <w:t>Statistical Methodology</w:t>
      </w:r>
      <w:bookmarkEnd w:id="3"/>
    </w:p>
    <w:p w:rsidR="00C31D49" w:rsidRDefault="00C31D49" w:rsidP="00FB052E">
      <w:pPr>
        <w:pStyle w:val="BodyText1"/>
      </w:pPr>
      <w:r>
        <w:t>The Technical Standards for main study PISA 201</w:t>
      </w:r>
      <w:r w:rsidR="00E37767">
        <w:t>5</w:t>
      </w:r>
      <w:r>
        <w:t xml:space="preserve"> established by the international governing board include the following:</w:t>
      </w:r>
    </w:p>
    <w:p w:rsidR="00C31D49" w:rsidRPr="004C48E5" w:rsidRDefault="00C31D49" w:rsidP="004C48E5">
      <w:pPr>
        <w:pStyle w:val="BodyText"/>
        <w:tabs>
          <w:tab w:val="clear" w:pos="850"/>
          <w:tab w:val="clear" w:pos="1191"/>
          <w:tab w:val="clear" w:pos="1531"/>
        </w:tabs>
        <w:spacing w:after="120"/>
        <w:ind w:left="187" w:firstLine="0"/>
        <w:rPr>
          <w:rFonts w:ascii="Garamond" w:hAnsi="Garamond"/>
        </w:rPr>
      </w:pPr>
      <w:r w:rsidRPr="004C48E5">
        <w:rPr>
          <w:rFonts w:ascii="Garamond" w:hAnsi="Garamond"/>
          <w:b/>
        </w:rPr>
        <w:t>Standard 1.8.</w:t>
      </w:r>
      <w:r w:rsidRPr="004C48E5">
        <w:rPr>
          <w:rFonts w:ascii="Garamond" w:hAnsi="Garamond"/>
        </w:rPr>
        <w:t xml:space="preserve"> The student sample size must be a minimum of </w:t>
      </w:r>
      <w:r w:rsidR="009C725A" w:rsidRPr="004C48E5">
        <w:rPr>
          <w:rFonts w:ascii="Garamond" w:hAnsi="Garamond"/>
        </w:rPr>
        <w:t>5,250</w:t>
      </w:r>
      <w:r w:rsidRPr="004C48E5">
        <w:rPr>
          <w:rFonts w:ascii="Garamond" w:hAnsi="Garamond"/>
        </w:rPr>
        <w:t xml:space="preserve"> assessed students, or the National Defined Target Population.</w:t>
      </w:r>
    </w:p>
    <w:p w:rsidR="00C31D49" w:rsidRPr="004C48E5" w:rsidRDefault="00C31D49" w:rsidP="004C48E5">
      <w:pPr>
        <w:pStyle w:val="BodyText"/>
        <w:tabs>
          <w:tab w:val="clear" w:pos="850"/>
          <w:tab w:val="clear" w:pos="1191"/>
          <w:tab w:val="clear" w:pos="1531"/>
        </w:tabs>
        <w:spacing w:after="120"/>
        <w:ind w:left="187" w:firstLine="0"/>
        <w:rPr>
          <w:rFonts w:ascii="Garamond" w:hAnsi="Garamond"/>
        </w:rPr>
      </w:pPr>
      <w:r w:rsidRPr="004C48E5">
        <w:rPr>
          <w:rFonts w:ascii="Garamond" w:hAnsi="Garamond"/>
          <w:b/>
        </w:rPr>
        <w:t>Standard 1.9.</w:t>
      </w:r>
      <w:r w:rsidRPr="004C48E5">
        <w:rPr>
          <w:rFonts w:ascii="Garamond" w:hAnsi="Garamond"/>
        </w:rPr>
        <w:t xml:space="preserve"> The school sample size must be a minimum of 150 schools or all schools that have students in the National Defined Target Population.</w:t>
      </w:r>
    </w:p>
    <w:p w:rsidR="00C31D49" w:rsidRPr="004C48E5" w:rsidRDefault="00C31D49" w:rsidP="004C48E5">
      <w:pPr>
        <w:pStyle w:val="BodyText"/>
        <w:tabs>
          <w:tab w:val="clear" w:pos="850"/>
          <w:tab w:val="clear" w:pos="1191"/>
          <w:tab w:val="clear" w:pos="1531"/>
        </w:tabs>
        <w:spacing w:after="120"/>
        <w:ind w:left="187" w:firstLine="0"/>
        <w:rPr>
          <w:rFonts w:ascii="Garamond" w:hAnsi="Garamond"/>
        </w:rPr>
      </w:pPr>
      <w:r w:rsidRPr="004C48E5">
        <w:rPr>
          <w:rFonts w:ascii="Garamond" w:hAnsi="Garamond"/>
          <w:b/>
        </w:rPr>
        <w:t>Standard 1.10.</w:t>
      </w:r>
      <w:r w:rsidRPr="004C48E5">
        <w:rPr>
          <w:rFonts w:ascii="Garamond" w:hAnsi="Garamond"/>
        </w:rPr>
        <w:t xml:space="preserve"> The target cluster size is typically 35 PISA eligible students, which upon agreement can be increased or reduced to a number not less than 20.</w:t>
      </w:r>
    </w:p>
    <w:p w:rsidR="00050108" w:rsidRPr="004C48E5" w:rsidRDefault="00C31D49" w:rsidP="004C48E5">
      <w:pPr>
        <w:pStyle w:val="BodyText"/>
        <w:tabs>
          <w:tab w:val="clear" w:pos="850"/>
          <w:tab w:val="clear" w:pos="1191"/>
          <w:tab w:val="clear" w:pos="1531"/>
        </w:tabs>
        <w:spacing w:after="120"/>
        <w:ind w:left="187" w:firstLine="0"/>
        <w:rPr>
          <w:rFonts w:ascii="Garamond" w:hAnsi="Garamond"/>
        </w:rPr>
      </w:pPr>
      <w:r w:rsidRPr="004C48E5">
        <w:rPr>
          <w:rFonts w:ascii="Garamond" w:hAnsi="Garamond"/>
          <w:b/>
        </w:rPr>
        <w:t>Standard 1.11.</w:t>
      </w:r>
      <w:r w:rsidRPr="004C48E5">
        <w:rPr>
          <w:rFonts w:ascii="Garamond" w:hAnsi="Garamond"/>
        </w:rPr>
        <w:t xml:space="preserve"> School response rates must be above 85 percent of sampled schools.</w:t>
      </w:r>
      <w:r w:rsidR="00361117" w:rsidRPr="004C48E5">
        <w:rPr>
          <w:rFonts w:ascii="Garamond" w:hAnsi="Garamond"/>
        </w:rPr>
        <w:t xml:space="preserve"> </w:t>
      </w:r>
      <w:r w:rsidRPr="004C48E5">
        <w:rPr>
          <w:rFonts w:ascii="Garamond" w:hAnsi="Garamond"/>
        </w:rPr>
        <w:t>If a response rate is below 85 percent then an acceptable response rate can still be achieved through agreed upon use of replacement schools. PISA establishes three response rate zones—acceptable, intermediate, and not acceptable.</w:t>
      </w:r>
      <w:r w:rsidR="00361117" w:rsidRPr="004C48E5">
        <w:rPr>
          <w:rFonts w:ascii="Garamond" w:hAnsi="Garamond"/>
        </w:rPr>
        <w:t xml:space="preserve"> </w:t>
      </w:r>
      <w:r w:rsidRPr="004C48E5">
        <w:rPr>
          <w:rFonts w:ascii="Garamond" w:hAnsi="Garamond"/>
        </w:rPr>
        <w:t>“Acceptable” refers to original school response rates above 85 percent and means that the country’s data will be included in all international comparisons.</w:t>
      </w:r>
      <w:r w:rsidR="00361117" w:rsidRPr="004C48E5">
        <w:rPr>
          <w:rFonts w:ascii="Garamond" w:hAnsi="Garamond"/>
        </w:rPr>
        <w:t xml:space="preserve"> </w:t>
      </w:r>
      <w:r w:rsidRPr="004C48E5">
        <w:rPr>
          <w:rFonts w:ascii="Garamond" w:hAnsi="Garamond"/>
        </w:rPr>
        <w:t>“Not Acceptable” refers to original response rates below 65 percent and means that the country’s data will be a candidate for not being reported in international comparisons unless considerable evidence is presented that nonresponse bias is minor.</w:t>
      </w:r>
      <w:r w:rsidR="00361117" w:rsidRPr="004C48E5">
        <w:rPr>
          <w:rFonts w:ascii="Garamond" w:hAnsi="Garamond"/>
        </w:rPr>
        <w:t xml:space="preserve"> </w:t>
      </w:r>
      <w:r w:rsidRPr="004C48E5">
        <w:rPr>
          <w:rFonts w:ascii="Garamond" w:hAnsi="Garamond"/>
        </w:rPr>
        <w:t>“Intermediate” refers to original school response rates of between 65 and 85 percent and means that a decision on whether or not to include the country’s data in comparisons must be made while taking into account a variety of factors, such as student response rates, quality control, etc.</w:t>
      </w:r>
      <w:r w:rsidR="00361117" w:rsidRPr="004C48E5">
        <w:rPr>
          <w:rFonts w:ascii="Garamond" w:hAnsi="Garamond"/>
        </w:rPr>
        <w:t xml:space="preserve"> </w:t>
      </w:r>
      <w:r w:rsidRPr="004C48E5">
        <w:rPr>
          <w:rFonts w:ascii="Garamond" w:hAnsi="Garamond"/>
        </w:rPr>
        <w:t>In addition, schools with less than 50 percent participation of students are not considered participating schools and neither that school nor those students that did participate are considered in the calculation of response rates.</w:t>
      </w:r>
    </w:p>
    <w:p w:rsidR="00C31D49" w:rsidRPr="004C48E5" w:rsidRDefault="00C31D49" w:rsidP="004C48E5">
      <w:pPr>
        <w:pStyle w:val="BodyText"/>
        <w:tabs>
          <w:tab w:val="clear" w:pos="850"/>
          <w:tab w:val="clear" w:pos="1191"/>
          <w:tab w:val="clear" w:pos="1531"/>
        </w:tabs>
        <w:spacing w:after="120"/>
        <w:ind w:left="187" w:firstLine="0"/>
        <w:rPr>
          <w:rFonts w:ascii="Garamond" w:hAnsi="Garamond"/>
        </w:rPr>
      </w:pPr>
      <w:r w:rsidRPr="004C48E5">
        <w:rPr>
          <w:rFonts w:ascii="Garamond" w:hAnsi="Garamond"/>
          <w:b/>
        </w:rPr>
        <w:t>Standard 1.12.</w:t>
      </w:r>
      <w:r w:rsidRPr="004C48E5">
        <w:rPr>
          <w:rFonts w:ascii="Garamond" w:hAnsi="Garamond"/>
        </w:rPr>
        <w:t xml:space="preserve"> The overall student response rates must be above 80 percent of sampled students.</w:t>
      </w:r>
    </w:p>
    <w:p w:rsidR="00C31D49" w:rsidRDefault="00C31D49" w:rsidP="00FB052E">
      <w:pPr>
        <w:pStyle w:val="BodyText1"/>
        <w:rPr>
          <w:lang w:val="en-GB"/>
        </w:rPr>
      </w:pPr>
      <w:r>
        <w:rPr>
          <w:lang w:val="en-GB"/>
        </w:rPr>
        <w:t xml:space="preserve">In addition, NCES has a standard in which student response rate should be </w:t>
      </w:r>
      <w:r w:rsidR="00977602">
        <w:rPr>
          <w:lang w:val="en-GB"/>
        </w:rPr>
        <w:t xml:space="preserve">at least </w:t>
      </w:r>
      <w:r>
        <w:rPr>
          <w:lang w:val="en-GB"/>
        </w:rPr>
        <w:t>85 percent, and the sampling design described below is based on that rate.</w:t>
      </w:r>
    </w:p>
    <w:p w:rsidR="00C31D49" w:rsidRPr="000103BF" w:rsidRDefault="00C31D49">
      <w:pPr>
        <w:spacing w:line="360" w:lineRule="atLeast"/>
        <w:rPr>
          <w:rFonts w:ascii="Garamond" w:hAnsi="Garamond"/>
          <w:b/>
          <w:sz w:val="24"/>
          <w:szCs w:val="22"/>
        </w:rPr>
      </w:pPr>
      <w:r w:rsidRPr="000103BF">
        <w:rPr>
          <w:rFonts w:ascii="Garamond" w:hAnsi="Garamond"/>
          <w:b/>
          <w:sz w:val="24"/>
          <w:szCs w:val="22"/>
        </w:rPr>
        <w:t>Overview</w:t>
      </w:r>
    </w:p>
    <w:p w:rsidR="00C31D49" w:rsidRDefault="00C31D49" w:rsidP="00FB052E">
      <w:pPr>
        <w:pStyle w:val="BodyText1"/>
      </w:pPr>
      <w:r>
        <w:t>The design for this study will be self-weighting, stratified, consist of two stages, and will use probability proportional to size (</w:t>
      </w:r>
      <w:r w:rsidRPr="00BE47B0">
        <w:t>PPS).</w:t>
      </w:r>
      <w:r w:rsidR="00361117">
        <w:t xml:space="preserve"> </w:t>
      </w:r>
      <w:r w:rsidRPr="00BE47B0">
        <w:t>There will be no oversampling of schools or students.</w:t>
      </w:r>
      <w:r w:rsidR="00361117">
        <w:t xml:space="preserve"> </w:t>
      </w:r>
      <w:r w:rsidRPr="00BE47B0">
        <w:t>Schools will be selected in the first stage with PPS and students will be sampled in the second stage</w:t>
      </w:r>
      <w:r>
        <w:t xml:space="preserve"> yielding overall equal probabilities of selection.</w:t>
      </w:r>
    </w:p>
    <w:p w:rsidR="00C31D49" w:rsidRPr="000103BF" w:rsidRDefault="00C31D49" w:rsidP="00A1765A">
      <w:pPr>
        <w:keepNext/>
        <w:spacing w:before="240" w:line="240" w:lineRule="auto"/>
        <w:ind w:left="720" w:hanging="720"/>
        <w:outlineLvl w:val="0"/>
        <w:rPr>
          <w:rFonts w:ascii="Garamond" w:hAnsi="Garamond"/>
          <w:b/>
          <w:sz w:val="24"/>
          <w:szCs w:val="22"/>
        </w:rPr>
      </w:pPr>
      <w:r w:rsidRPr="000103BF">
        <w:rPr>
          <w:rFonts w:ascii="Garamond" w:hAnsi="Garamond"/>
          <w:b/>
          <w:sz w:val="24"/>
          <w:szCs w:val="22"/>
        </w:rPr>
        <w:lastRenderedPageBreak/>
        <w:t>Target Populations</w:t>
      </w:r>
    </w:p>
    <w:p w:rsidR="00C31D49" w:rsidRDefault="00C31D49" w:rsidP="00FB052E">
      <w:pPr>
        <w:pStyle w:val="BodyText1"/>
      </w:pPr>
      <w:r>
        <w:t xml:space="preserve">The PISA target population is 15-year-old students attending education institutions located within the United </w:t>
      </w:r>
      <w:r w:rsidRPr="00FB052E">
        <w:rPr>
          <w:szCs w:val="22"/>
        </w:rPr>
        <w:t>States</w:t>
      </w:r>
      <w:r>
        <w:t xml:space="preserve"> in grades 7 and higher.</w:t>
      </w:r>
      <w:r w:rsidR="00361117">
        <w:t xml:space="preserve"> </w:t>
      </w:r>
      <w:r>
        <w:t>The plan is to implement the survey in the fall of 201</w:t>
      </w:r>
      <w:r w:rsidR="00E37767">
        <w:t>5</w:t>
      </w:r>
      <w:r w:rsidR="005200C5">
        <w:t xml:space="preserve"> (October-November)</w:t>
      </w:r>
      <w:r>
        <w:t>.</w:t>
      </w:r>
      <w:r w:rsidR="00361117">
        <w:t xml:space="preserve"> </w:t>
      </w:r>
      <w:r>
        <w:t>The specific definition of age eligibility that will be used in the survey is “…between 15 years and 3 (completed) months to 16 years and 2 (completed) months at the beginning of the testing window.”</w:t>
      </w:r>
    </w:p>
    <w:p w:rsidR="00C31D49" w:rsidRPr="000103BF" w:rsidRDefault="00C31D49" w:rsidP="00A1765A">
      <w:pPr>
        <w:keepNext/>
        <w:spacing w:before="240" w:line="240" w:lineRule="auto"/>
        <w:ind w:left="720" w:hanging="720"/>
        <w:outlineLvl w:val="0"/>
        <w:rPr>
          <w:rFonts w:ascii="Garamond" w:hAnsi="Garamond"/>
          <w:b/>
          <w:sz w:val="24"/>
          <w:szCs w:val="22"/>
        </w:rPr>
      </w:pPr>
      <w:r w:rsidRPr="000103BF">
        <w:rPr>
          <w:rFonts w:ascii="Garamond" w:hAnsi="Garamond"/>
          <w:b/>
          <w:sz w:val="24"/>
          <w:szCs w:val="22"/>
        </w:rPr>
        <w:t>Sampling Frame of Schools</w:t>
      </w:r>
    </w:p>
    <w:p w:rsidR="00050108" w:rsidRDefault="00C31D49" w:rsidP="00FB052E">
      <w:pPr>
        <w:pStyle w:val="BodyText1"/>
        <w:rPr>
          <w:rFonts w:cs="Garamond"/>
        </w:rPr>
      </w:pPr>
      <w:r>
        <w:t>The population of schools for PISA 201</w:t>
      </w:r>
      <w:r w:rsidR="00E37767">
        <w:t>5</w:t>
      </w:r>
      <w:r>
        <w:t xml:space="preserve"> is defined as all schools </w:t>
      </w:r>
      <w:r w:rsidR="00F26EC4">
        <w:t xml:space="preserve">enrolling </w:t>
      </w:r>
      <w:r>
        <w:t>any 15-year-olds in grades 7 through 12</w:t>
      </w:r>
      <w:r w:rsidRPr="00FB052E">
        <w:t xml:space="preserve">. </w:t>
      </w:r>
      <w:r>
        <w:t>As in</w:t>
      </w:r>
      <w:r w:rsidRPr="00A42B17">
        <w:t xml:space="preserve"> </w:t>
      </w:r>
      <w:r>
        <w:t>previous PISA cycles, t</w:t>
      </w:r>
      <w:r w:rsidRPr="00FB052E">
        <w:t>he school sampling frame will be developed from the</w:t>
      </w:r>
      <w:r>
        <w:t xml:space="preserve"> most up-to-date NCES Common Core of Data (CCD) and Private Schools Survey (PSS). </w:t>
      </w:r>
      <w:r>
        <w:rPr>
          <w:rFonts w:cs="Garamond"/>
        </w:rPr>
        <w:t>For the PISA 201</w:t>
      </w:r>
      <w:r w:rsidR="00E37767">
        <w:rPr>
          <w:rFonts w:cs="Garamond"/>
        </w:rPr>
        <w:t>5</w:t>
      </w:r>
      <w:r>
        <w:rPr>
          <w:rFonts w:cs="Garamond"/>
        </w:rPr>
        <w:t xml:space="preserve"> </w:t>
      </w:r>
      <w:r w:rsidR="009E0382">
        <w:rPr>
          <w:rFonts w:cs="Garamond"/>
        </w:rPr>
        <w:t>main study</w:t>
      </w:r>
      <w:r>
        <w:rPr>
          <w:rFonts w:cs="Garamond"/>
        </w:rPr>
        <w:t>, we will use the school sampling frame prepared for the National Assessment of Educational Progress (NAEP) 201</w:t>
      </w:r>
      <w:r w:rsidR="00E37767">
        <w:rPr>
          <w:rFonts w:cs="Garamond"/>
        </w:rPr>
        <w:t>4</w:t>
      </w:r>
      <w:r>
        <w:rPr>
          <w:rFonts w:cs="Garamond"/>
        </w:rPr>
        <w:t xml:space="preserve"> which used the 20</w:t>
      </w:r>
      <w:r w:rsidR="00E37767">
        <w:rPr>
          <w:rFonts w:cs="Garamond"/>
        </w:rPr>
        <w:t>1</w:t>
      </w:r>
      <w:r w:rsidR="009E0382">
        <w:rPr>
          <w:rFonts w:cs="Garamond"/>
        </w:rPr>
        <w:t>2</w:t>
      </w:r>
      <w:r>
        <w:rPr>
          <w:rFonts w:cs="Garamond"/>
        </w:rPr>
        <w:t>-20</w:t>
      </w:r>
      <w:r w:rsidR="00E37767">
        <w:rPr>
          <w:rFonts w:cs="Garamond"/>
        </w:rPr>
        <w:t>1</w:t>
      </w:r>
      <w:r w:rsidR="009E0382">
        <w:rPr>
          <w:rFonts w:cs="Garamond"/>
        </w:rPr>
        <w:t>3</w:t>
      </w:r>
      <w:r>
        <w:rPr>
          <w:rFonts w:cs="Garamond"/>
        </w:rPr>
        <w:t xml:space="preserve"> CCD and </w:t>
      </w:r>
      <w:r w:rsidR="00AF7382">
        <w:rPr>
          <w:rFonts w:cs="Garamond"/>
        </w:rPr>
        <w:t xml:space="preserve">the </w:t>
      </w:r>
      <w:r w:rsidR="00540C02">
        <w:rPr>
          <w:rFonts w:cs="Garamond"/>
        </w:rPr>
        <w:t>2011-</w:t>
      </w:r>
      <w:r w:rsidR="00540C02" w:rsidRPr="00DC50FE">
        <w:rPr>
          <w:rFonts w:cs="Garamond"/>
        </w:rPr>
        <w:t xml:space="preserve">2012 </w:t>
      </w:r>
      <w:r w:rsidRPr="00DC50FE">
        <w:rPr>
          <w:rFonts w:cs="Garamond"/>
        </w:rPr>
        <w:t>PSS school data.</w:t>
      </w:r>
    </w:p>
    <w:p w:rsidR="00050108" w:rsidRDefault="00C31D49" w:rsidP="00FB052E">
      <w:pPr>
        <w:pStyle w:val="BodyText1"/>
      </w:pPr>
      <w:r w:rsidRPr="000531A3">
        <w:t>The grade structure of the school is a key stratification variable designed to reduce sampling error, but this is especially so in PISA because data analyses have shown that achievement is highly related to grade. Other stratification variables include public/private, region of the country, location (urban/suburban/town/rural, etc.), and enrollment by race/ethnicity.</w:t>
      </w:r>
    </w:p>
    <w:p w:rsidR="00C31D49" w:rsidRDefault="009E0382" w:rsidP="00A1765A">
      <w:pPr>
        <w:pStyle w:val="BodyText1"/>
        <w:keepNext/>
        <w:spacing w:before="240" w:after="0" w:line="240" w:lineRule="auto"/>
        <w:ind w:left="720" w:hanging="720"/>
        <w:jc w:val="both"/>
        <w:outlineLvl w:val="0"/>
        <w:rPr>
          <w:b/>
          <w:szCs w:val="22"/>
        </w:rPr>
      </w:pPr>
      <w:r>
        <w:rPr>
          <w:b/>
          <w:szCs w:val="22"/>
        </w:rPr>
        <w:t>School, Teacher</w:t>
      </w:r>
      <w:r w:rsidR="002714EB">
        <w:rPr>
          <w:b/>
          <w:szCs w:val="22"/>
        </w:rPr>
        <w:t>,</w:t>
      </w:r>
      <w:r>
        <w:rPr>
          <w:b/>
          <w:szCs w:val="22"/>
        </w:rPr>
        <w:t xml:space="preserve"> and Student Samples</w:t>
      </w:r>
    </w:p>
    <w:p w:rsidR="00050108" w:rsidRDefault="00C31D49" w:rsidP="000103BF">
      <w:pPr>
        <w:pStyle w:val="BodyText1"/>
      </w:pPr>
      <w:r>
        <w:t xml:space="preserve">The international minimum number of completed assessments—for the core </w:t>
      </w:r>
      <w:r w:rsidR="009871F3">
        <w:t xml:space="preserve">computer-based assessments in science, </w:t>
      </w:r>
      <w:r>
        <w:t>mathematics, reading</w:t>
      </w:r>
      <w:r w:rsidR="00CB305E">
        <w:t>, and collaborative problem solving</w:t>
      </w:r>
      <w:r>
        <w:t xml:space="preserve">—is </w:t>
      </w:r>
      <w:r w:rsidR="009C725A">
        <w:t>5,250</w:t>
      </w:r>
      <w:r w:rsidR="009A0579">
        <w:t xml:space="preserve"> st</w:t>
      </w:r>
      <w:r>
        <w:t>udents in 150 schools.</w:t>
      </w:r>
      <w:r w:rsidR="00361117">
        <w:t xml:space="preserve"> </w:t>
      </w:r>
      <w:r w:rsidR="00D37487">
        <w:t>In PISA, t</w:t>
      </w:r>
      <w:r>
        <w:t>he United States typically</w:t>
      </w:r>
      <w:r w:rsidR="00D37487">
        <w:t xml:space="preserve"> assesses</w:t>
      </w:r>
      <w:r>
        <w:t xml:space="preserve"> </w:t>
      </w:r>
      <w:r w:rsidR="009830EF">
        <w:t>between</w:t>
      </w:r>
      <w:r>
        <w:t xml:space="preserve"> 5,600</w:t>
      </w:r>
      <w:r w:rsidR="009830EF">
        <w:t xml:space="preserve"> and</w:t>
      </w:r>
      <w:r w:rsidR="00482C28">
        <w:t xml:space="preserve"> 5,9</w:t>
      </w:r>
      <w:r w:rsidR="009E6F29">
        <w:t>00</w:t>
      </w:r>
      <w:r>
        <w:t xml:space="preserve"> students in 165 schools. </w:t>
      </w:r>
      <w:r>
        <w:rPr>
          <w:rFonts w:cs="Garamond"/>
        </w:rPr>
        <w:t xml:space="preserve">Assuming </w:t>
      </w:r>
      <w:r w:rsidR="00B97E45">
        <w:rPr>
          <w:rFonts w:cs="Garamond"/>
        </w:rPr>
        <w:t>a similar</w:t>
      </w:r>
      <w:r>
        <w:rPr>
          <w:rFonts w:cs="Garamond"/>
        </w:rPr>
        <w:t xml:space="preserve"> response </w:t>
      </w:r>
      <w:r w:rsidR="00B97E45">
        <w:rPr>
          <w:rFonts w:cs="Garamond"/>
        </w:rPr>
        <w:t>rate</w:t>
      </w:r>
      <w:r>
        <w:rPr>
          <w:rFonts w:cs="Garamond"/>
        </w:rPr>
        <w:t xml:space="preserve"> as PISA 20</w:t>
      </w:r>
      <w:r w:rsidR="009871F3">
        <w:rPr>
          <w:rFonts w:cs="Garamond"/>
        </w:rPr>
        <w:t>12</w:t>
      </w:r>
      <w:r>
        <w:rPr>
          <w:rFonts w:cs="Garamond"/>
        </w:rPr>
        <w:t>, our initial target is a total sample of about 240 schools to yield about 16</w:t>
      </w:r>
      <w:r w:rsidR="003A4464">
        <w:rPr>
          <w:rFonts w:cs="Garamond"/>
        </w:rPr>
        <w:t>5</w:t>
      </w:r>
      <w:r>
        <w:rPr>
          <w:rFonts w:cs="Garamond"/>
        </w:rPr>
        <w:t xml:space="preserve"> participating schools.</w:t>
      </w:r>
      <w:r w:rsidR="00361117">
        <w:t xml:space="preserve"> </w:t>
      </w:r>
      <w:r>
        <w:t>To achieve the target final school response rate, we will use replacement schools to complete the sample.</w:t>
      </w:r>
    </w:p>
    <w:p w:rsidR="00C31D49" w:rsidRDefault="009E0382" w:rsidP="000103BF">
      <w:pPr>
        <w:pStyle w:val="BodyText1"/>
      </w:pPr>
      <w:r>
        <w:t>The sample of teachers will be based on an assumption of up to 25 teachers per school and an average of 24 teachers per school for a total of 3,882 sampled teachers and 3,300 responding teachers.</w:t>
      </w:r>
    </w:p>
    <w:p w:rsidR="000D4B97" w:rsidRDefault="00C31D49" w:rsidP="000103BF">
      <w:pPr>
        <w:pStyle w:val="BodyText1"/>
      </w:pPr>
      <w:r>
        <w:t>The student-per-school target for th</w:t>
      </w:r>
      <w:r w:rsidR="00DC50FE">
        <w:t>e core assessment is at least 36</w:t>
      </w:r>
      <w:r>
        <w:t xml:space="preserve"> completed student assessments per school. Assuming a within-school response rate of 85 percent (rates were 85 percent in 2000, 82 percent in 2003, 91 percent in 2006</w:t>
      </w:r>
      <w:r w:rsidR="009871F3">
        <w:t>, 86</w:t>
      </w:r>
      <w:r w:rsidR="00F26EC4">
        <w:t xml:space="preserve"> percent</w:t>
      </w:r>
      <w:r w:rsidR="009871F3">
        <w:t xml:space="preserve"> in 2009</w:t>
      </w:r>
      <w:r w:rsidR="00C60E9A">
        <w:t>, and 89 percent in 2012</w:t>
      </w:r>
      <w:r>
        <w:t xml:space="preserve">), the original sample size of students within schools will be 42. </w:t>
      </w:r>
      <w:r w:rsidR="00B97E45">
        <w:t xml:space="preserve">The two states that are finalizing plans to participate in PISA 2015 </w:t>
      </w:r>
      <w:r w:rsidR="00F26EC4">
        <w:t>will</w:t>
      </w:r>
      <w:r w:rsidR="00AF19A9">
        <w:t xml:space="preserve"> </w:t>
      </w:r>
      <w:r w:rsidR="005A4FF8">
        <w:t xml:space="preserve">each </w:t>
      </w:r>
      <w:r w:rsidR="00AF19A9">
        <w:t xml:space="preserve">have a sample of 50 schools and </w:t>
      </w:r>
      <w:r w:rsidR="00944E95">
        <w:t>2,100</w:t>
      </w:r>
      <w:r w:rsidR="00AF19A9">
        <w:t xml:space="preserve"> students to yield </w:t>
      </w:r>
      <w:r w:rsidR="00944E95">
        <w:t>1,890</w:t>
      </w:r>
      <w:r w:rsidR="00AF19A9">
        <w:t xml:space="preserve"> assessed students.</w:t>
      </w:r>
      <w:r w:rsidR="009A0888">
        <w:rPr>
          <w:rStyle w:val="FootnoteReference"/>
        </w:rPr>
        <w:footnoteReference w:id="1"/>
      </w:r>
      <w:r w:rsidR="00193367">
        <w:t xml:space="preserve"> </w:t>
      </w:r>
      <w:r w:rsidR="005E107F">
        <w:t xml:space="preserve">Puerto Rico will have a sample size of 50 schools and </w:t>
      </w:r>
      <w:r w:rsidR="00944E95">
        <w:t>2,100</w:t>
      </w:r>
      <w:r w:rsidR="005E107F">
        <w:t xml:space="preserve"> students.</w:t>
      </w:r>
    </w:p>
    <w:p w:rsidR="00E66630" w:rsidRPr="00701620" w:rsidRDefault="00E66630" w:rsidP="00E66630">
      <w:pPr>
        <w:pStyle w:val="BodyText1"/>
        <w:tabs>
          <w:tab w:val="left" w:pos="1170"/>
        </w:tabs>
        <w:rPr>
          <w:b/>
        </w:rPr>
      </w:pPr>
      <w:r w:rsidRPr="00E67172">
        <w:rPr>
          <w:b/>
        </w:rPr>
        <w:t>Gathering Contact Information to Support a Future Methodological Study</w:t>
      </w:r>
    </w:p>
    <w:p w:rsidR="00052657" w:rsidRDefault="001D1DBC" w:rsidP="00645352">
      <w:pPr>
        <w:spacing w:before="120" w:after="120" w:line="300" w:lineRule="atLeast"/>
        <w:jc w:val="left"/>
        <w:rPr>
          <w:rFonts w:ascii="Garamond" w:hAnsi="Garamond" w:cs="Tahoma"/>
          <w:color w:val="000000"/>
          <w:sz w:val="24"/>
          <w:szCs w:val="24"/>
        </w:rPr>
      </w:pPr>
      <w:r>
        <w:rPr>
          <w:rFonts w:ascii="Garamond" w:hAnsi="Garamond" w:cs="Tahoma"/>
          <w:color w:val="000000"/>
          <w:sz w:val="24"/>
          <w:szCs w:val="24"/>
        </w:rPr>
        <w:t xml:space="preserve">In PISA 2012, NCES collected student contact information for a follow-up study to </w:t>
      </w:r>
      <w:r w:rsidR="00E66630" w:rsidRPr="00701620">
        <w:rPr>
          <w:rFonts w:ascii="Garamond" w:hAnsi="Garamond" w:cs="Tahoma"/>
          <w:color w:val="000000"/>
          <w:sz w:val="24"/>
          <w:szCs w:val="24"/>
        </w:rPr>
        <w:t xml:space="preserve">validate PISA by relating </w:t>
      </w:r>
      <w:r w:rsidR="00E66630">
        <w:rPr>
          <w:rFonts w:ascii="Garamond" w:hAnsi="Garamond" w:cs="Tahoma"/>
          <w:color w:val="000000"/>
          <w:sz w:val="24"/>
          <w:szCs w:val="24"/>
        </w:rPr>
        <w:t xml:space="preserve">student performance </w:t>
      </w:r>
      <w:r>
        <w:rPr>
          <w:rFonts w:ascii="Garamond" w:hAnsi="Garamond" w:cs="Tahoma"/>
          <w:color w:val="000000"/>
          <w:sz w:val="24"/>
          <w:szCs w:val="24"/>
        </w:rPr>
        <w:t xml:space="preserve">on PISA </w:t>
      </w:r>
      <w:r w:rsidR="00E66630" w:rsidRPr="00701620">
        <w:rPr>
          <w:rFonts w:ascii="Garamond" w:hAnsi="Garamond" w:cs="Tahoma"/>
          <w:color w:val="000000"/>
          <w:sz w:val="24"/>
          <w:szCs w:val="24"/>
        </w:rPr>
        <w:t>to other cognitive, education</w:t>
      </w:r>
      <w:r w:rsidR="009779B5">
        <w:rPr>
          <w:rFonts w:ascii="Garamond" w:hAnsi="Garamond" w:cs="Tahoma"/>
          <w:color w:val="000000"/>
          <w:sz w:val="24"/>
          <w:szCs w:val="24"/>
        </w:rPr>
        <w:t>,</w:t>
      </w:r>
      <w:r w:rsidR="00E66630" w:rsidRPr="00701620">
        <w:rPr>
          <w:rFonts w:ascii="Garamond" w:hAnsi="Garamond" w:cs="Tahoma"/>
          <w:color w:val="000000"/>
          <w:sz w:val="24"/>
          <w:szCs w:val="24"/>
        </w:rPr>
        <w:t xml:space="preserve"> and employment outcomes</w:t>
      </w:r>
      <w:r w:rsidR="009779B5">
        <w:rPr>
          <w:rFonts w:ascii="Garamond" w:hAnsi="Garamond" w:cs="Tahoma"/>
          <w:color w:val="000000"/>
          <w:sz w:val="24"/>
          <w:szCs w:val="24"/>
        </w:rPr>
        <w:t xml:space="preserve"> (the </w:t>
      </w:r>
      <w:r w:rsidR="00052657">
        <w:rPr>
          <w:rFonts w:ascii="Garamond" w:hAnsi="Garamond" w:cs="Tahoma"/>
          <w:color w:val="000000"/>
          <w:sz w:val="24"/>
          <w:szCs w:val="24"/>
        </w:rPr>
        <w:t xml:space="preserve">new </w:t>
      </w:r>
      <w:r>
        <w:rPr>
          <w:rFonts w:ascii="Garamond" w:hAnsi="Garamond" w:cs="Tahoma"/>
          <w:color w:val="000000"/>
          <w:sz w:val="24"/>
          <w:szCs w:val="24"/>
        </w:rPr>
        <w:t xml:space="preserve">PISA </w:t>
      </w:r>
      <w:r w:rsidR="00073658">
        <w:rPr>
          <w:rFonts w:ascii="Garamond" w:hAnsi="Garamond" w:cs="Tahoma"/>
          <w:color w:val="000000"/>
          <w:sz w:val="24"/>
          <w:szCs w:val="24"/>
        </w:rPr>
        <w:t>Validation</w:t>
      </w:r>
      <w:r>
        <w:rPr>
          <w:rFonts w:ascii="Garamond" w:hAnsi="Garamond" w:cs="Tahoma"/>
          <w:color w:val="000000"/>
          <w:sz w:val="24"/>
          <w:szCs w:val="24"/>
        </w:rPr>
        <w:t xml:space="preserve"> Study</w:t>
      </w:r>
      <w:r w:rsidR="009779B5">
        <w:rPr>
          <w:rFonts w:ascii="Garamond" w:hAnsi="Garamond" w:cs="Tahoma"/>
          <w:color w:val="000000"/>
          <w:sz w:val="24"/>
          <w:szCs w:val="24"/>
        </w:rPr>
        <w:t>, OMB# 1</w:t>
      </w:r>
      <w:r w:rsidR="00F26EC4">
        <w:rPr>
          <w:rFonts w:ascii="Garamond" w:hAnsi="Garamond" w:cs="Tahoma"/>
          <w:color w:val="000000"/>
          <w:sz w:val="24"/>
          <w:szCs w:val="24"/>
        </w:rPr>
        <w:t>850-0900)</w:t>
      </w:r>
      <w:r>
        <w:rPr>
          <w:rFonts w:ascii="Garamond" w:hAnsi="Garamond" w:cs="Tahoma"/>
          <w:color w:val="000000"/>
          <w:sz w:val="24"/>
          <w:szCs w:val="24"/>
        </w:rPr>
        <w:t xml:space="preserve">. NCES is again considering conducting a follow-up with PISA 2015 students. As in PISA 2012, </w:t>
      </w:r>
      <w:r w:rsidR="00E66630">
        <w:rPr>
          <w:rFonts w:ascii="Garamond" w:hAnsi="Garamond" w:cs="Tahoma"/>
          <w:color w:val="000000"/>
          <w:sz w:val="24"/>
          <w:szCs w:val="24"/>
        </w:rPr>
        <w:t>PISA 2015</w:t>
      </w:r>
      <w:r w:rsidR="00E66630" w:rsidRPr="00701620">
        <w:rPr>
          <w:rFonts w:ascii="Garamond" w:hAnsi="Garamond" w:cs="Tahoma"/>
          <w:color w:val="000000"/>
          <w:sz w:val="24"/>
          <w:szCs w:val="24"/>
        </w:rPr>
        <w:t xml:space="preserve"> students will be asked to supply contact information so NCES can contact them in the future. The follow-up study, including any follow-up contact with students, </w:t>
      </w:r>
      <w:r w:rsidR="008A4D63">
        <w:rPr>
          <w:rFonts w:ascii="Garamond" w:hAnsi="Garamond" w:cs="Tahoma"/>
          <w:color w:val="000000"/>
          <w:sz w:val="24"/>
          <w:szCs w:val="24"/>
        </w:rPr>
        <w:t>would</w:t>
      </w:r>
      <w:r w:rsidR="00E66630" w:rsidRPr="00701620">
        <w:rPr>
          <w:rFonts w:ascii="Garamond" w:hAnsi="Garamond" w:cs="Tahoma"/>
          <w:color w:val="000000"/>
          <w:sz w:val="24"/>
          <w:szCs w:val="24"/>
        </w:rPr>
        <w:t xml:space="preserve"> be carried out under a separate OMB clearance request. In this current request we are seeking approval only to gather student</w:t>
      </w:r>
      <w:r w:rsidR="00E66630">
        <w:rPr>
          <w:rFonts w:ascii="Garamond" w:hAnsi="Garamond" w:cs="Tahoma"/>
          <w:color w:val="000000"/>
          <w:sz w:val="24"/>
          <w:szCs w:val="24"/>
        </w:rPr>
        <w:t xml:space="preserve"> contact information</w:t>
      </w:r>
      <w:r w:rsidR="00052657" w:rsidRPr="00052657">
        <w:rPr>
          <w:rFonts w:ascii="Garamond" w:hAnsi="Garamond" w:cs="Tahoma"/>
          <w:color w:val="000000"/>
          <w:sz w:val="24"/>
          <w:szCs w:val="24"/>
        </w:rPr>
        <w:t xml:space="preserve"> as was done in PISA 2012</w:t>
      </w:r>
      <w:r w:rsidR="00E66630">
        <w:rPr>
          <w:rFonts w:ascii="Garamond" w:hAnsi="Garamond" w:cs="Tahoma"/>
          <w:color w:val="000000"/>
          <w:sz w:val="24"/>
          <w:szCs w:val="24"/>
        </w:rPr>
        <w:t xml:space="preserve">. </w:t>
      </w:r>
      <w:r w:rsidR="008A4D63" w:rsidRPr="008A4D63">
        <w:rPr>
          <w:rFonts w:ascii="Garamond" w:hAnsi="Garamond" w:cs="Tahoma"/>
          <w:color w:val="000000"/>
          <w:sz w:val="24"/>
          <w:szCs w:val="24"/>
        </w:rPr>
        <w:t xml:space="preserve">Appendix D contains items that will be used to ask students for their email, home address, and phone numbers, along with those of a relative or a close </w:t>
      </w:r>
      <w:r w:rsidR="008A4D63" w:rsidRPr="008A4D63">
        <w:rPr>
          <w:rFonts w:ascii="Garamond" w:hAnsi="Garamond" w:cs="Tahoma"/>
          <w:color w:val="000000"/>
          <w:sz w:val="24"/>
          <w:szCs w:val="24"/>
        </w:rPr>
        <w:lastRenderedPageBreak/>
        <w:t xml:space="preserve">friend. The items are the same as those used to collect contact information from the PISA 2012 students (OMB# 1850-0755 v.13) </w:t>
      </w:r>
      <w:r w:rsidR="008A4D63">
        <w:rPr>
          <w:rFonts w:ascii="Garamond" w:hAnsi="Garamond" w:cs="Tahoma"/>
          <w:color w:val="000000"/>
          <w:sz w:val="24"/>
          <w:szCs w:val="24"/>
        </w:rPr>
        <w:t>with an additional question asking for the email of a relative or another contact</w:t>
      </w:r>
      <w:r w:rsidR="00052657" w:rsidRPr="00052657">
        <w:rPr>
          <w:rFonts w:ascii="Garamond" w:hAnsi="Garamond" w:cs="Tahoma"/>
          <w:color w:val="000000"/>
          <w:sz w:val="24"/>
          <w:szCs w:val="24"/>
        </w:rPr>
        <w:t>.</w:t>
      </w:r>
    </w:p>
    <w:p w:rsidR="00C31D49" w:rsidRDefault="00C31D49" w:rsidP="00A1765A">
      <w:pPr>
        <w:pStyle w:val="BodyText1"/>
        <w:keepNext/>
        <w:spacing w:before="240" w:after="0" w:line="240" w:lineRule="auto"/>
        <w:ind w:left="720" w:hanging="720"/>
        <w:jc w:val="both"/>
        <w:outlineLvl w:val="0"/>
        <w:rPr>
          <w:b/>
          <w:szCs w:val="22"/>
        </w:rPr>
      </w:pPr>
      <w:r w:rsidRPr="000103BF">
        <w:rPr>
          <w:b/>
          <w:szCs w:val="22"/>
        </w:rPr>
        <w:t>Nonresponse Bias Analysis, Weighting, Sampling Error</w:t>
      </w:r>
      <w:r>
        <w:rPr>
          <w:b/>
          <w:szCs w:val="22"/>
        </w:rPr>
        <w:t>s</w:t>
      </w:r>
    </w:p>
    <w:p w:rsidR="00C31D49" w:rsidRDefault="00C31D49" w:rsidP="000103BF">
      <w:pPr>
        <w:pStyle w:val="BodyText1"/>
      </w:pPr>
      <w:r w:rsidRPr="000103BF">
        <w:rPr>
          <w:szCs w:val="22"/>
        </w:rPr>
        <w:t>I</w:t>
      </w:r>
      <w:r>
        <w:t>t is inevitable that nonresponse will occur at both levels</w:t>
      </w:r>
      <w:r w:rsidR="00F26EC4">
        <w:t xml:space="preserve"> of sampling</w:t>
      </w:r>
      <w:r>
        <w:t xml:space="preserve">: school and student. We will analyze the nonrespondents and provide information about whether and how they differ from the respondents along dimensions for which we have data for the nonresponding units, as required by NCES standards. After the international contractor calculates </w:t>
      </w:r>
      <w:r w:rsidR="00925F20">
        <w:t xml:space="preserve">sample </w:t>
      </w:r>
      <w:r>
        <w:t>weights, sampling errors will be calculated for a selection of key indicators incorporating the full complexity of the design, that is, clustering and stratification</w:t>
      </w:r>
      <w:r w:rsidR="0019000A">
        <w:t xml:space="preserve"> (see </w:t>
      </w:r>
      <w:r w:rsidR="004A2469">
        <w:t xml:space="preserve">the already approved </w:t>
      </w:r>
      <w:r w:rsidR="0019000A">
        <w:t>Appendix C for more detail</w:t>
      </w:r>
      <w:r w:rsidR="00D71379">
        <w:t xml:space="preserve"> on plans for a nonresponse bias analysis</w:t>
      </w:r>
      <w:r w:rsidR="0019000A">
        <w:t>)</w:t>
      </w:r>
      <w:r>
        <w:t>.</w:t>
      </w:r>
    </w:p>
    <w:p w:rsidR="00C31D49" w:rsidRDefault="00497DC6" w:rsidP="00A1765A">
      <w:pPr>
        <w:pStyle w:val="Heading1"/>
        <w:spacing w:before="240" w:after="0" w:line="240" w:lineRule="auto"/>
        <w:ind w:left="720" w:hanging="720"/>
      </w:pPr>
      <w:bookmarkStart w:id="4" w:name="_Toc260914717"/>
      <w:r>
        <w:t>B.3</w:t>
      </w:r>
      <w:r>
        <w:tab/>
      </w:r>
      <w:r w:rsidR="00C31D49">
        <w:t>Maximizing Response Rates</w:t>
      </w:r>
      <w:bookmarkEnd w:id="4"/>
    </w:p>
    <w:p w:rsidR="00050108" w:rsidRDefault="00611EC1" w:rsidP="00C5723F">
      <w:pPr>
        <w:pStyle w:val="BodyText1"/>
      </w:pPr>
      <w:r>
        <w:t xml:space="preserve">Historically PISA has struggled to achieve adequate school-level </w:t>
      </w:r>
      <w:r w:rsidR="00D71379">
        <w:t xml:space="preserve">response rates. </w:t>
      </w:r>
      <w:r w:rsidR="0013626F">
        <w:t>PISA is a long assessment requiring</w:t>
      </w:r>
      <w:r w:rsidR="00D71379">
        <w:t xml:space="preserve"> over 3 hours of student time. </w:t>
      </w:r>
      <w:r w:rsidR="0013626F">
        <w:t>Schools are reluctant to participate because of the commitment of time and loss of in</w:t>
      </w:r>
      <w:r w:rsidR="00D71379">
        <w:t xml:space="preserve">structional time for students. </w:t>
      </w:r>
      <w:r w:rsidR="0013626F">
        <w:t xml:space="preserve">Because PISA is administered to an age-based sample, </w:t>
      </w:r>
      <w:r w:rsidR="002C095B">
        <w:t>student</w:t>
      </w:r>
      <w:r w:rsidR="002D656F">
        <w:t>s</w:t>
      </w:r>
      <w:r w:rsidR="002C095B">
        <w:t xml:space="preserve"> are sampled </w:t>
      </w:r>
      <w:r w:rsidR="0013626F">
        <w:t>from across grades and classes</w:t>
      </w:r>
      <w:r w:rsidR="002C095B">
        <w:t>, which schools find disruptive</w:t>
      </w:r>
      <w:r w:rsidR="0013626F">
        <w:t xml:space="preserve">. </w:t>
      </w:r>
      <w:r w:rsidR="00333855">
        <w:t xml:space="preserve">We have </w:t>
      </w:r>
      <w:r w:rsidR="006E43D2">
        <w:t xml:space="preserve">reviewed our materials and </w:t>
      </w:r>
      <w:r w:rsidR="00333855">
        <w:t>conducted focus groups</w:t>
      </w:r>
      <w:r w:rsidR="00CC7F8B">
        <w:t xml:space="preserve"> (OMB# 1850-0803)</w:t>
      </w:r>
      <w:r w:rsidR="00333855">
        <w:t xml:space="preserve"> in order to understand the attitudes that school administrators</w:t>
      </w:r>
      <w:r w:rsidR="00D35DAD">
        <w:t xml:space="preserve"> have toward PISA and what materials work best </w:t>
      </w:r>
      <w:r w:rsidR="00D71379">
        <w:t xml:space="preserve">in describing PISA to schools. </w:t>
      </w:r>
      <w:r>
        <w:t>The following table provides the school and student response rates for each PISA round.</w:t>
      </w:r>
    </w:p>
    <w:p w:rsidR="00263CE8" w:rsidRDefault="00D71379" w:rsidP="00C5723F">
      <w:pPr>
        <w:pStyle w:val="BodyText1"/>
      </w:pPr>
      <w:r>
        <w:t>Table B</w:t>
      </w:r>
      <w:r w:rsidR="00263CE8">
        <w:t>.</w:t>
      </w:r>
      <w:r w:rsidR="00050108">
        <w:t xml:space="preserve"> </w:t>
      </w:r>
      <w:r w:rsidR="00263CE8">
        <w:t>Historical PISA school and student response rates for the United States</w:t>
      </w:r>
    </w:p>
    <w:tbl>
      <w:tblPr>
        <w:tblStyle w:val="TableGrid"/>
        <w:tblW w:w="0" w:type="auto"/>
        <w:tblLook w:val="04A0" w:firstRow="1" w:lastRow="0" w:firstColumn="1" w:lastColumn="0" w:noHBand="0" w:noVBand="1"/>
      </w:tblPr>
      <w:tblGrid>
        <w:gridCol w:w="666"/>
        <w:gridCol w:w="3195"/>
        <w:gridCol w:w="3922"/>
        <w:gridCol w:w="2657"/>
      </w:tblGrid>
      <w:tr w:rsidR="00263CE8" w:rsidTr="004C48E5">
        <w:tc>
          <w:tcPr>
            <w:tcW w:w="0" w:type="auto"/>
          </w:tcPr>
          <w:p w:rsidR="00263CE8" w:rsidRDefault="00263CE8" w:rsidP="00AB79D7">
            <w:pPr>
              <w:pStyle w:val="BodyText1"/>
              <w:spacing w:before="60" w:after="60" w:line="240" w:lineRule="auto"/>
            </w:pPr>
            <w:r>
              <w:t>Year</w:t>
            </w:r>
          </w:p>
        </w:tc>
        <w:tc>
          <w:tcPr>
            <w:tcW w:w="0" w:type="auto"/>
          </w:tcPr>
          <w:p w:rsidR="00263CE8" w:rsidRDefault="00263CE8" w:rsidP="00AB79D7">
            <w:pPr>
              <w:pStyle w:val="BodyText1"/>
              <w:spacing w:before="60" w:after="60" w:line="240" w:lineRule="auto"/>
            </w:pPr>
            <w:r>
              <w:t>Weighted Original school response rate</w:t>
            </w:r>
          </w:p>
        </w:tc>
        <w:tc>
          <w:tcPr>
            <w:tcW w:w="0" w:type="auto"/>
          </w:tcPr>
          <w:p w:rsidR="00263CE8" w:rsidRDefault="00263CE8" w:rsidP="00AB79D7">
            <w:pPr>
              <w:pStyle w:val="BodyText1"/>
              <w:spacing w:before="60" w:after="60" w:line="240" w:lineRule="auto"/>
            </w:pPr>
            <w:r>
              <w:t>Weighted School response rate after replacement</w:t>
            </w:r>
          </w:p>
        </w:tc>
        <w:tc>
          <w:tcPr>
            <w:tcW w:w="0" w:type="auto"/>
          </w:tcPr>
          <w:p w:rsidR="00263CE8" w:rsidRDefault="00263CE8" w:rsidP="00AB79D7">
            <w:pPr>
              <w:pStyle w:val="BodyText1"/>
              <w:spacing w:before="60" w:after="60" w:line="240" w:lineRule="auto"/>
            </w:pPr>
            <w:r>
              <w:t>Weighted Student response rate</w:t>
            </w:r>
          </w:p>
        </w:tc>
      </w:tr>
      <w:tr w:rsidR="00263CE8" w:rsidTr="004C48E5">
        <w:tc>
          <w:tcPr>
            <w:tcW w:w="0" w:type="auto"/>
          </w:tcPr>
          <w:p w:rsidR="00263CE8" w:rsidRDefault="00263CE8" w:rsidP="00AB79D7">
            <w:pPr>
              <w:pStyle w:val="BodyText1"/>
              <w:spacing w:before="60" w:after="60" w:line="240" w:lineRule="auto"/>
            </w:pPr>
            <w:r>
              <w:t>2000</w:t>
            </w:r>
          </w:p>
        </w:tc>
        <w:tc>
          <w:tcPr>
            <w:tcW w:w="0" w:type="auto"/>
          </w:tcPr>
          <w:p w:rsidR="00263CE8" w:rsidRDefault="00263CE8" w:rsidP="00AB79D7">
            <w:pPr>
              <w:pStyle w:val="BodyText1"/>
              <w:spacing w:before="60" w:after="60" w:line="240" w:lineRule="auto"/>
            </w:pPr>
            <w:r>
              <w:t>56</w:t>
            </w:r>
          </w:p>
        </w:tc>
        <w:tc>
          <w:tcPr>
            <w:tcW w:w="0" w:type="auto"/>
          </w:tcPr>
          <w:p w:rsidR="00263CE8" w:rsidRDefault="00263CE8" w:rsidP="00AB79D7">
            <w:pPr>
              <w:pStyle w:val="BodyText1"/>
              <w:spacing w:before="60" w:after="60" w:line="240" w:lineRule="auto"/>
            </w:pPr>
            <w:r>
              <w:t>70</w:t>
            </w:r>
          </w:p>
        </w:tc>
        <w:tc>
          <w:tcPr>
            <w:tcW w:w="0" w:type="auto"/>
          </w:tcPr>
          <w:p w:rsidR="00263CE8" w:rsidRDefault="00263CE8" w:rsidP="00AB79D7">
            <w:pPr>
              <w:pStyle w:val="BodyText1"/>
              <w:spacing w:before="60" w:after="60" w:line="240" w:lineRule="auto"/>
            </w:pPr>
            <w:r>
              <w:t>85</w:t>
            </w:r>
          </w:p>
        </w:tc>
      </w:tr>
      <w:tr w:rsidR="00263CE8" w:rsidTr="004C48E5">
        <w:tc>
          <w:tcPr>
            <w:tcW w:w="0" w:type="auto"/>
          </w:tcPr>
          <w:p w:rsidR="00263CE8" w:rsidRDefault="00263CE8" w:rsidP="00AB79D7">
            <w:pPr>
              <w:pStyle w:val="BodyText1"/>
              <w:spacing w:before="60" w:after="60" w:line="240" w:lineRule="auto"/>
            </w:pPr>
            <w:r>
              <w:t>2003</w:t>
            </w:r>
          </w:p>
        </w:tc>
        <w:tc>
          <w:tcPr>
            <w:tcW w:w="0" w:type="auto"/>
          </w:tcPr>
          <w:p w:rsidR="00263CE8" w:rsidRDefault="00263CE8" w:rsidP="00AB79D7">
            <w:pPr>
              <w:pStyle w:val="BodyText1"/>
              <w:spacing w:before="60" w:after="60" w:line="240" w:lineRule="auto"/>
            </w:pPr>
            <w:r>
              <w:t>65</w:t>
            </w:r>
          </w:p>
        </w:tc>
        <w:tc>
          <w:tcPr>
            <w:tcW w:w="0" w:type="auto"/>
          </w:tcPr>
          <w:p w:rsidR="00263CE8" w:rsidRDefault="00263CE8" w:rsidP="00AB79D7">
            <w:pPr>
              <w:pStyle w:val="BodyText1"/>
              <w:spacing w:before="60" w:after="60" w:line="240" w:lineRule="auto"/>
            </w:pPr>
            <w:r>
              <w:t>68</w:t>
            </w:r>
          </w:p>
        </w:tc>
        <w:tc>
          <w:tcPr>
            <w:tcW w:w="0" w:type="auto"/>
          </w:tcPr>
          <w:p w:rsidR="00263CE8" w:rsidRDefault="00263CE8" w:rsidP="00AB79D7">
            <w:pPr>
              <w:pStyle w:val="BodyText1"/>
              <w:spacing w:before="60" w:after="60" w:line="240" w:lineRule="auto"/>
            </w:pPr>
            <w:r>
              <w:t>83</w:t>
            </w:r>
          </w:p>
        </w:tc>
      </w:tr>
      <w:tr w:rsidR="00263CE8" w:rsidTr="004C48E5">
        <w:tc>
          <w:tcPr>
            <w:tcW w:w="0" w:type="auto"/>
          </w:tcPr>
          <w:p w:rsidR="00263CE8" w:rsidRDefault="00263CE8" w:rsidP="00AB79D7">
            <w:pPr>
              <w:pStyle w:val="BodyText1"/>
              <w:spacing w:before="60" w:after="60" w:line="240" w:lineRule="auto"/>
            </w:pPr>
            <w:r>
              <w:t>2006</w:t>
            </w:r>
          </w:p>
        </w:tc>
        <w:tc>
          <w:tcPr>
            <w:tcW w:w="0" w:type="auto"/>
          </w:tcPr>
          <w:p w:rsidR="00263CE8" w:rsidRDefault="00263CE8" w:rsidP="00AB79D7">
            <w:pPr>
              <w:pStyle w:val="BodyText1"/>
              <w:spacing w:before="60" w:after="60" w:line="240" w:lineRule="auto"/>
            </w:pPr>
            <w:r>
              <w:t>69</w:t>
            </w:r>
          </w:p>
        </w:tc>
        <w:tc>
          <w:tcPr>
            <w:tcW w:w="0" w:type="auto"/>
          </w:tcPr>
          <w:p w:rsidR="00263CE8" w:rsidRDefault="00263CE8" w:rsidP="00AB79D7">
            <w:pPr>
              <w:pStyle w:val="BodyText1"/>
              <w:spacing w:before="60" w:after="60" w:line="240" w:lineRule="auto"/>
            </w:pPr>
            <w:r>
              <w:t>79</w:t>
            </w:r>
          </w:p>
        </w:tc>
        <w:tc>
          <w:tcPr>
            <w:tcW w:w="0" w:type="auto"/>
          </w:tcPr>
          <w:p w:rsidR="00263CE8" w:rsidRDefault="00263CE8" w:rsidP="00AB79D7">
            <w:pPr>
              <w:pStyle w:val="BodyText1"/>
              <w:spacing w:before="60" w:after="60" w:line="240" w:lineRule="auto"/>
            </w:pPr>
            <w:r>
              <w:t>91</w:t>
            </w:r>
          </w:p>
        </w:tc>
      </w:tr>
      <w:tr w:rsidR="00263CE8" w:rsidTr="004C48E5">
        <w:tc>
          <w:tcPr>
            <w:tcW w:w="0" w:type="auto"/>
          </w:tcPr>
          <w:p w:rsidR="00263CE8" w:rsidRDefault="00263CE8" w:rsidP="00AB79D7">
            <w:pPr>
              <w:pStyle w:val="BodyText1"/>
              <w:spacing w:before="60" w:after="60" w:line="240" w:lineRule="auto"/>
            </w:pPr>
            <w:r>
              <w:t>2009</w:t>
            </w:r>
          </w:p>
        </w:tc>
        <w:tc>
          <w:tcPr>
            <w:tcW w:w="0" w:type="auto"/>
          </w:tcPr>
          <w:p w:rsidR="00263CE8" w:rsidRDefault="00263CE8" w:rsidP="00AB79D7">
            <w:pPr>
              <w:pStyle w:val="BodyText1"/>
              <w:spacing w:before="60" w:after="60" w:line="240" w:lineRule="auto"/>
            </w:pPr>
            <w:r>
              <w:t>68</w:t>
            </w:r>
          </w:p>
        </w:tc>
        <w:tc>
          <w:tcPr>
            <w:tcW w:w="0" w:type="auto"/>
          </w:tcPr>
          <w:p w:rsidR="00263CE8" w:rsidRDefault="00263CE8" w:rsidP="00AB79D7">
            <w:pPr>
              <w:pStyle w:val="BodyText1"/>
              <w:spacing w:before="60" w:after="60" w:line="240" w:lineRule="auto"/>
            </w:pPr>
            <w:r>
              <w:t>78</w:t>
            </w:r>
          </w:p>
        </w:tc>
        <w:tc>
          <w:tcPr>
            <w:tcW w:w="0" w:type="auto"/>
          </w:tcPr>
          <w:p w:rsidR="00263CE8" w:rsidRDefault="00263CE8" w:rsidP="00AB79D7">
            <w:pPr>
              <w:pStyle w:val="BodyText1"/>
              <w:spacing w:before="60" w:after="60" w:line="240" w:lineRule="auto"/>
            </w:pPr>
            <w:r>
              <w:t>87</w:t>
            </w:r>
          </w:p>
        </w:tc>
      </w:tr>
      <w:tr w:rsidR="00263CE8" w:rsidTr="004C48E5">
        <w:tc>
          <w:tcPr>
            <w:tcW w:w="0" w:type="auto"/>
          </w:tcPr>
          <w:p w:rsidR="00263CE8" w:rsidRDefault="00263CE8" w:rsidP="00AB79D7">
            <w:pPr>
              <w:pStyle w:val="BodyText1"/>
              <w:spacing w:before="60" w:after="60" w:line="240" w:lineRule="auto"/>
            </w:pPr>
            <w:r>
              <w:t>2012</w:t>
            </w:r>
          </w:p>
        </w:tc>
        <w:tc>
          <w:tcPr>
            <w:tcW w:w="0" w:type="auto"/>
          </w:tcPr>
          <w:p w:rsidR="00263CE8" w:rsidRDefault="00263CE8" w:rsidP="00AB79D7">
            <w:pPr>
              <w:pStyle w:val="BodyText1"/>
              <w:spacing w:before="60" w:after="60" w:line="240" w:lineRule="auto"/>
            </w:pPr>
            <w:r>
              <w:t>67</w:t>
            </w:r>
          </w:p>
        </w:tc>
        <w:tc>
          <w:tcPr>
            <w:tcW w:w="0" w:type="auto"/>
          </w:tcPr>
          <w:p w:rsidR="00263CE8" w:rsidRDefault="00263CE8" w:rsidP="00AB79D7">
            <w:pPr>
              <w:pStyle w:val="BodyText1"/>
              <w:spacing w:before="60" w:after="60" w:line="240" w:lineRule="auto"/>
            </w:pPr>
            <w:r>
              <w:t>77</w:t>
            </w:r>
          </w:p>
        </w:tc>
        <w:tc>
          <w:tcPr>
            <w:tcW w:w="0" w:type="auto"/>
          </w:tcPr>
          <w:p w:rsidR="00263CE8" w:rsidRDefault="00263CE8" w:rsidP="00AB79D7">
            <w:pPr>
              <w:pStyle w:val="BodyText1"/>
              <w:spacing w:before="60" w:after="60" w:line="240" w:lineRule="auto"/>
            </w:pPr>
            <w:r>
              <w:t>89</w:t>
            </w:r>
          </w:p>
        </w:tc>
      </w:tr>
    </w:tbl>
    <w:p w:rsidR="0013626F" w:rsidRPr="001F6BC2" w:rsidRDefault="0013626F" w:rsidP="00AB79D7">
      <w:pPr>
        <w:pStyle w:val="BodyText1"/>
        <w:spacing w:before="0" w:after="0" w:line="240" w:lineRule="auto"/>
        <w:rPr>
          <w:sz w:val="6"/>
          <w:szCs w:val="6"/>
        </w:rPr>
      </w:pPr>
    </w:p>
    <w:p w:rsidR="00C31D49" w:rsidRDefault="00C31D49" w:rsidP="004C48E5">
      <w:pPr>
        <w:pStyle w:val="BodyText1"/>
        <w:spacing w:line="240" w:lineRule="auto"/>
      </w:pPr>
      <w:r>
        <w:t>Our approach to maximizing school and student response rates in the main study includes the following:</w:t>
      </w:r>
    </w:p>
    <w:p w:rsidR="00B95F14" w:rsidRPr="00387E87" w:rsidRDefault="00C31D49" w:rsidP="00C436D9">
      <w:pPr>
        <w:pStyle w:val="Bodybullet"/>
        <w:numPr>
          <w:ilvl w:val="0"/>
          <w:numId w:val="27"/>
        </w:numPr>
        <w:spacing w:before="0" w:after="0" w:line="240" w:lineRule="auto"/>
      </w:pPr>
      <w:r w:rsidRPr="00387E87">
        <w:t xml:space="preserve">Use of a fall test administration, to avoid conflicts with </w:t>
      </w:r>
      <w:r>
        <w:t>s</w:t>
      </w:r>
      <w:r w:rsidRPr="00387E87">
        <w:t>tate testing;</w:t>
      </w:r>
    </w:p>
    <w:p w:rsidR="00C31D49" w:rsidRPr="00387E87" w:rsidRDefault="00C31D49" w:rsidP="00C436D9">
      <w:pPr>
        <w:pStyle w:val="Bodybullet"/>
        <w:numPr>
          <w:ilvl w:val="0"/>
          <w:numId w:val="27"/>
        </w:numPr>
        <w:spacing w:before="0" w:after="0" w:line="240" w:lineRule="auto"/>
      </w:pPr>
      <w:r w:rsidRPr="00387E87">
        <w:t xml:space="preserve">Selecting and notifying schools </w:t>
      </w:r>
      <w:r w:rsidR="00DD41C2">
        <w:t>during the</w:t>
      </w:r>
      <w:r w:rsidR="003A13F3" w:rsidRPr="003A13F3">
        <w:t xml:space="preserve"> </w:t>
      </w:r>
      <w:r w:rsidR="003A13F3">
        <w:t>academic year</w:t>
      </w:r>
      <w:r w:rsidR="00DD41C2">
        <w:t xml:space="preserve"> </w:t>
      </w:r>
      <w:r w:rsidR="003A13F3">
        <w:t>preceding PISA data collection</w:t>
      </w:r>
      <w:r w:rsidRPr="00387E87">
        <w:t>;</w:t>
      </w:r>
    </w:p>
    <w:p w:rsidR="003B1BC0" w:rsidRPr="00387E87" w:rsidRDefault="00B95F14" w:rsidP="00DD41C2">
      <w:pPr>
        <w:pStyle w:val="Bodybullet"/>
        <w:numPr>
          <w:ilvl w:val="0"/>
          <w:numId w:val="27"/>
        </w:numPr>
        <w:spacing w:before="0" w:after="0" w:line="240" w:lineRule="auto"/>
      </w:pPr>
      <w:r>
        <w:t>Communicating with state officials early in the process and a</w:t>
      </w:r>
      <w:r w:rsidR="00395D89">
        <w:t>pplying a more proactive approach with states to gain assistance with sampled schools</w:t>
      </w:r>
      <w:r w:rsidR="00DD41C2">
        <w:t>, including w</w:t>
      </w:r>
      <w:r w:rsidR="003B1BC0">
        <w:t>orking with NAEP staff and state recruitment personnel to reach out to districts and schools;</w:t>
      </w:r>
    </w:p>
    <w:p w:rsidR="00050108" w:rsidRDefault="00C31D49" w:rsidP="00C436D9">
      <w:pPr>
        <w:pStyle w:val="Bodybullet"/>
        <w:numPr>
          <w:ilvl w:val="0"/>
          <w:numId w:val="27"/>
        </w:numPr>
        <w:spacing w:before="0" w:after="0" w:line="240" w:lineRule="auto"/>
      </w:pPr>
      <w:r w:rsidRPr="00387E87">
        <w:t>Assigning personal recruiters for specific schools;</w:t>
      </w:r>
    </w:p>
    <w:p w:rsidR="00C31D49" w:rsidRPr="00387E87" w:rsidRDefault="00C31D49" w:rsidP="00C436D9">
      <w:pPr>
        <w:pStyle w:val="Bodybullet"/>
        <w:numPr>
          <w:ilvl w:val="0"/>
          <w:numId w:val="27"/>
        </w:numPr>
        <w:spacing w:before="0" w:after="0" w:line="240" w:lineRule="auto"/>
      </w:pPr>
      <w:r w:rsidRPr="00387E87">
        <w:t xml:space="preserve">Incentives for schools, school coordinators, </w:t>
      </w:r>
      <w:r w:rsidR="00DC50FE">
        <w:t>teachers</w:t>
      </w:r>
      <w:r w:rsidR="00C436D9">
        <w:t>,</w:t>
      </w:r>
      <w:r w:rsidR="00DC50FE">
        <w:t xml:space="preserve"> </w:t>
      </w:r>
      <w:r w:rsidRPr="00387E87">
        <w:t>and students (see Section A9);</w:t>
      </w:r>
    </w:p>
    <w:p w:rsidR="00050108" w:rsidRDefault="00C31D49" w:rsidP="00C436D9">
      <w:pPr>
        <w:pStyle w:val="Bodybullet"/>
        <w:numPr>
          <w:ilvl w:val="0"/>
          <w:numId w:val="27"/>
        </w:numPr>
        <w:spacing w:before="0" w:after="0" w:line="240" w:lineRule="auto"/>
      </w:pPr>
      <w:r w:rsidRPr="00387E87">
        <w:t>Contact with schools and school coordinators at set intervals throughout the year preceding the assessment;</w:t>
      </w:r>
    </w:p>
    <w:p w:rsidR="00C31D49" w:rsidRPr="00387E87" w:rsidRDefault="00C31D49" w:rsidP="00C436D9">
      <w:pPr>
        <w:pStyle w:val="Bodybullet"/>
        <w:numPr>
          <w:ilvl w:val="0"/>
          <w:numId w:val="27"/>
        </w:numPr>
        <w:spacing w:before="0" w:after="0" w:line="240" w:lineRule="auto"/>
      </w:pPr>
      <w:r>
        <w:t xml:space="preserve">A summer </w:t>
      </w:r>
      <w:r w:rsidR="00DD41C2">
        <w:t xml:space="preserve">meeting </w:t>
      </w:r>
      <w:r w:rsidR="00DB6E5D">
        <w:t xml:space="preserve">several months before the data collection (June 2015) </w:t>
      </w:r>
      <w:r>
        <w:t xml:space="preserve">for representatives from sampled schools to inform them about PISA and keep them engaged in the study; </w:t>
      </w:r>
      <w:r w:rsidRPr="00387E87">
        <w:t>and</w:t>
      </w:r>
    </w:p>
    <w:p w:rsidR="00050108" w:rsidRDefault="00C31D49" w:rsidP="00C436D9">
      <w:pPr>
        <w:pStyle w:val="Bodybullet"/>
        <w:numPr>
          <w:ilvl w:val="0"/>
          <w:numId w:val="27"/>
        </w:numPr>
        <w:spacing w:before="0" w:after="0" w:line="240" w:lineRule="auto"/>
      </w:pPr>
      <w:r w:rsidRPr="00387E87">
        <w:t>Provision of school-level results on PISA</w:t>
      </w:r>
      <w:r w:rsidR="003B1BC0">
        <w:t xml:space="preserve"> for schools that achieve a minimum student response rate of 85 percent</w:t>
      </w:r>
      <w:r>
        <w:t>.</w:t>
      </w:r>
    </w:p>
    <w:p w:rsidR="00C31D49" w:rsidRDefault="00C31D49" w:rsidP="00387E87">
      <w:pPr>
        <w:pStyle w:val="BodyText1"/>
      </w:pPr>
      <w:r>
        <w:lastRenderedPageBreak/>
        <w:t xml:space="preserve">These approaches are based on experience </w:t>
      </w:r>
      <w:r w:rsidR="00FC5B59">
        <w:t>from</w:t>
      </w:r>
      <w:r>
        <w:t xml:space="preserve"> previous PISA administrations</w:t>
      </w:r>
      <w:r w:rsidR="00FC5B59">
        <w:t xml:space="preserve"> and consultation with </w:t>
      </w:r>
      <w:r w:rsidR="00D71379">
        <w:t xml:space="preserve">staff from </w:t>
      </w:r>
      <w:r w:rsidR="00FC5B59">
        <w:t>other studies such as TIMSS and NAEP</w:t>
      </w:r>
      <w:r>
        <w:t>.</w:t>
      </w:r>
    </w:p>
    <w:p w:rsidR="00C31D49" w:rsidRDefault="00497DC6" w:rsidP="00A1765A">
      <w:pPr>
        <w:pStyle w:val="Heading1"/>
        <w:tabs>
          <w:tab w:val="clear" w:pos="1152"/>
          <w:tab w:val="left" w:pos="720"/>
        </w:tabs>
        <w:spacing w:before="240" w:after="0" w:line="240" w:lineRule="auto"/>
        <w:ind w:left="720" w:hanging="720"/>
      </w:pPr>
      <w:bookmarkStart w:id="5" w:name="_Toc260914718"/>
      <w:r>
        <w:t>B.4</w:t>
      </w:r>
      <w:r>
        <w:tab/>
      </w:r>
      <w:bookmarkEnd w:id="5"/>
      <w:r w:rsidR="00872EAE">
        <w:t>Tests of Procedures and Methods</w:t>
      </w:r>
    </w:p>
    <w:p w:rsidR="00050108" w:rsidRDefault="00202129" w:rsidP="00645352">
      <w:pPr>
        <w:pStyle w:val="BodyText1"/>
        <w:spacing w:line="276" w:lineRule="auto"/>
      </w:pPr>
      <w:bookmarkStart w:id="6" w:name="_Toc260914719"/>
      <w:r>
        <w:t>The main study will collect data o</w:t>
      </w:r>
      <w:r w:rsidR="009A62A5">
        <w:t>n</w:t>
      </w:r>
      <w:r>
        <w:t xml:space="preserve"> selected students </w:t>
      </w:r>
      <w:r w:rsidR="003B1BC0">
        <w:t xml:space="preserve">who will be </w:t>
      </w:r>
      <w:r>
        <w:t>assessed in science, mathematics, reading, collaborative problem solving</w:t>
      </w:r>
      <w:r w:rsidR="009A62A5">
        <w:t>,</w:t>
      </w:r>
      <w:r w:rsidR="00DD41C2">
        <w:t xml:space="preserve"> and financial literacy</w:t>
      </w:r>
      <w:r>
        <w:t>. These data</w:t>
      </w:r>
      <w:r w:rsidR="00DD41C2">
        <w:t xml:space="preserve">, or </w:t>
      </w:r>
      <w:r w:rsidR="009A62A5">
        <w:t>their</w:t>
      </w:r>
      <w:r w:rsidR="00DD41C2">
        <w:t xml:space="preserve"> subset</w:t>
      </w:r>
      <w:r w:rsidR="009A62A5">
        <w:t>,</w:t>
      </w:r>
      <w:r w:rsidR="00DD41C2">
        <w:t xml:space="preserve"> depending on the international data release plans,</w:t>
      </w:r>
      <w:r>
        <w:t xml:space="preserve"> will be reported via a U.S. National Report that will be released approximately one year after data collection</w:t>
      </w:r>
      <w:r w:rsidR="003B1BC0">
        <w:t>,</w:t>
      </w:r>
      <w:r>
        <w:t xml:space="preserve"> in December 2016</w:t>
      </w:r>
      <w:r w:rsidR="009A62A5">
        <w:t>,</w:t>
      </w:r>
      <w:r w:rsidR="003B1BC0">
        <w:t xml:space="preserve"> to correspond with the international data release</w:t>
      </w:r>
      <w:r>
        <w:t xml:space="preserve">. This report will </w:t>
      </w:r>
      <w:r w:rsidR="003B1BC0">
        <w:t xml:space="preserve">be </w:t>
      </w:r>
      <w:r>
        <w:t xml:space="preserve">tailored to a general audience and will </w:t>
      </w:r>
      <w:r w:rsidR="009A62A5">
        <w:t>provide</w:t>
      </w:r>
      <w:r>
        <w:t xml:space="preserve"> preliminary results about the overall performance of U</w:t>
      </w:r>
      <w:r w:rsidR="003B1BC0">
        <w:t>.</w:t>
      </w:r>
      <w:r>
        <w:t>S</w:t>
      </w:r>
      <w:r w:rsidR="003B1BC0">
        <w:t>.</w:t>
      </w:r>
      <w:r>
        <w:t xml:space="preserve"> students relative to student performance in other countries. Following the release of the national report, additional data will be </w:t>
      </w:r>
      <w:r w:rsidR="009A62A5">
        <w:t xml:space="preserve">made </w:t>
      </w:r>
      <w:r>
        <w:t>available to secondary users in the form of the International Data Explorer</w:t>
      </w:r>
      <w:r w:rsidR="003B1BC0">
        <w:t xml:space="preserve"> (IDE)</w:t>
      </w:r>
      <w:r>
        <w:t xml:space="preserve">, an online tool on the NCES website, and a U.S. public-release dataset. Also, those schools that qualify (based on response rate and sample size requirements) will receive a school report with basic </w:t>
      </w:r>
      <w:r w:rsidRPr="00601357">
        <w:t xml:space="preserve">comparisons of the performance </w:t>
      </w:r>
      <w:r w:rsidR="00F87ABC" w:rsidRPr="00601357">
        <w:t>mean</w:t>
      </w:r>
      <w:r w:rsidR="00F87ABC">
        <w:t>s</w:t>
      </w:r>
      <w:r w:rsidR="00F87ABC" w:rsidRPr="00601357">
        <w:t xml:space="preserve"> </w:t>
      </w:r>
      <w:r w:rsidRPr="00601357">
        <w:t>of students in the</w:t>
      </w:r>
      <w:r>
        <w:t xml:space="preserve"> school with overall means for the United States, OECD countries</w:t>
      </w:r>
      <w:r w:rsidR="009A62A5">
        <w:t>,</w:t>
      </w:r>
      <w:r>
        <w:t xml:space="preserve"> and other similar schools.</w:t>
      </w:r>
    </w:p>
    <w:p w:rsidR="00D179F0" w:rsidRDefault="009662FB" w:rsidP="009662FB">
      <w:pPr>
        <w:pStyle w:val="BodyText1"/>
        <w:spacing w:line="276" w:lineRule="auto"/>
      </w:pPr>
      <w:r>
        <w:t>The U</w:t>
      </w:r>
      <w:r w:rsidR="005369FD">
        <w:t>.</w:t>
      </w:r>
      <w:r>
        <w:t>S</w:t>
      </w:r>
      <w:r w:rsidR="005369FD">
        <w:t>.</w:t>
      </w:r>
      <w:r>
        <w:t xml:space="preserve"> PISA field test assessed 72 schools and 2,288 students. Given that PISA 2015 uses computer-based assessments (CBA), the field test employed a mode effect study to determine the effect</w:t>
      </w:r>
      <w:r w:rsidR="005369FD">
        <w:t>, if any,</w:t>
      </w:r>
      <w:r>
        <w:t xml:space="preserve"> of moving trend items, previously administered in paper-based form</w:t>
      </w:r>
      <w:r w:rsidR="005369FD">
        <w:t xml:space="preserve"> (PBA)</w:t>
      </w:r>
      <w:r>
        <w:t xml:space="preserve">, to a computer-based mode. The mode effect study examined the differences in </w:t>
      </w:r>
      <w:r w:rsidR="005369FD">
        <w:t xml:space="preserve">student </w:t>
      </w:r>
      <w:r>
        <w:t xml:space="preserve">performance between the paper-based versions and the computer-based versions of the same items. Overall, the large majority of items performed similarly between </w:t>
      </w:r>
      <w:r w:rsidR="005369FD">
        <w:t xml:space="preserve">both </w:t>
      </w:r>
      <w:r>
        <w:t>modes.</w:t>
      </w:r>
      <w:r w:rsidR="00D179F0">
        <w:t xml:space="preserve"> </w:t>
      </w:r>
      <w:r>
        <w:t xml:space="preserve">While there were differences in </w:t>
      </w:r>
      <w:r w:rsidR="002E0A08">
        <w:t xml:space="preserve">student </w:t>
      </w:r>
      <w:r>
        <w:t xml:space="preserve">performance </w:t>
      </w:r>
      <w:r w:rsidR="002E0A08">
        <w:t>on</w:t>
      </w:r>
      <w:r>
        <w:t xml:space="preserve"> some items across countries, the level of difficulty of an item stayed largely the same between PBA parameters and the new CBA-based </w:t>
      </w:r>
      <w:r w:rsidR="002E0A08">
        <w:t>parameters</w:t>
      </w:r>
      <w:r>
        <w:t xml:space="preserve">. Where mode effects </w:t>
      </w:r>
      <w:r w:rsidR="002E0A08">
        <w:t xml:space="preserve">do </w:t>
      </w:r>
      <w:r>
        <w:t>occur, an item can be adjusted using a statistical model-based method to maintain item comparability between modes and allow trend measurement to be maintained.</w:t>
      </w:r>
    </w:p>
    <w:p w:rsidR="009662FB" w:rsidRDefault="009662FB" w:rsidP="009662FB">
      <w:pPr>
        <w:pStyle w:val="BodyText1"/>
        <w:spacing w:line="276" w:lineRule="auto"/>
      </w:pPr>
      <w:r>
        <w:t xml:space="preserve">Overall, the </w:t>
      </w:r>
      <w:r w:rsidR="002E0A08">
        <w:t>International Consortium of contractors</w:t>
      </w:r>
      <w:r>
        <w:t xml:space="preserve"> </w:t>
      </w:r>
      <w:r w:rsidR="00400A17">
        <w:t>concluded</w:t>
      </w:r>
      <w:r>
        <w:t xml:space="preserve"> that the CBA mode is an improvement over the PBA mode. </w:t>
      </w:r>
      <w:r w:rsidR="000A71C2">
        <w:t xml:space="preserve">The CBA allows more variations in the order in which assessment items are presented to students across the sample </w:t>
      </w:r>
      <w:r w:rsidR="00400A17">
        <w:t>thereby</w:t>
      </w:r>
      <w:r w:rsidR="000A71C2">
        <w:t xml:space="preserve"> provid</w:t>
      </w:r>
      <w:r w:rsidR="00400A17">
        <w:t>ing</w:t>
      </w:r>
      <w:r w:rsidR="000A71C2">
        <w:t xml:space="preserve"> better measurement of the </w:t>
      </w:r>
      <w:r w:rsidR="002E0A08">
        <w:t xml:space="preserve">subject </w:t>
      </w:r>
      <w:r w:rsidR="000A71C2">
        <w:t xml:space="preserve">domains. </w:t>
      </w:r>
      <w:r w:rsidR="00C94698">
        <w:t>CBA</w:t>
      </w:r>
      <w:r w:rsidR="00E63AAA">
        <w:t xml:space="preserve"> </w:t>
      </w:r>
      <w:r w:rsidR="00C94698">
        <w:t>also shows</w:t>
      </w:r>
      <w:r w:rsidR="00E63AAA">
        <w:t xml:space="preserve"> less effect on the proportion correct and student non-response due </w:t>
      </w:r>
      <w:r w:rsidR="002E0A08">
        <w:t xml:space="preserve">to </w:t>
      </w:r>
      <w:r w:rsidR="00E63AAA">
        <w:t xml:space="preserve">the order in which students see the items. </w:t>
      </w:r>
      <w:r w:rsidR="00C94698">
        <w:t>Additionally, t</w:t>
      </w:r>
      <w:r>
        <w:t xml:space="preserve">iming and process data </w:t>
      </w:r>
      <w:r w:rsidR="002E0A08">
        <w:t xml:space="preserve">obtained </w:t>
      </w:r>
      <w:r>
        <w:t xml:space="preserve">from </w:t>
      </w:r>
      <w:r w:rsidR="002E0A08">
        <w:t xml:space="preserve">computer </w:t>
      </w:r>
      <w:r>
        <w:t>system log files help evaluate and better understand student non-response</w:t>
      </w:r>
      <w:r w:rsidR="002E0A08">
        <w:t>, which was not possible with a paper-based administration of PISA</w:t>
      </w:r>
      <w:r>
        <w:t>.</w:t>
      </w:r>
    </w:p>
    <w:p w:rsidR="00050108" w:rsidRDefault="00AA7A70" w:rsidP="00645352">
      <w:pPr>
        <w:pStyle w:val="BodyText1"/>
        <w:spacing w:line="276" w:lineRule="auto"/>
      </w:pPr>
      <w:r>
        <w:t>NCES was</w:t>
      </w:r>
      <w:r w:rsidR="00CC1663">
        <w:t xml:space="preserve"> concerned that the length of the core assessment with </w:t>
      </w:r>
      <w:r>
        <w:t xml:space="preserve">equipment </w:t>
      </w:r>
      <w:r w:rsidR="00CC1663">
        <w:t>set up and the need to hold a second session for financial literacy would require a second day in schools.</w:t>
      </w:r>
      <w:r w:rsidR="00050108">
        <w:t xml:space="preserve"> </w:t>
      </w:r>
      <w:r w:rsidR="00CC1663">
        <w:t xml:space="preserve">This </w:t>
      </w:r>
      <w:r>
        <w:t xml:space="preserve">proved </w:t>
      </w:r>
      <w:r w:rsidR="00CC1663">
        <w:t xml:space="preserve">not </w:t>
      </w:r>
      <w:r>
        <w:t xml:space="preserve">to be </w:t>
      </w:r>
      <w:r w:rsidR="00CC1663">
        <w:t xml:space="preserve">the case </w:t>
      </w:r>
      <w:r w:rsidR="002E0A08">
        <w:t>in the field trial. W</w:t>
      </w:r>
      <w:r w:rsidR="00CC1663">
        <w:t xml:space="preserve">e were able to assess both the core </w:t>
      </w:r>
      <w:r w:rsidR="002E0A08">
        <w:t xml:space="preserve">PISA </w:t>
      </w:r>
      <w:r w:rsidR="00CC1663">
        <w:t>assessment and financial literacy in a single day in all schools.</w:t>
      </w:r>
      <w:r w:rsidR="00B34CD2">
        <w:t xml:space="preserve"> </w:t>
      </w:r>
      <w:r w:rsidR="00B90F1C">
        <w:t>PISA 2015 will administer</w:t>
      </w:r>
      <w:r w:rsidR="00D71379">
        <w:t xml:space="preserve"> school </w:t>
      </w:r>
      <w:r w:rsidR="00075711">
        <w:t xml:space="preserve">questionnaires </w:t>
      </w:r>
      <w:r>
        <w:t xml:space="preserve">and new teacher </w:t>
      </w:r>
      <w:r w:rsidR="00D71379">
        <w:t>questionnaire</w:t>
      </w:r>
      <w:r w:rsidR="00075711">
        <w:t>s</w:t>
      </w:r>
      <w:r w:rsidR="00D71379">
        <w:t xml:space="preserve"> online. </w:t>
      </w:r>
      <w:r>
        <w:t xml:space="preserve">These questionnaires </w:t>
      </w:r>
      <w:r w:rsidR="00B90F1C">
        <w:t>were launch</w:t>
      </w:r>
      <w:r>
        <w:t>ed</w:t>
      </w:r>
      <w:r w:rsidR="00B90F1C">
        <w:t xml:space="preserve"> and administer</w:t>
      </w:r>
      <w:r w:rsidR="00075711">
        <w:t>ed</w:t>
      </w:r>
      <w:r w:rsidR="00B90F1C">
        <w:t xml:space="preserve"> </w:t>
      </w:r>
      <w:r>
        <w:t>successfully in the field test</w:t>
      </w:r>
      <w:r w:rsidR="00075711">
        <w:t xml:space="preserve">, </w:t>
      </w:r>
      <w:r w:rsidR="00D71379">
        <w:t>achiev</w:t>
      </w:r>
      <w:r w:rsidR="00075711">
        <w:t xml:space="preserve">ing </w:t>
      </w:r>
      <w:r w:rsidR="00D71379">
        <w:t>adequate response</w:t>
      </w:r>
      <w:r>
        <w:t xml:space="preserve"> rates</w:t>
      </w:r>
      <w:r w:rsidR="00D71379">
        <w:t xml:space="preserve">. </w:t>
      </w:r>
      <w:r w:rsidR="00B90F1C">
        <w:t>We believe that we can sustain these response rates in the main assessment.</w:t>
      </w:r>
    </w:p>
    <w:p w:rsidR="00C31D49" w:rsidRDefault="00C31D49" w:rsidP="00A1765A">
      <w:pPr>
        <w:pStyle w:val="Heading1"/>
        <w:tabs>
          <w:tab w:val="clear" w:pos="1152"/>
          <w:tab w:val="left" w:pos="720"/>
        </w:tabs>
        <w:spacing w:before="240" w:after="0" w:line="240" w:lineRule="auto"/>
        <w:ind w:left="720" w:hanging="720"/>
      </w:pPr>
      <w:r>
        <w:t>B.5</w:t>
      </w:r>
      <w:r>
        <w:tab/>
        <w:t>Individuals Consulted on Study Design</w:t>
      </w:r>
      <w:bookmarkEnd w:id="6"/>
    </w:p>
    <w:p w:rsidR="00C31D49" w:rsidRPr="00314796" w:rsidRDefault="00C31D49" w:rsidP="00645352">
      <w:pPr>
        <w:pStyle w:val="BodyText1"/>
        <w:spacing w:line="276" w:lineRule="auto"/>
      </w:pPr>
      <w:r>
        <w:t xml:space="preserve">Many people at </w:t>
      </w:r>
      <w:r w:rsidR="009D1F13">
        <w:t xml:space="preserve">the </w:t>
      </w:r>
      <w:r>
        <w:t xml:space="preserve">OECD, </w:t>
      </w:r>
      <w:r w:rsidR="0065692B">
        <w:t>ETS</w:t>
      </w:r>
      <w:r>
        <w:t>, and other organizations around the world have been involved in the design</w:t>
      </w:r>
      <w:r w:rsidR="009D1F13">
        <w:t xml:space="preserve"> and development</w:t>
      </w:r>
      <w:r>
        <w:t xml:space="preserve"> of PISA.</w:t>
      </w:r>
      <w:r w:rsidR="00361117">
        <w:t xml:space="preserve"> </w:t>
      </w:r>
      <w:r>
        <w:t xml:space="preserve">Some of </w:t>
      </w:r>
      <w:r w:rsidR="00857049">
        <w:t>the lead people are</w:t>
      </w:r>
      <w:r>
        <w:t xml:space="preserve"> listed in </w:t>
      </w:r>
      <w:r w:rsidR="005E1D70">
        <w:t>section 8 of Part A</w:t>
      </w:r>
      <w:r>
        <w:t xml:space="preserve">. Overall direction for PISA is provided by </w:t>
      </w:r>
      <w:r w:rsidR="009D1F13">
        <w:t xml:space="preserve">Drs. </w:t>
      </w:r>
      <w:r>
        <w:t>Dana Kelly</w:t>
      </w:r>
      <w:r w:rsidR="009D1F13">
        <w:t xml:space="preserve"> and Patrick Gonzales</w:t>
      </w:r>
      <w:r>
        <w:t>, the PISA National Project Managers at the National Center for Education Statistics, U.S. Department of Education</w:t>
      </w:r>
      <w:r w:rsidR="003B0523">
        <w:t xml:space="preserve">. Dave Kastberg and David Ferraro at </w:t>
      </w:r>
      <w:r w:rsidR="003B0523">
        <w:lastRenderedPageBreak/>
        <w:t>Westat</w:t>
      </w:r>
      <w:r w:rsidR="00653930">
        <w:t xml:space="preserve"> are responsible for the sample design, data collection</w:t>
      </w:r>
      <w:r w:rsidR="005E1D70">
        <w:t>,</w:t>
      </w:r>
      <w:r w:rsidR="00653930">
        <w:t xml:space="preserve"> and reporting</w:t>
      </w:r>
      <w:r>
        <w:t>.</w:t>
      </w:r>
      <w:r w:rsidR="00D71379">
        <w:t xml:space="preserve"> </w:t>
      </w:r>
      <w:r w:rsidR="003B0523">
        <w:t>Internationally, Irwin Kirsch and Claudia Tamassia at ETS have responsibility for overall project coordination.</w:t>
      </w:r>
    </w:p>
    <w:sectPr w:rsidR="00C31D49" w:rsidRPr="00314796" w:rsidSect="001608BF">
      <w:footerReference w:type="default" r:id="rId14"/>
      <w:footerReference w:type="first" r:id="rId15"/>
      <w:pgSz w:w="12240" w:h="15840" w:code="1"/>
      <w:pgMar w:top="1008" w:right="1008" w:bottom="1008" w:left="1008" w:header="432" w:footer="43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78C" w:rsidRDefault="00E7178C">
      <w:r>
        <w:separator/>
      </w:r>
    </w:p>
  </w:endnote>
  <w:endnote w:type="continuationSeparator" w:id="0">
    <w:p w:rsidR="00E7178C" w:rsidRDefault="00E7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801" w:rsidRDefault="001A5DDB">
    <w:pPr>
      <w:pStyle w:val="Footer"/>
      <w:jc w:val="center"/>
    </w:pPr>
    <w:r>
      <w:fldChar w:fldCharType="begin"/>
    </w:r>
    <w:r w:rsidR="004B3801">
      <w:instrText xml:space="preserve"> PAGE   \* MERGEFORMAT </w:instrText>
    </w:r>
    <w:r>
      <w:fldChar w:fldCharType="separate"/>
    </w:r>
    <w:r w:rsidR="00D179F0">
      <w:rPr>
        <w:noProof/>
      </w:rPr>
      <w:t>i</w:t>
    </w:r>
    <w:r>
      <w:rPr>
        <w:noProof/>
      </w:rPr>
      <w:fldChar w:fldCharType="end"/>
    </w:r>
  </w:p>
  <w:p w:rsidR="004B3801" w:rsidRDefault="004B38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801" w:rsidRDefault="001A5DDB" w:rsidP="004C48E5">
    <w:pPr>
      <w:pStyle w:val="Footer"/>
      <w:spacing w:line="240" w:lineRule="auto"/>
      <w:jc w:val="center"/>
    </w:pPr>
    <w:r>
      <w:fldChar w:fldCharType="begin"/>
    </w:r>
    <w:r w:rsidR="004B3801">
      <w:instrText xml:space="preserve"> PAGE   \* MERGEFORMAT </w:instrText>
    </w:r>
    <w:r>
      <w:fldChar w:fldCharType="separate"/>
    </w:r>
    <w:r w:rsidR="00D179F0">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801" w:rsidRDefault="001A5DDB" w:rsidP="001608BF">
    <w:pPr>
      <w:pStyle w:val="Footer"/>
      <w:jc w:val="center"/>
    </w:pPr>
    <w:r>
      <w:fldChar w:fldCharType="begin"/>
    </w:r>
    <w:r w:rsidR="004B3801">
      <w:instrText xml:space="preserve"> PAGE   \* MERGEFORMAT </w:instrText>
    </w:r>
    <w:r>
      <w:fldChar w:fldCharType="separate"/>
    </w:r>
    <w:r w:rsidR="00D179F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78C" w:rsidRDefault="00E7178C">
      <w:r>
        <w:separator/>
      </w:r>
    </w:p>
  </w:footnote>
  <w:footnote w:type="continuationSeparator" w:id="0">
    <w:p w:rsidR="00E7178C" w:rsidRDefault="00E7178C">
      <w:r>
        <w:continuationSeparator/>
      </w:r>
    </w:p>
  </w:footnote>
  <w:footnote w:id="1">
    <w:p w:rsidR="009A0888" w:rsidRDefault="009A0888" w:rsidP="004C48E5">
      <w:pPr>
        <w:pStyle w:val="FootnoteText"/>
        <w:spacing w:before="0" w:line="240" w:lineRule="auto"/>
      </w:pPr>
      <w:r>
        <w:rPr>
          <w:rStyle w:val="FootnoteReference"/>
        </w:rPr>
        <w:footnoteRef/>
      </w:r>
      <w:r>
        <w:t xml:space="preserve"> This is based on an expected response rate in the state of 90 percent; response rate in the states has been historically slightly higher than the national sample.</w:t>
      </w:r>
      <w:r w:rsidR="00050108">
        <w:t xml:space="preserve"> </w:t>
      </w:r>
      <w:r>
        <w:t>This is attributable to the fact that</w:t>
      </w:r>
      <w:r w:rsidR="00F26EC4">
        <w:t>, for state PISA samples,</w:t>
      </w:r>
      <w:r>
        <w:t xml:space="preserve"> states recruit and manage the participation of the schools and the students.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E5" w:rsidRDefault="004C48E5" w:rsidP="004C48E5">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1">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3">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0"/>
  </w:num>
  <w:num w:numId="22">
    <w:abstractNumId w:val="8"/>
  </w:num>
  <w:num w:numId="23">
    <w:abstractNumId w:val="11"/>
  </w:num>
  <w:num w:numId="24">
    <w:abstractNumId w:val="6"/>
  </w:num>
  <w:num w:numId="25">
    <w:abstractNumId w:val="1"/>
  </w:num>
  <w:num w:numId="26">
    <w:abstractNumId w:val="7"/>
  </w:num>
  <w:num w:numId="27">
    <w:abstractNumId w:val="2"/>
  </w:num>
  <w:num w:numId="28">
    <w:abstractNumId w:val="4"/>
  </w:num>
  <w:num w:numId="29">
    <w:abstractNumId w:val="12"/>
  </w:num>
  <w:num w:numId="30">
    <w:abstractNumId w:val="5"/>
    <w:lvlOverride w:ilvl="0">
      <w:startOverride w:val="1"/>
    </w:lvlOverride>
  </w:num>
  <w:num w:numId="31">
    <w:abstractNumId w:val="9"/>
  </w:num>
  <w:num w:numId="32">
    <w:abstractNumId w:val="13"/>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bordersDoNotSurroundHeader/>
  <w:bordersDoNotSurroundFooter/>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4C80"/>
    <w:rsid w:val="000103BF"/>
    <w:rsid w:val="00011F9B"/>
    <w:rsid w:val="00020006"/>
    <w:rsid w:val="00020023"/>
    <w:rsid w:val="0002040A"/>
    <w:rsid w:val="00022999"/>
    <w:rsid w:val="00024066"/>
    <w:rsid w:val="00025D2F"/>
    <w:rsid w:val="000304CE"/>
    <w:rsid w:val="0003133C"/>
    <w:rsid w:val="000313B7"/>
    <w:rsid w:val="00033085"/>
    <w:rsid w:val="0003568C"/>
    <w:rsid w:val="00037CEC"/>
    <w:rsid w:val="0004226A"/>
    <w:rsid w:val="00043DD5"/>
    <w:rsid w:val="000457BC"/>
    <w:rsid w:val="0004623A"/>
    <w:rsid w:val="00046B09"/>
    <w:rsid w:val="00047991"/>
    <w:rsid w:val="00050108"/>
    <w:rsid w:val="00050199"/>
    <w:rsid w:val="000504A1"/>
    <w:rsid w:val="00052657"/>
    <w:rsid w:val="000531A3"/>
    <w:rsid w:val="00053B34"/>
    <w:rsid w:val="000579B0"/>
    <w:rsid w:val="00060B10"/>
    <w:rsid w:val="00060C5E"/>
    <w:rsid w:val="00067B6B"/>
    <w:rsid w:val="0007313A"/>
    <w:rsid w:val="00073658"/>
    <w:rsid w:val="0007555C"/>
    <w:rsid w:val="00075711"/>
    <w:rsid w:val="00076024"/>
    <w:rsid w:val="00076F6D"/>
    <w:rsid w:val="00085D2B"/>
    <w:rsid w:val="000876FE"/>
    <w:rsid w:val="000936C8"/>
    <w:rsid w:val="0009579D"/>
    <w:rsid w:val="00096A04"/>
    <w:rsid w:val="000A0E37"/>
    <w:rsid w:val="000A71C2"/>
    <w:rsid w:val="000A72A5"/>
    <w:rsid w:val="000A7E88"/>
    <w:rsid w:val="000B7CDF"/>
    <w:rsid w:val="000C0898"/>
    <w:rsid w:val="000C623E"/>
    <w:rsid w:val="000D105B"/>
    <w:rsid w:val="000D4059"/>
    <w:rsid w:val="000D4B97"/>
    <w:rsid w:val="000D4F74"/>
    <w:rsid w:val="000D7A4E"/>
    <w:rsid w:val="000E05FF"/>
    <w:rsid w:val="000E33E2"/>
    <w:rsid w:val="000F12A0"/>
    <w:rsid w:val="000F45D6"/>
    <w:rsid w:val="000F4C26"/>
    <w:rsid w:val="000F5435"/>
    <w:rsid w:val="000F6007"/>
    <w:rsid w:val="000F7764"/>
    <w:rsid w:val="00105E76"/>
    <w:rsid w:val="001112EC"/>
    <w:rsid w:val="001118C9"/>
    <w:rsid w:val="00116A74"/>
    <w:rsid w:val="00123068"/>
    <w:rsid w:val="00125E38"/>
    <w:rsid w:val="001271BE"/>
    <w:rsid w:val="00127B81"/>
    <w:rsid w:val="00131C42"/>
    <w:rsid w:val="0013320E"/>
    <w:rsid w:val="0013591F"/>
    <w:rsid w:val="00135D39"/>
    <w:rsid w:val="0013626F"/>
    <w:rsid w:val="00136808"/>
    <w:rsid w:val="00144C26"/>
    <w:rsid w:val="00144F67"/>
    <w:rsid w:val="001518BC"/>
    <w:rsid w:val="00151DD1"/>
    <w:rsid w:val="00152586"/>
    <w:rsid w:val="001528B3"/>
    <w:rsid w:val="00154B05"/>
    <w:rsid w:val="00157FD2"/>
    <w:rsid w:val="001608BF"/>
    <w:rsid w:val="00161036"/>
    <w:rsid w:val="00164569"/>
    <w:rsid w:val="00165C83"/>
    <w:rsid w:val="00171947"/>
    <w:rsid w:val="0017272F"/>
    <w:rsid w:val="0017474C"/>
    <w:rsid w:val="00177963"/>
    <w:rsid w:val="001856A3"/>
    <w:rsid w:val="00186BFE"/>
    <w:rsid w:val="0019000A"/>
    <w:rsid w:val="00190868"/>
    <w:rsid w:val="00193367"/>
    <w:rsid w:val="00194B50"/>
    <w:rsid w:val="0019513B"/>
    <w:rsid w:val="0019712C"/>
    <w:rsid w:val="001A08AF"/>
    <w:rsid w:val="001A5DDB"/>
    <w:rsid w:val="001A7B52"/>
    <w:rsid w:val="001B4BA5"/>
    <w:rsid w:val="001C0CBB"/>
    <w:rsid w:val="001D1DBC"/>
    <w:rsid w:val="001D2D91"/>
    <w:rsid w:val="001D48F7"/>
    <w:rsid w:val="001E1035"/>
    <w:rsid w:val="001E3AC8"/>
    <w:rsid w:val="001E5DE4"/>
    <w:rsid w:val="001F4798"/>
    <w:rsid w:val="001F580C"/>
    <w:rsid w:val="001F64FC"/>
    <w:rsid w:val="001F6BC2"/>
    <w:rsid w:val="00202129"/>
    <w:rsid w:val="00210851"/>
    <w:rsid w:val="00222B29"/>
    <w:rsid w:val="002230B5"/>
    <w:rsid w:val="00223BA0"/>
    <w:rsid w:val="00225FFB"/>
    <w:rsid w:val="00231BBA"/>
    <w:rsid w:val="00233EC7"/>
    <w:rsid w:val="00235AD5"/>
    <w:rsid w:val="00235CAD"/>
    <w:rsid w:val="00242B4C"/>
    <w:rsid w:val="00244B12"/>
    <w:rsid w:val="00246019"/>
    <w:rsid w:val="00252B46"/>
    <w:rsid w:val="002563AF"/>
    <w:rsid w:val="00257262"/>
    <w:rsid w:val="002614E2"/>
    <w:rsid w:val="00262DAE"/>
    <w:rsid w:val="00263C35"/>
    <w:rsid w:val="00263CE8"/>
    <w:rsid w:val="00264C92"/>
    <w:rsid w:val="002677B1"/>
    <w:rsid w:val="002714EB"/>
    <w:rsid w:val="002763A2"/>
    <w:rsid w:val="00290A0D"/>
    <w:rsid w:val="00290D6F"/>
    <w:rsid w:val="00290D7B"/>
    <w:rsid w:val="00292173"/>
    <w:rsid w:val="00292CBC"/>
    <w:rsid w:val="002A49FD"/>
    <w:rsid w:val="002B61CC"/>
    <w:rsid w:val="002C0390"/>
    <w:rsid w:val="002C095B"/>
    <w:rsid w:val="002C1BDA"/>
    <w:rsid w:val="002C1CCE"/>
    <w:rsid w:val="002C567A"/>
    <w:rsid w:val="002C767E"/>
    <w:rsid w:val="002D123B"/>
    <w:rsid w:val="002D656F"/>
    <w:rsid w:val="002D6C17"/>
    <w:rsid w:val="002E0A08"/>
    <w:rsid w:val="002E2838"/>
    <w:rsid w:val="002E3AED"/>
    <w:rsid w:val="002E4948"/>
    <w:rsid w:val="002F6CAA"/>
    <w:rsid w:val="00301118"/>
    <w:rsid w:val="00303CF9"/>
    <w:rsid w:val="00305144"/>
    <w:rsid w:val="0030739D"/>
    <w:rsid w:val="0031149B"/>
    <w:rsid w:val="003126DA"/>
    <w:rsid w:val="00314796"/>
    <w:rsid w:val="00322628"/>
    <w:rsid w:val="00323497"/>
    <w:rsid w:val="00325C46"/>
    <w:rsid w:val="00333855"/>
    <w:rsid w:val="00344C59"/>
    <w:rsid w:val="00345EA5"/>
    <w:rsid w:val="003464CD"/>
    <w:rsid w:val="00346DB7"/>
    <w:rsid w:val="00347AD2"/>
    <w:rsid w:val="00351FA5"/>
    <w:rsid w:val="00352F2D"/>
    <w:rsid w:val="00355E1E"/>
    <w:rsid w:val="00361117"/>
    <w:rsid w:val="00361AE2"/>
    <w:rsid w:val="0036487D"/>
    <w:rsid w:val="00365D31"/>
    <w:rsid w:val="0036741E"/>
    <w:rsid w:val="003746F6"/>
    <w:rsid w:val="003773ED"/>
    <w:rsid w:val="00380228"/>
    <w:rsid w:val="00387E87"/>
    <w:rsid w:val="00391A67"/>
    <w:rsid w:val="00393315"/>
    <w:rsid w:val="003942D7"/>
    <w:rsid w:val="00395D89"/>
    <w:rsid w:val="00397640"/>
    <w:rsid w:val="003A13F3"/>
    <w:rsid w:val="003A1C5E"/>
    <w:rsid w:val="003A4464"/>
    <w:rsid w:val="003A6D47"/>
    <w:rsid w:val="003B0523"/>
    <w:rsid w:val="003B1BC0"/>
    <w:rsid w:val="003B5161"/>
    <w:rsid w:val="003C5CBF"/>
    <w:rsid w:val="003D5063"/>
    <w:rsid w:val="003D6F3D"/>
    <w:rsid w:val="003E4832"/>
    <w:rsid w:val="003F4077"/>
    <w:rsid w:val="003F486C"/>
    <w:rsid w:val="003F681D"/>
    <w:rsid w:val="00400337"/>
    <w:rsid w:val="00400A17"/>
    <w:rsid w:val="00406E3C"/>
    <w:rsid w:val="00406EBD"/>
    <w:rsid w:val="00410AF9"/>
    <w:rsid w:val="00411917"/>
    <w:rsid w:val="004124A2"/>
    <w:rsid w:val="004156CA"/>
    <w:rsid w:val="00415AE1"/>
    <w:rsid w:val="00420691"/>
    <w:rsid w:val="00421A69"/>
    <w:rsid w:val="00422634"/>
    <w:rsid w:val="00423E00"/>
    <w:rsid w:val="00434892"/>
    <w:rsid w:val="0044152A"/>
    <w:rsid w:val="004620D2"/>
    <w:rsid w:val="00462AD3"/>
    <w:rsid w:val="0046311F"/>
    <w:rsid w:val="004645CD"/>
    <w:rsid w:val="00466265"/>
    <w:rsid w:val="00472915"/>
    <w:rsid w:val="00472A8B"/>
    <w:rsid w:val="00472DCE"/>
    <w:rsid w:val="0047338D"/>
    <w:rsid w:val="00482C28"/>
    <w:rsid w:val="00483BC6"/>
    <w:rsid w:val="00485A19"/>
    <w:rsid w:val="004909C1"/>
    <w:rsid w:val="004925F8"/>
    <w:rsid w:val="004944C0"/>
    <w:rsid w:val="00497DC6"/>
    <w:rsid w:val="004A1EAF"/>
    <w:rsid w:val="004A2469"/>
    <w:rsid w:val="004A2B6B"/>
    <w:rsid w:val="004B1141"/>
    <w:rsid w:val="004B3801"/>
    <w:rsid w:val="004B5432"/>
    <w:rsid w:val="004C02EE"/>
    <w:rsid w:val="004C48E5"/>
    <w:rsid w:val="004C5C3B"/>
    <w:rsid w:val="004D1DD8"/>
    <w:rsid w:val="004D5099"/>
    <w:rsid w:val="004D566D"/>
    <w:rsid w:val="00503053"/>
    <w:rsid w:val="005117BF"/>
    <w:rsid w:val="005137D3"/>
    <w:rsid w:val="00513CB7"/>
    <w:rsid w:val="00516DEB"/>
    <w:rsid w:val="00517EEA"/>
    <w:rsid w:val="005200C5"/>
    <w:rsid w:val="00520F6C"/>
    <w:rsid w:val="00530CA0"/>
    <w:rsid w:val="00531080"/>
    <w:rsid w:val="0053401B"/>
    <w:rsid w:val="005344B3"/>
    <w:rsid w:val="005369FD"/>
    <w:rsid w:val="005378FB"/>
    <w:rsid w:val="00540C02"/>
    <w:rsid w:val="0054524C"/>
    <w:rsid w:val="005455D3"/>
    <w:rsid w:val="0054757C"/>
    <w:rsid w:val="00552067"/>
    <w:rsid w:val="00561AAF"/>
    <w:rsid w:val="00565DA3"/>
    <w:rsid w:val="00567A03"/>
    <w:rsid w:val="00570916"/>
    <w:rsid w:val="0057122E"/>
    <w:rsid w:val="00575AD1"/>
    <w:rsid w:val="005827C9"/>
    <w:rsid w:val="00585E8E"/>
    <w:rsid w:val="0059150C"/>
    <w:rsid w:val="005938A9"/>
    <w:rsid w:val="00593CB3"/>
    <w:rsid w:val="00594560"/>
    <w:rsid w:val="00596F3C"/>
    <w:rsid w:val="005A2584"/>
    <w:rsid w:val="005A4FF8"/>
    <w:rsid w:val="005B2CB4"/>
    <w:rsid w:val="005B4634"/>
    <w:rsid w:val="005C20D3"/>
    <w:rsid w:val="005C24B7"/>
    <w:rsid w:val="005C389A"/>
    <w:rsid w:val="005C7479"/>
    <w:rsid w:val="005D74AE"/>
    <w:rsid w:val="005E107F"/>
    <w:rsid w:val="005E1D70"/>
    <w:rsid w:val="005E508C"/>
    <w:rsid w:val="005F335D"/>
    <w:rsid w:val="00601357"/>
    <w:rsid w:val="00611EC1"/>
    <w:rsid w:val="00617313"/>
    <w:rsid w:val="00620010"/>
    <w:rsid w:val="00620117"/>
    <w:rsid w:val="00620A6C"/>
    <w:rsid w:val="00623DCA"/>
    <w:rsid w:val="0063027C"/>
    <w:rsid w:val="0064048E"/>
    <w:rsid w:val="00645352"/>
    <w:rsid w:val="00646DD7"/>
    <w:rsid w:val="00653930"/>
    <w:rsid w:val="00653A33"/>
    <w:rsid w:val="0065565E"/>
    <w:rsid w:val="00656085"/>
    <w:rsid w:val="0065692B"/>
    <w:rsid w:val="00657B51"/>
    <w:rsid w:val="006622E8"/>
    <w:rsid w:val="00671541"/>
    <w:rsid w:val="00672223"/>
    <w:rsid w:val="006772CD"/>
    <w:rsid w:val="00681879"/>
    <w:rsid w:val="00685BC8"/>
    <w:rsid w:val="00687F7A"/>
    <w:rsid w:val="00690E3A"/>
    <w:rsid w:val="006A05B6"/>
    <w:rsid w:val="006A1CA2"/>
    <w:rsid w:val="006A31EA"/>
    <w:rsid w:val="006A43ED"/>
    <w:rsid w:val="006B07E6"/>
    <w:rsid w:val="006B38D8"/>
    <w:rsid w:val="006C39E7"/>
    <w:rsid w:val="006C4070"/>
    <w:rsid w:val="006C57E4"/>
    <w:rsid w:val="006D1288"/>
    <w:rsid w:val="006E43D2"/>
    <w:rsid w:val="006E5A96"/>
    <w:rsid w:val="007010AE"/>
    <w:rsid w:val="0070377C"/>
    <w:rsid w:val="00704048"/>
    <w:rsid w:val="007049A4"/>
    <w:rsid w:val="00721493"/>
    <w:rsid w:val="00721C0F"/>
    <w:rsid w:val="00721E37"/>
    <w:rsid w:val="00722545"/>
    <w:rsid w:val="00725851"/>
    <w:rsid w:val="00734935"/>
    <w:rsid w:val="00741340"/>
    <w:rsid w:val="00741915"/>
    <w:rsid w:val="00744FC9"/>
    <w:rsid w:val="007455B0"/>
    <w:rsid w:val="00746CE7"/>
    <w:rsid w:val="00746D7D"/>
    <w:rsid w:val="00747BA8"/>
    <w:rsid w:val="00747C27"/>
    <w:rsid w:val="00751796"/>
    <w:rsid w:val="007563BD"/>
    <w:rsid w:val="00765C25"/>
    <w:rsid w:val="007727A6"/>
    <w:rsid w:val="00781F05"/>
    <w:rsid w:val="007824FA"/>
    <w:rsid w:val="00791A89"/>
    <w:rsid w:val="00791D7F"/>
    <w:rsid w:val="0079773A"/>
    <w:rsid w:val="007A0055"/>
    <w:rsid w:val="007A0B3E"/>
    <w:rsid w:val="007A12E0"/>
    <w:rsid w:val="007A1710"/>
    <w:rsid w:val="007A2A0E"/>
    <w:rsid w:val="007B107A"/>
    <w:rsid w:val="007B270E"/>
    <w:rsid w:val="007C28F4"/>
    <w:rsid w:val="007C69AF"/>
    <w:rsid w:val="007C6B9B"/>
    <w:rsid w:val="007C7E0A"/>
    <w:rsid w:val="007D5A16"/>
    <w:rsid w:val="007E0B01"/>
    <w:rsid w:val="007E2E0A"/>
    <w:rsid w:val="007F0040"/>
    <w:rsid w:val="007F4D32"/>
    <w:rsid w:val="007F70D3"/>
    <w:rsid w:val="007F79F1"/>
    <w:rsid w:val="0080135B"/>
    <w:rsid w:val="00803077"/>
    <w:rsid w:val="00807183"/>
    <w:rsid w:val="0080742A"/>
    <w:rsid w:val="00807B0F"/>
    <w:rsid w:val="00811D8A"/>
    <w:rsid w:val="008129FE"/>
    <w:rsid w:val="00823EF8"/>
    <w:rsid w:val="00831C40"/>
    <w:rsid w:val="0084107A"/>
    <w:rsid w:val="00843A43"/>
    <w:rsid w:val="00846A37"/>
    <w:rsid w:val="008504C8"/>
    <w:rsid w:val="00853EFA"/>
    <w:rsid w:val="0085463C"/>
    <w:rsid w:val="00857049"/>
    <w:rsid w:val="008645D8"/>
    <w:rsid w:val="008647EF"/>
    <w:rsid w:val="008728B3"/>
    <w:rsid w:val="00872EAE"/>
    <w:rsid w:val="00876688"/>
    <w:rsid w:val="008833F9"/>
    <w:rsid w:val="00884040"/>
    <w:rsid w:val="008848BE"/>
    <w:rsid w:val="0088678F"/>
    <w:rsid w:val="008928D4"/>
    <w:rsid w:val="0089398D"/>
    <w:rsid w:val="008973C3"/>
    <w:rsid w:val="00897599"/>
    <w:rsid w:val="008977CD"/>
    <w:rsid w:val="008A0956"/>
    <w:rsid w:val="008A4D63"/>
    <w:rsid w:val="008A7A4E"/>
    <w:rsid w:val="008B0B68"/>
    <w:rsid w:val="008B29F3"/>
    <w:rsid w:val="008C2641"/>
    <w:rsid w:val="008C47C5"/>
    <w:rsid w:val="008D0F64"/>
    <w:rsid w:val="008D2E8B"/>
    <w:rsid w:val="008D3D82"/>
    <w:rsid w:val="008D6264"/>
    <w:rsid w:val="008D7276"/>
    <w:rsid w:val="008E2986"/>
    <w:rsid w:val="008F0EED"/>
    <w:rsid w:val="008F376F"/>
    <w:rsid w:val="008F437F"/>
    <w:rsid w:val="008F4455"/>
    <w:rsid w:val="008F4559"/>
    <w:rsid w:val="00900C05"/>
    <w:rsid w:val="009027C5"/>
    <w:rsid w:val="00903A8D"/>
    <w:rsid w:val="00904C85"/>
    <w:rsid w:val="00907FFA"/>
    <w:rsid w:val="0091279D"/>
    <w:rsid w:val="009128DC"/>
    <w:rsid w:val="00913510"/>
    <w:rsid w:val="00914423"/>
    <w:rsid w:val="00917007"/>
    <w:rsid w:val="00917A44"/>
    <w:rsid w:val="0092462A"/>
    <w:rsid w:val="0092588E"/>
    <w:rsid w:val="00925F20"/>
    <w:rsid w:val="0093536B"/>
    <w:rsid w:val="0093543F"/>
    <w:rsid w:val="009366B2"/>
    <w:rsid w:val="00941577"/>
    <w:rsid w:val="00944E95"/>
    <w:rsid w:val="0094735B"/>
    <w:rsid w:val="00947ABC"/>
    <w:rsid w:val="009650F5"/>
    <w:rsid w:val="009652BE"/>
    <w:rsid w:val="009662FB"/>
    <w:rsid w:val="00970A39"/>
    <w:rsid w:val="00975EDD"/>
    <w:rsid w:val="00976CD6"/>
    <w:rsid w:val="00977602"/>
    <w:rsid w:val="009779B5"/>
    <w:rsid w:val="00982622"/>
    <w:rsid w:val="009830EF"/>
    <w:rsid w:val="00985192"/>
    <w:rsid w:val="009871F3"/>
    <w:rsid w:val="0099504D"/>
    <w:rsid w:val="009A0579"/>
    <w:rsid w:val="009A0888"/>
    <w:rsid w:val="009A1E7B"/>
    <w:rsid w:val="009A2E89"/>
    <w:rsid w:val="009A4286"/>
    <w:rsid w:val="009A62A5"/>
    <w:rsid w:val="009B0358"/>
    <w:rsid w:val="009B2E4D"/>
    <w:rsid w:val="009B693A"/>
    <w:rsid w:val="009C4C02"/>
    <w:rsid w:val="009C725A"/>
    <w:rsid w:val="009C7AE0"/>
    <w:rsid w:val="009C7F87"/>
    <w:rsid w:val="009D1F13"/>
    <w:rsid w:val="009E0382"/>
    <w:rsid w:val="009E4385"/>
    <w:rsid w:val="009E5490"/>
    <w:rsid w:val="009E58C9"/>
    <w:rsid w:val="009E6F29"/>
    <w:rsid w:val="009F09AB"/>
    <w:rsid w:val="009F226D"/>
    <w:rsid w:val="00A04A4D"/>
    <w:rsid w:val="00A0512F"/>
    <w:rsid w:val="00A07ECA"/>
    <w:rsid w:val="00A10E27"/>
    <w:rsid w:val="00A13065"/>
    <w:rsid w:val="00A1765A"/>
    <w:rsid w:val="00A21640"/>
    <w:rsid w:val="00A21823"/>
    <w:rsid w:val="00A21E60"/>
    <w:rsid w:val="00A25AEC"/>
    <w:rsid w:val="00A263DF"/>
    <w:rsid w:val="00A2742A"/>
    <w:rsid w:val="00A30E17"/>
    <w:rsid w:val="00A31BCA"/>
    <w:rsid w:val="00A36901"/>
    <w:rsid w:val="00A41471"/>
    <w:rsid w:val="00A42126"/>
    <w:rsid w:val="00A42531"/>
    <w:rsid w:val="00A42B17"/>
    <w:rsid w:val="00A47A1E"/>
    <w:rsid w:val="00A5317A"/>
    <w:rsid w:val="00A60426"/>
    <w:rsid w:val="00A62594"/>
    <w:rsid w:val="00A63C38"/>
    <w:rsid w:val="00A66CE8"/>
    <w:rsid w:val="00A7528F"/>
    <w:rsid w:val="00A833DE"/>
    <w:rsid w:val="00A92650"/>
    <w:rsid w:val="00A95AD1"/>
    <w:rsid w:val="00A9747D"/>
    <w:rsid w:val="00AA008B"/>
    <w:rsid w:val="00AA554E"/>
    <w:rsid w:val="00AA68F9"/>
    <w:rsid w:val="00AA7A70"/>
    <w:rsid w:val="00AB39FC"/>
    <w:rsid w:val="00AB79D7"/>
    <w:rsid w:val="00AD1D16"/>
    <w:rsid w:val="00AD59CC"/>
    <w:rsid w:val="00AD6F54"/>
    <w:rsid w:val="00AD7737"/>
    <w:rsid w:val="00AF0408"/>
    <w:rsid w:val="00AF0A26"/>
    <w:rsid w:val="00AF19A9"/>
    <w:rsid w:val="00AF3C2D"/>
    <w:rsid w:val="00AF7382"/>
    <w:rsid w:val="00B020AD"/>
    <w:rsid w:val="00B076C9"/>
    <w:rsid w:val="00B10CE9"/>
    <w:rsid w:val="00B130CE"/>
    <w:rsid w:val="00B15A97"/>
    <w:rsid w:val="00B24116"/>
    <w:rsid w:val="00B24553"/>
    <w:rsid w:val="00B25058"/>
    <w:rsid w:val="00B259AC"/>
    <w:rsid w:val="00B2793A"/>
    <w:rsid w:val="00B27C88"/>
    <w:rsid w:val="00B308BB"/>
    <w:rsid w:val="00B34CD2"/>
    <w:rsid w:val="00B3557D"/>
    <w:rsid w:val="00B40DB7"/>
    <w:rsid w:val="00B53F22"/>
    <w:rsid w:val="00B57778"/>
    <w:rsid w:val="00B5788C"/>
    <w:rsid w:val="00B66913"/>
    <w:rsid w:val="00B675F4"/>
    <w:rsid w:val="00B711F2"/>
    <w:rsid w:val="00B72989"/>
    <w:rsid w:val="00B81735"/>
    <w:rsid w:val="00B81FF1"/>
    <w:rsid w:val="00B82C6A"/>
    <w:rsid w:val="00B83018"/>
    <w:rsid w:val="00B861E2"/>
    <w:rsid w:val="00B87D3F"/>
    <w:rsid w:val="00B90F1C"/>
    <w:rsid w:val="00B90F91"/>
    <w:rsid w:val="00B93300"/>
    <w:rsid w:val="00B93DEC"/>
    <w:rsid w:val="00B95F14"/>
    <w:rsid w:val="00B97E45"/>
    <w:rsid w:val="00BA1353"/>
    <w:rsid w:val="00BA3FB2"/>
    <w:rsid w:val="00BA46C8"/>
    <w:rsid w:val="00BB2FE8"/>
    <w:rsid w:val="00BB3F85"/>
    <w:rsid w:val="00BB627C"/>
    <w:rsid w:val="00BD3C87"/>
    <w:rsid w:val="00BD613C"/>
    <w:rsid w:val="00BD6FCC"/>
    <w:rsid w:val="00BD7895"/>
    <w:rsid w:val="00BD7BA6"/>
    <w:rsid w:val="00BE1A27"/>
    <w:rsid w:val="00BE21B0"/>
    <w:rsid w:val="00BE2207"/>
    <w:rsid w:val="00BE2352"/>
    <w:rsid w:val="00BE47B0"/>
    <w:rsid w:val="00BF07E5"/>
    <w:rsid w:val="00C00F38"/>
    <w:rsid w:val="00C059CA"/>
    <w:rsid w:val="00C13083"/>
    <w:rsid w:val="00C169B6"/>
    <w:rsid w:val="00C20E2C"/>
    <w:rsid w:val="00C24F83"/>
    <w:rsid w:val="00C302C8"/>
    <w:rsid w:val="00C31D49"/>
    <w:rsid w:val="00C436D9"/>
    <w:rsid w:val="00C5723F"/>
    <w:rsid w:val="00C57B4E"/>
    <w:rsid w:val="00C60E9A"/>
    <w:rsid w:val="00C62A3B"/>
    <w:rsid w:val="00C66F54"/>
    <w:rsid w:val="00C7227E"/>
    <w:rsid w:val="00C723F2"/>
    <w:rsid w:val="00C72425"/>
    <w:rsid w:val="00C73956"/>
    <w:rsid w:val="00C761B6"/>
    <w:rsid w:val="00C8416E"/>
    <w:rsid w:val="00C8582E"/>
    <w:rsid w:val="00C8706E"/>
    <w:rsid w:val="00C903DA"/>
    <w:rsid w:val="00C91CEC"/>
    <w:rsid w:val="00C92961"/>
    <w:rsid w:val="00C94698"/>
    <w:rsid w:val="00CA3752"/>
    <w:rsid w:val="00CB305E"/>
    <w:rsid w:val="00CB5C3E"/>
    <w:rsid w:val="00CB783C"/>
    <w:rsid w:val="00CC1663"/>
    <w:rsid w:val="00CC385E"/>
    <w:rsid w:val="00CC495E"/>
    <w:rsid w:val="00CC7F8B"/>
    <w:rsid w:val="00CD7FFA"/>
    <w:rsid w:val="00CE2FF9"/>
    <w:rsid w:val="00CE342E"/>
    <w:rsid w:val="00CE3DEA"/>
    <w:rsid w:val="00CF65C8"/>
    <w:rsid w:val="00D01C95"/>
    <w:rsid w:val="00D0299C"/>
    <w:rsid w:val="00D02F88"/>
    <w:rsid w:val="00D07541"/>
    <w:rsid w:val="00D07694"/>
    <w:rsid w:val="00D142FB"/>
    <w:rsid w:val="00D179F0"/>
    <w:rsid w:val="00D21824"/>
    <w:rsid w:val="00D247AD"/>
    <w:rsid w:val="00D26269"/>
    <w:rsid w:val="00D33B12"/>
    <w:rsid w:val="00D34F1F"/>
    <w:rsid w:val="00D35DAD"/>
    <w:rsid w:val="00D35FC6"/>
    <w:rsid w:val="00D37487"/>
    <w:rsid w:val="00D43F71"/>
    <w:rsid w:val="00D51F65"/>
    <w:rsid w:val="00D52222"/>
    <w:rsid w:val="00D55D40"/>
    <w:rsid w:val="00D62674"/>
    <w:rsid w:val="00D67469"/>
    <w:rsid w:val="00D71379"/>
    <w:rsid w:val="00D81962"/>
    <w:rsid w:val="00D83CAC"/>
    <w:rsid w:val="00D935FE"/>
    <w:rsid w:val="00DA1E0C"/>
    <w:rsid w:val="00DB3B65"/>
    <w:rsid w:val="00DB6E5D"/>
    <w:rsid w:val="00DC50FE"/>
    <w:rsid w:val="00DC5DF0"/>
    <w:rsid w:val="00DD3A70"/>
    <w:rsid w:val="00DD41C2"/>
    <w:rsid w:val="00DD4DCC"/>
    <w:rsid w:val="00DD5C8D"/>
    <w:rsid w:val="00DE14B4"/>
    <w:rsid w:val="00DE3058"/>
    <w:rsid w:val="00DF29CB"/>
    <w:rsid w:val="00DF33BC"/>
    <w:rsid w:val="00DF4059"/>
    <w:rsid w:val="00DF55B1"/>
    <w:rsid w:val="00E00BBE"/>
    <w:rsid w:val="00E0178E"/>
    <w:rsid w:val="00E01A44"/>
    <w:rsid w:val="00E05889"/>
    <w:rsid w:val="00E20B20"/>
    <w:rsid w:val="00E24B93"/>
    <w:rsid w:val="00E25951"/>
    <w:rsid w:val="00E324B8"/>
    <w:rsid w:val="00E32627"/>
    <w:rsid w:val="00E3560E"/>
    <w:rsid w:val="00E37767"/>
    <w:rsid w:val="00E45ED3"/>
    <w:rsid w:val="00E46D30"/>
    <w:rsid w:val="00E4737E"/>
    <w:rsid w:val="00E47587"/>
    <w:rsid w:val="00E53678"/>
    <w:rsid w:val="00E61B27"/>
    <w:rsid w:val="00E6228B"/>
    <w:rsid w:val="00E63AAA"/>
    <w:rsid w:val="00E661A9"/>
    <w:rsid w:val="00E66630"/>
    <w:rsid w:val="00E7178C"/>
    <w:rsid w:val="00E76D1B"/>
    <w:rsid w:val="00E80068"/>
    <w:rsid w:val="00E8084B"/>
    <w:rsid w:val="00E83163"/>
    <w:rsid w:val="00E8535E"/>
    <w:rsid w:val="00E8667B"/>
    <w:rsid w:val="00E8759C"/>
    <w:rsid w:val="00E91F04"/>
    <w:rsid w:val="00E97A43"/>
    <w:rsid w:val="00EA0CCB"/>
    <w:rsid w:val="00EA1411"/>
    <w:rsid w:val="00EA5A82"/>
    <w:rsid w:val="00EA6341"/>
    <w:rsid w:val="00EA774D"/>
    <w:rsid w:val="00EB4E0F"/>
    <w:rsid w:val="00EB5AB6"/>
    <w:rsid w:val="00EB676A"/>
    <w:rsid w:val="00EB6993"/>
    <w:rsid w:val="00EB72F9"/>
    <w:rsid w:val="00EB7568"/>
    <w:rsid w:val="00EB7E31"/>
    <w:rsid w:val="00EC0090"/>
    <w:rsid w:val="00EC036A"/>
    <w:rsid w:val="00EC0751"/>
    <w:rsid w:val="00EC2B4B"/>
    <w:rsid w:val="00EC3906"/>
    <w:rsid w:val="00EC4532"/>
    <w:rsid w:val="00ED14CD"/>
    <w:rsid w:val="00ED3708"/>
    <w:rsid w:val="00ED4004"/>
    <w:rsid w:val="00EF0CED"/>
    <w:rsid w:val="00EF1891"/>
    <w:rsid w:val="00F012EE"/>
    <w:rsid w:val="00F07C1B"/>
    <w:rsid w:val="00F17D11"/>
    <w:rsid w:val="00F213B5"/>
    <w:rsid w:val="00F26EC4"/>
    <w:rsid w:val="00F30198"/>
    <w:rsid w:val="00F3022C"/>
    <w:rsid w:val="00F33875"/>
    <w:rsid w:val="00F33F15"/>
    <w:rsid w:val="00F36910"/>
    <w:rsid w:val="00F4165E"/>
    <w:rsid w:val="00F438A2"/>
    <w:rsid w:val="00F6783D"/>
    <w:rsid w:val="00F754A9"/>
    <w:rsid w:val="00F87ABC"/>
    <w:rsid w:val="00F925EE"/>
    <w:rsid w:val="00FA34FA"/>
    <w:rsid w:val="00FA46AA"/>
    <w:rsid w:val="00FA7610"/>
    <w:rsid w:val="00FB052E"/>
    <w:rsid w:val="00FB234A"/>
    <w:rsid w:val="00FB3275"/>
    <w:rsid w:val="00FB7CA4"/>
    <w:rsid w:val="00FB7DC4"/>
    <w:rsid w:val="00FC1781"/>
    <w:rsid w:val="00FC4DCD"/>
    <w:rsid w:val="00FC5B59"/>
    <w:rsid w:val="00FD26D3"/>
    <w:rsid w:val="00FD27E5"/>
    <w:rsid w:val="00FD4136"/>
    <w:rsid w:val="00FE12B8"/>
    <w:rsid w:val="00FE3439"/>
    <w:rsid w:val="00FE4A44"/>
    <w:rsid w:val="00FF3F29"/>
    <w:rsid w:val="00FF63E5"/>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paragraph" w:styleId="Heading8">
    <w:name w:val="heading 8"/>
    <w:basedOn w:val="Normal"/>
    <w:next w:val="Normal"/>
    <w:link w:val="Heading8Char"/>
    <w:uiPriority w:val="9"/>
    <w:semiHidden/>
    <w:unhideWhenUsed/>
    <w:qFormat/>
    <w:locked/>
    <w:rsid w:val="0019000A"/>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D179F0"/>
    <w:pPr>
      <w:tabs>
        <w:tab w:val="left" w:pos="720"/>
        <w:tab w:val="right" w:leader="dot" w:pos="9360"/>
      </w:tabs>
      <w:ind w:lef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character" w:customStyle="1" w:styleId="Heading8Char">
    <w:name w:val="Heading 8 Char"/>
    <w:basedOn w:val="DefaultParagraphFont"/>
    <w:link w:val="Heading8"/>
    <w:uiPriority w:val="9"/>
    <w:semiHidden/>
    <w:rsid w:val="0019000A"/>
    <w:rPr>
      <w:rFonts w:asciiTheme="majorHAnsi" w:eastAsiaTheme="majorEastAsia" w:hAnsiTheme="majorHAnsi" w:cstheme="majorBidi"/>
      <w:color w:val="404040" w:themeColor="text1" w:themeTint="BF"/>
      <w:sz w:val="20"/>
      <w:szCs w:val="20"/>
    </w:rPr>
  </w:style>
  <w:style w:type="paragraph" w:customStyle="1" w:styleId="Default">
    <w:name w:val="Default"/>
    <w:rsid w:val="00AB39FC"/>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paragraph" w:styleId="Heading8">
    <w:name w:val="heading 8"/>
    <w:basedOn w:val="Normal"/>
    <w:next w:val="Normal"/>
    <w:link w:val="Heading8Char"/>
    <w:uiPriority w:val="9"/>
    <w:semiHidden/>
    <w:unhideWhenUsed/>
    <w:qFormat/>
    <w:locked/>
    <w:rsid w:val="0019000A"/>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D179F0"/>
    <w:pPr>
      <w:tabs>
        <w:tab w:val="left" w:pos="720"/>
        <w:tab w:val="right" w:leader="dot" w:pos="9360"/>
      </w:tabs>
      <w:ind w:lef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character" w:customStyle="1" w:styleId="Heading8Char">
    <w:name w:val="Heading 8 Char"/>
    <w:basedOn w:val="DefaultParagraphFont"/>
    <w:link w:val="Heading8"/>
    <w:uiPriority w:val="9"/>
    <w:semiHidden/>
    <w:rsid w:val="0019000A"/>
    <w:rPr>
      <w:rFonts w:asciiTheme="majorHAnsi" w:eastAsiaTheme="majorEastAsia" w:hAnsiTheme="majorHAnsi" w:cstheme="majorBidi"/>
      <w:color w:val="404040" w:themeColor="text1" w:themeTint="BF"/>
      <w:sz w:val="20"/>
      <w:szCs w:val="20"/>
    </w:rPr>
  </w:style>
  <w:style w:type="paragraph" w:customStyle="1" w:styleId="Default">
    <w:name w:val="Default"/>
    <w:rsid w:val="00AB39FC"/>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ED7D-BEB2-43D0-9EE5-83831E66BF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129DE-11D3-434C-8C72-A811C5438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4.xml><?xml version="1.0" encoding="utf-8"?>
<ds:datastoreItem xmlns:ds="http://schemas.openxmlformats.org/officeDocument/2006/customXml" ds:itemID="{C80D72A1-1C25-4D34-801F-C11C0012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2263</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14828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Kubzdela,Kashka</cp:lastModifiedBy>
  <cp:revision>8</cp:revision>
  <cp:lastPrinted>2014-12-30T15:59:00Z</cp:lastPrinted>
  <dcterms:created xsi:type="dcterms:W3CDTF">2015-01-22T19:54:00Z</dcterms:created>
  <dcterms:modified xsi:type="dcterms:W3CDTF">2015-01-26T15:13:00Z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