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59" w:rsidRPr="00115359" w:rsidRDefault="00115359" w:rsidP="00995012">
      <w:pPr>
        <w:tabs>
          <w:tab w:val="right" w:pos="10620"/>
        </w:tabs>
        <w:rPr>
          <w:rFonts w:ascii="Times New Roman" w:hAnsi="Times New Roman"/>
          <w:b/>
          <w:sz w:val="24"/>
          <w:szCs w:val="24"/>
        </w:rPr>
      </w:pPr>
      <w:r w:rsidRPr="00115359">
        <w:rPr>
          <w:rFonts w:ascii="Times New Roman" w:hAnsi="Times New Roman"/>
          <w:b/>
          <w:sz w:val="24"/>
          <w:szCs w:val="24"/>
        </w:rPr>
        <w:t>MEMORANDUM</w:t>
      </w:r>
      <w:r w:rsidRPr="00115359">
        <w:rPr>
          <w:rFonts w:ascii="Times New Roman" w:hAnsi="Times New Roman"/>
          <w:b/>
          <w:sz w:val="24"/>
          <w:szCs w:val="24"/>
        </w:rPr>
        <w:tab/>
      </w:r>
      <w:r w:rsidRPr="00AE5023">
        <w:rPr>
          <w:rFonts w:ascii="Times New Roman" w:hAnsi="Times New Roman"/>
          <w:b/>
          <w:sz w:val="24"/>
          <w:szCs w:val="24"/>
        </w:rPr>
        <w:t xml:space="preserve">OMB # </w:t>
      </w:r>
      <w:r w:rsidR="00AE5023" w:rsidRPr="00AE5023">
        <w:rPr>
          <w:rFonts w:ascii="Times New Roman" w:hAnsi="Times New Roman"/>
          <w:b/>
          <w:sz w:val="28"/>
        </w:rPr>
        <w:t>1850-0755 v</w:t>
      </w:r>
      <w:bookmarkStart w:id="0" w:name="_GoBack"/>
      <w:bookmarkEnd w:id="0"/>
      <w:r w:rsidR="00AE5023" w:rsidRPr="00AE5023">
        <w:rPr>
          <w:rFonts w:ascii="Times New Roman" w:hAnsi="Times New Roman"/>
          <w:b/>
          <w:sz w:val="28"/>
        </w:rPr>
        <w:t>.16</w:t>
      </w:r>
    </w:p>
    <w:p w:rsidR="00115359" w:rsidRPr="007C4020" w:rsidRDefault="00115359" w:rsidP="00115359">
      <w:pPr>
        <w:rPr>
          <w:rFonts w:ascii="Times New Roman" w:hAnsi="Times New Roman"/>
          <w:b/>
        </w:rPr>
      </w:pPr>
    </w:p>
    <w:p w:rsidR="00115359" w:rsidRPr="007C4020" w:rsidRDefault="00115359" w:rsidP="00115359">
      <w:pPr>
        <w:tabs>
          <w:tab w:val="left" w:pos="1440"/>
        </w:tabs>
        <w:rPr>
          <w:rFonts w:ascii="Times New Roman" w:hAnsi="Times New Roman"/>
        </w:rPr>
      </w:pPr>
      <w:r w:rsidRPr="007C4020">
        <w:rPr>
          <w:rFonts w:ascii="Times New Roman" w:hAnsi="Times New Roman"/>
        </w:rPr>
        <w:t>DATE:</w:t>
      </w:r>
      <w:r w:rsidRPr="007C4020">
        <w:rPr>
          <w:rFonts w:ascii="Times New Roman" w:hAnsi="Times New Roman"/>
        </w:rPr>
        <w:tab/>
      </w:r>
      <w:r w:rsidR="00AE5023" w:rsidRPr="007C4020">
        <w:rPr>
          <w:rFonts w:ascii="Times New Roman" w:hAnsi="Times New Roman"/>
        </w:rPr>
        <w:t xml:space="preserve">March </w:t>
      </w:r>
      <w:r w:rsidR="00251CC9">
        <w:rPr>
          <w:rFonts w:ascii="Times New Roman" w:hAnsi="Times New Roman"/>
        </w:rPr>
        <w:t>30</w:t>
      </w:r>
      <w:r w:rsidR="00AE5023" w:rsidRPr="007C4020">
        <w:rPr>
          <w:rFonts w:ascii="Times New Roman" w:hAnsi="Times New Roman"/>
        </w:rPr>
        <w:t>, 2015</w:t>
      </w:r>
    </w:p>
    <w:p w:rsidR="00115359" w:rsidRPr="007C4020" w:rsidRDefault="00115359" w:rsidP="00115359">
      <w:pPr>
        <w:tabs>
          <w:tab w:val="left" w:pos="1440"/>
        </w:tabs>
        <w:rPr>
          <w:rFonts w:ascii="Times New Roman" w:hAnsi="Times New Roman"/>
          <w:sz w:val="14"/>
          <w:szCs w:val="14"/>
        </w:rPr>
      </w:pPr>
    </w:p>
    <w:p w:rsidR="00115359" w:rsidRPr="007C4020" w:rsidRDefault="00115359" w:rsidP="00115359">
      <w:pPr>
        <w:tabs>
          <w:tab w:val="left" w:pos="1440"/>
        </w:tabs>
        <w:rPr>
          <w:rFonts w:ascii="Times New Roman" w:hAnsi="Times New Roman"/>
        </w:rPr>
      </w:pPr>
      <w:r w:rsidRPr="007C4020">
        <w:rPr>
          <w:rFonts w:ascii="Times New Roman" w:hAnsi="Times New Roman"/>
        </w:rPr>
        <w:t>TO:</w:t>
      </w:r>
      <w:r w:rsidRPr="007C4020">
        <w:rPr>
          <w:rFonts w:ascii="Times New Roman" w:hAnsi="Times New Roman"/>
        </w:rPr>
        <w:tab/>
        <w:t>Shelly Martinez</w:t>
      </w:r>
    </w:p>
    <w:p w:rsidR="00115359" w:rsidRPr="007C4020" w:rsidRDefault="00115359" w:rsidP="00115359">
      <w:pPr>
        <w:tabs>
          <w:tab w:val="left" w:pos="1440"/>
        </w:tabs>
        <w:rPr>
          <w:rFonts w:ascii="Times New Roman" w:hAnsi="Times New Roman"/>
        </w:rPr>
      </w:pPr>
      <w:r w:rsidRPr="007C4020">
        <w:rPr>
          <w:rFonts w:ascii="Times New Roman" w:hAnsi="Times New Roman"/>
        </w:rPr>
        <w:tab/>
        <w:t>Office of Information and Regulatory Affairs, Office of Management and Budget</w:t>
      </w:r>
    </w:p>
    <w:p w:rsidR="00115359" w:rsidRPr="007C4020" w:rsidRDefault="00115359" w:rsidP="00115359">
      <w:pPr>
        <w:tabs>
          <w:tab w:val="left" w:pos="1440"/>
        </w:tabs>
        <w:rPr>
          <w:rFonts w:ascii="Times New Roman" w:hAnsi="Times New Roman"/>
          <w:sz w:val="14"/>
          <w:szCs w:val="14"/>
        </w:rPr>
      </w:pPr>
    </w:p>
    <w:p w:rsidR="00115359" w:rsidRPr="007C4020" w:rsidRDefault="00115359" w:rsidP="00115359">
      <w:pPr>
        <w:tabs>
          <w:tab w:val="left" w:pos="1440"/>
        </w:tabs>
        <w:rPr>
          <w:rFonts w:ascii="Times New Roman" w:hAnsi="Times New Roman"/>
        </w:rPr>
      </w:pPr>
      <w:r w:rsidRPr="007C4020">
        <w:rPr>
          <w:rFonts w:ascii="Times New Roman" w:hAnsi="Times New Roman"/>
        </w:rPr>
        <w:t>FROM:</w:t>
      </w:r>
      <w:r w:rsidRPr="007C4020">
        <w:rPr>
          <w:rFonts w:ascii="Times New Roman" w:hAnsi="Times New Roman"/>
        </w:rPr>
        <w:tab/>
      </w:r>
      <w:r w:rsidR="00AE5023" w:rsidRPr="007C4020">
        <w:rPr>
          <w:rFonts w:ascii="Times New Roman" w:hAnsi="Times New Roman"/>
        </w:rPr>
        <w:t>Patrick Gonzales</w:t>
      </w:r>
    </w:p>
    <w:p w:rsidR="00115359" w:rsidRPr="007C4020" w:rsidRDefault="00115359" w:rsidP="00115359">
      <w:pPr>
        <w:tabs>
          <w:tab w:val="left" w:pos="1440"/>
        </w:tabs>
        <w:rPr>
          <w:rFonts w:ascii="Times New Roman" w:hAnsi="Times New Roman"/>
        </w:rPr>
      </w:pPr>
      <w:r w:rsidRPr="007C4020">
        <w:rPr>
          <w:rFonts w:ascii="Times New Roman" w:hAnsi="Times New Roman"/>
        </w:rPr>
        <w:tab/>
        <w:t>National Center for Education Statistics</w:t>
      </w:r>
    </w:p>
    <w:p w:rsidR="00115359" w:rsidRPr="007C4020" w:rsidRDefault="00115359" w:rsidP="00115359">
      <w:pPr>
        <w:tabs>
          <w:tab w:val="left" w:pos="1440"/>
        </w:tabs>
        <w:rPr>
          <w:rFonts w:ascii="Times New Roman" w:hAnsi="Times New Roman"/>
          <w:sz w:val="14"/>
          <w:szCs w:val="14"/>
        </w:rPr>
      </w:pPr>
    </w:p>
    <w:p w:rsidR="00115359" w:rsidRPr="007C4020" w:rsidRDefault="00115359" w:rsidP="00115359">
      <w:pPr>
        <w:tabs>
          <w:tab w:val="left" w:pos="1440"/>
        </w:tabs>
        <w:rPr>
          <w:rFonts w:ascii="Times New Roman" w:hAnsi="Times New Roman"/>
        </w:rPr>
      </w:pPr>
      <w:r w:rsidRPr="007C4020">
        <w:rPr>
          <w:rFonts w:ascii="Times New Roman" w:hAnsi="Times New Roman"/>
        </w:rPr>
        <w:t>THROUGH:</w:t>
      </w:r>
      <w:r w:rsidRPr="007C4020">
        <w:rPr>
          <w:rFonts w:ascii="Times New Roman" w:hAnsi="Times New Roman"/>
        </w:rPr>
        <w:tab/>
        <w:t>Kashka Kubzdela</w:t>
      </w:r>
    </w:p>
    <w:p w:rsidR="00115359" w:rsidRPr="007C4020" w:rsidRDefault="00115359" w:rsidP="00115359">
      <w:pPr>
        <w:tabs>
          <w:tab w:val="left" w:pos="1440"/>
        </w:tabs>
        <w:rPr>
          <w:rFonts w:ascii="Times New Roman" w:hAnsi="Times New Roman"/>
        </w:rPr>
      </w:pPr>
      <w:r w:rsidRPr="007C4020">
        <w:rPr>
          <w:rFonts w:ascii="Times New Roman" w:hAnsi="Times New Roman"/>
        </w:rPr>
        <w:tab/>
        <w:t>National Center for Education Statistics</w:t>
      </w:r>
    </w:p>
    <w:p w:rsidR="00115359" w:rsidRPr="007C4020" w:rsidRDefault="00115359" w:rsidP="00115359">
      <w:pPr>
        <w:tabs>
          <w:tab w:val="left" w:pos="1440"/>
        </w:tabs>
        <w:rPr>
          <w:rFonts w:ascii="Times New Roman" w:hAnsi="Times New Roman"/>
          <w:sz w:val="14"/>
          <w:szCs w:val="14"/>
        </w:rPr>
      </w:pPr>
    </w:p>
    <w:p w:rsidR="00115359" w:rsidRPr="007C4020" w:rsidRDefault="00115359" w:rsidP="00AE5023">
      <w:pPr>
        <w:ind w:left="1440" w:hanging="1440"/>
        <w:rPr>
          <w:rFonts w:ascii="Times New Roman" w:hAnsi="Times New Roman"/>
        </w:rPr>
      </w:pPr>
      <w:r w:rsidRPr="007C4020">
        <w:rPr>
          <w:rFonts w:ascii="Times New Roman" w:hAnsi="Times New Roman"/>
        </w:rPr>
        <w:t>SUBJECT:</w:t>
      </w:r>
      <w:r w:rsidRPr="007C4020">
        <w:rPr>
          <w:rFonts w:ascii="Times New Roman" w:hAnsi="Times New Roman"/>
        </w:rPr>
        <w:tab/>
        <w:t xml:space="preserve">Response to </w:t>
      </w:r>
      <w:r w:rsidR="00251CC9">
        <w:rPr>
          <w:rFonts w:ascii="Times New Roman" w:hAnsi="Times New Roman"/>
        </w:rPr>
        <w:t xml:space="preserve">3/12, 3/13, and 3/30 </w:t>
      </w:r>
      <w:r w:rsidRPr="007C4020">
        <w:rPr>
          <w:rFonts w:ascii="Times New Roman" w:hAnsi="Times New Roman"/>
        </w:rPr>
        <w:t xml:space="preserve">OMB </w:t>
      </w:r>
      <w:proofErr w:type="spellStart"/>
      <w:r w:rsidRPr="007C4020">
        <w:rPr>
          <w:rFonts w:ascii="Times New Roman" w:hAnsi="Times New Roman"/>
        </w:rPr>
        <w:t>passback</w:t>
      </w:r>
      <w:proofErr w:type="spellEnd"/>
      <w:r w:rsidRPr="007C4020">
        <w:rPr>
          <w:rFonts w:ascii="Times New Roman" w:hAnsi="Times New Roman"/>
        </w:rPr>
        <w:t xml:space="preserve"> on </w:t>
      </w:r>
      <w:r w:rsidR="00742DE7" w:rsidRPr="007C4020">
        <w:rPr>
          <w:rFonts w:ascii="Times New Roman" w:hAnsi="Times New Roman"/>
        </w:rPr>
        <w:t xml:space="preserve">PISA </w:t>
      </w:r>
      <w:r w:rsidR="00AE5023" w:rsidRPr="007C4020">
        <w:rPr>
          <w:rFonts w:ascii="Times New Roman" w:hAnsi="Times New Roman"/>
        </w:rPr>
        <w:t>2015 main study</w:t>
      </w:r>
    </w:p>
    <w:p w:rsidR="00474D5F" w:rsidRPr="007C4020" w:rsidRDefault="00474D5F" w:rsidP="00474D5F">
      <w:pPr>
        <w:rPr>
          <w:rFonts w:ascii="Times New Roman" w:hAnsi="Times New Roman"/>
        </w:rPr>
      </w:pPr>
    </w:p>
    <w:p w:rsidR="00AE5023" w:rsidRPr="007C4020" w:rsidRDefault="00AE5023" w:rsidP="00AE5023">
      <w:pPr>
        <w:ind w:left="630" w:hanging="630"/>
        <w:rPr>
          <w:rFonts w:ascii="Times New Roman" w:eastAsia="Times New Roman" w:hAnsi="Times New Roman"/>
          <w:color w:val="000000"/>
        </w:rPr>
      </w:pPr>
      <w:r w:rsidRPr="007C4020">
        <w:rPr>
          <w:rFonts w:ascii="Times New Roman" w:eastAsia="Times New Roman" w:hAnsi="Times New Roman"/>
          <w:color w:val="0000CC"/>
        </w:rPr>
        <w:t>1.</w:t>
      </w:r>
      <w:r w:rsidR="00227177" w:rsidRPr="007C4020">
        <w:rPr>
          <w:rFonts w:ascii="Times New Roman" w:eastAsia="Times New Roman" w:hAnsi="Times New Roman"/>
          <w:color w:val="0000CC"/>
        </w:rPr>
        <w:t xml:space="preserve"> </w:t>
      </w:r>
      <w:r w:rsidRPr="007C4020">
        <w:rPr>
          <w:rFonts w:ascii="Times New Roman" w:eastAsia="Times New Roman" w:hAnsi="Times New Roman"/>
          <w:color w:val="0000CC"/>
        </w:rPr>
        <w:t>Who are the 2 states?</w:t>
      </w:r>
    </w:p>
    <w:p w:rsidR="00227177" w:rsidRPr="007C4020" w:rsidRDefault="00227177" w:rsidP="00AE5023">
      <w:pPr>
        <w:ind w:left="630" w:hanging="630"/>
        <w:rPr>
          <w:rFonts w:ascii="Times New Roman" w:eastAsia="Times New Roman" w:hAnsi="Times New Roman"/>
          <w:color w:val="000000"/>
          <w:sz w:val="14"/>
          <w:szCs w:val="14"/>
        </w:rPr>
      </w:pPr>
    </w:p>
    <w:p w:rsidR="00AE5023" w:rsidRPr="007C4020" w:rsidRDefault="00AE5023" w:rsidP="00AE5023">
      <w:pPr>
        <w:ind w:left="630" w:hanging="630"/>
        <w:rPr>
          <w:rFonts w:ascii="Times New Roman" w:eastAsia="Times New Roman" w:hAnsi="Times New Roman"/>
          <w:color w:val="000000"/>
        </w:rPr>
      </w:pPr>
      <w:r w:rsidRPr="007C4020">
        <w:rPr>
          <w:rFonts w:ascii="Times New Roman" w:eastAsia="Times New Roman" w:hAnsi="Times New Roman"/>
          <w:color w:val="000000"/>
        </w:rPr>
        <w:t>North Carolina and Massachusetts</w:t>
      </w:r>
      <w:r w:rsidR="00F66764" w:rsidRPr="007C4020">
        <w:rPr>
          <w:rFonts w:ascii="Times New Roman" w:eastAsia="Times New Roman" w:hAnsi="Times New Roman"/>
          <w:color w:val="000000"/>
        </w:rPr>
        <w:t>.</w:t>
      </w:r>
    </w:p>
    <w:p w:rsidR="00227177" w:rsidRPr="007C4020" w:rsidRDefault="00227177" w:rsidP="00AE5023">
      <w:pPr>
        <w:ind w:left="630" w:hanging="630"/>
        <w:rPr>
          <w:rFonts w:ascii="Times New Roman" w:eastAsia="Times New Roman" w:hAnsi="Times New Roman"/>
          <w:color w:val="000000"/>
          <w:sz w:val="14"/>
          <w:szCs w:val="14"/>
        </w:rPr>
      </w:pPr>
    </w:p>
    <w:p w:rsidR="00227177" w:rsidRPr="00E80F79" w:rsidRDefault="00AE5023" w:rsidP="00E80F79">
      <w:pPr>
        <w:ind w:left="630" w:hanging="630"/>
        <w:rPr>
          <w:rFonts w:ascii="Times New Roman" w:eastAsia="Times New Roman" w:hAnsi="Times New Roman"/>
          <w:color w:val="000000"/>
        </w:rPr>
      </w:pPr>
      <w:r w:rsidRPr="007C4020">
        <w:rPr>
          <w:rFonts w:ascii="Times New Roman" w:eastAsia="Times New Roman" w:hAnsi="Times New Roman"/>
          <w:color w:val="0000CC"/>
        </w:rPr>
        <w:t>2.</w:t>
      </w:r>
      <w:r w:rsidR="00227177" w:rsidRPr="007C4020">
        <w:rPr>
          <w:rFonts w:ascii="Times New Roman" w:eastAsia="Times New Roman" w:hAnsi="Times New Roman"/>
          <w:color w:val="0000CC"/>
        </w:rPr>
        <w:t xml:space="preserve"> </w:t>
      </w:r>
      <w:r w:rsidRPr="007C4020">
        <w:rPr>
          <w:rFonts w:ascii="Times New Roman" w:eastAsia="Times New Roman" w:hAnsi="Times New Roman"/>
          <w:color w:val="0000CC"/>
        </w:rPr>
        <w:t>Who is paying for the sample boost and why?</w:t>
      </w:r>
    </w:p>
    <w:p w:rsidR="00F66764" w:rsidRPr="007C4020" w:rsidRDefault="00F66764" w:rsidP="00DD367C">
      <w:pPr>
        <w:pStyle w:val="BodyText1"/>
        <w:spacing w:line="240" w:lineRule="auto"/>
        <w:rPr>
          <w:rFonts w:ascii="Times New Roman" w:hAnsi="Times New Roman"/>
          <w:sz w:val="22"/>
          <w:szCs w:val="22"/>
        </w:rPr>
      </w:pPr>
      <w:r w:rsidRPr="007C4020">
        <w:rPr>
          <w:rFonts w:ascii="Times New Roman" w:hAnsi="Times New Roman"/>
          <w:sz w:val="22"/>
          <w:szCs w:val="22"/>
        </w:rPr>
        <w:t xml:space="preserve">As in past administrations of PISA, as well as other international assessments in which the United States participates (i.e., PIRLS and TIMSS), all states have the opportunity to participate in PISA 2015 </w:t>
      </w:r>
      <w:r w:rsidR="001377EA" w:rsidRPr="007C4020">
        <w:rPr>
          <w:rFonts w:ascii="Times New Roman" w:hAnsi="Times New Roman"/>
          <w:sz w:val="22"/>
          <w:szCs w:val="22"/>
        </w:rPr>
        <w:t xml:space="preserve">through </w:t>
      </w:r>
      <w:r w:rsidR="00227177" w:rsidRPr="007C4020">
        <w:rPr>
          <w:rFonts w:ascii="Times New Roman" w:hAnsi="Times New Roman"/>
          <w:sz w:val="22"/>
          <w:szCs w:val="22"/>
        </w:rPr>
        <w:t xml:space="preserve">NCES, which serves as </w:t>
      </w:r>
      <w:r w:rsidR="001377EA" w:rsidRPr="007C4020">
        <w:rPr>
          <w:rFonts w:ascii="Times New Roman" w:hAnsi="Times New Roman"/>
          <w:sz w:val="22"/>
          <w:szCs w:val="22"/>
        </w:rPr>
        <w:t xml:space="preserve">the U.S. national center </w:t>
      </w:r>
      <w:r w:rsidR="00227177" w:rsidRPr="007C4020">
        <w:rPr>
          <w:rFonts w:ascii="Times New Roman" w:hAnsi="Times New Roman"/>
          <w:sz w:val="22"/>
          <w:szCs w:val="22"/>
        </w:rPr>
        <w:t>for these studies,</w:t>
      </w:r>
      <w:r w:rsidR="001377EA" w:rsidRPr="007C4020">
        <w:rPr>
          <w:rFonts w:ascii="Times New Roman" w:hAnsi="Times New Roman"/>
          <w:sz w:val="22"/>
          <w:szCs w:val="22"/>
        </w:rPr>
        <w:t xml:space="preserve"> </w:t>
      </w:r>
      <w:r w:rsidRPr="007C4020">
        <w:rPr>
          <w:rFonts w:ascii="Times New Roman" w:hAnsi="Times New Roman"/>
          <w:sz w:val="22"/>
          <w:szCs w:val="22"/>
        </w:rPr>
        <w:t>by contracting directly with the U.S. national contractor. Using the national contractor ensures that the assessment is carried out in accordance with the international procedures and in the same manner as in the national sample. Moreover, integrating the national and state administrations provides for greater efficiency and cost-savings</w:t>
      </w:r>
      <w:r w:rsidR="00DF1F7F" w:rsidRPr="007C4020">
        <w:rPr>
          <w:rFonts w:ascii="Times New Roman" w:hAnsi="Times New Roman"/>
          <w:sz w:val="22"/>
          <w:szCs w:val="22"/>
        </w:rPr>
        <w:t xml:space="preserve"> for individual states opting to </w:t>
      </w:r>
      <w:r w:rsidR="001377EA" w:rsidRPr="007C4020">
        <w:rPr>
          <w:rFonts w:ascii="Times New Roman" w:hAnsi="Times New Roman"/>
          <w:sz w:val="22"/>
          <w:szCs w:val="22"/>
        </w:rPr>
        <w:t>participate</w:t>
      </w:r>
      <w:r w:rsidR="00227177" w:rsidRPr="007C4020">
        <w:rPr>
          <w:rFonts w:ascii="Times New Roman" w:hAnsi="Times New Roman"/>
          <w:sz w:val="22"/>
          <w:szCs w:val="22"/>
        </w:rPr>
        <w:t>.</w:t>
      </w:r>
    </w:p>
    <w:p w:rsidR="001377EA" w:rsidRPr="007C4020" w:rsidRDefault="00AE5023" w:rsidP="001377EA">
      <w:pPr>
        <w:rPr>
          <w:rFonts w:ascii="Times New Roman" w:eastAsia="Times New Roman" w:hAnsi="Times New Roman"/>
          <w:color w:val="000000"/>
        </w:rPr>
      </w:pPr>
      <w:r w:rsidRPr="007C4020">
        <w:rPr>
          <w:rFonts w:ascii="Times New Roman" w:eastAsia="Times New Roman" w:hAnsi="Times New Roman"/>
          <w:color w:val="000000"/>
        </w:rPr>
        <w:t>Each state is paying the cost of administering PISA within their state to a sample of 50 schools and a minimum of 1,500 students.</w:t>
      </w:r>
      <w:r w:rsidR="00227177" w:rsidRPr="007C4020">
        <w:rPr>
          <w:rFonts w:ascii="Times New Roman" w:eastAsia="Times New Roman" w:hAnsi="Times New Roman"/>
          <w:color w:val="000000"/>
        </w:rPr>
        <w:t xml:space="preserve"> </w:t>
      </w:r>
      <w:r w:rsidRPr="007C4020">
        <w:rPr>
          <w:rFonts w:ascii="Times New Roman" w:eastAsia="Times New Roman" w:hAnsi="Times New Roman"/>
          <w:color w:val="000000"/>
        </w:rPr>
        <w:t>These sample numbers are the minimum international requirements for an adjudicated region.</w:t>
      </w:r>
      <w:r w:rsidR="00227177" w:rsidRPr="007C4020">
        <w:rPr>
          <w:rFonts w:ascii="Times New Roman" w:eastAsia="Times New Roman" w:hAnsi="Times New Roman"/>
          <w:color w:val="000000"/>
        </w:rPr>
        <w:t xml:space="preserve"> </w:t>
      </w:r>
      <w:r w:rsidRPr="007C4020">
        <w:rPr>
          <w:rFonts w:ascii="Times New Roman" w:eastAsia="Times New Roman" w:hAnsi="Times New Roman"/>
          <w:color w:val="000000"/>
        </w:rPr>
        <w:t>The 50 schools are independent of any schools that were selected in the US national sample.</w:t>
      </w:r>
      <w:r w:rsidR="00227177" w:rsidRPr="007C4020">
        <w:rPr>
          <w:rFonts w:ascii="Times New Roman" w:eastAsia="Times New Roman" w:hAnsi="Times New Roman"/>
          <w:color w:val="0000CC"/>
        </w:rPr>
        <w:t xml:space="preserve"> </w:t>
      </w:r>
      <w:r w:rsidR="001377EA" w:rsidRPr="007C4020">
        <w:rPr>
          <w:rFonts w:ascii="Times New Roman" w:eastAsia="Times New Roman" w:hAnsi="Times New Roman"/>
          <w:color w:val="000000"/>
        </w:rPr>
        <w:t>Choosing to participate in PISA (for Massachusetts, this will be the second time) signals that these states see value in international comparisons and the information PISA provides. By assessing separate samples in these two states, the states will receive state-level PISA scores and distributions in all PISA subjects, as well as contextual data. Their results will be reported in the PISA international reports and data will be made available for secondary research so that the states and other researchers can further explore the PISA data and state-level performance.</w:t>
      </w:r>
    </w:p>
    <w:p w:rsidR="001377EA" w:rsidRPr="007C4020" w:rsidRDefault="001377EA" w:rsidP="001377EA">
      <w:pPr>
        <w:rPr>
          <w:rFonts w:ascii="Times New Roman" w:eastAsia="Times New Roman" w:hAnsi="Times New Roman"/>
          <w:color w:val="000000"/>
          <w:sz w:val="14"/>
          <w:szCs w:val="14"/>
        </w:rPr>
      </w:pPr>
    </w:p>
    <w:p w:rsidR="00AE5023" w:rsidRPr="007C4020" w:rsidRDefault="00AE5023" w:rsidP="001377EA">
      <w:pPr>
        <w:rPr>
          <w:rFonts w:ascii="Times New Roman" w:eastAsia="Times New Roman" w:hAnsi="Times New Roman"/>
          <w:color w:val="000000"/>
        </w:rPr>
      </w:pPr>
      <w:r w:rsidRPr="007C4020">
        <w:rPr>
          <w:rFonts w:ascii="Times New Roman" w:eastAsia="Times New Roman" w:hAnsi="Times New Roman"/>
          <w:color w:val="0000CC"/>
        </w:rPr>
        <w:t>3.</w:t>
      </w:r>
      <w:r w:rsidR="00227177" w:rsidRPr="007C4020">
        <w:rPr>
          <w:rFonts w:ascii="Times New Roman" w:eastAsia="Times New Roman" w:hAnsi="Times New Roman"/>
          <w:color w:val="0000CC"/>
        </w:rPr>
        <w:t xml:space="preserve"> </w:t>
      </w:r>
      <w:r w:rsidRPr="007C4020">
        <w:rPr>
          <w:rFonts w:ascii="Times New Roman" w:eastAsia="Times New Roman" w:hAnsi="Times New Roman"/>
          <w:color w:val="0000CC"/>
        </w:rPr>
        <w:t>How were they chosen?</w:t>
      </w:r>
    </w:p>
    <w:p w:rsidR="00227177" w:rsidRPr="007C4020" w:rsidRDefault="00227177" w:rsidP="00AE5023">
      <w:pPr>
        <w:ind w:left="630" w:hanging="630"/>
        <w:rPr>
          <w:rFonts w:ascii="Times New Roman" w:eastAsia="Times New Roman" w:hAnsi="Times New Roman"/>
          <w:color w:val="000000"/>
          <w:sz w:val="14"/>
          <w:szCs w:val="14"/>
        </w:rPr>
      </w:pPr>
    </w:p>
    <w:p w:rsidR="00AE5023" w:rsidRPr="007C4020" w:rsidRDefault="00AE5023" w:rsidP="00AE5023">
      <w:pPr>
        <w:rPr>
          <w:rFonts w:ascii="Times New Roman" w:eastAsia="Times New Roman" w:hAnsi="Times New Roman"/>
          <w:color w:val="000000"/>
        </w:rPr>
      </w:pPr>
      <w:r w:rsidRPr="007C4020">
        <w:rPr>
          <w:rFonts w:ascii="Times New Roman" w:eastAsia="Times New Roman" w:hAnsi="Times New Roman"/>
          <w:color w:val="000000"/>
        </w:rPr>
        <w:t xml:space="preserve">The states were self-selected based on their own interest and desire for acquiring </w:t>
      </w:r>
      <w:r w:rsidR="001377EA" w:rsidRPr="007C4020">
        <w:rPr>
          <w:rFonts w:ascii="Times New Roman" w:eastAsia="Times New Roman" w:hAnsi="Times New Roman"/>
          <w:color w:val="000000"/>
        </w:rPr>
        <w:t xml:space="preserve">state-level </w:t>
      </w:r>
      <w:r w:rsidRPr="007C4020">
        <w:rPr>
          <w:rFonts w:ascii="Times New Roman" w:eastAsia="Times New Roman" w:hAnsi="Times New Roman"/>
          <w:color w:val="000000"/>
        </w:rPr>
        <w:t>PISA results.</w:t>
      </w:r>
      <w:r w:rsidR="00227177" w:rsidRPr="007C4020">
        <w:rPr>
          <w:rFonts w:ascii="Times New Roman" w:eastAsia="Times New Roman" w:hAnsi="Times New Roman"/>
          <w:color w:val="000000"/>
        </w:rPr>
        <w:t xml:space="preserve"> </w:t>
      </w:r>
      <w:r w:rsidRPr="007C4020">
        <w:rPr>
          <w:rFonts w:ascii="Times New Roman" w:eastAsia="Times New Roman" w:hAnsi="Times New Roman"/>
          <w:color w:val="000000"/>
        </w:rPr>
        <w:t>Both of these states have participated in international assessments previously.</w:t>
      </w:r>
      <w:r w:rsidR="00227177" w:rsidRPr="007C4020">
        <w:rPr>
          <w:rFonts w:ascii="Times New Roman" w:eastAsia="Times New Roman" w:hAnsi="Times New Roman"/>
          <w:color w:val="000000"/>
        </w:rPr>
        <w:t xml:space="preserve"> </w:t>
      </w:r>
      <w:r w:rsidRPr="007C4020">
        <w:rPr>
          <w:rFonts w:ascii="Times New Roman" w:eastAsia="Times New Roman" w:hAnsi="Times New Roman"/>
          <w:color w:val="000000"/>
        </w:rPr>
        <w:t>Massachusetts participated at the state</w:t>
      </w:r>
      <w:r w:rsidR="00F66764" w:rsidRPr="007C4020">
        <w:rPr>
          <w:rFonts w:ascii="Times New Roman" w:eastAsia="Times New Roman" w:hAnsi="Times New Roman"/>
          <w:color w:val="000000"/>
        </w:rPr>
        <w:t xml:space="preserve"> </w:t>
      </w:r>
      <w:r w:rsidRPr="007C4020">
        <w:rPr>
          <w:rFonts w:ascii="Times New Roman" w:eastAsia="Times New Roman" w:hAnsi="Times New Roman"/>
          <w:color w:val="000000"/>
        </w:rPr>
        <w:t>level in PISA 2012 and also in TIMSS 2007.</w:t>
      </w:r>
      <w:r w:rsidR="00227177" w:rsidRPr="007C4020">
        <w:rPr>
          <w:rFonts w:ascii="Times New Roman" w:eastAsia="Times New Roman" w:hAnsi="Times New Roman"/>
          <w:color w:val="000000"/>
        </w:rPr>
        <w:t xml:space="preserve"> </w:t>
      </w:r>
      <w:r w:rsidRPr="007C4020">
        <w:rPr>
          <w:rFonts w:ascii="Times New Roman" w:eastAsia="Times New Roman" w:hAnsi="Times New Roman"/>
          <w:color w:val="000000"/>
        </w:rPr>
        <w:t>North Carolina participated at grade 4 in TIMSS 2011.</w:t>
      </w:r>
    </w:p>
    <w:p w:rsidR="00227177" w:rsidRPr="007C4020" w:rsidRDefault="00227177" w:rsidP="00AE5023">
      <w:pPr>
        <w:ind w:left="630" w:hanging="630"/>
        <w:rPr>
          <w:rFonts w:ascii="Times New Roman" w:eastAsia="Times New Roman" w:hAnsi="Times New Roman"/>
          <w:color w:val="000000"/>
          <w:sz w:val="14"/>
          <w:szCs w:val="14"/>
        </w:rPr>
      </w:pPr>
    </w:p>
    <w:p w:rsidR="00AE5023" w:rsidRPr="007C4020" w:rsidRDefault="00AE5023" w:rsidP="00AE5023">
      <w:pPr>
        <w:ind w:left="630" w:hanging="630"/>
        <w:rPr>
          <w:rFonts w:ascii="Times New Roman" w:eastAsia="Times New Roman" w:hAnsi="Times New Roman"/>
          <w:color w:val="000000"/>
        </w:rPr>
      </w:pPr>
      <w:r w:rsidRPr="007C4020">
        <w:rPr>
          <w:rFonts w:ascii="Times New Roman" w:eastAsia="Times New Roman" w:hAnsi="Times New Roman"/>
          <w:color w:val="0000CC"/>
        </w:rPr>
        <w:t>4.</w:t>
      </w:r>
      <w:r w:rsidR="00227177" w:rsidRPr="007C4020">
        <w:rPr>
          <w:rFonts w:ascii="Times New Roman" w:eastAsia="Times New Roman" w:hAnsi="Times New Roman"/>
          <w:color w:val="0000CC"/>
        </w:rPr>
        <w:t xml:space="preserve"> </w:t>
      </w:r>
      <w:r w:rsidRPr="007C4020">
        <w:rPr>
          <w:rFonts w:ascii="Times New Roman" w:eastAsia="Times New Roman" w:hAnsi="Times New Roman"/>
          <w:color w:val="0000CC"/>
        </w:rPr>
        <w:t>Where is the discussion of utility for this increased burden?</w:t>
      </w:r>
    </w:p>
    <w:p w:rsidR="00227177" w:rsidRPr="007C4020" w:rsidRDefault="00227177" w:rsidP="00AE5023">
      <w:pPr>
        <w:ind w:left="630" w:hanging="630"/>
        <w:rPr>
          <w:rFonts w:ascii="Times New Roman" w:eastAsia="Times New Roman" w:hAnsi="Times New Roman"/>
          <w:color w:val="000000"/>
          <w:sz w:val="14"/>
          <w:szCs w:val="14"/>
        </w:rPr>
      </w:pPr>
    </w:p>
    <w:p w:rsidR="00227177" w:rsidRPr="007C4020" w:rsidRDefault="00AE5023" w:rsidP="00AE5023">
      <w:pPr>
        <w:rPr>
          <w:rFonts w:ascii="Times New Roman" w:hAnsi="Times New Roman"/>
        </w:rPr>
      </w:pPr>
      <w:r w:rsidRPr="007C4020">
        <w:rPr>
          <w:rFonts w:ascii="Times New Roman" w:eastAsia="Times New Roman" w:hAnsi="Times New Roman"/>
          <w:color w:val="000000"/>
        </w:rPr>
        <w:t xml:space="preserve">As indicated above, these two states </w:t>
      </w:r>
      <w:r w:rsidR="00F66764" w:rsidRPr="007C4020">
        <w:rPr>
          <w:rFonts w:ascii="Times New Roman" w:eastAsia="Times New Roman" w:hAnsi="Times New Roman"/>
          <w:color w:val="000000"/>
        </w:rPr>
        <w:t>have decided that they would like to obtain state-level PISA results</w:t>
      </w:r>
      <w:r w:rsidR="00DF1F7F" w:rsidRPr="007C4020">
        <w:rPr>
          <w:rFonts w:ascii="Times New Roman" w:eastAsia="Times New Roman" w:hAnsi="Times New Roman"/>
          <w:color w:val="000000"/>
        </w:rPr>
        <w:t>.</w:t>
      </w:r>
      <w:r w:rsidR="00F66764" w:rsidRPr="007C4020">
        <w:rPr>
          <w:rFonts w:ascii="Times New Roman" w:eastAsia="Times New Roman" w:hAnsi="Times New Roman"/>
          <w:color w:val="000000"/>
        </w:rPr>
        <w:t xml:space="preserve"> </w:t>
      </w:r>
      <w:r w:rsidR="00DF1F7F" w:rsidRPr="007C4020">
        <w:rPr>
          <w:rFonts w:ascii="Times New Roman" w:eastAsia="Times New Roman" w:hAnsi="Times New Roman"/>
          <w:color w:val="000000"/>
        </w:rPr>
        <w:t xml:space="preserve">The PISA U.S. national sample is designed to provide national estimates of performance but not state-level results. Expanding the sample for a state seeking information on schools and students under its jurisdiction is an efficient approach to enabling this data to be collected and reported. </w:t>
      </w:r>
      <w:r w:rsidRPr="007C4020">
        <w:rPr>
          <w:rFonts w:ascii="Times New Roman" w:eastAsia="Times New Roman" w:hAnsi="Times New Roman"/>
          <w:color w:val="000000"/>
        </w:rPr>
        <w:t xml:space="preserve">To ensure comparability and operational consistency, these two states will be utilizing the national contractor to collect the data, using the exact same instruments </w:t>
      </w:r>
      <w:r w:rsidR="00F66764" w:rsidRPr="007C4020">
        <w:rPr>
          <w:rFonts w:ascii="Times New Roman" w:eastAsia="Times New Roman" w:hAnsi="Times New Roman"/>
          <w:color w:val="000000"/>
        </w:rPr>
        <w:t xml:space="preserve">and procedures that will be used </w:t>
      </w:r>
      <w:r w:rsidR="00DF1F7F" w:rsidRPr="007C4020">
        <w:rPr>
          <w:rFonts w:ascii="Times New Roman" w:eastAsia="Times New Roman" w:hAnsi="Times New Roman"/>
          <w:color w:val="000000"/>
        </w:rPr>
        <w:t>for</w:t>
      </w:r>
      <w:r w:rsidR="00227177" w:rsidRPr="007C4020">
        <w:rPr>
          <w:rFonts w:ascii="Times New Roman" w:eastAsia="Times New Roman" w:hAnsi="Times New Roman"/>
          <w:color w:val="000000"/>
        </w:rPr>
        <w:t xml:space="preserve"> </w:t>
      </w:r>
      <w:r w:rsidR="00F66764" w:rsidRPr="007C4020">
        <w:rPr>
          <w:rFonts w:ascii="Times New Roman" w:eastAsia="Times New Roman" w:hAnsi="Times New Roman"/>
          <w:color w:val="000000"/>
        </w:rPr>
        <w:t>the national sample</w:t>
      </w:r>
      <w:r w:rsidRPr="007C4020">
        <w:rPr>
          <w:rFonts w:ascii="Times New Roman" w:eastAsia="Times New Roman" w:hAnsi="Times New Roman"/>
          <w:color w:val="000000"/>
        </w:rPr>
        <w:t>.</w:t>
      </w:r>
      <w:r w:rsidR="00F66764" w:rsidRPr="007C4020">
        <w:rPr>
          <w:rFonts w:ascii="Times New Roman" w:eastAsia="Times New Roman" w:hAnsi="Times New Roman"/>
          <w:color w:val="000000"/>
        </w:rPr>
        <w:t xml:space="preserve"> </w:t>
      </w:r>
      <w:r w:rsidR="00F66764" w:rsidRPr="007C4020">
        <w:rPr>
          <w:rFonts w:ascii="Times New Roman" w:hAnsi="Times New Roman"/>
        </w:rPr>
        <w:t>Moreover, integrating the national and state administrations provides for greater efficiency and cost-savings.</w:t>
      </w:r>
    </w:p>
    <w:p w:rsidR="00AE5023" w:rsidRPr="007C4020" w:rsidRDefault="00AE5023" w:rsidP="00AE5023">
      <w:pPr>
        <w:rPr>
          <w:rFonts w:ascii="Times New Roman" w:eastAsia="Times New Roman" w:hAnsi="Times New Roman"/>
          <w:color w:val="000000"/>
          <w:sz w:val="14"/>
          <w:szCs w:val="14"/>
        </w:rPr>
      </w:pPr>
    </w:p>
    <w:p w:rsidR="00180F84" w:rsidRDefault="00AE5023" w:rsidP="00884BEB">
      <w:pPr>
        <w:rPr>
          <w:rFonts w:ascii="Times New Roman" w:eastAsia="Times New Roman" w:hAnsi="Times New Roman"/>
          <w:color w:val="000000"/>
        </w:rPr>
      </w:pPr>
      <w:r w:rsidRPr="007C4020">
        <w:rPr>
          <w:rFonts w:ascii="Times New Roman" w:eastAsia="Times New Roman" w:hAnsi="Times New Roman"/>
          <w:color w:val="000000"/>
        </w:rPr>
        <w:t xml:space="preserve">The increased burden above what is required for (and allocated to) the PISA U.S. national sample will </w:t>
      </w:r>
      <w:r w:rsidR="00F66764" w:rsidRPr="007C4020">
        <w:rPr>
          <w:rFonts w:ascii="Times New Roman" w:eastAsia="Times New Roman" w:hAnsi="Times New Roman"/>
          <w:color w:val="000000"/>
        </w:rPr>
        <w:t xml:space="preserve">provide the </w:t>
      </w:r>
      <w:r w:rsidRPr="007C4020">
        <w:rPr>
          <w:rFonts w:ascii="Times New Roman" w:eastAsia="Times New Roman" w:hAnsi="Times New Roman"/>
          <w:color w:val="000000"/>
        </w:rPr>
        <w:t xml:space="preserve">Massachusetts and North Carolina </w:t>
      </w:r>
      <w:r w:rsidR="00F66764" w:rsidRPr="007C4020">
        <w:rPr>
          <w:rFonts w:ascii="Times New Roman" w:eastAsia="Times New Roman" w:hAnsi="Times New Roman"/>
          <w:color w:val="000000"/>
        </w:rPr>
        <w:t xml:space="preserve">state departments of education and the general public with </w:t>
      </w:r>
      <w:r w:rsidRPr="007C4020">
        <w:rPr>
          <w:rFonts w:ascii="Times New Roman" w:eastAsia="Times New Roman" w:hAnsi="Times New Roman"/>
          <w:color w:val="000000"/>
        </w:rPr>
        <w:t xml:space="preserve">state-level PISA results </w:t>
      </w:r>
      <w:r w:rsidR="00F66764" w:rsidRPr="007C4020">
        <w:rPr>
          <w:rFonts w:ascii="Times New Roman" w:eastAsia="Times New Roman" w:hAnsi="Times New Roman"/>
          <w:color w:val="000000"/>
        </w:rPr>
        <w:t>with which to</w:t>
      </w:r>
      <w:r w:rsidRPr="007C4020">
        <w:rPr>
          <w:rFonts w:ascii="Times New Roman" w:eastAsia="Times New Roman" w:hAnsi="Times New Roman"/>
          <w:color w:val="000000"/>
        </w:rPr>
        <w:t xml:space="preserve"> </w:t>
      </w:r>
      <w:r w:rsidR="00DF1F7F" w:rsidRPr="007C4020">
        <w:rPr>
          <w:rFonts w:ascii="Times New Roman" w:eastAsia="Times New Roman" w:hAnsi="Times New Roman"/>
          <w:color w:val="000000"/>
        </w:rPr>
        <w:t>compare the state education systems with other countries</w:t>
      </w:r>
      <w:r w:rsidRPr="007C4020">
        <w:rPr>
          <w:rFonts w:ascii="Times New Roman" w:eastAsia="Times New Roman" w:hAnsi="Times New Roman"/>
          <w:color w:val="000000"/>
        </w:rPr>
        <w:t>.</w:t>
      </w:r>
      <w:r w:rsidR="003361BF">
        <w:rPr>
          <w:rFonts w:ascii="Times New Roman" w:eastAsia="Times New Roman" w:hAnsi="Times New Roman"/>
          <w:color w:val="000000"/>
        </w:rPr>
        <w:t xml:space="preserve"> </w:t>
      </w:r>
      <w:r w:rsidR="00CE582C" w:rsidRPr="007860F2">
        <w:rPr>
          <w:rFonts w:ascii="Times New Roman" w:hAnsi="Times New Roman"/>
          <w:color w:val="000000"/>
        </w:rPr>
        <w:t>For the federal government, the utility in having states participate in international assessments like PISA is the increased visibility of the assessment, which aids in national school recruitment, the availability of actual state-level PISA scores which can be used as a check on research attempting to project or estimate state-level performance on PISA based on other assessment data, and the availability of valid and reliable data at a finer level of detail (i.e., state) than is possible with the national data</w:t>
      </w:r>
      <w:r w:rsidR="003361BF" w:rsidRPr="00CE582C">
        <w:rPr>
          <w:rFonts w:ascii="Times New Roman" w:eastAsia="Times New Roman" w:hAnsi="Times New Roman"/>
          <w:color w:val="000000"/>
        </w:rPr>
        <w:t>.</w:t>
      </w:r>
    </w:p>
    <w:p w:rsidR="00E80F79" w:rsidRDefault="00E80F79" w:rsidP="00884BEB">
      <w:pPr>
        <w:rPr>
          <w:rFonts w:ascii="Times New Roman" w:eastAsia="Times New Roman" w:hAnsi="Times New Roman"/>
          <w:color w:val="000000"/>
        </w:rPr>
      </w:pPr>
    </w:p>
    <w:p w:rsidR="00E80F79" w:rsidRPr="00E80F79" w:rsidRDefault="00E80F79" w:rsidP="00E80F79">
      <w:pPr>
        <w:ind w:left="270" w:hanging="270"/>
        <w:rPr>
          <w:rFonts w:ascii="Times New Roman" w:eastAsia="Times New Roman" w:hAnsi="Times New Roman"/>
          <w:color w:val="0000CC"/>
        </w:rPr>
      </w:pPr>
      <w:r>
        <w:rPr>
          <w:rFonts w:ascii="Times New Roman" w:eastAsia="Times New Roman" w:hAnsi="Times New Roman"/>
          <w:color w:val="0000CC"/>
        </w:rPr>
        <w:lastRenderedPageBreak/>
        <w:t>5. Please</w:t>
      </w:r>
      <w:r w:rsidRPr="00E80F79">
        <w:rPr>
          <w:rFonts w:ascii="Times New Roman" w:eastAsia="Times New Roman" w:hAnsi="Times New Roman"/>
          <w:color w:val="0000CC"/>
        </w:rPr>
        <w:t xml:space="preserve"> clarify whether “using the exact same procedures” includes using NCES’s confidentiality pledge</w:t>
      </w:r>
      <w:r>
        <w:rPr>
          <w:rFonts w:ascii="Times New Roman" w:eastAsia="Times New Roman" w:hAnsi="Times New Roman"/>
          <w:color w:val="0000CC"/>
        </w:rPr>
        <w:t>.</w:t>
      </w:r>
      <w:r w:rsidRPr="00E80F79">
        <w:rPr>
          <w:rFonts w:ascii="Times New Roman" w:eastAsia="Times New Roman" w:hAnsi="Times New Roman"/>
          <w:color w:val="0000CC"/>
        </w:rPr>
        <w:t>  Is it indistinguishable to the school or student which entity (NCES or state) is sponsoring the collection?  We are trying to figure out if, at the end of the day, the additional data collection for the two states is a Federally-sponsored data collection (</w:t>
      </w:r>
      <w:proofErr w:type="spellStart"/>
      <w:r w:rsidRPr="00E80F79">
        <w:rPr>
          <w:rFonts w:ascii="Times New Roman" w:eastAsia="Times New Roman" w:hAnsi="Times New Roman"/>
          <w:color w:val="0000CC"/>
        </w:rPr>
        <w:t>eg</w:t>
      </w:r>
      <w:proofErr w:type="spellEnd"/>
      <w:r w:rsidRPr="00E80F79">
        <w:rPr>
          <w:rFonts w:ascii="Times New Roman" w:eastAsia="Times New Roman" w:hAnsi="Times New Roman"/>
          <w:color w:val="0000CC"/>
        </w:rPr>
        <w:t>, NCES’s legal authority, confidentiality pledge, and OMB control number) or not.   If it is, we don’t see how the states can be given access to confidential data, among other things.  If it is not, it would seem important to avoid misleading respondents and others by making clear that these are two distinct data collections, with different authorities, confidentiality pledges, etc. </w:t>
      </w:r>
    </w:p>
    <w:p w:rsidR="00E80F79" w:rsidRDefault="00E80F79" w:rsidP="00E80F79">
      <w:pPr>
        <w:rPr>
          <w:rFonts w:asciiTheme="minorHAnsi" w:hAnsiTheme="minorHAnsi" w:cstheme="minorBidi"/>
          <w:color w:val="1F497D" w:themeColor="dark2"/>
        </w:rPr>
      </w:pPr>
    </w:p>
    <w:p w:rsidR="00E80F79" w:rsidRPr="00E80F79" w:rsidRDefault="00E80F79" w:rsidP="00E80F79">
      <w:pPr>
        <w:rPr>
          <w:rFonts w:ascii="Times New Roman" w:eastAsia="Times New Roman" w:hAnsi="Times New Roman"/>
          <w:color w:val="000000"/>
        </w:rPr>
      </w:pPr>
      <w:r w:rsidRPr="00E80F79">
        <w:rPr>
          <w:rFonts w:ascii="Times New Roman" w:eastAsia="Times New Roman" w:hAnsi="Times New Roman"/>
          <w:color w:val="000000"/>
        </w:rPr>
        <w:t>States do not have access to restricted use data from the PISA collection unless they apply for a restricted use data license, like any other user. They have access to public-use raw data files and aggregate state level results. Yes, the same confidentiality pledge and everything else are given to respondents in the state samples as in the national sample. Respondents do not know if they are a state or a national sample school.  The same materials and procedures are used for all respondents, as in previous administrations of PISA and TIMSS, and to assure full comparability of results.</w:t>
      </w:r>
    </w:p>
    <w:p w:rsidR="00E80F79" w:rsidRPr="007C4020" w:rsidRDefault="00E80F79" w:rsidP="00884BEB">
      <w:pPr>
        <w:rPr>
          <w:rFonts w:ascii="Times New Roman" w:eastAsia="Times New Roman" w:hAnsi="Times New Roman"/>
          <w:color w:val="000000"/>
        </w:rPr>
      </w:pPr>
    </w:p>
    <w:sectPr w:rsidR="00E80F79" w:rsidRPr="007C4020" w:rsidSect="007C40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D61"/>
    <w:multiLevelType w:val="hybridMultilevel"/>
    <w:tmpl w:val="EDDE0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37495E"/>
    <w:multiLevelType w:val="hybridMultilevel"/>
    <w:tmpl w:val="4C944602"/>
    <w:lvl w:ilvl="0" w:tplc="8D2C591E">
      <w:start w:val="1"/>
      <w:numFmt w:val="decimal"/>
      <w:lvlText w:val="%1)"/>
      <w:lvlJc w:val="left"/>
      <w:pPr>
        <w:ind w:left="2520" w:hanging="360"/>
      </w:pPr>
      <w:rPr>
        <w:color w:val="1F497D"/>
      </w:rPr>
    </w:lvl>
    <w:lvl w:ilvl="1" w:tplc="04090019">
      <w:start w:val="1"/>
      <w:numFmt w:val="decimal"/>
      <w:lvlText w:val="%2."/>
      <w:lvlJc w:val="left"/>
      <w:pPr>
        <w:tabs>
          <w:tab w:val="num" w:pos="3240"/>
        </w:tabs>
        <w:ind w:left="3240" w:hanging="360"/>
      </w:pPr>
    </w:lvl>
    <w:lvl w:ilvl="2" w:tplc="0409001B">
      <w:start w:val="1"/>
      <w:numFmt w:val="decimal"/>
      <w:lvlText w:val="%3."/>
      <w:lvlJc w:val="left"/>
      <w:pPr>
        <w:tabs>
          <w:tab w:val="num" w:pos="3960"/>
        </w:tabs>
        <w:ind w:left="3960" w:hanging="360"/>
      </w:pPr>
    </w:lvl>
    <w:lvl w:ilvl="3" w:tplc="0409000F">
      <w:start w:val="1"/>
      <w:numFmt w:val="decimal"/>
      <w:lvlText w:val="%4."/>
      <w:lvlJc w:val="left"/>
      <w:pPr>
        <w:tabs>
          <w:tab w:val="num" w:pos="4680"/>
        </w:tabs>
        <w:ind w:left="4680" w:hanging="360"/>
      </w:pPr>
    </w:lvl>
    <w:lvl w:ilvl="4" w:tplc="04090019">
      <w:start w:val="1"/>
      <w:numFmt w:val="decimal"/>
      <w:lvlText w:val="%5."/>
      <w:lvlJc w:val="left"/>
      <w:pPr>
        <w:tabs>
          <w:tab w:val="num" w:pos="5400"/>
        </w:tabs>
        <w:ind w:left="5400" w:hanging="360"/>
      </w:pPr>
    </w:lvl>
    <w:lvl w:ilvl="5" w:tplc="0409001B">
      <w:start w:val="1"/>
      <w:numFmt w:val="decimal"/>
      <w:lvlText w:val="%6."/>
      <w:lvlJc w:val="left"/>
      <w:pPr>
        <w:tabs>
          <w:tab w:val="num" w:pos="6120"/>
        </w:tabs>
        <w:ind w:left="6120" w:hanging="360"/>
      </w:pPr>
    </w:lvl>
    <w:lvl w:ilvl="6" w:tplc="0409000F">
      <w:start w:val="1"/>
      <w:numFmt w:val="decimal"/>
      <w:lvlText w:val="%7."/>
      <w:lvlJc w:val="left"/>
      <w:pPr>
        <w:tabs>
          <w:tab w:val="num" w:pos="6840"/>
        </w:tabs>
        <w:ind w:left="6840" w:hanging="360"/>
      </w:pPr>
    </w:lvl>
    <w:lvl w:ilvl="7" w:tplc="04090019">
      <w:start w:val="1"/>
      <w:numFmt w:val="decimal"/>
      <w:lvlText w:val="%8."/>
      <w:lvlJc w:val="left"/>
      <w:pPr>
        <w:tabs>
          <w:tab w:val="num" w:pos="7560"/>
        </w:tabs>
        <w:ind w:left="7560" w:hanging="360"/>
      </w:pPr>
    </w:lvl>
    <w:lvl w:ilvl="8" w:tplc="0409001B">
      <w:start w:val="1"/>
      <w:numFmt w:val="decimal"/>
      <w:lvlText w:val="%9."/>
      <w:lvlJc w:val="left"/>
      <w:pPr>
        <w:tabs>
          <w:tab w:val="num" w:pos="8280"/>
        </w:tabs>
        <w:ind w:left="8280" w:hanging="360"/>
      </w:pPr>
    </w:lvl>
  </w:abstractNum>
  <w:abstractNum w:abstractNumId="2">
    <w:nsid w:val="3B475F8A"/>
    <w:multiLevelType w:val="hybridMultilevel"/>
    <w:tmpl w:val="E24AB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DB59AA"/>
    <w:multiLevelType w:val="hybridMultilevel"/>
    <w:tmpl w:val="016E2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E92361E"/>
    <w:multiLevelType w:val="hybridMultilevel"/>
    <w:tmpl w:val="04E062F2"/>
    <w:lvl w:ilvl="0" w:tplc="670CBB7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05F6B"/>
    <w:multiLevelType w:val="hybridMultilevel"/>
    <w:tmpl w:val="84808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5B70FC"/>
    <w:multiLevelType w:val="hybridMultilevel"/>
    <w:tmpl w:val="67E67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6"/>
  </w:num>
  <w:num w:numId="4">
    <w:abstractNumId w:val="2"/>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474D5F"/>
    <w:rsid w:val="000337FD"/>
    <w:rsid w:val="00057E40"/>
    <w:rsid w:val="00070A2A"/>
    <w:rsid w:val="000A74D2"/>
    <w:rsid w:val="000B423E"/>
    <w:rsid w:val="000B4C4B"/>
    <w:rsid w:val="00115359"/>
    <w:rsid w:val="00117A7C"/>
    <w:rsid w:val="001377EA"/>
    <w:rsid w:val="00180F84"/>
    <w:rsid w:val="00184BA5"/>
    <w:rsid w:val="001C148B"/>
    <w:rsid w:val="00227177"/>
    <w:rsid w:val="0024764E"/>
    <w:rsid w:val="00251CC9"/>
    <w:rsid w:val="002D498D"/>
    <w:rsid w:val="00326E9E"/>
    <w:rsid w:val="003361BF"/>
    <w:rsid w:val="0034098F"/>
    <w:rsid w:val="003507BC"/>
    <w:rsid w:val="00366934"/>
    <w:rsid w:val="003859DD"/>
    <w:rsid w:val="00421539"/>
    <w:rsid w:val="0045331F"/>
    <w:rsid w:val="0047496A"/>
    <w:rsid w:val="00474D5F"/>
    <w:rsid w:val="00484FD5"/>
    <w:rsid w:val="004B5FB3"/>
    <w:rsid w:val="004D2555"/>
    <w:rsid w:val="005555DE"/>
    <w:rsid w:val="00580414"/>
    <w:rsid w:val="005A199A"/>
    <w:rsid w:val="005B0A6B"/>
    <w:rsid w:val="005D4C8A"/>
    <w:rsid w:val="005D6FCD"/>
    <w:rsid w:val="00620DC7"/>
    <w:rsid w:val="00626031"/>
    <w:rsid w:val="006859CE"/>
    <w:rsid w:val="006D45BC"/>
    <w:rsid w:val="00742DE7"/>
    <w:rsid w:val="007678B8"/>
    <w:rsid w:val="007744EE"/>
    <w:rsid w:val="00774598"/>
    <w:rsid w:val="00781ADE"/>
    <w:rsid w:val="007860F2"/>
    <w:rsid w:val="007C4020"/>
    <w:rsid w:val="00884BEB"/>
    <w:rsid w:val="00925CC9"/>
    <w:rsid w:val="00966A9D"/>
    <w:rsid w:val="00995012"/>
    <w:rsid w:val="00995E61"/>
    <w:rsid w:val="00A01A24"/>
    <w:rsid w:val="00A02FA2"/>
    <w:rsid w:val="00A07411"/>
    <w:rsid w:val="00A23979"/>
    <w:rsid w:val="00A27BC8"/>
    <w:rsid w:val="00A76054"/>
    <w:rsid w:val="00A85E26"/>
    <w:rsid w:val="00AD65BD"/>
    <w:rsid w:val="00AD71B9"/>
    <w:rsid w:val="00AE5023"/>
    <w:rsid w:val="00AE5CAC"/>
    <w:rsid w:val="00AF4C40"/>
    <w:rsid w:val="00B11BB2"/>
    <w:rsid w:val="00B4748F"/>
    <w:rsid w:val="00BB48A7"/>
    <w:rsid w:val="00BC399A"/>
    <w:rsid w:val="00C01BA7"/>
    <w:rsid w:val="00C11928"/>
    <w:rsid w:val="00C12FBF"/>
    <w:rsid w:val="00C21D4E"/>
    <w:rsid w:val="00C404A9"/>
    <w:rsid w:val="00C46D54"/>
    <w:rsid w:val="00C50B34"/>
    <w:rsid w:val="00C61542"/>
    <w:rsid w:val="00CE582C"/>
    <w:rsid w:val="00D00020"/>
    <w:rsid w:val="00D01C90"/>
    <w:rsid w:val="00D17804"/>
    <w:rsid w:val="00D27A96"/>
    <w:rsid w:val="00DB69B4"/>
    <w:rsid w:val="00DD367C"/>
    <w:rsid w:val="00DF1F7F"/>
    <w:rsid w:val="00E24269"/>
    <w:rsid w:val="00E25DD0"/>
    <w:rsid w:val="00E40819"/>
    <w:rsid w:val="00E80F79"/>
    <w:rsid w:val="00EB6D0B"/>
    <w:rsid w:val="00ED7208"/>
    <w:rsid w:val="00EF3796"/>
    <w:rsid w:val="00F027AB"/>
    <w:rsid w:val="00F6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D5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D5F"/>
    <w:pPr>
      <w:ind w:left="720"/>
    </w:pPr>
  </w:style>
  <w:style w:type="paragraph" w:customStyle="1" w:styleId="Default">
    <w:name w:val="Default"/>
    <w:rsid w:val="00117A7C"/>
    <w:pPr>
      <w:autoSpaceDE w:val="0"/>
      <w:autoSpaceDN w:val="0"/>
      <w:adjustRightInd w:val="0"/>
    </w:pPr>
    <w:rPr>
      <w:rFonts w:ascii="Times New Roman" w:hAnsi="Times New Roman"/>
      <w:color w:val="000000"/>
      <w:sz w:val="24"/>
      <w:szCs w:val="24"/>
    </w:rPr>
  </w:style>
  <w:style w:type="character" w:styleId="Hyperlink">
    <w:name w:val="Hyperlink"/>
    <w:uiPriority w:val="99"/>
    <w:rsid w:val="00070A2A"/>
    <w:rPr>
      <w:rFonts w:cs="Times New Roman"/>
      <w:color w:val="0000FF"/>
      <w:u w:val="single"/>
    </w:rPr>
  </w:style>
  <w:style w:type="paragraph" w:styleId="PlainText">
    <w:name w:val="Plain Text"/>
    <w:basedOn w:val="Normal"/>
    <w:link w:val="PlainTextChar"/>
    <w:uiPriority w:val="99"/>
    <w:unhideWhenUsed/>
    <w:rsid w:val="00070A2A"/>
  </w:style>
  <w:style w:type="character" w:customStyle="1" w:styleId="PlainTextChar">
    <w:name w:val="Plain Text Char"/>
    <w:link w:val="PlainText"/>
    <w:uiPriority w:val="99"/>
    <w:rsid w:val="00070A2A"/>
    <w:rPr>
      <w:sz w:val="22"/>
      <w:szCs w:val="22"/>
    </w:rPr>
  </w:style>
  <w:style w:type="paragraph" w:customStyle="1" w:styleId="BodyText1">
    <w:name w:val="Body Text1"/>
    <w:basedOn w:val="Normal"/>
    <w:uiPriority w:val="99"/>
    <w:rsid w:val="0024764E"/>
    <w:pPr>
      <w:spacing w:before="120" w:after="120" w:line="300" w:lineRule="atLeast"/>
    </w:pPr>
    <w:rPr>
      <w:rFonts w:ascii="Garamond" w:eastAsia="Times New Roman" w:hAnsi="Garamond"/>
      <w:sz w:val="24"/>
      <w:szCs w:val="24"/>
    </w:rPr>
  </w:style>
  <w:style w:type="paragraph" w:styleId="BalloonText">
    <w:name w:val="Balloon Text"/>
    <w:basedOn w:val="Normal"/>
    <w:link w:val="BalloonTextChar"/>
    <w:uiPriority w:val="99"/>
    <w:semiHidden/>
    <w:unhideWhenUsed/>
    <w:rsid w:val="00F66764"/>
    <w:rPr>
      <w:rFonts w:ascii="Tahoma" w:hAnsi="Tahoma" w:cs="Tahoma"/>
      <w:sz w:val="16"/>
      <w:szCs w:val="16"/>
    </w:rPr>
  </w:style>
  <w:style w:type="character" w:customStyle="1" w:styleId="BalloonTextChar">
    <w:name w:val="Balloon Text Char"/>
    <w:link w:val="BalloonText"/>
    <w:uiPriority w:val="99"/>
    <w:semiHidden/>
    <w:rsid w:val="00F66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1874">
      <w:bodyDiv w:val="1"/>
      <w:marLeft w:val="0"/>
      <w:marRight w:val="0"/>
      <w:marTop w:val="0"/>
      <w:marBottom w:val="0"/>
      <w:divBdr>
        <w:top w:val="none" w:sz="0" w:space="0" w:color="auto"/>
        <w:left w:val="none" w:sz="0" w:space="0" w:color="auto"/>
        <w:bottom w:val="none" w:sz="0" w:space="0" w:color="auto"/>
        <w:right w:val="none" w:sz="0" w:space="0" w:color="auto"/>
      </w:divBdr>
      <w:divsChild>
        <w:div w:id="1234388784">
          <w:marLeft w:val="0"/>
          <w:marRight w:val="0"/>
          <w:marTop w:val="0"/>
          <w:marBottom w:val="0"/>
          <w:divBdr>
            <w:top w:val="none" w:sz="0" w:space="0" w:color="auto"/>
            <w:left w:val="none" w:sz="0" w:space="0" w:color="auto"/>
            <w:bottom w:val="none" w:sz="0" w:space="0" w:color="auto"/>
            <w:right w:val="none" w:sz="0" w:space="0" w:color="auto"/>
          </w:divBdr>
          <w:divsChild>
            <w:div w:id="1921452031">
              <w:marLeft w:val="0"/>
              <w:marRight w:val="0"/>
              <w:marTop w:val="0"/>
              <w:marBottom w:val="0"/>
              <w:divBdr>
                <w:top w:val="none" w:sz="0" w:space="0" w:color="auto"/>
                <w:left w:val="none" w:sz="0" w:space="0" w:color="auto"/>
                <w:bottom w:val="none" w:sz="0" w:space="0" w:color="auto"/>
                <w:right w:val="none" w:sz="0" w:space="0" w:color="auto"/>
              </w:divBdr>
              <w:divsChild>
                <w:div w:id="10219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4890">
      <w:bodyDiv w:val="1"/>
      <w:marLeft w:val="0"/>
      <w:marRight w:val="0"/>
      <w:marTop w:val="0"/>
      <w:marBottom w:val="0"/>
      <w:divBdr>
        <w:top w:val="none" w:sz="0" w:space="0" w:color="auto"/>
        <w:left w:val="none" w:sz="0" w:space="0" w:color="auto"/>
        <w:bottom w:val="none" w:sz="0" w:space="0" w:color="auto"/>
        <w:right w:val="none" w:sz="0" w:space="0" w:color="auto"/>
      </w:divBdr>
    </w:div>
    <w:div w:id="695234960">
      <w:bodyDiv w:val="1"/>
      <w:marLeft w:val="0"/>
      <w:marRight w:val="0"/>
      <w:marTop w:val="0"/>
      <w:marBottom w:val="0"/>
      <w:divBdr>
        <w:top w:val="none" w:sz="0" w:space="0" w:color="auto"/>
        <w:left w:val="none" w:sz="0" w:space="0" w:color="auto"/>
        <w:bottom w:val="none" w:sz="0" w:space="0" w:color="auto"/>
        <w:right w:val="none" w:sz="0" w:space="0" w:color="auto"/>
      </w:divBdr>
    </w:div>
    <w:div w:id="992677766">
      <w:bodyDiv w:val="1"/>
      <w:marLeft w:val="0"/>
      <w:marRight w:val="0"/>
      <w:marTop w:val="0"/>
      <w:marBottom w:val="0"/>
      <w:divBdr>
        <w:top w:val="none" w:sz="0" w:space="0" w:color="auto"/>
        <w:left w:val="none" w:sz="0" w:space="0" w:color="auto"/>
        <w:bottom w:val="none" w:sz="0" w:space="0" w:color="auto"/>
        <w:right w:val="none" w:sz="0" w:space="0" w:color="auto"/>
      </w:divBdr>
    </w:div>
    <w:div w:id="1612862457">
      <w:bodyDiv w:val="1"/>
      <w:marLeft w:val="0"/>
      <w:marRight w:val="0"/>
      <w:marTop w:val="0"/>
      <w:marBottom w:val="0"/>
      <w:divBdr>
        <w:top w:val="none" w:sz="0" w:space="0" w:color="auto"/>
        <w:left w:val="none" w:sz="0" w:space="0" w:color="auto"/>
        <w:bottom w:val="none" w:sz="0" w:space="0" w:color="auto"/>
        <w:right w:val="none" w:sz="0" w:space="0" w:color="auto"/>
      </w:divBdr>
    </w:div>
    <w:div w:id="1781290936">
      <w:bodyDiv w:val="1"/>
      <w:marLeft w:val="0"/>
      <w:marRight w:val="0"/>
      <w:marTop w:val="0"/>
      <w:marBottom w:val="0"/>
      <w:divBdr>
        <w:top w:val="none" w:sz="0" w:space="0" w:color="auto"/>
        <w:left w:val="none" w:sz="0" w:space="0" w:color="auto"/>
        <w:bottom w:val="none" w:sz="0" w:space="0" w:color="auto"/>
        <w:right w:val="none" w:sz="0" w:space="0" w:color="auto"/>
      </w:divBdr>
    </w:div>
    <w:div w:id="18371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dc:creator>
  <cp:lastModifiedBy>U.S. Department of Education</cp:lastModifiedBy>
  <cp:revision>8</cp:revision>
  <dcterms:created xsi:type="dcterms:W3CDTF">2015-03-17T18:04:00Z</dcterms:created>
  <dcterms:modified xsi:type="dcterms:W3CDTF">2015-03-30T22:13:00Z</dcterms:modified>
</cp:coreProperties>
</file>