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57EF8" w14:textId="77777777" w:rsidR="00CA3B99" w:rsidRPr="006D6EEA" w:rsidRDefault="00CA3B99" w:rsidP="00A341C1">
      <w:pPr>
        <w:widowControl/>
        <w:tabs>
          <w:tab w:val="center" w:pos="4680"/>
        </w:tabs>
        <w:jc w:val="center"/>
        <w:rPr>
          <w:bCs/>
          <w:sz w:val="26"/>
          <w:szCs w:val="26"/>
        </w:rPr>
      </w:pPr>
      <w:r w:rsidRPr="006D6EEA">
        <w:rPr>
          <w:bCs/>
          <w:sz w:val="26"/>
          <w:szCs w:val="26"/>
        </w:rPr>
        <w:t>Supporting Statement for</w:t>
      </w:r>
    </w:p>
    <w:p w14:paraId="7E34C5E2" w14:textId="77777777" w:rsidR="00CA3B99" w:rsidRDefault="00CA3B99" w:rsidP="00A3065F">
      <w:pPr>
        <w:widowControl/>
        <w:tabs>
          <w:tab w:val="center" w:pos="5040"/>
        </w:tabs>
        <w:jc w:val="center"/>
        <w:rPr>
          <w:b/>
          <w:bCs/>
          <w:sz w:val="26"/>
          <w:szCs w:val="26"/>
        </w:rPr>
      </w:pPr>
      <w:r w:rsidRPr="006D6EEA">
        <w:rPr>
          <w:b/>
          <w:bCs/>
          <w:sz w:val="26"/>
          <w:szCs w:val="26"/>
        </w:rPr>
        <w:t xml:space="preserve">FERC-545 (Gas Pipeline </w:t>
      </w:r>
      <w:r w:rsidR="00A72889">
        <w:rPr>
          <w:b/>
          <w:bCs/>
          <w:sz w:val="26"/>
          <w:szCs w:val="26"/>
        </w:rPr>
        <w:t xml:space="preserve">Rates: Rate Change Non-Formal) and </w:t>
      </w:r>
    </w:p>
    <w:p w14:paraId="49986E7B" w14:textId="77777777" w:rsidR="00B57842" w:rsidRDefault="00A72889" w:rsidP="00A3065F">
      <w:pPr>
        <w:widowControl/>
        <w:tabs>
          <w:tab w:val="center" w:pos="5040"/>
        </w:tabs>
        <w:jc w:val="center"/>
        <w:rPr>
          <w:b/>
          <w:bCs/>
          <w:sz w:val="26"/>
          <w:szCs w:val="26"/>
        </w:rPr>
      </w:pPr>
      <w:r w:rsidRPr="00A72889">
        <w:rPr>
          <w:b/>
          <w:bCs/>
          <w:sz w:val="26"/>
          <w:szCs w:val="26"/>
        </w:rPr>
        <w:t xml:space="preserve">FERC-549C </w:t>
      </w:r>
      <w:r w:rsidR="00C674AD">
        <w:rPr>
          <w:b/>
          <w:bCs/>
          <w:sz w:val="26"/>
          <w:szCs w:val="26"/>
        </w:rPr>
        <w:t>(</w:t>
      </w:r>
      <w:r w:rsidRPr="00A72889">
        <w:rPr>
          <w:b/>
          <w:bCs/>
          <w:sz w:val="26"/>
          <w:szCs w:val="26"/>
        </w:rPr>
        <w:t>Standards for Business Practices of Interstate Natural Gas Pipelines</w:t>
      </w:r>
      <w:r w:rsidR="00C674AD">
        <w:rPr>
          <w:b/>
          <w:bCs/>
          <w:sz w:val="26"/>
          <w:szCs w:val="26"/>
        </w:rPr>
        <w:t>)</w:t>
      </w:r>
      <w:r>
        <w:rPr>
          <w:b/>
          <w:bCs/>
          <w:sz w:val="26"/>
          <w:szCs w:val="26"/>
        </w:rPr>
        <w:t xml:space="preserve">, </w:t>
      </w:r>
    </w:p>
    <w:p w14:paraId="77D3366D" w14:textId="71188746" w:rsidR="00A72889" w:rsidRPr="006D6EEA" w:rsidRDefault="00A72889" w:rsidP="00A3065F">
      <w:pPr>
        <w:widowControl/>
        <w:tabs>
          <w:tab w:val="center" w:pos="5040"/>
        </w:tabs>
        <w:jc w:val="center"/>
        <w:rPr>
          <w:b/>
          <w:bCs/>
          <w:sz w:val="26"/>
          <w:szCs w:val="26"/>
        </w:rPr>
      </w:pPr>
      <w:r>
        <w:rPr>
          <w:b/>
          <w:bCs/>
          <w:sz w:val="26"/>
          <w:szCs w:val="26"/>
        </w:rPr>
        <w:t xml:space="preserve">as revised by </w:t>
      </w:r>
      <w:r w:rsidR="00F336E5">
        <w:rPr>
          <w:b/>
          <w:bCs/>
          <w:sz w:val="26"/>
          <w:szCs w:val="26"/>
        </w:rPr>
        <w:t>Final Rule</w:t>
      </w:r>
      <w:r>
        <w:rPr>
          <w:b/>
          <w:bCs/>
          <w:sz w:val="26"/>
          <w:szCs w:val="26"/>
        </w:rPr>
        <w:t xml:space="preserve"> in Docket No. RM14-2</w:t>
      </w:r>
      <w:r w:rsidR="00B57842">
        <w:rPr>
          <w:b/>
          <w:bCs/>
          <w:sz w:val="26"/>
          <w:szCs w:val="26"/>
        </w:rPr>
        <w:t>-000</w:t>
      </w:r>
    </w:p>
    <w:p w14:paraId="7CDBFA51" w14:textId="77777777" w:rsidR="00CA3B99" w:rsidRPr="006D6EEA" w:rsidRDefault="00CA3B99" w:rsidP="00A3065F">
      <w:pPr>
        <w:widowControl/>
        <w:tabs>
          <w:tab w:val="center" w:pos="4680"/>
        </w:tabs>
        <w:jc w:val="center"/>
        <w:rPr>
          <w:b/>
          <w:bCs/>
          <w:sz w:val="26"/>
          <w:szCs w:val="26"/>
        </w:rPr>
      </w:pPr>
      <w:r>
        <w:rPr>
          <w:b/>
          <w:bCs/>
          <w:sz w:val="26"/>
          <w:szCs w:val="26"/>
        </w:rPr>
        <w:t xml:space="preserve"> </w:t>
      </w:r>
    </w:p>
    <w:p w14:paraId="1E1EE5E5" w14:textId="77777777" w:rsidR="00CA3B99" w:rsidRPr="006D6EEA" w:rsidRDefault="00CA3B99">
      <w:pPr>
        <w:rPr>
          <w:sz w:val="26"/>
          <w:szCs w:val="26"/>
        </w:rPr>
      </w:pPr>
    </w:p>
    <w:p w14:paraId="22664E65" w14:textId="0B5D9024" w:rsidR="0041210E" w:rsidRDefault="00CA3B99" w:rsidP="006D154A">
      <w:pPr>
        <w:rPr>
          <w:sz w:val="26"/>
          <w:szCs w:val="26"/>
        </w:rPr>
      </w:pPr>
      <w:r w:rsidRPr="006D6EEA">
        <w:rPr>
          <w:sz w:val="26"/>
          <w:szCs w:val="26"/>
        </w:rPr>
        <w:t>The Federal Energy Regulatory Commission (Commission or FERC) requests that the Office of Management and Budget (OMB) review and approve</w:t>
      </w:r>
      <w:r w:rsidR="006120E4">
        <w:rPr>
          <w:sz w:val="26"/>
          <w:szCs w:val="26"/>
        </w:rPr>
        <w:t xml:space="preserve"> </w:t>
      </w:r>
      <w:r w:rsidRPr="006D6EEA">
        <w:rPr>
          <w:sz w:val="26"/>
          <w:szCs w:val="26"/>
        </w:rPr>
        <w:t xml:space="preserve">changes </w:t>
      </w:r>
      <w:r w:rsidR="00AE141B">
        <w:rPr>
          <w:sz w:val="26"/>
          <w:szCs w:val="26"/>
        </w:rPr>
        <w:t>to FERC-545 (</w:t>
      </w:r>
      <w:r w:rsidR="00AE141B" w:rsidRPr="00AE141B">
        <w:rPr>
          <w:sz w:val="26"/>
          <w:szCs w:val="26"/>
        </w:rPr>
        <w:t>Gas Pipeline Rates: Rate Change Non-Formal) and FERC-549C (Standards for Business Practices of Interstate Natural Gas Pipelines)</w:t>
      </w:r>
      <w:r w:rsidR="00C7343D">
        <w:rPr>
          <w:sz w:val="26"/>
          <w:szCs w:val="26"/>
        </w:rPr>
        <w:t xml:space="preserve"> as stated in the Final Rule </w:t>
      </w:r>
      <w:r>
        <w:rPr>
          <w:sz w:val="26"/>
          <w:szCs w:val="26"/>
        </w:rPr>
        <w:t>in Docket</w:t>
      </w:r>
      <w:r w:rsidRPr="009B7756">
        <w:rPr>
          <w:sz w:val="26"/>
          <w:szCs w:val="26"/>
        </w:rPr>
        <w:t xml:space="preserve"> </w:t>
      </w:r>
      <w:r w:rsidR="00C674AD">
        <w:rPr>
          <w:sz w:val="26"/>
          <w:szCs w:val="26"/>
        </w:rPr>
        <w:t xml:space="preserve">No. </w:t>
      </w:r>
      <w:r w:rsidRPr="009B7756">
        <w:rPr>
          <w:sz w:val="26"/>
          <w:szCs w:val="26"/>
        </w:rPr>
        <w:t>RM</w:t>
      </w:r>
      <w:r w:rsidR="006120E4">
        <w:rPr>
          <w:sz w:val="26"/>
          <w:szCs w:val="26"/>
        </w:rPr>
        <w:t>14-2</w:t>
      </w:r>
      <w:r w:rsidR="0041210E">
        <w:rPr>
          <w:sz w:val="26"/>
          <w:szCs w:val="26"/>
        </w:rPr>
        <w:t xml:space="preserve"> </w:t>
      </w:r>
      <w:r w:rsidR="00C7343D">
        <w:rPr>
          <w:sz w:val="26"/>
          <w:szCs w:val="26"/>
        </w:rPr>
        <w:t xml:space="preserve">(Order No. </w:t>
      </w:r>
      <w:r w:rsidR="00521B76">
        <w:rPr>
          <w:sz w:val="26"/>
          <w:szCs w:val="26"/>
        </w:rPr>
        <w:t>809</w:t>
      </w:r>
      <w:r w:rsidR="00C7343D">
        <w:rPr>
          <w:sz w:val="26"/>
          <w:szCs w:val="26"/>
        </w:rPr>
        <w:t>)</w:t>
      </w:r>
      <w:r w:rsidR="00521B76">
        <w:rPr>
          <w:sz w:val="26"/>
          <w:szCs w:val="26"/>
        </w:rPr>
        <w:t xml:space="preserve">. </w:t>
      </w:r>
      <w:r w:rsidR="00521B76">
        <w:rPr>
          <w:rStyle w:val="FootnoteReference"/>
          <w:sz w:val="26"/>
          <w:szCs w:val="26"/>
        </w:rPr>
        <w:footnoteReference w:id="1"/>
      </w:r>
      <w:r w:rsidR="00521B76" w:rsidDel="00521B76">
        <w:rPr>
          <w:sz w:val="26"/>
          <w:szCs w:val="26"/>
        </w:rPr>
        <w:t xml:space="preserve"> </w:t>
      </w:r>
    </w:p>
    <w:p w14:paraId="2E68474E" w14:textId="77777777" w:rsidR="00C7343D" w:rsidRDefault="00C7343D" w:rsidP="006D154A">
      <w:pPr>
        <w:rPr>
          <w:sz w:val="26"/>
          <w:szCs w:val="26"/>
        </w:rPr>
      </w:pPr>
    </w:p>
    <w:p w14:paraId="71844D9B" w14:textId="7BA21E14" w:rsidR="00C7343D" w:rsidRDefault="00C7343D" w:rsidP="006D154A">
      <w:pPr>
        <w:rPr>
          <w:sz w:val="26"/>
          <w:szCs w:val="26"/>
        </w:rPr>
      </w:pPr>
      <w:r>
        <w:rPr>
          <w:sz w:val="26"/>
          <w:szCs w:val="26"/>
        </w:rPr>
        <w:t>Please note that this Final Rule in RM14-2 affects two separate OMB Control Numbers:</w:t>
      </w:r>
    </w:p>
    <w:p w14:paraId="49DA481D" w14:textId="77777777" w:rsidR="00CA3B99" w:rsidRPr="006D6EEA" w:rsidRDefault="00CA3B99" w:rsidP="000478BB">
      <w:pPr>
        <w:ind w:firstLine="720"/>
        <w:rPr>
          <w:sz w:val="26"/>
          <w:szCs w:val="26"/>
        </w:rPr>
      </w:pPr>
      <w:r w:rsidRPr="006D6EEA">
        <w:rPr>
          <w:sz w:val="26"/>
          <w:szCs w:val="26"/>
        </w:rPr>
        <w:t xml:space="preserve"> </w:t>
      </w:r>
    </w:p>
    <w:p w14:paraId="560D6F0E" w14:textId="7C86326A" w:rsidR="006120E4" w:rsidRDefault="00CA3B99" w:rsidP="006D6EEA">
      <w:pPr>
        <w:pStyle w:val="ListParagraph"/>
        <w:numPr>
          <w:ilvl w:val="0"/>
          <w:numId w:val="1"/>
        </w:numPr>
        <w:rPr>
          <w:sz w:val="26"/>
          <w:szCs w:val="26"/>
        </w:rPr>
      </w:pPr>
      <w:r w:rsidRPr="006120E4">
        <w:rPr>
          <w:sz w:val="26"/>
          <w:szCs w:val="26"/>
        </w:rPr>
        <w:t>FERC-545 (Gas Pipeline Rates: Rate Change Non-Formal), OMB Control No. 1902-0154</w:t>
      </w:r>
      <w:r w:rsidR="00A9255A">
        <w:rPr>
          <w:sz w:val="26"/>
          <w:szCs w:val="26"/>
        </w:rPr>
        <w:t>;</w:t>
      </w:r>
      <w:r w:rsidR="006120E4" w:rsidRPr="006120E4">
        <w:rPr>
          <w:sz w:val="26"/>
          <w:szCs w:val="26"/>
        </w:rPr>
        <w:t xml:space="preserve"> and </w:t>
      </w:r>
    </w:p>
    <w:p w14:paraId="5C6A42DA" w14:textId="77777777" w:rsidR="006120E4" w:rsidRDefault="006120E4" w:rsidP="006120E4">
      <w:pPr>
        <w:pStyle w:val="ListParagraph"/>
        <w:numPr>
          <w:ilvl w:val="0"/>
          <w:numId w:val="1"/>
        </w:numPr>
        <w:rPr>
          <w:sz w:val="26"/>
          <w:szCs w:val="26"/>
        </w:rPr>
      </w:pPr>
      <w:r>
        <w:rPr>
          <w:sz w:val="26"/>
          <w:szCs w:val="26"/>
        </w:rPr>
        <w:t>F</w:t>
      </w:r>
      <w:r w:rsidRPr="006120E4">
        <w:rPr>
          <w:sz w:val="26"/>
          <w:szCs w:val="26"/>
        </w:rPr>
        <w:t xml:space="preserve">ERC-549C </w:t>
      </w:r>
      <w:r w:rsidR="0041210E">
        <w:rPr>
          <w:sz w:val="26"/>
          <w:szCs w:val="26"/>
        </w:rPr>
        <w:t>(</w:t>
      </w:r>
      <w:r w:rsidRPr="006120E4">
        <w:rPr>
          <w:sz w:val="26"/>
          <w:szCs w:val="26"/>
        </w:rPr>
        <w:t>Standards for Business Practices of Interstate Natural Gas Pipelines</w:t>
      </w:r>
      <w:r w:rsidR="0041210E">
        <w:rPr>
          <w:sz w:val="26"/>
          <w:szCs w:val="26"/>
        </w:rPr>
        <w:t>),</w:t>
      </w:r>
      <w:r w:rsidRPr="006252AA">
        <w:rPr>
          <w:sz w:val="26"/>
          <w:szCs w:val="26"/>
        </w:rPr>
        <w:t xml:space="preserve"> </w:t>
      </w:r>
      <w:r>
        <w:rPr>
          <w:sz w:val="26"/>
          <w:szCs w:val="26"/>
        </w:rPr>
        <w:t>OMB Control No. 1902-0174.</w:t>
      </w:r>
    </w:p>
    <w:p w14:paraId="0190219C" w14:textId="77777777" w:rsidR="00F336E5" w:rsidRDefault="00F336E5" w:rsidP="006D154A">
      <w:pPr>
        <w:rPr>
          <w:sz w:val="26"/>
          <w:szCs w:val="26"/>
        </w:rPr>
      </w:pPr>
    </w:p>
    <w:p w14:paraId="60E946EC" w14:textId="24D05405" w:rsidR="005F3BFB" w:rsidRDefault="005F3BFB" w:rsidP="006D154A">
      <w:pPr>
        <w:rPr>
          <w:sz w:val="26"/>
          <w:szCs w:val="26"/>
        </w:rPr>
      </w:pPr>
      <w:r>
        <w:rPr>
          <w:sz w:val="26"/>
          <w:szCs w:val="26"/>
        </w:rPr>
        <w:t>The Commission</w:t>
      </w:r>
      <w:r w:rsidR="00F336E5" w:rsidRPr="00F336E5">
        <w:rPr>
          <w:sz w:val="26"/>
          <w:szCs w:val="26"/>
        </w:rPr>
        <w:t xml:space="preserve"> is submitting this consolidated supporting statement to OMB with one ICR for each of the 2 separate OMB Control Numbers.</w:t>
      </w:r>
      <w:r>
        <w:rPr>
          <w:sz w:val="26"/>
          <w:szCs w:val="26"/>
        </w:rPr>
        <w:t xml:space="preserve">  </w:t>
      </w:r>
      <w:r w:rsidR="00BD7C50" w:rsidRPr="00BD7C50">
        <w:rPr>
          <w:sz w:val="26"/>
          <w:szCs w:val="26"/>
        </w:rPr>
        <w:t xml:space="preserve">The FERC-545 accounts for the required tariff revision each </w:t>
      </w:r>
      <w:r w:rsidR="00F336E5">
        <w:rPr>
          <w:sz w:val="26"/>
          <w:szCs w:val="26"/>
        </w:rPr>
        <w:t xml:space="preserve">interstate </w:t>
      </w:r>
      <w:r w:rsidR="00BD7C50" w:rsidRPr="00BD7C50">
        <w:rPr>
          <w:sz w:val="26"/>
          <w:szCs w:val="26"/>
        </w:rPr>
        <w:t>pipeline company will file with the Commission.</w:t>
      </w:r>
      <w:r w:rsidR="00522EA0" w:rsidRPr="00522EA0">
        <w:rPr>
          <w:sz w:val="26"/>
          <w:szCs w:val="26"/>
        </w:rPr>
        <w:t xml:space="preserve"> </w:t>
      </w:r>
      <w:r w:rsidR="00F336E5">
        <w:rPr>
          <w:sz w:val="26"/>
          <w:szCs w:val="26"/>
        </w:rPr>
        <w:t xml:space="preserve">  </w:t>
      </w:r>
      <w:r w:rsidR="00F336E5" w:rsidRPr="00F336E5">
        <w:rPr>
          <w:sz w:val="26"/>
          <w:szCs w:val="26"/>
        </w:rPr>
        <w:t xml:space="preserve">The FERC-549C is affected because the Final Rule upgrades the Commission’s current business practice and communications standards to the latest </w:t>
      </w:r>
      <w:r>
        <w:rPr>
          <w:sz w:val="26"/>
          <w:szCs w:val="26"/>
        </w:rPr>
        <w:t>V</w:t>
      </w:r>
      <w:r w:rsidR="00F336E5" w:rsidRPr="00F336E5">
        <w:rPr>
          <w:sz w:val="26"/>
          <w:szCs w:val="26"/>
        </w:rPr>
        <w:t>ersion 2.0</w:t>
      </w:r>
      <w:r>
        <w:rPr>
          <w:sz w:val="26"/>
          <w:szCs w:val="26"/>
        </w:rPr>
        <w:t xml:space="preserve"> approved by the </w:t>
      </w:r>
      <w:r w:rsidRPr="00F336E5">
        <w:rPr>
          <w:sz w:val="26"/>
          <w:szCs w:val="26"/>
        </w:rPr>
        <w:t>North American Energy Standards Board (NAESB) Wholesale Gas Quadrant (WGQ)</w:t>
      </w:r>
      <w:r>
        <w:rPr>
          <w:sz w:val="26"/>
          <w:szCs w:val="26"/>
        </w:rPr>
        <w:t>.</w:t>
      </w:r>
    </w:p>
    <w:p w14:paraId="09AB1466" w14:textId="77777777" w:rsidR="00B168E2" w:rsidRDefault="00B168E2" w:rsidP="006D154A">
      <w:pPr>
        <w:rPr>
          <w:sz w:val="26"/>
          <w:szCs w:val="26"/>
        </w:rPr>
      </w:pPr>
    </w:p>
    <w:p w14:paraId="05F036E3" w14:textId="77777777" w:rsidR="00B168E2" w:rsidRDefault="00B168E2" w:rsidP="006D154A">
      <w:pPr>
        <w:rPr>
          <w:sz w:val="26"/>
          <w:szCs w:val="26"/>
        </w:rPr>
      </w:pPr>
      <w:r w:rsidRPr="00522EA0">
        <w:rPr>
          <w:sz w:val="26"/>
          <w:szCs w:val="26"/>
        </w:rPr>
        <w:t xml:space="preserve">In this Final Rule, </w:t>
      </w:r>
      <w:r>
        <w:rPr>
          <w:sz w:val="26"/>
          <w:szCs w:val="26"/>
        </w:rPr>
        <w:t>FERC</w:t>
      </w:r>
      <w:r w:rsidRPr="00522EA0">
        <w:rPr>
          <w:sz w:val="26"/>
          <w:szCs w:val="26"/>
        </w:rPr>
        <w:t xml:space="preserve"> </w:t>
      </w:r>
      <w:r>
        <w:rPr>
          <w:sz w:val="26"/>
          <w:szCs w:val="26"/>
        </w:rPr>
        <w:t>is revising</w:t>
      </w:r>
      <w:r w:rsidRPr="00522EA0">
        <w:rPr>
          <w:sz w:val="26"/>
          <w:szCs w:val="26"/>
        </w:rPr>
        <w:t xml:space="preserve"> Part 284 of the Commission’s regulations </w:t>
      </w:r>
      <w:r>
        <w:rPr>
          <w:sz w:val="26"/>
          <w:szCs w:val="26"/>
        </w:rPr>
        <w:t>to:</w:t>
      </w:r>
    </w:p>
    <w:p w14:paraId="6B765BC8" w14:textId="77777777" w:rsidR="00B168E2" w:rsidRDefault="00B168E2" w:rsidP="00B168E2">
      <w:pPr>
        <w:ind w:firstLine="360"/>
        <w:rPr>
          <w:sz w:val="26"/>
          <w:szCs w:val="26"/>
        </w:rPr>
      </w:pPr>
    </w:p>
    <w:p w14:paraId="36AC0623" w14:textId="31181459" w:rsidR="00B168E2" w:rsidRPr="006E7292" w:rsidRDefault="00B168E2" w:rsidP="00B168E2">
      <w:pPr>
        <w:pStyle w:val="ListParagraph"/>
        <w:numPr>
          <w:ilvl w:val="0"/>
          <w:numId w:val="24"/>
        </w:numPr>
        <w:rPr>
          <w:sz w:val="26"/>
          <w:szCs w:val="26"/>
        </w:rPr>
      </w:pPr>
      <w:r>
        <w:rPr>
          <w:sz w:val="26"/>
          <w:szCs w:val="26"/>
        </w:rPr>
        <w:t>I</w:t>
      </w:r>
      <w:r w:rsidRPr="006E7292">
        <w:rPr>
          <w:sz w:val="26"/>
          <w:szCs w:val="26"/>
        </w:rPr>
        <w:t xml:space="preserve">ncorporate by reference NAESB’s proposal to move the start of the first day-ahead gas nomination opportunity (Timely Nomination Cycle) from 11:30 a.m. to 1:00 p.m. </w:t>
      </w:r>
      <w:r w:rsidR="006D154A">
        <w:rPr>
          <w:sz w:val="26"/>
          <w:szCs w:val="26"/>
        </w:rPr>
        <w:t>Central Clock Time (</w:t>
      </w:r>
      <w:r w:rsidRPr="006E7292">
        <w:rPr>
          <w:sz w:val="26"/>
          <w:szCs w:val="26"/>
        </w:rPr>
        <w:t>CCT</w:t>
      </w:r>
      <w:r w:rsidR="006D154A">
        <w:rPr>
          <w:sz w:val="26"/>
          <w:szCs w:val="26"/>
        </w:rPr>
        <w:t>)</w:t>
      </w:r>
      <w:r w:rsidRPr="006E7292">
        <w:rPr>
          <w:sz w:val="26"/>
          <w:szCs w:val="26"/>
        </w:rPr>
        <w:t>;</w:t>
      </w:r>
    </w:p>
    <w:p w14:paraId="00743793" w14:textId="77777777" w:rsidR="00B168E2" w:rsidRPr="006E7292" w:rsidRDefault="00B168E2" w:rsidP="00B168E2">
      <w:pPr>
        <w:pStyle w:val="ListParagraph"/>
        <w:numPr>
          <w:ilvl w:val="0"/>
          <w:numId w:val="24"/>
        </w:numPr>
        <w:rPr>
          <w:sz w:val="26"/>
          <w:szCs w:val="26"/>
        </w:rPr>
      </w:pPr>
      <w:r>
        <w:rPr>
          <w:sz w:val="26"/>
          <w:szCs w:val="26"/>
        </w:rPr>
        <w:t>I</w:t>
      </w:r>
      <w:r w:rsidRPr="006E7292">
        <w:rPr>
          <w:sz w:val="26"/>
          <w:szCs w:val="26"/>
        </w:rPr>
        <w:t>ncorporate by reference NAESB’s proposal to move the start of the Intraday 2 Nomination Cycle from 5:00 p.m. to 7:00 p.m. CCT</w:t>
      </w:r>
      <w:r>
        <w:rPr>
          <w:sz w:val="26"/>
          <w:szCs w:val="26"/>
        </w:rPr>
        <w:t>;</w:t>
      </w:r>
    </w:p>
    <w:p w14:paraId="0584A120" w14:textId="77777777" w:rsidR="00B168E2" w:rsidRPr="006E7292" w:rsidRDefault="00B168E2" w:rsidP="00B168E2">
      <w:pPr>
        <w:pStyle w:val="ListParagraph"/>
        <w:numPr>
          <w:ilvl w:val="0"/>
          <w:numId w:val="24"/>
        </w:numPr>
        <w:rPr>
          <w:sz w:val="26"/>
          <w:szCs w:val="26"/>
        </w:rPr>
      </w:pPr>
      <w:r>
        <w:rPr>
          <w:sz w:val="26"/>
          <w:szCs w:val="26"/>
        </w:rPr>
        <w:t>I</w:t>
      </w:r>
      <w:r w:rsidRPr="006E7292">
        <w:rPr>
          <w:sz w:val="26"/>
          <w:szCs w:val="26"/>
        </w:rPr>
        <w:t xml:space="preserve">ncorporate by reference NAESB’s proposal to add an additional Intraday Nomination Cycle at 2:30 p.m. CCT; and </w:t>
      </w:r>
    </w:p>
    <w:p w14:paraId="4C260E3C" w14:textId="77777777" w:rsidR="00B168E2" w:rsidRDefault="00B168E2" w:rsidP="00B168E2">
      <w:pPr>
        <w:pStyle w:val="ListParagraph"/>
        <w:numPr>
          <w:ilvl w:val="0"/>
          <w:numId w:val="24"/>
        </w:numPr>
        <w:rPr>
          <w:sz w:val="26"/>
          <w:szCs w:val="26"/>
        </w:rPr>
      </w:pPr>
      <w:r>
        <w:rPr>
          <w:sz w:val="26"/>
          <w:szCs w:val="26"/>
        </w:rPr>
        <w:t>R</w:t>
      </w:r>
      <w:r w:rsidRPr="006E7292">
        <w:rPr>
          <w:sz w:val="26"/>
          <w:szCs w:val="26"/>
        </w:rPr>
        <w:t xml:space="preserve">equire interstate pipelines to file tariff changes with the Commission allowing multiple shippers associated with a designated agent or asset manager to be jointly and severally liable under a single firm transportation service agreement within 60 days of receiving a </w:t>
      </w:r>
      <w:r w:rsidRPr="006E7292">
        <w:rPr>
          <w:sz w:val="26"/>
          <w:szCs w:val="26"/>
        </w:rPr>
        <w:lastRenderedPageBreak/>
        <w:t>request from a shipper for a multi-party service agreement.</w:t>
      </w:r>
    </w:p>
    <w:p w14:paraId="6EEC9A81" w14:textId="77777777" w:rsidR="00B168E2" w:rsidRDefault="00B168E2" w:rsidP="006D154A">
      <w:pPr>
        <w:rPr>
          <w:sz w:val="26"/>
          <w:szCs w:val="26"/>
        </w:rPr>
      </w:pPr>
    </w:p>
    <w:p w14:paraId="63137F62" w14:textId="77777777" w:rsidR="009D0E8A" w:rsidRDefault="009D0E8A" w:rsidP="006D154A">
      <w:pPr>
        <w:rPr>
          <w:sz w:val="26"/>
          <w:szCs w:val="26"/>
        </w:rPr>
      </w:pPr>
      <w:r w:rsidRPr="00743F69">
        <w:rPr>
          <w:sz w:val="26"/>
          <w:szCs w:val="26"/>
        </w:rPr>
        <w:t>The Commission is amending its regulations at Part 284 to incorporate by reference NAESB’s Version 2.0 Standards, as revised by WGQ Annual Plan Item 11c (September 22, 2014, with Minor Correction MC14018 applied October 10, 2014)</w:t>
      </w:r>
      <w:r>
        <w:rPr>
          <w:sz w:val="26"/>
          <w:szCs w:val="26"/>
        </w:rPr>
        <w:t xml:space="preserve">.  </w:t>
      </w:r>
      <w:r w:rsidRPr="00CC0D00">
        <w:rPr>
          <w:sz w:val="26"/>
          <w:szCs w:val="26"/>
        </w:rPr>
        <w:t>The Commission’s existing regulations incorporate by reference the interstate natural gas pipeline scheduling business practice standards of NAESB’s Wholesale Gas Quadrant (WGQ).</w:t>
      </w:r>
      <w:r>
        <w:rPr>
          <w:rStyle w:val="FootnoteReference"/>
          <w:sz w:val="26"/>
          <w:szCs w:val="26"/>
        </w:rPr>
        <w:footnoteReference w:id="2"/>
      </w:r>
      <w:r w:rsidRPr="00CC0D00">
        <w:rPr>
          <w:sz w:val="26"/>
          <w:szCs w:val="26"/>
        </w:rPr>
        <w:t xml:space="preserve">   NAESB is a consensus standards organization composed of representatives of all segments of the natural gas industry and the electric power industry.  Since 1996, these standards have established nationwide timelines that the industry and the Commission have determined are necessary to establish a more efficient and integrated pipeline grid.</w:t>
      </w:r>
    </w:p>
    <w:p w14:paraId="7E0AC83C" w14:textId="77777777" w:rsidR="009D0E8A" w:rsidRDefault="009D0E8A" w:rsidP="009D0E8A">
      <w:pPr>
        <w:ind w:firstLine="360"/>
        <w:rPr>
          <w:sz w:val="26"/>
          <w:szCs w:val="26"/>
        </w:rPr>
      </w:pPr>
    </w:p>
    <w:p w14:paraId="7EB0ACBD" w14:textId="5944BF46" w:rsidR="009D0E8A" w:rsidRDefault="009D0E8A" w:rsidP="006D154A">
      <w:pPr>
        <w:rPr>
          <w:sz w:val="26"/>
          <w:szCs w:val="26"/>
        </w:rPr>
      </w:pPr>
      <w:r>
        <w:rPr>
          <w:sz w:val="26"/>
          <w:szCs w:val="26"/>
        </w:rPr>
        <w:t xml:space="preserve">Additionally, </w:t>
      </w:r>
      <w:r w:rsidRPr="005F3BFB">
        <w:rPr>
          <w:sz w:val="26"/>
          <w:szCs w:val="26"/>
        </w:rPr>
        <w:t xml:space="preserve">the Commission </w:t>
      </w:r>
      <w:r>
        <w:rPr>
          <w:sz w:val="26"/>
          <w:szCs w:val="26"/>
        </w:rPr>
        <w:t>is adopting</w:t>
      </w:r>
      <w:r w:rsidRPr="005F3BFB">
        <w:rPr>
          <w:sz w:val="26"/>
          <w:szCs w:val="26"/>
        </w:rPr>
        <w:t xml:space="preserve"> section 284.12(b)(1)(iii) as proposed in the </w:t>
      </w:r>
      <w:r w:rsidR="00A05092" w:rsidRPr="006E7A4A">
        <w:rPr>
          <w:sz w:val="26"/>
          <w:szCs w:val="26"/>
        </w:rPr>
        <w:t>Notice of Proposed Rulemaking (NOPR or Proposed Rule)</w:t>
      </w:r>
      <w:r>
        <w:rPr>
          <w:rStyle w:val="FootnoteReference"/>
          <w:sz w:val="26"/>
          <w:szCs w:val="26"/>
        </w:rPr>
        <w:footnoteReference w:id="3"/>
      </w:r>
      <w:r w:rsidRPr="005F3BFB">
        <w:rPr>
          <w:sz w:val="26"/>
          <w:szCs w:val="26"/>
        </w:rPr>
        <w:t>, with a  modification.  Instead of requiring all interstate pipelines at this time to modify their tariffs to offer multi-party firm transportation contracts, the Commission will only require pipelines to offer such an option if requested to do so by a shipper.  Specifically, section 284.12(b)(1)(iii) as adopted in this Final Rule, requires that within 60 days after a shipper request, a pipeline must file to make appropriate tariff changes to allow multiple shippers associated with a designated agent or asset manager to be jointly and severally liable under a single firm transportation service agreement, subject to reasonable terms and conditions.</w:t>
      </w:r>
    </w:p>
    <w:p w14:paraId="63EFEFBF" w14:textId="77777777" w:rsidR="005F3BFB" w:rsidRDefault="005F3BFB" w:rsidP="006D154A">
      <w:pPr>
        <w:ind w:left="360"/>
        <w:rPr>
          <w:sz w:val="26"/>
          <w:szCs w:val="26"/>
        </w:rPr>
      </w:pPr>
    </w:p>
    <w:p w14:paraId="65456111" w14:textId="7E70A17B" w:rsidR="00B168E2" w:rsidRPr="001C44AB" w:rsidRDefault="00F21DD4" w:rsidP="006D154A">
      <w:pPr>
        <w:rPr>
          <w:sz w:val="26"/>
          <w:szCs w:val="26"/>
        </w:rPr>
      </w:pPr>
      <w:r w:rsidRPr="001C44AB">
        <w:rPr>
          <w:sz w:val="26"/>
          <w:szCs w:val="26"/>
        </w:rPr>
        <w:t>All of the changes in the Final Rule are provided for under sections 4, 5, 8, 10 and 16 of the Natural Gas Act (NGA) and Title III, section 311 of the Natural Gas Policy Act (NGPA).</w:t>
      </w:r>
    </w:p>
    <w:p w14:paraId="355DBC6B" w14:textId="77777777" w:rsidR="005A36C7" w:rsidRDefault="005A36C7" w:rsidP="006D154A">
      <w:pPr>
        <w:rPr>
          <w:sz w:val="26"/>
          <w:szCs w:val="26"/>
        </w:rPr>
      </w:pPr>
    </w:p>
    <w:p w14:paraId="6EC7F38E" w14:textId="68122C29" w:rsidR="005A36C7" w:rsidRDefault="005A36C7" w:rsidP="006D154A">
      <w:pPr>
        <w:rPr>
          <w:sz w:val="26"/>
          <w:szCs w:val="26"/>
        </w:rPr>
      </w:pPr>
      <w:r w:rsidRPr="00DA1D64">
        <w:rPr>
          <w:sz w:val="26"/>
          <w:szCs w:val="26"/>
        </w:rPr>
        <w:t>This Final Rule will upgrade the Commission’s current business practice and communication standards and supports the availability of multi-party firm contracts for interested shippers.</w:t>
      </w:r>
    </w:p>
    <w:p w14:paraId="07D77996" w14:textId="77777777" w:rsidR="005A36C7" w:rsidRDefault="005A36C7" w:rsidP="006D154A">
      <w:pPr>
        <w:rPr>
          <w:sz w:val="26"/>
          <w:szCs w:val="26"/>
        </w:rPr>
      </w:pPr>
    </w:p>
    <w:p w14:paraId="0BE8D5BA" w14:textId="277AAFDF" w:rsidR="007258EF" w:rsidRPr="006D154A" w:rsidRDefault="007258EF" w:rsidP="006D154A">
      <w:pPr>
        <w:rPr>
          <w:b/>
          <w:sz w:val="26"/>
          <w:szCs w:val="26"/>
          <w:u w:val="single"/>
        </w:rPr>
      </w:pPr>
      <w:r w:rsidRPr="006D154A">
        <w:rPr>
          <w:b/>
          <w:sz w:val="26"/>
          <w:szCs w:val="26"/>
          <w:u w:val="single"/>
        </w:rPr>
        <w:t>Background</w:t>
      </w:r>
    </w:p>
    <w:p w14:paraId="7E5BEC06" w14:textId="77777777" w:rsidR="007258EF" w:rsidRPr="006D154A" w:rsidRDefault="007258EF" w:rsidP="006D154A">
      <w:pPr>
        <w:rPr>
          <w:sz w:val="26"/>
          <w:szCs w:val="26"/>
        </w:rPr>
      </w:pPr>
    </w:p>
    <w:p w14:paraId="72BDDE47" w14:textId="546DC306" w:rsidR="006E7A4A" w:rsidRDefault="006E7A4A">
      <w:pPr>
        <w:rPr>
          <w:sz w:val="26"/>
          <w:szCs w:val="26"/>
        </w:rPr>
      </w:pPr>
      <w:r w:rsidRPr="006E7A4A">
        <w:rPr>
          <w:sz w:val="26"/>
          <w:szCs w:val="26"/>
        </w:rPr>
        <w:t xml:space="preserve">Since early 2012, the Commission has </w:t>
      </w:r>
      <w:r>
        <w:rPr>
          <w:sz w:val="26"/>
          <w:szCs w:val="26"/>
        </w:rPr>
        <w:t>held</w:t>
      </w:r>
      <w:r w:rsidRPr="006E7A4A">
        <w:rPr>
          <w:sz w:val="26"/>
          <w:szCs w:val="26"/>
        </w:rPr>
        <w:t xml:space="preserve"> technical conferences and requested comment on various aspects of gas-electric in</w:t>
      </w:r>
      <w:r>
        <w:rPr>
          <w:sz w:val="26"/>
          <w:szCs w:val="26"/>
        </w:rPr>
        <w:t>terdependence and coordination to identify areas for improved coordination.</w:t>
      </w:r>
      <w:r w:rsidR="00A05092" w:rsidRPr="00796A9C">
        <w:rPr>
          <w:rStyle w:val="FootnoteReference"/>
        </w:rPr>
        <w:footnoteReference w:id="4"/>
      </w:r>
      <w:r w:rsidR="005B708B">
        <w:rPr>
          <w:sz w:val="26"/>
          <w:szCs w:val="26"/>
        </w:rPr>
        <w:t xml:space="preserve">  The issues include:</w:t>
      </w:r>
    </w:p>
    <w:p w14:paraId="592B81DF" w14:textId="77777777" w:rsidR="006E7A4A" w:rsidRDefault="006E7A4A" w:rsidP="006D154A">
      <w:pPr>
        <w:ind w:firstLine="360"/>
        <w:rPr>
          <w:sz w:val="26"/>
          <w:szCs w:val="26"/>
        </w:rPr>
      </w:pPr>
    </w:p>
    <w:p w14:paraId="3D865EC1" w14:textId="2CC546AC" w:rsidR="006E7A4A" w:rsidRDefault="006E7A4A" w:rsidP="006D154A">
      <w:pPr>
        <w:pStyle w:val="ListParagraph"/>
        <w:numPr>
          <w:ilvl w:val="0"/>
          <w:numId w:val="26"/>
        </w:numPr>
        <w:rPr>
          <w:sz w:val="26"/>
          <w:szCs w:val="26"/>
        </w:rPr>
      </w:pPr>
      <w:r>
        <w:rPr>
          <w:sz w:val="26"/>
          <w:szCs w:val="26"/>
        </w:rPr>
        <w:t>T</w:t>
      </w:r>
      <w:r w:rsidR="001A463B">
        <w:rPr>
          <w:sz w:val="26"/>
          <w:szCs w:val="26"/>
        </w:rPr>
        <w:t xml:space="preserve">he </w:t>
      </w:r>
      <w:r w:rsidRPr="006D154A">
        <w:rPr>
          <w:sz w:val="26"/>
          <w:szCs w:val="26"/>
        </w:rPr>
        <w:t>diffe</w:t>
      </w:r>
      <w:r w:rsidR="001A463B">
        <w:rPr>
          <w:sz w:val="26"/>
          <w:szCs w:val="26"/>
        </w:rPr>
        <w:t xml:space="preserve">rent operating times of the </w:t>
      </w:r>
      <w:r w:rsidRPr="006D154A">
        <w:rPr>
          <w:sz w:val="26"/>
          <w:szCs w:val="26"/>
        </w:rPr>
        <w:t>interstate natural gas pipeline</w:t>
      </w:r>
      <w:r w:rsidR="001A463B">
        <w:rPr>
          <w:sz w:val="26"/>
          <w:szCs w:val="26"/>
        </w:rPr>
        <w:t xml:space="preserve"> and </w:t>
      </w:r>
      <w:r w:rsidR="000B5B3F">
        <w:rPr>
          <w:sz w:val="26"/>
          <w:szCs w:val="26"/>
        </w:rPr>
        <w:t xml:space="preserve">electric </w:t>
      </w:r>
      <w:r w:rsidR="001A463B">
        <w:rPr>
          <w:sz w:val="26"/>
          <w:szCs w:val="26"/>
        </w:rPr>
        <w:t>utility indust</w:t>
      </w:r>
      <w:r w:rsidR="005B708B">
        <w:rPr>
          <w:sz w:val="26"/>
          <w:szCs w:val="26"/>
        </w:rPr>
        <w:t>r</w:t>
      </w:r>
      <w:r w:rsidR="001A463B">
        <w:rPr>
          <w:sz w:val="26"/>
          <w:szCs w:val="26"/>
        </w:rPr>
        <w:t>ies</w:t>
      </w:r>
      <w:r w:rsidRPr="006D154A">
        <w:rPr>
          <w:sz w:val="26"/>
          <w:szCs w:val="26"/>
        </w:rPr>
        <w:t xml:space="preserve"> (including ISOs and RTOs); </w:t>
      </w:r>
    </w:p>
    <w:p w14:paraId="3BD38D13" w14:textId="77777777" w:rsidR="006E7A4A" w:rsidRDefault="006E7A4A" w:rsidP="006D154A">
      <w:pPr>
        <w:pStyle w:val="ListParagraph"/>
        <w:numPr>
          <w:ilvl w:val="0"/>
          <w:numId w:val="26"/>
        </w:numPr>
        <w:rPr>
          <w:sz w:val="26"/>
          <w:szCs w:val="26"/>
        </w:rPr>
      </w:pPr>
      <w:r>
        <w:rPr>
          <w:sz w:val="26"/>
          <w:szCs w:val="26"/>
        </w:rPr>
        <w:lastRenderedPageBreak/>
        <w:t>T</w:t>
      </w:r>
      <w:r w:rsidRPr="006D154A">
        <w:rPr>
          <w:sz w:val="26"/>
          <w:szCs w:val="26"/>
        </w:rPr>
        <w:t xml:space="preserve">he lack of coordination between the day-ahead process for nominating interstate natural gas pipeline transportation services and the day-ahead process for scheduling electric generators, particularly those of the ISOs and RTOs; and </w:t>
      </w:r>
    </w:p>
    <w:p w14:paraId="03AEF0F6" w14:textId="27A17276" w:rsidR="006E7A4A" w:rsidRPr="006D154A" w:rsidRDefault="006E7A4A" w:rsidP="006D154A">
      <w:pPr>
        <w:pStyle w:val="ListParagraph"/>
        <w:numPr>
          <w:ilvl w:val="0"/>
          <w:numId w:val="26"/>
        </w:numPr>
        <w:rPr>
          <w:sz w:val="26"/>
          <w:szCs w:val="26"/>
        </w:rPr>
      </w:pPr>
      <w:r>
        <w:rPr>
          <w:sz w:val="26"/>
          <w:szCs w:val="26"/>
        </w:rPr>
        <w:t>T</w:t>
      </w:r>
      <w:r w:rsidRPr="006D154A">
        <w:rPr>
          <w:sz w:val="26"/>
          <w:szCs w:val="26"/>
        </w:rPr>
        <w:t xml:space="preserve">he lack of intraday nomination opportunities on interstate natural gas pipelines, which limits the ability of </w:t>
      </w:r>
      <w:r w:rsidR="001A463B">
        <w:rPr>
          <w:sz w:val="26"/>
          <w:szCs w:val="26"/>
        </w:rPr>
        <w:t xml:space="preserve">shippers such as </w:t>
      </w:r>
      <w:r w:rsidRPr="006D154A">
        <w:rPr>
          <w:sz w:val="26"/>
          <w:szCs w:val="26"/>
        </w:rPr>
        <w:t>gas-fired electric generators</w:t>
      </w:r>
      <w:r w:rsidR="001A463B">
        <w:rPr>
          <w:sz w:val="26"/>
          <w:szCs w:val="26"/>
        </w:rPr>
        <w:t xml:space="preserve"> to r</w:t>
      </w:r>
      <w:r w:rsidRPr="006D154A">
        <w:rPr>
          <w:sz w:val="26"/>
          <w:szCs w:val="26"/>
        </w:rPr>
        <w:t>evise their nominat</w:t>
      </w:r>
      <w:r w:rsidR="001A463B">
        <w:rPr>
          <w:sz w:val="26"/>
          <w:szCs w:val="26"/>
        </w:rPr>
        <w:t>ions during the operating day.</w:t>
      </w:r>
    </w:p>
    <w:p w14:paraId="74D67C18" w14:textId="77777777" w:rsidR="006E7A4A" w:rsidRDefault="006E7A4A" w:rsidP="006D154A">
      <w:pPr>
        <w:ind w:firstLine="360"/>
        <w:rPr>
          <w:sz w:val="26"/>
          <w:szCs w:val="26"/>
        </w:rPr>
      </w:pPr>
    </w:p>
    <w:p w14:paraId="534F8AAC" w14:textId="0B109FE7" w:rsidR="00AC6561" w:rsidRDefault="00E70D60">
      <w:pPr>
        <w:rPr>
          <w:sz w:val="26"/>
          <w:szCs w:val="26"/>
        </w:rPr>
      </w:pPr>
      <w:r>
        <w:rPr>
          <w:sz w:val="26"/>
          <w:szCs w:val="26"/>
        </w:rPr>
        <w:t xml:space="preserve">The technical conferences </w:t>
      </w:r>
      <w:r w:rsidR="00221A61">
        <w:rPr>
          <w:sz w:val="26"/>
          <w:szCs w:val="26"/>
        </w:rPr>
        <w:t xml:space="preserve">and staff investigations </w:t>
      </w:r>
      <w:r w:rsidR="009A699F">
        <w:rPr>
          <w:sz w:val="26"/>
          <w:szCs w:val="26"/>
        </w:rPr>
        <w:t xml:space="preserve">confirmed that </w:t>
      </w:r>
      <w:r>
        <w:rPr>
          <w:sz w:val="26"/>
          <w:szCs w:val="26"/>
        </w:rPr>
        <w:t xml:space="preserve">misalignments </w:t>
      </w:r>
      <w:r w:rsidR="00221A61">
        <w:rPr>
          <w:sz w:val="26"/>
          <w:szCs w:val="26"/>
        </w:rPr>
        <w:t xml:space="preserve">between the </w:t>
      </w:r>
      <w:r w:rsidR="005B708B">
        <w:rPr>
          <w:sz w:val="26"/>
          <w:szCs w:val="26"/>
        </w:rPr>
        <w:t xml:space="preserve">natural </w:t>
      </w:r>
      <w:r w:rsidR="00221A61">
        <w:rPr>
          <w:sz w:val="26"/>
          <w:szCs w:val="26"/>
        </w:rPr>
        <w:t>gas and electric industries</w:t>
      </w:r>
      <w:r w:rsidR="009A699F">
        <w:rPr>
          <w:sz w:val="26"/>
          <w:szCs w:val="26"/>
        </w:rPr>
        <w:t xml:space="preserve"> are impeding e</w:t>
      </w:r>
      <w:r w:rsidR="00AC6561">
        <w:rPr>
          <w:sz w:val="26"/>
          <w:szCs w:val="26"/>
        </w:rPr>
        <w:t xml:space="preserve">fforts to improve coordination without Commission policy guidance.  </w:t>
      </w:r>
      <w:r w:rsidR="00D263E1">
        <w:rPr>
          <w:sz w:val="26"/>
          <w:szCs w:val="26"/>
        </w:rPr>
        <w:t>In consideration of these issues,</w:t>
      </w:r>
      <w:r w:rsidR="00AC6561">
        <w:rPr>
          <w:sz w:val="26"/>
          <w:szCs w:val="26"/>
        </w:rPr>
        <w:t xml:space="preserve"> in spring 2014 the Commission instituted proceedings under Se</w:t>
      </w:r>
      <w:r w:rsidR="00AC6561" w:rsidRPr="00CC0D00">
        <w:rPr>
          <w:sz w:val="26"/>
          <w:szCs w:val="26"/>
        </w:rPr>
        <w:t>ction 206 of the Federal Power Act (FPA)</w:t>
      </w:r>
      <w:r w:rsidR="00AC6561" w:rsidRPr="00796A9C">
        <w:rPr>
          <w:rStyle w:val="FootnoteReference"/>
        </w:rPr>
        <w:footnoteReference w:id="5"/>
      </w:r>
      <w:r w:rsidR="00AC6561" w:rsidRPr="00CC0D00">
        <w:rPr>
          <w:sz w:val="26"/>
          <w:szCs w:val="26"/>
        </w:rPr>
        <w:t xml:space="preserve"> to ensure</w:t>
      </w:r>
      <w:r w:rsidR="00AC6561">
        <w:rPr>
          <w:sz w:val="26"/>
          <w:szCs w:val="26"/>
        </w:rPr>
        <w:t xml:space="preserve"> ISOs and RTOs scheduling practices match revisions to the natural gas industry schedule and issued a NOPR in Docket No. RM14-2-000 to address </w:t>
      </w:r>
      <w:r w:rsidR="00AC6561" w:rsidRPr="006E7A4A">
        <w:rPr>
          <w:sz w:val="26"/>
          <w:szCs w:val="26"/>
        </w:rPr>
        <w:t>divergent interstate natural gas pipeline and electri</w:t>
      </w:r>
      <w:r w:rsidR="00AC6561">
        <w:rPr>
          <w:sz w:val="26"/>
          <w:szCs w:val="26"/>
        </w:rPr>
        <w:t>c utility scheduling practices.</w:t>
      </w:r>
      <w:r w:rsidR="00AC6561">
        <w:rPr>
          <w:rStyle w:val="FootnoteReference"/>
        </w:rPr>
        <w:footnoteReference w:id="6"/>
      </w:r>
      <w:r w:rsidR="00AC6561" w:rsidRPr="006E7A4A">
        <w:rPr>
          <w:sz w:val="26"/>
          <w:szCs w:val="26"/>
        </w:rPr>
        <w:t xml:space="preserve">  </w:t>
      </w:r>
      <w:r w:rsidR="00D263E1">
        <w:rPr>
          <w:sz w:val="26"/>
          <w:szCs w:val="26"/>
        </w:rPr>
        <w:t xml:space="preserve"> </w:t>
      </w:r>
    </w:p>
    <w:p w14:paraId="4DDD48D0" w14:textId="77777777" w:rsidR="00AC6561" w:rsidRDefault="00AC6561">
      <w:pPr>
        <w:rPr>
          <w:sz w:val="26"/>
          <w:szCs w:val="26"/>
        </w:rPr>
      </w:pPr>
    </w:p>
    <w:p w14:paraId="73190FF2" w14:textId="2728A119" w:rsidR="00CA3B99" w:rsidRPr="006C749F" w:rsidRDefault="00CA3B99" w:rsidP="00950A39">
      <w:pPr>
        <w:ind w:left="360" w:hanging="360"/>
        <w:rPr>
          <w:b/>
          <w:sz w:val="26"/>
          <w:szCs w:val="26"/>
        </w:rPr>
      </w:pPr>
      <w:r w:rsidRPr="006C749F">
        <w:rPr>
          <w:b/>
          <w:sz w:val="26"/>
          <w:szCs w:val="26"/>
        </w:rPr>
        <w:t>A.</w:t>
      </w:r>
      <w:r w:rsidR="004727F9">
        <w:rPr>
          <w:b/>
          <w:sz w:val="26"/>
          <w:szCs w:val="26"/>
        </w:rPr>
        <w:t xml:space="preserve">  </w:t>
      </w:r>
      <w:r w:rsidRPr="006C749F">
        <w:rPr>
          <w:b/>
          <w:sz w:val="26"/>
          <w:szCs w:val="26"/>
        </w:rPr>
        <w:t>Justification</w:t>
      </w:r>
    </w:p>
    <w:p w14:paraId="2385AB34" w14:textId="77777777" w:rsidR="00CA3B99" w:rsidRPr="006C749F" w:rsidRDefault="00CA3B99" w:rsidP="00636AAB">
      <w:pPr>
        <w:rPr>
          <w:b/>
          <w:sz w:val="26"/>
          <w:szCs w:val="26"/>
        </w:rPr>
      </w:pPr>
    </w:p>
    <w:p w14:paraId="5A05C022" w14:textId="77777777" w:rsidR="00CA3B99" w:rsidRPr="007202AB" w:rsidRDefault="00CA3B99" w:rsidP="00636AAB">
      <w:pPr>
        <w:pStyle w:val="ListParagraph"/>
        <w:numPr>
          <w:ilvl w:val="0"/>
          <w:numId w:val="2"/>
        </w:numPr>
        <w:rPr>
          <w:b/>
          <w:sz w:val="26"/>
          <w:szCs w:val="26"/>
        </w:rPr>
      </w:pPr>
      <w:r w:rsidRPr="006C749F">
        <w:rPr>
          <w:b/>
          <w:sz w:val="26"/>
          <w:szCs w:val="26"/>
        </w:rPr>
        <w:t xml:space="preserve">CIRCUMSTANCES THAT MAKE THE COLLECTION OF INFORMATION NECESSARY </w:t>
      </w:r>
    </w:p>
    <w:p w14:paraId="29A8B4D1" w14:textId="77777777" w:rsidR="00CA3B99" w:rsidRDefault="00CA3B99" w:rsidP="006C749F">
      <w:pPr>
        <w:rPr>
          <w:sz w:val="26"/>
          <w:szCs w:val="26"/>
        </w:rPr>
      </w:pPr>
    </w:p>
    <w:p w14:paraId="512E7F7E" w14:textId="21DF7FC8" w:rsidR="005F3BFB" w:rsidRDefault="00A8708F" w:rsidP="006D154A">
      <w:pPr>
        <w:rPr>
          <w:sz w:val="26"/>
          <w:szCs w:val="26"/>
        </w:rPr>
      </w:pPr>
      <w:r w:rsidRPr="001A3773">
        <w:rPr>
          <w:b/>
          <w:i/>
          <w:sz w:val="26"/>
          <w:szCs w:val="26"/>
        </w:rPr>
        <w:t>Docket RM14-2.</w:t>
      </w:r>
      <w:r>
        <w:rPr>
          <w:sz w:val="26"/>
          <w:szCs w:val="26"/>
        </w:rPr>
        <w:t xml:space="preserve">  </w:t>
      </w:r>
      <w:r w:rsidR="005A36C7" w:rsidRPr="00A02247">
        <w:rPr>
          <w:sz w:val="26"/>
          <w:szCs w:val="26"/>
        </w:rPr>
        <w:t xml:space="preserve">In this </w:t>
      </w:r>
      <w:r w:rsidR="005A36C7">
        <w:rPr>
          <w:sz w:val="26"/>
          <w:szCs w:val="26"/>
        </w:rPr>
        <w:t>Final Rule in RM14-2</w:t>
      </w:r>
      <w:r w:rsidR="005A36C7" w:rsidRPr="00A02247">
        <w:rPr>
          <w:sz w:val="26"/>
          <w:szCs w:val="26"/>
        </w:rPr>
        <w:t>,</w:t>
      </w:r>
      <w:r w:rsidR="005A36C7">
        <w:rPr>
          <w:rStyle w:val="FootnoteReference"/>
          <w:sz w:val="26"/>
          <w:szCs w:val="26"/>
        </w:rPr>
        <w:footnoteReference w:id="7"/>
      </w:r>
      <w:r w:rsidR="005A36C7" w:rsidRPr="00A02247">
        <w:rPr>
          <w:sz w:val="26"/>
          <w:szCs w:val="26"/>
        </w:rPr>
        <w:t xml:space="preserve"> </w:t>
      </w:r>
      <w:r w:rsidR="005F3BFB" w:rsidRPr="005F3BFB">
        <w:rPr>
          <w:sz w:val="26"/>
          <w:szCs w:val="26"/>
        </w:rPr>
        <w:t xml:space="preserve">the Commission </w:t>
      </w:r>
      <w:r w:rsidR="005F3BFB">
        <w:rPr>
          <w:sz w:val="26"/>
          <w:szCs w:val="26"/>
        </w:rPr>
        <w:t xml:space="preserve">is revising </w:t>
      </w:r>
      <w:r w:rsidR="005F3BFB" w:rsidRPr="005F3BFB">
        <w:rPr>
          <w:sz w:val="26"/>
          <w:szCs w:val="26"/>
        </w:rPr>
        <w:t xml:space="preserve">Part 284 of the Commission’s regulations relating to the scheduling of transportation service on interstate natural gas pipelines to better coordinate the scheduling practices of the natural gas and electric industries, </w:t>
      </w:r>
      <w:r w:rsidR="00065358">
        <w:rPr>
          <w:sz w:val="26"/>
          <w:szCs w:val="26"/>
        </w:rPr>
        <w:t>and</w:t>
      </w:r>
      <w:r w:rsidR="005F3BFB" w:rsidRPr="005F3BFB">
        <w:rPr>
          <w:sz w:val="26"/>
          <w:szCs w:val="26"/>
        </w:rPr>
        <w:t xml:space="preserve"> </w:t>
      </w:r>
      <w:r w:rsidR="005A36C7">
        <w:rPr>
          <w:sz w:val="26"/>
          <w:szCs w:val="26"/>
        </w:rPr>
        <w:t xml:space="preserve">support availability of multi-party firm transportation contracts </w:t>
      </w:r>
      <w:r w:rsidR="005F3BFB" w:rsidRPr="005F3BFB">
        <w:rPr>
          <w:sz w:val="26"/>
          <w:szCs w:val="26"/>
        </w:rPr>
        <w:t xml:space="preserve">to provide additional scheduling flexibility to all shippers on interstate natural gas pipelines.  </w:t>
      </w:r>
    </w:p>
    <w:p w14:paraId="367EC287" w14:textId="77777777" w:rsidR="00733AEB" w:rsidRDefault="00733AEB" w:rsidP="006D154A">
      <w:pPr>
        <w:rPr>
          <w:sz w:val="26"/>
          <w:szCs w:val="26"/>
        </w:rPr>
      </w:pPr>
    </w:p>
    <w:p w14:paraId="1598A840" w14:textId="62AA7E3F" w:rsidR="00877A89" w:rsidRPr="001C44AB" w:rsidRDefault="00877A89" w:rsidP="00877A89">
      <w:pPr>
        <w:rPr>
          <w:sz w:val="26"/>
          <w:szCs w:val="26"/>
        </w:rPr>
      </w:pPr>
      <w:r w:rsidRPr="001C44AB">
        <w:rPr>
          <w:sz w:val="26"/>
          <w:szCs w:val="26"/>
        </w:rPr>
        <w:t>Recent developments in the wholesale natural gas and electricity industries—particularly the organized electricity markets—signal that changes to the gas nomination schedule may be needed.</w:t>
      </w:r>
      <w:r>
        <w:rPr>
          <w:sz w:val="26"/>
          <w:szCs w:val="26"/>
        </w:rPr>
        <w:t xml:space="preserve">  </w:t>
      </w:r>
      <w:r w:rsidRPr="001C44AB">
        <w:rPr>
          <w:sz w:val="26"/>
          <w:szCs w:val="26"/>
        </w:rPr>
        <w:t>Reliance on natural gas as a fuel for electric generation has steadily increased in recent years.</w:t>
      </w:r>
      <w:r w:rsidRPr="00796A9C">
        <w:rPr>
          <w:rStyle w:val="FootnoteReference"/>
        </w:rPr>
        <w:footnoteReference w:id="8"/>
      </w:r>
      <w:r>
        <w:rPr>
          <w:sz w:val="26"/>
          <w:szCs w:val="26"/>
        </w:rPr>
        <w:t xml:space="preserve">  </w:t>
      </w:r>
      <w:r w:rsidRPr="001C44AB">
        <w:rPr>
          <w:sz w:val="26"/>
          <w:szCs w:val="26"/>
        </w:rPr>
        <w:t xml:space="preserve">This trend is expected to continue, resulting in greater interdependence between the </w:t>
      </w:r>
      <w:r w:rsidRPr="001C44AB">
        <w:rPr>
          <w:sz w:val="26"/>
          <w:szCs w:val="26"/>
        </w:rPr>
        <w:lastRenderedPageBreak/>
        <w:t>natural gas and electric industries.   Several events over the last few years, such as the Southwest Cold Weather Event</w:t>
      </w:r>
      <w:r>
        <w:rPr>
          <w:sz w:val="26"/>
          <w:szCs w:val="26"/>
        </w:rPr>
        <w:t>,</w:t>
      </w:r>
      <w:r w:rsidRPr="00796A9C">
        <w:rPr>
          <w:rStyle w:val="FootnoteReference"/>
        </w:rPr>
        <w:footnoteReference w:id="9"/>
      </w:r>
      <w:r w:rsidRPr="001C44AB">
        <w:rPr>
          <w:sz w:val="26"/>
          <w:szCs w:val="26"/>
        </w:rPr>
        <w:t xml:space="preserve"> and the extreme and sustained cold weather events in the eastern U.S. in January 2014,</w:t>
      </w:r>
      <w:r w:rsidRPr="00796A9C">
        <w:rPr>
          <w:rStyle w:val="FootnoteReference"/>
        </w:rPr>
        <w:footnoteReference w:id="10"/>
      </w:r>
      <w:r w:rsidRPr="001C44AB">
        <w:rPr>
          <w:sz w:val="26"/>
          <w:szCs w:val="26"/>
        </w:rPr>
        <w:t xml:space="preserve">  show the crucial interrelationship between natural gas pipelines and electric transmission operators and underscore the need for improvements in the coordination of wholesale natural gas and electric markets.</w:t>
      </w:r>
    </w:p>
    <w:p w14:paraId="7C137328" w14:textId="4F0D6188" w:rsidR="00DA1D64" w:rsidRDefault="00DA1D64" w:rsidP="00DA1D64">
      <w:pPr>
        <w:ind w:firstLine="360"/>
        <w:rPr>
          <w:sz w:val="26"/>
          <w:szCs w:val="26"/>
        </w:rPr>
      </w:pPr>
    </w:p>
    <w:p w14:paraId="41BA319F" w14:textId="27350A21" w:rsidR="00877A89" w:rsidRDefault="005A36C7" w:rsidP="006D154A">
      <w:pPr>
        <w:rPr>
          <w:sz w:val="26"/>
          <w:szCs w:val="26"/>
        </w:rPr>
      </w:pPr>
      <w:r>
        <w:rPr>
          <w:sz w:val="26"/>
          <w:szCs w:val="26"/>
        </w:rPr>
        <w:t>I</w:t>
      </w:r>
      <w:r w:rsidR="00DA1D64" w:rsidRPr="00DA1D64">
        <w:rPr>
          <w:sz w:val="26"/>
          <w:szCs w:val="26"/>
        </w:rPr>
        <w:t xml:space="preserve">ncorporating by reference NAESB’s modified nomination timeline, </w:t>
      </w:r>
      <w:r>
        <w:rPr>
          <w:sz w:val="26"/>
          <w:szCs w:val="26"/>
        </w:rPr>
        <w:t xml:space="preserve">which moves </w:t>
      </w:r>
      <w:r w:rsidR="00DA1D64" w:rsidRPr="00DA1D64">
        <w:rPr>
          <w:sz w:val="26"/>
          <w:szCs w:val="26"/>
        </w:rPr>
        <w:t xml:space="preserve">the start of the Timely Nomination Cycle from 11:30 a.m. to 1:00 p.m. CCT and </w:t>
      </w:r>
      <w:r>
        <w:rPr>
          <w:sz w:val="26"/>
          <w:szCs w:val="26"/>
        </w:rPr>
        <w:t>adds</w:t>
      </w:r>
      <w:r w:rsidR="00DA1D64" w:rsidRPr="00DA1D64">
        <w:rPr>
          <w:sz w:val="26"/>
          <w:szCs w:val="26"/>
        </w:rPr>
        <w:t xml:space="preserve"> an additional intraday nomination opportunity, </w:t>
      </w:r>
      <w:r>
        <w:rPr>
          <w:sz w:val="26"/>
          <w:szCs w:val="26"/>
        </w:rPr>
        <w:t>p</w:t>
      </w:r>
      <w:r w:rsidR="00DA1D64" w:rsidRPr="00DA1D64">
        <w:rPr>
          <w:sz w:val="26"/>
          <w:szCs w:val="26"/>
        </w:rPr>
        <w:t>rovide</w:t>
      </w:r>
      <w:r w:rsidR="005B708B">
        <w:rPr>
          <w:sz w:val="26"/>
          <w:szCs w:val="26"/>
        </w:rPr>
        <w:t>s</w:t>
      </w:r>
      <w:r w:rsidR="00DA1D64" w:rsidRPr="00DA1D64">
        <w:rPr>
          <w:sz w:val="26"/>
          <w:szCs w:val="26"/>
        </w:rPr>
        <w:t xml:space="preserve"> electric generators more time to acquire natural gas pipeline transportation, in order to reduce economic and resource supply constraints</w:t>
      </w:r>
      <w:r w:rsidR="005B708B">
        <w:rPr>
          <w:sz w:val="26"/>
          <w:szCs w:val="26"/>
        </w:rPr>
        <w:t>.</w:t>
      </w:r>
      <w:r w:rsidR="00DA1D64" w:rsidRPr="00DA1D64">
        <w:rPr>
          <w:sz w:val="26"/>
          <w:szCs w:val="26"/>
        </w:rPr>
        <w:t xml:space="preserve"> </w:t>
      </w:r>
      <w:r w:rsidR="005B708B">
        <w:rPr>
          <w:sz w:val="26"/>
          <w:szCs w:val="26"/>
        </w:rPr>
        <w:t xml:space="preserve">It provides </w:t>
      </w:r>
      <w:r w:rsidR="00DA1D64" w:rsidRPr="00DA1D64">
        <w:rPr>
          <w:sz w:val="26"/>
          <w:szCs w:val="26"/>
        </w:rPr>
        <w:t>additional flexibility to all shippers, allows sufficient time for processing, avoids overlapping nomination cycles, and allows for the accomplishment of most scheduling work during regular business hours</w:t>
      </w:r>
      <w:r>
        <w:rPr>
          <w:sz w:val="26"/>
          <w:szCs w:val="26"/>
        </w:rPr>
        <w:t xml:space="preserve">, or reasonably close thereto.  </w:t>
      </w:r>
      <w:r w:rsidR="00DA1D64" w:rsidRPr="00DA1D64">
        <w:rPr>
          <w:sz w:val="26"/>
          <w:szCs w:val="26"/>
        </w:rPr>
        <w:t>Broad industry consensus across the natural gas and electric industries during the NAESB deliberations supports the incorporation of the modified nomination timeline.  The implementation of these standards and regulations will promote additional efficiency</w:t>
      </w:r>
      <w:r>
        <w:rPr>
          <w:sz w:val="26"/>
          <w:szCs w:val="26"/>
        </w:rPr>
        <w:t xml:space="preserve"> </w:t>
      </w:r>
      <w:r w:rsidR="00DA1D64" w:rsidRPr="00DA1D64">
        <w:rPr>
          <w:sz w:val="26"/>
          <w:szCs w:val="26"/>
        </w:rPr>
        <w:t>and reliability of the gas industry’s operations.</w:t>
      </w:r>
      <w:r w:rsidR="00877A89">
        <w:rPr>
          <w:sz w:val="26"/>
          <w:szCs w:val="26"/>
        </w:rPr>
        <w:t xml:space="preserve">  Additionally</w:t>
      </w:r>
      <w:r w:rsidR="00DA1D64" w:rsidRPr="00DA1D64">
        <w:rPr>
          <w:sz w:val="26"/>
          <w:szCs w:val="26"/>
        </w:rPr>
        <w:t xml:space="preserve">, wider availability of multi-party firm transportation contracts provides shippers greater flexibility, including gas-fired generators, and facilitates the efficient use of pipeline capacity.  </w:t>
      </w:r>
    </w:p>
    <w:p w14:paraId="06CA96EB" w14:textId="77777777" w:rsidR="00877A89" w:rsidRDefault="00877A89" w:rsidP="006D154A">
      <w:pPr>
        <w:rPr>
          <w:sz w:val="26"/>
          <w:szCs w:val="26"/>
        </w:rPr>
      </w:pPr>
    </w:p>
    <w:p w14:paraId="5FB9A6ED" w14:textId="38D25F11" w:rsidR="00D43CBA" w:rsidRDefault="00DA1D64" w:rsidP="006C749F">
      <w:pPr>
        <w:rPr>
          <w:b/>
          <w:sz w:val="26"/>
          <w:szCs w:val="26"/>
        </w:rPr>
      </w:pPr>
      <w:r w:rsidRPr="00DA1D64">
        <w:rPr>
          <w:sz w:val="26"/>
          <w:szCs w:val="26"/>
        </w:rPr>
        <w:t xml:space="preserve">The Final Rule ensures that pipelines are responsive to shipper requests when, and if, a shipper is interested in pursuing a multi-party transportation contract.  </w:t>
      </w:r>
      <w:r w:rsidR="005B708B">
        <w:rPr>
          <w:sz w:val="26"/>
          <w:szCs w:val="26"/>
        </w:rPr>
        <w:t>The</w:t>
      </w:r>
      <w:r w:rsidRPr="00DA1D64">
        <w:rPr>
          <w:sz w:val="26"/>
          <w:szCs w:val="26"/>
        </w:rPr>
        <w:t xml:space="preserve"> Final Rule does not require pipelines to implement tariff provisions offering a multi-party transportation contract option when there is no shipper interest.</w:t>
      </w:r>
    </w:p>
    <w:p w14:paraId="3F8DDD92" w14:textId="77777777" w:rsidR="00D43CBA" w:rsidRDefault="00D43CBA" w:rsidP="006C749F">
      <w:pPr>
        <w:rPr>
          <w:b/>
          <w:sz w:val="26"/>
          <w:szCs w:val="26"/>
        </w:rPr>
      </w:pPr>
    </w:p>
    <w:p w14:paraId="2D1CC130" w14:textId="46606758" w:rsidR="00D43CBA" w:rsidRDefault="00D43CBA" w:rsidP="00D43CBA">
      <w:pPr>
        <w:rPr>
          <w:sz w:val="26"/>
          <w:szCs w:val="26"/>
        </w:rPr>
      </w:pPr>
      <w:r w:rsidRPr="006E7A4A">
        <w:rPr>
          <w:sz w:val="26"/>
          <w:szCs w:val="26"/>
        </w:rPr>
        <w:t xml:space="preserve">Since early 2012, the Commission has </w:t>
      </w:r>
      <w:r>
        <w:rPr>
          <w:sz w:val="26"/>
          <w:szCs w:val="26"/>
        </w:rPr>
        <w:t>held</w:t>
      </w:r>
      <w:r w:rsidRPr="006E7A4A">
        <w:rPr>
          <w:sz w:val="26"/>
          <w:szCs w:val="26"/>
        </w:rPr>
        <w:t xml:space="preserve"> technical conferences and requested comment on various aspects of gas-electric in</w:t>
      </w:r>
      <w:r>
        <w:rPr>
          <w:sz w:val="26"/>
          <w:szCs w:val="26"/>
        </w:rPr>
        <w:t>terdependence and coordination to identify areas for improved coordination.</w:t>
      </w:r>
      <w:r w:rsidRPr="00796A9C">
        <w:rPr>
          <w:rStyle w:val="FootnoteReference"/>
        </w:rPr>
        <w:footnoteReference w:id="11"/>
      </w:r>
      <w:r>
        <w:rPr>
          <w:sz w:val="26"/>
          <w:szCs w:val="26"/>
        </w:rPr>
        <w:t xml:space="preserve">  On </w:t>
      </w:r>
      <w:r w:rsidRPr="006E7A4A">
        <w:rPr>
          <w:sz w:val="26"/>
          <w:szCs w:val="26"/>
        </w:rPr>
        <w:t xml:space="preserve">November 15, 2012, </w:t>
      </w:r>
      <w:r>
        <w:rPr>
          <w:sz w:val="26"/>
          <w:szCs w:val="26"/>
        </w:rPr>
        <w:t xml:space="preserve">the </w:t>
      </w:r>
      <w:r w:rsidRPr="006E7A4A">
        <w:rPr>
          <w:sz w:val="26"/>
          <w:szCs w:val="26"/>
        </w:rPr>
        <w:t xml:space="preserve">Commission </w:t>
      </w:r>
      <w:r>
        <w:rPr>
          <w:sz w:val="26"/>
          <w:szCs w:val="26"/>
        </w:rPr>
        <w:t xml:space="preserve">issued a report describing </w:t>
      </w:r>
      <w:r w:rsidRPr="006E7A4A">
        <w:rPr>
          <w:sz w:val="26"/>
          <w:szCs w:val="26"/>
        </w:rPr>
        <w:t xml:space="preserve">the need for </w:t>
      </w:r>
      <w:r w:rsidRPr="006E7A4A">
        <w:rPr>
          <w:sz w:val="26"/>
          <w:szCs w:val="26"/>
        </w:rPr>
        <w:lastRenderedPageBreak/>
        <w:t>greater alignment of natural gas and electric scheduling practices</w:t>
      </w:r>
      <w:r>
        <w:rPr>
          <w:sz w:val="26"/>
          <w:szCs w:val="26"/>
        </w:rPr>
        <w:t>.</w:t>
      </w:r>
      <w:r w:rsidRPr="00796A9C">
        <w:rPr>
          <w:rStyle w:val="FootnoteReference"/>
        </w:rPr>
        <w:footnoteReference w:id="12"/>
      </w:r>
      <w:r>
        <w:rPr>
          <w:sz w:val="26"/>
          <w:szCs w:val="26"/>
        </w:rPr>
        <w:t xml:space="preserve">  In April 2013, an additional technical conference was held where </w:t>
      </w:r>
      <w:r w:rsidRPr="006E7A4A">
        <w:rPr>
          <w:sz w:val="26"/>
          <w:szCs w:val="26"/>
        </w:rPr>
        <w:t xml:space="preserve">participants identified three </w:t>
      </w:r>
      <w:r>
        <w:rPr>
          <w:sz w:val="26"/>
          <w:szCs w:val="26"/>
        </w:rPr>
        <w:t>key</w:t>
      </w:r>
      <w:r w:rsidRPr="006E7A4A">
        <w:rPr>
          <w:sz w:val="26"/>
          <w:szCs w:val="26"/>
        </w:rPr>
        <w:t xml:space="preserve"> issues</w:t>
      </w:r>
      <w:r w:rsidR="00733AEB">
        <w:rPr>
          <w:sz w:val="26"/>
          <w:szCs w:val="26"/>
        </w:rPr>
        <w:t>.</w:t>
      </w:r>
      <w:r w:rsidRPr="00796A9C">
        <w:rPr>
          <w:rStyle w:val="FootnoteReference"/>
        </w:rPr>
        <w:footnoteReference w:id="13"/>
      </w:r>
      <w:r w:rsidRPr="006E7A4A">
        <w:rPr>
          <w:sz w:val="26"/>
          <w:szCs w:val="26"/>
        </w:rPr>
        <w:t xml:space="preserve">  </w:t>
      </w:r>
    </w:p>
    <w:p w14:paraId="232A6977" w14:textId="77777777" w:rsidR="00D43CBA" w:rsidRDefault="00D43CBA" w:rsidP="006C749F">
      <w:pPr>
        <w:rPr>
          <w:b/>
          <w:sz w:val="26"/>
          <w:szCs w:val="26"/>
        </w:rPr>
      </w:pPr>
    </w:p>
    <w:p w14:paraId="2D1A5A7E" w14:textId="071ECFDF" w:rsidR="00D43CBA" w:rsidRDefault="00733AEB" w:rsidP="006D154A">
      <w:pPr>
        <w:rPr>
          <w:sz w:val="26"/>
          <w:szCs w:val="26"/>
        </w:rPr>
      </w:pPr>
      <w:r>
        <w:rPr>
          <w:sz w:val="26"/>
          <w:szCs w:val="26"/>
        </w:rPr>
        <w:t>On</w:t>
      </w:r>
      <w:r w:rsidR="00D43CBA" w:rsidRPr="00CC0D00">
        <w:rPr>
          <w:sz w:val="26"/>
          <w:szCs w:val="26"/>
        </w:rPr>
        <w:t xml:space="preserve"> March 20, 2014, the Commission</w:t>
      </w:r>
      <w:r w:rsidR="00D43CBA">
        <w:rPr>
          <w:sz w:val="26"/>
          <w:szCs w:val="26"/>
        </w:rPr>
        <w:t xml:space="preserve"> instituted proceedings under Se</w:t>
      </w:r>
      <w:r w:rsidR="00D43CBA" w:rsidRPr="00CC0D00">
        <w:rPr>
          <w:sz w:val="26"/>
          <w:szCs w:val="26"/>
        </w:rPr>
        <w:t>ction 206 of the Federal Power Act (FPA)</w:t>
      </w:r>
      <w:r w:rsidR="00D43CBA" w:rsidRPr="00796A9C">
        <w:rPr>
          <w:rStyle w:val="FootnoteReference"/>
        </w:rPr>
        <w:footnoteReference w:id="14"/>
      </w:r>
      <w:r w:rsidR="00D43CBA" w:rsidRPr="00CC0D00">
        <w:rPr>
          <w:sz w:val="26"/>
          <w:szCs w:val="26"/>
        </w:rPr>
        <w:t xml:space="preserve"> to ensure</w:t>
      </w:r>
      <w:r w:rsidR="00D43CBA">
        <w:rPr>
          <w:sz w:val="26"/>
          <w:szCs w:val="26"/>
        </w:rPr>
        <w:t xml:space="preserve"> ISOs and RTOs scheduling practices match revisions to the natural gas industry schedule incorporated by reference in this Final Rule.  The Section 206 Order provides ninety days after </w:t>
      </w:r>
      <w:r w:rsidR="00D43CBA" w:rsidRPr="00CC0D00">
        <w:rPr>
          <w:sz w:val="26"/>
          <w:szCs w:val="26"/>
        </w:rPr>
        <w:t xml:space="preserve">publication </w:t>
      </w:r>
      <w:r w:rsidR="00A8708F" w:rsidRPr="00CC0D00">
        <w:rPr>
          <w:sz w:val="26"/>
          <w:szCs w:val="26"/>
        </w:rPr>
        <w:t xml:space="preserve">in the Federal Register </w:t>
      </w:r>
      <w:r w:rsidR="00D43CBA" w:rsidRPr="00CC0D00">
        <w:rPr>
          <w:sz w:val="26"/>
          <w:szCs w:val="26"/>
        </w:rPr>
        <w:t xml:space="preserve">of this Final Rule </w:t>
      </w:r>
      <w:r w:rsidR="00D43CBA">
        <w:rPr>
          <w:sz w:val="26"/>
          <w:szCs w:val="26"/>
        </w:rPr>
        <w:t xml:space="preserve">for </w:t>
      </w:r>
      <w:r w:rsidR="00D43CBA" w:rsidRPr="00CC0D00">
        <w:rPr>
          <w:sz w:val="26"/>
          <w:szCs w:val="26"/>
        </w:rPr>
        <w:t xml:space="preserve">each ISO and RTO to propose tariff revisions </w:t>
      </w:r>
      <w:r w:rsidR="00D43CBA">
        <w:rPr>
          <w:sz w:val="26"/>
          <w:szCs w:val="26"/>
        </w:rPr>
        <w:t>in the</w:t>
      </w:r>
      <w:r w:rsidR="00D43CBA" w:rsidRPr="00CC0D00">
        <w:rPr>
          <w:sz w:val="26"/>
          <w:szCs w:val="26"/>
        </w:rPr>
        <w:t xml:space="preserve"> day-ahead market </w:t>
      </w:r>
      <w:r w:rsidR="00D43CBA">
        <w:rPr>
          <w:sz w:val="26"/>
          <w:szCs w:val="26"/>
        </w:rPr>
        <w:t>aligned w</w:t>
      </w:r>
      <w:r w:rsidR="00D43CBA" w:rsidRPr="00CC0D00">
        <w:rPr>
          <w:sz w:val="26"/>
          <w:szCs w:val="26"/>
        </w:rPr>
        <w:t>ith the changes adopted herein or to show cause why its existing scheduling practices need not be</w:t>
      </w:r>
      <w:r w:rsidR="00A8708F">
        <w:rPr>
          <w:sz w:val="26"/>
          <w:szCs w:val="26"/>
        </w:rPr>
        <w:t xml:space="preserve"> </w:t>
      </w:r>
      <w:r w:rsidR="00D43CBA" w:rsidRPr="00CC0D00">
        <w:rPr>
          <w:sz w:val="26"/>
          <w:szCs w:val="26"/>
        </w:rPr>
        <w:t>changed.</w:t>
      </w:r>
      <w:r w:rsidR="00D43CBA">
        <w:rPr>
          <w:sz w:val="26"/>
          <w:szCs w:val="26"/>
        </w:rPr>
        <w:t xml:space="preserve">  Subsequently, in April 2014, the Commission i</w:t>
      </w:r>
      <w:r w:rsidR="00D43CBA" w:rsidRPr="006E7A4A">
        <w:rPr>
          <w:sz w:val="26"/>
          <w:szCs w:val="26"/>
        </w:rPr>
        <w:t xml:space="preserve">ssued </w:t>
      </w:r>
      <w:r w:rsidR="00D43CBA">
        <w:rPr>
          <w:sz w:val="26"/>
          <w:szCs w:val="26"/>
        </w:rPr>
        <w:t xml:space="preserve">the NOPR in Docket No. RM14-2-000 to address </w:t>
      </w:r>
      <w:r w:rsidR="00D43CBA" w:rsidRPr="006E7A4A">
        <w:rPr>
          <w:sz w:val="26"/>
          <w:szCs w:val="26"/>
        </w:rPr>
        <w:t xml:space="preserve">divergent interstate natural gas pipeline and electric utility scheduling practices, </w:t>
      </w:r>
      <w:r w:rsidR="00D43CBA">
        <w:rPr>
          <w:sz w:val="26"/>
          <w:szCs w:val="26"/>
        </w:rPr>
        <w:t xml:space="preserve">and improve the flexibility and efficient use of pipeline capacity by </w:t>
      </w:r>
      <w:r w:rsidR="00D43CBA" w:rsidRPr="006E7A4A">
        <w:rPr>
          <w:sz w:val="26"/>
          <w:szCs w:val="26"/>
        </w:rPr>
        <w:t>natural gas-fired generators and other shippers.</w:t>
      </w:r>
      <w:r w:rsidR="00D43CBA">
        <w:rPr>
          <w:rStyle w:val="FootnoteReference"/>
        </w:rPr>
        <w:footnoteReference w:id="15"/>
      </w:r>
      <w:r w:rsidR="00D43CBA" w:rsidRPr="006E7A4A">
        <w:rPr>
          <w:sz w:val="26"/>
          <w:szCs w:val="26"/>
        </w:rPr>
        <w:t xml:space="preserve">  </w:t>
      </w:r>
    </w:p>
    <w:p w14:paraId="7157D57A" w14:textId="77777777" w:rsidR="00D43CBA" w:rsidRDefault="00D43CBA" w:rsidP="00D43CBA">
      <w:pPr>
        <w:rPr>
          <w:sz w:val="26"/>
          <w:szCs w:val="26"/>
        </w:rPr>
      </w:pPr>
    </w:p>
    <w:p w14:paraId="1FAE2AE8" w14:textId="77777777" w:rsidR="00A8708F" w:rsidRDefault="00A8708F" w:rsidP="00D43CBA">
      <w:pPr>
        <w:rPr>
          <w:sz w:val="26"/>
          <w:szCs w:val="26"/>
        </w:rPr>
      </w:pPr>
    </w:p>
    <w:p w14:paraId="415F8470" w14:textId="70456BB3" w:rsidR="00A02247" w:rsidRDefault="00A02247" w:rsidP="006C749F">
      <w:pPr>
        <w:rPr>
          <w:b/>
          <w:i/>
          <w:sz w:val="26"/>
          <w:szCs w:val="26"/>
        </w:rPr>
      </w:pPr>
      <w:r>
        <w:rPr>
          <w:b/>
          <w:i/>
          <w:sz w:val="26"/>
          <w:szCs w:val="26"/>
        </w:rPr>
        <w:t xml:space="preserve">General Background on the Collections (including </w:t>
      </w:r>
      <w:r w:rsidR="00A408C1">
        <w:rPr>
          <w:b/>
          <w:i/>
          <w:sz w:val="26"/>
          <w:szCs w:val="26"/>
        </w:rPr>
        <w:t>items</w:t>
      </w:r>
      <w:r>
        <w:rPr>
          <w:b/>
          <w:i/>
          <w:sz w:val="26"/>
          <w:szCs w:val="26"/>
        </w:rPr>
        <w:t xml:space="preserve"> not affected by the </w:t>
      </w:r>
      <w:r w:rsidR="00F336E5">
        <w:rPr>
          <w:b/>
          <w:i/>
          <w:sz w:val="26"/>
          <w:szCs w:val="26"/>
        </w:rPr>
        <w:t>Final Rule</w:t>
      </w:r>
      <w:r>
        <w:rPr>
          <w:b/>
          <w:i/>
          <w:sz w:val="26"/>
          <w:szCs w:val="26"/>
        </w:rPr>
        <w:t xml:space="preserve"> in Docket RM14-2).</w:t>
      </w:r>
    </w:p>
    <w:p w14:paraId="08688EBD" w14:textId="77777777" w:rsidR="00362AD4" w:rsidRPr="00A02247" w:rsidRDefault="00362AD4" w:rsidP="006C749F">
      <w:pPr>
        <w:rPr>
          <w:b/>
          <w:i/>
          <w:sz w:val="26"/>
          <w:szCs w:val="26"/>
        </w:rPr>
      </w:pPr>
    </w:p>
    <w:p w14:paraId="2F872F70" w14:textId="77777777" w:rsidR="00877A89" w:rsidRDefault="00CA3B99" w:rsidP="006C749F">
      <w:pPr>
        <w:rPr>
          <w:sz w:val="26"/>
          <w:szCs w:val="26"/>
        </w:rPr>
      </w:pPr>
      <w:r w:rsidRPr="006C749F">
        <w:rPr>
          <w:b/>
          <w:sz w:val="26"/>
          <w:szCs w:val="26"/>
        </w:rPr>
        <w:t>FERC-545</w:t>
      </w:r>
      <w:r>
        <w:rPr>
          <w:sz w:val="26"/>
          <w:szCs w:val="26"/>
        </w:rPr>
        <w:t xml:space="preserve">.  FERC-545 </w:t>
      </w:r>
      <w:r w:rsidRPr="006C749F">
        <w:rPr>
          <w:sz w:val="26"/>
          <w:szCs w:val="26"/>
        </w:rPr>
        <w:t xml:space="preserve">is required to implement sections 4, 5, and 16 of the Natural Gas Act (NGA), (15 USC 717c   717o, PL 75 688, 52 Stat. 822 and 830).  NGA Sections 4, 5, and 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14:paraId="09D65895" w14:textId="77777777" w:rsidR="00877A89" w:rsidRDefault="00877A89" w:rsidP="006C749F">
      <w:pPr>
        <w:rPr>
          <w:sz w:val="26"/>
          <w:szCs w:val="26"/>
        </w:rPr>
      </w:pPr>
    </w:p>
    <w:p w14:paraId="2E38982B" w14:textId="7033AF3B" w:rsidR="00CA3B99" w:rsidRPr="006C749F" w:rsidRDefault="00CA3B99" w:rsidP="006C749F">
      <w:pPr>
        <w:rPr>
          <w:sz w:val="26"/>
          <w:szCs w:val="26"/>
        </w:rPr>
      </w:pPr>
      <w:r w:rsidRPr="006C749F">
        <w:rPr>
          <w:sz w:val="26"/>
          <w:szCs w:val="26"/>
        </w:rPr>
        <w:t xml:space="preserve">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w:t>
      </w:r>
      <w:r w:rsidRPr="006C749F">
        <w:rPr>
          <w:sz w:val="26"/>
          <w:szCs w:val="26"/>
        </w:rPr>
        <w:lastRenderedPageBreak/>
        <w:t xml:space="preserve">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14:paraId="4C32633E" w14:textId="77777777" w:rsidR="00CA3B99" w:rsidRPr="006C749F" w:rsidRDefault="00CA3B99" w:rsidP="006C749F">
      <w:pPr>
        <w:rPr>
          <w:sz w:val="26"/>
          <w:szCs w:val="26"/>
        </w:rPr>
      </w:pPr>
    </w:p>
    <w:p w14:paraId="44160F26" w14:textId="77777777" w:rsidR="00CA3B99" w:rsidRPr="006C749F" w:rsidRDefault="00CA3B99" w:rsidP="006D154A">
      <w:pPr>
        <w:rPr>
          <w:sz w:val="26"/>
          <w:szCs w:val="26"/>
        </w:rPr>
      </w:pPr>
      <w:r w:rsidRPr="006C749F">
        <w:rPr>
          <w:sz w:val="26"/>
          <w:szCs w:val="26"/>
        </w:rPr>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14:paraId="1D50058A" w14:textId="77777777" w:rsidR="00CA3B99" w:rsidRPr="006C749F" w:rsidRDefault="00CA3B99" w:rsidP="006C749F">
      <w:pPr>
        <w:rPr>
          <w:sz w:val="26"/>
          <w:szCs w:val="26"/>
        </w:rPr>
      </w:pPr>
    </w:p>
    <w:p w14:paraId="21F145B8" w14:textId="77777777" w:rsidR="00CA3B99" w:rsidRDefault="00CA3B99" w:rsidP="006D154A">
      <w:pPr>
        <w:rPr>
          <w:sz w:val="26"/>
          <w:szCs w:val="26"/>
        </w:rPr>
      </w:pPr>
      <w:r w:rsidRPr="006C749F">
        <w:rPr>
          <w:sz w:val="26"/>
          <w:szCs w:val="26"/>
        </w:rPr>
        <w:t xml:space="preserve">Pipelines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w:t>
      </w:r>
      <w:r w:rsidR="008606EE" w:rsidRPr="006C749F">
        <w:rPr>
          <w:sz w:val="26"/>
          <w:szCs w:val="26"/>
        </w:rPr>
        <w:t>specifies</w:t>
      </w:r>
      <w:r w:rsidRPr="006C749F">
        <w:rPr>
          <w:sz w:val="26"/>
          <w:szCs w:val="26"/>
        </w:rPr>
        <w:t xml:space="preserve"> what changes are allowed and the procedures for requesting Commission approval.  </w:t>
      </w:r>
    </w:p>
    <w:p w14:paraId="05C1E371" w14:textId="77777777" w:rsidR="00051566" w:rsidRDefault="00051566" w:rsidP="00091565">
      <w:pPr>
        <w:ind w:firstLine="360"/>
        <w:rPr>
          <w:sz w:val="26"/>
          <w:szCs w:val="26"/>
        </w:rPr>
      </w:pPr>
    </w:p>
    <w:p w14:paraId="3F505E9E" w14:textId="352A87CF" w:rsidR="00051566" w:rsidRPr="00051566" w:rsidRDefault="00051566" w:rsidP="006D154A">
      <w:pPr>
        <w:rPr>
          <w:sz w:val="26"/>
          <w:szCs w:val="26"/>
        </w:rPr>
      </w:pPr>
      <w:r w:rsidRPr="00051566">
        <w:rPr>
          <w:sz w:val="26"/>
          <w:szCs w:val="26"/>
        </w:rPr>
        <w:t xml:space="preserve">The Commission sets rates for interstate pipeline services in a number of proceedings.  For example, when a pipeline files to increase its rates, it makes a filing with the Commission under section 4 of the NGA.  These types of filings are referred to as general section 4 rate cases.  In the proceedings, the Commission reviews all of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  </w:t>
      </w:r>
    </w:p>
    <w:p w14:paraId="094AA6F2" w14:textId="77777777" w:rsidR="00051566" w:rsidRPr="00051566" w:rsidRDefault="00051566" w:rsidP="00051566">
      <w:pPr>
        <w:ind w:firstLine="360"/>
        <w:rPr>
          <w:sz w:val="26"/>
          <w:szCs w:val="26"/>
        </w:rPr>
      </w:pPr>
    </w:p>
    <w:p w14:paraId="0C955815" w14:textId="16149105" w:rsidR="003240E7" w:rsidRDefault="0027062E" w:rsidP="0027062E">
      <w:pPr>
        <w:tabs>
          <w:tab w:val="num" w:pos="0"/>
        </w:tabs>
        <w:rPr>
          <w:sz w:val="26"/>
          <w:szCs w:val="26"/>
        </w:rPr>
      </w:pPr>
      <w:r>
        <w:rPr>
          <w:b/>
          <w:sz w:val="26"/>
          <w:szCs w:val="26"/>
        </w:rPr>
        <w:t xml:space="preserve">FERC-549C.  </w:t>
      </w:r>
      <w:r>
        <w:rPr>
          <w:sz w:val="26"/>
          <w:szCs w:val="26"/>
        </w:rPr>
        <w:t xml:space="preserve">The business practice standards under FERC-549C are required to carry out the Commission’s policies in accordance with the general authority in Sections 4, 5, 7, 8, 10, 14, 16, and 20 of the Natural Gas Act (NGA) (15 U.S.C. 717c-717w), and sections 311, 501, and 504 of the Natural Gas Policy Act of 1978 (NGPA) (15 U.S.C. 3301-3432).  The Commission adopted these business practice standards in order to update and standardize the natural gas industry’s business practices and procedures as well as to improve the efficiency of the gas market and the means by which the gas industry conducts business across the interstate pipeline grid.   </w:t>
      </w:r>
    </w:p>
    <w:p w14:paraId="0D5256D3" w14:textId="77777777" w:rsidR="00877A89" w:rsidRDefault="00877A89" w:rsidP="006D154A">
      <w:pPr>
        <w:tabs>
          <w:tab w:val="num" w:pos="0"/>
        </w:tabs>
        <w:rPr>
          <w:sz w:val="26"/>
          <w:szCs w:val="26"/>
        </w:rPr>
      </w:pPr>
    </w:p>
    <w:p w14:paraId="5860C963" w14:textId="4F70F489" w:rsidR="00127317" w:rsidRPr="0027062E" w:rsidRDefault="00127317" w:rsidP="006D154A">
      <w:pPr>
        <w:tabs>
          <w:tab w:val="num" w:pos="0"/>
        </w:tabs>
        <w:rPr>
          <w:sz w:val="26"/>
          <w:szCs w:val="26"/>
        </w:rPr>
      </w:pPr>
      <w:r>
        <w:rPr>
          <w:sz w:val="26"/>
          <w:szCs w:val="26"/>
        </w:rPr>
        <w:t>In various orders</w:t>
      </w:r>
      <w:r w:rsidRPr="00FD2199">
        <w:rPr>
          <w:sz w:val="26"/>
          <w:szCs w:val="26"/>
        </w:rPr>
        <w:t xml:space="preserve"> </w:t>
      </w:r>
      <w:r>
        <w:rPr>
          <w:sz w:val="26"/>
          <w:szCs w:val="26"/>
        </w:rPr>
        <w:t>s</w:t>
      </w:r>
      <w:r w:rsidRPr="0027062E">
        <w:rPr>
          <w:sz w:val="26"/>
          <w:szCs w:val="26"/>
        </w:rPr>
        <w:t>ince 1996</w:t>
      </w:r>
      <w:r>
        <w:rPr>
          <w:rStyle w:val="FootnoteReference"/>
          <w:sz w:val="26"/>
          <w:szCs w:val="26"/>
        </w:rPr>
        <w:footnoteReference w:id="16"/>
      </w:r>
      <w:r>
        <w:rPr>
          <w:sz w:val="26"/>
          <w:szCs w:val="26"/>
        </w:rPr>
        <w:t>, FERC</w:t>
      </w:r>
      <w:r w:rsidRPr="0027062E">
        <w:rPr>
          <w:sz w:val="26"/>
          <w:szCs w:val="26"/>
        </w:rPr>
        <w:t xml:space="preserve"> has adopted regulations to standardize the business practices and communication methodologies of interstate </w:t>
      </w:r>
      <w:r w:rsidR="00A8708F">
        <w:rPr>
          <w:sz w:val="26"/>
          <w:szCs w:val="26"/>
        </w:rPr>
        <w:t xml:space="preserve">natural gas </w:t>
      </w:r>
      <w:r w:rsidRPr="0027062E">
        <w:rPr>
          <w:sz w:val="26"/>
          <w:szCs w:val="26"/>
        </w:rPr>
        <w:t>pipelines in order to create a more integrated and efficient pipeline</w:t>
      </w:r>
      <w:r>
        <w:rPr>
          <w:sz w:val="26"/>
          <w:szCs w:val="26"/>
        </w:rPr>
        <w:t xml:space="preserve"> </w:t>
      </w:r>
      <w:r w:rsidRPr="004F7E93">
        <w:rPr>
          <w:sz w:val="26"/>
          <w:szCs w:val="26"/>
        </w:rPr>
        <w:t xml:space="preserve">industry.  In general, when and if NAESB-proposed standards (e.g., consensus standards developed by the </w:t>
      </w:r>
      <w:r w:rsidR="00C66C32" w:rsidRPr="00C66C32">
        <w:rPr>
          <w:sz w:val="26"/>
          <w:szCs w:val="26"/>
        </w:rPr>
        <w:t xml:space="preserve">Wholesale Gas Quadrant </w:t>
      </w:r>
      <w:r w:rsidR="00C66C32">
        <w:rPr>
          <w:sz w:val="26"/>
          <w:szCs w:val="26"/>
        </w:rPr>
        <w:t>(</w:t>
      </w:r>
      <w:r w:rsidRPr="004F7E93">
        <w:rPr>
          <w:sz w:val="26"/>
          <w:szCs w:val="26"/>
        </w:rPr>
        <w:t>WGQ</w:t>
      </w:r>
      <w:r w:rsidR="00C66C32">
        <w:rPr>
          <w:sz w:val="26"/>
          <w:szCs w:val="26"/>
        </w:rPr>
        <w:t>)</w:t>
      </w:r>
      <w:r w:rsidRPr="004F7E93">
        <w:rPr>
          <w:sz w:val="26"/>
          <w:szCs w:val="26"/>
        </w:rPr>
        <w:t xml:space="preserve">, an </w:t>
      </w:r>
      <w:r w:rsidRPr="004F7E93">
        <w:rPr>
          <w:sz w:val="26"/>
          <w:szCs w:val="26"/>
        </w:rPr>
        <w:lastRenderedPageBreak/>
        <w:t xml:space="preserve">accredited standards organization under the auspices of the American </w:t>
      </w:r>
      <w:r w:rsidR="00A8708F">
        <w:rPr>
          <w:sz w:val="26"/>
          <w:szCs w:val="26"/>
        </w:rPr>
        <w:t xml:space="preserve">National </w:t>
      </w:r>
      <w:r w:rsidRPr="004F7E93">
        <w:rPr>
          <w:sz w:val="26"/>
          <w:szCs w:val="26"/>
        </w:rPr>
        <w:t>Standards Institute (ANSI)) are approved by FERC, the Commission incorporates them by reference into its approval.</w:t>
      </w:r>
      <w:r>
        <w:rPr>
          <w:sz w:val="26"/>
          <w:szCs w:val="26"/>
        </w:rPr>
        <w:t xml:space="preserve">  </w:t>
      </w:r>
      <w:r w:rsidRPr="0027062E">
        <w:rPr>
          <w:sz w:val="26"/>
          <w:szCs w:val="26"/>
        </w:rPr>
        <w:t>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gas industry and ultimately, the Gas Industry Standards Board (GISB), a consensus organization open to all members of the gas industry was created.  GISB was succeeded by the North American Energy Standards Board (NAESB).</w:t>
      </w:r>
    </w:p>
    <w:p w14:paraId="2AD99E84" w14:textId="77777777" w:rsidR="00877A89" w:rsidRPr="0027062E" w:rsidRDefault="00877A89">
      <w:pPr>
        <w:tabs>
          <w:tab w:val="num" w:pos="0"/>
        </w:tabs>
        <w:rPr>
          <w:sz w:val="26"/>
          <w:szCs w:val="26"/>
        </w:rPr>
      </w:pPr>
    </w:p>
    <w:p w14:paraId="600A0F55" w14:textId="441948CC" w:rsidR="0027062E" w:rsidRPr="0027062E" w:rsidRDefault="0027062E" w:rsidP="006D154A">
      <w:pPr>
        <w:tabs>
          <w:tab w:val="num" w:pos="0"/>
        </w:tabs>
        <w:rPr>
          <w:sz w:val="26"/>
          <w:szCs w:val="26"/>
        </w:rPr>
      </w:pPr>
      <w:r w:rsidRPr="0027062E">
        <w:rPr>
          <w:sz w:val="26"/>
          <w:szCs w:val="26"/>
        </w:rPr>
        <w:t>NAESB</w:t>
      </w:r>
      <w:r w:rsidR="00A27A38">
        <w:rPr>
          <w:rStyle w:val="FootnoteReference"/>
          <w:sz w:val="26"/>
          <w:szCs w:val="26"/>
        </w:rPr>
        <w:footnoteReference w:id="17"/>
      </w:r>
      <w:r w:rsidRPr="0027062E">
        <w:rPr>
          <w:sz w:val="26"/>
          <w:szCs w:val="26"/>
        </w:rPr>
        <w:t xml:space="preserve"> is a voluntary non-profit organization comprised of members from the retail and wholesale natural gas and electric industries.  NAESB’s mission is to take the lead in developing standards across these industries to simplify and expand electronic communication, and to streamline business practices.  Core to its objective is to lead to a seamless North American marketplace for natural gas, as recognized by its customers, the business community, industry participants and regulatory bodies</w:t>
      </w:r>
      <w:r w:rsidRPr="00A27A38">
        <w:rPr>
          <w:sz w:val="26"/>
          <w:szCs w:val="26"/>
        </w:rPr>
        <w:t>.  NAESB WGQ standard</w:t>
      </w:r>
      <w:r w:rsidR="00127317">
        <w:rPr>
          <w:sz w:val="26"/>
          <w:szCs w:val="26"/>
        </w:rPr>
        <w:t>s are a product of this effort.  I</w:t>
      </w:r>
      <w:r w:rsidRPr="0027062E">
        <w:rPr>
          <w:sz w:val="26"/>
          <w:szCs w:val="26"/>
        </w:rPr>
        <w:t>ndustry participant</w:t>
      </w:r>
      <w:r w:rsidR="00127317">
        <w:rPr>
          <w:sz w:val="26"/>
          <w:szCs w:val="26"/>
        </w:rPr>
        <w:t>s</w:t>
      </w:r>
      <w:r w:rsidRPr="0027062E">
        <w:rPr>
          <w:sz w:val="26"/>
          <w:szCs w:val="26"/>
        </w:rPr>
        <w:t xml:space="preserve"> seeking additional or amended standards (including principles, definitions, standards, data elements, process descriptions, technical implementation instructions) submit a request to the NAESB office, detailing the change, so that the appropriate process may take place to amend the standards.</w:t>
      </w:r>
    </w:p>
    <w:p w14:paraId="79A2FAD4" w14:textId="77777777" w:rsidR="00877A89" w:rsidRPr="0027062E" w:rsidRDefault="00877A89" w:rsidP="0027062E">
      <w:pPr>
        <w:tabs>
          <w:tab w:val="num" w:pos="0"/>
        </w:tabs>
        <w:rPr>
          <w:sz w:val="26"/>
          <w:szCs w:val="26"/>
        </w:rPr>
      </w:pPr>
    </w:p>
    <w:p w14:paraId="18DB13FA" w14:textId="77777777" w:rsidR="00CA3B99" w:rsidRPr="00226A35" w:rsidRDefault="00CA3B99" w:rsidP="00226A35">
      <w:pPr>
        <w:pStyle w:val="ListParagraph"/>
        <w:numPr>
          <w:ilvl w:val="0"/>
          <w:numId w:val="8"/>
        </w:numPr>
        <w:rPr>
          <w:b/>
          <w:sz w:val="26"/>
          <w:szCs w:val="26"/>
        </w:rPr>
      </w:pPr>
      <w:r w:rsidRPr="00226A35">
        <w:rPr>
          <w:b/>
          <w:sz w:val="26"/>
          <w:szCs w:val="26"/>
        </w:rPr>
        <w:t>HOW, BY WHOM, AND FOR WHAT PURPOSE THE INFORMATION IS TO BE USED AND THE CONSEQUENCES OF NOT COLLECTING THE INFORMATION</w:t>
      </w:r>
    </w:p>
    <w:p w14:paraId="279A168B" w14:textId="77777777" w:rsidR="00CA3B99" w:rsidRPr="00226A35" w:rsidRDefault="00CA3B99" w:rsidP="00226A35">
      <w:pPr>
        <w:rPr>
          <w:sz w:val="26"/>
          <w:szCs w:val="26"/>
        </w:rPr>
      </w:pPr>
    </w:p>
    <w:p w14:paraId="3C020444" w14:textId="6E5CD50D" w:rsidR="00635E25" w:rsidRDefault="00CA3B99" w:rsidP="00950A39">
      <w:pPr>
        <w:widowControl/>
        <w:rPr>
          <w:sz w:val="26"/>
          <w:szCs w:val="26"/>
        </w:rPr>
      </w:pPr>
      <w:r>
        <w:rPr>
          <w:b/>
          <w:sz w:val="26"/>
          <w:szCs w:val="26"/>
        </w:rPr>
        <w:t>FERC-545</w:t>
      </w:r>
      <w:r w:rsidRPr="00950A39">
        <w:rPr>
          <w:sz w:val="26"/>
          <w:szCs w:val="26"/>
        </w:rPr>
        <w:t xml:space="preserve">.  </w:t>
      </w:r>
      <w:r w:rsidR="00C66C32" w:rsidRPr="00950A39">
        <w:rPr>
          <w:sz w:val="26"/>
          <w:szCs w:val="26"/>
        </w:rPr>
        <w:t>The</w:t>
      </w:r>
      <w:r w:rsidR="00C66C32">
        <w:rPr>
          <w:b/>
          <w:sz w:val="26"/>
          <w:szCs w:val="26"/>
        </w:rPr>
        <w:t xml:space="preserve"> </w:t>
      </w:r>
      <w:r w:rsidR="00F336E5">
        <w:rPr>
          <w:sz w:val="26"/>
          <w:szCs w:val="26"/>
        </w:rPr>
        <w:t>Final Rule</w:t>
      </w:r>
      <w:r w:rsidR="00C66C32">
        <w:rPr>
          <w:sz w:val="26"/>
          <w:szCs w:val="26"/>
        </w:rPr>
        <w:t xml:space="preserve"> in RM14-2 require</w:t>
      </w:r>
      <w:r w:rsidR="00877A89">
        <w:rPr>
          <w:sz w:val="26"/>
          <w:szCs w:val="26"/>
        </w:rPr>
        <w:t xml:space="preserve">s interstate gas </w:t>
      </w:r>
      <w:r w:rsidR="00C66C32">
        <w:rPr>
          <w:sz w:val="26"/>
          <w:szCs w:val="26"/>
        </w:rPr>
        <w:t xml:space="preserve">pipelines to make a one-time tariff filing to </w:t>
      </w:r>
      <w:r w:rsidR="00635E25">
        <w:rPr>
          <w:sz w:val="26"/>
          <w:szCs w:val="26"/>
        </w:rPr>
        <w:t>reflect the changes</w:t>
      </w:r>
      <w:r w:rsidR="00877A89">
        <w:rPr>
          <w:sz w:val="26"/>
          <w:szCs w:val="26"/>
        </w:rPr>
        <w:t xml:space="preserve">, </w:t>
      </w:r>
      <w:r w:rsidR="00635E25">
        <w:rPr>
          <w:sz w:val="26"/>
          <w:szCs w:val="26"/>
        </w:rPr>
        <w:t>such as additional intraday nomination cycle</w:t>
      </w:r>
      <w:r w:rsidR="00877A89">
        <w:rPr>
          <w:sz w:val="26"/>
          <w:szCs w:val="26"/>
        </w:rPr>
        <w:t>.</w:t>
      </w:r>
      <w:r w:rsidR="00635E25">
        <w:rPr>
          <w:sz w:val="26"/>
          <w:szCs w:val="26"/>
        </w:rPr>
        <w:t xml:space="preserve"> </w:t>
      </w:r>
      <w:r w:rsidR="00C66C32">
        <w:rPr>
          <w:sz w:val="26"/>
          <w:szCs w:val="26"/>
        </w:rPr>
        <w:t xml:space="preserve"> </w:t>
      </w:r>
    </w:p>
    <w:p w14:paraId="36FD974E" w14:textId="77777777" w:rsidR="006B7AF3" w:rsidRDefault="006B7AF3" w:rsidP="00950A39">
      <w:pPr>
        <w:widowControl/>
        <w:rPr>
          <w:sz w:val="26"/>
          <w:szCs w:val="26"/>
        </w:rPr>
      </w:pPr>
    </w:p>
    <w:p w14:paraId="525A507F" w14:textId="345EA5C6" w:rsidR="006B7AF3" w:rsidRDefault="006B7AF3" w:rsidP="006D154A">
      <w:pPr>
        <w:widowControl/>
        <w:rPr>
          <w:sz w:val="26"/>
          <w:szCs w:val="26"/>
        </w:rPr>
      </w:pPr>
      <w:r w:rsidRPr="006B7AF3">
        <w:rPr>
          <w:sz w:val="26"/>
          <w:szCs w:val="26"/>
        </w:rPr>
        <w:t xml:space="preserve">The following information is the subject of the FERC-545:  (1) tariff filings and any related compliance filings; (2) rate case filings and any related compliance filings; (3) informational reports; (4) negotiated rates; (5) non-conforming agreement filings; and (6) NAESB Activity (tariff portion only).  In summary, the Commission uses the FERC-545 information to (1) ensure </w:t>
      </w:r>
      <w:r w:rsidR="00F47494">
        <w:rPr>
          <w:sz w:val="26"/>
          <w:szCs w:val="26"/>
        </w:rPr>
        <w:t xml:space="preserve">there are </w:t>
      </w:r>
      <w:r w:rsidRPr="006B7AF3">
        <w:rPr>
          <w:sz w:val="26"/>
          <w:szCs w:val="26"/>
        </w:rPr>
        <w:t>adequate customer protections under section 4 of the NGA; (2) review rates and terms and conditions of service changes by natural gas companies for the transportation and storage of natural gas; (3) provide general industry oversight; and (4) supplement documentation during FERC’s audits process.</w:t>
      </w:r>
    </w:p>
    <w:p w14:paraId="39A251B2" w14:textId="77777777" w:rsidR="006B7AF3" w:rsidRDefault="006B7AF3" w:rsidP="000143D2">
      <w:pPr>
        <w:widowControl/>
        <w:ind w:firstLine="360"/>
        <w:rPr>
          <w:sz w:val="26"/>
          <w:szCs w:val="26"/>
        </w:rPr>
      </w:pPr>
    </w:p>
    <w:p w14:paraId="033433C2" w14:textId="6DCEF0ED" w:rsidR="006B7AF3" w:rsidRDefault="00CA3B99" w:rsidP="006D154A">
      <w:pPr>
        <w:widowControl/>
        <w:rPr>
          <w:sz w:val="26"/>
          <w:szCs w:val="26"/>
        </w:rPr>
      </w:pPr>
      <w:r>
        <w:rPr>
          <w:sz w:val="26"/>
          <w:szCs w:val="26"/>
        </w:rPr>
        <w:t xml:space="preserve">The Commission reviews the FERC-545 materials to determine whether proposed transportation and sales rates and terms and conditions of service are just and reasonable.  The Commission </w:t>
      </w:r>
      <w:r>
        <w:rPr>
          <w:sz w:val="26"/>
          <w:szCs w:val="26"/>
        </w:rPr>
        <w:lastRenderedPageBreak/>
        <w:t xml:space="preserve">uses the FERC-545 information to monitor rates and terms and conditions of service related to jurisdictional transportation, natural gas storage, and unbundled sales activities of jurisdictional companies.  In addition to fulfilling the Commission’s obligations under the NGA, the FERC-545 enables the Commission to monitor the activities and evaluate transactions of the natural gas industry to ensure competitiveness and improved efficiency of the industry’s operations.  </w:t>
      </w:r>
      <w:r w:rsidR="006B7AF3">
        <w:rPr>
          <w:sz w:val="26"/>
          <w:szCs w:val="26"/>
        </w:rPr>
        <w:t xml:space="preserve"> </w:t>
      </w:r>
    </w:p>
    <w:p w14:paraId="12BF9B5F" w14:textId="77777777" w:rsidR="006B7AF3" w:rsidRDefault="006B7AF3" w:rsidP="00210F7B">
      <w:pPr>
        <w:widowControl/>
        <w:rPr>
          <w:sz w:val="26"/>
          <w:szCs w:val="26"/>
        </w:rPr>
      </w:pPr>
    </w:p>
    <w:p w14:paraId="1745CBBF" w14:textId="4439D5B4" w:rsidR="00877A89" w:rsidRDefault="00740DAF" w:rsidP="00950A39">
      <w:pPr>
        <w:widowControl/>
        <w:rPr>
          <w:sz w:val="26"/>
          <w:szCs w:val="26"/>
        </w:rPr>
      </w:pPr>
      <w:r>
        <w:rPr>
          <w:b/>
          <w:sz w:val="26"/>
          <w:szCs w:val="26"/>
        </w:rPr>
        <w:t xml:space="preserve">FERC-549C.  </w:t>
      </w:r>
      <w:r w:rsidR="00091565">
        <w:rPr>
          <w:sz w:val="26"/>
          <w:szCs w:val="26"/>
        </w:rPr>
        <w:t>The Commission requires the FERC-549C</w:t>
      </w:r>
      <w:r w:rsidR="00877A89">
        <w:rPr>
          <w:sz w:val="26"/>
          <w:szCs w:val="26"/>
        </w:rPr>
        <w:t xml:space="preserve"> </w:t>
      </w:r>
      <w:r w:rsidR="00091565">
        <w:rPr>
          <w:sz w:val="26"/>
          <w:szCs w:val="26"/>
        </w:rPr>
        <w:t xml:space="preserve">because the </w:t>
      </w:r>
      <w:r w:rsidR="00F336E5">
        <w:rPr>
          <w:sz w:val="26"/>
          <w:szCs w:val="26"/>
        </w:rPr>
        <w:t>Final Rule</w:t>
      </w:r>
      <w:r w:rsidR="00091565">
        <w:rPr>
          <w:sz w:val="26"/>
          <w:szCs w:val="26"/>
        </w:rPr>
        <w:t xml:space="preserve"> </w:t>
      </w:r>
      <w:r w:rsidR="00F47494">
        <w:rPr>
          <w:sz w:val="26"/>
          <w:szCs w:val="26"/>
        </w:rPr>
        <w:t xml:space="preserve">in Docket RM14-2 </w:t>
      </w:r>
      <w:r w:rsidR="00091565">
        <w:rPr>
          <w:sz w:val="26"/>
          <w:szCs w:val="26"/>
        </w:rPr>
        <w:t xml:space="preserve">proposes to amend the Commission’s current business practice and </w:t>
      </w:r>
      <w:r w:rsidR="000143D2">
        <w:rPr>
          <w:sz w:val="26"/>
          <w:szCs w:val="26"/>
        </w:rPr>
        <w:t>industry</w:t>
      </w:r>
      <w:r w:rsidR="00091565">
        <w:rPr>
          <w:sz w:val="26"/>
          <w:szCs w:val="26"/>
        </w:rPr>
        <w:t xml:space="preserve"> standards to the latest version </w:t>
      </w:r>
      <w:r w:rsidR="00877A89">
        <w:rPr>
          <w:sz w:val="26"/>
          <w:szCs w:val="26"/>
        </w:rPr>
        <w:t xml:space="preserve">2.0 </w:t>
      </w:r>
      <w:r w:rsidR="00091565">
        <w:rPr>
          <w:sz w:val="26"/>
          <w:szCs w:val="26"/>
        </w:rPr>
        <w:t xml:space="preserve">approved by the </w:t>
      </w:r>
      <w:r w:rsidR="00091565" w:rsidRPr="00091565">
        <w:rPr>
          <w:sz w:val="26"/>
          <w:szCs w:val="26"/>
        </w:rPr>
        <w:t xml:space="preserve">NAESB </w:t>
      </w:r>
      <w:r w:rsidR="00877A89">
        <w:rPr>
          <w:sz w:val="26"/>
          <w:szCs w:val="26"/>
        </w:rPr>
        <w:t>W</w:t>
      </w:r>
      <w:r w:rsidR="00091565" w:rsidRPr="00091565">
        <w:rPr>
          <w:sz w:val="26"/>
          <w:szCs w:val="26"/>
        </w:rPr>
        <w:t>GQ</w:t>
      </w:r>
      <w:r w:rsidR="00091565">
        <w:rPr>
          <w:sz w:val="26"/>
          <w:szCs w:val="26"/>
        </w:rPr>
        <w:t xml:space="preserve">.  In this </w:t>
      </w:r>
      <w:r w:rsidR="00F336E5">
        <w:rPr>
          <w:sz w:val="26"/>
          <w:szCs w:val="26"/>
        </w:rPr>
        <w:t>Final Rule</w:t>
      </w:r>
      <w:r w:rsidR="00091565">
        <w:rPr>
          <w:sz w:val="26"/>
          <w:szCs w:val="26"/>
        </w:rPr>
        <w:t xml:space="preserve">, the Commission is </w:t>
      </w:r>
      <w:r w:rsidR="00877A89">
        <w:rPr>
          <w:sz w:val="26"/>
          <w:szCs w:val="26"/>
        </w:rPr>
        <w:t xml:space="preserve"> incorporat</w:t>
      </w:r>
      <w:r w:rsidR="00F47494">
        <w:rPr>
          <w:sz w:val="26"/>
          <w:szCs w:val="26"/>
        </w:rPr>
        <w:t>ing</w:t>
      </w:r>
      <w:r w:rsidR="00877A89">
        <w:rPr>
          <w:sz w:val="26"/>
          <w:szCs w:val="26"/>
        </w:rPr>
        <w:t xml:space="preserve"> by reference NAESB </w:t>
      </w:r>
      <w:r w:rsidR="000143D2">
        <w:rPr>
          <w:sz w:val="26"/>
          <w:szCs w:val="26"/>
        </w:rPr>
        <w:t>standards that:</w:t>
      </w:r>
    </w:p>
    <w:p w14:paraId="7DE050DE" w14:textId="77777777" w:rsidR="00877A89" w:rsidRDefault="00877A89" w:rsidP="00950A39">
      <w:pPr>
        <w:widowControl/>
        <w:rPr>
          <w:sz w:val="26"/>
          <w:szCs w:val="26"/>
        </w:rPr>
      </w:pPr>
    </w:p>
    <w:p w14:paraId="77D0318C" w14:textId="1DA74636" w:rsidR="00877A89" w:rsidRPr="006E7292" w:rsidRDefault="00877A89" w:rsidP="00877A89">
      <w:pPr>
        <w:pStyle w:val="ListParagraph"/>
        <w:numPr>
          <w:ilvl w:val="0"/>
          <w:numId w:val="28"/>
        </w:numPr>
        <w:rPr>
          <w:sz w:val="26"/>
          <w:szCs w:val="26"/>
        </w:rPr>
      </w:pPr>
      <w:r>
        <w:rPr>
          <w:sz w:val="26"/>
          <w:szCs w:val="26"/>
        </w:rPr>
        <w:t>M</w:t>
      </w:r>
      <w:r w:rsidRPr="006E7292">
        <w:rPr>
          <w:sz w:val="26"/>
          <w:szCs w:val="26"/>
        </w:rPr>
        <w:t>ove the start of the first day-ahead gas nomination opportunity (Timely Nomination Cycle) from 11:30 a.m. to 1:00 p.m. CCT;</w:t>
      </w:r>
    </w:p>
    <w:p w14:paraId="0909C225" w14:textId="0DD6BB23" w:rsidR="00877A89" w:rsidRPr="006E7292" w:rsidRDefault="00877A89" w:rsidP="00877A89">
      <w:pPr>
        <w:pStyle w:val="ListParagraph"/>
        <w:numPr>
          <w:ilvl w:val="0"/>
          <w:numId w:val="28"/>
        </w:numPr>
        <w:rPr>
          <w:sz w:val="26"/>
          <w:szCs w:val="26"/>
        </w:rPr>
      </w:pPr>
      <w:r>
        <w:rPr>
          <w:sz w:val="26"/>
          <w:szCs w:val="26"/>
        </w:rPr>
        <w:t>M</w:t>
      </w:r>
      <w:r w:rsidRPr="006E7292">
        <w:rPr>
          <w:sz w:val="26"/>
          <w:szCs w:val="26"/>
        </w:rPr>
        <w:t>ove the start of the Intraday 2 Nomination Cycle from 5:00 p.m. to 7:00 p.m. CCT</w:t>
      </w:r>
      <w:r>
        <w:rPr>
          <w:sz w:val="26"/>
          <w:szCs w:val="26"/>
        </w:rPr>
        <w:t>; and</w:t>
      </w:r>
    </w:p>
    <w:p w14:paraId="5669C9B3" w14:textId="24391A4C" w:rsidR="00877A89" w:rsidRPr="006E7292" w:rsidRDefault="00877A89" w:rsidP="00877A89">
      <w:pPr>
        <w:pStyle w:val="ListParagraph"/>
        <w:numPr>
          <w:ilvl w:val="0"/>
          <w:numId w:val="28"/>
        </w:numPr>
        <w:rPr>
          <w:sz w:val="26"/>
          <w:szCs w:val="26"/>
        </w:rPr>
      </w:pPr>
      <w:r>
        <w:rPr>
          <w:sz w:val="26"/>
          <w:szCs w:val="26"/>
        </w:rPr>
        <w:t>Add a</w:t>
      </w:r>
      <w:r w:rsidRPr="006E7292">
        <w:rPr>
          <w:sz w:val="26"/>
          <w:szCs w:val="26"/>
        </w:rPr>
        <w:t>n additional Intraday Nominat</w:t>
      </w:r>
      <w:r>
        <w:rPr>
          <w:sz w:val="26"/>
          <w:szCs w:val="26"/>
        </w:rPr>
        <w:t>ion Cycle at 2:30 p.m. CCT.</w:t>
      </w:r>
    </w:p>
    <w:p w14:paraId="218B4B30" w14:textId="77777777" w:rsidR="00877A89" w:rsidRDefault="00877A89" w:rsidP="00950A39">
      <w:pPr>
        <w:widowControl/>
        <w:rPr>
          <w:sz w:val="26"/>
          <w:szCs w:val="26"/>
        </w:rPr>
      </w:pPr>
    </w:p>
    <w:p w14:paraId="3EBEE89D" w14:textId="4C81E1E3" w:rsidR="00877A89" w:rsidRDefault="005B1BAC" w:rsidP="00950A39">
      <w:pPr>
        <w:widowControl/>
        <w:rPr>
          <w:sz w:val="26"/>
          <w:szCs w:val="26"/>
        </w:rPr>
      </w:pPr>
      <w:r w:rsidRPr="006D154A">
        <w:rPr>
          <w:sz w:val="26"/>
          <w:szCs w:val="26"/>
        </w:rPr>
        <w:t xml:space="preserve">Additionally, </w:t>
      </w:r>
      <w:r w:rsidRPr="005F3BFB">
        <w:rPr>
          <w:sz w:val="26"/>
          <w:szCs w:val="26"/>
        </w:rPr>
        <w:t xml:space="preserve">the Commission </w:t>
      </w:r>
      <w:r>
        <w:rPr>
          <w:sz w:val="26"/>
          <w:szCs w:val="26"/>
        </w:rPr>
        <w:t>is adopting</w:t>
      </w:r>
      <w:r w:rsidRPr="005F3BFB">
        <w:rPr>
          <w:sz w:val="26"/>
          <w:szCs w:val="26"/>
        </w:rPr>
        <w:t xml:space="preserve"> section 284.12(b)(1)(iii) as proposed in the </w:t>
      </w:r>
      <w:r w:rsidRPr="006E7A4A">
        <w:rPr>
          <w:sz w:val="26"/>
          <w:szCs w:val="26"/>
        </w:rPr>
        <w:t>Notice of Proposed Rulemaking (NOPR or Proposed Rule)</w:t>
      </w:r>
      <w:r>
        <w:rPr>
          <w:rStyle w:val="FootnoteReference"/>
          <w:sz w:val="26"/>
          <w:szCs w:val="26"/>
        </w:rPr>
        <w:footnoteReference w:id="18"/>
      </w:r>
      <w:r>
        <w:rPr>
          <w:sz w:val="26"/>
          <w:szCs w:val="26"/>
        </w:rPr>
        <w:t xml:space="preserve">, with the modification that </w:t>
      </w:r>
      <w:r w:rsidRPr="005F3BFB">
        <w:rPr>
          <w:sz w:val="26"/>
          <w:szCs w:val="26"/>
        </w:rPr>
        <w:t>the Commission will only require pipelines to offer such an option if requested to do so by a shipper</w:t>
      </w:r>
      <w:r w:rsidR="00F47494">
        <w:rPr>
          <w:sz w:val="26"/>
          <w:szCs w:val="26"/>
        </w:rPr>
        <w:t>.  This change</w:t>
      </w:r>
      <w:r>
        <w:rPr>
          <w:sz w:val="26"/>
          <w:szCs w:val="26"/>
        </w:rPr>
        <w:t>:</w:t>
      </w:r>
    </w:p>
    <w:p w14:paraId="6AEA9F05" w14:textId="77777777" w:rsidR="005B1BAC" w:rsidRDefault="005B1BAC" w:rsidP="00950A39">
      <w:pPr>
        <w:widowControl/>
        <w:rPr>
          <w:sz w:val="26"/>
          <w:szCs w:val="26"/>
        </w:rPr>
      </w:pPr>
    </w:p>
    <w:p w14:paraId="3234E048" w14:textId="2DC39456" w:rsidR="000143D2" w:rsidRPr="006D154A" w:rsidRDefault="005B1BAC" w:rsidP="006D154A">
      <w:pPr>
        <w:pStyle w:val="ListParagraph"/>
        <w:widowControl/>
        <w:numPr>
          <w:ilvl w:val="6"/>
          <w:numId w:val="2"/>
        </w:numPr>
        <w:rPr>
          <w:sz w:val="26"/>
          <w:szCs w:val="26"/>
        </w:rPr>
      </w:pPr>
      <w:r>
        <w:rPr>
          <w:sz w:val="26"/>
          <w:szCs w:val="26"/>
        </w:rPr>
        <w:t>A</w:t>
      </w:r>
      <w:r w:rsidR="00091565" w:rsidRPr="005B1BAC">
        <w:rPr>
          <w:sz w:val="26"/>
          <w:szCs w:val="26"/>
        </w:rPr>
        <w:t>llow</w:t>
      </w:r>
      <w:r w:rsidR="00F47494">
        <w:rPr>
          <w:sz w:val="26"/>
          <w:szCs w:val="26"/>
        </w:rPr>
        <w:t>s</w:t>
      </w:r>
      <w:r w:rsidR="00091565" w:rsidRPr="005B1BAC">
        <w:rPr>
          <w:sz w:val="26"/>
          <w:szCs w:val="26"/>
        </w:rPr>
        <w:t xml:space="preserve"> multiple shippers to share pipeline capacity under a single firm transportation service agreement</w:t>
      </w:r>
      <w:r w:rsidR="000143D2" w:rsidRPr="006D154A">
        <w:rPr>
          <w:sz w:val="26"/>
          <w:szCs w:val="26"/>
        </w:rPr>
        <w:t xml:space="preserve">.  </w:t>
      </w:r>
    </w:p>
    <w:p w14:paraId="318CE593" w14:textId="77777777" w:rsidR="000143D2" w:rsidRDefault="000143D2" w:rsidP="000143D2">
      <w:pPr>
        <w:widowControl/>
        <w:ind w:firstLine="360"/>
        <w:rPr>
          <w:sz w:val="26"/>
          <w:szCs w:val="26"/>
        </w:rPr>
      </w:pPr>
    </w:p>
    <w:p w14:paraId="055013D2" w14:textId="6E64EDBB" w:rsidR="00091565" w:rsidRPr="00091565" w:rsidRDefault="000143D2" w:rsidP="006D154A">
      <w:pPr>
        <w:widowControl/>
        <w:rPr>
          <w:sz w:val="26"/>
          <w:szCs w:val="26"/>
        </w:rPr>
      </w:pPr>
      <w:r>
        <w:rPr>
          <w:sz w:val="26"/>
          <w:szCs w:val="26"/>
        </w:rPr>
        <w:t>Adoption and implementation of the</w:t>
      </w:r>
      <w:r w:rsidR="00F47494">
        <w:rPr>
          <w:sz w:val="26"/>
          <w:szCs w:val="26"/>
        </w:rPr>
        <w:t>se</w:t>
      </w:r>
      <w:r w:rsidR="00BE69E3">
        <w:rPr>
          <w:sz w:val="26"/>
          <w:szCs w:val="26"/>
        </w:rPr>
        <w:t xml:space="preserve"> </w:t>
      </w:r>
      <w:r w:rsidR="00F47494">
        <w:rPr>
          <w:sz w:val="26"/>
          <w:szCs w:val="26"/>
        </w:rPr>
        <w:t>changes in 18CFR</w:t>
      </w:r>
      <w:r w:rsidRPr="000143D2">
        <w:rPr>
          <w:sz w:val="26"/>
          <w:szCs w:val="26"/>
        </w:rPr>
        <w:t>284.12</w:t>
      </w:r>
      <w:r w:rsidR="00F47494">
        <w:rPr>
          <w:sz w:val="26"/>
          <w:szCs w:val="26"/>
        </w:rPr>
        <w:t>,</w:t>
      </w:r>
      <w:r w:rsidRPr="000143D2">
        <w:rPr>
          <w:sz w:val="26"/>
          <w:szCs w:val="26"/>
        </w:rPr>
        <w:t xml:space="preserve"> relating to the scheduling of transportation service on inte</w:t>
      </w:r>
      <w:r>
        <w:rPr>
          <w:sz w:val="26"/>
          <w:szCs w:val="26"/>
        </w:rPr>
        <w:t>rstate natural gas pipelines</w:t>
      </w:r>
      <w:r w:rsidR="00F47494">
        <w:rPr>
          <w:sz w:val="26"/>
          <w:szCs w:val="26"/>
        </w:rPr>
        <w:t>,</w:t>
      </w:r>
      <w:r>
        <w:rPr>
          <w:sz w:val="26"/>
          <w:szCs w:val="26"/>
        </w:rPr>
        <w:t xml:space="preserve"> will serve to </w:t>
      </w:r>
      <w:r w:rsidRPr="000143D2">
        <w:rPr>
          <w:sz w:val="26"/>
          <w:szCs w:val="26"/>
        </w:rPr>
        <w:t xml:space="preserve">better coordinate the scheduling practices of the natural gas and electricity industries, </w:t>
      </w:r>
      <w:r w:rsidR="00F47494">
        <w:rPr>
          <w:sz w:val="26"/>
          <w:szCs w:val="26"/>
        </w:rPr>
        <w:t>and</w:t>
      </w:r>
      <w:r w:rsidRPr="000143D2">
        <w:rPr>
          <w:sz w:val="26"/>
          <w:szCs w:val="26"/>
        </w:rPr>
        <w:t xml:space="preserve"> provide additional scheduling flexibility to all shippers on interstate natural gas pipelines.</w:t>
      </w:r>
    </w:p>
    <w:p w14:paraId="6C15037A" w14:textId="77777777" w:rsidR="00091565" w:rsidRPr="00091565" w:rsidRDefault="00091565" w:rsidP="00210F7B">
      <w:pPr>
        <w:widowControl/>
        <w:rPr>
          <w:sz w:val="26"/>
          <w:szCs w:val="26"/>
        </w:rPr>
      </w:pPr>
    </w:p>
    <w:p w14:paraId="355A9B12" w14:textId="77777777" w:rsidR="00204CCA" w:rsidRPr="00740DAF" w:rsidRDefault="00204CCA" w:rsidP="00210F7B">
      <w:pPr>
        <w:widowControl/>
        <w:rPr>
          <w:sz w:val="26"/>
          <w:szCs w:val="26"/>
        </w:rPr>
      </w:pPr>
    </w:p>
    <w:p w14:paraId="6FFBD023" w14:textId="77777777" w:rsidR="00CA3B99" w:rsidRPr="00FF32D1" w:rsidRDefault="00FD2199" w:rsidP="00950A39">
      <w:pPr>
        <w:widowControl/>
        <w:rPr>
          <w:sz w:val="26"/>
          <w:szCs w:val="26"/>
        </w:rPr>
      </w:pPr>
      <w:r>
        <w:rPr>
          <w:b/>
          <w:sz w:val="26"/>
          <w:szCs w:val="26"/>
        </w:rPr>
        <w:t xml:space="preserve">FERC-545 and -549C.  </w:t>
      </w:r>
      <w:r w:rsidR="00CA3B99" w:rsidRPr="00FF32D1">
        <w:rPr>
          <w:sz w:val="26"/>
          <w:szCs w:val="26"/>
        </w:rPr>
        <w:t xml:space="preserve">Failure to collect this information would prohibit the Commission from monitoring and properly evaluating pipeline transactions and meeting statutory obligations under both the NGPA and the NGA. </w:t>
      </w:r>
    </w:p>
    <w:p w14:paraId="589F6FF0" w14:textId="4F084F10" w:rsidR="00733AEB" w:rsidRDefault="00733AEB" w:rsidP="00733AEB">
      <w:pPr>
        <w:tabs>
          <w:tab w:val="num" w:pos="0"/>
        </w:tabs>
        <w:spacing w:before="100" w:beforeAutospacing="1" w:after="240"/>
        <w:rPr>
          <w:sz w:val="26"/>
          <w:szCs w:val="26"/>
        </w:rPr>
      </w:pPr>
      <w:r w:rsidRPr="00466398">
        <w:rPr>
          <w:sz w:val="26"/>
          <w:szCs w:val="26"/>
        </w:rPr>
        <w:t xml:space="preserve">Additionally, the incorporation by reference of consensus standards helps ensure the reasonableness of these standards in this Final Rule by demonstrating a broad support from industry participants representing all segments of the industry.  </w:t>
      </w:r>
      <w:r w:rsidR="00332BEF">
        <w:rPr>
          <w:sz w:val="26"/>
          <w:szCs w:val="26"/>
        </w:rPr>
        <w:t>Natural gas p</w:t>
      </w:r>
      <w:r w:rsidRPr="00466398">
        <w:rPr>
          <w:sz w:val="26"/>
          <w:szCs w:val="26"/>
        </w:rPr>
        <w:t>ipelines will need to file new tariffs with the Commission only if a) they do not currently offer multi-party transportation contracts and b) shippers request that the pipeline offer such contracts.</w:t>
      </w:r>
    </w:p>
    <w:p w14:paraId="53B643D8" w14:textId="77777777" w:rsidR="00733AEB" w:rsidRPr="00007AD7" w:rsidRDefault="00733AEB" w:rsidP="00210F7B">
      <w:pPr>
        <w:widowControl/>
        <w:rPr>
          <w:sz w:val="26"/>
          <w:szCs w:val="26"/>
        </w:rPr>
      </w:pPr>
    </w:p>
    <w:p w14:paraId="28A75D70" w14:textId="5EC315AD" w:rsidR="00CA3B99" w:rsidRPr="00FF32D1" w:rsidRDefault="00CA3B99" w:rsidP="00950A39">
      <w:pPr>
        <w:widowControl/>
        <w:tabs>
          <w:tab w:val="left" w:pos="-1440"/>
        </w:tabs>
        <w:ind w:left="360" w:hanging="360"/>
        <w:rPr>
          <w:b/>
          <w:bCs/>
          <w:sz w:val="26"/>
          <w:szCs w:val="26"/>
        </w:rPr>
      </w:pPr>
      <w:r w:rsidRPr="00FF32D1">
        <w:rPr>
          <w:sz w:val="26"/>
          <w:szCs w:val="26"/>
        </w:rPr>
        <w:t>3.</w:t>
      </w:r>
      <w:r w:rsidRPr="00FF32D1">
        <w:rPr>
          <w:b/>
          <w:bCs/>
          <w:sz w:val="26"/>
          <w:szCs w:val="26"/>
        </w:rPr>
        <w:t>DESCRIBE ANY CONSIDERATION OF THE USE OF IMPROVED TECHNOLOGY TO REDUCE BURDEN AND TECHNICAL OR LEGAL OBSTACLES TO REDUCING BURDEN.</w:t>
      </w:r>
    </w:p>
    <w:p w14:paraId="37B84E15" w14:textId="77777777" w:rsidR="00CA3B99" w:rsidRPr="00FF32D1" w:rsidRDefault="00CA3B99" w:rsidP="00FF32D1">
      <w:pPr>
        <w:widowControl/>
        <w:rPr>
          <w:b/>
          <w:bCs/>
          <w:sz w:val="26"/>
          <w:szCs w:val="26"/>
        </w:rPr>
      </w:pPr>
    </w:p>
    <w:p w14:paraId="34983E8A" w14:textId="77777777" w:rsidR="00CA3B99" w:rsidRDefault="00CA3B99" w:rsidP="005530B7">
      <w:pPr>
        <w:widowControl/>
        <w:rPr>
          <w:sz w:val="26"/>
          <w:szCs w:val="26"/>
        </w:rPr>
      </w:pPr>
      <w:r>
        <w:rPr>
          <w:b/>
          <w:sz w:val="26"/>
          <w:szCs w:val="26"/>
        </w:rPr>
        <w:t xml:space="preserve">FERC-545.  </w:t>
      </w:r>
      <w:r w:rsidR="004F7E93" w:rsidRPr="004F7E93">
        <w:rPr>
          <w:sz w:val="26"/>
          <w:szCs w:val="26"/>
        </w:rPr>
        <w:t>In previous rulemakings,</w:t>
      </w:r>
      <w:r w:rsidR="001C3337" w:rsidRPr="001C3337">
        <w:rPr>
          <w:sz w:val="26"/>
          <w:szCs w:val="26"/>
          <w:vertAlign w:val="superscript"/>
        </w:rPr>
        <w:t xml:space="preserve"> </w:t>
      </w:r>
      <w:r w:rsidR="001C3337" w:rsidRPr="001C3337">
        <w:rPr>
          <w:sz w:val="26"/>
          <w:szCs w:val="26"/>
          <w:vertAlign w:val="superscript"/>
        </w:rPr>
        <w:footnoteReference w:id="19"/>
      </w:r>
      <w:r w:rsidR="004F7E93" w:rsidRPr="004F7E93">
        <w:rPr>
          <w:sz w:val="26"/>
          <w:szCs w:val="26"/>
        </w:rPr>
        <w:t xml:space="preserve"> the Commission implemented the capability </w:t>
      </w:r>
      <w:r w:rsidR="001C3337">
        <w:rPr>
          <w:sz w:val="26"/>
          <w:szCs w:val="26"/>
        </w:rPr>
        <w:t xml:space="preserve">and requirement </w:t>
      </w:r>
      <w:r w:rsidR="004F7E93" w:rsidRPr="004F7E93">
        <w:rPr>
          <w:sz w:val="26"/>
          <w:szCs w:val="26"/>
        </w:rPr>
        <w:t>for electronic filing of all tariff submissions</w:t>
      </w:r>
      <w:r w:rsidR="001C3337">
        <w:rPr>
          <w:sz w:val="26"/>
          <w:szCs w:val="26"/>
        </w:rPr>
        <w:t>.  FERC also</w:t>
      </w:r>
      <w:r w:rsidR="004F7E93">
        <w:rPr>
          <w:sz w:val="26"/>
          <w:szCs w:val="26"/>
        </w:rPr>
        <w:t xml:space="preserve"> </w:t>
      </w:r>
      <w:r w:rsidR="004F7E93" w:rsidRPr="004F7E93">
        <w:rPr>
          <w:sz w:val="26"/>
          <w:szCs w:val="26"/>
        </w:rPr>
        <w:t>improve</w:t>
      </w:r>
      <w:r w:rsidR="004F7E93">
        <w:rPr>
          <w:sz w:val="26"/>
          <w:szCs w:val="26"/>
        </w:rPr>
        <w:t>d</w:t>
      </w:r>
      <w:r w:rsidR="004F7E93" w:rsidRPr="004F7E93">
        <w:rPr>
          <w:sz w:val="26"/>
          <w:szCs w:val="26"/>
        </w:rPr>
        <w:t xml:space="preserve"> the security of submitting those electronic filings and the pipelines’ </w:t>
      </w:r>
      <w:r w:rsidR="005530B7">
        <w:rPr>
          <w:sz w:val="26"/>
          <w:szCs w:val="26"/>
        </w:rPr>
        <w:t xml:space="preserve">on-line </w:t>
      </w:r>
      <w:r w:rsidR="004F7E93" w:rsidRPr="004F7E93">
        <w:rPr>
          <w:sz w:val="26"/>
          <w:szCs w:val="26"/>
        </w:rPr>
        <w:t xml:space="preserve">process of appointing and modifying agents with the authority to make a filing on the pipeline’s behalf </w:t>
      </w:r>
      <w:r w:rsidR="001C3337">
        <w:rPr>
          <w:sz w:val="26"/>
          <w:szCs w:val="26"/>
        </w:rPr>
        <w:t>(</w:t>
      </w:r>
      <w:r w:rsidR="004F7E93" w:rsidRPr="004F7E93">
        <w:rPr>
          <w:sz w:val="26"/>
          <w:szCs w:val="26"/>
        </w:rPr>
        <w:t>provid</w:t>
      </w:r>
      <w:r w:rsidR="001C3337">
        <w:rPr>
          <w:sz w:val="26"/>
          <w:szCs w:val="26"/>
        </w:rPr>
        <w:t>ing</w:t>
      </w:r>
      <w:r w:rsidR="004F7E93" w:rsidRPr="004F7E93">
        <w:rPr>
          <w:sz w:val="26"/>
          <w:szCs w:val="26"/>
        </w:rPr>
        <w:t xml:space="preserve"> filing companies with greater control over the agents eligible to make specific types of filings on their </w:t>
      </w:r>
      <w:r w:rsidR="005530B7">
        <w:rPr>
          <w:sz w:val="26"/>
          <w:szCs w:val="26"/>
        </w:rPr>
        <w:t>behalf).</w:t>
      </w:r>
    </w:p>
    <w:p w14:paraId="4FA415D7" w14:textId="77777777" w:rsidR="009C1EF6" w:rsidRDefault="00996DF4" w:rsidP="009C1EF6">
      <w:pPr>
        <w:tabs>
          <w:tab w:val="num" w:pos="0"/>
        </w:tabs>
        <w:spacing w:before="100" w:beforeAutospacing="1" w:after="240"/>
        <w:rPr>
          <w:sz w:val="26"/>
          <w:szCs w:val="26"/>
        </w:rPr>
      </w:pPr>
      <w:r>
        <w:rPr>
          <w:b/>
          <w:sz w:val="26"/>
          <w:szCs w:val="26"/>
        </w:rPr>
        <w:t>FERC-549C.</w:t>
      </w:r>
      <w:r>
        <w:rPr>
          <w:sz w:val="26"/>
          <w:szCs w:val="26"/>
        </w:rPr>
        <w:t xml:space="preserve">  </w:t>
      </w:r>
      <w:r w:rsidR="009C1EF6">
        <w:rPr>
          <w:sz w:val="26"/>
          <w:szCs w:val="26"/>
        </w:rPr>
        <w:t>The information resulting from the FERC-549C data requirements will not be filed at FERC.  Instead it will be posted on the pipelines’ Internet sites, provided to third parties or retained.  The Internet and current software allow easy access and use of data on the pipelines’ Internet sites and for transmittal of information.</w:t>
      </w:r>
    </w:p>
    <w:p w14:paraId="009CC8E7" w14:textId="7D236510" w:rsidR="00CA3B99" w:rsidRPr="00544199" w:rsidRDefault="00CA3B99" w:rsidP="00950A39">
      <w:pPr>
        <w:widowControl/>
        <w:tabs>
          <w:tab w:val="left" w:pos="360"/>
        </w:tabs>
        <w:ind w:left="360" w:hanging="360"/>
        <w:rPr>
          <w:b/>
          <w:sz w:val="26"/>
          <w:szCs w:val="26"/>
        </w:rPr>
      </w:pPr>
      <w:r w:rsidRPr="00544199">
        <w:rPr>
          <w:b/>
          <w:sz w:val="26"/>
          <w:szCs w:val="26"/>
        </w:rPr>
        <w:t>4.DESCRIBE EFFORTS TO IDENTIFY DUPLICATION AND SHOW SPECIFICALLY WHY ANY SIMILAR INFORMATION ALREADY AVAILABLE CANNOT BE USED OR MODIFIED FOR USE FOR THE PURPOSE(S) DESCRIBED IN INSTRUCTION NO. 2</w:t>
      </w:r>
    </w:p>
    <w:p w14:paraId="19D3EEC2" w14:textId="26FB853C" w:rsidR="009C1EF6" w:rsidRDefault="00CA3B99" w:rsidP="009C1EF6">
      <w:pPr>
        <w:tabs>
          <w:tab w:val="num" w:pos="0"/>
        </w:tabs>
        <w:spacing w:before="100" w:beforeAutospacing="1" w:after="240"/>
        <w:rPr>
          <w:sz w:val="26"/>
          <w:szCs w:val="26"/>
        </w:rPr>
      </w:pPr>
      <w:r>
        <w:rPr>
          <w:b/>
          <w:sz w:val="26"/>
          <w:szCs w:val="26"/>
        </w:rPr>
        <w:t>FERC-545</w:t>
      </w:r>
      <w:r w:rsidR="00996DF4">
        <w:rPr>
          <w:b/>
          <w:sz w:val="26"/>
          <w:szCs w:val="26"/>
        </w:rPr>
        <w:t xml:space="preserve"> and FERC-549C.</w:t>
      </w:r>
      <w:r w:rsidR="00996DF4" w:rsidRPr="00996DF4">
        <w:rPr>
          <w:sz w:val="26"/>
          <w:szCs w:val="26"/>
        </w:rPr>
        <w:t xml:space="preserve"> </w:t>
      </w:r>
      <w:r w:rsidR="009C1EF6">
        <w:rPr>
          <w:sz w:val="26"/>
          <w:szCs w:val="26"/>
        </w:rPr>
        <w:t xml:space="preserve">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  </w:t>
      </w:r>
    </w:p>
    <w:p w14:paraId="727B3BBA" w14:textId="38CC4D85" w:rsidR="00CA3B99" w:rsidRDefault="00CA3B99" w:rsidP="00950A39">
      <w:pPr>
        <w:widowControl/>
        <w:tabs>
          <w:tab w:val="left" w:pos="360"/>
          <w:tab w:val="left" w:pos="4050"/>
        </w:tabs>
        <w:ind w:left="360" w:hanging="360"/>
        <w:rPr>
          <w:sz w:val="26"/>
          <w:szCs w:val="26"/>
        </w:rPr>
      </w:pPr>
      <w:r w:rsidRPr="00544199">
        <w:rPr>
          <w:b/>
          <w:sz w:val="26"/>
          <w:szCs w:val="26"/>
        </w:rPr>
        <w:t>5.</w:t>
      </w:r>
      <w:r w:rsidRPr="00544199">
        <w:rPr>
          <w:sz w:val="26"/>
          <w:szCs w:val="26"/>
        </w:rPr>
        <w:t xml:space="preserve"> </w:t>
      </w:r>
      <w:r w:rsidRPr="00544199">
        <w:rPr>
          <w:b/>
          <w:sz w:val="26"/>
          <w:szCs w:val="26"/>
        </w:rPr>
        <w:t>METHODS USED TO MINIMIZE BURDEN IN COLLECTION OF INFORMATION INVOLVING SMALL ENTITIES</w:t>
      </w:r>
      <w:r w:rsidRPr="00544199">
        <w:rPr>
          <w:sz w:val="26"/>
          <w:szCs w:val="26"/>
        </w:rPr>
        <w:t xml:space="preserve"> </w:t>
      </w:r>
    </w:p>
    <w:p w14:paraId="65BDAE15" w14:textId="77777777" w:rsidR="00332BEF" w:rsidRPr="00544199" w:rsidRDefault="00332BEF" w:rsidP="00950A39">
      <w:pPr>
        <w:widowControl/>
        <w:tabs>
          <w:tab w:val="left" w:pos="360"/>
          <w:tab w:val="left" w:pos="4050"/>
        </w:tabs>
        <w:ind w:left="360" w:hanging="360"/>
        <w:rPr>
          <w:sz w:val="26"/>
          <w:szCs w:val="26"/>
        </w:rPr>
      </w:pPr>
    </w:p>
    <w:p w14:paraId="7CAF3D33" w14:textId="59F1DDE6" w:rsidR="00CA3B99" w:rsidRDefault="00332BEF" w:rsidP="00544199">
      <w:pPr>
        <w:widowControl/>
        <w:ind w:firstLine="720"/>
        <w:rPr>
          <w:sz w:val="26"/>
          <w:szCs w:val="26"/>
        </w:rPr>
      </w:pPr>
      <w:r w:rsidRPr="00332BEF">
        <w:rPr>
          <w:sz w:val="26"/>
          <w:szCs w:val="26"/>
        </w:rPr>
        <w:t xml:space="preserve">The Small Business Administration's (SBA) Office of Size Standards develops the numerical definition of a small business as matched to North American Industry Classification System Codes (NAICS).    The SBA </w:t>
      </w:r>
      <w:r w:rsidR="001A3773">
        <w:rPr>
          <w:sz w:val="26"/>
          <w:szCs w:val="26"/>
        </w:rPr>
        <w:t xml:space="preserve">(in </w:t>
      </w:r>
      <w:r w:rsidR="001A3773" w:rsidRPr="001A3773">
        <w:rPr>
          <w:sz w:val="26"/>
          <w:szCs w:val="26"/>
        </w:rPr>
        <w:t>13 CFR 121.101</w:t>
      </w:r>
      <w:r w:rsidR="001A3773">
        <w:rPr>
          <w:sz w:val="26"/>
          <w:szCs w:val="26"/>
        </w:rPr>
        <w:t>)</w:t>
      </w:r>
      <w:r w:rsidR="001A3773" w:rsidRPr="001A3773">
        <w:rPr>
          <w:sz w:val="26"/>
          <w:szCs w:val="26"/>
        </w:rPr>
        <w:t xml:space="preserve"> </w:t>
      </w:r>
      <w:r w:rsidRPr="00332BEF">
        <w:rPr>
          <w:sz w:val="26"/>
          <w:szCs w:val="26"/>
        </w:rPr>
        <w:t>has established a size standard for pipelines transporting natural gas, stating that a firm is a small entity if its annual receipts (including those of its affiliates) are $27.5 million or less.</w:t>
      </w:r>
      <w:r w:rsidR="001A3773">
        <w:rPr>
          <w:rStyle w:val="FootnoteReference"/>
          <w:sz w:val="26"/>
          <w:szCs w:val="26"/>
        </w:rPr>
        <w:footnoteReference w:id="20"/>
      </w:r>
    </w:p>
    <w:p w14:paraId="58B3F627" w14:textId="77777777" w:rsidR="00332BEF" w:rsidRPr="00544199" w:rsidRDefault="00332BEF" w:rsidP="00544199">
      <w:pPr>
        <w:widowControl/>
        <w:ind w:firstLine="720"/>
        <w:rPr>
          <w:sz w:val="26"/>
          <w:szCs w:val="26"/>
        </w:rPr>
      </w:pPr>
    </w:p>
    <w:p w14:paraId="69CBC1E4" w14:textId="5C7EAF87" w:rsidR="001C3404" w:rsidRDefault="00051566" w:rsidP="001C3404">
      <w:pPr>
        <w:widowControl/>
        <w:rPr>
          <w:sz w:val="26"/>
          <w:szCs w:val="26"/>
        </w:rPr>
      </w:pPr>
      <w:r>
        <w:rPr>
          <w:b/>
          <w:sz w:val="26"/>
          <w:szCs w:val="26"/>
        </w:rPr>
        <w:lastRenderedPageBreak/>
        <w:t xml:space="preserve">FERC-545.  </w:t>
      </w:r>
      <w:r w:rsidR="001C3404">
        <w:rPr>
          <w:sz w:val="26"/>
          <w:szCs w:val="26"/>
        </w:rPr>
        <w:t>The FERC-545 is a filing requirement related to pipeline rate filing obligations for the transportation and storage of natural gas.  The filing collects data from both large and small respondent companies.  The data required impose the least possible burden for companies, while collecting the information required for processing the filings.  Use of the Internet to file documents electronically is the primary method the Commission uses to minimize the FERC-545 burden.</w:t>
      </w:r>
    </w:p>
    <w:p w14:paraId="48DA251D" w14:textId="77777777" w:rsidR="001C3404" w:rsidRDefault="001C3404" w:rsidP="001C3404">
      <w:pPr>
        <w:widowControl/>
        <w:rPr>
          <w:sz w:val="26"/>
          <w:szCs w:val="26"/>
        </w:rPr>
      </w:pPr>
    </w:p>
    <w:p w14:paraId="73CEA8D7" w14:textId="0CCE01B7" w:rsidR="001C3404" w:rsidRDefault="001C3404" w:rsidP="006D154A">
      <w:pPr>
        <w:widowControl/>
        <w:rPr>
          <w:b/>
          <w:sz w:val="26"/>
          <w:szCs w:val="26"/>
        </w:rPr>
      </w:pPr>
      <w:r>
        <w:rPr>
          <w:sz w:val="26"/>
          <w:szCs w:val="26"/>
        </w:rPr>
        <w:t xml:space="preserve">The </w:t>
      </w:r>
      <w:r w:rsidR="006B7AF3">
        <w:rPr>
          <w:sz w:val="26"/>
          <w:szCs w:val="26"/>
        </w:rPr>
        <w:t xml:space="preserve">one-time compliance filings </w:t>
      </w:r>
      <w:r w:rsidR="001A3773">
        <w:rPr>
          <w:sz w:val="26"/>
          <w:szCs w:val="26"/>
        </w:rPr>
        <w:t xml:space="preserve">mandated </w:t>
      </w:r>
      <w:r w:rsidR="003A4E6D">
        <w:rPr>
          <w:sz w:val="26"/>
          <w:szCs w:val="26"/>
        </w:rPr>
        <w:t xml:space="preserve">in the </w:t>
      </w:r>
      <w:r w:rsidR="00F336E5">
        <w:rPr>
          <w:sz w:val="26"/>
          <w:szCs w:val="26"/>
        </w:rPr>
        <w:t>Final Rule</w:t>
      </w:r>
      <w:r>
        <w:rPr>
          <w:sz w:val="26"/>
          <w:szCs w:val="26"/>
        </w:rPr>
        <w:t xml:space="preserve"> must be filed electronically.</w:t>
      </w:r>
    </w:p>
    <w:p w14:paraId="0864E559" w14:textId="76959A26" w:rsidR="001C3404" w:rsidRDefault="00051566" w:rsidP="001C3404">
      <w:pPr>
        <w:tabs>
          <w:tab w:val="num" w:pos="0"/>
        </w:tabs>
        <w:spacing w:before="100" w:beforeAutospacing="1" w:after="240"/>
        <w:rPr>
          <w:sz w:val="26"/>
          <w:szCs w:val="26"/>
        </w:rPr>
      </w:pPr>
      <w:r>
        <w:rPr>
          <w:b/>
          <w:sz w:val="26"/>
          <w:szCs w:val="26"/>
        </w:rPr>
        <w:t xml:space="preserve">FERC-549C.  </w:t>
      </w:r>
      <w:r w:rsidR="001C3404">
        <w:rPr>
          <w:sz w:val="26"/>
          <w:szCs w:val="26"/>
        </w:rPr>
        <w:t>The FE</w:t>
      </w:r>
      <w:r w:rsidR="000143D2">
        <w:rPr>
          <w:sz w:val="26"/>
          <w:szCs w:val="26"/>
        </w:rPr>
        <w:t>RC-549C information collection will impact t</w:t>
      </w:r>
      <w:r w:rsidR="001C3404" w:rsidRPr="00E0344D">
        <w:rPr>
          <w:sz w:val="26"/>
          <w:szCs w:val="26"/>
        </w:rPr>
        <w:t xml:space="preserve">he proposed business standards, practices and procedures </w:t>
      </w:r>
      <w:r w:rsidR="000143D2">
        <w:rPr>
          <w:sz w:val="26"/>
          <w:szCs w:val="26"/>
        </w:rPr>
        <w:t xml:space="preserve">for the </w:t>
      </w:r>
      <w:r w:rsidR="001C3404" w:rsidRPr="00E0344D">
        <w:rPr>
          <w:sz w:val="26"/>
          <w:szCs w:val="26"/>
        </w:rPr>
        <w:t xml:space="preserve">day-to-day operations of major and a few non-major natural gas companies.  The business practice standards are designed to benefit all customers, including small businesses.  </w:t>
      </w:r>
      <w:r w:rsidR="003A4E6D">
        <w:rPr>
          <w:sz w:val="26"/>
          <w:szCs w:val="26"/>
        </w:rPr>
        <w:t>T</w:t>
      </w:r>
      <w:r w:rsidR="001C3404" w:rsidRPr="00E0344D">
        <w:rPr>
          <w:sz w:val="26"/>
          <w:szCs w:val="26"/>
        </w:rPr>
        <w:t>he Commission allows for extensions of time and for waivers of the business practice standards.  Such extensions or waivers are based upon a pipeline’s individual circumstances, including the size of the pipeline.  For smaller pipelines</w:t>
      </w:r>
      <w:r w:rsidR="001A3773">
        <w:rPr>
          <w:sz w:val="26"/>
          <w:szCs w:val="26"/>
        </w:rPr>
        <w:t>,</w:t>
      </w:r>
      <w:r w:rsidR="001C3404" w:rsidRPr="00E0344D">
        <w:rPr>
          <w:sz w:val="26"/>
          <w:szCs w:val="26"/>
        </w:rPr>
        <w:t xml:space="preserve"> the Commission </w:t>
      </w:r>
      <w:r w:rsidR="001C3404">
        <w:rPr>
          <w:sz w:val="26"/>
          <w:szCs w:val="26"/>
        </w:rPr>
        <w:t>has granted waivers of some of the standards w</w:t>
      </w:r>
      <w:r w:rsidR="001C3404" w:rsidRPr="00E0344D">
        <w:rPr>
          <w:sz w:val="26"/>
          <w:szCs w:val="26"/>
        </w:rPr>
        <w:t>hen such pipelines have shown that complying with such standards would prove unduly burdensome.</w:t>
      </w:r>
    </w:p>
    <w:p w14:paraId="602A9F43" w14:textId="77777777" w:rsidR="00CA3B99" w:rsidRPr="00544199" w:rsidRDefault="00CA3B99" w:rsidP="00544199">
      <w:pPr>
        <w:pStyle w:val="ListParagraph"/>
        <w:widowControl/>
        <w:numPr>
          <w:ilvl w:val="0"/>
          <w:numId w:val="11"/>
        </w:numPr>
        <w:ind w:left="360"/>
        <w:rPr>
          <w:b/>
          <w:sz w:val="26"/>
          <w:szCs w:val="26"/>
        </w:rPr>
      </w:pPr>
      <w:r w:rsidRPr="00544199">
        <w:rPr>
          <w:b/>
          <w:sz w:val="26"/>
          <w:szCs w:val="26"/>
        </w:rPr>
        <w:t>CONSEQUENCE TO FEDERAL PROGRAM IF COLLECTION WERE CONDUCTED LESS FREQUENTLY</w:t>
      </w:r>
    </w:p>
    <w:p w14:paraId="5E2CC693" w14:textId="77777777" w:rsidR="00CA3B99" w:rsidRPr="00544199" w:rsidRDefault="00CA3B99" w:rsidP="00544199">
      <w:pPr>
        <w:widowControl/>
        <w:rPr>
          <w:b/>
          <w:sz w:val="26"/>
          <w:szCs w:val="26"/>
        </w:rPr>
      </w:pPr>
    </w:p>
    <w:p w14:paraId="76CACB31" w14:textId="2BB857F4" w:rsidR="001C3404" w:rsidRPr="004739F8" w:rsidRDefault="00870D92" w:rsidP="001C3404">
      <w:pPr>
        <w:widowControl/>
        <w:tabs>
          <w:tab w:val="left" w:pos="0"/>
        </w:tabs>
        <w:rPr>
          <w:sz w:val="26"/>
          <w:szCs w:val="26"/>
        </w:rPr>
      </w:pPr>
      <w:r w:rsidRPr="00443AA1">
        <w:rPr>
          <w:sz w:val="26"/>
          <w:szCs w:val="26"/>
        </w:rPr>
        <w:t>FERC-545</w:t>
      </w:r>
      <w:r w:rsidR="004739F8" w:rsidRPr="004739F8">
        <w:rPr>
          <w:sz w:val="26"/>
          <w:szCs w:val="26"/>
        </w:rPr>
        <w:t xml:space="preserve"> is a one-time compliance filing</w:t>
      </w:r>
      <w:r w:rsidR="00443AA1">
        <w:rPr>
          <w:sz w:val="26"/>
          <w:szCs w:val="26"/>
        </w:rPr>
        <w:t>, and FERC-549C is a one-time implementation plus ongoing operations</w:t>
      </w:r>
      <w:r w:rsidR="004739F8" w:rsidRPr="004739F8">
        <w:rPr>
          <w:sz w:val="26"/>
          <w:szCs w:val="26"/>
        </w:rPr>
        <w:t>.</w:t>
      </w:r>
      <w:r w:rsidR="00F55AC8">
        <w:rPr>
          <w:sz w:val="26"/>
          <w:szCs w:val="26"/>
        </w:rPr>
        <w:t xml:space="preserve">  Failure to collect the information would prohibit FERC </w:t>
      </w:r>
      <w:r w:rsidR="00443AA1">
        <w:rPr>
          <w:sz w:val="26"/>
          <w:szCs w:val="26"/>
        </w:rPr>
        <w:t>from properly monitoring and evaluating  pipeline transactions and meeting statutory obligations under NGPA and NGA.</w:t>
      </w:r>
    </w:p>
    <w:p w14:paraId="261C0464" w14:textId="4EC3381B" w:rsidR="00CA3B99" w:rsidRPr="00544199" w:rsidRDefault="00CA3B99" w:rsidP="00544199">
      <w:pPr>
        <w:widowControl/>
        <w:rPr>
          <w:sz w:val="26"/>
          <w:szCs w:val="26"/>
        </w:rPr>
      </w:pPr>
    </w:p>
    <w:p w14:paraId="1BE13C75" w14:textId="77777777" w:rsidR="00CA3B99" w:rsidRPr="00544199" w:rsidRDefault="00CA3B99" w:rsidP="00950A39">
      <w:pPr>
        <w:widowControl/>
        <w:tabs>
          <w:tab w:val="left" w:pos="360"/>
        </w:tabs>
        <w:ind w:left="360" w:hanging="360"/>
        <w:rPr>
          <w:b/>
          <w:sz w:val="26"/>
          <w:szCs w:val="26"/>
        </w:rPr>
      </w:pPr>
      <w:r w:rsidRPr="00544199">
        <w:rPr>
          <w:b/>
          <w:sz w:val="26"/>
          <w:szCs w:val="26"/>
        </w:rPr>
        <w:t>7</w:t>
      </w:r>
      <w:r w:rsidRPr="00544199">
        <w:rPr>
          <w:sz w:val="26"/>
          <w:szCs w:val="26"/>
        </w:rPr>
        <w:t>.</w:t>
      </w:r>
      <w:r w:rsidRPr="00544199">
        <w:rPr>
          <w:sz w:val="26"/>
          <w:szCs w:val="26"/>
        </w:rPr>
        <w:tab/>
      </w:r>
      <w:r w:rsidRPr="00544199">
        <w:rPr>
          <w:b/>
          <w:sz w:val="26"/>
          <w:szCs w:val="26"/>
        </w:rPr>
        <w:t>EXPLAIN ANY SPECIAL CIRCUMSTANCES RELATING TO THE INFORMATION COLLECTION</w:t>
      </w:r>
    </w:p>
    <w:p w14:paraId="2AD91CF6" w14:textId="77777777" w:rsidR="00CA3B99" w:rsidRPr="00544199" w:rsidRDefault="00CA3B99" w:rsidP="00544199">
      <w:pPr>
        <w:widowControl/>
        <w:tabs>
          <w:tab w:val="left" w:pos="0"/>
        </w:tabs>
        <w:rPr>
          <w:sz w:val="26"/>
          <w:szCs w:val="26"/>
        </w:rPr>
      </w:pPr>
    </w:p>
    <w:p w14:paraId="6638D5A4" w14:textId="574BD553" w:rsidR="00CA3B99" w:rsidRDefault="00CA3B99" w:rsidP="006D154A">
      <w:pPr>
        <w:widowControl/>
        <w:tabs>
          <w:tab w:val="left" w:pos="0"/>
        </w:tabs>
        <w:rPr>
          <w:sz w:val="26"/>
          <w:szCs w:val="26"/>
        </w:rPr>
      </w:pPr>
      <w:r w:rsidRPr="001A3773">
        <w:rPr>
          <w:sz w:val="26"/>
          <w:szCs w:val="26"/>
        </w:rPr>
        <w:t xml:space="preserve">The </w:t>
      </w:r>
      <w:r w:rsidRPr="0064408F">
        <w:rPr>
          <w:sz w:val="26"/>
          <w:szCs w:val="26"/>
        </w:rPr>
        <w:t>FERC-545</w:t>
      </w:r>
      <w:r w:rsidR="006120E4" w:rsidRPr="0064408F">
        <w:rPr>
          <w:sz w:val="26"/>
          <w:szCs w:val="26"/>
        </w:rPr>
        <w:t xml:space="preserve"> and FERC-549C </w:t>
      </w:r>
      <w:r w:rsidRPr="001A3773">
        <w:rPr>
          <w:sz w:val="26"/>
          <w:szCs w:val="26"/>
        </w:rPr>
        <w:t>present</w:t>
      </w:r>
      <w:r w:rsidRPr="00544199">
        <w:rPr>
          <w:sz w:val="26"/>
          <w:szCs w:val="26"/>
        </w:rPr>
        <w:t xml:space="preserve"> no special circumstances.</w:t>
      </w:r>
    </w:p>
    <w:p w14:paraId="32855EF0" w14:textId="77777777" w:rsidR="00CA3B99" w:rsidRPr="00544199" w:rsidRDefault="00CA3B99" w:rsidP="00544199">
      <w:pPr>
        <w:widowControl/>
        <w:rPr>
          <w:sz w:val="26"/>
          <w:szCs w:val="26"/>
        </w:rPr>
      </w:pPr>
    </w:p>
    <w:p w14:paraId="4197DA2E" w14:textId="26AA5C72" w:rsidR="00CA3B99" w:rsidRPr="003A636B" w:rsidRDefault="00CA3B99" w:rsidP="00950A39">
      <w:pPr>
        <w:widowControl/>
        <w:ind w:left="360" w:hanging="360"/>
        <w:rPr>
          <w:b/>
          <w:sz w:val="26"/>
          <w:szCs w:val="26"/>
        </w:rPr>
      </w:pPr>
      <w:r w:rsidRPr="003A636B">
        <w:rPr>
          <w:b/>
          <w:sz w:val="26"/>
          <w:szCs w:val="26"/>
        </w:rPr>
        <w:t>8.DESCRIBE EFFORTS TO CONSULT OUTSIDE THE AGENCY:   SUMMARIZE PUBLIC COMMENTS AND THE AGENCY’S RESPONSE TO THESE COMMENTS</w:t>
      </w:r>
    </w:p>
    <w:p w14:paraId="7999EB01" w14:textId="77777777" w:rsidR="00CA3B99" w:rsidRPr="003A636B" w:rsidRDefault="00CA3B99" w:rsidP="003A636B">
      <w:pPr>
        <w:ind w:left="720" w:hanging="720"/>
      </w:pPr>
    </w:p>
    <w:p w14:paraId="20D96C78" w14:textId="65B21CE3" w:rsidR="00AF3989" w:rsidRDefault="001A3773" w:rsidP="006D154A">
      <w:pPr>
        <w:widowControl/>
        <w:tabs>
          <w:tab w:val="left" w:pos="-1440"/>
        </w:tabs>
        <w:rPr>
          <w:sz w:val="26"/>
          <w:szCs w:val="26"/>
        </w:rPr>
      </w:pPr>
      <w:r>
        <w:rPr>
          <w:sz w:val="26"/>
          <w:szCs w:val="26"/>
        </w:rPr>
        <w:t>As described above, t</w:t>
      </w:r>
      <w:r w:rsidR="00AF3989" w:rsidRPr="00AF3989">
        <w:rPr>
          <w:sz w:val="26"/>
          <w:szCs w:val="26"/>
        </w:rPr>
        <w:t xml:space="preserve">he Commission has engaged in an extensive dialogue with industry on gas-electric coordination issues.  These efforts were first formalized on February 15, 2012, when the Commission issued a notice in Docket No. AD12-12-000 requesting comment on various aspects of gas-electric interdependence and coordination in response to questions posed by members of the Commission.   In order to better understand the interface between the electric and natural gas pipeline industries and identify areas for improved coordination, the questions covered a variety of topics including market structures and rules, scheduling, communications, infrastructure and reliability.  In response to the notice, the Commission received comments </w:t>
      </w:r>
      <w:r w:rsidR="00AF3989" w:rsidRPr="00AF3989">
        <w:rPr>
          <w:sz w:val="26"/>
          <w:szCs w:val="26"/>
        </w:rPr>
        <w:lastRenderedPageBreak/>
        <w:t>from 79 entities that raised concerns, including the need for alignment of natural gas and electric scheduling.</w:t>
      </w:r>
    </w:p>
    <w:p w14:paraId="0A2249F4" w14:textId="77777777" w:rsidR="00951D8B" w:rsidRPr="00AF3989" w:rsidRDefault="00951D8B" w:rsidP="00AF3989">
      <w:pPr>
        <w:widowControl/>
        <w:tabs>
          <w:tab w:val="left" w:pos="-1440"/>
        </w:tabs>
        <w:ind w:firstLine="450"/>
        <w:rPr>
          <w:sz w:val="26"/>
          <w:szCs w:val="26"/>
        </w:rPr>
      </w:pPr>
    </w:p>
    <w:p w14:paraId="5022E8AC" w14:textId="01B23676" w:rsidR="00AF3989" w:rsidRDefault="00AF3989" w:rsidP="006D154A">
      <w:pPr>
        <w:widowControl/>
        <w:tabs>
          <w:tab w:val="left" w:pos="-1440"/>
        </w:tabs>
        <w:rPr>
          <w:sz w:val="26"/>
          <w:szCs w:val="26"/>
        </w:rPr>
      </w:pPr>
      <w:r w:rsidRPr="00AF3989">
        <w:rPr>
          <w:sz w:val="26"/>
          <w:szCs w:val="26"/>
        </w:rPr>
        <w:t xml:space="preserve">During August 2012, the Commission convened five </w:t>
      </w:r>
      <w:r w:rsidR="009C6E13" w:rsidRPr="009C6E13">
        <w:rPr>
          <w:sz w:val="26"/>
          <w:szCs w:val="26"/>
        </w:rPr>
        <w:t>regional technical conferences on Coordination between Natural Gas and Electricity Markets</w:t>
      </w:r>
      <w:r w:rsidR="009C6E13">
        <w:rPr>
          <w:rStyle w:val="FootnoteReference"/>
          <w:sz w:val="26"/>
          <w:szCs w:val="26"/>
        </w:rPr>
        <w:footnoteReference w:id="21"/>
      </w:r>
      <w:r w:rsidR="009C6E13" w:rsidRPr="009C6E13" w:rsidDel="009C6E13">
        <w:rPr>
          <w:sz w:val="26"/>
          <w:szCs w:val="26"/>
        </w:rPr>
        <w:t xml:space="preserve"> </w:t>
      </w:r>
      <w:r w:rsidRPr="00AF3989">
        <w:rPr>
          <w:sz w:val="26"/>
          <w:szCs w:val="26"/>
        </w:rPr>
        <w:t>for the purpose of exploring these issues and obtaining further information from the electric and natural gas industries regarding coordination between the industries.  Representatives from a cross-section of both industries attended the regional conferences, with total attendance exceeding 1,200 registrants.  As noted above, the November Staff Report following these conferences stated that, among other topics, participants highlighted the need for alignment of natural gas and electric scheduling.  Generators participating in the ISO and RTO markets stated that managing fuel procurement risk can be a challenge because the natural gas and electric operating days are not aligned.  Many participants voiced concerns related to whether establishing a standard energy day for both industries is warranted, whether and how utilities can most effectively match their scheduling times with the nationwide natural gas scheduling timeline, whether additional nomination opportunities for natural gas can be provided and, if so, under what conditions.  Participants also pointed out that changes to natural gas scheduling practices can have national implications given the operational structure of the pipeline system and that whether changes to the scheduling practices of the natural gas or electric industries are necessary to better align these two markets has been a matter of debate among the industries for a number of years.</w:t>
      </w:r>
    </w:p>
    <w:p w14:paraId="607BCEF6" w14:textId="77777777" w:rsidR="00951D8B" w:rsidRPr="00AF3989" w:rsidRDefault="00951D8B" w:rsidP="00AF3989">
      <w:pPr>
        <w:widowControl/>
        <w:tabs>
          <w:tab w:val="left" w:pos="-1440"/>
        </w:tabs>
        <w:ind w:firstLine="450"/>
        <w:rPr>
          <w:sz w:val="26"/>
          <w:szCs w:val="26"/>
        </w:rPr>
      </w:pPr>
    </w:p>
    <w:p w14:paraId="6644E759" w14:textId="1265CB1E" w:rsidR="00AF3989" w:rsidRDefault="00AF3989" w:rsidP="006D154A">
      <w:pPr>
        <w:widowControl/>
        <w:tabs>
          <w:tab w:val="left" w:pos="-1440"/>
        </w:tabs>
        <w:rPr>
          <w:sz w:val="26"/>
          <w:szCs w:val="26"/>
        </w:rPr>
      </w:pPr>
      <w:r w:rsidRPr="00AF3989">
        <w:rPr>
          <w:sz w:val="26"/>
          <w:szCs w:val="26"/>
        </w:rPr>
        <w:t>On November 15, 2012, the Commission issued an order directing further technical conferences and reports.</w:t>
      </w:r>
      <w:r w:rsidR="009C6E13">
        <w:rPr>
          <w:rStyle w:val="FootnoteReference"/>
          <w:sz w:val="26"/>
          <w:szCs w:val="26"/>
        </w:rPr>
        <w:footnoteReference w:id="22"/>
      </w:r>
      <w:r w:rsidRPr="00AF3989">
        <w:rPr>
          <w:sz w:val="26"/>
          <w:szCs w:val="26"/>
        </w:rPr>
        <w:t xml:space="preserve">   In this order, the Commission recognized that questions raised at the </w:t>
      </w:r>
      <w:r w:rsidRPr="00AF3989">
        <w:rPr>
          <w:sz w:val="26"/>
          <w:szCs w:val="26"/>
        </w:rPr>
        <w:lastRenderedPageBreak/>
        <w:t xml:space="preserve">conferences, related to scheduling and other issues, were of sufficient importance that they warranted a separate technical conference to focus on the details relating to scheduling.   Therefore, the Commission directed, among other things, that Commission staff convene a technical conference to identify areas in which additional Commission guidance or potential regulatory changes could be considered. </w:t>
      </w:r>
    </w:p>
    <w:p w14:paraId="08BF8B7D" w14:textId="77777777" w:rsidR="00951D8B" w:rsidRPr="00AF3989" w:rsidRDefault="00951D8B" w:rsidP="00AF3989">
      <w:pPr>
        <w:widowControl/>
        <w:tabs>
          <w:tab w:val="left" w:pos="-1440"/>
        </w:tabs>
        <w:ind w:firstLine="450"/>
        <w:rPr>
          <w:sz w:val="26"/>
          <w:szCs w:val="26"/>
        </w:rPr>
      </w:pPr>
    </w:p>
    <w:p w14:paraId="7C6C2B81" w14:textId="77777777" w:rsidR="00AF3989" w:rsidRDefault="00AF3989" w:rsidP="006D154A">
      <w:pPr>
        <w:widowControl/>
        <w:tabs>
          <w:tab w:val="left" w:pos="-1440"/>
        </w:tabs>
        <w:rPr>
          <w:sz w:val="26"/>
          <w:szCs w:val="26"/>
        </w:rPr>
      </w:pPr>
      <w:r w:rsidRPr="00AF3989">
        <w:rPr>
          <w:sz w:val="26"/>
          <w:szCs w:val="26"/>
        </w:rPr>
        <w:t xml:space="preserve">Pursuant to the November 15 Order, the Commission  held a technical conference on April 25, 2013 (April 2013 technical conference) regarding natural gas and electric scheduling practices, and issues related to whether and how natural gas and electric industry schedules could be harmonized in order to achieve the most efficient scheduling systems for both industries.   More than 300 persons, representing a cross-section of industry, participated in the April 2013 technical conference, and discussed four major topic areas:  natural gas and electric operating day, natural gas nomination cycles, the No-Bump Rule, and electric scheduling and market rules. </w:t>
      </w:r>
    </w:p>
    <w:p w14:paraId="3756DEE7" w14:textId="77777777" w:rsidR="00951D8B" w:rsidRPr="00AF3989" w:rsidRDefault="00951D8B" w:rsidP="00AF3989">
      <w:pPr>
        <w:widowControl/>
        <w:tabs>
          <w:tab w:val="left" w:pos="-1440"/>
        </w:tabs>
        <w:ind w:firstLine="450"/>
        <w:rPr>
          <w:sz w:val="26"/>
          <w:szCs w:val="26"/>
        </w:rPr>
      </w:pPr>
    </w:p>
    <w:p w14:paraId="5CCDDC76" w14:textId="77777777" w:rsidR="00CA3B99" w:rsidRDefault="00AF3989" w:rsidP="006D154A">
      <w:pPr>
        <w:widowControl/>
        <w:tabs>
          <w:tab w:val="left" w:pos="-1440"/>
        </w:tabs>
        <w:rPr>
          <w:sz w:val="26"/>
          <w:szCs w:val="26"/>
        </w:rPr>
      </w:pPr>
      <w:r w:rsidRPr="00AF3989">
        <w:rPr>
          <w:sz w:val="26"/>
          <w:szCs w:val="26"/>
        </w:rPr>
        <w:t>The participants in these conferences identified a number of specific areas in which the differences between the nationwide natural gas schedules and the regional electric schedules can affect the ability to provide reliable service and may create inefficiencies in scheduling that result in less cost effective use of resources.  The major areas identified by the participants were: 1) the discontinuity between the operating days of electric utilities (including ISOs and RTOs) and the standardized operating day of interstate natural gas pipelines; 2) the lack of coordination between the day-ahead process for nominating interstate natural gas pipeline transportation services and the day-ahead process for scheduling electric generators, particularly those of the ISOs and RTOs; and 3) the lack of intra-day nomination opportunities on interstate natural gas pipelines, which may limit the ability of gas-fired electric generators, as well as other shippers, to revise their nominations during the operating day.</w:t>
      </w:r>
    </w:p>
    <w:p w14:paraId="1A2B2D0C" w14:textId="77777777" w:rsidR="000312D1" w:rsidRDefault="000312D1" w:rsidP="00955689">
      <w:pPr>
        <w:widowControl/>
        <w:tabs>
          <w:tab w:val="left" w:pos="-1440"/>
        </w:tabs>
        <w:ind w:firstLine="360"/>
        <w:rPr>
          <w:sz w:val="26"/>
          <w:szCs w:val="26"/>
        </w:rPr>
      </w:pPr>
    </w:p>
    <w:p w14:paraId="16B5DB40" w14:textId="5F2E68A7" w:rsidR="000312D1" w:rsidRDefault="000312D1" w:rsidP="006D154A">
      <w:pPr>
        <w:widowControl/>
        <w:tabs>
          <w:tab w:val="left" w:pos="-1440"/>
        </w:tabs>
        <w:rPr>
          <w:sz w:val="26"/>
          <w:szCs w:val="26"/>
        </w:rPr>
      </w:pPr>
      <w:r>
        <w:rPr>
          <w:sz w:val="26"/>
          <w:szCs w:val="26"/>
        </w:rPr>
        <w:t>In March 2014, the Commission issued a Notice of Proposed Rulemaking in Docket No. RM14-12-000</w:t>
      </w:r>
      <w:r w:rsidRPr="00AF3989">
        <w:rPr>
          <w:sz w:val="26"/>
          <w:szCs w:val="26"/>
        </w:rPr>
        <w:t xml:space="preserve"> </w:t>
      </w:r>
      <w:r>
        <w:rPr>
          <w:sz w:val="26"/>
          <w:szCs w:val="26"/>
        </w:rPr>
        <w:t>soliciting</w:t>
      </w:r>
      <w:r w:rsidRPr="00AF3989">
        <w:rPr>
          <w:sz w:val="26"/>
          <w:szCs w:val="26"/>
        </w:rPr>
        <w:t xml:space="preserve"> comment</w:t>
      </w:r>
      <w:r>
        <w:rPr>
          <w:sz w:val="26"/>
          <w:szCs w:val="26"/>
        </w:rPr>
        <w:t>s</w:t>
      </w:r>
      <w:r w:rsidRPr="00AF3989">
        <w:rPr>
          <w:sz w:val="26"/>
          <w:szCs w:val="26"/>
        </w:rPr>
        <w:t xml:space="preserve"> on various </w:t>
      </w:r>
      <w:r>
        <w:rPr>
          <w:sz w:val="26"/>
          <w:szCs w:val="26"/>
        </w:rPr>
        <w:t xml:space="preserve">changes to </w:t>
      </w:r>
      <w:r w:rsidRPr="00AF3989">
        <w:rPr>
          <w:sz w:val="26"/>
          <w:szCs w:val="26"/>
        </w:rPr>
        <w:t xml:space="preserve">gas-electric </w:t>
      </w:r>
      <w:r>
        <w:rPr>
          <w:sz w:val="26"/>
          <w:szCs w:val="26"/>
        </w:rPr>
        <w:t xml:space="preserve">coordination and their impact on both industries for the information collections proposed in </w:t>
      </w:r>
      <w:r w:rsidRPr="000312D1">
        <w:rPr>
          <w:sz w:val="26"/>
          <w:szCs w:val="26"/>
        </w:rPr>
        <w:t>the NOPR for FERC–545 (Gas Pipeline Rates: Rate Change (Non-Formal)) and FERC–549C (Standards for Business Practices of Interstate Natural Gas Pipelines)</w:t>
      </w:r>
      <w:r>
        <w:rPr>
          <w:sz w:val="26"/>
          <w:szCs w:val="26"/>
        </w:rPr>
        <w:t xml:space="preserve">.  </w:t>
      </w:r>
    </w:p>
    <w:p w14:paraId="3059C376" w14:textId="77777777" w:rsidR="000312D1" w:rsidRDefault="000312D1">
      <w:pPr>
        <w:widowControl/>
        <w:tabs>
          <w:tab w:val="left" w:pos="-1440"/>
        </w:tabs>
        <w:ind w:firstLine="360"/>
        <w:rPr>
          <w:sz w:val="26"/>
          <w:szCs w:val="26"/>
        </w:rPr>
      </w:pPr>
    </w:p>
    <w:p w14:paraId="14DEA5BD" w14:textId="77777777" w:rsidR="00250789" w:rsidRDefault="000312D1" w:rsidP="006D154A">
      <w:pPr>
        <w:widowControl/>
        <w:tabs>
          <w:tab w:val="left" w:pos="-1440"/>
        </w:tabs>
        <w:rPr>
          <w:sz w:val="26"/>
          <w:szCs w:val="26"/>
        </w:rPr>
      </w:pPr>
      <w:r>
        <w:rPr>
          <w:sz w:val="26"/>
          <w:szCs w:val="26"/>
        </w:rPr>
        <w:t xml:space="preserve">In response </w:t>
      </w:r>
      <w:r w:rsidRPr="00AF3989">
        <w:rPr>
          <w:sz w:val="26"/>
          <w:szCs w:val="26"/>
        </w:rPr>
        <w:t xml:space="preserve">to the </w:t>
      </w:r>
      <w:r>
        <w:rPr>
          <w:sz w:val="26"/>
          <w:szCs w:val="26"/>
        </w:rPr>
        <w:t>NOPR in this docket</w:t>
      </w:r>
      <w:r w:rsidRPr="00AF3989">
        <w:rPr>
          <w:sz w:val="26"/>
          <w:szCs w:val="26"/>
        </w:rPr>
        <w:t xml:space="preserve">, the Commission received </w:t>
      </w:r>
      <w:r>
        <w:rPr>
          <w:sz w:val="26"/>
          <w:szCs w:val="26"/>
        </w:rPr>
        <w:t xml:space="preserve">75 comments from all sectors of both industries, including </w:t>
      </w:r>
      <w:r w:rsidRPr="000312D1">
        <w:rPr>
          <w:sz w:val="26"/>
          <w:szCs w:val="26"/>
        </w:rPr>
        <w:t xml:space="preserve">interstate natural gas pipelines, </w:t>
      </w:r>
      <w:r>
        <w:rPr>
          <w:sz w:val="26"/>
          <w:szCs w:val="26"/>
        </w:rPr>
        <w:t xml:space="preserve">electric utilities, generation owners, local distribution companies, natural gas producers, regional transmission organizations and independent system operators, state regulators, </w:t>
      </w:r>
      <w:r w:rsidRPr="000312D1">
        <w:rPr>
          <w:sz w:val="26"/>
          <w:szCs w:val="26"/>
        </w:rPr>
        <w:t xml:space="preserve">and other parties.  </w:t>
      </w:r>
    </w:p>
    <w:p w14:paraId="2D81D8C1" w14:textId="77777777" w:rsidR="00733AEB" w:rsidRDefault="00733AEB" w:rsidP="00733AEB">
      <w:pPr>
        <w:rPr>
          <w:sz w:val="26"/>
          <w:szCs w:val="26"/>
        </w:rPr>
      </w:pPr>
    </w:p>
    <w:p w14:paraId="3F19005C" w14:textId="00095E0A" w:rsidR="00733AEB" w:rsidRDefault="00733AEB" w:rsidP="00733AEB">
      <w:pPr>
        <w:rPr>
          <w:sz w:val="26"/>
          <w:szCs w:val="26"/>
        </w:rPr>
      </w:pPr>
      <w:r w:rsidRPr="00DA7146">
        <w:rPr>
          <w:sz w:val="26"/>
          <w:szCs w:val="26"/>
        </w:rPr>
        <w:t xml:space="preserve">The Commission provided the natural gas and electric industries, through NAESB, with a period of 180 days after publication of the NOPR in the Federal Register to reach consensus on </w:t>
      </w:r>
      <w:r>
        <w:rPr>
          <w:sz w:val="26"/>
          <w:szCs w:val="26"/>
        </w:rPr>
        <w:t xml:space="preserve">the proposals or revision to proposals 1 through 3 above.  The Commission also provided 240 days </w:t>
      </w:r>
      <w:r>
        <w:rPr>
          <w:sz w:val="26"/>
          <w:szCs w:val="26"/>
        </w:rPr>
        <w:lastRenderedPageBreak/>
        <w:t xml:space="preserve">after publication in the Federal Register (or </w:t>
      </w:r>
      <w:r w:rsidR="001D38E9">
        <w:rPr>
          <w:sz w:val="26"/>
          <w:szCs w:val="26"/>
        </w:rPr>
        <w:t xml:space="preserve">by </w:t>
      </w:r>
      <w:r>
        <w:rPr>
          <w:sz w:val="26"/>
          <w:szCs w:val="26"/>
        </w:rPr>
        <w:t xml:space="preserve">November 28, 2014) to offer comments on all four proprosals.  </w:t>
      </w:r>
      <w:r w:rsidRPr="006E7A4A">
        <w:rPr>
          <w:sz w:val="26"/>
          <w:szCs w:val="26"/>
        </w:rPr>
        <w:t>On same the day the NOPR was issued, the Comm</w:t>
      </w:r>
      <w:r>
        <w:rPr>
          <w:sz w:val="26"/>
          <w:szCs w:val="26"/>
        </w:rPr>
        <w:t>ission issued two other orders d</w:t>
      </w:r>
      <w:r w:rsidRPr="006E7A4A">
        <w:rPr>
          <w:sz w:val="26"/>
          <w:szCs w:val="26"/>
        </w:rPr>
        <w:t xml:space="preserve">esigned to ensure reliable operation of both the interstate natural gas pipeline and electricity systems.  In one order, the Commission instituted proceedings under section 206 of the Federal Power Act </w:t>
      </w:r>
      <w:r w:rsidR="001D38E9">
        <w:rPr>
          <w:sz w:val="26"/>
          <w:szCs w:val="26"/>
        </w:rPr>
        <w:t>(</w:t>
      </w:r>
      <w:r w:rsidRPr="006E7A4A">
        <w:rPr>
          <w:sz w:val="26"/>
          <w:szCs w:val="26"/>
        </w:rPr>
        <w:t>FPA</w:t>
      </w:r>
      <w:r w:rsidR="001D38E9">
        <w:rPr>
          <w:sz w:val="26"/>
          <w:szCs w:val="26"/>
        </w:rPr>
        <w:t>)</w:t>
      </w:r>
      <w:r w:rsidRPr="00796A9C">
        <w:rPr>
          <w:rStyle w:val="FootnoteReference"/>
        </w:rPr>
        <w:footnoteReference w:id="23"/>
      </w:r>
      <w:r w:rsidRPr="006E7A4A">
        <w:rPr>
          <w:sz w:val="26"/>
          <w:szCs w:val="26"/>
        </w:rPr>
        <w:t xml:space="preserve"> to ensure that each ISO’s and RTO’s scheduling practices, particularly its day-ahead scheduling practices, correlate with any revisions to the natural gas scheduling practices ultimately adopted by the Commission in the instant proceeding.</w:t>
      </w:r>
      <w:r w:rsidRPr="00796A9C">
        <w:rPr>
          <w:rStyle w:val="FootnoteReference"/>
        </w:rPr>
        <w:footnoteReference w:id="24"/>
      </w:r>
      <w:r w:rsidRPr="006E7A4A">
        <w:rPr>
          <w:sz w:val="26"/>
          <w:szCs w:val="26"/>
        </w:rPr>
        <w:t xml:space="preserve">   </w:t>
      </w:r>
    </w:p>
    <w:p w14:paraId="3D2FAA88" w14:textId="77777777" w:rsidR="00733AEB" w:rsidRDefault="00733AEB" w:rsidP="00733AEB">
      <w:pPr>
        <w:rPr>
          <w:sz w:val="26"/>
          <w:szCs w:val="26"/>
        </w:rPr>
      </w:pPr>
    </w:p>
    <w:p w14:paraId="68ADE677" w14:textId="02E7DCB1" w:rsidR="00733AEB" w:rsidRDefault="00733AEB" w:rsidP="00733AEB">
      <w:pPr>
        <w:rPr>
          <w:sz w:val="26"/>
          <w:szCs w:val="26"/>
        </w:rPr>
      </w:pPr>
      <w:r w:rsidRPr="006E7A4A">
        <w:rPr>
          <w:sz w:val="26"/>
          <w:szCs w:val="26"/>
        </w:rPr>
        <w:t xml:space="preserve">In the Section 206 Order, the Commission required each ISO and RTO within ninety days of the publication of a Final Rule in Docket No. RM14-2-000 </w:t>
      </w:r>
      <w:r w:rsidR="001D38E9">
        <w:rPr>
          <w:sz w:val="26"/>
          <w:szCs w:val="26"/>
        </w:rPr>
        <w:t xml:space="preserve">[this final rule and docket] </w:t>
      </w:r>
      <w:r w:rsidRPr="006E7A4A">
        <w:rPr>
          <w:sz w:val="26"/>
          <w:szCs w:val="26"/>
        </w:rPr>
        <w:t>to (1) make a filing that proposes tariff changes to adjust the time at which the results of its day-ahead energy market and reliability unit commitment process (or equivalent) are posted to a time that is sufficiently in advance of the Timely and Evening Nomination Cycles, respectively, to allow gas-fired generators to procure natural gas supply and pipeline transportation capacity to serve their obligations, or (2) show cause why such changes are not necessary.  In the second order, the Commission instituted proceedings, under section 5 of the Natural Gas Act (NGA)</w:t>
      </w:r>
      <w:r w:rsidRPr="00796A9C">
        <w:rPr>
          <w:rStyle w:val="FootnoteReference"/>
        </w:rPr>
        <w:footnoteReference w:id="25"/>
      </w:r>
      <w:r w:rsidRPr="006E7A4A">
        <w:rPr>
          <w:sz w:val="26"/>
          <w:szCs w:val="26"/>
        </w:rPr>
        <w:t xml:space="preserve"> to examine whether interstate natural gas pipelines are providing notice of offers to purchase released pipeline capacity in accordance with section 284.8(d) of the Commission’s regulations.</w:t>
      </w:r>
      <w:r w:rsidRPr="00796A9C">
        <w:rPr>
          <w:rStyle w:val="FootnoteReference"/>
        </w:rPr>
        <w:footnoteReference w:id="26"/>
      </w:r>
    </w:p>
    <w:p w14:paraId="6F49B6B1" w14:textId="77777777" w:rsidR="00250789" w:rsidRDefault="00250789">
      <w:pPr>
        <w:widowControl/>
        <w:tabs>
          <w:tab w:val="left" w:pos="-1440"/>
        </w:tabs>
        <w:ind w:firstLine="360"/>
        <w:rPr>
          <w:sz w:val="26"/>
          <w:szCs w:val="26"/>
        </w:rPr>
      </w:pPr>
    </w:p>
    <w:p w14:paraId="2239783E" w14:textId="2F17FBA9" w:rsidR="00250789" w:rsidRDefault="00250789" w:rsidP="006D154A">
      <w:pPr>
        <w:widowControl/>
        <w:tabs>
          <w:tab w:val="left" w:pos="-1440"/>
        </w:tabs>
        <w:rPr>
          <w:sz w:val="26"/>
          <w:szCs w:val="26"/>
        </w:rPr>
      </w:pPr>
      <w:r>
        <w:rPr>
          <w:sz w:val="26"/>
          <w:szCs w:val="26"/>
        </w:rPr>
        <w:t>Commenters expressed a variety of concerns to the NOPR</w:t>
      </w:r>
      <w:r w:rsidR="0022603F">
        <w:rPr>
          <w:sz w:val="26"/>
          <w:szCs w:val="26"/>
        </w:rPr>
        <w:t xml:space="preserve"> in RM14-2</w:t>
      </w:r>
      <w:r>
        <w:rPr>
          <w:sz w:val="26"/>
          <w:szCs w:val="26"/>
        </w:rPr>
        <w:t xml:space="preserve">, but most of these concerns were directed at the NOPR proposal to modify the start of the Gas Day, from 9:00 a.m. CCT currently to 4:00 a.m. CCT.  In response, </w:t>
      </w:r>
      <w:r w:rsidR="0022603F">
        <w:rPr>
          <w:sz w:val="26"/>
          <w:szCs w:val="26"/>
        </w:rPr>
        <w:t>in</w:t>
      </w:r>
      <w:r w:rsidR="0022603F" w:rsidRPr="00250789">
        <w:rPr>
          <w:sz w:val="26"/>
          <w:szCs w:val="26"/>
        </w:rPr>
        <w:t xml:space="preserve"> the Final Rule</w:t>
      </w:r>
      <w:r w:rsidR="0022603F">
        <w:rPr>
          <w:sz w:val="26"/>
          <w:szCs w:val="26"/>
        </w:rPr>
        <w:t xml:space="preserve">, </w:t>
      </w:r>
      <w:r>
        <w:rPr>
          <w:sz w:val="26"/>
          <w:szCs w:val="26"/>
        </w:rPr>
        <w:t>the C</w:t>
      </w:r>
      <w:r w:rsidRPr="00250789">
        <w:rPr>
          <w:sz w:val="26"/>
          <w:szCs w:val="26"/>
        </w:rPr>
        <w:t>ommission decline</w:t>
      </w:r>
      <w:r>
        <w:rPr>
          <w:sz w:val="26"/>
          <w:szCs w:val="26"/>
        </w:rPr>
        <w:t>d</w:t>
      </w:r>
      <w:r w:rsidRPr="00250789">
        <w:rPr>
          <w:sz w:val="26"/>
          <w:szCs w:val="26"/>
        </w:rPr>
        <w:t xml:space="preserve"> to adopt the NOPR proposal to move the st</w:t>
      </w:r>
      <w:r>
        <w:rPr>
          <w:sz w:val="26"/>
          <w:szCs w:val="26"/>
        </w:rPr>
        <w:t xml:space="preserve">art of the Gas Day.  </w:t>
      </w:r>
    </w:p>
    <w:p w14:paraId="0E80211E" w14:textId="77777777" w:rsidR="00250789" w:rsidRDefault="00250789">
      <w:pPr>
        <w:widowControl/>
        <w:tabs>
          <w:tab w:val="left" w:pos="-1440"/>
        </w:tabs>
        <w:ind w:firstLine="360"/>
        <w:rPr>
          <w:sz w:val="26"/>
          <w:szCs w:val="26"/>
        </w:rPr>
      </w:pPr>
    </w:p>
    <w:p w14:paraId="79F29CDB" w14:textId="4330EFAF" w:rsidR="00250789" w:rsidRDefault="00250789" w:rsidP="006D154A">
      <w:pPr>
        <w:widowControl/>
        <w:tabs>
          <w:tab w:val="left" w:pos="-1440"/>
        </w:tabs>
        <w:rPr>
          <w:sz w:val="26"/>
          <w:szCs w:val="26"/>
        </w:rPr>
      </w:pPr>
      <w:r w:rsidRPr="00250789">
        <w:rPr>
          <w:sz w:val="26"/>
          <w:szCs w:val="26"/>
        </w:rPr>
        <w:t xml:space="preserve">Some commenters </w:t>
      </w:r>
      <w:r w:rsidR="0022603F">
        <w:rPr>
          <w:sz w:val="26"/>
          <w:szCs w:val="26"/>
        </w:rPr>
        <w:t xml:space="preserve">to the NOPR </w:t>
      </w:r>
      <w:r w:rsidRPr="00250789">
        <w:rPr>
          <w:sz w:val="26"/>
          <w:szCs w:val="26"/>
        </w:rPr>
        <w:t>expressed concern that the NOPR burden estimate does not provide a full-cost accounting to industry participants outside the Commission’s regulatory authority</w:t>
      </w:r>
      <w:r>
        <w:rPr>
          <w:sz w:val="26"/>
          <w:szCs w:val="26"/>
        </w:rPr>
        <w:t xml:space="preserve"> (interstate pipelines)</w:t>
      </w:r>
      <w:r w:rsidRPr="00250789">
        <w:rPr>
          <w:sz w:val="26"/>
          <w:szCs w:val="26"/>
        </w:rPr>
        <w:t>, such as producers, LDCs, gas marketers, and manufacturers.   In all, nineteen commenters addressed the one-time and on-going implementation costs of the NOPR Gas Day and NAESB scheduling timeline proposals.   However, most of these addressed the Gas Day proposal, which the Commission declines to adopt</w:t>
      </w:r>
      <w:r w:rsidR="0022603F">
        <w:rPr>
          <w:sz w:val="26"/>
          <w:szCs w:val="26"/>
        </w:rPr>
        <w:t xml:space="preserve"> in the Final Rule</w:t>
      </w:r>
      <w:r>
        <w:rPr>
          <w:sz w:val="26"/>
          <w:szCs w:val="26"/>
        </w:rPr>
        <w:t>.</w:t>
      </w:r>
    </w:p>
    <w:p w14:paraId="58977492" w14:textId="77777777" w:rsidR="00250789" w:rsidRDefault="00250789">
      <w:pPr>
        <w:widowControl/>
        <w:tabs>
          <w:tab w:val="left" w:pos="-1440"/>
        </w:tabs>
        <w:ind w:firstLine="360"/>
        <w:rPr>
          <w:sz w:val="26"/>
          <w:szCs w:val="26"/>
        </w:rPr>
      </w:pPr>
    </w:p>
    <w:p w14:paraId="53B88B13" w14:textId="2F087D24" w:rsidR="00250789" w:rsidRDefault="00250789">
      <w:pPr>
        <w:widowControl/>
        <w:tabs>
          <w:tab w:val="left" w:pos="-1440"/>
        </w:tabs>
        <w:rPr>
          <w:sz w:val="26"/>
          <w:szCs w:val="26"/>
        </w:rPr>
      </w:pPr>
      <w:r w:rsidRPr="00250789">
        <w:rPr>
          <w:sz w:val="26"/>
          <w:szCs w:val="26"/>
        </w:rPr>
        <w:t>Of the five comments addressing the one-time and on-going implementation costs in the NOPR</w:t>
      </w:r>
      <w:r w:rsidR="0022603F">
        <w:rPr>
          <w:sz w:val="26"/>
          <w:szCs w:val="26"/>
        </w:rPr>
        <w:t>’s</w:t>
      </w:r>
      <w:r w:rsidRPr="00250789">
        <w:rPr>
          <w:sz w:val="26"/>
          <w:szCs w:val="26"/>
        </w:rPr>
        <w:t xml:space="preserve"> burden estimate of the NAESB nomination scheduling and timeline proposals, commenters caution that unbalanced changes to the nomination cycle and scheduling timelines may create higher on-going staffing costs to cover extended shifts and additional work-loads to accommodate additional nomination opportunities and extended work-hours.   Additionally, two </w:t>
      </w:r>
      <w:r w:rsidRPr="00250789">
        <w:rPr>
          <w:sz w:val="26"/>
          <w:szCs w:val="26"/>
        </w:rPr>
        <w:lastRenderedPageBreak/>
        <w:t xml:space="preserve">of these five commenters noted that changes to the nomination schedule may entail one-time costs for the reconfiguration of SCADA systems.   In response, the Commission is incorporating by reference NAESB’s proposal for 3 intraday nomination cycles, one fewer than </w:t>
      </w:r>
      <w:r w:rsidR="0022603F">
        <w:rPr>
          <w:sz w:val="26"/>
          <w:szCs w:val="26"/>
        </w:rPr>
        <w:t xml:space="preserve">proposed in </w:t>
      </w:r>
      <w:r w:rsidRPr="00250789">
        <w:rPr>
          <w:sz w:val="26"/>
          <w:szCs w:val="26"/>
        </w:rPr>
        <w:t xml:space="preserve">the NOPR, and with modified start and end times, which maintains regular business hours for most of the country, and avoids many of the on-going costs created by overlapping nomination cycles and extended work-shift hours.   </w:t>
      </w:r>
    </w:p>
    <w:p w14:paraId="7545A6C0" w14:textId="77777777" w:rsidR="00250789" w:rsidRDefault="00250789" w:rsidP="006D154A">
      <w:pPr>
        <w:widowControl/>
        <w:tabs>
          <w:tab w:val="left" w:pos="-1440"/>
        </w:tabs>
        <w:ind w:firstLine="360"/>
        <w:rPr>
          <w:sz w:val="26"/>
          <w:szCs w:val="26"/>
        </w:rPr>
      </w:pPr>
    </w:p>
    <w:p w14:paraId="28FB60EF" w14:textId="461E4801" w:rsidR="00250789" w:rsidRDefault="00250789" w:rsidP="006D154A">
      <w:pPr>
        <w:widowControl/>
        <w:tabs>
          <w:tab w:val="left" w:pos="-1440"/>
        </w:tabs>
        <w:rPr>
          <w:sz w:val="26"/>
          <w:szCs w:val="26"/>
        </w:rPr>
      </w:pPr>
      <w:r w:rsidRPr="006D154A">
        <w:rPr>
          <w:sz w:val="26"/>
          <w:szCs w:val="26"/>
        </w:rPr>
        <w:t>Finally, although many comment</w:t>
      </w:r>
      <w:r w:rsidR="0022603F">
        <w:rPr>
          <w:sz w:val="26"/>
          <w:szCs w:val="26"/>
        </w:rPr>
        <w:t>ers</w:t>
      </w:r>
      <w:r w:rsidRPr="006D154A">
        <w:rPr>
          <w:sz w:val="26"/>
          <w:szCs w:val="26"/>
        </w:rPr>
        <w:t xml:space="preserve"> addressed the NOPR proposal on multi-party contracts, none referenced costs or the burden estimate on this issue.  Nonetheless, the Commission </w:t>
      </w:r>
      <w:r w:rsidR="0022603F">
        <w:rPr>
          <w:sz w:val="26"/>
          <w:szCs w:val="26"/>
        </w:rPr>
        <w:t xml:space="preserve">is </w:t>
      </w:r>
      <w:r w:rsidRPr="006D154A">
        <w:rPr>
          <w:sz w:val="26"/>
          <w:szCs w:val="26"/>
        </w:rPr>
        <w:t>adopt</w:t>
      </w:r>
      <w:r w:rsidR="0022603F">
        <w:rPr>
          <w:sz w:val="26"/>
          <w:szCs w:val="26"/>
        </w:rPr>
        <w:t>ing</w:t>
      </w:r>
      <w:r w:rsidRPr="006D154A">
        <w:rPr>
          <w:sz w:val="26"/>
          <w:szCs w:val="26"/>
        </w:rPr>
        <w:t xml:space="preserve"> the section 284.12(b)(1)(v) NOPR proposal with the modification that pipelines are only required to file an appropriate tariff change with the Commission within 60 days of a shipper request for such service.   This will create system flexibility and marketplace responsiveness to multi-party transportation contracts without burdening pipelines with a requirement to change tariff provisions when shippers have not expressed interest in the service.</w:t>
      </w:r>
    </w:p>
    <w:p w14:paraId="1426DD49" w14:textId="77777777" w:rsidR="00250789" w:rsidRDefault="00250789">
      <w:pPr>
        <w:widowControl/>
        <w:tabs>
          <w:tab w:val="left" w:pos="-1440"/>
        </w:tabs>
        <w:ind w:firstLine="360"/>
        <w:rPr>
          <w:sz w:val="26"/>
          <w:szCs w:val="26"/>
        </w:rPr>
      </w:pPr>
    </w:p>
    <w:p w14:paraId="40583593" w14:textId="235EC861" w:rsidR="00250789" w:rsidRDefault="00250789" w:rsidP="006D154A">
      <w:pPr>
        <w:widowControl/>
        <w:tabs>
          <w:tab w:val="left" w:pos="-1440"/>
        </w:tabs>
        <w:rPr>
          <w:sz w:val="26"/>
          <w:szCs w:val="26"/>
        </w:rPr>
      </w:pPr>
      <w:r w:rsidRPr="00250789">
        <w:rPr>
          <w:sz w:val="26"/>
          <w:szCs w:val="26"/>
        </w:rPr>
        <w:t>Commenters addressing costs did not cite specific examples of quantifiable errors in the NOPR burden estimate or offer an alternative.  Regarding the necessity of the information, one commenter recommended that the Commission either collect the information proposed in the NOPR from existing sources, or incorporate the new data requests into existing Commission reporting requirements.   The Commission reviewed potential outside sources, but cannot obtain the information described in the NOPR from another source.</w:t>
      </w:r>
    </w:p>
    <w:p w14:paraId="455FE911" w14:textId="77777777" w:rsidR="00250789" w:rsidRDefault="00250789">
      <w:pPr>
        <w:widowControl/>
        <w:tabs>
          <w:tab w:val="left" w:pos="-1440"/>
        </w:tabs>
        <w:ind w:firstLine="360"/>
        <w:rPr>
          <w:sz w:val="26"/>
          <w:szCs w:val="26"/>
        </w:rPr>
      </w:pPr>
    </w:p>
    <w:p w14:paraId="269FAC51" w14:textId="7D253F16" w:rsidR="00577C8D" w:rsidRDefault="00250789" w:rsidP="006D154A">
      <w:pPr>
        <w:widowControl/>
        <w:tabs>
          <w:tab w:val="left" w:pos="-1440"/>
        </w:tabs>
        <w:rPr>
          <w:sz w:val="26"/>
          <w:szCs w:val="26"/>
        </w:rPr>
      </w:pPr>
      <w:r w:rsidRPr="00250789">
        <w:rPr>
          <w:sz w:val="26"/>
          <w:szCs w:val="26"/>
        </w:rPr>
        <w:t xml:space="preserve">In response to the comments received, the Commission revised </w:t>
      </w:r>
      <w:r w:rsidR="0064408F">
        <w:rPr>
          <w:sz w:val="26"/>
          <w:szCs w:val="26"/>
        </w:rPr>
        <w:t xml:space="preserve">its proposals in </w:t>
      </w:r>
      <w:r w:rsidRPr="00250789">
        <w:rPr>
          <w:sz w:val="26"/>
          <w:szCs w:val="26"/>
        </w:rPr>
        <w:t xml:space="preserve">the Final Rule with respect to the proposals in the NOPR.  </w:t>
      </w:r>
    </w:p>
    <w:p w14:paraId="5798366C" w14:textId="77777777" w:rsidR="00577C8D" w:rsidRDefault="00250789" w:rsidP="006D154A">
      <w:pPr>
        <w:pStyle w:val="ListParagraph"/>
        <w:widowControl/>
        <w:numPr>
          <w:ilvl w:val="0"/>
          <w:numId w:val="30"/>
        </w:numPr>
        <w:tabs>
          <w:tab w:val="left" w:pos="-1440"/>
        </w:tabs>
        <w:rPr>
          <w:sz w:val="26"/>
          <w:szCs w:val="26"/>
        </w:rPr>
      </w:pPr>
      <w:r w:rsidRPr="006D154A">
        <w:rPr>
          <w:sz w:val="26"/>
          <w:szCs w:val="26"/>
        </w:rPr>
        <w:t xml:space="preserve">Firstly, the Commission declines to adopt the NOPR proposal to move the start of the Gas Day to 4:00 a.m. CCT from 9:00 a.m. CCT.  </w:t>
      </w:r>
    </w:p>
    <w:p w14:paraId="3699DB52" w14:textId="77777777" w:rsidR="00577C8D" w:rsidRDefault="00250789" w:rsidP="006D154A">
      <w:pPr>
        <w:pStyle w:val="ListParagraph"/>
        <w:widowControl/>
        <w:numPr>
          <w:ilvl w:val="0"/>
          <w:numId w:val="30"/>
        </w:numPr>
        <w:tabs>
          <w:tab w:val="left" w:pos="-1440"/>
        </w:tabs>
        <w:rPr>
          <w:sz w:val="26"/>
          <w:szCs w:val="26"/>
        </w:rPr>
      </w:pPr>
      <w:r w:rsidRPr="006D154A">
        <w:rPr>
          <w:sz w:val="26"/>
          <w:szCs w:val="26"/>
        </w:rPr>
        <w:t xml:space="preserve">Secondly, the Commission incorporates by reference NAESB’s proposal to move the start of the Timely Nomination Cycle to 1:00 p.m. CCT, with scheduled quantities available at the start of the next Gas Day.  </w:t>
      </w:r>
    </w:p>
    <w:p w14:paraId="09FFF023" w14:textId="77777777" w:rsidR="00577C8D" w:rsidRDefault="00250789" w:rsidP="006D154A">
      <w:pPr>
        <w:pStyle w:val="ListParagraph"/>
        <w:widowControl/>
        <w:numPr>
          <w:ilvl w:val="0"/>
          <w:numId w:val="30"/>
        </w:numPr>
        <w:tabs>
          <w:tab w:val="left" w:pos="-1440"/>
        </w:tabs>
        <w:rPr>
          <w:sz w:val="26"/>
          <w:szCs w:val="26"/>
        </w:rPr>
      </w:pPr>
      <w:r w:rsidRPr="006D154A">
        <w:rPr>
          <w:sz w:val="26"/>
          <w:szCs w:val="26"/>
        </w:rPr>
        <w:t xml:space="preserve">Thirdly, the Commission incorporates by reference NAESB’s proposal of 3 intraday nomination cycles, with one less cycle and modified start and end times relative to the NOPR proposal.  </w:t>
      </w:r>
    </w:p>
    <w:p w14:paraId="2B018BAA" w14:textId="3AAC221E" w:rsidR="00250789" w:rsidRPr="006D154A" w:rsidRDefault="00250789" w:rsidP="006D154A">
      <w:pPr>
        <w:pStyle w:val="ListParagraph"/>
        <w:widowControl/>
        <w:numPr>
          <w:ilvl w:val="0"/>
          <w:numId w:val="30"/>
        </w:numPr>
        <w:tabs>
          <w:tab w:val="left" w:pos="-1440"/>
        </w:tabs>
        <w:rPr>
          <w:sz w:val="26"/>
          <w:szCs w:val="26"/>
        </w:rPr>
      </w:pPr>
      <w:r w:rsidRPr="006D154A">
        <w:rPr>
          <w:sz w:val="26"/>
          <w:szCs w:val="26"/>
        </w:rPr>
        <w:t xml:space="preserve">Fourthly, the Commission adopts section 284.12(b)(1)(v) as proposed in the NOPR to require a pipeline to file tariff changes with the Commission multi-party transportation contracts, with the modification that pipelines are only required to file an appropriate tariff change with the Commission within 60 days of a shipper request for such service.  </w:t>
      </w:r>
    </w:p>
    <w:p w14:paraId="608F8A95" w14:textId="77777777" w:rsidR="00231637" w:rsidRDefault="00231637" w:rsidP="00AF3989">
      <w:pPr>
        <w:widowControl/>
        <w:tabs>
          <w:tab w:val="left" w:pos="-1440"/>
        </w:tabs>
        <w:ind w:firstLine="450"/>
        <w:rPr>
          <w:sz w:val="26"/>
          <w:szCs w:val="26"/>
        </w:rPr>
      </w:pPr>
    </w:p>
    <w:p w14:paraId="66D38703" w14:textId="77777777" w:rsidR="00AF3989" w:rsidRDefault="00AF3989" w:rsidP="00AF3989">
      <w:pPr>
        <w:widowControl/>
        <w:tabs>
          <w:tab w:val="left" w:pos="-1440"/>
        </w:tabs>
        <w:ind w:left="720" w:hanging="720"/>
        <w:rPr>
          <w:sz w:val="26"/>
          <w:szCs w:val="26"/>
        </w:rPr>
      </w:pPr>
    </w:p>
    <w:p w14:paraId="5BEF651D" w14:textId="70A951F6" w:rsidR="00CA3B99" w:rsidRPr="003A636B" w:rsidRDefault="00CA3B99" w:rsidP="00950A39">
      <w:pPr>
        <w:widowControl/>
        <w:ind w:left="360" w:hanging="360"/>
        <w:rPr>
          <w:b/>
          <w:sz w:val="26"/>
          <w:szCs w:val="26"/>
        </w:rPr>
      </w:pPr>
      <w:r w:rsidRPr="003A636B">
        <w:rPr>
          <w:b/>
          <w:sz w:val="26"/>
          <w:szCs w:val="26"/>
        </w:rPr>
        <w:t>9.</w:t>
      </w:r>
      <w:r w:rsidRPr="003A636B">
        <w:rPr>
          <w:sz w:val="26"/>
          <w:szCs w:val="26"/>
        </w:rPr>
        <w:t xml:space="preserve"> </w:t>
      </w:r>
      <w:r w:rsidRPr="003A636B">
        <w:rPr>
          <w:b/>
          <w:sz w:val="26"/>
          <w:szCs w:val="26"/>
        </w:rPr>
        <w:t>EXPLAIN ANY PAYMENT OR GIFTS TO RESPONDENTS</w:t>
      </w:r>
    </w:p>
    <w:p w14:paraId="0A070060" w14:textId="77777777" w:rsidR="00CA3B99" w:rsidRPr="003A636B" w:rsidRDefault="00CA3B99" w:rsidP="003A636B">
      <w:pPr>
        <w:widowControl/>
        <w:ind w:firstLine="720"/>
        <w:rPr>
          <w:sz w:val="26"/>
          <w:szCs w:val="26"/>
        </w:rPr>
      </w:pPr>
    </w:p>
    <w:p w14:paraId="49A6197F" w14:textId="77777777" w:rsidR="00CA3B99" w:rsidRPr="003A636B" w:rsidRDefault="00CA3B99" w:rsidP="003A636B">
      <w:pPr>
        <w:widowControl/>
        <w:rPr>
          <w:sz w:val="26"/>
          <w:szCs w:val="26"/>
        </w:rPr>
      </w:pPr>
      <w:r>
        <w:rPr>
          <w:b/>
          <w:sz w:val="26"/>
          <w:szCs w:val="26"/>
        </w:rPr>
        <w:t>FERC-545 and FERC-549</w:t>
      </w:r>
      <w:r w:rsidR="003C00C5">
        <w:rPr>
          <w:b/>
          <w:sz w:val="26"/>
          <w:szCs w:val="26"/>
        </w:rPr>
        <w:t>C</w:t>
      </w:r>
      <w:r>
        <w:rPr>
          <w:b/>
          <w:sz w:val="26"/>
          <w:szCs w:val="26"/>
        </w:rPr>
        <w:t xml:space="preserve">.  </w:t>
      </w:r>
      <w:r w:rsidRPr="003A636B">
        <w:rPr>
          <w:sz w:val="26"/>
          <w:szCs w:val="26"/>
        </w:rPr>
        <w:t>There are no payments or gifts to respondents.</w:t>
      </w:r>
    </w:p>
    <w:p w14:paraId="042D06F0" w14:textId="77777777" w:rsidR="00CA3B99" w:rsidRPr="003A636B" w:rsidRDefault="00CA3B99" w:rsidP="003A636B">
      <w:pPr>
        <w:widowControl/>
        <w:ind w:firstLine="720"/>
        <w:rPr>
          <w:sz w:val="26"/>
          <w:szCs w:val="26"/>
        </w:rPr>
      </w:pPr>
    </w:p>
    <w:p w14:paraId="4E6FEAF2" w14:textId="2ABA2E53" w:rsidR="00CA3B99" w:rsidRPr="003A636B" w:rsidRDefault="00CA3B99" w:rsidP="00950A39">
      <w:pPr>
        <w:widowControl/>
        <w:ind w:left="360" w:hanging="360"/>
        <w:rPr>
          <w:b/>
          <w:sz w:val="26"/>
          <w:szCs w:val="26"/>
        </w:rPr>
      </w:pPr>
      <w:r w:rsidRPr="003A636B">
        <w:rPr>
          <w:b/>
          <w:sz w:val="26"/>
          <w:szCs w:val="26"/>
        </w:rPr>
        <w:lastRenderedPageBreak/>
        <w:t>10.DESCRIBE ANY ASSURANCE OF CONFIDENTIALITY PROVIDED TO RESPONDENTS</w:t>
      </w:r>
    </w:p>
    <w:p w14:paraId="369523E0" w14:textId="77777777" w:rsidR="00CA3B99" w:rsidRPr="003A636B" w:rsidRDefault="00CA3B99" w:rsidP="003A636B">
      <w:pPr>
        <w:widowControl/>
        <w:rPr>
          <w:sz w:val="26"/>
          <w:szCs w:val="26"/>
        </w:rPr>
      </w:pPr>
    </w:p>
    <w:p w14:paraId="128E19AD" w14:textId="77777777" w:rsidR="00CA3B99" w:rsidRPr="003A636B" w:rsidRDefault="00CA3B99" w:rsidP="00C60F8F">
      <w:pPr>
        <w:widowControl/>
        <w:rPr>
          <w:sz w:val="26"/>
          <w:szCs w:val="26"/>
        </w:rPr>
      </w:pPr>
      <w:r>
        <w:rPr>
          <w:b/>
          <w:sz w:val="26"/>
          <w:szCs w:val="26"/>
        </w:rPr>
        <w:t>FERC-545 and FERC-549</w:t>
      </w:r>
      <w:r w:rsidR="00492622">
        <w:rPr>
          <w:b/>
          <w:sz w:val="26"/>
          <w:szCs w:val="26"/>
        </w:rPr>
        <w:t>C</w:t>
      </w:r>
      <w:r>
        <w:rPr>
          <w:b/>
          <w:sz w:val="26"/>
          <w:szCs w:val="26"/>
        </w:rPr>
        <w:t xml:space="preserve">.  </w:t>
      </w:r>
      <w:r w:rsidRPr="003A636B">
        <w:rPr>
          <w:sz w:val="26"/>
          <w:szCs w:val="26"/>
        </w:rPr>
        <w:t xml:space="preserve">The data </w:t>
      </w:r>
      <w:r>
        <w:rPr>
          <w:sz w:val="26"/>
          <w:szCs w:val="26"/>
        </w:rPr>
        <w:t>are public.</w:t>
      </w:r>
      <w:r w:rsidRPr="003A636B">
        <w:rPr>
          <w:sz w:val="26"/>
          <w:szCs w:val="26"/>
        </w:rPr>
        <w:t xml:space="preserve">  </w:t>
      </w:r>
      <w:r>
        <w:rPr>
          <w:sz w:val="26"/>
          <w:szCs w:val="26"/>
        </w:rPr>
        <w:t>In general, for all submittals to the Commission, filers may submit</w:t>
      </w:r>
      <w:r w:rsidRPr="003A636B">
        <w:rPr>
          <w:sz w:val="26"/>
          <w:szCs w:val="26"/>
        </w:rPr>
        <w:t xml:space="preserve"> specific requests for confidential treatment to the extent permitted by law</w:t>
      </w:r>
      <w:r>
        <w:rPr>
          <w:sz w:val="26"/>
          <w:szCs w:val="26"/>
        </w:rPr>
        <w:t xml:space="preserve">; details are available in </w:t>
      </w:r>
      <w:r w:rsidRPr="003A636B">
        <w:rPr>
          <w:sz w:val="26"/>
          <w:szCs w:val="26"/>
        </w:rPr>
        <w:t>18 C.F.R. Section 388.112.</w:t>
      </w:r>
    </w:p>
    <w:p w14:paraId="707BB865" w14:textId="77777777" w:rsidR="00CA3B99" w:rsidRPr="003A636B" w:rsidRDefault="00CA3B99" w:rsidP="003A636B">
      <w:pPr>
        <w:widowControl/>
        <w:ind w:firstLine="720"/>
        <w:rPr>
          <w:sz w:val="26"/>
          <w:szCs w:val="26"/>
        </w:rPr>
      </w:pPr>
    </w:p>
    <w:p w14:paraId="05E424BF" w14:textId="2DB9385B" w:rsidR="00020486" w:rsidRPr="00020486" w:rsidRDefault="00CA3B99" w:rsidP="00020486">
      <w:pPr>
        <w:widowControl/>
        <w:tabs>
          <w:tab w:val="left" w:pos="360"/>
        </w:tabs>
        <w:ind w:left="360" w:hanging="360"/>
        <w:rPr>
          <w:b/>
          <w:sz w:val="26"/>
          <w:szCs w:val="26"/>
        </w:rPr>
      </w:pPr>
      <w:r w:rsidRPr="003A636B">
        <w:rPr>
          <w:b/>
          <w:sz w:val="26"/>
          <w:szCs w:val="26"/>
        </w:rPr>
        <w:t>11.</w:t>
      </w:r>
      <w:r w:rsidR="00020486" w:rsidRPr="00020486">
        <w:rPr>
          <w:b/>
          <w:sz w:val="26"/>
          <w:szCs w:val="26"/>
        </w:rPr>
        <w:t>PROVIDE ADDITIONAL JUSTIFICATION FOR ANY QUESTIONS OF A SENSITIVE NATURE, SUCH AS SEXUAL BEHAVIOR AND ATTITUDES, RELIGIOUS BELIEFS, AND OTHER MATTERS THAT ARE COMMONLY CONSIDERED PRIVATE.</w:t>
      </w:r>
    </w:p>
    <w:p w14:paraId="1C626B5C" w14:textId="77777777" w:rsidR="00020486" w:rsidRPr="00020486" w:rsidRDefault="00020486" w:rsidP="00020486">
      <w:pPr>
        <w:widowControl/>
        <w:tabs>
          <w:tab w:val="left" w:pos="360"/>
        </w:tabs>
        <w:ind w:left="360" w:hanging="360"/>
        <w:rPr>
          <w:b/>
          <w:sz w:val="26"/>
          <w:szCs w:val="26"/>
        </w:rPr>
      </w:pPr>
    </w:p>
    <w:p w14:paraId="5530A47A" w14:textId="5108CDEF" w:rsidR="00CA3B99" w:rsidRDefault="00020486" w:rsidP="00381025">
      <w:pPr>
        <w:widowControl/>
        <w:rPr>
          <w:sz w:val="26"/>
          <w:szCs w:val="26"/>
        </w:rPr>
      </w:pPr>
      <w:r w:rsidRPr="0012752D">
        <w:rPr>
          <w:sz w:val="26"/>
          <w:szCs w:val="26"/>
        </w:rPr>
        <w:t>There are no questions of a sensitive nature in the reporting requirements.</w:t>
      </w:r>
    </w:p>
    <w:p w14:paraId="0B0B715E" w14:textId="77777777" w:rsidR="0012752D" w:rsidRPr="003A636B" w:rsidRDefault="0012752D" w:rsidP="00381025">
      <w:pPr>
        <w:widowControl/>
        <w:rPr>
          <w:sz w:val="26"/>
          <w:szCs w:val="26"/>
        </w:rPr>
      </w:pPr>
    </w:p>
    <w:p w14:paraId="4622CE36" w14:textId="0262F2BB" w:rsidR="00CA3B99" w:rsidRDefault="00CA3B99" w:rsidP="00950A39">
      <w:pPr>
        <w:widowControl/>
        <w:tabs>
          <w:tab w:val="left" w:pos="360"/>
        </w:tabs>
        <w:ind w:left="360" w:hanging="360"/>
        <w:rPr>
          <w:b/>
          <w:sz w:val="26"/>
          <w:szCs w:val="26"/>
        </w:rPr>
      </w:pPr>
      <w:r w:rsidRPr="003A636B">
        <w:rPr>
          <w:b/>
          <w:sz w:val="26"/>
          <w:szCs w:val="26"/>
        </w:rPr>
        <w:t>12.ESTIMATED BURDEN OF COLLECTION OF INFORMATION</w:t>
      </w:r>
    </w:p>
    <w:p w14:paraId="03739EF9" w14:textId="77777777" w:rsidR="00AA0337" w:rsidRDefault="00AA0337" w:rsidP="003A636B">
      <w:pPr>
        <w:widowControl/>
        <w:tabs>
          <w:tab w:val="left" w:pos="720"/>
        </w:tabs>
        <w:ind w:left="720" w:hanging="720"/>
        <w:rPr>
          <w:b/>
          <w:sz w:val="26"/>
          <w:szCs w:val="26"/>
        </w:rPr>
      </w:pPr>
    </w:p>
    <w:p w14:paraId="2B4B15AC" w14:textId="15C32BDB" w:rsidR="00CB41CE" w:rsidRDefault="00CB41CE" w:rsidP="00CB41CE">
      <w:pPr>
        <w:widowControl/>
        <w:tabs>
          <w:tab w:val="left" w:pos="720"/>
        </w:tabs>
        <w:ind w:left="720" w:hanging="720"/>
        <w:rPr>
          <w:sz w:val="26"/>
          <w:szCs w:val="26"/>
        </w:rPr>
      </w:pPr>
    </w:p>
    <w:p w14:paraId="5936EDAF" w14:textId="77777777" w:rsidR="00CB41CE" w:rsidRDefault="00CB41CE" w:rsidP="00CB41CE">
      <w:pPr>
        <w:widowControl/>
        <w:rPr>
          <w:sz w:val="26"/>
          <w:szCs w:val="26"/>
        </w:rPr>
      </w:pPr>
      <w:r>
        <w:rPr>
          <w:b/>
          <w:sz w:val="26"/>
          <w:szCs w:val="26"/>
        </w:rPr>
        <w:t xml:space="preserve">Changes due to the Final Rule in RM14-2.  </w:t>
      </w:r>
      <w:r w:rsidRPr="00190A9D">
        <w:rPr>
          <w:sz w:val="26"/>
          <w:szCs w:val="26"/>
        </w:rPr>
        <w:t xml:space="preserve">This ICR </w:t>
      </w:r>
      <w:r>
        <w:rPr>
          <w:sz w:val="26"/>
          <w:szCs w:val="26"/>
        </w:rPr>
        <w:t xml:space="preserve">and supporting statement </w:t>
      </w:r>
      <w:r w:rsidRPr="00190A9D">
        <w:rPr>
          <w:sz w:val="26"/>
          <w:szCs w:val="26"/>
        </w:rPr>
        <w:t>explain t</w:t>
      </w:r>
      <w:r>
        <w:rPr>
          <w:sz w:val="26"/>
          <w:szCs w:val="26"/>
        </w:rPr>
        <w:t>he estimated changes to burden and cost due to the Final Rule in RM14-2.</w:t>
      </w:r>
    </w:p>
    <w:p w14:paraId="7B76350A" w14:textId="77777777" w:rsidR="00CB41CE" w:rsidRDefault="00CB41CE">
      <w:pPr>
        <w:widowControl/>
        <w:autoSpaceDE/>
        <w:autoSpaceDN/>
        <w:adjustRightInd/>
        <w:rPr>
          <w:sz w:val="26"/>
          <w:szCs w:val="26"/>
        </w:rPr>
      </w:pPr>
      <w:r>
        <w:rPr>
          <w:sz w:val="26"/>
          <w:szCs w:val="26"/>
        </w:rPr>
        <w:br w:type="page"/>
      </w:r>
    </w:p>
    <w:p w14:paraId="09F84D89" w14:textId="77777777" w:rsidR="00CB41CE" w:rsidRPr="00AA0337" w:rsidRDefault="00CB41CE" w:rsidP="00CB41CE">
      <w:pPr>
        <w:widowControl/>
        <w:tabs>
          <w:tab w:val="left" w:pos="720"/>
        </w:tabs>
        <w:ind w:left="720" w:hanging="720"/>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1802"/>
        <w:gridCol w:w="1531"/>
        <w:gridCol w:w="1257"/>
        <w:gridCol w:w="1404"/>
        <w:gridCol w:w="2023"/>
      </w:tblGrid>
      <w:tr w:rsidR="00CB41CE" w:rsidRPr="00AA0337" w14:paraId="465C781E" w14:textId="77777777" w:rsidTr="00644125">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A8B2020" w14:textId="77777777" w:rsidR="00CB41CE" w:rsidRPr="00AA0337" w:rsidRDefault="00CB41CE" w:rsidP="00644125">
            <w:pPr>
              <w:widowControl/>
              <w:autoSpaceDE/>
              <w:adjustRightInd/>
              <w:jc w:val="center"/>
              <w:rPr>
                <w:rFonts w:eastAsia="Calibri"/>
                <w:b/>
                <w:sz w:val="26"/>
                <w:lang w:bidi="he-IL"/>
              </w:rPr>
            </w:pPr>
            <w:r>
              <w:rPr>
                <w:rFonts w:eastAsia="Calibri"/>
                <w:b/>
                <w:sz w:val="26"/>
                <w:lang w:bidi="he-IL"/>
              </w:rPr>
              <w:t>Final Rule</w:t>
            </w:r>
            <w:r w:rsidRPr="00AA0337">
              <w:rPr>
                <w:rFonts w:eastAsia="Calibri"/>
                <w:b/>
                <w:sz w:val="26"/>
                <w:lang w:bidi="he-IL"/>
              </w:rPr>
              <w:t xml:space="preserve"> in RM14-2</w:t>
            </w:r>
          </w:p>
        </w:tc>
      </w:tr>
      <w:tr w:rsidR="00CB41CE" w:rsidRPr="00AA0337" w14:paraId="56A65607" w14:textId="77777777" w:rsidTr="00644125">
        <w:trPr>
          <w:cantSplit/>
        </w:trPr>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78E08D" w14:textId="77777777" w:rsidR="00CB41CE" w:rsidRPr="00AA0337" w:rsidRDefault="00CB41CE" w:rsidP="00644125">
            <w:pPr>
              <w:widowControl/>
              <w:autoSpaceDE/>
              <w:adjustRightInd/>
              <w:jc w:val="center"/>
              <w:rPr>
                <w:rFonts w:eastAsia="Calibri"/>
                <w:b/>
                <w:sz w:val="26"/>
                <w:lang w:bidi="he-IL"/>
              </w:rPr>
            </w:pPr>
          </w:p>
        </w:tc>
        <w:tc>
          <w:tcPr>
            <w:tcW w:w="8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C4B7045" w14:textId="77777777" w:rsidR="00CB41CE" w:rsidRPr="00AA0337" w:rsidRDefault="00CB41CE" w:rsidP="00644125">
            <w:pPr>
              <w:widowControl/>
              <w:autoSpaceDE/>
              <w:adjustRightInd/>
              <w:jc w:val="center"/>
              <w:rPr>
                <w:rFonts w:eastAsia="Calibri"/>
                <w:b/>
                <w:sz w:val="26"/>
                <w:lang w:bidi="he-IL"/>
              </w:rPr>
            </w:pPr>
            <w:r w:rsidRPr="00AA0337">
              <w:rPr>
                <w:rFonts w:eastAsia="Calibri"/>
                <w:b/>
                <w:sz w:val="26"/>
                <w:lang w:bidi="he-IL"/>
              </w:rPr>
              <w:t>Number of Respondents</w:t>
            </w:r>
            <w:r w:rsidRPr="00AA0337">
              <w:rPr>
                <w:rFonts w:eastAsia="Calibri"/>
                <w:b/>
                <w:sz w:val="26"/>
                <w:szCs w:val="26"/>
                <w:vertAlign w:val="superscript"/>
                <w:lang w:bidi="he-IL"/>
              </w:rPr>
              <w:footnoteReference w:id="27"/>
            </w:r>
          </w:p>
          <w:p w14:paraId="451EC1E3" w14:textId="77777777" w:rsidR="00CB41CE" w:rsidRPr="00AA0337" w:rsidRDefault="00CB41CE" w:rsidP="00644125">
            <w:pPr>
              <w:widowControl/>
              <w:autoSpaceDE/>
              <w:adjustRightInd/>
              <w:jc w:val="center"/>
              <w:rPr>
                <w:rFonts w:eastAsia="Calibri"/>
                <w:b/>
                <w:sz w:val="26"/>
                <w:lang w:bidi="he-IL"/>
              </w:rPr>
            </w:pPr>
            <w:r w:rsidRPr="00AA0337">
              <w:rPr>
                <w:rFonts w:eastAsia="Calibri"/>
                <w:b/>
                <w:sz w:val="26"/>
                <w:lang w:bidi="he-IL"/>
              </w:rPr>
              <w:t>(1)</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800EB7E" w14:textId="77777777" w:rsidR="00CB41CE" w:rsidRPr="00AA0337" w:rsidRDefault="00CB41CE" w:rsidP="00644125">
            <w:pPr>
              <w:widowControl/>
              <w:autoSpaceDE/>
              <w:adjustRightInd/>
              <w:jc w:val="center"/>
              <w:rPr>
                <w:rFonts w:eastAsia="Calibri"/>
                <w:b/>
                <w:sz w:val="26"/>
                <w:lang w:bidi="he-IL"/>
              </w:rPr>
            </w:pPr>
            <w:r w:rsidRPr="00AA0337">
              <w:rPr>
                <w:rFonts w:eastAsia="Calibri"/>
                <w:b/>
                <w:sz w:val="26"/>
                <w:lang w:bidi="he-IL"/>
              </w:rPr>
              <w:t>Number of Responses per Respondent</w:t>
            </w:r>
          </w:p>
          <w:p w14:paraId="66572C4B" w14:textId="77777777" w:rsidR="00CB41CE" w:rsidRPr="00AA0337" w:rsidRDefault="00CB41CE" w:rsidP="00644125">
            <w:pPr>
              <w:widowControl/>
              <w:autoSpaceDE/>
              <w:adjustRightInd/>
              <w:jc w:val="center"/>
              <w:rPr>
                <w:rFonts w:eastAsia="Calibri"/>
                <w:b/>
                <w:sz w:val="26"/>
                <w:lang w:bidi="he-IL"/>
              </w:rPr>
            </w:pPr>
            <w:r w:rsidRPr="00AA0337">
              <w:rPr>
                <w:rFonts w:eastAsia="Calibri"/>
                <w:b/>
                <w:sz w:val="26"/>
                <w:lang w:bidi="he-IL"/>
              </w:rPr>
              <w:t>(2)</w:t>
            </w:r>
          </w:p>
        </w:tc>
        <w:tc>
          <w:tcPr>
            <w:tcW w:w="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94B2C30" w14:textId="77777777" w:rsidR="00CB41CE" w:rsidRPr="00AA0337" w:rsidRDefault="00CB41CE" w:rsidP="00644125">
            <w:pPr>
              <w:widowControl/>
              <w:autoSpaceDE/>
              <w:adjustRightInd/>
              <w:jc w:val="center"/>
              <w:rPr>
                <w:rFonts w:eastAsia="Calibri"/>
                <w:b/>
                <w:sz w:val="26"/>
                <w:lang w:bidi="he-IL"/>
              </w:rPr>
            </w:pPr>
            <w:r w:rsidRPr="00AA0337">
              <w:rPr>
                <w:rFonts w:eastAsia="Calibri"/>
                <w:b/>
                <w:sz w:val="26"/>
                <w:lang w:bidi="he-IL"/>
              </w:rPr>
              <w:t>Average Burden Hours Per Response</w:t>
            </w:r>
          </w:p>
          <w:p w14:paraId="13EAF958" w14:textId="77777777" w:rsidR="00CB41CE" w:rsidRPr="00AA0337" w:rsidRDefault="00CB41CE" w:rsidP="00644125">
            <w:pPr>
              <w:widowControl/>
              <w:autoSpaceDE/>
              <w:adjustRightInd/>
              <w:jc w:val="center"/>
              <w:rPr>
                <w:rFonts w:eastAsia="Calibri"/>
                <w:b/>
                <w:sz w:val="26"/>
                <w:lang w:bidi="he-IL"/>
              </w:rPr>
            </w:pPr>
            <w:r w:rsidRPr="00AA0337">
              <w:rPr>
                <w:rFonts w:eastAsia="Calibri"/>
                <w:b/>
                <w:sz w:val="26"/>
                <w:lang w:bidi="he-IL"/>
              </w:rPr>
              <w:t>(3)</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86C5885" w14:textId="77777777" w:rsidR="00CB41CE" w:rsidRPr="00AA0337" w:rsidRDefault="00CB41CE" w:rsidP="00644125">
            <w:pPr>
              <w:widowControl/>
              <w:autoSpaceDE/>
              <w:adjustRightInd/>
              <w:jc w:val="center"/>
              <w:rPr>
                <w:rFonts w:eastAsia="Calibri"/>
                <w:b/>
                <w:sz w:val="26"/>
                <w:lang w:bidi="he-IL"/>
              </w:rPr>
            </w:pPr>
            <w:r w:rsidRPr="00AA0337">
              <w:rPr>
                <w:rFonts w:eastAsia="Calibri"/>
                <w:b/>
                <w:sz w:val="26"/>
                <w:lang w:bidi="he-IL"/>
              </w:rPr>
              <w:t>Total Annual Burden Hours</w:t>
            </w:r>
          </w:p>
          <w:p w14:paraId="2F8CBEF5" w14:textId="77777777" w:rsidR="00CB41CE" w:rsidRPr="00AA0337" w:rsidRDefault="00CB41CE" w:rsidP="00644125">
            <w:pPr>
              <w:widowControl/>
              <w:autoSpaceDE/>
              <w:adjustRightInd/>
              <w:jc w:val="center"/>
              <w:rPr>
                <w:rFonts w:eastAsia="Calibri"/>
                <w:b/>
                <w:sz w:val="26"/>
                <w:lang w:bidi="he-IL"/>
              </w:rPr>
            </w:pPr>
            <w:r w:rsidRPr="00AA0337">
              <w:rPr>
                <w:rFonts w:eastAsia="Calibri"/>
                <w:b/>
                <w:sz w:val="26"/>
                <w:lang w:bidi="he-IL"/>
              </w:rPr>
              <w:t>(1)x(2)x(3)</w:t>
            </w:r>
          </w:p>
        </w:tc>
        <w:tc>
          <w:tcPr>
            <w:tcW w:w="10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5869246" w14:textId="77777777" w:rsidR="00CB41CE" w:rsidRPr="00AA0337" w:rsidRDefault="00CB41CE" w:rsidP="00644125">
            <w:pPr>
              <w:widowControl/>
              <w:autoSpaceDE/>
              <w:adjustRightInd/>
              <w:jc w:val="center"/>
              <w:rPr>
                <w:rFonts w:eastAsia="Calibri"/>
                <w:b/>
                <w:sz w:val="26"/>
                <w:lang w:bidi="he-IL"/>
              </w:rPr>
            </w:pPr>
            <w:r w:rsidRPr="00AA0337">
              <w:rPr>
                <w:rFonts w:eastAsia="Calibri"/>
                <w:b/>
                <w:sz w:val="26"/>
                <w:lang w:bidi="he-IL"/>
              </w:rPr>
              <w:t>Total Annual Cost ($)</w:t>
            </w:r>
            <w:r w:rsidRPr="00AA0337">
              <w:rPr>
                <w:rFonts w:eastAsia="Calibri"/>
                <w:b/>
                <w:sz w:val="26"/>
                <w:szCs w:val="26"/>
                <w:vertAlign w:val="superscript"/>
                <w:lang w:bidi="he-IL"/>
              </w:rPr>
              <w:footnoteReference w:id="28"/>
            </w:r>
          </w:p>
        </w:tc>
      </w:tr>
      <w:tr w:rsidR="00CB41CE" w:rsidRPr="00AA0337" w14:paraId="027FD174" w14:textId="77777777" w:rsidTr="00644125">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3F3923" w14:textId="77777777" w:rsidR="00CB41CE" w:rsidRPr="00AA0337" w:rsidRDefault="00CB41CE" w:rsidP="00644125">
            <w:pPr>
              <w:widowControl/>
              <w:autoSpaceDE/>
              <w:adjustRightInd/>
              <w:jc w:val="center"/>
              <w:rPr>
                <w:rFonts w:eastAsia="Calibri"/>
                <w:b/>
                <w:sz w:val="26"/>
                <w:lang w:bidi="he-IL"/>
              </w:rPr>
            </w:pPr>
            <w:r w:rsidRPr="00AA0337">
              <w:rPr>
                <w:rFonts w:eastAsia="Calibri"/>
                <w:b/>
                <w:sz w:val="26"/>
                <w:lang w:bidi="he-IL"/>
              </w:rPr>
              <w:t>FERC-545 (OMB Control No. 1902-0154)</w:t>
            </w:r>
            <w:r>
              <w:rPr>
                <w:rStyle w:val="FootnoteReference"/>
              </w:rPr>
              <w:footnoteReference w:id="29"/>
            </w:r>
          </w:p>
        </w:tc>
      </w:tr>
      <w:tr w:rsidR="00CB41CE" w:rsidRPr="00AA0337" w14:paraId="43B9C47E" w14:textId="77777777" w:rsidTr="00644125">
        <w:trPr>
          <w:cantSplit/>
          <w:trHeight w:val="897"/>
        </w:trPr>
        <w:tc>
          <w:tcPr>
            <w:tcW w:w="1151" w:type="pct"/>
            <w:tcBorders>
              <w:top w:val="single" w:sz="4" w:space="0" w:color="auto"/>
              <w:left w:val="single" w:sz="4" w:space="0" w:color="auto"/>
              <w:bottom w:val="single" w:sz="4" w:space="0" w:color="auto"/>
              <w:right w:val="single" w:sz="4" w:space="0" w:color="auto"/>
            </w:tcBorders>
            <w:vAlign w:val="bottom"/>
            <w:hideMark/>
          </w:tcPr>
          <w:p w14:paraId="7C930B88" w14:textId="77777777" w:rsidR="00CB41CE" w:rsidRPr="006D154A" w:rsidRDefault="00CB41CE" w:rsidP="00644125">
            <w:pPr>
              <w:rPr>
                <w:sz w:val="26"/>
                <w:szCs w:val="26"/>
              </w:rPr>
            </w:pPr>
            <w:r w:rsidRPr="006D154A">
              <w:rPr>
                <w:sz w:val="26"/>
                <w:szCs w:val="26"/>
              </w:rPr>
              <w:t>Tariff Filing for new and revised Nomination Cycles</w:t>
            </w:r>
          </w:p>
          <w:p w14:paraId="302E49AF" w14:textId="77777777" w:rsidR="00CB41CE" w:rsidRPr="000B5B3F" w:rsidRDefault="00CB41CE" w:rsidP="00644125">
            <w:pPr>
              <w:widowControl/>
              <w:autoSpaceDE/>
              <w:adjustRightInd/>
              <w:rPr>
                <w:rFonts w:eastAsia="Calibri"/>
                <w:sz w:val="26"/>
                <w:szCs w:val="26"/>
                <w:lang w:bidi="he-IL"/>
              </w:rPr>
            </w:pPr>
            <w:r w:rsidRPr="006D154A">
              <w:rPr>
                <w:sz w:val="26"/>
                <w:szCs w:val="26"/>
              </w:rPr>
              <w:t>(one-time)</w:t>
            </w:r>
            <w:r w:rsidRPr="006D154A">
              <w:rPr>
                <w:rStyle w:val="FootnoteReference"/>
                <w:sz w:val="26"/>
                <w:szCs w:val="26"/>
              </w:rPr>
              <w:footnoteReference w:id="30"/>
            </w:r>
            <w:r w:rsidRPr="006D154A">
              <w:rPr>
                <w:sz w:val="26"/>
                <w:szCs w:val="26"/>
              </w:rPr>
              <w:t xml:space="preserve"> </w:t>
            </w:r>
          </w:p>
        </w:tc>
        <w:tc>
          <w:tcPr>
            <w:tcW w:w="822" w:type="pct"/>
            <w:tcBorders>
              <w:top w:val="single" w:sz="4" w:space="0" w:color="auto"/>
              <w:left w:val="single" w:sz="4" w:space="0" w:color="auto"/>
              <w:bottom w:val="single" w:sz="4" w:space="0" w:color="auto"/>
              <w:right w:val="single" w:sz="4" w:space="0" w:color="auto"/>
            </w:tcBorders>
            <w:vAlign w:val="bottom"/>
            <w:hideMark/>
          </w:tcPr>
          <w:p w14:paraId="7ACD90EB"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165</w:t>
            </w:r>
          </w:p>
        </w:tc>
        <w:tc>
          <w:tcPr>
            <w:tcW w:w="700" w:type="pct"/>
            <w:tcBorders>
              <w:top w:val="single" w:sz="4" w:space="0" w:color="auto"/>
              <w:left w:val="single" w:sz="4" w:space="0" w:color="auto"/>
              <w:bottom w:val="single" w:sz="4" w:space="0" w:color="auto"/>
              <w:right w:val="single" w:sz="4" w:space="0" w:color="auto"/>
            </w:tcBorders>
            <w:vAlign w:val="bottom"/>
            <w:hideMark/>
          </w:tcPr>
          <w:p w14:paraId="3B3D791D"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1</w:t>
            </w:r>
          </w:p>
        </w:tc>
        <w:tc>
          <w:tcPr>
            <w:tcW w:w="575" w:type="pct"/>
            <w:tcBorders>
              <w:top w:val="single" w:sz="4" w:space="0" w:color="auto"/>
              <w:left w:val="single" w:sz="4" w:space="0" w:color="auto"/>
              <w:bottom w:val="single" w:sz="4" w:space="0" w:color="auto"/>
              <w:right w:val="single" w:sz="4" w:space="0" w:color="auto"/>
            </w:tcBorders>
            <w:vAlign w:val="bottom"/>
            <w:hideMark/>
          </w:tcPr>
          <w:p w14:paraId="405C1D09"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10</w:t>
            </w:r>
          </w:p>
        </w:tc>
        <w:tc>
          <w:tcPr>
            <w:tcW w:w="726" w:type="pct"/>
            <w:tcBorders>
              <w:top w:val="single" w:sz="4" w:space="0" w:color="auto"/>
              <w:left w:val="single" w:sz="4" w:space="0" w:color="auto"/>
              <w:bottom w:val="single" w:sz="4" w:space="0" w:color="auto"/>
              <w:right w:val="single" w:sz="4" w:space="0" w:color="auto"/>
            </w:tcBorders>
            <w:vAlign w:val="bottom"/>
            <w:hideMark/>
          </w:tcPr>
          <w:p w14:paraId="28D2B165"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1,650</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5EC4257"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$116,457</w:t>
            </w:r>
            <w:r w:rsidRPr="006D154A">
              <w:rPr>
                <w:rStyle w:val="FootnoteReference"/>
                <w:sz w:val="26"/>
                <w:szCs w:val="26"/>
              </w:rPr>
              <w:footnoteReference w:id="31"/>
            </w:r>
          </w:p>
        </w:tc>
      </w:tr>
      <w:tr w:rsidR="00CB41CE" w:rsidRPr="00AA0337" w14:paraId="1B21965E" w14:textId="77777777" w:rsidTr="00644125">
        <w:trPr>
          <w:cantSplit/>
          <w:trHeight w:val="897"/>
        </w:trPr>
        <w:tc>
          <w:tcPr>
            <w:tcW w:w="1151" w:type="pct"/>
            <w:tcBorders>
              <w:top w:val="single" w:sz="4" w:space="0" w:color="auto"/>
              <w:left w:val="single" w:sz="4" w:space="0" w:color="auto"/>
              <w:bottom w:val="single" w:sz="4" w:space="0" w:color="auto"/>
              <w:right w:val="single" w:sz="4" w:space="0" w:color="auto"/>
            </w:tcBorders>
            <w:vAlign w:val="bottom"/>
          </w:tcPr>
          <w:p w14:paraId="48B3FB27" w14:textId="77777777" w:rsidR="00CB41CE" w:rsidRPr="000B5B3F" w:rsidRDefault="00CB41CE" w:rsidP="00644125">
            <w:pPr>
              <w:widowControl/>
              <w:autoSpaceDE/>
              <w:adjustRightInd/>
              <w:rPr>
                <w:rFonts w:eastAsia="Calibri"/>
                <w:sz w:val="26"/>
                <w:szCs w:val="26"/>
                <w:lang w:bidi="he-IL"/>
              </w:rPr>
            </w:pPr>
            <w:r w:rsidRPr="006D154A">
              <w:rPr>
                <w:sz w:val="26"/>
                <w:szCs w:val="26"/>
              </w:rPr>
              <w:lastRenderedPageBreak/>
              <w:t>Tariff Filing for Multi-Party Service Agreements  (one-time)</w:t>
            </w:r>
            <w:r w:rsidRPr="006D154A">
              <w:rPr>
                <w:rStyle w:val="FootnoteReference"/>
                <w:sz w:val="26"/>
                <w:szCs w:val="26"/>
              </w:rPr>
              <w:footnoteReference w:id="32"/>
            </w:r>
          </w:p>
        </w:tc>
        <w:tc>
          <w:tcPr>
            <w:tcW w:w="822" w:type="pct"/>
            <w:tcBorders>
              <w:top w:val="single" w:sz="4" w:space="0" w:color="auto"/>
              <w:left w:val="single" w:sz="4" w:space="0" w:color="auto"/>
              <w:bottom w:val="single" w:sz="4" w:space="0" w:color="auto"/>
              <w:right w:val="single" w:sz="4" w:space="0" w:color="auto"/>
            </w:tcBorders>
            <w:vAlign w:val="bottom"/>
          </w:tcPr>
          <w:p w14:paraId="3BB6D7CB"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8</w:t>
            </w:r>
          </w:p>
        </w:tc>
        <w:tc>
          <w:tcPr>
            <w:tcW w:w="700" w:type="pct"/>
            <w:tcBorders>
              <w:top w:val="single" w:sz="4" w:space="0" w:color="auto"/>
              <w:left w:val="single" w:sz="4" w:space="0" w:color="auto"/>
              <w:bottom w:val="single" w:sz="4" w:space="0" w:color="auto"/>
              <w:right w:val="single" w:sz="4" w:space="0" w:color="auto"/>
            </w:tcBorders>
            <w:vAlign w:val="bottom"/>
          </w:tcPr>
          <w:p w14:paraId="70814B4E"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1</w:t>
            </w:r>
          </w:p>
        </w:tc>
        <w:tc>
          <w:tcPr>
            <w:tcW w:w="575" w:type="pct"/>
            <w:tcBorders>
              <w:top w:val="single" w:sz="4" w:space="0" w:color="auto"/>
              <w:left w:val="single" w:sz="4" w:space="0" w:color="auto"/>
              <w:bottom w:val="single" w:sz="4" w:space="0" w:color="auto"/>
              <w:right w:val="single" w:sz="4" w:space="0" w:color="auto"/>
            </w:tcBorders>
            <w:vAlign w:val="bottom"/>
          </w:tcPr>
          <w:p w14:paraId="2B32D0E5"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10</w:t>
            </w:r>
          </w:p>
        </w:tc>
        <w:tc>
          <w:tcPr>
            <w:tcW w:w="726" w:type="pct"/>
            <w:tcBorders>
              <w:top w:val="single" w:sz="4" w:space="0" w:color="auto"/>
              <w:left w:val="single" w:sz="4" w:space="0" w:color="auto"/>
              <w:bottom w:val="single" w:sz="4" w:space="0" w:color="auto"/>
              <w:right w:val="single" w:sz="4" w:space="0" w:color="auto"/>
            </w:tcBorders>
            <w:vAlign w:val="bottom"/>
          </w:tcPr>
          <w:p w14:paraId="5784A7B3"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80</w:t>
            </w:r>
          </w:p>
        </w:tc>
        <w:tc>
          <w:tcPr>
            <w:tcW w:w="1025" w:type="pct"/>
            <w:tcBorders>
              <w:top w:val="single" w:sz="4" w:space="0" w:color="auto"/>
              <w:left w:val="single" w:sz="4" w:space="0" w:color="auto"/>
              <w:bottom w:val="single" w:sz="4" w:space="0" w:color="auto"/>
              <w:right w:val="single" w:sz="4" w:space="0" w:color="auto"/>
            </w:tcBorders>
            <w:vAlign w:val="bottom"/>
          </w:tcPr>
          <w:p w14:paraId="172254F2"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$5,646</w:t>
            </w:r>
          </w:p>
        </w:tc>
      </w:tr>
      <w:tr w:rsidR="00CB41CE" w:rsidRPr="00AA0337" w14:paraId="71D82B07" w14:textId="77777777" w:rsidTr="00644125">
        <w:trPr>
          <w:cantSplit/>
          <w:trHeight w:val="431"/>
        </w:trPr>
        <w:tc>
          <w:tcPr>
            <w:tcW w:w="5000" w:type="pct"/>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924E71" w14:textId="77777777" w:rsidR="00CB41CE" w:rsidRPr="000B5B3F" w:rsidRDefault="00CB41CE" w:rsidP="00644125">
            <w:pPr>
              <w:widowControl/>
              <w:autoSpaceDE/>
              <w:adjustRightInd/>
              <w:jc w:val="center"/>
              <w:rPr>
                <w:rFonts w:eastAsia="Calibri"/>
                <w:b/>
                <w:sz w:val="26"/>
                <w:szCs w:val="26"/>
                <w:lang w:bidi="he-IL"/>
              </w:rPr>
            </w:pPr>
            <w:r w:rsidRPr="000B5B3F">
              <w:rPr>
                <w:rFonts w:eastAsia="Calibri"/>
                <w:b/>
                <w:sz w:val="26"/>
                <w:szCs w:val="26"/>
                <w:lang w:bidi="he-IL"/>
              </w:rPr>
              <w:t>FERC-549C (OMB Control No. 1902-0174)</w:t>
            </w:r>
          </w:p>
        </w:tc>
      </w:tr>
      <w:tr w:rsidR="00CB41CE" w:rsidRPr="00AA0337" w14:paraId="1B9982B7" w14:textId="77777777" w:rsidTr="00644125">
        <w:trPr>
          <w:cantSplit/>
          <w:trHeight w:val="719"/>
        </w:trPr>
        <w:tc>
          <w:tcPr>
            <w:tcW w:w="1151" w:type="pct"/>
            <w:tcBorders>
              <w:top w:val="single" w:sz="4" w:space="0" w:color="auto"/>
              <w:left w:val="single" w:sz="4" w:space="0" w:color="auto"/>
              <w:bottom w:val="single" w:sz="4" w:space="0" w:color="auto"/>
              <w:right w:val="single" w:sz="4" w:space="0" w:color="auto"/>
            </w:tcBorders>
            <w:vAlign w:val="center"/>
            <w:hideMark/>
          </w:tcPr>
          <w:p w14:paraId="0CF78DA1" w14:textId="77777777" w:rsidR="00CB41CE" w:rsidRPr="000B5B3F" w:rsidRDefault="00CB41CE" w:rsidP="00644125">
            <w:pPr>
              <w:widowControl/>
              <w:autoSpaceDE/>
              <w:adjustRightInd/>
              <w:rPr>
                <w:rFonts w:eastAsia="Calibri"/>
                <w:sz w:val="26"/>
                <w:szCs w:val="26"/>
                <w:lang w:bidi="he-IL"/>
              </w:rPr>
            </w:pPr>
            <w:r w:rsidRPr="006D154A">
              <w:rPr>
                <w:sz w:val="26"/>
                <w:szCs w:val="26"/>
              </w:rPr>
              <w:t>Implementation of business standards, including process, procedures, and IT support (one-time)</w:t>
            </w:r>
            <w:r w:rsidRPr="006D154A">
              <w:rPr>
                <w:rStyle w:val="FootnoteReference"/>
                <w:sz w:val="26"/>
                <w:szCs w:val="26"/>
              </w:rPr>
              <w:footnoteReference w:id="33"/>
            </w:r>
          </w:p>
        </w:tc>
        <w:tc>
          <w:tcPr>
            <w:tcW w:w="822" w:type="pct"/>
            <w:tcBorders>
              <w:top w:val="single" w:sz="4" w:space="0" w:color="auto"/>
              <w:left w:val="single" w:sz="4" w:space="0" w:color="auto"/>
              <w:bottom w:val="single" w:sz="4" w:space="0" w:color="auto"/>
              <w:right w:val="single" w:sz="4" w:space="0" w:color="auto"/>
            </w:tcBorders>
            <w:vAlign w:val="bottom"/>
            <w:hideMark/>
          </w:tcPr>
          <w:p w14:paraId="10010420" w14:textId="77777777" w:rsidR="00CB41CE" w:rsidRPr="00425731" w:rsidRDefault="00CB41CE" w:rsidP="00644125">
            <w:pPr>
              <w:widowControl/>
              <w:autoSpaceDE/>
              <w:adjustRightInd/>
              <w:jc w:val="right"/>
              <w:rPr>
                <w:rFonts w:eastAsia="Calibri"/>
                <w:sz w:val="26"/>
                <w:szCs w:val="26"/>
                <w:lang w:bidi="he-IL"/>
              </w:rPr>
            </w:pPr>
            <w:r w:rsidRPr="00425731">
              <w:rPr>
                <w:sz w:val="26"/>
                <w:szCs w:val="26"/>
              </w:rPr>
              <w:t>165</w:t>
            </w:r>
          </w:p>
        </w:tc>
        <w:tc>
          <w:tcPr>
            <w:tcW w:w="700" w:type="pct"/>
            <w:tcBorders>
              <w:top w:val="single" w:sz="4" w:space="0" w:color="auto"/>
              <w:left w:val="single" w:sz="4" w:space="0" w:color="auto"/>
              <w:bottom w:val="single" w:sz="4" w:space="0" w:color="auto"/>
              <w:right w:val="single" w:sz="4" w:space="0" w:color="auto"/>
            </w:tcBorders>
            <w:vAlign w:val="bottom"/>
            <w:hideMark/>
          </w:tcPr>
          <w:p w14:paraId="120800AA" w14:textId="77777777" w:rsidR="00CB41CE" w:rsidRPr="00425731" w:rsidRDefault="00CB41CE" w:rsidP="00644125">
            <w:pPr>
              <w:widowControl/>
              <w:autoSpaceDE/>
              <w:adjustRightInd/>
              <w:jc w:val="right"/>
              <w:rPr>
                <w:rFonts w:eastAsia="Calibri"/>
                <w:sz w:val="26"/>
                <w:szCs w:val="26"/>
                <w:lang w:bidi="he-IL"/>
              </w:rPr>
            </w:pPr>
            <w:r w:rsidRPr="00425731">
              <w:rPr>
                <w:sz w:val="26"/>
                <w:szCs w:val="26"/>
              </w:rPr>
              <w:t>1</w:t>
            </w:r>
          </w:p>
        </w:tc>
        <w:tc>
          <w:tcPr>
            <w:tcW w:w="575" w:type="pct"/>
            <w:tcBorders>
              <w:top w:val="single" w:sz="4" w:space="0" w:color="auto"/>
              <w:left w:val="single" w:sz="4" w:space="0" w:color="auto"/>
              <w:bottom w:val="single" w:sz="4" w:space="0" w:color="auto"/>
              <w:right w:val="single" w:sz="4" w:space="0" w:color="auto"/>
            </w:tcBorders>
            <w:vAlign w:val="bottom"/>
            <w:hideMark/>
          </w:tcPr>
          <w:p w14:paraId="580E46B5" w14:textId="77777777" w:rsidR="00CB41CE" w:rsidRPr="00425731" w:rsidRDefault="00CB41CE" w:rsidP="00644125">
            <w:pPr>
              <w:widowControl/>
              <w:autoSpaceDE/>
              <w:adjustRightInd/>
              <w:jc w:val="right"/>
              <w:rPr>
                <w:rFonts w:eastAsia="Calibri"/>
                <w:sz w:val="26"/>
                <w:szCs w:val="26"/>
                <w:lang w:bidi="he-IL"/>
              </w:rPr>
            </w:pPr>
            <w:r w:rsidRPr="00425731">
              <w:rPr>
                <w:sz w:val="26"/>
                <w:szCs w:val="26"/>
              </w:rPr>
              <w:t>240</w:t>
            </w:r>
          </w:p>
        </w:tc>
        <w:tc>
          <w:tcPr>
            <w:tcW w:w="726" w:type="pct"/>
            <w:tcBorders>
              <w:top w:val="single" w:sz="4" w:space="0" w:color="auto"/>
              <w:left w:val="single" w:sz="4" w:space="0" w:color="auto"/>
              <w:bottom w:val="single" w:sz="4" w:space="0" w:color="auto"/>
              <w:right w:val="single" w:sz="4" w:space="0" w:color="auto"/>
            </w:tcBorders>
            <w:vAlign w:val="bottom"/>
            <w:hideMark/>
          </w:tcPr>
          <w:p w14:paraId="36BB7C80" w14:textId="77777777" w:rsidR="00CB41CE" w:rsidRPr="00425731" w:rsidRDefault="00CB41CE" w:rsidP="00644125">
            <w:pPr>
              <w:widowControl/>
              <w:autoSpaceDE/>
              <w:adjustRightInd/>
              <w:jc w:val="right"/>
              <w:rPr>
                <w:rFonts w:eastAsia="Calibri"/>
                <w:sz w:val="26"/>
                <w:szCs w:val="26"/>
                <w:lang w:bidi="he-IL"/>
              </w:rPr>
            </w:pPr>
            <w:r w:rsidRPr="00425731">
              <w:rPr>
                <w:sz w:val="26"/>
                <w:szCs w:val="26"/>
              </w:rPr>
              <w:t>39,600</w:t>
            </w:r>
          </w:p>
        </w:tc>
        <w:tc>
          <w:tcPr>
            <w:tcW w:w="1025" w:type="pct"/>
            <w:tcBorders>
              <w:top w:val="single" w:sz="4" w:space="0" w:color="auto"/>
              <w:left w:val="single" w:sz="4" w:space="0" w:color="auto"/>
              <w:bottom w:val="single" w:sz="4" w:space="0" w:color="auto"/>
              <w:right w:val="single" w:sz="4" w:space="0" w:color="auto"/>
            </w:tcBorders>
            <w:vAlign w:val="bottom"/>
            <w:hideMark/>
          </w:tcPr>
          <w:p w14:paraId="51A3FFCF" w14:textId="77777777" w:rsidR="00CB41CE" w:rsidRPr="00425731" w:rsidRDefault="00CB41CE" w:rsidP="00644125">
            <w:pPr>
              <w:widowControl/>
              <w:autoSpaceDE/>
              <w:adjustRightInd/>
              <w:jc w:val="right"/>
              <w:rPr>
                <w:rFonts w:eastAsia="Calibri"/>
                <w:sz w:val="26"/>
                <w:szCs w:val="26"/>
                <w:lang w:bidi="he-IL"/>
              </w:rPr>
            </w:pPr>
            <w:r w:rsidRPr="00425731">
              <w:rPr>
                <w:sz w:val="26"/>
                <w:szCs w:val="26"/>
              </w:rPr>
              <w:t xml:space="preserve">$2,524,500 </w:t>
            </w:r>
          </w:p>
        </w:tc>
      </w:tr>
      <w:tr w:rsidR="00CB41CE" w:rsidRPr="00AA0337" w14:paraId="428252BD" w14:textId="77777777" w:rsidTr="00644125">
        <w:trPr>
          <w:cantSplit/>
          <w:trHeight w:val="701"/>
        </w:trPr>
        <w:tc>
          <w:tcPr>
            <w:tcW w:w="1151" w:type="pct"/>
            <w:tcBorders>
              <w:top w:val="single" w:sz="4" w:space="0" w:color="auto"/>
              <w:left w:val="single" w:sz="4" w:space="0" w:color="auto"/>
              <w:bottom w:val="single" w:sz="4" w:space="0" w:color="auto"/>
              <w:right w:val="single" w:sz="4" w:space="0" w:color="auto"/>
            </w:tcBorders>
            <w:vAlign w:val="center"/>
            <w:hideMark/>
          </w:tcPr>
          <w:p w14:paraId="6B386A23" w14:textId="77777777" w:rsidR="00CB41CE" w:rsidRPr="000B5B3F" w:rsidRDefault="00CB41CE" w:rsidP="00644125">
            <w:pPr>
              <w:widowControl/>
              <w:autoSpaceDE/>
              <w:adjustRightInd/>
              <w:rPr>
                <w:rFonts w:eastAsia="Calibri"/>
                <w:sz w:val="26"/>
                <w:szCs w:val="26"/>
                <w:lang w:bidi="he-IL"/>
              </w:rPr>
            </w:pPr>
            <w:r w:rsidRPr="006D154A">
              <w:rPr>
                <w:sz w:val="26"/>
                <w:szCs w:val="26"/>
              </w:rPr>
              <w:t xml:space="preserve">Annual operations, including 1 additional intraday nomination (ongoing) </w:t>
            </w:r>
            <w:r w:rsidRPr="006D154A">
              <w:rPr>
                <w:rStyle w:val="FootnoteReference"/>
                <w:sz w:val="26"/>
                <w:szCs w:val="26"/>
              </w:rPr>
              <w:footnoteReference w:id="34"/>
            </w:r>
          </w:p>
        </w:tc>
        <w:tc>
          <w:tcPr>
            <w:tcW w:w="822"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E4CC1BD" w14:textId="77777777" w:rsidR="00CB41CE" w:rsidRPr="00425731" w:rsidRDefault="00CB41CE" w:rsidP="00644125">
            <w:pPr>
              <w:widowControl/>
              <w:autoSpaceDE/>
              <w:adjustRightInd/>
              <w:jc w:val="right"/>
              <w:rPr>
                <w:rFonts w:eastAsia="Calibri"/>
                <w:sz w:val="26"/>
                <w:szCs w:val="26"/>
                <w:lang w:bidi="he-IL"/>
              </w:rPr>
            </w:pPr>
            <w:r w:rsidRPr="00425731">
              <w:rPr>
                <w:sz w:val="26"/>
                <w:szCs w:val="26"/>
              </w:rPr>
              <w:t>165</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1B167A0" w14:textId="2269057E" w:rsidR="00CB41CE" w:rsidRPr="00425731" w:rsidRDefault="00402F1C" w:rsidP="00644125">
            <w:pPr>
              <w:widowControl/>
              <w:autoSpaceDE/>
              <w:adjustRightInd/>
              <w:jc w:val="right"/>
              <w:rPr>
                <w:rFonts w:eastAsia="Calibri"/>
                <w:sz w:val="26"/>
                <w:szCs w:val="26"/>
                <w:lang w:bidi="he-IL"/>
              </w:rPr>
            </w:pPr>
            <w:r w:rsidRPr="00425731">
              <w:rPr>
                <w:sz w:val="26"/>
                <w:szCs w:val="26"/>
              </w:rPr>
              <w:t>1</w:t>
            </w:r>
          </w:p>
        </w:tc>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DE11142" w14:textId="3204740A" w:rsidR="00CB41CE" w:rsidRPr="00425731" w:rsidRDefault="00402F1C" w:rsidP="00644125">
            <w:pPr>
              <w:widowControl/>
              <w:autoSpaceDE/>
              <w:adjustRightInd/>
              <w:jc w:val="right"/>
              <w:rPr>
                <w:rFonts w:eastAsia="Calibri"/>
                <w:sz w:val="26"/>
                <w:szCs w:val="26"/>
                <w:lang w:bidi="he-IL"/>
              </w:rPr>
            </w:pPr>
            <w:r w:rsidRPr="00425731">
              <w:rPr>
                <w:sz w:val="26"/>
                <w:szCs w:val="26"/>
              </w:rPr>
              <w:t>182.5</w:t>
            </w:r>
          </w:p>
        </w:tc>
        <w:tc>
          <w:tcPr>
            <w:tcW w:w="726" w:type="pct"/>
            <w:tcBorders>
              <w:top w:val="single" w:sz="4" w:space="0" w:color="auto"/>
              <w:left w:val="single" w:sz="4" w:space="0" w:color="auto"/>
              <w:bottom w:val="single" w:sz="4" w:space="0" w:color="auto"/>
              <w:right w:val="single" w:sz="4" w:space="0" w:color="auto"/>
            </w:tcBorders>
            <w:vAlign w:val="bottom"/>
            <w:hideMark/>
          </w:tcPr>
          <w:p w14:paraId="1E5FEA4B" w14:textId="77777777" w:rsidR="00CB41CE" w:rsidRPr="00425731" w:rsidRDefault="00CB41CE" w:rsidP="00644125">
            <w:pPr>
              <w:widowControl/>
              <w:autoSpaceDE/>
              <w:adjustRightInd/>
              <w:jc w:val="right"/>
              <w:rPr>
                <w:rFonts w:eastAsia="Calibri"/>
                <w:sz w:val="26"/>
                <w:szCs w:val="26"/>
                <w:lang w:bidi="he-IL"/>
              </w:rPr>
            </w:pPr>
            <w:r w:rsidRPr="00425731">
              <w:rPr>
                <w:sz w:val="26"/>
                <w:szCs w:val="26"/>
              </w:rPr>
              <w:t>30,113</w:t>
            </w:r>
          </w:p>
        </w:tc>
        <w:tc>
          <w:tcPr>
            <w:tcW w:w="1025" w:type="pct"/>
            <w:tcBorders>
              <w:top w:val="single" w:sz="4" w:space="0" w:color="auto"/>
              <w:left w:val="single" w:sz="4" w:space="0" w:color="auto"/>
              <w:bottom w:val="single" w:sz="4" w:space="0" w:color="auto"/>
              <w:right w:val="single" w:sz="4" w:space="0" w:color="auto"/>
            </w:tcBorders>
            <w:vAlign w:val="bottom"/>
            <w:hideMark/>
          </w:tcPr>
          <w:p w14:paraId="60AC0680" w14:textId="77777777" w:rsidR="00CB41CE" w:rsidRPr="00425731" w:rsidRDefault="00CB41CE" w:rsidP="00644125">
            <w:pPr>
              <w:widowControl/>
              <w:autoSpaceDE/>
              <w:adjustRightInd/>
              <w:jc w:val="right"/>
              <w:rPr>
                <w:rFonts w:eastAsia="Calibri"/>
                <w:sz w:val="26"/>
                <w:szCs w:val="26"/>
                <w:lang w:bidi="he-IL"/>
              </w:rPr>
            </w:pPr>
            <w:r w:rsidRPr="00425731">
              <w:rPr>
                <w:sz w:val="26"/>
                <w:szCs w:val="26"/>
              </w:rPr>
              <w:t>$1,535,738</w:t>
            </w:r>
          </w:p>
        </w:tc>
      </w:tr>
      <w:tr w:rsidR="00CB41CE" w:rsidRPr="00AA0337" w14:paraId="38187D66" w14:textId="77777777" w:rsidTr="00644125">
        <w:trPr>
          <w:cantSplit/>
          <w:trHeight w:val="701"/>
        </w:trPr>
        <w:tc>
          <w:tcPr>
            <w:tcW w:w="1151" w:type="pct"/>
            <w:tcBorders>
              <w:top w:val="single" w:sz="4" w:space="0" w:color="auto"/>
              <w:left w:val="single" w:sz="4" w:space="0" w:color="auto"/>
              <w:bottom w:val="single" w:sz="4" w:space="0" w:color="auto"/>
              <w:right w:val="single" w:sz="4" w:space="0" w:color="auto"/>
            </w:tcBorders>
            <w:vAlign w:val="center"/>
            <w:hideMark/>
          </w:tcPr>
          <w:p w14:paraId="1CACE844" w14:textId="77777777" w:rsidR="00CB41CE" w:rsidRPr="000B5B3F" w:rsidRDefault="00CB41CE" w:rsidP="00644125">
            <w:pPr>
              <w:widowControl/>
              <w:autoSpaceDE/>
              <w:adjustRightInd/>
              <w:rPr>
                <w:rFonts w:eastAsia="Calibri"/>
                <w:b/>
                <w:sz w:val="26"/>
                <w:szCs w:val="26"/>
                <w:lang w:bidi="he-IL"/>
              </w:rPr>
            </w:pPr>
            <w:r w:rsidRPr="006D154A">
              <w:rPr>
                <w:b/>
                <w:sz w:val="26"/>
                <w:szCs w:val="26"/>
              </w:rPr>
              <w:t xml:space="preserve">Total one-time (for FERC-545 and FERC-549C)  </w:t>
            </w:r>
          </w:p>
        </w:tc>
        <w:tc>
          <w:tcPr>
            <w:tcW w:w="82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5736BF" w14:textId="77777777" w:rsidR="00CB41CE" w:rsidRPr="00152C62" w:rsidRDefault="00CB41CE" w:rsidP="00644125">
            <w:pPr>
              <w:widowControl/>
              <w:autoSpaceDE/>
              <w:adjustRightInd/>
              <w:jc w:val="right"/>
              <w:rPr>
                <w:rFonts w:eastAsia="Calibri"/>
                <w:sz w:val="26"/>
                <w:szCs w:val="26"/>
                <w:lang w:bidi="he-IL"/>
              </w:rPr>
            </w:pP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DC0026" w14:textId="77777777" w:rsidR="00CB41CE" w:rsidRPr="00577C8D" w:rsidRDefault="00CB41CE" w:rsidP="00644125">
            <w:pPr>
              <w:widowControl/>
              <w:autoSpaceDE/>
              <w:adjustRightInd/>
              <w:jc w:val="right"/>
              <w:rPr>
                <w:rFonts w:eastAsia="Calibri"/>
                <w:sz w:val="26"/>
                <w:szCs w:val="26"/>
                <w:lang w:bidi="he-IL"/>
              </w:rPr>
            </w:pPr>
          </w:p>
        </w:tc>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FE8593" w14:textId="77777777" w:rsidR="00CB41CE" w:rsidRPr="00577C8D" w:rsidRDefault="00CB41CE" w:rsidP="00644125">
            <w:pPr>
              <w:widowControl/>
              <w:autoSpaceDE/>
              <w:adjustRightInd/>
              <w:jc w:val="right"/>
              <w:rPr>
                <w:rFonts w:eastAsia="Calibri"/>
                <w:sz w:val="26"/>
                <w:szCs w:val="26"/>
                <w:lang w:bidi="he-IL"/>
              </w:rPr>
            </w:pPr>
          </w:p>
        </w:tc>
        <w:tc>
          <w:tcPr>
            <w:tcW w:w="726" w:type="pct"/>
            <w:tcBorders>
              <w:top w:val="single" w:sz="4" w:space="0" w:color="auto"/>
              <w:left w:val="single" w:sz="4" w:space="0" w:color="auto"/>
              <w:bottom w:val="single" w:sz="4" w:space="0" w:color="auto"/>
              <w:right w:val="single" w:sz="4" w:space="0" w:color="auto"/>
            </w:tcBorders>
            <w:vAlign w:val="bottom"/>
            <w:hideMark/>
          </w:tcPr>
          <w:p w14:paraId="45573517"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39,680</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D9C8148"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$2,646,603</w:t>
            </w:r>
          </w:p>
        </w:tc>
      </w:tr>
      <w:tr w:rsidR="00CB41CE" w:rsidRPr="00AA0337" w14:paraId="47510704" w14:textId="77777777" w:rsidTr="00644125">
        <w:trPr>
          <w:cantSplit/>
          <w:trHeight w:val="701"/>
        </w:trPr>
        <w:tc>
          <w:tcPr>
            <w:tcW w:w="1151" w:type="pct"/>
            <w:tcBorders>
              <w:top w:val="single" w:sz="4" w:space="0" w:color="auto"/>
              <w:left w:val="single" w:sz="4" w:space="0" w:color="auto"/>
              <w:bottom w:val="single" w:sz="4" w:space="0" w:color="auto"/>
              <w:right w:val="single" w:sz="4" w:space="0" w:color="auto"/>
            </w:tcBorders>
            <w:vAlign w:val="center"/>
            <w:hideMark/>
          </w:tcPr>
          <w:p w14:paraId="1E8F8E85" w14:textId="77777777" w:rsidR="00CB41CE" w:rsidRPr="000B5B3F" w:rsidRDefault="00CB41CE" w:rsidP="00644125">
            <w:pPr>
              <w:widowControl/>
              <w:autoSpaceDE/>
              <w:adjustRightInd/>
              <w:rPr>
                <w:rFonts w:eastAsia="Calibri"/>
                <w:b/>
                <w:sz w:val="26"/>
                <w:szCs w:val="26"/>
                <w:lang w:bidi="he-IL"/>
              </w:rPr>
            </w:pPr>
            <w:r w:rsidRPr="006D154A">
              <w:rPr>
                <w:b/>
                <w:sz w:val="26"/>
                <w:szCs w:val="26"/>
              </w:rPr>
              <w:t>Total ongoing (for FERC-549C)</w:t>
            </w:r>
          </w:p>
        </w:tc>
        <w:tc>
          <w:tcPr>
            <w:tcW w:w="82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5B3D57" w14:textId="77777777" w:rsidR="00CB41CE" w:rsidRPr="00152C62" w:rsidRDefault="00CB41CE" w:rsidP="00644125">
            <w:pPr>
              <w:widowControl/>
              <w:autoSpaceDE/>
              <w:adjustRightInd/>
              <w:jc w:val="right"/>
              <w:rPr>
                <w:rFonts w:eastAsia="Calibri"/>
                <w:sz w:val="26"/>
                <w:szCs w:val="26"/>
                <w:lang w:bidi="he-IL"/>
              </w:rPr>
            </w:pP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4CEED9" w14:textId="77777777" w:rsidR="00CB41CE" w:rsidRPr="00577C8D" w:rsidRDefault="00CB41CE" w:rsidP="00644125">
            <w:pPr>
              <w:widowControl/>
              <w:autoSpaceDE/>
              <w:adjustRightInd/>
              <w:jc w:val="right"/>
              <w:rPr>
                <w:rFonts w:eastAsia="Calibri"/>
                <w:sz w:val="26"/>
                <w:szCs w:val="26"/>
                <w:lang w:bidi="he-IL"/>
              </w:rPr>
            </w:pPr>
          </w:p>
        </w:tc>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73D62C" w14:textId="77777777" w:rsidR="00CB41CE" w:rsidRPr="00577C8D" w:rsidRDefault="00CB41CE" w:rsidP="00644125">
            <w:pPr>
              <w:widowControl/>
              <w:autoSpaceDE/>
              <w:adjustRightInd/>
              <w:jc w:val="right"/>
              <w:rPr>
                <w:rFonts w:eastAsia="Calibri"/>
                <w:sz w:val="26"/>
                <w:szCs w:val="26"/>
                <w:lang w:bidi="he-IL"/>
              </w:rPr>
            </w:pPr>
          </w:p>
        </w:tc>
        <w:tc>
          <w:tcPr>
            <w:tcW w:w="726" w:type="pct"/>
            <w:tcBorders>
              <w:top w:val="single" w:sz="4" w:space="0" w:color="auto"/>
              <w:left w:val="single" w:sz="4" w:space="0" w:color="auto"/>
              <w:bottom w:val="single" w:sz="4" w:space="0" w:color="auto"/>
              <w:right w:val="single" w:sz="4" w:space="0" w:color="auto"/>
            </w:tcBorders>
            <w:vAlign w:val="bottom"/>
            <w:hideMark/>
          </w:tcPr>
          <w:p w14:paraId="23EC1992"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30,113</w:t>
            </w:r>
          </w:p>
        </w:tc>
        <w:tc>
          <w:tcPr>
            <w:tcW w:w="1025" w:type="pct"/>
            <w:tcBorders>
              <w:top w:val="single" w:sz="4" w:space="0" w:color="auto"/>
              <w:left w:val="single" w:sz="4" w:space="0" w:color="auto"/>
              <w:bottom w:val="single" w:sz="4" w:space="0" w:color="auto"/>
              <w:right w:val="single" w:sz="4" w:space="0" w:color="auto"/>
            </w:tcBorders>
            <w:vAlign w:val="bottom"/>
            <w:hideMark/>
          </w:tcPr>
          <w:p w14:paraId="339DC9BC" w14:textId="77777777" w:rsidR="00CB41CE" w:rsidRPr="000B5B3F" w:rsidRDefault="00CB41CE" w:rsidP="00644125">
            <w:pPr>
              <w:widowControl/>
              <w:autoSpaceDE/>
              <w:adjustRightInd/>
              <w:jc w:val="right"/>
              <w:rPr>
                <w:rFonts w:eastAsia="Calibri"/>
                <w:sz w:val="26"/>
                <w:szCs w:val="26"/>
                <w:lang w:bidi="he-IL"/>
              </w:rPr>
            </w:pPr>
            <w:r w:rsidRPr="006D154A">
              <w:rPr>
                <w:sz w:val="26"/>
                <w:szCs w:val="26"/>
              </w:rPr>
              <w:t>$1,535,738</w:t>
            </w:r>
          </w:p>
        </w:tc>
      </w:tr>
    </w:tbl>
    <w:p w14:paraId="0A86F681" w14:textId="77777777" w:rsidR="00CB41CE" w:rsidRDefault="00CB41CE" w:rsidP="00CB41CE">
      <w:pPr>
        <w:rPr>
          <w:sz w:val="26"/>
          <w:szCs w:val="26"/>
        </w:rPr>
      </w:pPr>
    </w:p>
    <w:p w14:paraId="4F7A0E79" w14:textId="6EB49D60" w:rsidR="00871CA7" w:rsidRPr="0014601E" w:rsidRDefault="00871CA7" w:rsidP="00871CA7">
      <w:pPr>
        <w:ind w:firstLine="360"/>
        <w:rPr>
          <w:sz w:val="26"/>
          <w:szCs w:val="26"/>
        </w:rPr>
      </w:pPr>
      <w:r w:rsidRPr="0014601E">
        <w:rPr>
          <w:b/>
          <w:sz w:val="26"/>
          <w:szCs w:val="26"/>
        </w:rPr>
        <w:t>FERC-54</w:t>
      </w:r>
      <w:r>
        <w:rPr>
          <w:b/>
          <w:sz w:val="26"/>
          <w:szCs w:val="26"/>
        </w:rPr>
        <w:t>5</w:t>
      </w:r>
      <w:r w:rsidRPr="0014601E">
        <w:rPr>
          <w:b/>
          <w:sz w:val="26"/>
          <w:szCs w:val="26"/>
        </w:rPr>
        <w:t xml:space="preserve">.  </w:t>
      </w:r>
      <w:r w:rsidRPr="00B00965">
        <w:rPr>
          <w:sz w:val="26"/>
          <w:szCs w:val="26"/>
        </w:rPr>
        <w:t>For this submittal</w:t>
      </w:r>
      <w:r w:rsidRPr="0043202E">
        <w:rPr>
          <w:sz w:val="26"/>
          <w:szCs w:val="26"/>
        </w:rPr>
        <w:t xml:space="preserve"> for the FERC-54</w:t>
      </w:r>
      <w:r>
        <w:rPr>
          <w:sz w:val="26"/>
          <w:szCs w:val="26"/>
        </w:rPr>
        <w:t>5</w:t>
      </w:r>
      <w:r w:rsidRPr="009C5F46">
        <w:rPr>
          <w:sz w:val="26"/>
          <w:szCs w:val="26"/>
        </w:rPr>
        <w:t xml:space="preserve">, we are averaging the one-time implementation burden over Years 1-3.  </w:t>
      </w:r>
    </w:p>
    <w:p w14:paraId="5E72DE2F" w14:textId="5753DEC5" w:rsidR="00871CA7" w:rsidRPr="0014601E" w:rsidRDefault="00871CA7" w:rsidP="00871CA7">
      <w:pPr>
        <w:ind w:left="720"/>
        <w:rPr>
          <w:sz w:val="26"/>
          <w:szCs w:val="26"/>
        </w:rPr>
      </w:pPr>
      <w:r w:rsidRPr="00B00965">
        <w:rPr>
          <w:sz w:val="26"/>
          <w:szCs w:val="26"/>
        </w:rPr>
        <w:t>Using that approach for FERC-54</w:t>
      </w:r>
      <w:r>
        <w:rPr>
          <w:sz w:val="26"/>
          <w:szCs w:val="26"/>
        </w:rPr>
        <w:t>5</w:t>
      </w:r>
      <w:r w:rsidRPr="00B00965">
        <w:rPr>
          <w:sz w:val="26"/>
          <w:szCs w:val="26"/>
        </w:rPr>
        <w:t xml:space="preserve">, each of Years 1-3 would impose:  </w:t>
      </w:r>
      <w:r>
        <w:rPr>
          <w:sz w:val="26"/>
          <w:szCs w:val="26"/>
        </w:rPr>
        <w:t>576.66 hrs. [</w:t>
      </w:r>
      <w:r w:rsidRPr="00B00965">
        <w:rPr>
          <w:sz w:val="26"/>
          <w:szCs w:val="26"/>
        </w:rPr>
        <w:t>(</w:t>
      </w:r>
      <w:r>
        <w:rPr>
          <w:sz w:val="26"/>
          <w:szCs w:val="26"/>
        </w:rPr>
        <w:t>1,650+80)/3]</w:t>
      </w:r>
      <w:r w:rsidRPr="00B00965">
        <w:rPr>
          <w:sz w:val="26"/>
          <w:szCs w:val="26"/>
        </w:rPr>
        <w:t xml:space="preserve">; </w:t>
      </w:r>
      <w:r w:rsidR="000C7409">
        <w:rPr>
          <w:sz w:val="26"/>
          <w:szCs w:val="26"/>
        </w:rPr>
        <w:t xml:space="preserve">and </w:t>
      </w:r>
      <w:r w:rsidR="000C7409" w:rsidRPr="00B00965">
        <w:rPr>
          <w:sz w:val="26"/>
          <w:szCs w:val="26"/>
        </w:rPr>
        <w:t>$</w:t>
      </w:r>
      <w:r w:rsidR="000C7409">
        <w:rPr>
          <w:sz w:val="26"/>
          <w:szCs w:val="26"/>
        </w:rPr>
        <w:t xml:space="preserve">40,701 </w:t>
      </w:r>
      <w:r>
        <w:rPr>
          <w:sz w:val="26"/>
          <w:szCs w:val="26"/>
        </w:rPr>
        <w:t>[(</w:t>
      </w:r>
      <w:r w:rsidRPr="00871CA7">
        <w:rPr>
          <w:sz w:val="26"/>
          <w:szCs w:val="26"/>
        </w:rPr>
        <w:t>$116,457</w:t>
      </w:r>
      <w:r>
        <w:rPr>
          <w:sz w:val="26"/>
          <w:szCs w:val="26"/>
        </w:rPr>
        <w:t>+</w:t>
      </w:r>
      <w:r w:rsidRPr="00871CA7">
        <w:rPr>
          <w:sz w:val="26"/>
          <w:szCs w:val="26"/>
        </w:rPr>
        <w:t>$5,646</w:t>
      </w:r>
      <w:r>
        <w:rPr>
          <w:sz w:val="26"/>
          <w:szCs w:val="26"/>
        </w:rPr>
        <w:t>) /3)</w:t>
      </w:r>
      <w:r w:rsidRPr="00B00965">
        <w:rPr>
          <w:sz w:val="26"/>
          <w:szCs w:val="26"/>
        </w:rPr>
        <w:t xml:space="preserve">.  </w:t>
      </w:r>
    </w:p>
    <w:p w14:paraId="77C287C3" w14:textId="77777777" w:rsidR="00871CA7" w:rsidRPr="0014601E" w:rsidRDefault="00871CA7" w:rsidP="00871CA7">
      <w:pPr>
        <w:ind w:firstLine="360"/>
        <w:rPr>
          <w:sz w:val="26"/>
          <w:szCs w:val="26"/>
        </w:rPr>
      </w:pPr>
    </w:p>
    <w:p w14:paraId="7CDF4A1C" w14:textId="15D999BB" w:rsidR="00871CA7" w:rsidRPr="00027B22" w:rsidRDefault="00871CA7" w:rsidP="00871CA7">
      <w:pPr>
        <w:rPr>
          <w:sz w:val="26"/>
          <w:szCs w:val="26"/>
        </w:rPr>
      </w:pPr>
      <w:r w:rsidRPr="00B00965">
        <w:rPr>
          <w:sz w:val="26"/>
          <w:szCs w:val="26"/>
        </w:rPr>
        <w:t>Then after Year 3, the FERC-54</w:t>
      </w:r>
      <w:r>
        <w:rPr>
          <w:sz w:val="26"/>
          <w:szCs w:val="26"/>
        </w:rPr>
        <w:t>5</w:t>
      </w:r>
      <w:r w:rsidRPr="00B00965">
        <w:rPr>
          <w:sz w:val="26"/>
          <w:szCs w:val="26"/>
        </w:rPr>
        <w:t xml:space="preserve"> burden associated with the averaged implementation burden would be removed from the inventory.</w:t>
      </w:r>
    </w:p>
    <w:p w14:paraId="0A08D332" w14:textId="084B1A04" w:rsidR="00871CA7" w:rsidRDefault="00871CA7" w:rsidP="00CB41CE">
      <w:pPr>
        <w:rPr>
          <w:sz w:val="26"/>
          <w:szCs w:val="26"/>
        </w:rPr>
      </w:pPr>
    </w:p>
    <w:p w14:paraId="13A6FD2B" w14:textId="77777777" w:rsidR="00871CA7" w:rsidRDefault="00871CA7" w:rsidP="00CB41CE">
      <w:pPr>
        <w:rPr>
          <w:sz w:val="26"/>
          <w:szCs w:val="26"/>
        </w:rPr>
      </w:pPr>
    </w:p>
    <w:p w14:paraId="76AB625D" w14:textId="77777777" w:rsidR="00CB41CE" w:rsidRPr="0014601E" w:rsidRDefault="00CB41CE" w:rsidP="00CB41CE">
      <w:pPr>
        <w:ind w:firstLine="360"/>
        <w:rPr>
          <w:sz w:val="26"/>
          <w:szCs w:val="26"/>
        </w:rPr>
      </w:pPr>
      <w:r w:rsidRPr="0014601E">
        <w:rPr>
          <w:b/>
          <w:sz w:val="26"/>
          <w:szCs w:val="26"/>
        </w:rPr>
        <w:t xml:space="preserve">FERC-549C.  </w:t>
      </w:r>
      <w:r w:rsidRPr="00B00965">
        <w:rPr>
          <w:sz w:val="26"/>
          <w:szCs w:val="26"/>
        </w:rPr>
        <w:t>For this submittal</w:t>
      </w:r>
      <w:r w:rsidRPr="0043202E">
        <w:rPr>
          <w:sz w:val="26"/>
          <w:szCs w:val="26"/>
        </w:rPr>
        <w:t xml:space="preserve"> for the FERC-549C</w:t>
      </w:r>
      <w:r w:rsidRPr="009C5F46">
        <w:rPr>
          <w:sz w:val="26"/>
          <w:szCs w:val="26"/>
        </w:rPr>
        <w:t>, we are averaging the one-time implementation burden (39,</w:t>
      </w:r>
      <w:r w:rsidRPr="0014601E">
        <w:rPr>
          <w:sz w:val="26"/>
          <w:szCs w:val="26"/>
        </w:rPr>
        <w:t>600</w:t>
      </w:r>
      <w:r w:rsidRPr="00B00965">
        <w:rPr>
          <w:sz w:val="26"/>
          <w:szCs w:val="26"/>
        </w:rPr>
        <w:t xml:space="preserve"> hrs.) and cost (</w:t>
      </w:r>
      <w:r w:rsidRPr="0043202E">
        <w:rPr>
          <w:sz w:val="26"/>
          <w:szCs w:val="26"/>
        </w:rPr>
        <w:t>$2,524,500</w:t>
      </w:r>
      <w:r w:rsidRPr="009C5F46">
        <w:rPr>
          <w:sz w:val="26"/>
          <w:szCs w:val="26"/>
        </w:rPr>
        <w:t xml:space="preserve">) over Years 1-3.  </w:t>
      </w:r>
    </w:p>
    <w:p w14:paraId="27E99022" w14:textId="77777777" w:rsidR="00CB41CE" w:rsidRPr="0014601E" w:rsidRDefault="00CB41CE" w:rsidP="00CB41CE">
      <w:pPr>
        <w:ind w:firstLine="360"/>
        <w:rPr>
          <w:sz w:val="26"/>
          <w:szCs w:val="26"/>
        </w:rPr>
      </w:pPr>
    </w:p>
    <w:p w14:paraId="464B360D" w14:textId="77777777" w:rsidR="00CB41CE" w:rsidRPr="0014601E" w:rsidRDefault="00CB41CE" w:rsidP="00425731">
      <w:pPr>
        <w:ind w:left="720"/>
        <w:rPr>
          <w:sz w:val="26"/>
          <w:szCs w:val="26"/>
        </w:rPr>
      </w:pPr>
      <w:r w:rsidRPr="00B00965">
        <w:rPr>
          <w:sz w:val="26"/>
          <w:szCs w:val="26"/>
        </w:rPr>
        <w:t>Using that approach for FERC-549C, each of Years 1-3 would impose:  (39,</w:t>
      </w:r>
      <w:r w:rsidRPr="0014601E">
        <w:rPr>
          <w:sz w:val="26"/>
          <w:szCs w:val="26"/>
        </w:rPr>
        <w:t>600</w:t>
      </w:r>
      <w:r w:rsidRPr="00B00965">
        <w:rPr>
          <w:sz w:val="26"/>
          <w:szCs w:val="26"/>
        </w:rPr>
        <w:t>/3) +</w:t>
      </w:r>
      <w:r w:rsidRPr="0014601E">
        <w:rPr>
          <w:sz w:val="26"/>
          <w:szCs w:val="26"/>
        </w:rPr>
        <w:t>30,113</w:t>
      </w:r>
      <w:r w:rsidRPr="00B00965">
        <w:rPr>
          <w:sz w:val="26"/>
          <w:szCs w:val="26"/>
        </w:rPr>
        <w:t xml:space="preserve"> = </w:t>
      </w:r>
      <w:r w:rsidRPr="0014601E">
        <w:rPr>
          <w:sz w:val="26"/>
          <w:szCs w:val="26"/>
        </w:rPr>
        <w:t>4</w:t>
      </w:r>
      <w:r>
        <w:rPr>
          <w:sz w:val="26"/>
          <w:szCs w:val="26"/>
        </w:rPr>
        <w:t>3</w:t>
      </w:r>
      <w:r w:rsidRPr="0014601E">
        <w:rPr>
          <w:sz w:val="26"/>
          <w:szCs w:val="26"/>
        </w:rPr>
        <w:t>,313</w:t>
      </w:r>
      <w:r w:rsidRPr="00B00965">
        <w:rPr>
          <w:sz w:val="26"/>
          <w:szCs w:val="26"/>
        </w:rPr>
        <w:t xml:space="preserve"> hrs.; ($2,524,500</w:t>
      </w:r>
      <w:r w:rsidRPr="009C5F46">
        <w:rPr>
          <w:sz w:val="26"/>
          <w:szCs w:val="26"/>
        </w:rPr>
        <w:t>/3) + $</w:t>
      </w:r>
      <w:r w:rsidRPr="0014601E">
        <w:rPr>
          <w:sz w:val="26"/>
          <w:szCs w:val="26"/>
        </w:rPr>
        <w:t>1,535,738</w:t>
      </w:r>
      <w:r w:rsidRPr="00B00965">
        <w:rPr>
          <w:sz w:val="26"/>
          <w:szCs w:val="26"/>
        </w:rPr>
        <w:t>=$</w:t>
      </w:r>
      <w:r w:rsidRPr="0014601E">
        <w:rPr>
          <w:sz w:val="26"/>
          <w:szCs w:val="26"/>
        </w:rPr>
        <w:t>2,3</w:t>
      </w:r>
      <w:r>
        <w:rPr>
          <w:sz w:val="26"/>
          <w:szCs w:val="26"/>
        </w:rPr>
        <w:t>77</w:t>
      </w:r>
      <w:r w:rsidRPr="0014601E">
        <w:rPr>
          <w:sz w:val="26"/>
          <w:szCs w:val="26"/>
        </w:rPr>
        <w:t>,238</w:t>
      </w:r>
      <w:r w:rsidRPr="00B00965">
        <w:rPr>
          <w:sz w:val="26"/>
          <w:szCs w:val="26"/>
        </w:rPr>
        <w:t xml:space="preserve">.  </w:t>
      </w:r>
    </w:p>
    <w:p w14:paraId="4E65786C" w14:textId="77777777" w:rsidR="00CB41CE" w:rsidRPr="0014601E" w:rsidRDefault="00CB41CE" w:rsidP="00CB41CE">
      <w:pPr>
        <w:ind w:firstLine="360"/>
        <w:rPr>
          <w:sz w:val="26"/>
          <w:szCs w:val="26"/>
        </w:rPr>
      </w:pPr>
    </w:p>
    <w:p w14:paraId="25C9B010" w14:textId="77777777" w:rsidR="00CB41CE" w:rsidRPr="00027B22" w:rsidRDefault="00CB41CE" w:rsidP="00CB41CE">
      <w:pPr>
        <w:rPr>
          <w:sz w:val="26"/>
          <w:szCs w:val="26"/>
        </w:rPr>
      </w:pPr>
      <w:r w:rsidRPr="00B00965">
        <w:rPr>
          <w:sz w:val="26"/>
          <w:szCs w:val="26"/>
        </w:rPr>
        <w:t>Then after Year 3, the FERC-549C burden associated with the averaged implementation burden would be removed from the inventory.</w:t>
      </w:r>
    </w:p>
    <w:p w14:paraId="5864A484" w14:textId="77777777" w:rsidR="00507B6D" w:rsidRDefault="00507B6D" w:rsidP="00507B6D">
      <w:pPr>
        <w:rPr>
          <w:b/>
          <w:sz w:val="26"/>
          <w:szCs w:val="26"/>
        </w:rPr>
      </w:pPr>
    </w:p>
    <w:p w14:paraId="28082E3A" w14:textId="27223102" w:rsidR="00914CAA" w:rsidRPr="00914CAA" w:rsidRDefault="00914CAA" w:rsidP="006D154A">
      <w:pPr>
        <w:rPr>
          <w:sz w:val="26"/>
          <w:szCs w:val="26"/>
        </w:rPr>
      </w:pPr>
      <w:r w:rsidRPr="00914CAA">
        <w:rPr>
          <w:sz w:val="26"/>
          <w:szCs w:val="26"/>
        </w:rPr>
        <w:t>See #15</w:t>
      </w:r>
      <w:r>
        <w:rPr>
          <w:sz w:val="26"/>
          <w:szCs w:val="26"/>
        </w:rPr>
        <w:t>, below,</w:t>
      </w:r>
      <w:r w:rsidRPr="00914CAA">
        <w:rPr>
          <w:sz w:val="26"/>
          <w:szCs w:val="26"/>
        </w:rPr>
        <w:t xml:space="preserve"> for </w:t>
      </w:r>
      <w:r w:rsidR="00CB41CE">
        <w:rPr>
          <w:sz w:val="26"/>
          <w:szCs w:val="26"/>
        </w:rPr>
        <w:t>an explanation of</w:t>
      </w:r>
      <w:r w:rsidRPr="00914CAA">
        <w:rPr>
          <w:sz w:val="26"/>
          <w:szCs w:val="26"/>
        </w:rPr>
        <w:t xml:space="preserve"> the estimated changes to burden </w:t>
      </w:r>
      <w:r w:rsidR="004A7160">
        <w:rPr>
          <w:sz w:val="26"/>
          <w:szCs w:val="26"/>
        </w:rPr>
        <w:t>as implemented</w:t>
      </w:r>
      <w:r w:rsidR="004A7160" w:rsidRPr="00914CAA">
        <w:rPr>
          <w:sz w:val="26"/>
          <w:szCs w:val="26"/>
        </w:rPr>
        <w:t xml:space="preserve"> </w:t>
      </w:r>
      <w:r w:rsidRPr="00914CAA">
        <w:rPr>
          <w:sz w:val="26"/>
          <w:szCs w:val="26"/>
        </w:rPr>
        <w:t xml:space="preserve">in the </w:t>
      </w:r>
      <w:r w:rsidR="00F336E5">
        <w:rPr>
          <w:sz w:val="26"/>
          <w:szCs w:val="26"/>
        </w:rPr>
        <w:t>Final Rule</w:t>
      </w:r>
      <w:r w:rsidRPr="00914CAA">
        <w:rPr>
          <w:sz w:val="26"/>
          <w:szCs w:val="26"/>
        </w:rPr>
        <w:t xml:space="preserve"> in RM14-2 and for the proposed new </w:t>
      </w:r>
      <w:r>
        <w:rPr>
          <w:sz w:val="26"/>
          <w:szCs w:val="26"/>
        </w:rPr>
        <w:t>inventory figure</w:t>
      </w:r>
      <w:r w:rsidRPr="00914CAA">
        <w:rPr>
          <w:sz w:val="26"/>
          <w:szCs w:val="26"/>
        </w:rPr>
        <w:t>s.</w:t>
      </w:r>
    </w:p>
    <w:p w14:paraId="5CE22B7A" w14:textId="77777777" w:rsidR="00914CAA" w:rsidRDefault="00914CAA" w:rsidP="00507B6D">
      <w:pPr>
        <w:rPr>
          <w:b/>
          <w:sz w:val="26"/>
          <w:szCs w:val="26"/>
        </w:rPr>
      </w:pPr>
    </w:p>
    <w:p w14:paraId="6BAAE14D" w14:textId="2906A403" w:rsidR="00CA3B99" w:rsidRPr="00231159" w:rsidRDefault="00CA3B99" w:rsidP="00950A39">
      <w:pPr>
        <w:ind w:left="360" w:hanging="360"/>
        <w:rPr>
          <w:b/>
          <w:sz w:val="26"/>
          <w:szCs w:val="26"/>
        </w:rPr>
      </w:pPr>
      <w:r>
        <w:rPr>
          <w:b/>
          <w:sz w:val="26"/>
          <w:szCs w:val="26"/>
        </w:rPr>
        <w:t>13.</w:t>
      </w:r>
      <w:r w:rsidRPr="00231159">
        <w:rPr>
          <w:b/>
          <w:sz w:val="26"/>
          <w:szCs w:val="26"/>
        </w:rPr>
        <w:t>ESTIMATE OF TOTAL ANNUAL COST OF BURDEN TO RESPONDENTS</w:t>
      </w:r>
    </w:p>
    <w:p w14:paraId="15923C17" w14:textId="7ECEC3C8" w:rsidR="00CA3B99" w:rsidRPr="00231159" w:rsidRDefault="00CA3B99" w:rsidP="00231159">
      <w:pPr>
        <w:rPr>
          <w:b/>
          <w:sz w:val="26"/>
          <w:szCs w:val="26"/>
        </w:rPr>
      </w:pPr>
      <w:r w:rsidRPr="00231159">
        <w:rPr>
          <w:b/>
          <w:sz w:val="26"/>
          <w:szCs w:val="26"/>
        </w:rPr>
        <w:t xml:space="preserve"> </w:t>
      </w:r>
    </w:p>
    <w:p w14:paraId="2617EE3D" w14:textId="493280B2" w:rsidR="00CA3B99" w:rsidRPr="00231159" w:rsidRDefault="00CA3B99" w:rsidP="00231159">
      <w:pPr>
        <w:rPr>
          <w:sz w:val="26"/>
          <w:szCs w:val="26"/>
        </w:rPr>
      </w:pPr>
      <w:r>
        <w:rPr>
          <w:b/>
          <w:sz w:val="26"/>
          <w:szCs w:val="26"/>
        </w:rPr>
        <w:t>FERC-545 and FERC-549</w:t>
      </w:r>
      <w:r w:rsidR="00492622">
        <w:rPr>
          <w:b/>
          <w:sz w:val="26"/>
          <w:szCs w:val="26"/>
        </w:rPr>
        <w:t>C</w:t>
      </w:r>
      <w:r>
        <w:rPr>
          <w:b/>
          <w:sz w:val="26"/>
          <w:szCs w:val="26"/>
        </w:rPr>
        <w:t xml:space="preserve">.  </w:t>
      </w:r>
      <w:r w:rsidRPr="00231159">
        <w:rPr>
          <w:sz w:val="26"/>
          <w:szCs w:val="26"/>
        </w:rPr>
        <w:t xml:space="preserve">There are no capital or start-up costs </w:t>
      </w:r>
      <w:r>
        <w:rPr>
          <w:sz w:val="26"/>
          <w:szCs w:val="26"/>
        </w:rPr>
        <w:t xml:space="preserve">for the </w:t>
      </w:r>
      <w:r w:rsidR="00037BDD">
        <w:rPr>
          <w:sz w:val="26"/>
          <w:szCs w:val="26"/>
        </w:rPr>
        <w:t xml:space="preserve">requirements in the </w:t>
      </w:r>
      <w:r w:rsidR="00F336E5">
        <w:rPr>
          <w:sz w:val="26"/>
          <w:szCs w:val="26"/>
        </w:rPr>
        <w:t>Final Rule</w:t>
      </w:r>
      <w:r w:rsidR="00037BDD">
        <w:rPr>
          <w:sz w:val="26"/>
          <w:szCs w:val="26"/>
        </w:rPr>
        <w:t xml:space="preserve"> in RM14-2</w:t>
      </w:r>
      <w:r>
        <w:rPr>
          <w:sz w:val="26"/>
          <w:szCs w:val="26"/>
        </w:rPr>
        <w:t xml:space="preserve"> that are </w:t>
      </w:r>
      <w:r w:rsidRPr="00231159">
        <w:rPr>
          <w:sz w:val="26"/>
          <w:szCs w:val="26"/>
        </w:rPr>
        <w:t>not associated with the burden hours.</w:t>
      </w:r>
      <w:r>
        <w:rPr>
          <w:sz w:val="26"/>
          <w:szCs w:val="26"/>
        </w:rPr>
        <w:t xml:space="preserve">  All of the costs are related to burden hours and are detailed in #12</w:t>
      </w:r>
      <w:r w:rsidR="00914CAA">
        <w:rPr>
          <w:sz w:val="26"/>
          <w:szCs w:val="26"/>
        </w:rPr>
        <w:t xml:space="preserve"> and #15</w:t>
      </w:r>
      <w:r>
        <w:rPr>
          <w:sz w:val="26"/>
          <w:szCs w:val="26"/>
        </w:rPr>
        <w:t>.</w:t>
      </w:r>
    </w:p>
    <w:p w14:paraId="7F1B5041" w14:textId="77777777" w:rsidR="00CA3B99" w:rsidRPr="00231159" w:rsidRDefault="00CA3B99" w:rsidP="00231159">
      <w:pPr>
        <w:widowControl/>
        <w:tabs>
          <w:tab w:val="left" w:pos="-1440"/>
        </w:tabs>
        <w:rPr>
          <w:sz w:val="26"/>
          <w:szCs w:val="26"/>
        </w:rPr>
      </w:pPr>
    </w:p>
    <w:p w14:paraId="55E2D35C" w14:textId="5D39C571" w:rsidR="00CA3B99" w:rsidRPr="005518EB" w:rsidRDefault="00CA3B99" w:rsidP="00950A39">
      <w:pPr>
        <w:widowControl/>
        <w:tabs>
          <w:tab w:val="num" w:pos="360"/>
        </w:tabs>
        <w:ind w:left="360" w:hanging="360"/>
        <w:rPr>
          <w:sz w:val="26"/>
          <w:szCs w:val="26"/>
        </w:rPr>
      </w:pPr>
      <w:r w:rsidRPr="005518EB">
        <w:rPr>
          <w:b/>
          <w:sz w:val="26"/>
          <w:szCs w:val="26"/>
        </w:rPr>
        <w:t>14.ESTIMATED ANNUALIZED COST TO FEDERAL GOVERNMENT</w:t>
      </w:r>
    </w:p>
    <w:p w14:paraId="79D35319" w14:textId="77777777" w:rsidR="00CA3B99" w:rsidRPr="005518EB" w:rsidRDefault="00CA3B99" w:rsidP="00231159">
      <w:pPr>
        <w:widowControl/>
        <w:ind w:left="360" w:firstLine="720"/>
        <w:rPr>
          <w:sz w:val="26"/>
          <w:szCs w:val="26"/>
        </w:rPr>
      </w:pPr>
    </w:p>
    <w:p w14:paraId="05FF2195" w14:textId="15C028F9" w:rsidR="00686720" w:rsidRDefault="00CA3B99" w:rsidP="00482097">
      <w:pPr>
        <w:widowControl/>
        <w:rPr>
          <w:vertAlign w:val="superscript"/>
        </w:rPr>
      </w:pPr>
      <w:r w:rsidRPr="005518EB">
        <w:rPr>
          <w:b/>
          <w:sz w:val="26"/>
          <w:szCs w:val="26"/>
        </w:rPr>
        <w:t>FERC-545 and FERC-549</w:t>
      </w:r>
      <w:r w:rsidR="00492622">
        <w:rPr>
          <w:b/>
          <w:sz w:val="26"/>
          <w:szCs w:val="26"/>
        </w:rPr>
        <w:t>C</w:t>
      </w:r>
      <w:r w:rsidRPr="005518EB">
        <w:rPr>
          <w:b/>
          <w:sz w:val="26"/>
          <w:szCs w:val="26"/>
        </w:rPr>
        <w:t xml:space="preserve">.  </w:t>
      </w:r>
      <w:r w:rsidRPr="005518EB">
        <w:rPr>
          <w:sz w:val="26"/>
          <w:szCs w:val="26"/>
        </w:rPr>
        <w:t>The following federal cost</w:t>
      </w:r>
      <w:r w:rsidR="00543973">
        <w:rPr>
          <w:sz w:val="26"/>
          <w:szCs w:val="26"/>
        </w:rPr>
        <w:t>s</w:t>
      </w:r>
      <w:r w:rsidRPr="005518EB">
        <w:rPr>
          <w:sz w:val="26"/>
          <w:szCs w:val="26"/>
        </w:rPr>
        <w:t xml:space="preserve"> relate only to the new requirements </w:t>
      </w:r>
      <w:r w:rsidR="00E62894">
        <w:rPr>
          <w:sz w:val="26"/>
          <w:szCs w:val="26"/>
        </w:rPr>
        <w:t>pro</w:t>
      </w:r>
      <w:r w:rsidRPr="005518EB">
        <w:rPr>
          <w:sz w:val="26"/>
          <w:szCs w:val="26"/>
        </w:rPr>
        <w:t xml:space="preserve">posed by the </w:t>
      </w:r>
      <w:r w:rsidR="00F336E5">
        <w:rPr>
          <w:sz w:val="26"/>
          <w:szCs w:val="26"/>
        </w:rPr>
        <w:t>Final Rule</w:t>
      </w:r>
      <w:r w:rsidRPr="005518EB">
        <w:rPr>
          <w:sz w:val="26"/>
          <w:szCs w:val="26"/>
        </w:rPr>
        <w:t>.</w:t>
      </w:r>
      <w:r w:rsidR="00807E75" w:rsidRPr="005518EB" w:rsidDel="00807E75">
        <w:rPr>
          <w:vertAlign w:val="superscript"/>
        </w:rPr>
        <w:t xml:space="preserve"> </w:t>
      </w:r>
    </w:p>
    <w:p w14:paraId="2B6F1B4F" w14:textId="77777777" w:rsidR="00B803A3" w:rsidRPr="005518EB" w:rsidRDefault="00B803A3" w:rsidP="00482097">
      <w:pPr>
        <w:widowContro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CA3B99" w:rsidRPr="005518EB" w14:paraId="722B4B03" w14:textId="77777777" w:rsidTr="005518EB">
        <w:tc>
          <w:tcPr>
            <w:tcW w:w="3200" w:type="dxa"/>
            <w:shd w:val="clear" w:color="auto" w:fill="CCCCCC"/>
          </w:tcPr>
          <w:p w14:paraId="27B7FED6" w14:textId="77777777" w:rsidR="00CA3B99" w:rsidRPr="005518EB" w:rsidRDefault="00CA3B99" w:rsidP="00231159">
            <w:pPr>
              <w:widowControl/>
              <w:rPr>
                <w:sz w:val="26"/>
                <w:szCs w:val="26"/>
              </w:rPr>
            </w:pPr>
          </w:p>
        </w:tc>
        <w:tc>
          <w:tcPr>
            <w:tcW w:w="3192" w:type="dxa"/>
            <w:shd w:val="clear" w:color="auto" w:fill="CCCCCC"/>
            <w:vAlign w:val="bottom"/>
          </w:tcPr>
          <w:p w14:paraId="58B829F0" w14:textId="77777777" w:rsidR="00CA3B99" w:rsidRPr="005518EB" w:rsidRDefault="00CA3B99" w:rsidP="007556AE">
            <w:pPr>
              <w:widowControl/>
              <w:jc w:val="center"/>
              <w:rPr>
                <w:b/>
                <w:sz w:val="26"/>
                <w:szCs w:val="26"/>
              </w:rPr>
            </w:pPr>
            <w:r w:rsidRPr="005518EB">
              <w:rPr>
                <w:b/>
                <w:sz w:val="26"/>
                <w:szCs w:val="26"/>
              </w:rPr>
              <w:t xml:space="preserve">Number of </w:t>
            </w:r>
            <w:r w:rsidR="007556AE">
              <w:rPr>
                <w:b/>
                <w:sz w:val="26"/>
                <w:szCs w:val="26"/>
              </w:rPr>
              <w:t>Hours</w:t>
            </w:r>
            <w:r w:rsidR="00193F96">
              <w:rPr>
                <w:b/>
                <w:sz w:val="26"/>
                <w:szCs w:val="26"/>
              </w:rPr>
              <w:t xml:space="preserve"> or FTE’s</w:t>
            </w:r>
          </w:p>
        </w:tc>
        <w:tc>
          <w:tcPr>
            <w:tcW w:w="3184" w:type="dxa"/>
            <w:shd w:val="clear" w:color="auto" w:fill="CCCCCC"/>
            <w:vAlign w:val="bottom"/>
          </w:tcPr>
          <w:p w14:paraId="2C2DBFFE" w14:textId="77777777" w:rsidR="00CA3B99" w:rsidRPr="005518EB" w:rsidRDefault="00CA3B99" w:rsidP="00037BDD">
            <w:pPr>
              <w:widowControl/>
              <w:jc w:val="center"/>
              <w:rPr>
                <w:b/>
                <w:sz w:val="26"/>
                <w:szCs w:val="26"/>
              </w:rPr>
            </w:pPr>
            <w:r w:rsidRPr="005518EB">
              <w:rPr>
                <w:b/>
                <w:sz w:val="26"/>
                <w:szCs w:val="26"/>
              </w:rPr>
              <w:t>Estimated Annual Federal Cost ($)</w:t>
            </w:r>
            <w:r w:rsidRPr="005518EB">
              <w:rPr>
                <w:sz w:val="26"/>
                <w:szCs w:val="26"/>
                <w:vertAlign w:val="superscript"/>
              </w:rPr>
              <w:footnoteReference w:id="35"/>
            </w:r>
            <w:r w:rsidR="00C304F7">
              <w:rPr>
                <w:b/>
                <w:sz w:val="26"/>
                <w:szCs w:val="26"/>
              </w:rPr>
              <w:t xml:space="preserve"> </w:t>
            </w:r>
          </w:p>
        </w:tc>
      </w:tr>
      <w:tr w:rsidR="00CA3B99" w:rsidRPr="0014601E" w14:paraId="723D76F8" w14:textId="77777777" w:rsidTr="005518EB">
        <w:tc>
          <w:tcPr>
            <w:tcW w:w="3200" w:type="dxa"/>
          </w:tcPr>
          <w:p w14:paraId="01E9A6D5" w14:textId="3E08697D" w:rsidR="00CA3B99" w:rsidRPr="007F1297" w:rsidRDefault="00B32011" w:rsidP="00231159">
            <w:pPr>
              <w:widowControl/>
              <w:rPr>
                <w:sz w:val="26"/>
                <w:szCs w:val="26"/>
              </w:rPr>
            </w:pPr>
            <w:r w:rsidRPr="007F1297">
              <w:rPr>
                <w:sz w:val="26"/>
                <w:szCs w:val="26"/>
              </w:rPr>
              <w:t>PRA</w:t>
            </w:r>
            <w:r w:rsidR="00F52E54" w:rsidRPr="007F1297">
              <w:rPr>
                <w:rStyle w:val="FootnoteReference"/>
                <w:sz w:val="26"/>
                <w:szCs w:val="26"/>
              </w:rPr>
              <w:footnoteReference w:id="36"/>
            </w:r>
            <w:r w:rsidRPr="007F1297">
              <w:rPr>
                <w:sz w:val="26"/>
                <w:szCs w:val="26"/>
              </w:rPr>
              <w:t xml:space="preserve"> Administration Cost</w:t>
            </w:r>
            <w:r w:rsidRPr="007F1297" w:rsidDel="00B32011">
              <w:rPr>
                <w:sz w:val="26"/>
                <w:szCs w:val="26"/>
              </w:rPr>
              <w:t xml:space="preserve"> </w:t>
            </w:r>
            <w:r w:rsidR="00CA3B99" w:rsidRPr="00443AA1">
              <w:rPr>
                <w:sz w:val="26"/>
                <w:szCs w:val="26"/>
                <w:vertAlign w:val="superscript"/>
              </w:rPr>
              <w:footnoteReference w:id="37"/>
            </w:r>
          </w:p>
        </w:tc>
        <w:tc>
          <w:tcPr>
            <w:tcW w:w="3192" w:type="dxa"/>
            <w:shd w:val="clear" w:color="auto" w:fill="FFFFFF"/>
            <w:vAlign w:val="center"/>
          </w:tcPr>
          <w:p w14:paraId="7BB1ECB4" w14:textId="77777777" w:rsidR="00CA3B99" w:rsidRPr="009C5F46" w:rsidRDefault="00CA3B99" w:rsidP="00231159">
            <w:pPr>
              <w:widowControl/>
              <w:jc w:val="right"/>
              <w:rPr>
                <w:sz w:val="26"/>
                <w:szCs w:val="26"/>
              </w:rPr>
            </w:pPr>
            <w:r w:rsidRPr="009C5F46">
              <w:rPr>
                <w:sz w:val="26"/>
                <w:szCs w:val="26"/>
              </w:rPr>
              <w:t>-</w:t>
            </w:r>
          </w:p>
        </w:tc>
        <w:tc>
          <w:tcPr>
            <w:tcW w:w="3184" w:type="dxa"/>
            <w:vAlign w:val="center"/>
          </w:tcPr>
          <w:p w14:paraId="73D29F7D" w14:textId="41D318AC" w:rsidR="00CA3B99" w:rsidRPr="007D241B" w:rsidRDefault="00037BDD" w:rsidP="00231159">
            <w:pPr>
              <w:widowControl/>
              <w:jc w:val="right"/>
              <w:rPr>
                <w:sz w:val="26"/>
                <w:szCs w:val="26"/>
              </w:rPr>
            </w:pPr>
            <w:r w:rsidRPr="009C5F46">
              <w:rPr>
                <w:sz w:val="26"/>
                <w:szCs w:val="26"/>
              </w:rPr>
              <w:t>$</w:t>
            </w:r>
            <w:r w:rsidR="008759E2" w:rsidRPr="00824E72">
              <w:t xml:space="preserve"> </w:t>
            </w:r>
            <w:r w:rsidR="008759E2" w:rsidRPr="007D241B">
              <w:rPr>
                <w:sz w:val="26"/>
                <w:szCs w:val="26"/>
              </w:rPr>
              <w:t>5,193.</w:t>
            </w:r>
          </w:p>
        </w:tc>
      </w:tr>
      <w:tr w:rsidR="00CA3B99" w:rsidRPr="0014601E" w14:paraId="4A16C254" w14:textId="77777777" w:rsidTr="005518EB">
        <w:tc>
          <w:tcPr>
            <w:tcW w:w="3200" w:type="dxa"/>
          </w:tcPr>
          <w:p w14:paraId="3B09EBF9" w14:textId="7ADE8981" w:rsidR="00CA3B99" w:rsidRPr="0014601E" w:rsidRDefault="00CA3B99" w:rsidP="00037BDD">
            <w:pPr>
              <w:widowControl/>
              <w:rPr>
                <w:sz w:val="26"/>
                <w:szCs w:val="26"/>
              </w:rPr>
            </w:pPr>
            <w:r w:rsidRPr="0014601E">
              <w:rPr>
                <w:sz w:val="26"/>
                <w:szCs w:val="26"/>
              </w:rPr>
              <w:t>Data Processing</w:t>
            </w:r>
            <w:r w:rsidR="00037BDD" w:rsidRPr="0014601E">
              <w:rPr>
                <w:sz w:val="26"/>
                <w:szCs w:val="26"/>
              </w:rPr>
              <w:t xml:space="preserve"> and</w:t>
            </w:r>
            <w:r w:rsidRPr="0014601E">
              <w:rPr>
                <w:sz w:val="26"/>
                <w:szCs w:val="26"/>
              </w:rPr>
              <w:t xml:space="preserve"> Analysis</w:t>
            </w:r>
            <w:r w:rsidR="00C942CB" w:rsidRPr="0014601E">
              <w:rPr>
                <w:sz w:val="26"/>
                <w:szCs w:val="26"/>
              </w:rPr>
              <w:t>, Sub-Total</w:t>
            </w:r>
            <w:r w:rsidR="007D2221">
              <w:rPr>
                <w:rStyle w:val="FootnoteReference"/>
                <w:sz w:val="26"/>
                <w:szCs w:val="26"/>
              </w:rPr>
              <w:footnoteReference w:id="38"/>
            </w:r>
          </w:p>
        </w:tc>
        <w:tc>
          <w:tcPr>
            <w:tcW w:w="3192" w:type="dxa"/>
            <w:vAlign w:val="center"/>
          </w:tcPr>
          <w:p w14:paraId="06AE8E3F" w14:textId="4494CB4C" w:rsidR="00CA3B99" w:rsidRPr="0014601E" w:rsidRDefault="00F52E54" w:rsidP="00C304F7">
            <w:pPr>
              <w:widowControl/>
              <w:jc w:val="right"/>
              <w:rPr>
                <w:sz w:val="26"/>
                <w:szCs w:val="26"/>
              </w:rPr>
            </w:pPr>
            <w:r w:rsidRPr="0014601E">
              <w:rPr>
                <w:sz w:val="26"/>
                <w:szCs w:val="26"/>
              </w:rPr>
              <w:t>1.00</w:t>
            </w:r>
          </w:p>
        </w:tc>
        <w:tc>
          <w:tcPr>
            <w:tcW w:w="3184" w:type="dxa"/>
            <w:vAlign w:val="center"/>
          </w:tcPr>
          <w:p w14:paraId="7193B1BE" w14:textId="5A664F5E" w:rsidR="00CA3B99" w:rsidRPr="0014601E" w:rsidRDefault="008759E2" w:rsidP="00772F44">
            <w:pPr>
              <w:widowControl/>
              <w:jc w:val="right"/>
              <w:rPr>
                <w:sz w:val="26"/>
                <w:szCs w:val="26"/>
              </w:rPr>
            </w:pPr>
            <w:r w:rsidRPr="0014601E">
              <w:rPr>
                <w:sz w:val="26"/>
                <w:szCs w:val="26"/>
              </w:rPr>
              <w:t>$149,489.</w:t>
            </w:r>
          </w:p>
        </w:tc>
      </w:tr>
      <w:tr w:rsidR="00F52E54" w:rsidRPr="0014601E" w14:paraId="69EFA174" w14:textId="77777777" w:rsidTr="001B7C2A">
        <w:tc>
          <w:tcPr>
            <w:tcW w:w="3200" w:type="dxa"/>
            <w:vAlign w:val="bottom"/>
          </w:tcPr>
          <w:p w14:paraId="7E3DF18D" w14:textId="5C292176" w:rsidR="00F52E54" w:rsidRPr="0014601E" w:rsidRDefault="00F52E54" w:rsidP="001B7C2A">
            <w:pPr>
              <w:widowControl/>
              <w:ind w:left="720"/>
              <w:jc w:val="right"/>
              <w:rPr>
                <w:i/>
                <w:sz w:val="26"/>
                <w:szCs w:val="26"/>
              </w:rPr>
            </w:pPr>
            <w:r w:rsidRPr="0014601E">
              <w:rPr>
                <w:i/>
                <w:sz w:val="26"/>
                <w:szCs w:val="26"/>
              </w:rPr>
              <w:lastRenderedPageBreak/>
              <w:t>FERC-545</w:t>
            </w:r>
          </w:p>
        </w:tc>
        <w:tc>
          <w:tcPr>
            <w:tcW w:w="3192" w:type="dxa"/>
            <w:vAlign w:val="center"/>
          </w:tcPr>
          <w:p w14:paraId="2968B3D2" w14:textId="566D7E8C" w:rsidR="00F52E54" w:rsidRPr="0014601E" w:rsidRDefault="00F52E54" w:rsidP="00C304F7">
            <w:pPr>
              <w:widowControl/>
              <w:jc w:val="right"/>
              <w:rPr>
                <w:i/>
                <w:sz w:val="26"/>
                <w:szCs w:val="26"/>
              </w:rPr>
            </w:pPr>
            <w:r w:rsidRPr="0014601E">
              <w:rPr>
                <w:i/>
                <w:sz w:val="26"/>
                <w:szCs w:val="26"/>
              </w:rPr>
              <w:t>0.25</w:t>
            </w:r>
          </w:p>
        </w:tc>
        <w:tc>
          <w:tcPr>
            <w:tcW w:w="3184" w:type="dxa"/>
            <w:vAlign w:val="center"/>
          </w:tcPr>
          <w:p w14:paraId="30C75409" w14:textId="21FFB951" w:rsidR="00F52E54" w:rsidRPr="007F1297" w:rsidRDefault="00063ED0" w:rsidP="00CF2FD2">
            <w:pPr>
              <w:widowControl/>
              <w:jc w:val="right"/>
              <w:rPr>
                <w:i/>
                <w:sz w:val="26"/>
                <w:szCs w:val="26"/>
              </w:rPr>
            </w:pPr>
            <w:r w:rsidRPr="0014601E">
              <w:rPr>
                <w:i/>
                <w:sz w:val="26"/>
                <w:szCs w:val="26"/>
              </w:rPr>
              <w:t>$</w:t>
            </w:r>
            <w:r w:rsidR="00CF2FD2" w:rsidRPr="0014601E">
              <w:rPr>
                <w:i/>
                <w:sz w:val="26"/>
                <w:szCs w:val="26"/>
              </w:rPr>
              <w:t>37,372</w:t>
            </w:r>
          </w:p>
        </w:tc>
      </w:tr>
      <w:tr w:rsidR="00F52E54" w:rsidRPr="0014601E" w14:paraId="51699FED" w14:textId="77777777" w:rsidTr="001B7C2A">
        <w:tc>
          <w:tcPr>
            <w:tcW w:w="3200" w:type="dxa"/>
            <w:vAlign w:val="bottom"/>
          </w:tcPr>
          <w:p w14:paraId="25A1EEEB" w14:textId="30F587F5" w:rsidR="00F52E54" w:rsidRPr="0014601E" w:rsidRDefault="00F52E54" w:rsidP="001B7C2A">
            <w:pPr>
              <w:widowControl/>
              <w:ind w:left="720"/>
              <w:jc w:val="right"/>
              <w:rPr>
                <w:i/>
                <w:sz w:val="26"/>
                <w:szCs w:val="26"/>
              </w:rPr>
            </w:pPr>
            <w:r w:rsidRPr="0014601E">
              <w:rPr>
                <w:i/>
                <w:sz w:val="26"/>
                <w:szCs w:val="26"/>
              </w:rPr>
              <w:t>FERC-549C</w:t>
            </w:r>
          </w:p>
        </w:tc>
        <w:tc>
          <w:tcPr>
            <w:tcW w:w="3192" w:type="dxa"/>
            <w:vAlign w:val="center"/>
          </w:tcPr>
          <w:p w14:paraId="505781F7" w14:textId="419C91B5" w:rsidR="00F52E54" w:rsidRPr="0014601E" w:rsidRDefault="00F52E54" w:rsidP="00C304F7">
            <w:pPr>
              <w:widowControl/>
              <w:jc w:val="right"/>
              <w:rPr>
                <w:i/>
                <w:sz w:val="26"/>
                <w:szCs w:val="26"/>
              </w:rPr>
            </w:pPr>
            <w:r w:rsidRPr="0014601E">
              <w:rPr>
                <w:i/>
                <w:sz w:val="26"/>
                <w:szCs w:val="26"/>
              </w:rPr>
              <w:t>0.75</w:t>
            </w:r>
          </w:p>
        </w:tc>
        <w:tc>
          <w:tcPr>
            <w:tcW w:w="3184" w:type="dxa"/>
            <w:vAlign w:val="center"/>
          </w:tcPr>
          <w:p w14:paraId="4821BD57" w14:textId="6A752F0A" w:rsidR="00F52E54" w:rsidRPr="007F1297" w:rsidRDefault="00063ED0" w:rsidP="00CF2FD2">
            <w:pPr>
              <w:widowControl/>
              <w:jc w:val="right"/>
              <w:rPr>
                <w:i/>
                <w:sz w:val="26"/>
                <w:szCs w:val="26"/>
              </w:rPr>
            </w:pPr>
            <w:r w:rsidRPr="0014601E">
              <w:rPr>
                <w:i/>
                <w:sz w:val="26"/>
                <w:szCs w:val="26"/>
              </w:rPr>
              <w:t>$</w:t>
            </w:r>
            <w:r w:rsidR="00CF2FD2" w:rsidRPr="0014601E">
              <w:rPr>
                <w:i/>
                <w:sz w:val="26"/>
                <w:szCs w:val="26"/>
              </w:rPr>
              <w:t>112,117</w:t>
            </w:r>
          </w:p>
        </w:tc>
      </w:tr>
      <w:tr w:rsidR="00CA3B99" w:rsidRPr="0014601E" w14:paraId="458E0B24" w14:textId="77777777" w:rsidTr="005518EB">
        <w:tc>
          <w:tcPr>
            <w:tcW w:w="3200" w:type="dxa"/>
          </w:tcPr>
          <w:p w14:paraId="6629F78A" w14:textId="0ED8D272" w:rsidR="00CA3B99" w:rsidRPr="0014601E" w:rsidRDefault="00CA3B99" w:rsidP="00C942CB">
            <w:pPr>
              <w:widowControl/>
              <w:rPr>
                <w:b/>
                <w:sz w:val="26"/>
                <w:szCs w:val="26"/>
              </w:rPr>
            </w:pPr>
            <w:r w:rsidRPr="0014601E">
              <w:rPr>
                <w:b/>
                <w:sz w:val="26"/>
                <w:szCs w:val="26"/>
              </w:rPr>
              <w:t>FERC Total</w:t>
            </w:r>
          </w:p>
        </w:tc>
        <w:tc>
          <w:tcPr>
            <w:tcW w:w="3192" w:type="dxa"/>
            <w:vAlign w:val="center"/>
          </w:tcPr>
          <w:p w14:paraId="730A5FF7" w14:textId="77777777" w:rsidR="00CA3B99" w:rsidRPr="0014601E" w:rsidRDefault="00BC7CA2" w:rsidP="00231159">
            <w:pPr>
              <w:widowControl/>
              <w:jc w:val="right"/>
              <w:rPr>
                <w:sz w:val="26"/>
                <w:szCs w:val="26"/>
              </w:rPr>
            </w:pPr>
            <w:r w:rsidRPr="0014601E">
              <w:rPr>
                <w:sz w:val="26"/>
                <w:szCs w:val="26"/>
              </w:rPr>
              <w:t>-</w:t>
            </w:r>
          </w:p>
        </w:tc>
        <w:tc>
          <w:tcPr>
            <w:tcW w:w="3184" w:type="dxa"/>
            <w:vAlign w:val="center"/>
          </w:tcPr>
          <w:p w14:paraId="70108A14" w14:textId="2C9A91F0" w:rsidR="00CA3B99" w:rsidRPr="0014601E" w:rsidRDefault="00B9400D" w:rsidP="00525A18">
            <w:pPr>
              <w:widowControl/>
              <w:jc w:val="right"/>
              <w:rPr>
                <w:sz w:val="26"/>
                <w:szCs w:val="26"/>
              </w:rPr>
            </w:pPr>
            <w:r w:rsidRPr="0014601E">
              <w:rPr>
                <w:sz w:val="26"/>
                <w:szCs w:val="26"/>
              </w:rPr>
              <w:t>$</w:t>
            </w:r>
            <w:r w:rsidR="00525A18" w:rsidRPr="0014601E">
              <w:rPr>
                <w:sz w:val="26"/>
                <w:szCs w:val="26"/>
              </w:rPr>
              <w:t>154,682</w:t>
            </w:r>
          </w:p>
        </w:tc>
      </w:tr>
    </w:tbl>
    <w:p w14:paraId="1B160BA3" w14:textId="5B644978" w:rsidR="00063ED0" w:rsidRPr="00A55F2D" w:rsidRDefault="00B9400D" w:rsidP="006D154A">
      <w:pPr>
        <w:spacing w:before="100" w:beforeAutospacing="1" w:after="240"/>
        <w:rPr>
          <w:sz w:val="26"/>
          <w:szCs w:val="26"/>
        </w:rPr>
      </w:pPr>
      <w:r w:rsidRPr="0014601E">
        <w:rPr>
          <w:sz w:val="26"/>
          <w:szCs w:val="26"/>
        </w:rPr>
        <w:t>The estimates for the federal cost (including existing inventory, proposed changes</w:t>
      </w:r>
      <w:r>
        <w:rPr>
          <w:sz w:val="26"/>
          <w:szCs w:val="26"/>
        </w:rPr>
        <w:t xml:space="preserve"> due to this </w:t>
      </w:r>
      <w:r w:rsidR="00F336E5">
        <w:rPr>
          <w:sz w:val="26"/>
          <w:szCs w:val="26"/>
        </w:rPr>
        <w:t>Final Rule</w:t>
      </w:r>
      <w:r w:rsidR="00CD346D">
        <w:rPr>
          <w:sz w:val="26"/>
          <w:szCs w:val="26"/>
        </w:rPr>
        <w:t xml:space="preserve"> in RM14-2</w:t>
      </w:r>
      <w:r>
        <w:rPr>
          <w:sz w:val="26"/>
          <w:szCs w:val="26"/>
        </w:rPr>
        <w:t>, and updated total) follow</w:t>
      </w:r>
      <w:r w:rsidR="007D2221">
        <w:rPr>
          <w:sz w:val="26"/>
          <w:szCs w:val="26"/>
        </w:rPr>
        <w:t xml:space="preserve"> (with the rationale for the split discussed in footnote 29)</w:t>
      </w:r>
      <w:r>
        <w:rPr>
          <w:sz w:val="26"/>
          <w:szCs w:val="26"/>
        </w:rPr>
        <w:t>.</w:t>
      </w:r>
    </w:p>
    <w:tbl>
      <w:tblPr>
        <w:tblStyle w:val="TableGrid"/>
        <w:tblW w:w="0" w:type="auto"/>
        <w:tblInd w:w="360" w:type="dxa"/>
        <w:tblLook w:val="01E0" w:firstRow="1" w:lastRow="1" w:firstColumn="1" w:lastColumn="1" w:noHBand="0" w:noVBand="0"/>
      </w:tblPr>
      <w:tblGrid>
        <w:gridCol w:w="2019"/>
        <w:gridCol w:w="2769"/>
        <w:gridCol w:w="3780"/>
      </w:tblGrid>
      <w:tr w:rsidR="008759E2" w14:paraId="46D0A656" w14:textId="77777777" w:rsidTr="0014601E">
        <w:trPr>
          <w:trHeight w:val="629"/>
        </w:trPr>
        <w:tc>
          <w:tcPr>
            <w:tcW w:w="2019" w:type="dxa"/>
            <w:vAlign w:val="bottom"/>
          </w:tcPr>
          <w:p w14:paraId="37C92084" w14:textId="77777777" w:rsidR="008759E2" w:rsidRDefault="008759E2" w:rsidP="00A55F2D">
            <w:pPr>
              <w:spacing w:before="100" w:beforeAutospacing="1" w:after="240"/>
              <w:jc w:val="center"/>
              <w:rPr>
                <w:b/>
                <w:sz w:val="26"/>
                <w:szCs w:val="26"/>
              </w:rPr>
            </w:pPr>
            <w:r>
              <w:rPr>
                <w:b/>
                <w:sz w:val="26"/>
                <w:szCs w:val="26"/>
              </w:rPr>
              <w:t>Data Collection</w:t>
            </w:r>
          </w:p>
        </w:tc>
        <w:tc>
          <w:tcPr>
            <w:tcW w:w="2769" w:type="dxa"/>
            <w:vAlign w:val="bottom"/>
          </w:tcPr>
          <w:p w14:paraId="7639A8A4" w14:textId="66AD34B6" w:rsidR="008759E2" w:rsidRPr="007F1297" w:rsidRDefault="00CD346D" w:rsidP="00CD346D">
            <w:pPr>
              <w:spacing w:before="100" w:beforeAutospacing="1" w:after="240"/>
              <w:jc w:val="center"/>
              <w:rPr>
                <w:b/>
                <w:sz w:val="26"/>
                <w:szCs w:val="26"/>
              </w:rPr>
            </w:pPr>
            <w:r>
              <w:rPr>
                <w:b/>
                <w:sz w:val="26"/>
                <w:szCs w:val="26"/>
              </w:rPr>
              <w:t xml:space="preserve">Federal  Cost Change, due to </w:t>
            </w:r>
            <w:r w:rsidR="008759E2" w:rsidRPr="007F1297">
              <w:rPr>
                <w:b/>
                <w:sz w:val="26"/>
                <w:szCs w:val="26"/>
              </w:rPr>
              <w:t xml:space="preserve">Final </w:t>
            </w:r>
            <w:r w:rsidR="008759E2" w:rsidRPr="00817519">
              <w:rPr>
                <w:b/>
                <w:sz w:val="26"/>
                <w:szCs w:val="26"/>
              </w:rPr>
              <w:t xml:space="preserve">Rule </w:t>
            </w:r>
            <w:r w:rsidR="00525A18" w:rsidRPr="00817519">
              <w:rPr>
                <w:b/>
                <w:sz w:val="26"/>
                <w:szCs w:val="26"/>
              </w:rPr>
              <w:t>(RM14-2)</w:t>
            </w:r>
            <w:r w:rsidR="008759E2" w:rsidRPr="007F1297">
              <w:rPr>
                <w:rStyle w:val="FootnoteReference"/>
                <w:b/>
                <w:sz w:val="26"/>
                <w:szCs w:val="26"/>
              </w:rPr>
              <w:footnoteReference w:id="39"/>
            </w:r>
          </w:p>
        </w:tc>
        <w:tc>
          <w:tcPr>
            <w:tcW w:w="3780" w:type="dxa"/>
            <w:vAlign w:val="bottom"/>
          </w:tcPr>
          <w:p w14:paraId="1D07944A" w14:textId="1DCC1EEF" w:rsidR="008759E2" w:rsidRPr="007D241B" w:rsidRDefault="008759E2" w:rsidP="00CD346D">
            <w:pPr>
              <w:spacing w:before="100" w:beforeAutospacing="1" w:after="240"/>
              <w:jc w:val="center"/>
              <w:rPr>
                <w:b/>
                <w:sz w:val="26"/>
                <w:szCs w:val="26"/>
              </w:rPr>
            </w:pPr>
            <w:r w:rsidRPr="009C5F46">
              <w:rPr>
                <w:b/>
                <w:sz w:val="26"/>
                <w:szCs w:val="26"/>
              </w:rPr>
              <w:t>Total</w:t>
            </w:r>
            <w:r w:rsidR="00CD346D">
              <w:rPr>
                <w:b/>
                <w:sz w:val="26"/>
                <w:szCs w:val="26"/>
              </w:rPr>
              <w:t xml:space="preserve"> Federal Cost</w:t>
            </w:r>
            <w:r w:rsidRPr="009C5F46">
              <w:rPr>
                <w:b/>
                <w:sz w:val="26"/>
                <w:szCs w:val="26"/>
              </w:rPr>
              <w:t xml:space="preserve">, </w:t>
            </w:r>
            <w:r w:rsidR="00CD346D">
              <w:rPr>
                <w:b/>
                <w:sz w:val="26"/>
                <w:szCs w:val="26"/>
              </w:rPr>
              <w:t>after implementation of</w:t>
            </w:r>
            <w:r w:rsidR="00CD346D" w:rsidRPr="009C5F46">
              <w:rPr>
                <w:b/>
                <w:sz w:val="26"/>
                <w:szCs w:val="26"/>
              </w:rPr>
              <w:t xml:space="preserve"> </w:t>
            </w:r>
            <w:r w:rsidRPr="009C5F46">
              <w:rPr>
                <w:b/>
                <w:sz w:val="26"/>
                <w:szCs w:val="26"/>
              </w:rPr>
              <w:t xml:space="preserve">Final </w:t>
            </w:r>
            <w:r w:rsidRPr="00824E72">
              <w:rPr>
                <w:b/>
                <w:sz w:val="26"/>
                <w:szCs w:val="26"/>
              </w:rPr>
              <w:t>Rule</w:t>
            </w:r>
            <w:r w:rsidR="00525A18" w:rsidRPr="007D241B">
              <w:rPr>
                <w:b/>
                <w:sz w:val="26"/>
                <w:szCs w:val="26"/>
              </w:rPr>
              <w:t xml:space="preserve"> in RM14-2</w:t>
            </w:r>
          </w:p>
        </w:tc>
      </w:tr>
      <w:tr w:rsidR="008759E2" w:rsidRPr="00253079" w14:paraId="4750F086" w14:textId="77777777" w:rsidTr="0014601E">
        <w:tc>
          <w:tcPr>
            <w:tcW w:w="2019" w:type="dxa"/>
          </w:tcPr>
          <w:p w14:paraId="14AD9F5C" w14:textId="77777777" w:rsidR="008759E2" w:rsidRPr="00253079" w:rsidRDefault="008759E2" w:rsidP="005A36C7">
            <w:pPr>
              <w:spacing w:before="100" w:beforeAutospacing="1" w:after="240"/>
              <w:rPr>
                <w:sz w:val="26"/>
                <w:szCs w:val="26"/>
              </w:rPr>
            </w:pPr>
            <w:r w:rsidRPr="00253079">
              <w:rPr>
                <w:sz w:val="26"/>
                <w:szCs w:val="26"/>
              </w:rPr>
              <w:t>FERC-545</w:t>
            </w:r>
          </w:p>
        </w:tc>
        <w:tc>
          <w:tcPr>
            <w:tcW w:w="2769" w:type="dxa"/>
          </w:tcPr>
          <w:p w14:paraId="71F614AB" w14:textId="5EB78758" w:rsidR="008759E2" w:rsidRPr="007F1297" w:rsidRDefault="008759E2" w:rsidP="00525A18">
            <w:pPr>
              <w:spacing w:before="100" w:beforeAutospacing="1" w:after="240"/>
              <w:jc w:val="right"/>
              <w:rPr>
                <w:sz w:val="26"/>
                <w:szCs w:val="26"/>
              </w:rPr>
            </w:pPr>
            <w:r w:rsidRPr="007F1297">
              <w:rPr>
                <w:sz w:val="26"/>
                <w:szCs w:val="26"/>
              </w:rPr>
              <w:t>$</w:t>
            </w:r>
            <w:r w:rsidR="00525A18" w:rsidRPr="0014601E">
              <w:rPr>
                <w:sz w:val="26"/>
                <w:szCs w:val="26"/>
              </w:rPr>
              <w:t>38,670</w:t>
            </w:r>
          </w:p>
        </w:tc>
        <w:tc>
          <w:tcPr>
            <w:tcW w:w="3780" w:type="dxa"/>
          </w:tcPr>
          <w:p w14:paraId="0883E766" w14:textId="6AF3EA3E" w:rsidR="008759E2" w:rsidRPr="007F1297" w:rsidRDefault="00525A18" w:rsidP="00525A18">
            <w:pPr>
              <w:spacing w:before="100" w:beforeAutospacing="1" w:after="240"/>
              <w:jc w:val="right"/>
              <w:rPr>
                <w:sz w:val="26"/>
                <w:szCs w:val="26"/>
              </w:rPr>
            </w:pPr>
            <w:r w:rsidRPr="0014601E">
              <w:rPr>
                <w:sz w:val="26"/>
                <w:szCs w:val="26"/>
              </w:rPr>
              <w:t>$2,915,180</w:t>
            </w:r>
          </w:p>
        </w:tc>
      </w:tr>
      <w:tr w:rsidR="008759E2" w14:paraId="16E72AD1" w14:textId="77777777" w:rsidTr="0014601E">
        <w:tc>
          <w:tcPr>
            <w:tcW w:w="2019" w:type="dxa"/>
          </w:tcPr>
          <w:p w14:paraId="2A80A438" w14:textId="7FA6D840" w:rsidR="008759E2" w:rsidRPr="00A554F5" w:rsidRDefault="008759E2" w:rsidP="005A36C7">
            <w:pPr>
              <w:spacing w:before="100" w:beforeAutospacing="1" w:after="240"/>
              <w:rPr>
                <w:sz w:val="26"/>
                <w:szCs w:val="26"/>
              </w:rPr>
            </w:pPr>
            <w:r w:rsidRPr="00253079">
              <w:rPr>
                <w:sz w:val="26"/>
                <w:szCs w:val="26"/>
              </w:rPr>
              <w:t>FERC-549C</w:t>
            </w:r>
          </w:p>
        </w:tc>
        <w:tc>
          <w:tcPr>
            <w:tcW w:w="2769" w:type="dxa"/>
          </w:tcPr>
          <w:p w14:paraId="4A3727B9" w14:textId="2A6E3D4B" w:rsidR="008759E2" w:rsidRPr="00817519" w:rsidRDefault="008759E2" w:rsidP="00525A18">
            <w:pPr>
              <w:spacing w:before="100" w:beforeAutospacing="1" w:after="240"/>
              <w:jc w:val="right"/>
              <w:rPr>
                <w:sz w:val="26"/>
                <w:szCs w:val="26"/>
              </w:rPr>
            </w:pPr>
            <w:r w:rsidRPr="00817519">
              <w:rPr>
                <w:sz w:val="26"/>
                <w:szCs w:val="26"/>
              </w:rPr>
              <w:t>$</w:t>
            </w:r>
            <w:r w:rsidR="00525A18" w:rsidRPr="0014601E">
              <w:rPr>
                <w:sz w:val="26"/>
                <w:szCs w:val="26"/>
              </w:rPr>
              <w:t>116,012</w:t>
            </w:r>
          </w:p>
        </w:tc>
        <w:tc>
          <w:tcPr>
            <w:tcW w:w="3780" w:type="dxa"/>
          </w:tcPr>
          <w:p w14:paraId="40FBCCA8" w14:textId="623227F5" w:rsidR="008759E2" w:rsidRPr="00817519" w:rsidRDefault="00525A18" w:rsidP="00525A18">
            <w:pPr>
              <w:spacing w:before="100" w:beforeAutospacing="1" w:after="240"/>
              <w:jc w:val="right"/>
              <w:rPr>
                <w:sz w:val="26"/>
                <w:szCs w:val="26"/>
              </w:rPr>
            </w:pPr>
            <w:r w:rsidRPr="0014601E">
              <w:rPr>
                <w:sz w:val="26"/>
                <w:szCs w:val="26"/>
              </w:rPr>
              <w:t>$225,255</w:t>
            </w:r>
          </w:p>
        </w:tc>
      </w:tr>
      <w:tr w:rsidR="008759E2" w14:paraId="768DC5DD" w14:textId="77777777" w:rsidTr="0014601E">
        <w:tc>
          <w:tcPr>
            <w:tcW w:w="2019" w:type="dxa"/>
          </w:tcPr>
          <w:p w14:paraId="29131D11" w14:textId="37ECAF7D" w:rsidR="008759E2" w:rsidRPr="00A55F2D" w:rsidRDefault="008759E2" w:rsidP="005A36C7">
            <w:pPr>
              <w:spacing w:before="100" w:beforeAutospacing="1" w:after="240"/>
              <w:rPr>
                <w:b/>
                <w:sz w:val="26"/>
                <w:szCs w:val="26"/>
              </w:rPr>
            </w:pPr>
            <w:r>
              <w:rPr>
                <w:b/>
                <w:sz w:val="26"/>
                <w:szCs w:val="26"/>
              </w:rPr>
              <w:t>TOTAL</w:t>
            </w:r>
          </w:p>
        </w:tc>
        <w:tc>
          <w:tcPr>
            <w:tcW w:w="2769" w:type="dxa"/>
          </w:tcPr>
          <w:p w14:paraId="3828BEA5" w14:textId="2339BC1C" w:rsidR="008759E2" w:rsidRPr="00817519" w:rsidRDefault="006615DB" w:rsidP="00232C41">
            <w:pPr>
              <w:spacing w:before="100" w:beforeAutospacing="1" w:after="240"/>
              <w:jc w:val="right"/>
              <w:rPr>
                <w:sz w:val="26"/>
                <w:szCs w:val="26"/>
              </w:rPr>
            </w:pPr>
            <w:r>
              <w:rPr>
                <w:sz w:val="26"/>
                <w:szCs w:val="26"/>
              </w:rPr>
              <w:t>$</w:t>
            </w:r>
            <w:r w:rsidR="00525A18" w:rsidRPr="0014601E">
              <w:rPr>
                <w:sz w:val="26"/>
                <w:szCs w:val="26"/>
              </w:rPr>
              <w:t>154,682</w:t>
            </w:r>
          </w:p>
        </w:tc>
        <w:tc>
          <w:tcPr>
            <w:tcW w:w="3780" w:type="dxa"/>
          </w:tcPr>
          <w:p w14:paraId="0E268375" w14:textId="375ECABD" w:rsidR="008759E2" w:rsidRPr="00817519" w:rsidRDefault="00817519" w:rsidP="00525A18">
            <w:pPr>
              <w:spacing w:before="100" w:beforeAutospacing="1" w:after="240"/>
              <w:jc w:val="right"/>
              <w:rPr>
                <w:sz w:val="26"/>
                <w:szCs w:val="26"/>
              </w:rPr>
            </w:pPr>
            <w:r w:rsidRPr="0014601E">
              <w:rPr>
                <w:sz w:val="26"/>
                <w:szCs w:val="26"/>
              </w:rPr>
              <w:t>$3,140,435</w:t>
            </w:r>
          </w:p>
        </w:tc>
      </w:tr>
    </w:tbl>
    <w:p w14:paraId="08DCD64D" w14:textId="77777777" w:rsidR="00063ED0" w:rsidRPr="00A55F2D" w:rsidRDefault="00063ED0" w:rsidP="00A55F2D">
      <w:pPr>
        <w:rPr>
          <w:sz w:val="26"/>
          <w:szCs w:val="26"/>
        </w:rPr>
      </w:pPr>
    </w:p>
    <w:p w14:paraId="4BB4FC3F" w14:textId="77777777" w:rsidR="00CE4844" w:rsidRDefault="00CE4844" w:rsidP="00C905F0">
      <w:pPr>
        <w:widowControl/>
        <w:tabs>
          <w:tab w:val="left" w:pos="720"/>
        </w:tabs>
        <w:ind w:left="720" w:hanging="720"/>
        <w:rPr>
          <w:sz w:val="26"/>
          <w:szCs w:val="26"/>
        </w:rPr>
      </w:pPr>
    </w:p>
    <w:p w14:paraId="793DE9AE" w14:textId="0C586E93" w:rsidR="00CA3B99" w:rsidRDefault="00CA3B99" w:rsidP="00950A39">
      <w:pPr>
        <w:widowControl/>
        <w:tabs>
          <w:tab w:val="left" w:pos="360"/>
        </w:tabs>
        <w:ind w:left="360" w:hanging="360"/>
        <w:rPr>
          <w:b/>
          <w:sz w:val="26"/>
          <w:szCs w:val="26"/>
        </w:rPr>
      </w:pPr>
      <w:r w:rsidRPr="005518EB">
        <w:rPr>
          <w:b/>
          <w:sz w:val="26"/>
          <w:szCs w:val="26"/>
        </w:rPr>
        <w:t>15.REASONS FOR CHANGES IN BURDEN INCLUDING THE NEED FOR ANY INCREASE</w:t>
      </w:r>
    </w:p>
    <w:p w14:paraId="1D7F833F" w14:textId="3F43735E" w:rsidR="00CD346D" w:rsidRDefault="00CD346D" w:rsidP="00950A39">
      <w:pPr>
        <w:widowControl/>
        <w:tabs>
          <w:tab w:val="left" w:pos="360"/>
        </w:tabs>
        <w:ind w:left="360" w:hanging="360"/>
        <w:rPr>
          <w:b/>
          <w:sz w:val="26"/>
          <w:szCs w:val="26"/>
        </w:rPr>
      </w:pPr>
    </w:p>
    <w:p w14:paraId="110A8539" w14:textId="77777777" w:rsidR="00CD346D" w:rsidRPr="00507B6D" w:rsidRDefault="00CD346D" w:rsidP="00CD346D">
      <w:pPr>
        <w:rPr>
          <w:sz w:val="26"/>
          <w:szCs w:val="26"/>
        </w:rPr>
      </w:pPr>
      <w:r w:rsidRPr="00A67C3C">
        <w:rPr>
          <w:b/>
          <w:sz w:val="26"/>
          <w:szCs w:val="26"/>
        </w:rPr>
        <w:t>FERC-545 and FERC-549</w:t>
      </w:r>
      <w:r>
        <w:rPr>
          <w:b/>
          <w:sz w:val="26"/>
          <w:szCs w:val="26"/>
        </w:rPr>
        <w:t>C</w:t>
      </w:r>
      <w:r w:rsidRPr="00A67C3C">
        <w:rPr>
          <w:b/>
          <w:sz w:val="26"/>
          <w:szCs w:val="26"/>
        </w:rPr>
        <w:t xml:space="preserve">.  </w:t>
      </w:r>
      <w:r w:rsidRPr="00A67C3C">
        <w:rPr>
          <w:sz w:val="26"/>
          <w:szCs w:val="26"/>
        </w:rPr>
        <w:t xml:space="preserve">The current </w:t>
      </w:r>
      <w:r>
        <w:rPr>
          <w:sz w:val="26"/>
          <w:szCs w:val="26"/>
        </w:rPr>
        <w:t>OMB-approved annual estimates</w:t>
      </w:r>
      <w:r w:rsidRPr="00A67C3C">
        <w:rPr>
          <w:sz w:val="26"/>
          <w:szCs w:val="26"/>
        </w:rPr>
        <w:t xml:space="preserve"> </w:t>
      </w:r>
      <w:r>
        <w:rPr>
          <w:sz w:val="26"/>
          <w:szCs w:val="26"/>
        </w:rPr>
        <w:t xml:space="preserve">in ROCIS and reginfo.gov </w:t>
      </w:r>
      <w:r w:rsidRPr="00A67C3C">
        <w:rPr>
          <w:sz w:val="26"/>
          <w:szCs w:val="26"/>
        </w:rPr>
        <w:t>follow.</w:t>
      </w:r>
    </w:p>
    <w:tbl>
      <w:tblPr>
        <w:tblW w:w="816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0"/>
        <w:gridCol w:w="1770"/>
        <w:gridCol w:w="1920"/>
        <w:gridCol w:w="1920"/>
      </w:tblGrid>
      <w:tr w:rsidR="00CD346D" w:rsidRPr="00507B6D" w14:paraId="77DC8343" w14:textId="77777777" w:rsidTr="00644125">
        <w:trPr>
          <w:trHeight w:val="499"/>
          <w:tblHeader/>
        </w:trPr>
        <w:tc>
          <w:tcPr>
            <w:tcW w:w="2550" w:type="dxa"/>
            <w:vAlign w:val="bottom"/>
          </w:tcPr>
          <w:p w14:paraId="5BA59ACC" w14:textId="77777777" w:rsidR="00CD346D" w:rsidRPr="00507B6D" w:rsidRDefault="00CD346D" w:rsidP="00644125">
            <w:pPr>
              <w:keepNext/>
              <w:rPr>
                <w:b/>
                <w:color w:val="000000"/>
                <w:sz w:val="26"/>
                <w:szCs w:val="20"/>
              </w:rPr>
            </w:pPr>
            <w:r w:rsidRPr="00507B6D">
              <w:rPr>
                <w:b/>
                <w:color w:val="000000"/>
                <w:sz w:val="26"/>
                <w:szCs w:val="20"/>
              </w:rPr>
              <w:t>Data Collection</w:t>
            </w:r>
          </w:p>
        </w:tc>
        <w:tc>
          <w:tcPr>
            <w:tcW w:w="1770" w:type="dxa"/>
            <w:vAlign w:val="bottom"/>
          </w:tcPr>
          <w:p w14:paraId="7B305BB2" w14:textId="77777777" w:rsidR="00CD346D" w:rsidRPr="00507B6D" w:rsidRDefault="00CD346D" w:rsidP="00644125">
            <w:pPr>
              <w:keepNext/>
              <w:rPr>
                <w:b/>
                <w:color w:val="000000"/>
                <w:sz w:val="26"/>
                <w:szCs w:val="20"/>
              </w:rPr>
            </w:pPr>
            <w:r>
              <w:rPr>
                <w:b/>
                <w:color w:val="000000"/>
                <w:sz w:val="26"/>
                <w:szCs w:val="20"/>
              </w:rPr>
              <w:t xml:space="preserve">Annual </w:t>
            </w:r>
            <w:r w:rsidRPr="00507B6D">
              <w:rPr>
                <w:b/>
                <w:color w:val="000000"/>
                <w:sz w:val="26"/>
                <w:szCs w:val="20"/>
              </w:rPr>
              <w:t>Number of Respon</w:t>
            </w:r>
            <w:r>
              <w:rPr>
                <w:b/>
                <w:color w:val="000000"/>
                <w:sz w:val="26"/>
                <w:szCs w:val="20"/>
              </w:rPr>
              <w:t>ses</w:t>
            </w:r>
          </w:p>
        </w:tc>
        <w:tc>
          <w:tcPr>
            <w:tcW w:w="1920" w:type="dxa"/>
            <w:vAlign w:val="bottom"/>
          </w:tcPr>
          <w:p w14:paraId="093AC8D5" w14:textId="77777777" w:rsidR="00CD346D" w:rsidRPr="00507B6D" w:rsidRDefault="00CD346D" w:rsidP="00644125">
            <w:pPr>
              <w:keepNext/>
              <w:rPr>
                <w:b/>
                <w:color w:val="000000"/>
                <w:sz w:val="26"/>
                <w:szCs w:val="20"/>
              </w:rPr>
            </w:pPr>
            <w:r>
              <w:rPr>
                <w:b/>
                <w:color w:val="000000"/>
                <w:sz w:val="26"/>
                <w:szCs w:val="20"/>
              </w:rPr>
              <w:t xml:space="preserve">Annual </w:t>
            </w:r>
            <w:r w:rsidRPr="00507B6D">
              <w:rPr>
                <w:b/>
                <w:color w:val="000000"/>
                <w:sz w:val="26"/>
                <w:szCs w:val="20"/>
              </w:rPr>
              <w:t xml:space="preserve">Total </w:t>
            </w:r>
            <w:r>
              <w:rPr>
                <w:b/>
                <w:color w:val="000000"/>
                <w:sz w:val="26"/>
                <w:szCs w:val="20"/>
              </w:rPr>
              <w:t xml:space="preserve">Burden </w:t>
            </w:r>
            <w:r w:rsidRPr="00507B6D">
              <w:rPr>
                <w:b/>
                <w:color w:val="000000"/>
                <w:sz w:val="26"/>
                <w:szCs w:val="20"/>
              </w:rPr>
              <w:t>Hours</w:t>
            </w:r>
          </w:p>
        </w:tc>
        <w:tc>
          <w:tcPr>
            <w:tcW w:w="1920" w:type="dxa"/>
            <w:vAlign w:val="bottom"/>
          </w:tcPr>
          <w:p w14:paraId="2F374EF3" w14:textId="77777777" w:rsidR="00CD346D" w:rsidRDefault="00CD346D" w:rsidP="00644125">
            <w:pPr>
              <w:keepNext/>
              <w:jc w:val="center"/>
              <w:rPr>
                <w:b/>
                <w:color w:val="000000"/>
                <w:sz w:val="26"/>
                <w:szCs w:val="20"/>
              </w:rPr>
            </w:pPr>
            <w:r>
              <w:rPr>
                <w:b/>
                <w:color w:val="000000"/>
                <w:sz w:val="26"/>
                <w:szCs w:val="20"/>
              </w:rPr>
              <w:t>Cost Burden ($)</w:t>
            </w:r>
          </w:p>
        </w:tc>
      </w:tr>
      <w:tr w:rsidR="00CD346D" w:rsidRPr="00507B6D" w14:paraId="759F52E4" w14:textId="77777777" w:rsidTr="00644125">
        <w:trPr>
          <w:trHeight w:val="250"/>
        </w:trPr>
        <w:tc>
          <w:tcPr>
            <w:tcW w:w="2550" w:type="dxa"/>
          </w:tcPr>
          <w:p w14:paraId="61A48A03" w14:textId="77777777" w:rsidR="00CD346D" w:rsidRPr="00507B6D" w:rsidRDefault="00CD346D" w:rsidP="00644125">
            <w:pPr>
              <w:rPr>
                <w:color w:val="000000"/>
                <w:sz w:val="26"/>
                <w:szCs w:val="20"/>
              </w:rPr>
            </w:pPr>
            <w:r w:rsidRPr="00507B6D">
              <w:rPr>
                <w:color w:val="000000"/>
                <w:sz w:val="26"/>
                <w:szCs w:val="20"/>
              </w:rPr>
              <w:t>FERC -545</w:t>
            </w:r>
            <w:r>
              <w:rPr>
                <w:rStyle w:val="FootnoteReference"/>
                <w:color w:val="000000"/>
                <w:sz w:val="26"/>
                <w:szCs w:val="20"/>
              </w:rPr>
              <w:footnoteReference w:id="40"/>
            </w:r>
          </w:p>
        </w:tc>
        <w:tc>
          <w:tcPr>
            <w:tcW w:w="1770" w:type="dxa"/>
            <w:vAlign w:val="bottom"/>
          </w:tcPr>
          <w:p w14:paraId="004F8BDB" w14:textId="77777777" w:rsidR="00CD346D" w:rsidRPr="00507B6D" w:rsidRDefault="00CD346D" w:rsidP="00644125">
            <w:pPr>
              <w:jc w:val="right"/>
              <w:rPr>
                <w:color w:val="000000"/>
                <w:sz w:val="26"/>
                <w:szCs w:val="20"/>
              </w:rPr>
            </w:pPr>
            <w:r>
              <w:rPr>
                <w:color w:val="000000"/>
                <w:sz w:val="26"/>
                <w:szCs w:val="20"/>
              </w:rPr>
              <w:t>2,305</w:t>
            </w:r>
          </w:p>
        </w:tc>
        <w:tc>
          <w:tcPr>
            <w:tcW w:w="1920" w:type="dxa"/>
            <w:vAlign w:val="bottom"/>
          </w:tcPr>
          <w:p w14:paraId="06B50038" w14:textId="77777777" w:rsidR="00CD346D" w:rsidRPr="00507B6D" w:rsidRDefault="00CD346D" w:rsidP="00644125">
            <w:pPr>
              <w:jc w:val="right"/>
              <w:rPr>
                <w:color w:val="000000"/>
                <w:sz w:val="26"/>
                <w:szCs w:val="20"/>
              </w:rPr>
            </w:pPr>
            <w:r>
              <w:rPr>
                <w:color w:val="000000"/>
                <w:sz w:val="26"/>
                <w:szCs w:val="20"/>
              </w:rPr>
              <w:t>281,720</w:t>
            </w:r>
          </w:p>
        </w:tc>
        <w:tc>
          <w:tcPr>
            <w:tcW w:w="1920" w:type="dxa"/>
          </w:tcPr>
          <w:p w14:paraId="68D60589" w14:textId="77777777" w:rsidR="00CD346D" w:rsidDel="00381025" w:rsidRDefault="00CD346D" w:rsidP="00644125">
            <w:pPr>
              <w:jc w:val="right"/>
              <w:rPr>
                <w:color w:val="000000"/>
                <w:sz w:val="26"/>
                <w:szCs w:val="20"/>
              </w:rPr>
            </w:pPr>
            <w:r>
              <w:rPr>
                <w:color w:val="000000"/>
                <w:sz w:val="26"/>
                <w:szCs w:val="20"/>
              </w:rPr>
              <w:t>0</w:t>
            </w:r>
          </w:p>
        </w:tc>
      </w:tr>
      <w:tr w:rsidR="00CD346D" w:rsidRPr="00425731" w14:paraId="3724A512" w14:textId="77777777" w:rsidTr="00644125">
        <w:trPr>
          <w:trHeight w:val="250"/>
        </w:trPr>
        <w:tc>
          <w:tcPr>
            <w:tcW w:w="2550" w:type="dxa"/>
          </w:tcPr>
          <w:p w14:paraId="7C3BE897" w14:textId="77777777" w:rsidR="00CD346D" w:rsidRPr="00425731" w:rsidRDefault="00CD346D" w:rsidP="00644125">
            <w:pPr>
              <w:rPr>
                <w:color w:val="000000"/>
                <w:sz w:val="26"/>
                <w:szCs w:val="20"/>
              </w:rPr>
            </w:pPr>
            <w:r w:rsidRPr="00425731">
              <w:rPr>
                <w:color w:val="000000"/>
                <w:sz w:val="26"/>
                <w:szCs w:val="20"/>
              </w:rPr>
              <w:t xml:space="preserve">FERC-549C </w:t>
            </w:r>
          </w:p>
        </w:tc>
        <w:tc>
          <w:tcPr>
            <w:tcW w:w="1770" w:type="dxa"/>
            <w:vAlign w:val="bottom"/>
          </w:tcPr>
          <w:p w14:paraId="2156DB20" w14:textId="77777777" w:rsidR="00CD346D" w:rsidRPr="00425731" w:rsidRDefault="00CD346D" w:rsidP="00644125">
            <w:pPr>
              <w:jc w:val="right"/>
              <w:rPr>
                <w:color w:val="000000"/>
                <w:sz w:val="26"/>
                <w:szCs w:val="20"/>
              </w:rPr>
            </w:pPr>
            <w:r w:rsidRPr="00425731">
              <w:rPr>
                <w:color w:val="000000"/>
                <w:sz w:val="26"/>
                <w:szCs w:val="20"/>
              </w:rPr>
              <w:t>161</w:t>
            </w:r>
          </w:p>
        </w:tc>
        <w:tc>
          <w:tcPr>
            <w:tcW w:w="1920" w:type="dxa"/>
            <w:vAlign w:val="bottom"/>
          </w:tcPr>
          <w:p w14:paraId="1C210E41" w14:textId="77777777" w:rsidR="00CD346D" w:rsidRPr="00425731" w:rsidRDefault="00CD346D" w:rsidP="00644125">
            <w:pPr>
              <w:jc w:val="right"/>
              <w:rPr>
                <w:color w:val="000000"/>
                <w:sz w:val="26"/>
                <w:szCs w:val="20"/>
              </w:rPr>
            </w:pPr>
            <w:r w:rsidRPr="00425731">
              <w:rPr>
                <w:color w:val="000000"/>
                <w:sz w:val="26"/>
                <w:szCs w:val="20"/>
              </w:rPr>
              <w:t>14,490</w:t>
            </w:r>
          </w:p>
        </w:tc>
        <w:tc>
          <w:tcPr>
            <w:tcW w:w="1920" w:type="dxa"/>
          </w:tcPr>
          <w:p w14:paraId="3B2C8CDC" w14:textId="77777777" w:rsidR="00CD346D" w:rsidRPr="00425731" w:rsidDel="004A7160" w:rsidRDefault="00CD346D" w:rsidP="00644125">
            <w:pPr>
              <w:jc w:val="right"/>
              <w:rPr>
                <w:color w:val="000000"/>
                <w:sz w:val="26"/>
                <w:szCs w:val="20"/>
              </w:rPr>
            </w:pPr>
            <w:r w:rsidRPr="00425731">
              <w:rPr>
                <w:color w:val="000000"/>
                <w:sz w:val="26"/>
                <w:szCs w:val="20"/>
              </w:rPr>
              <w:t>0</w:t>
            </w:r>
          </w:p>
        </w:tc>
      </w:tr>
    </w:tbl>
    <w:p w14:paraId="4CD26A43" w14:textId="77777777" w:rsidR="00CD346D" w:rsidRPr="00425731" w:rsidRDefault="00CD346D" w:rsidP="00950A39">
      <w:pPr>
        <w:widowControl/>
        <w:tabs>
          <w:tab w:val="left" w:pos="360"/>
        </w:tabs>
        <w:ind w:left="360" w:hanging="360"/>
        <w:rPr>
          <w:b/>
          <w:sz w:val="26"/>
          <w:szCs w:val="26"/>
        </w:rPr>
      </w:pPr>
    </w:p>
    <w:p w14:paraId="1FCB4D33" w14:textId="77777777" w:rsidR="00CD346D" w:rsidRPr="00425731" w:rsidRDefault="00CD346D" w:rsidP="00D63AF6">
      <w:pPr>
        <w:widowControl/>
        <w:tabs>
          <w:tab w:val="left" w:pos="720"/>
        </w:tabs>
        <w:ind w:left="720"/>
        <w:rPr>
          <w:sz w:val="26"/>
          <w:szCs w:val="26"/>
        </w:rPr>
      </w:pPr>
    </w:p>
    <w:p w14:paraId="01461D54" w14:textId="4C83FD8B" w:rsidR="00AA0337" w:rsidRDefault="0054248A" w:rsidP="00D63AF6">
      <w:pPr>
        <w:widowControl/>
        <w:tabs>
          <w:tab w:val="left" w:pos="720"/>
        </w:tabs>
        <w:ind w:left="720"/>
        <w:rPr>
          <w:sz w:val="26"/>
          <w:szCs w:val="26"/>
        </w:rPr>
      </w:pPr>
      <w:r w:rsidRPr="00425731">
        <w:rPr>
          <w:sz w:val="26"/>
          <w:szCs w:val="26"/>
        </w:rPr>
        <w:t>The burden for FERC-545 increased from 2,305 to 2,478 respon</w:t>
      </w:r>
      <w:r w:rsidR="00A07CEB" w:rsidRPr="00425731">
        <w:rPr>
          <w:sz w:val="26"/>
          <w:szCs w:val="26"/>
        </w:rPr>
        <w:t>ses</w:t>
      </w:r>
      <w:r w:rsidRPr="00425731">
        <w:rPr>
          <w:sz w:val="26"/>
          <w:szCs w:val="26"/>
        </w:rPr>
        <w:t xml:space="preserve"> and from 281,720 to </w:t>
      </w:r>
      <w:bookmarkStart w:id="0" w:name="_GoBack"/>
      <w:bookmarkEnd w:id="0"/>
      <w:r w:rsidR="000C7409">
        <w:rPr>
          <w:sz w:val="26"/>
          <w:szCs w:val="26"/>
        </w:rPr>
        <w:t>282,296.66</w:t>
      </w:r>
      <w:r w:rsidRPr="00425731">
        <w:rPr>
          <w:sz w:val="26"/>
          <w:szCs w:val="26"/>
        </w:rPr>
        <w:t xml:space="preserve"> burden hours. This net increase is a change due to agency discretion.  FERC-549C increased from 161 to </w:t>
      </w:r>
      <w:r w:rsidR="00A07CEB" w:rsidRPr="00425731">
        <w:rPr>
          <w:sz w:val="26"/>
          <w:szCs w:val="26"/>
        </w:rPr>
        <w:t>491</w:t>
      </w:r>
      <w:r w:rsidRPr="00425731">
        <w:rPr>
          <w:sz w:val="26"/>
          <w:szCs w:val="26"/>
        </w:rPr>
        <w:t xml:space="preserve"> respon</w:t>
      </w:r>
      <w:r w:rsidR="00A07CEB" w:rsidRPr="00425731">
        <w:rPr>
          <w:sz w:val="26"/>
          <w:szCs w:val="26"/>
        </w:rPr>
        <w:t>ses</w:t>
      </w:r>
      <w:r w:rsidRPr="00425731">
        <w:rPr>
          <w:sz w:val="26"/>
          <w:szCs w:val="26"/>
        </w:rPr>
        <w:t xml:space="preserve"> and from 14,490 to 57,803 burden hours. This net increase is a change due to agency discretion. </w:t>
      </w:r>
    </w:p>
    <w:p w14:paraId="7EA756EC" w14:textId="77777777" w:rsidR="009D6A25" w:rsidRDefault="009D6A25">
      <w:pPr>
        <w:rPr>
          <w:sz w:val="26"/>
          <w:szCs w:val="26"/>
        </w:rPr>
      </w:pPr>
    </w:p>
    <w:p w14:paraId="3AF44119" w14:textId="363ADA08" w:rsidR="00CB41CE" w:rsidRDefault="00CB41CE" w:rsidP="00CB41CE">
      <w:pPr>
        <w:widowControl/>
        <w:rPr>
          <w:b/>
          <w:sz w:val="26"/>
          <w:szCs w:val="26"/>
        </w:rPr>
      </w:pPr>
      <w:r>
        <w:rPr>
          <w:b/>
          <w:sz w:val="26"/>
          <w:szCs w:val="26"/>
        </w:rPr>
        <w:t>The Final Rule in RM14-2 and this supporting statement.</w:t>
      </w:r>
    </w:p>
    <w:p w14:paraId="47722EBA" w14:textId="77777777" w:rsidR="00CB41CE" w:rsidRDefault="00CB41CE" w:rsidP="00CB41CE">
      <w:pPr>
        <w:widowControl/>
        <w:rPr>
          <w:b/>
          <w:sz w:val="26"/>
          <w:szCs w:val="26"/>
        </w:rPr>
      </w:pPr>
    </w:p>
    <w:p w14:paraId="02777CD3" w14:textId="27C55AC6" w:rsidR="00CB41CE" w:rsidRDefault="00CB41CE" w:rsidP="00CB41CE">
      <w:pPr>
        <w:widowControl/>
        <w:ind w:left="720"/>
        <w:rPr>
          <w:sz w:val="26"/>
          <w:szCs w:val="26"/>
        </w:rPr>
      </w:pPr>
      <w:r>
        <w:rPr>
          <w:b/>
          <w:sz w:val="26"/>
          <w:szCs w:val="26"/>
        </w:rPr>
        <w:t>FERC-545</w:t>
      </w:r>
      <w:r w:rsidRPr="00950A39">
        <w:rPr>
          <w:sz w:val="26"/>
          <w:szCs w:val="26"/>
        </w:rPr>
        <w:t>.  The</w:t>
      </w:r>
      <w:r>
        <w:rPr>
          <w:b/>
          <w:sz w:val="26"/>
          <w:szCs w:val="26"/>
        </w:rPr>
        <w:t xml:space="preserve"> </w:t>
      </w:r>
      <w:r>
        <w:rPr>
          <w:sz w:val="26"/>
          <w:szCs w:val="26"/>
        </w:rPr>
        <w:t>Final Rule in RM14-2 requires interstate gas pipelines to make a one-time tariff filing to reflect the changes, such as additional intraday nomination cycle.  [This triggers the additional 173 (165+8) one-time filings and corresponding 1,730 (1,650+80) additional burden hours, burden detailed in #12, above.]</w:t>
      </w:r>
    </w:p>
    <w:p w14:paraId="3CFC69AB" w14:textId="77777777" w:rsidR="00CB41CE" w:rsidRDefault="00CB41CE" w:rsidP="00CB41CE">
      <w:pPr>
        <w:widowControl/>
        <w:ind w:left="720"/>
        <w:rPr>
          <w:sz w:val="26"/>
          <w:szCs w:val="26"/>
        </w:rPr>
      </w:pPr>
    </w:p>
    <w:p w14:paraId="3A6E95BF" w14:textId="77777777" w:rsidR="00CB41CE" w:rsidRPr="00BE70AC" w:rsidRDefault="00CB41CE" w:rsidP="00CB41CE">
      <w:pPr>
        <w:widowControl/>
        <w:ind w:left="720"/>
        <w:rPr>
          <w:sz w:val="26"/>
          <w:szCs w:val="26"/>
        </w:rPr>
      </w:pPr>
      <w:r w:rsidRPr="00644125">
        <w:rPr>
          <w:b/>
          <w:sz w:val="26"/>
          <w:szCs w:val="26"/>
        </w:rPr>
        <w:t xml:space="preserve">FERC-549C.  </w:t>
      </w:r>
      <w:r>
        <w:rPr>
          <w:sz w:val="26"/>
          <w:szCs w:val="26"/>
        </w:rPr>
        <w:t>In the</w:t>
      </w:r>
      <w:r w:rsidRPr="00BE70AC">
        <w:rPr>
          <w:sz w:val="26"/>
          <w:szCs w:val="26"/>
        </w:rPr>
        <w:t xml:space="preserve"> Final Rule</w:t>
      </w:r>
      <w:r>
        <w:rPr>
          <w:sz w:val="26"/>
          <w:szCs w:val="26"/>
        </w:rPr>
        <w:t xml:space="preserve"> in RM14-2</w:t>
      </w:r>
      <w:r w:rsidRPr="00BE70AC">
        <w:rPr>
          <w:sz w:val="26"/>
          <w:szCs w:val="26"/>
        </w:rPr>
        <w:t>, the Commission is  incorporating by reference NAESB standards that:</w:t>
      </w:r>
    </w:p>
    <w:p w14:paraId="513291C4" w14:textId="77777777" w:rsidR="00CB41CE" w:rsidRPr="00BE70AC" w:rsidRDefault="00CB41CE" w:rsidP="00CB41CE">
      <w:pPr>
        <w:numPr>
          <w:ilvl w:val="0"/>
          <w:numId w:val="31"/>
        </w:numPr>
        <w:ind w:left="1440"/>
        <w:contextualSpacing/>
        <w:rPr>
          <w:sz w:val="26"/>
          <w:szCs w:val="26"/>
        </w:rPr>
      </w:pPr>
      <w:r w:rsidRPr="00BE70AC">
        <w:rPr>
          <w:sz w:val="26"/>
          <w:szCs w:val="26"/>
        </w:rPr>
        <w:t>Move the start of the first day-ahead gas nomination opportunity (Timely Nomination Cycle) from 11:30 a.m. to 1:00 p.m. CCT;</w:t>
      </w:r>
    </w:p>
    <w:p w14:paraId="1C0EF9E7" w14:textId="77777777" w:rsidR="00CB41CE" w:rsidRPr="00BE70AC" w:rsidRDefault="00CB41CE" w:rsidP="00CB41CE">
      <w:pPr>
        <w:numPr>
          <w:ilvl w:val="0"/>
          <w:numId w:val="31"/>
        </w:numPr>
        <w:ind w:left="1440"/>
        <w:contextualSpacing/>
        <w:rPr>
          <w:sz w:val="26"/>
          <w:szCs w:val="26"/>
        </w:rPr>
      </w:pPr>
      <w:r w:rsidRPr="00BE70AC">
        <w:rPr>
          <w:sz w:val="26"/>
          <w:szCs w:val="26"/>
        </w:rPr>
        <w:t>Move the start of the Intraday 2 Nomination Cycle from 5:00 p.m. to 7:00 p.m. CCT; and</w:t>
      </w:r>
    </w:p>
    <w:p w14:paraId="0595C367" w14:textId="1EE01F7E" w:rsidR="00CB41CE" w:rsidRPr="00BE70AC" w:rsidRDefault="00CB41CE" w:rsidP="00CB41CE">
      <w:pPr>
        <w:numPr>
          <w:ilvl w:val="0"/>
          <w:numId w:val="31"/>
        </w:numPr>
        <w:ind w:left="1440"/>
        <w:contextualSpacing/>
        <w:rPr>
          <w:sz w:val="26"/>
          <w:szCs w:val="26"/>
        </w:rPr>
      </w:pPr>
      <w:r w:rsidRPr="00BE70AC">
        <w:rPr>
          <w:sz w:val="26"/>
          <w:szCs w:val="26"/>
        </w:rPr>
        <w:t>Add an additional Intraday Nomination Cycle at 2:30 p.m. CCT</w:t>
      </w:r>
      <w:r w:rsidR="00BC74C3">
        <w:rPr>
          <w:sz w:val="26"/>
          <w:szCs w:val="26"/>
        </w:rPr>
        <w:t xml:space="preserve"> [which adds the additional daily requirements]</w:t>
      </w:r>
      <w:r w:rsidRPr="00BE70AC">
        <w:rPr>
          <w:sz w:val="26"/>
          <w:szCs w:val="26"/>
        </w:rPr>
        <w:t>.</w:t>
      </w:r>
    </w:p>
    <w:p w14:paraId="0F40578D" w14:textId="77777777" w:rsidR="00CB41CE" w:rsidRPr="00966C59" w:rsidRDefault="00CB41CE" w:rsidP="00425731">
      <w:pPr>
        <w:widowControl/>
        <w:ind w:left="720" w:firstLine="360"/>
        <w:rPr>
          <w:sz w:val="26"/>
          <w:szCs w:val="26"/>
        </w:rPr>
      </w:pPr>
      <w:r w:rsidRPr="00BE70AC">
        <w:rPr>
          <w:sz w:val="26"/>
          <w:szCs w:val="26"/>
        </w:rPr>
        <w:t>Additionally, the Commission is adopting section 284.12(b)(1)(iii) as proposed in the Notice of Proposed Rulemaking (NOPR or Proposed Rule)</w:t>
      </w:r>
      <w:r w:rsidRPr="00BE70AC">
        <w:rPr>
          <w:sz w:val="26"/>
          <w:szCs w:val="26"/>
          <w:vertAlign w:val="superscript"/>
        </w:rPr>
        <w:footnoteReference w:id="41"/>
      </w:r>
      <w:r w:rsidRPr="00BE70AC">
        <w:rPr>
          <w:sz w:val="26"/>
          <w:szCs w:val="26"/>
        </w:rPr>
        <w:t>, with the modification that the Commission will only require pipelines to offer such an option if requested to do so by a shipper.  This change</w:t>
      </w:r>
      <w:r>
        <w:rPr>
          <w:sz w:val="26"/>
          <w:szCs w:val="26"/>
        </w:rPr>
        <w:t xml:space="preserve"> a</w:t>
      </w:r>
      <w:r w:rsidRPr="00BE70AC">
        <w:rPr>
          <w:sz w:val="26"/>
          <w:szCs w:val="26"/>
        </w:rPr>
        <w:t xml:space="preserve">llows multiple shippers to share pipeline capacity under a single firm </w:t>
      </w:r>
      <w:r w:rsidRPr="00966C59">
        <w:rPr>
          <w:sz w:val="26"/>
          <w:szCs w:val="26"/>
        </w:rPr>
        <w:t xml:space="preserve">transportation service agreement.  </w:t>
      </w:r>
    </w:p>
    <w:p w14:paraId="326B7B77" w14:textId="1F33577F" w:rsidR="00CB41CE" w:rsidRPr="00BE70AC" w:rsidRDefault="00CB41CE" w:rsidP="00425731">
      <w:pPr>
        <w:widowControl/>
        <w:ind w:left="720" w:firstLine="360"/>
        <w:rPr>
          <w:sz w:val="26"/>
          <w:szCs w:val="26"/>
        </w:rPr>
      </w:pPr>
      <w:r w:rsidRPr="00966C59">
        <w:rPr>
          <w:sz w:val="26"/>
          <w:szCs w:val="26"/>
        </w:rPr>
        <w:t>[</w:t>
      </w:r>
      <w:r w:rsidR="006615DB">
        <w:rPr>
          <w:sz w:val="26"/>
          <w:szCs w:val="26"/>
        </w:rPr>
        <w:t>For FERC-</w:t>
      </w:r>
      <w:r w:rsidR="006615DB" w:rsidRPr="00425731">
        <w:rPr>
          <w:sz w:val="26"/>
          <w:szCs w:val="26"/>
        </w:rPr>
        <w:t>549C, t</w:t>
      </w:r>
      <w:r w:rsidRPr="00425731">
        <w:rPr>
          <w:sz w:val="26"/>
          <w:szCs w:val="26"/>
        </w:rPr>
        <w:t xml:space="preserve">his triggers the additional: (a)165 one-time responses (and related 39,600 hours) and (b) the </w:t>
      </w:r>
      <w:r w:rsidR="006615DB" w:rsidRPr="00425731">
        <w:rPr>
          <w:sz w:val="26"/>
          <w:szCs w:val="26"/>
        </w:rPr>
        <w:t xml:space="preserve">165 </w:t>
      </w:r>
      <w:r w:rsidRPr="00425731">
        <w:rPr>
          <w:sz w:val="26"/>
          <w:szCs w:val="26"/>
        </w:rPr>
        <w:t>ongoing responses (and</w:t>
      </w:r>
      <w:r w:rsidRPr="00966C59">
        <w:rPr>
          <w:sz w:val="26"/>
          <w:szCs w:val="26"/>
        </w:rPr>
        <w:t xml:space="preserve"> related 30,113 burden hours), detailed in #12, above.]</w:t>
      </w:r>
    </w:p>
    <w:p w14:paraId="5C5CD992" w14:textId="53D7CFD3" w:rsidR="00E20863" w:rsidRDefault="00E20863">
      <w:pPr>
        <w:rPr>
          <w:sz w:val="26"/>
          <w:szCs w:val="26"/>
        </w:rPr>
      </w:pPr>
    </w:p>
    <w:p w14:paraId="07CCB8BD" w14:textId="77777777" w:rsidR="00E20863" w:rsidRPr="00425731" w:rsidRDefault="00E20863">
      <w:pPr>
        <w:rPr>
          <w:b/>
          <w:sz w:val="26"/>
          <w:szCs w:val="26"/>
        </w:rPr>
      </w:pPr>
    </w:p>
    <w:p w14:paraId="74BEA78C" w14:textId="32043046" w:rsidR="009D6A25" w:rsidRPr="009D6A25" w:rsidRDefault="009D6A25" w:rsidP="00955689">
      <w:pPr>
        <w:ind w:firstLine="360"/>
        <w:rPr>
          <w:b/>
          <w:sz w:val="26"/>
          <w:szCs w:val="26"/>
        </w:rPr>
      </w:pPr>
      <w:r w:rsidRPr="00425731">
        <w:rPr>
          <w:b/>
          <w:bCs/>
          <w:sz w:val="26"/>
          <w:szCs w:val="26"/>
        </w:rPr>
        <w:t>Summary table</w:t>
      </w:r>
      <w:r w:rsidRPr="009D6A25">
        <w:rPr>
          <w:bCs/>
          <w:sz w:val="26"/>
          <w:szCs w:val="26"/>
        </w:rPr>
        <w:t xml:space="preserve"> of changes to burden hours, with current approved inventory, as listed in ROCIS and reginfo.gov</w:t>
      </w:r>
      <w:r w:rsidR="00807E75">
        <w:rPr>
          <w:bCs/>
          <w:sz w:val="26"/>
          <w:szCs w:val="26"/>
        </w:rPr>
        <w:t xml:space="preserve"> are </w:t>
      </w:r>
      <w:r w:rsidRPr="009D6A25">
        <w:rPr>
          <w:bCs/>
          <w:sz w:val="26"/>
          <w:szCs w:val="26"/>
        </w:rPr>
        <w:t>:</w:t>
      </w:r>
    </w:p>
    <w:p w14:paraId="461BADD1" w14:textId="77777777" w:rsidR="009D6A25" w:rsidRPr="009D6A25" w:rsidRDefault="009D6A25" w:rsidP="009D6A25">
      <w:pPr>
        <w:rPr>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B6AAE" w:rsidRPr="00254D55" w14:paraId="4C04933D" w14:textId="77777777" w:rsidTr="00C75C08">
        <w:trPr>
          <w:trHeight w:val="870"/>
        </w:trPr>
        <w:tc>
          <w:tcPr>
            <w:tcW w:w="2679" w:type="dxa"/>
            <w:tcBorders>
              <w:bottom w:val="single" w:sz="4" w:space="0" w:color="auto"/>
            </w:tcBorders>
            <w:shd w:val="clear" w:color="auto" w:fill="D9D9D9"/>
            <w:vAlign w:val="bottom"/>
          </w:tcPr>
          <w:p w14:paraId="2BCFD2A6" w14:textId="21FF6ECE" w:rsidR="000B6AAE" w:rsidRPr="00254D55" w:rsidRDefault="000B6AAE" w:rsidP="005A36C7">
            <w:pPr>
              <w:widowControl/>
              <w:autoSpaceDE/>
              <w:autoSpaceDN/>
              <w:adjustRightInd/>
              <w:jc w:val="center"/>
              <w:rPr>
                <w:rFonts w:eastAsia="Calibri"/>
                <w:b/>
                <w:sz w:val="26"/>
                <w:szCs w:val="26"/>
              </w:rPr>
            </w:pPr>
          </w:p>
        </w:tc>
        <w:tc>
          <w:tcPr>
            <w:tcW w:w="1461" w:type="dxa"/>
            <w:tcBorders>
              <w:bottom w:val="single" w:sz="4" w:space="0" w:color="auto"/>
            </w:tcBorders>
            <w:shd w:val="clear" w:color="auto" w:fill="D9D9D9"/>
            <w:vAlign w:val="bottom"/>
          </w:tcPr>
          <w:p w14:paraId="5ED0F5FB" w14:textId="77777777" w:rsidR="000B6AAE" w:rsidRPr="00254D55" w:rsidRDefault="000B6AAE" w:rsidP="005A36C7">
            <w:pPr>
              <w:widowControl/>
              <w:autoSpaceDE/>
              <w:autoSpaceDN/>
              <w:adjustRightInd/>
              <w:jc w:val="center"/>
              <w:rPr>
                <w:rFonts w:eastAsia="Calibri"/>
                <w:b/>
                <w:sz w:val="26"/>
                <w:szCs w:val="26"/>
              </w:rPr>
            </w:pPr>
            <w:r w:rsidRPr="00254D55">
              <w:rPr>
                <w:rFonts w:eastAsia="Calibri"/>
                <w:b/>
                <w:sz w:val="26"/>
                <w:szCs w:val="26"/>
              </w:rPr>
              <w:t>Total Request</w:t>
            </w:r>
          </w:p>
        </w:tc>
        <w:tc>
          <w:tcPr>
            <w:tcW w:w="1620" w:type="dxa"/>
            <w:tcBorders>
              <w:bottom w:val="single" w:sz="4" w:space="0" w:color="auto"/>
            </w:tcBorders>
            <w:shd w:val="clear" w:color="auto" w:fill="D9D9D9"/>
            <w:vAlign w:val="bottom"/>
          </w:tcPr>
          <w:p w14:paraId="1179898F" w14:textId="77777777" w:rsidR="000B6AAE" w:rsidRPr="00254D55" w:rsidRDefault="000B6AAE" w:rsidP="005A36C7">
            <w:pPr>
              <w:widowControl/>
              <w:autoSpaceDE/>
              <w:autoSpaceDN/>
              <w:adjustRightInd/>
              <w:jc w:val="center"/>
              <w:rPr>
                <w:rFonts w:eastAsia="Calibri"/>
                <w:b/>
                <w:sz w:val="26"/>
                <w:szCs w:val="26"/>
              </w:rPr>
            </w:pPr>
            <w:r w:rsidRPr="00254D55">
              <w:rPr>
                <w:rFonts w:eastAsia="Calibri"/>
                <w:b/>
                <w:sz w:val="26"/>
                <w:szCs w:val="26"/>
              </w:rPr>
              <w:t>Previously Approved</w:t>
            </w:r>
          </w:p>
        </w:tc>
        <w:tc>
          <w:tcPr>
            <w:tcW w:w="1800" w:type="dxa"/>
            <w:tcBorders>
              <w:bottom w:val="single" w:sz="4" w:space="0" w:color="auto"/>
            </w:tcBorders>
            <w:shd w:val="clear" w:color="auto" w:fill="D9D9D9"/>
            <w:vAlign w:val="bottom"/>
          </w:tcPr>
          <w:p w14:paraId="7E9EF196" w14:textId="77777777" w:rsidR="000B6AAE" w:rsidRPr="00254D55" w:rsidRDefault="000B6AAE" w:rsidP="005A36C7">
            <w:pPr>
              <w:widowControl/>
              <w:autoSpaceDE/>
              <w:autoSpaceDN/>
              <w:adjustRightInd/>
              <w:jc w:val="center"/>
              <w:rPr>
                <w:rFonts w:eastAsia="Calibri"/>
                <w:b/>
                <w:sz w:val="26"/>
                <w:szCs w:val="26"/>
              </w:rPr>
            </w:pPr>
            <w:r w:rsidRPr="00254D55">
              <w:rPr>
                <w:rFonts w:eastAsia="Calibri"/>
                <w:b/>
                <w:sz w:val="26"/>
                <w:szCs w:val="26"/>
              </w:rPr>
              <w:t>Change due to Adjustment in Estimate</w:t>
            </w:r>
          </w:p>
        </w:tc>
        <w:tc>
          <w:tcPr>
            <w:tcW w:w="1800" w:type="dxa"/>
            <w:tcBorders>
              <w:bottom w:val="single" w:sz="4" w:space="0" w:color="auto"/>
            </w:tcBorders>
            <w:shd w:val="clear" w:color="auto" w:fill="D9D9D9"/>
            <w:vAlign w:val="bottom"/>
          </w:tcPr>
          <w:p w14:paraId="32A70200" w14:textId="77777777" w:rsidR="000B6AAE" w:rsidRPr="00254D55" w:rsidRDefault="000B6AAE" w:rsidP="005A36C7">
            <w:pPr>
              <w:widowControl/>
              <w:autoSpaceDE/>
              <w:autoSpaceDN/>
              <w:adjustRightInd/>
              <w:jc w:val="center"/>
              <w:rPr>
                <w:rFonts w:eastAsia="Calibri"/>
                <w:b/>
                <w:sz w:val="26"/>
                <w:szCs w:val="26"/>
              </w:rPr>
            </w:pPr>
            <w:r w:rsidRPr="00254D55">
              <w:rPr>
                <w:rFonts w:eastAsia="Calibri"/>
                <w:b/>
                <w:sz w:val="26"/>
                <w:szCs w:val="26"/>
              </w:rPr>
              <w:t>Change Due to Agency Discretion</w:t>
            </w:r>
          </w:p>
        </w:tc>
      </w:tr>
      <w:tr w:rsidR="00A50333" w:rsidRPr="00254D55" w14:paraId="18F9D714" w14:textId="77777777" w:rsidTr="00027B22">
        <w:trPr>
          <w:trHeight w:val="431"/>
        </w:trPr>
        <w:tc>
          <w:tcPr>
            <w:tcW w:w="9360" w:type="dxa"/>
            <w:gridSpan w:val="5"/>
            <w:shd w:val="clear" w:color="auto" w:fill="C6D9F1" w:themeFill="text2" w:themeFillTint="33"/>
            <w:vAlign w:val="bottom"/>
          </w:tcPr>
          <w:p w14:paraId="298CC8A3" w14:textId="000FB8C8" w:rsidR="00A50333" w:rsidRPr="00C75C08" w:rsidRDefault="00A50333" w:rsidP="00027B22">
            <w:pPr>
              <w:widowControl/>
              <w:autoSpaceDE/>
              <w:autoSpaceDN/>
              <w:adjustRightInd/>
              <w:jc w:val="center"/>
              <w:rPr>
                <w:b/>
                <w:bCs/>
                <w:sz w:val="26"/>
                <w:szCs w:val="26"/>
              </w:rPr>
            </w:pPr>
            <w:r>
              <w:rPr>
                <w:b/>
                <w:bCs/>
                <w:sz w:val="26"/>
                <w:szCs w:val="26"/>
              </w:rPr>
              <w:t>FERC-545</w:t>
            </w:r>
          </w:p>
        </w:tc>
      </w:tr>
      <w:tr w:rsidR="000B6AAE" w:rsidRPr="00254D55" w14:paraId="1A712702" w14:textId="77777777" w:rsidTr="00027B22">
        <w:trPr>
          <w:trHeight w:val="591"/>
        </w:trPr>
        <w:tc>
          <w:tcPr>
            <w:tcW w:w="2679" w:type="dxa"/>
            <w:shd w:val="clear" w:color="auto" w:fill="auto"/>
          </w:tcPr>
          <w:p w14:paraId="669171CF" w14:textId="1931DE23" w:rsidR="000B6AAE" w:rsidRPr="00254D55" w:rsidRDefault="000B6AAE" w:rsidP="0046219B">
            <w:pPr>
              <w:widowControl/>
              <w:autoSpaceDE/>
              <w:autoSpaceDN/>
              <w:adjustRightInd/>
              <w:jc w:val="center"/>
              <w:rPr>
                <w:rFonts w:eastAsia="Calibri"/>
                <w:sz w:val="26"/>
                <w:szCs w:val="26"/>
              </w:rPr>
            </w:pPr>
            <w:r w:rsidRPr="00254D55">
              <w:rPr>
                <w:rFonts w:eastAsia="Calibri"/>
                <w:sz w:val="26"/>
                <w:szCs w:val="26"/>
              </w:rPr>
              <w:t>Annual Number of Responses</w:t>
            </w:r>
          </w:p>
        </w:tc>
        <w:tc>
          <w:tcPr>
            <w:tcW w:w="1461" w:type="dxa"/>
            <w:shd w:val="clear" w:color="auto" w:fill="auto"/>
            <w:vAlign w:val="bottom"/>
          </w:tcPr>
          <w:p w14:paraId="74C80C8E" w14:textId="7C999A5B" w:rsidR="000B6AAE" w:rsidRPr="00254D55" w:rsidRDefault="00BE7376" w:rsidP="00BB6A47">
            <w:pPr>
              <w:widowControl/>
              <w:autoSpaceDE/>
              <w:autoSpaceDN/>
              <w:adjustRightInd/>
              <w:jc w:val="right"/>
              <w:rPr>
                <w:rFonts w:eastAsia="Calibri"/>
                <w:sz w:val="26"/>
                <w:szCs w:val="26"/>
              </w:rPr>
            </w:pPr>
            <w:r w:rsidRPr="00BE7376">
              <w:rPr>
                <w:rFonts w:eastAsia="Calibri"/>
                <w:sz w:val="26"/>
                <w:szCs w:val="26"/>
              </w:rPr>
              <w:t>2,</w:t>
            </w:r>
            <w:r w:rsidR="00BB6A47">
              <w:rPr>
                <w:rFonts w:eastAsia="Calibri"/>
                <w:sz w:val="26"/>
                <w:szCs w:val="26"/>
              </w:rPr>
              <w:t>478</w:t>
            </w:r>
          </w:p>
        </w:tc>
        <w:tc>
          <w:tcPr>
            <w:tcW w:w="1620" w:type="dxa"/>
            <w:shd w:val="clear" w:color="auto" w:fill="auto"/>
            <w:vAlign w:val="bottom"/>
          </w:tcPr>
          <w:p w14:paraId="3996952E" w14:textId="2BC38FDE" w:rsidR="000B6AAE" w:rsidRPr="00254D55" w:rsidRDefault="00750015" w:rsidP="00027B22">
            <w:pPr>
              <w:widowControl/>
              <w:autoSpaceDE/>
              <w:autoSpaceDN/>
              <w:adjustRightInd/>
              <w:jc w:val="right"/>
              <w:rPr>
                <w:rFonts w:eastAsia="Calibri"/>
                <w:sz w:val="26"/>
                <w:szCs w:val="26"/>
              </w:rPr>
            </w:pPr>
            <w:r>
              <w:rPr>
                <w:rFonts w:eastAsia="Calibri"/>
                <w:sz w:val="26"/>
                <w:szCs w:val="26"/>
              </w:rPr>
              <w:t>2,305</w:t>
            </w:r>
          </w:p>
        </w:tc>
        <w:tc>
          <w:tcPr>
            <w:tcW w:w="1800" w:type="dxa"/>
            <w:shd w:val="clear" w:color="auto" w:fill="auto"/>
            <w:vAlign w:val="bottom"/>
          </w:tcPr>
          <w:p w14:paraId="60E5C746" w14:textId="28502491" w:rsidR="000B6AAE" w:rsidRPr="00254D55" w:rsidRDefault="00BE7376" w:rsidP="00027B22">
            <w:pPr>
              <w:widowControl/>
              <w:autoSpaceDE/>
              <w:autoSpaceDN/>
              <w:adjustRightInd/>
              <w:jc w:val="right"/>
              <w:rPr>
                <w:rFonts w:eastAsia="Calibri"/>
                <w:sz w:val="26"/>
                <w:szCs w:val="26"/>
              </w:rPr>
            </w:pPr>
            <w:r>
              <w:rPr>
                <w:rFonts w:eastAsia="Calibri"/>
                <w:sz w:val="26"/>
                <w:szCs w:val="26"/>
              </w:rPr>
              <w:t>0</w:t>
            </w:r>
          </w:p>
        </w:tc>
        <w:tc>
          <w:tcPr>
            <w:tcW w:w="1800" w:type="dxa"/>
            <w:shd w:val="clear" w:color="auto" w:fill="auto"/>
            <w:vAlign w:val="bottom"/>
          </w:tcPr>
          <w:p w14:paraId="6A1A9FCB" w14:textId="08730667" w:rsidR="000B6AAE" w:rsidRPr="00254D55" w:rsidRDefault="00C75C08" w:rsidP="00BB6A47">
            <w:pPr>
              <w:widowControl/>
              <w:autoSpaceDE/>
              <w:autoSpaceDN/>
              <w:adjustRightInd/>
              <w:jc w:val="right"/>
              <w:rPr>
                <w:rFonts w:eastAsia="Calibri"/>
                <w:sz w:val="26"/>
                <w:szCs w:val="26"/>
              </w:rPr>
            </w:pPr>
            <w:r>
              <w:rPr>
                <w:rFonts w:eastAsia="Calibri"/>
                <w:sz w:val="26"/>
                <w:szCs w:val="26"/>
              </w:rPr>
              <w:t>+</w:t>
            </w:r>
            <w:r w:rsidR="00BB6A47">
              <w:rPr>
                <w:rFonts w:eastAsia="Calibri"/>
                <w:sz w:val="26"/>
                <w:szCs w:val="26"/>
              </w:rPr>
              <w:t>173</w:t>
            </w:r>
          </w:p>
        </w:tc>
      </w:tr>
      <w:tr w:rsidR="000B6AAE" w:rsidRPr="00254D55" w14:paraId="071E7A0A" w14:textId="77777777" w:rsidTr="00027B22">
        <w:trPr>
          <w:trHeight w:val="575"/>
        </w:trPr>
        <w:tc>
          <w:tcPr>
            <w:tcW w:w="2679" w:type="dxa"/>
            <w:shd w:val="clear" w:color="auto" w:fill="auto"/>
          </w:tcPr>
          <w:p w14:paraId="01F23FA9" w14:textId="29239DBD" w:rsidR="000B6AAE" w:rsidRPr="00254D55" w:rsidRDefault="000B6AAE" w:rsidP="0046219B">
            <w:pPr>
              <w:widowControl/>
              <w:autoSpaceDE/>
              <w:autoSpaceDN/>
              <w:adjustRightInd/>
              <w:jc w:val="center"/>
              <w:rPr>
                <w:rFonts w:eastAsia="Calibri"/>
                <w:sz w:val="26"/>
                <w:szCs w:val="26"/>
              </w:rPr>
            </w:pPr>
            <w:r w:rsidRPr="00254D55">
              <w:rPr>
                <w:rFonts w:eastAsia="Calibri"/>
                <w:sz w:val="26"/>
                <w:szCs w:val="26"/>
              </w:rPr>
              <w:lastRenderedPageBreak/>
              <w:t>Annual Time Burden (Hr.)</w:t>
            </w:r>
          </w:p>
        </w:tc>
        <w:tc>
          <w:tcPr>
            <w:tcW w:w="1461" w:type="dxa"/>
            <w:shd w:val="clear" w:color="auto" w:fill="auto"/>
            <w:vAlign w:val="bottom"/>
          </w:tcPr>
          <w:p w14:paraId="4580F842" w14:textId="7EA2A3FF" w:rsidR="000B6AAE" w:rsidRPr="00254D55" w:rsidRDefault="00691D53" w:rsidP="00027B22">
            <w:pPr>
              <w:widowControl/>
              <w:autoSpaceDE/>
              <w:autoSpaceDN/>
              <w:adjustRightInd/>
              <w:jc w:val="right"/>
              <w:rPr>
                <w:rFonts w:eastAsia="Calibri"/>
                <w:sz w:val="26"/>
                <w:szCs w:val="26"/>
              </w:rPr>
            </w:pPr>
            <w:r>
              <w:rPr>
                <w:rFonts w:eastAsia="Calibri"/>
                <w:sz w:val="26"/>
                <w:szCs w:val="26"/>
              </w:rPr>
              <w:t>282,297 [rounded]</w:t>
            </w:r>
          </w:p>
        </w:tc>
        <w:tc>
          <w:tcPr>
            <w:tcW w:w="1620" w:type="dxa"/>
            <w:shd w:val="clear" w:color="auto" w:fill="auto"/>
            <w:vAlign w:val="bottom"/>
          </w:tcPr>
          <w:p w14:paraId="7FC0C8DA" w14:textId="28A45934" w:rsidR="000B6AAE" w:rsidRPr="00254D55" w:rsidRDefault="00750015" w:rsidP="00027B22">
            <w:pPr>
              <w:widowControl/>
              <w:autoSpaceDE/>
              <w:autoSpaceDN/>
              <w:adjustRightInd/>
              <w:jc w:val="right"/>
              <w:rPr>
                <w:rFonts w:eastAsia="Calibri"/>
                <w:sz w:val="26"/>
                <w:szCs w:val="26"/>
              </w:rPr>
            </w:pPr>
            <w:r>
              <w:rPr>
                <w:rFonts w:eastAsia="Calibri"/>
                <w:sz w:val="26"/>
                <w:szCs w:val="26"/>
              </w:rPr>
              <w:t>281,720</w:t>
            </w:r>
          </w:p>
        </w:tc>
        <w:tc>
          <w:tcPr>
            <w:tcW w:w="1800" w:type="dxa"/>
            <w:shd w:val="clear" w:color="auto" w:fill="auto"/>
            <w:vAlign w:val="bottom"/>
          </w:tcPr>
          <w:p w14:paraId="21E651FA" w14:textId="259798EF" w:rsidR="000B6AAE" w:rsidRPr="00254D55" w:rsidRDefault="00BE7376" w:rsidP="00027B22">
            <w:pPr>
              <w:widowControl/>
              <w:autoSpaceDE/>
              <w:autoSpaceDN/>
              <w:adjustRightInd/>
              <w:jc w:val="right"/>
              <w:rPr>
                <w:rFonts w:eastAsia="Calibri"/>
                <w:sz w:val="26"/>
                <w:szCs w:val="26"/>
              </w:rPr>
            </w:pPr>
            <w:r>
              <w:rPr>
                <w:rFonts w:eastAsia="Calibri"/>
                <w:sz w:val="26"/>
                <w:szCs w:val="26"/>
              </w:rPr>
              <w:t>0</w:t>
            </w:r>
          </w:p>
        </w:tc>
        <w:tc>
          <w:tcPr>
            <w:tcW w:w="1800" w:type="dxa"/>
            <w:shd w:val="clear" w:color="auto" w:fill="auto"/>
            <w:vAlign w:val="bottom"/>
          </w:tcPr>
          <w:p w14:paraId="1BE3A430" w14:textId="407A5A0F" w:rsidR="000B6AAE" w:rsidRPr="00254D55" w:rsidRDefault="00C75C08" w:rsidP="000C7409">
            <w:pPr>
              <w:widowControl/>
              <w:autoSpaceDE/>
              <w:autoSpaceDN/>
              <w:adjustRightInd/>
              <w:jc w:val="right"/>
              <w:rPr>
                <w:rFonts w:eastAsia="Calibri"/>
                <w:sz w:val="26"/>
                <w:szCs w:val="26"/>
              </w:rPr>
            </w:pPr>
            <w:r>
              <w:rPr>
                <w:rFonts w:eastAsia="Calibri"/>
                <w:sz w:val="26"/>
                <w:szCs w:val="26"/>
              </w:rPr>
              <w:t>+</w:t>
            </w:r>
            <w:r w:rsidR="000C7409">
              <w:rPr>
                <w:rFonts w:eastAsia="Calibri"/>
                <w:sz w:val="26"/>
                <w:szCs w:val="26"/>
              </w:rPr>
              <w:t>576.66</w:t>
            </w:r>
            <w:r w:rsidR="00027B22">
              <w:rPr>
                <w:rStyle w:val="FootnoteReference"/>
                <w:rFonts w:eastAsia="Calibri"/>
                <w:sz w:val="26"/>
                <w:szCs w:val="26"/>
              </w:rPr>
              <w:footnoteReference w:id="42"/>
            </w:r>
          </w:p>
        </w:tc>
      </w:tr>
      <w:tr w:rsidR="000B6AAE" w:rsidRPr="00254D55" w14:paraId="1FD4396B" w14:textId="77777777" w:rsidTr="00027B22">
        <w:trPr>
          <w:trHeight w:val="295"/>
        </w:trPr>
        <w:tc>
          <w:tcPr>
            <w:tcW w:w="2679" w:type="dxa"/>
            <w:tcBorders>
              <w:bottom w:val="single" w:sz="4" w:space="0" w:color="auto"/>
            </w:tcBorders>
            <w:shd w:val="clear" w:color="auto" w:fill="auto"/>
          </w:tcPr>
          <w:p w14:paraId="373C98BE" w14:textId="77777777" w:rsidR="000B6AAE" w:rsidRPr="00254D55" w:rsidRDefault="000B6AAE" w:rsidP="005A36C7">
            <w:pPr>
              <w:widowControl/>
              <w:autoSpaceDE/>
              <w:autoSpaceDN/>
              <w:adjustRightInd/>
              <w:jc w:val="center"/>
              <w:rPr>
                <w:rFonts w:eastAsia="Calibri"/>
                <w:sz w:val="26"/>
                <w:szCs w:val="26"/>
              </w:rPr>
            </w:pPr>
            <w:r w:rsidRPr="00254D55">
              <w:rPr>
                <w:rFonts w:eastAsia="Calibri"/>
                <w:sz w:val="26"/>
                <w:szCs w:val="26"/>
              </w:rPr>
              <w:t>Annual Cost Burden ($)</w:t>
            </w:r>
          </w:p>
        </w:tc>
        <w:tc>
          <w:tcPr>
            <w:tcW w:w="1461" w:type="dxa"/>
            <w:tcBorders>
              <w:bottom w:val="single" w:sz="4" w:space="0" w:color="auto"/>
            </w:tcBorders>
            <w:shd w:val="clear" w:color="auto" w:fill="auto"/>
            <w:vAlign w:val="bottom"/>
          </w:tcPr>
          <w:p w14:paraId="2ABC72F6" w14:textId="3D7E6DCD" w:rsidR="000B6AAE" w:rsidRPr="00254D55" w:rsidRDefault="00A55F2D" w:rsidP="00027B22">
            <w:pPr>
              <w:widowControl/>
              <w:autoSpaceDE/>
              <w:autoSpaceDN/>
              <w:adjustRightInd/>
              <w:jc w:val="right"/>
              <w:rPr>
                <w:rFonts w:eastAsia="Calibri"/>
                <w:sz w:val="26"/>
                <w:szCs w:val="26"/>
                <w:highlight w:val="yellow"/>
              </w:rPr>
            </w:pPr>
            <w:r w:rsidRPr="00A55F2D">
              <w:rPr>
                <w:rFonts w:eastAsia="Calibri"/>
                <w:sz w:val="26"/>
                <w:szCs w:val="26"/>
              </w:rPr>
              <w:t>$0</w:t>
            </w:r>
          </w:p>
        </w:tc>
        <w:tc>
          <w:tcPr>
            <w:tcW w:w="1620" w:type="dxa"/>
            <w:tcBorders>
              <w:bottom w:val="single" w:sz="4" w:space="0" w:color="auto"/>
            </w:tcBorders>
            <w:shd w:val="clear" w:color="auto" w:fill="auto"/>
            <w:vAlign w:val="bottom"/>
          </w:tcPr>
          <w:p w14:paraId="1A931B37" w14:textId="1EB18039" w:rsidR="000B6AAE" w:rsidRPr="00254D55" w:rsidRDefault="0046219B" w:rsidP="00027B22">
            <w:pPr>
              <w:widowControl/>
              <w:autoSpaceDE/>
              <w:autoSpaceDN/>
              <w:adjustRightInd/>
              <w:jc w:val="right"/>
              <w:rPr>
                <w:rFonts w:eastAsia="Calibri"/>
                <w:sz w:val="26"/>
                <w:szCs w:val="26"/>
              </w:rPr>
            </w:pPr>
            <w:r>
              <w:rPr>
                <w:rFonts w:eastAsia="Calibri"/>
                <w:sz w:val="26"/>
                <w:szCs w:val="26"/>
              </w:rPr>
              <w:t>$</w:t>
            </w:r>
            <w:r w:rsidR="00A55F2D">
              <w:rPr>
                <w:rFonts w:eastAsia="Calibri"/>
                <w:sz w:val="26"/>
                <w:szCs w:val="26"/>
              </w:rPr>
              <w:t>0</w:t>
            </w:r>
          </w:p>
        </w:tc>
        <w:tc>
          <w:tcPr>
            <w:tcW w:w="1800" w:type="dxa"/>
            <w:tcBorders>
              <w:bottom w:val="single" w:sz="4" w:space="0" w:color="auto"/>
            </w:tcBorders>
            <w:shd w:val="clear" w:color="auto" w:fill="auto"/>
            <w:vAlign w:val="bottom"/>
          </w:tcPr>
          <w:p w14:paraId="1887CA46" w14:textId="4FA16DCA" w:rsidR="000B6AAE" w:rsidRPr="00254D55" w:rsidRDefault="00A55F2D" w:rsidP="00027B22">
            <w:pPr>
              <w:widowControl/>
              <w:autoSpaceDE/>
              <w:autoSpaceDN/>
              <w:adjustRightInd/>
              <w:jc w:val="right"/>
              <w:rPr>
                <w:rFonts w:eastAsia="Calibri"/>
                <w:sz w:val="26"/>
                <w:szCs w:val="26"/>
              </w:rPr>
            </w:pPr>
            <w:r w:rsidRPr="00A55F2D">
              <w:rPr>
                <w:rFonts w:eastAsia="Calibri"/>
                <w:sz w:val="26"/>
                <w:szCs w:val="26"/>
              </w:rPr>
              <w:t>$0</w:t>
            </w:r>
          </w:p>
        </w:tc>
        <w:tc>
          <w:tcPr>
            <w:tcW w:w="1800" w:type="dxa"/>
            <w:tcBorders>
              <w:bottom w:val="single" w:sz="4" w:space="0" w:color="auto"/>
            </w:tcBorders>
            <w:shd w:val="clear" w:color="auto" w:fill="auto"/>
            <w:vAlign w:val="bottom"/>
          </w:tcPr>
          <w:p w14:paraId="2C67A93C" w14:textId="62BD1AB6" w:rsidR="000B6AAE" w:rsidRPr="00254D55" w:rsidRDefault="00A55F2D" w:rsidP="00027B22">
            <w:pPr>
              <w:widowControl/>
              <w:autoSpaceDE/>
              <w:autoSpaceDN/>
              <w:adjustRightInd/>
              <w:jc w:val="right"/>
              <w:rPr>
                <w:rFonts w:eastAsia="Calibri"/>
                <w:sz w:val="26"/>
                <w:szCs w:val="26"/>
              </w:rPr>
            </w:pPr>
            <w:r w:rsidRPr="00A55F2D">
              <w:rPr>
                <w:rFonts w:eastAsia="Calibri"/>
                <w:sz w:val="26"/>
                <w:szCs w:val="26"/>
              </w:rPr>
              <w:t>$0</w:t>
            </w:r>
          </w:p>
        </w:tc>
      </w:tr>
      <w:tr w:rsidR="00A50333" w:rsidRPr="00254D55" w14:paraId="3DD83309" w14:textId="77777777" w:rsidTr="00027B22">
        <w:trPr>
          <w:trHeight w:val="295"/>
        </w:trPr>
        <w:tc>
          <w:tcPr>
            <w:tcW w:w="9360" w:type="dxa"/>
            <w:gridSpan w:val="5"/>
            <w:tcBorders>
              <w:bottom w:val="single" w:sz="4" w:space="0" w:color="auto"/>
            </w:tcBorders>
            <w:shd w:val="clear" w:color="auto" w:fill="C6D9F1" w:themeFill="text2" w:themeFillTint="33"/>
            <w:vAlign w:val="bottom"/>
          </w:tcPr>
          <w:p w14:paraId="01C0004D" w14:textId="45559A5D" w:rsidR="00A50333" w:rsidRPr="00C75C08" w:rsidRDefault="00A50333" w:rsidP="00027B22">
            <w:pPr>
              <w:widowControl/>
              <w:autoSpaceDE/>
              <w:autoSpaceDN/>
              <w:adjustRightInd/>
              <w:jc w:val="center"/>
              <w:rPr>
                <w:rFonts w:eastAsia="Calibri"/>
                <w:b/>
                <w:sz w:val="26"/>
                <w:szCs w:val="26"/>
              </w:rPr>
            </w:pPr>
            <w:r>
              <w:rPr>
                <w:rFonts w:eastAsia="Calibri"/>
                <w:b/>
                <w:sz w:val="26"/>
                <w:szCs w:val="26"/>
              </w:rPr>
              <w:t>FERC-549C</w:t>
            </w:r>
          </w:p>
        </w:tc>
      </w:tr>
      <w:tr w:rsidR="00A50333" w:rsidRPr="00254D55" w14:paraId="1DA261B3" w14:textId="77777777" w:rsidTr="00DB4391">
        <w:trPr>
          <w:trHeight w:val="295"/>
        </w:trPr>
        <w:tc>
          <w:tcPr>
            <w:tcW w:w="2679" w:type="dxa"/>
            <w:tcBorders>
              <w:bottom w:val="single" w:sz="4" w:space="0" w:color="auto"/>
            </w:tcBorders>
            <w:shd w:val="clear" w:color="auto" w:fill="auto"/>
          </w:tcPr>
          <w:p w14:paraId="2F54B57B" w14:textId="26E538E3" w:rsidR="00A50333" w:rsidRPr="00117A4E" w:rsidRDefault="00A50333" w:rsidP="005A36C7">
            <w:pPr>
              <w:widowControl/>
              <w:autoSpaceDE/>
              <w:autoSpaceDN/>
              <w:adjustRightInd/>
              <w:jc w:val="center"/>
              <w:rPr>
                <w:rFonts w:eastAsia="Calibri"/>
                <w:sz w:val="26"/>
                <w:szCs w:val="26"/>
              </w:rPr>
            </w:pPr>
            <w:r w:rsidRPr="00117A4E">
              <w:rPr>
                <w:rFonts w:eastAsia="Calibri"/>
                <w:sz w:val="26"/>
                <w:szCs w:val="26"/>
              </w:rPr>
              <w:t>Annual Number of Responses</w:t>
            </w:r>
            <w:r w:rsidRPr="00117A4E">
              <w:rPr>
                <w:rStyle w:val="FootnoteReference"/>
                <w:rFonts w:eastAsia="Calibri"/>
                <w:sz w:val="26"/>
                <w:szCs w:val="26"/>
              </w:rPr>
              <w:footnoteReference w:id="43"/>
            </w:r>
          </w:p>
        </w:tc>
        <w:tc>
          <w:tcPr>
            <w:tcW w:w="1461" w:type="dxa"/>
            <w:tcBorders>
              <w:bottom w:val="single" w:sz="4" w:space="0" w:color="auto"/>
            </w:tcBorders>
            <w:shd w:val="clear" w:color="auto" w:fill="auto"/>
            <w:vAlign w:val="bottom"/>
          </w:tcPr>
          <w:p w14:paraId="5FC30075" w14:textId="41EBD1FC" w:rsidR="00A50333" w:rsidRPr="00425731" w:rsidRDefault="00402F1C" w:rsidP="006615DB">
            <w:pPr>
              <w:widowControl/>
              <w:autoSpaceDE/>
              <w:autoSpaceDN/>
              <w:adjustRightInd/>
              <w:jc w:val="right"/>
              <w:rPr>
                <w:rFonts w:eastAsia="Calibri"/>
                <w:sz w:val="26"/>
                <w:szCs w:val="26"/>
              </w:rPr>
            </w:pPr>
            <w:r w:rsidRPr="00425731">
              <w:rPr>
                <w:rFonts w:eastAsia="Calibri"/>
                <w:sz w:val="26"/>
                <w:szCs w:val="26"/>
              </w:rPr>
              <w:t>49</w:t>
            </w:r>
            <w:r w:rsidR="006615DB" w:rsidRPr="00425731">
              <w:rPr>
                <w:rFonts w:eastAsia="Calibri"/>
                <w:sz w:val="26"/>
                <w:szCs w:val="26"/>
              </w:rPr>
              <w:t>1</w:t>
            </w:r>
          </w:p>
        </w:tc>
        <w:tc>
          <w:tcPr>
            <w:tcW w:w="1620" w:type="dxa"/>
            <w:tcBorders>
              <w:bottom w:val="single" w:sz="4" w:space="0" w:color="auto"/>
            </w:tcBorders>
            <w:shd w:val="clear" w:color="auto" w:fill="auto"/>
            <w:vAlign w:val="bottom"/>
          </w:tcPr>
          <w:p w14:paraId="56F57200" w14:textId="4C99BF78" w:rsidR="00A50333" w:rsidRPr="00425731" w:rsidRDefault="007A12A8" w:rsidP="007A12A8">
            <w:pPr>
              <w:widowControl/>
              <w:autoSpaceDE/>
              <w:autoSpaceDN/>
              <w:adjustRightInd/>
              <w:jc w:val="right"/>
              <w:rPr>
                <w:rFonts w:eastAsia="Calibri"/>
                <w:sz w:val="26"/>
                <w:szCs w:val="26"/>
              </w:rPr>
            </w:pPr>
            <w:r w:rsidRPr="00425731">
              <w:rPr>
                <w:rFonts w:eastAsia="Calibri"/>
                <w:sz w:val="26"/>
                <w:szCs w:val="26"/>
              </w:rPr>
              <w:t>161</w:t>
            </w:r>
          </w:p>
        </w:tc>
        <w:tc>
          <w:tcPr>
            <w:tcW w:w="1800" w:type="dxa"/>
            <w:tcBorders>
              <w:bottom w:val="single" w:sz="4" w:space="0" w:color="auto"/>
            </w:tcBorders>
            <w:shd w:val="clear" w:color="auto" w:fill="auto"/>
            <w:vAlign w:val="bottom"/>
          </w:tcPr>
          <w:p w14:paraId="2123609D" w14:textId="1035E0A7" w:rsidR="00A50333" w:rsidRPr="00425731" w:rsidRDefault="00117A4E" w:rsidP="00DB4391">
            <w:pPr>
              <w:widowControl/>
              <w:autoSpaceDE/>
              <w:autoSpaceDN/>
              <w:adjustRightInd/>
              <w:jc w:val="right"/>
              <w:rPr>
                <w:rFonts w:eastAsia="Calibri"/>
                <w:sz w:val="26"/>
                <w:szCs w:val="26"/>
              </w:rPr>
            </w:pPr>
            <w:r w:rsidRPr="00425731">
              <w:rPr>
                <w:rFonts w:eastAsia="Calibri"/>
                <w:sz w:val="26"/>
                <w:szCs w:val="26"/>
              </w:rPr>
              <w:t>0</w:t>
            </w:r>
          </w:p>
        </w:tc>
        <w:tc>
          <w:tcPr>
            <w:tcW w:w="1800" w:type="dxa"/>
            <w:tcBorders>
              <w:bottom w:val="single" w:sz="4" w:space="0" w:color="auto"/>
            </w:tcBorders>
            <w:shd w:val="clear" w:color="auto" w:fill="auto"/>
            <w:vAlign w:val="bottom"/>
          </w:tcPr>
          <w:p w14:paraId="653E2F1D" w14:textId="4955143E" w:rsidR="00A50333" w:rsidRPr="00425731" w:rsidRDefault="00BE7376" w:rsidP="006615DB">
            <w:pPr>
              <w:widowControl/>
              <w:autoSpaceDE/>
              <w:autoSpaceDN/>
              <w:adjustRightInd/>
              <w:jc w:val="right"/>
              <w:rPr>
                <w:rFonts w:eastAsia="Calibri"/>
                <w:sz w:val="26"/>
                <w:szCs w:val="26"/>
              </w:rPr>
            </w:pPr>
            <w:r w:rsidRPr="00425731">
              <w:rPr>
                <w:rFonts w:eastAsia="Calibri"/>
                <w:sz w:val="26"/>
                <w:szCs w:val="26"/>
              </w:rPr>
              <w:t>+</w:t>
            </w:r>
            <w:r w:rsidR="00402F1C" w:rsidRPr="00425731">
              <w:rPr>
                <w:rFonts w:eastAsia="Calibri"/>
                <w:sz w:val="26"/>
                <w:szCs w:val="26"/>
              </w:rPr>
              <w:t>33</w:t>
            </w:r>
            <w:r w:rsidR="006615DB" w:rsidRPr="00425731">
              <w:rPr>
                <w:rFonts w:eastAsia="Calibri"/>
                <w:sz w:val="26"/>
                <w:szCs w:val="26"/>
              </w:rPr>
              <w:t>0</w:t>
            </w:r>
          </w:p>
        </w:tc>
      </w:tr>
      <w:tr w:rsidR="00A50333" w:rsidRPr="00254D55" w14:paraId="1206539E" w14:textId="77777777" w:rsidTr="00DB4391">
        <w:trPr>
          <w:trHeight w:val="295"/>
        </w:trPr>
        <w:tc>
          <w:tcPr>
            <w:tcW w:w="2679" w:type="dxa"/>
            <w:tcBorders>
              <w:bottom w:val="single" w:sz="4" w:space="0" w:color="auto"/>
            </w:tcBorders>
            <w:shd w:val="clear" w:color="auto" w:fill="auto"/>
          </w:tcPr>
          <w:p w14:paraId="6EB5DBD4" w14:textId="17C29B35" w:rsidR="00A50333" w:rsidRPr="00254D55" w:rsidRDefault="00A50333" w:rsidP="005A36C7">
            <w:pPr>
              <w:widowControl/>
              <w:autoSpaceDE/>
              <w:autoSpaceDN/>
              <w:adjustRightInd/>
              <w:jc w:val="center"/>
              <w:rPr>
                <w:rFonts w:eastAsia="Calibri"/>
                <w:sz w:val="26"/>
                <w:szCs w:val="26"/>
              </w:rPr>
            </w:pPr>
            <w:r w:rsidRPr="00254D55">
              <w:rPr>
                <w:rFonts w:eastAsia="Calibri"/>
                <w:sz w:val="26"/>
                <w:szCs w:val="26"/>
              </w:rPr>
              <w:t>Annual Time Burden (Hr.)</w:t>
            </w:r>
            <w:r w:rsidRPr="00254D55">
              <w:rPr>
                <w:rStyle w:val="FootnoteReference"/>
                <w:rFonts w:eastAsia="Calibri"/>
                <w:sz w:val="26"/>
                <w:szCs w:val="26"/>
              </w:rPr>
              <w:footnoteReference w:id="44"/>
            </w:r>
          </w:p>
        </w:tc>
        <w:tc>
          <w:tcPr>
            <w:tcW w:w="1461" w:type="dxa"/>
            <w:tcBorders>
              <w:bottom w:val="single" w:sz="4" w:space="0" w:color="auto"/>
            </w:tcBorders>
            <w:shd w:val="clear" w:color="auto" w:fill="auto"/>
            <w:vAlign w:val="bottom"/>
          </w:tcPr>
          <w:p w14:paraId="51BF5989" w14:textId="6C36371D" w:rsidR="00A50333" w:rsidRPr="001F374E" w:rsidRDefault="001902E6" w:rsidP="001902E6">
            <w:pPr>
              <w:widowControl/>
              <w:autoSpaceDE/>
              <w:autoSpaceDN/>
              <w:adjustRightInd/>
              <w:jc w:val="right"/>
              <w:rPr>
                <w:bCs/>
                <w:sz w:val="26"/>
                <w:szCs w:val="26"/>
              </w:rPr>
            </w:pPr>
            <w:r>
              <w:rPr>
                <w:sz w:val="26"/>
                <w:szCs w:val="26"/>
              </w:rPr>
              <w:t>57,803</w:t>
            </w:r>
          </w:p>
        </w:tc>
        <w:tc>
          <w:tcPr>
            <w:tcW w:w="1620" w:type="dxa"/>
            <w:tcBorders>
              <w:bottom w:val="single" w:sz="4" w:space="0" w:color="auto"/>
            </w:tcBorders>
            <w:shd w:val="clear" w:color="auto" w:fill="auto"/>
            <w:vAlign w:val="bottom"/>
          </w:tcPr>
          <w:p w14:paraId="34DAD0D6" w14:textId="6FB1523F" w:rsidR="00A50333" w:rsidRPr="00254D55" w:rsidRDefault="00BE7376" w:rsidP="00DB4391">
            <w:pPr>
              <w:widowControl/>
              <w:autoSpaceDE/>
              <w:autoSpaceDN/>
              <w:adjustRightInd/>
              <w:jc w:val="right"/>
              <w:rPr>
                <w:rFonts w:eastAsia="Calibri"/>
                <w:sz w:val="26"/>
                <w:szCs w:val="26"/>
              </w:rPr>
            </w:pPr>
            <w:r w:rsidRPr="00BE7376">
              <w:rPr>
                <w:rFonts w:eastAsia="Calibri"/>
                <w:sz w:val="26"/>
                <w:szCs w:val="26"/>
              </w:rPr>
              <w:t>14,490</w:t>
            </w:r>
          </w:p>
        </w:tc>
        <w:tc>
          <w:tcPr>
            <w:tcW w:w="1800" w:type="dxa"/>
            <w:tcBorders>
              <w:bottom w:val="single" w:sz="4" w:space="0" w:color="auto"/>
            </w:tcBorders>
            <w:shd w:val="clear" w:color="auto" w:fill="auto"/>
            <w:vAlign w:val="bottom"/>
          </w:tcPr>
          <w:p w14:paraId="498A6314" w14:textId="7DF81139" w:rsidR="00A50333" w:rsidRPr="00254D55" w:rsidRDefault="00117A4E" w:rsidP="00DB4391">
            <w:pPr>
              <w:widowControl/>
              <w:autoSpaceDE/>
              <w:autoSpaceDN/>
              <w:adjustRightInd/>
              <w:jc w:val="right"/>
              <w:rPr>
                <w:rFonts w:eastAsia="Calibri"/>
                <w:sz w:val="26"/>
                <w:szCs w:val="26"/>
              </w:rPr>
            </w:pPr>
            <w:r>
              <w:rPr>
                <w:rFonts w:eastAsia="Calibri"/>
                <w:sz w:val="26"/>
                <w:szCs w:val="26"/>
              </w:rPr>
              <w:t>0</w:t>
            </w:r>
          </w:p>
        </w:tc>
        <w:tc>
          <w:tcPr>
            <w:tcW w:w="1800" w:type="dxa"/>
            <w:tcBorders>
              <w:bottom w:val="single" w:sz="4" w:space="0" w:color="auto"/>
            </w:tcBorders>
            <w:shd w:val="clear" w:color="auto" w:fill="auto"/>
            <w:vAlign w:val="bottom"/>
          </w:tcPr>
          <w:p w14:paraId="5D07DF17" w14:textId="76ED41D4" w:rsidR="00A50333" w:rsidRPr="001F374E" w:rsidRDefault="000B1D13" w:rsidP="001902E6">
            <w:pPr>
              <w:widowControl/>
              <w:autoSpaceDE/>
              <w:autoSpaceDN/>
              <w:adjustRightInd/>
              <w:jc w:val="right"/>
              <w:rPr>
                <w:bCs/>
                <w:sz w:val="26"/>
                <w:szCs w:val="26"/>
              </w:rPr>
            </w:pPr>
            <w:r>
              <w:rPr>
                <w:bCs/>
                <w:sz w:val="26"/>
                <w:szCs w:val="26"/>
              </w:rPr>
              <w:t>+</w:t>
            </w:r>
            <w:r w:rsidR="001902E6">
              <w:rPr>
                <w:bCs/>
                <w:sz w:val="26"/>
                <w:szCs w:val="26"/>
              </w:rPr>
              <w:t>43,313</w:t>
            </w:r>
          </w:p>
        </w:tc>
      </w:tr>
      <w:tr w:rsidR="00A55F2D" w:rsidRPr="00254D55" w14:paraId="17348C4C" w14:textId="77777777" w:rsidTr="00DB4391">
        <w:trPr>
          <w:trHeight w:val="295"/>
        </w:trPr>
        <w:tc>
          <w:tcPr>
            <w:tcW w:w="2679" w:type="dxa"/>
            <w:tcBorders>
              <w:bottom w:val="single" w:sz="4" w:space="0" w:color="auto"/>
            </w:tcBorders>
            <w:shd w:val="clear" w:color="auto" w:fill="auto"/>
          </w:tcPr>
          <w:p w14:paraId="073C8A96" w14:textId="55F6F555" w:rsidR="00A55F2D" w:rsidRPr="00254D55" w:rsidRDefault="00A55F2D" w:rsidP="005A36C7">
            <w:pPr>
              <w:widowControl/>
              <w:autoSpaceDE/>
              <w:autoSpaceDN/>
              <w:adjustRightInd/>
              <w:jc w:val="center"/>
              <w:rPr>
                <w:rFonts w:eastAsia="Calibri"/>
                <w:sz w:val="26"/>
                <w:szCs w:val="26"/>
              </w:rPr>
            </w:pPr>
            <w:r w:rsidRPr="00254D55">
              <w:rPr>
                <w:rFonts w:eastAsia="Calibri"/>
                <w:sz w:val="26"/>
                <w:szCs w:val="26"/>
              </w:rPr>
              <w:t>Annual Cost Burden ($)</w:t>
            </w:r>
          </w:p>
        </w:tc>
        <w:tc>
          <w:tcPr>
            <w:tcW w:w="1461" w:type="dxa"/>
            <w:tcBorders>
              <w:bottom w:val="single" w:sz="4" w:space="0" w:color="auto"/>
            </w:tcBorders>
            <w:shd w:val="clear" w:color="auto" w:fill="auto"/>
            <w:vAlign w:val="bottom"/>
          </w:tcPr>
          <w:p w14:paraId="389D4507" w14:textId="0BD5FDFC" w:rsidR="00A55F2D" w:rsidRPr="00254D55" w:rsidRDefault="00A55F2D" w:rsidP="00DB4391">
            <w:pPr>
              <w:widowControl/>
              <w:autoSpaceDE/>
              <w:autoSpaceDN/>
              <w:adjustRightInd/>
              <w:jc w:val="right"/>
              <w:rPr>
                <w:rFonts w:eastAsia="Calibri"/>
                <w:sz w:val="26"/>
                <w:szCs w:val="26"/>
              </w:rPr>
            </w:pPr>
            <w:r w:rsidRPr="00B325A1">
              <w:t>$0</w:t>
            </w:r>
          </w:p>
        </w:tc>
        <w:tc>
          <w:tcPr>
            <w:tcW w:w="1620" w:type="dxa"/>
            <w:tcBorders>
              <w:bottom w:val="single" w:sz="4" w:space="0" w:color="auto"/>
            </w:tcBorders>
            <w:shd w:val="clear" w:color="auto" w:fill="auto"/>
            <w:vAlign w:val="bottom"/>
          </w:tcPr>
          <w:p w14:paraId="046E01A7" w14:textId="2B7D61F9" w:rsidR="00A55F2D" w:rsidRPr="00254D55" w:rsidRDefault="00A55F2D" w:rsidP="00DB4391">
            <w:pPr>
              <w:widowControl/>
              <w:autoSpaceDE/>
              <w:autoSpaceDN/>
              <w:adjustRightInd/>
              <w:jc w:val="right"/>
              <w:rPr>
                <w:rFonts w:eastAsia="Calibri"/>
                <w:sz w:val="26"/>
                <w:szCs w:val="26"/>
              </w:rPr>
            </w:pPr>
            <w:r w:rsidRPr="00B325A1">
              <w:t>$0</w:t>
            </w:r>
          </w:p>
        </w:tc>
        <w:tc>
          <w:tcPr>
            <w:tcW w:w="1800" w:type="dxa"/>
            <w:tcBorders>
              <w:bottom w:val="single" w:sz="4" w:space="0" w:color="auto"/>
            </w:tcBorders>
            <w:shd w:val="clear" w:color="auto" w:fill="auto"/>
            <w:vAlign w:val="bottom"/>
          </w:tcPr>
          <w:p w14:paraId="0B420A8F" w14:textId="0424547E" w:rsidR="00A55F2D" w:rsidRPr="00254D55" w:rsidRDefault="00A55F2D" w:rsidP="00DB4391">
            <w:pPr>
              <w:widowControl/>
              <w:autoSpaceDE/>
              <w:autoSpaceDN/>
              <w:adjustRightInd/>
              <w:jc w:val="right"/>
              <w:rPr>
                <w:rFonts w:eastAsia="Calibri"/>
                <w:sz w:val="26"/>
                <w:szCs w:val="26"/>
              </w:rPr>
            </w:pPr>
            <w:r w:rsidRPr="00B325A1">
              <w:t>$0</w:t>
            </w:r>
          </w:p>
        </w:tc>
        <w:tc>
          <w:tcPr>
            <w:tcW w:w="1800" w:type="dxa"/>
            <w:tcBorders>
              <w:bottom w:val="single" w:sz="4" w:space="0" w:color="auto"/>
            </w:tcBorders>
            <w:shd w:val="clear" w:color="auto" w:fill="auto"/>
            <w:vAlign w:val="bottom"/>
          </w:tcPr>
          <w:p w14:paraId="7F9BCDD6" w14:textId="00CA20BF" w:rsidR="00A55F2D" w:rsidRPr="00254D55" w:rsidRDefault="00A55F2D" w:rsidP="00DB4391">
            <w:pPr>
              <w:widowControl/>
              <w:autoSpaceDE/>
              <w:autoSpaceDN/>
              <w:adjustRightInd/>
              <w:jc w:val="right"/>
              <w:rPr>
                <w:rFonts w:eastAsia="Calibri"/>
                <w:sz w:val="26"/>
                <w:szCs w:val="26"/>
              </w:rPr>
            </w:pPr>
            <w:r w:rsidRPr="00B325A1">
              <w:t>$0</w:t>
            </w:r>
          </w:p>
        </w:tc>
      </w:tr>
    </w:tbl>
    <w:p w14:paraId="00944E62" w14:textId="6F539504" w:rsidR="000B6AAE" w:rsidRDefault="000B6AAE">
      <w:pPr>
        <w:rPr>
          <w:sz w:val="26"/>
          <w:szCs w:val="26"/>
        </w:rPr>
      </w:pPr>
    </w:p>
    <w:p w14:paraId="2EE7FD59" w14:textId="74889FAE" w:rsidR="00DC221C" w:rsidRDefault="00DC221C">
      <w:pPr>
        <w:rPr>
          <w:sz w:val="26"/>
          <w:szCs w:val="26"/>
        </w:rPr>
      </w:pPr>
    </w:p>
    <w:p w14:paraId="14EF11AE" w14:textId="77777777" w:rsidR="00CA3B99" w:rsidRPr="00DA6CEC" w:rsidRDefault="00CA3B99" w:rsidP="00950A39">
      <w:pPr>
        <w:widowControl/>
        <w:numPr>
          <w:ilvl w:val="0"/>
          <w:numId w:val="12"/>
        </w:numPr>
        <w:tabs>
          <w:tab w:val="clear" w:pos="1080"/>
          <w:tab w:val="num" w:pos="360"/>
        </w:tabs>
        <w:ind w:left="360"/>
        <w:rPr>
          <w:b/>
          <w:sz w:val="26"/>
          <w:szCs w:val="26"/>
        </w:rPr>
      </w:pPr>
      <w:r w:rsidRPr="00DA6CEC">
        <w:rPr>
          <w:b/>
          <w:sz w:val="26"/>
          <w:szCs w:val="26"/>
        </w:rPr>
        <w:t>TIME SCHEDULE FOR PUBLICATION OF DATA</w:t>
      </w:r>
    </w:p>
    <w:p w14:paraId="32860B97" w14:textId="77777777" w:rsidR="00CA3B99" w:rsidRPr="00DA6CEC" w:rsidRDefault="00CA3B99" w:rsidP="00541D01">
      <w:pPr>
        <w:widowControl/>
        <w:ind w:left="720"/>
        <w:rPr>
          <w:b/>
          <w:sz w:val="26"/>
          <w:szCs w:val="26"/>
        </w:rPr>
      </w:pPr>
    </w:p>
    <w:p w14:paraId="5B776F5A" w14:textId="77777777" w:rsidR="00CA3B99" w:rsidRPr="00DA6CEC" w:rsidRDefault="00CA3B99" w:rsidP="00541D01">
      <w:pPr>
        <w:widowControl/>
        <w:rPr>
          <w:sz w:val="26"/>
          <w:szCs w:val="26"/>
        </w:rPr>
      </w:pPr>
      <w:r>
        <w:rPr>
          <w:b/>
          <w:sz w:val="26"/>
          <w:szCs w:val="26"/>
        </w:rPr>
        <w:t>FERC-545</w:t>
      </w:r>
      <w:r w:rsidR="00CA74CA">
        <w:rPr>
          <w:b/>
          <w:sz w:val="26"/>
          <w:szCs w:val="26"/>
        </w:rPr>
        <w:t xml:space="preserve"> and</w:t>
      </w:r>
      <w:r>
        <w:rPr>
          <w:b/>
          <w:sz w:val="26"/>
          <w:szCs w:val="26"/>
        </w:rPr>
        <w:t xml:space="preserve"> FERC-549</w:t>
      </w:r>
      <w:r w:rsidR="0074677E">
        <w:rPr>
          <w:b/>
          <w:sz w:val="26"/>
          <w:szCs w:val="26"/>
        </w:rPr>
        <w:t>C</w:t>
      </w:r>
      <w:r>
        <w:rPr>
          <w:b/>
          <w:sz w:val="26"/>
          <w:szCs w:val="26"/>
        </w:rPr>
        <w:t xml:space="preserve">.  </w:t>
      </w:r>
      <w:r w:rsidRPr="00DA6CEC">
        <w:rPr>
          <w:sz w:val="26"/>
          <w:szCs w:val="26"/>
        </w:rPr>
        <w:t>There are no publications of the information.</w:t>
      </w:r>
    </w:p>
    <w:p w14:paraId="0FF7C530" w14:textId="77777777" w:rsidR="00CA3B99" w:rsidRPr="00DA6CEC" w:rsidRDefault="00CA3B99" w:rsidP="00541D01">
      <w:pPr>
        <w:widowControl/>
        <w:ind w:firstLine="720"/>
        <w:rPr>
          <w:sz w:val="26"/>
          <w:szCs w:val="26"/>
        </w:rPr>
      </w:pPr>
    </w:p>
    <w:p w14:paraId="2F546EB9" w14:textId="77777777" w:rsidR="00CA3B99" w:rsidRPr="00DA6CEC" w:rsidRDefault="00CA3B99" w:rsidP="00950A39">
      <w:pPr>
        <w:widowControl/>
        <w:tabs>
          <w:tab w:val="left" w:pos="360"/>
        </w:tabs>
        <w:ind w:left="360" w:hanging="360"/>
        <w:rPr>
          <w:b/>
          <w:sz w:val="26"/>
          <w:szCs w:val="26"/>
        </w:rPr>
      </w:pPr>
      <w:r w:rsidRPr="00DA6CEC">
        <w:rPr>
          <w:b/>
          <w:sz w:val="26"/>
          <w:szCs w:val="26"/>
        </w:rPr>
        <w:t>17.</w:t>
      </w:r>
      <w:r w:rsidRPr="00DA6CEC">
        <w:rPr>
          <w:sz w:val="26"/>
          <w:szCs w:val="26"/>
        </w:rPr>
        <w:tab/>
      </w:r>
      <w:r w:rsidRPr="00DA6CEC">
        <w:rPr>
          <w:b/>
          <w:sz w:val="26"/>
          <w:szCs w:val="26"/>
        </w:rPr>
        <w:t>DISPLAY OF EXPIRATION DATE</w:t>
      </w:r>
    </w:p>
    <w:p w14:paraId="55287018" w14:textId="77777777" w:rsidR="00CA3B99" w:rsidRPr="00DA6CEC" w:rsidRDefault="00CA3B99" w:rsidP="00541D01">
      <w:pPr>
        <w:widowControl/>
        <w:rPr>
          <w:sz w:val="26"/>
          <w:szCs w:val="26"/>
        </w:rPr>
      </w:pPr>
    </w:p>
    <w:p w14:paraId="0B612E1A" w14:textId="77777777" w:rsidR="00C74A22" w:rsidRPr="00F969B0" w:rsidRDefault="00CA3B99" w:rsidP="00CA74CA">
      <w:pPr>
        <w:widowControl/>
        <w:rPr>
          <w:rFonts w:eastAsia="Calibri"/>
          <w:sz w:val="26"/>
          <w:szCs w:val="26"/>
        </w:rPr>
      </w:pPr>
      <w:r w:rsidRPr="0074677E">
        <w:rPr>
          <w:b/>
          <w:sz w:val="26"/>
          <w:szCs w:val="26"/>
        </w:rPr>
        <w:t>FERC-545</w:t>
      </w:r>
      <w:r w:rsidR="00CA74CA" w:rsidRPr="0074677E">
        <w:rPr>
          <w:b/>
          <w:sz w:val="26"/>
          <w:szCs w:val="26"/>
        </w:rPr>
        <w:t xml:space="preserve"> and</w:t>
      </w:r>
      <w:r w:rsidRPr="0074677E">
        <w:rPr>
          <w:b/>
          <w:sz w:val="26"/>
          <w:szCs w:val="26"/>
        </w:rPr>
        <w:t xml:space="preserve"> FERC-549</w:t>
      </w:r>
      <w:r w:rsidR="0074677E">
        <w:rPr>
          <w:b/>
          <w:sz w:val="26"/>
          <w:szCs w:val="26"/>
        </w:rPr>
        <w:t>C</w:t>
      </w:r>
      <w:r w:rsidRPr="0074677E">
        <w:rPr>
          <w:b/>
          <w:sz w:val="26"/>
          <w:szCs w:val="26"/>
        </w:rPr>
        <w:t xml:space="preserve">.  </w:t>
      </w:r>
      <w:r w:rsidRPr="0074677E">
        <w:rPr>
          <w:sz w:val="26"/>
          <w:szCs w:val="26"/>
        </w:rPr>
        <w:t xml:space="preserve">The expiration dates are displayed on </w:t>
      </w:r>
      <w:r w:rsidR="009400A1" w:rsidRPr="0074677E">
        <w:rPr>
          <w:sz w:val="26"/>
          <w:szCs w:val="26"/>
        </w:rPr>
        <w:t xml:space="preserve">ferc.gov </w:t>
      </w:r>
      <w:r w:rsidR="0074677E" w:rsidRPr="0074677E">
        <w:rPr>
          <w:sz w:val="26"/>
          <w:szCs w:val="26"/>
        </w:rPr>
        <w:t>with links to the updated table from</w:t>
      </w:r>
      <w:r w:rsidR="009400A1" w:rsidRPr="0074677E">
        <w:rPr>
          <w:sz w:val="26"/>
          <w:szCs w:val="26"/>
        </w:rPr>
        <w:t xml:space="preserve"> </w:t>
      </w:r>
      <w:hyperlink r:id="rId13" w:history="1">
        <w:r w:rsidR="0074677E" w:rsidRPr="0074677E">
          <w:rPr>
            <w:rStyle w:val="Hyperlink"/>
            <w:sz w:val="26"/>
            <w:szCs w:val="26"/>
          </w:rPr>
          <w:t>http://www.ferc.gov/docs-filing/info-collections.asp</w:t>
        </w:r>
      </w:hyperlink>
      <w:r w:rsidR="0074677E" w:rsidRPr="0074677E">
        <w:rPr>
          <w:sz w:val="26"/>
          <w:szCs w:val="26"/>
        </w:rPr>
        <w:t xml:space="preserve"> .</w:t>
      </w:r>
    </w:p>
    <w:p w14:paraId="2A3245B5" w14:textId="77777777" w:rsidR="00CA3B99" w:rsidRPr="00DA6CEC" w:rsidRDefault="00CA3B99" w:rsidP="00541D01">
      <w:pPr>
        <w:widowControl/>
        <w:rPr>
          <w:sz w:val="26"/>
          <w:szCs w:val="26"/>
        </w:rPr>
      </w:pPr>
    </w:p>
    <w:p w14:paraId="65A8F550" w14:textId="3862BF56" w:rsidR="00CA3B99" w:rsidRPr="00DA6CEC" w:rsidRDefault="00CA3B99" w:rsidP="00950A39">
      <w:pPr>
        <w:widowControl/>
        <w:numPr>
          <w:ilvl w:val="0"/>
          <w:numId w:val="13"/>
        </w:numPr>
        <w:tabs>
          <w:tab w:val="clear" w:pos="1080"/>
          <w:tab w:val="num" w:pos="360"/>
        </w:tabs>
        <w:ind w:left="360"/>
        <w:rPr>
          <w:b/>
          <w:sz w:val="26"/>
          <w:szCs w:val="26"/>
        </w:rPr>
      </w:pPr>
      <w:r w:rsidRPr="00DA6CEC">
        <w:rPr>
          <w:b/>
          <w:sz w:val="26"/>
          <w:szCs w:val="26"/>
        </w:rPr>
        <w:t>EXCEPTIONS TO THE CERTIFICATION STATEMENT</w:t>
      </w:r>
    </w:p>
    <w:p w14:paraId="1DD7DF9F" w14:textId="7B0D27E7" w:rsidR="00CA3B99" w:rsidRPr="00DA6CEC" w:rsidRDefault="0078188C" w:rsidP="00425731">
      <w:pPr>
        <w:widowControl/>
        <w:rPr>
          <w:sz w:val="26"/>
          <w:szCs w:val="26"/>
        </w:rPr>
      </w:pPr>
      <w:r>
        <w:rPr>
          <w:sz w:val="26"/>
          <w:szCs w:val="26"/>
        </w:rPr>
        <w:t>There are no exceptions in this collection.</w:t>
      </w:r>
    </w:p>
    <w:p w14:paraId="156036FC" w14:textId="77777777" w:rsidR="00CA3B99" w:rsidRPr="00231159" w:rsidRDefault="00CA3B99">
      <w:pPr>
        <w:rPr>
          <w:sz w:val="26"/>
          <w:szCs w:val="26"/>
        </w:rPr>
      </w:pPr>
    </w:p>
    <w:sectPr w:rsidR="00CA3B99" w:rsidRPr="00231159" w:rsidSect="00763EDA">
      <w:headerReference w:type="default" r:id="rId14"/>
      <w:footerReference w:type="default" r:id="rId15"/>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95AD92" w15:done="0"/>
  <w15:commentEx w15:paraId="17646778" w15:done="0"/>
  <w15:commentEx w15:paraId="4C0247A8" w15:done="0"/>
  <w15:commentEx w15:paraId="45C2D5D4" w15:done="0"/>
  <w15:commentEx w15:paraId="6D8C1A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C48A0" w14:textId="77777777" w:rsidR="009C6E13" w:rsidRDefault="009C6E13" w:rsidP="00A3065F">
      <w:r>
        <w:separator/>
      </w:r>
    </w:p>
  </w:endnote>
  <w:endnote w:type="continuationSeparator" w:id="0">
    <w:p w14:paraId="7E1FD9FB" w14:textId="77777777" w:rsidR="009C6E13" w:rsidRDefault="009C6E13" w:rsidP="00A3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87283"/>
      <w:docPartObj>
        <w:docPartGallery w:val="Page Numbers (Bottom of Page)"/>
        <w:docPartUnique/>
      </w:docPartObj>
    </w:sdtPr>
    <w:sdtEndPr>
      <w:rPr>
        <w:noProof/>
      </w:rPr>
    </w:sdtEndPr>
    <w:sdtContent>
      <w:p w14:paraId="463D5539" w14:textId="77777777" w:rsidR="009C6E13" w:rsidRDefault="009C6E13">
        <w:pPr>
          <w:pStyle w:val="Footer"/>
          <w:jc w:val="right"/>
        </w:pPr>
        <w:r>
          <w:fldChar w:fldCharType="begin"/>
        </w:r>
        <w:r>
          <w:instrText xml:space="preserve"> PAGE   \* MERGEFORMAT </w:instrText>
        </w:r>
        <w:r>
          <w:fldChar w:fldCharType="separate"/>
        </w:r>
        <w:r w:rsidR="00391433">
          <w:rPr>
            <w:noProof/>
          </w:rPr>
          <w:t>19</w:t>
        </w:r>
        <w:r>
          <w:rPr>
            <w:noProof/>
          </w:rPr>
          <w:fldChar w:fldCharType="end"/>
        </w:r>
      </w:p>
    </w:sdtContent>
  </w:sdt>
  <w:p w14:paraId="39FB53EF" w14:textId="77777777" w:rsidR="009C6E13" w:rsidRDefault="009C6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5A636" w14:textId="77777777" w:rsidR="009C6E13" w:rsidRDefault="009C6E13" w:rsidP="00A3065F">
      <w:r>
        <w:separator/>
      </w:r>
    </w:p>
  </w:footnote>
  <w:footnote w:type="continuationSeparator" w:id="0">
    <w:p w14:paraId="4780A3D4" w14:textId="77777777" w:rsidR="009C6E13" w:rsidRDefault="009C6E13" w:rsidP="00A3065F">
      <w:r>
        <w:continuationSeparator/>
      </w:r>
    </w:p>
  </w:footnote>
  <w:footnote w:id="1">
    <w:p w14:paraId="685B9164" w14:textId="76B1C809" w:rsidR="009C6E13" w:rsidRDefault="009C6E13">
      <w:pPr>
        <w:pStyle w:val="FootnoteText"/>
      </w:pPr>
      <w:r>
        <w:rPr>
          <w:rStyle w:val="FootnoteReference"/>
        </w:rPr>
        <w:footnoteRef/>
      </w:r>
      <w:r>
        <w:t xml:space="preserve"> Order 809 is posted at </w:t>
      </w:r>
      <w:hyperlink r:id="rId1" w:history="1">
        <w:r w:rsidRPr="00C43F48">
          <w:rPr>
            <w:rStyle w:val="Hyperlink"/>
          </w:rPr>
          <w:t>http://elibrary.ferc.gov/idmws/common/opennat.asp?fileID=13842743</w:t>
        </w:r>
      </w:hyperlink>
      <w:r>
        <w:t xml:space="preserve">, with the sample tariff record at  </w:t>
      </w:r>
      <w:hyperlink r:id="rId2" w:history="1">
        <w:r w:rsidRPr="00C43F48">
          <w:rPr>
            <w:rStyle w:val="Hyperlink"/>
          </w:rPr>
          <w:t>http://elibrary.ferc.gov/idmws/common/opennat.asp?fileID=13843648</w:t>
        </w:r>
      </w:hyperlink>
      <w:r>
        <w:t xml:space="preserve">.  Commissioner LaFleur’s statement is available at </w:t>
      </w:r>
      <w:hyperlink r:id="rId3" w:history="1">
        <w:r w:rsidRPr="00C43F48">
          <w:rPr>
            <w:rStyle w:val="Hyperlink"/>
          </w:rPr>
          <w:t>http://elibrary.ferc.gov/idmws/common/opennat.asp?fileID=13842833</w:t>
        </w:r>
      </w:hyperlink>
      <w:r>
        <w:t xml:space="preserve">, with the news release at </w:t>
      </w:r>
      <w:hyperlink r:id="rId4" w:history="1">
        <w:r w:rsidRPr="00C43F48">
          <w:rPr>
            <w:rStyle w:val="Hyperlink"/>
          </w:rPr>
          <w:t>http://elibrary.ferc.gov/idmws/common/opennat.asp?fileID=13842786</w:t>
        </w:r>
      </w:hyperlink>
      <w:r>
        <w:t>.  These items are also included in reginfo.gov and ROCIS under Supplementary Documents.</w:t>
      </w:r>
    </w:p>
  </w:footnote>
  <w:footnote w:id="2">
    <w:p w14:paraId="5ADFD41B" w14:textId="77777777" w:rsidR="009C6E13" w:rsidRPr="009D0E8A" w:rsidRDefault="009C6E13" w:rsidP="009D0E8A">
      <w:pPr>
        <w:pStyle w:val="FootnoteText"/>
        <w:rPr>
          <w:sz w:val="24"/>
          <w:szCs w:val="24"/>
        </w:rPr>
      </w:pPr>
      <w:r w:rsidRPr="009D0E8A">
        <w:rPr>
          <w:rStyle w:val="FootnoteReference"/>
          <w:sz w:val="24"/>
          <w:szCs w:val="24"/>
        </w:rPr>
        <w:footnoteRef/>
      </w:r>
      <w:r w:rsidRPr="009D0E8A">
        <w:rPr>
          <w:sz w:val="24"/>
          <w:szCs w:val="24"/>
        </w:rPr>
        <w:t xml:space="preserve"> </w:t>
      </w:r>
      <w:r w:rsidRPr="009D0E8A">
        <w:rPr>
          <w:i/>
          <w:sz w:val="24"/>
          <w:szCs w:val="24"/>
        </w:rPr>
        <w:t xml:space="preserve">See </w:t>
      </w:r>
      <w:r w:rsidRPr="009D0E8A">
        <w:rPr>
          <w:sz w:val="24"/>
          <w:szCs w:val="24"/>
        </w:rPr>
        <w:t>18 CFR 284.12(a) and (b) (2013).</w:t>
      </w:r>
    </w:p>
  </w:footnote>
  <w:footnote w:id="3">
    <w:p w14:paraId="713C1578" w14:textId="3BED47E6" w:rsidR="009C6E13" w:rsidRPr="006D154A" w:rsidRDefault="009C6E13">
      <w:pPr>
        <w:pStyle w:val="FootnoteText"/>
        <w:rPr>
          <w:sz w:val="24"/>
          <w:szCs w:val="24"/>
        </w:rPr>
      </w:pPr>
      <w:r w:rsidRPr="006D154A">
        <w:rPr>
          <w:rStyle w:val="FootnoteReference"/>
          <w:sz w:val="24"/>
          <w:szCs w:val="24"/>
        </w:rPr>
        <w:footnoteRef/>
      </w:r>
      <w:r w:rsidRPr="006D154A">
        <w:rPr>
          <w:sz w:val="24"/>
          <w:szCs w:val="24"/>
        </w:rPr>
        <w:t xml:space="preserve"> </w:t>
      </w:r>
      <w:r w:rsidRPr="006D154A">
        <w:rPr>
          <w:i/>
          <w:sz w:val="24"/>
          <w:szCs w:val="24"/>
        </w:rPr>
        <w:t>Coordination of the Scheduling Processes of Interstate Natural Gas Pipelines and Public Utilities</w:t>
      </w:r>
      <w:r w:rsidRPr="006D154A">
        <w:rPr>
          <w:sz w:val="24"/>
          <w:szCs w:val="24"/>
        </w:rPr>
        <w:t>, 79 FR 18223 (April 1, 2014), FERC Stats. &amp; Regs ¶ 32,700 (2014) (cross-referenced at 146 FERC ¶ 61,201 (2014)) (NOPR).</w:t>
      </w:r>
    </w:p>
  </w:footnote>
  <w:footnote w:id="4">
    <w:p w14:paraId="741EEC33" w14:textId="77777777" w:rsidR="009C6E13" w:rsidRPr="006D154A" w:rsidRDefault="009C6E13" w:rsidP="00A05092">
      <w:pPr>
        <w:pStyle w:val="FootnoteText"/>
        <w:rPr>
          <w:sz w:val="24"/>
          <w:szCs w:val="24"/>
        </w:rPr>
      </w:pPr>
      <w:r w:rsidRPr="006D154A">
        <w:rPr>
          <w:rStyle w:val="FootnoteReference"/>
          <w:sz w:val="24"/>
          <w:szCs w:val="24"/>
        </w:rPr>
        <w:footnoteRef/>
      </w:r>
      <w:r w:rsidRPr="006D154A">
        <w:rPr>
          <w:sz w:val="24"/>
          <w:szCs w:val="24"/>
        </w:rPr>
        <w:t xml:space="preserve"> </w:t>
      </w:r>
      <w:r w:rsidRPr="006D154A">
        <w:rPr>
          <w:i/>
          <w:sz w:val="24"/>
          <w:szCs w:val="24"/>
        </w:rPr>
        <w:t>See Coordination Between Natural Gas and Electricity Markets</w:t>
      </w:r>
      <w:r w:rsidRPr="006D154A">
        <w:rPr>
          <w:sz w:val="24"/>
          <w:szCs w:val="24"/>
        </w:rPr>
        <w:t xml:space="preserve">, Docket No. AD12-12-000 (Feb. 15, 2012), </w:t>
      </w:r>
      <w:r w:rsidRPr="006D154A">
        <w:rPr>
          <w:i/>
          <w:sz w:val="24"/>
          <w:szCs w:val="24"/>
        </w:rPr>
        <w:t xml:space="preserve">available at </w:t>
      </w:r>
      <w:r w:rsidRPr="006D154A">
        <w:rPr>
          <w:sz w:val="24"/>
          <w:szCs w:val="24"/>
        </w:rPr>
        <w:t>http://elibrary.ferc.gov/idmws/common/opennat.asp?fileID=12893828.</w:t>
      </w:r>
    </w:p>
  </w:footnote>
  <w:footnote w:id="5">
    <w:p w14:paraId="617E6753" w14:textId="77777777" w:rsidR="009C6E13" w:rsidRPr="00CC0D00" w:rsidRDefault="009C6E13" w:rsidP="00AC6561">
      <w:pPr>
        <w:pStyle w:val="FootnoteText"/>
        <w:rPr>
          <w:sz w:val="24"/>
          <w:szCs w:val="24"/>
        </w:rPr>
      </w:pPr>
      <w:r w:rsidRPr="00CC0D00">
        <w:rPr>
          <w:rStyle w:val="FootnoteReference"/>
          <w:sz w:val="24"/>
          <w:szCs w:val="24"/>
        </w:rPr>
        <w:footnoteRef/>
      </w:r>
      <w:r w:rsidRPr="00CC0D00">
        <w:rPr>
          <w:sz w:val="24"/>
          <w:szCs w:val="24"/>
        </w:rPr>
        <w:t xml:space="preserve"> </w:t>
      </w:r>
      <w:r w:rsidRPr="00CC0D00">
        <w:rPr>
          <w:i/>
          <w:sz w:val="24"/>
          <w:szCs w:val="24"/>
        </w:rPr>
        <w:t xml:space="preserve"> California Independent System Operator Corp., et al, </w:t>
      </w:r>
      <w:r w:rsidRPr="00CC0D00">
        <w:rPr>
          <w:sz w:val="24"/>
          <w:szCs w:val="24"/>
        </w:rPr>
        <w:t>Order Initiating Investigation into ISO/RTO Scheduling Practices and Establishing Paper Hearing Procedures, 146 FERC ¶ 61,202 (2014) (Section 206 Order).</w:t>
      </w:r>
    </w:p>
  </w:footnote>
  <w:footnote w:id="6">
    <w:p w14:paraId="70E23B17" w14:textId="77777777" w:rsidR="009C6E13" w:rsidRPr="00DA7146" w:rsidRDefault="009C6E13" w:rsidP="00AC6561">
      <w:pPr>
        <w:pStyle w:val="FootnoteText"/>
        <w:rPr>
          <w:sz w:val="24"/>
          <w:szCs w:val="24"/>
        </w:rPr>
      </w:pPr>
      <w:r w:rsidRPr="00DA7146">
        <w:rPr>
          <w:rStyle w:val="FootnoteReference"/>
          <w:sz w:val="24"/>
          <w:szCs w:val="24"/>
        </w:rPr>
        <w:footnoteRef/>
      </w:r>
      <w:r w:rsidRPr="00DA7146">
        <w:rPr>
          <w:sz w:val="24"/>
          <w:szCs w:val="24"/>
        </w:rPr>
        <w:t xml:space="preserve"> </w:t>
      </w:r>
      <w:r w:rsidRPr="00DA7146">
        <w:rPr>
          <w:i/>
          <w:sz w:val="24"/>
          <w:szCs w:val="24"/>
        </w:rPr>
        <w:t>Coordination of the Scheduling Processes of Interstate Natural Gas Pipelines and Public Utilities</w:t>
      </w:r>
      <w:r w:rsidRPr="00DA7146">
        <w:rPr>
          <w:sz w:val="24"/>
          <w:szCs w:val="24"/>
        </w:rPr>
        <w:t>, 79 FR 18223 (April 1, 2014), FERC Stats. &amp; Regs ¶ 32,700 (2014) (cross-referenced at 146 FERC ¶ 61,201 (2014)) (NOPR).</w:t>
      </w:r>
    </w:p>
  </w:footnote>
  <w:footnote w:id="7">
    <w:p w14:paraId="08D67550" w14:textId="77777777" w:rsidR="009C6E13" w:rsidRPr="0003164C" w:rsidRDefault="009C6E13" w:rsidP="005A36C7">
      <w:pPr>
        <w:pStyle w:val="FootnoteText"/>
        <w:rPr>
          <w:sz w:val="24"/>
          <w:szCs w:val="24"/>
        </w:rPr>
      </w:pPr>
      <w:r w:rsidRPr="00CC0D00">
        <w:rPr>
          <w:rStyle w:val="FootnoteReference"/>
          <w:sz w:val="24"/>
          <w:szCs w:val="24"/>
        </w:rPr>
        <w:footnoteRef/>
      </w:r>
      <w:r w:rsidRPr="00CC0D00">
        <w:rPr>
          <w:sz w:val="24"/>
          <w:szCs w:val="24"/>
        </w:rPr>
        <w:t xml:space="preserve"> The reforms proposed in this Final Rule (and two separate contemporaneous orders) follow from the comments solicited by the NOPR in April 2014 under Docket No. RM14-2-000, and build upon the comments made during Commission staff technical conferences and in comments filed in Docket No. AD12-12-000.  Additional information on Docket AD12-12 is available in FERC’s eLibrary.</w:t>
      </w:r>
    </w:p>
  </w:footnote>
  <w:footnote w:id="8">
    <w:p w14:paraId="42F071EE" w14:textId="17D30EA1" w:rsidR="009C6E13" w:rsidRPr="005B1BAC" w:rsidRDefault="009C6E13" w:rsidP="00877A89">
      <w:pPr>
        <w:pStyle w:val="FootnoteText"/>
        <w:rPr>
          <w:sz w:val="24"/>
          <w:szCs w:val="24"/>
        </w:rPr>
      </w:pPr>
      <w:r w:rsidRPr="005B1BAC">
        <w:rPr>
          <w:rStyle w:val="FootnoteReference"/>
          <w:sz w:val="24"/>
          <w:szCs w:val="24"/>
        </w:rPr>
        <w:footnoteRef/>
      </w:r>
      <w:r w:rsidRPr="005B1BAC">
        <w:rPr>
          <w:sz w:val="24"/>
          <w:szCs w:val="24"/>
        </w:rPr>
        <w:t xml:space="preserve"> </w:t>
      </w:r>
      <w:r w:rsidRPr="005B1BAC">
        <w:rPr>
          <w:i/>
          <w:sz w:val="24"/>
          <w:szCs w:val="24"/>
        </w:rPr>
        <w:t>See</w:t>
      </w:r>
      <w:r w:rsidRPr="005B1BAC">
        <w:rPr>
          <w:sz w:val="24"/>
          <w:szCs w:val="24"/>
        </w:rPr>
        <w:t xml:space="preserve">, </w:t>
      </w:r>
      <w:r w:rsidRPr="005B1BAC">
        <w:rPr>
          <w:i/>
          <w:sz w:val="24"/>
          <w:szCs w:val="24"/>
        </w:rPr>
        <w:t>e.g.</w:t>
      </w:r>
      <w:r w:rsidRPr="005B1BAC">
        <w:rPr>
          <w:sz w:val="24"/>
          <w:szCs w:val="24"/>
        </w:rPr>
        <w:t>, U.S. Energy Information Administration,</w:t>
      </w:r>
      <w:r w:rsidRPr="005B1BAC">
        <w:rPr>
          <w:i/>
          <w:color w:val="222222"/>
          <w:sz w:val="24"/>
          <w:szCs w:val="24"/>
          <w:shd w:val="clear" w:color="auto" w:fill="FFFFFF"/>
        </w:rPr>
        <w:t xml:space="preserve"> Annual Energy Outlook 2014 with projections to 2040</w:t>
      </w:r>
      <w:r w:rsidRPr="005B1BAC">
        <w:rPr>
          <w:rStyle w:val="apple-converted-space"/>
          <w:i/>
          <w:iCs/>
          <w:color w:val="222222"/>
          <w:sz w:val="24"/>
          <w:szCs w:val="24"/>
          <w:shd w:val="clear" w:color="auto" w:fill="FFFFFF"/>
        </w:rPr>
        <w:t> </w:t>
      </w:r>
      <w:r w:rsidRPr="005B1BAC">
        <w:rPr>
          <w:color w:val="222222"/>
          <w:sz w:val="24"/>
          <w:szCs w:val="24"/>
          <w:shd w:val="clear" w:color="auto" w:fill="FFFFFF"/>
        </w:rPr>
        <w:t xml:space="preserve">(April 2014) </w:t>
      </w:r>
      <w:r w:rsidRPr="005B1BAC">
        <w:rPr>
          <w:sz w:val="24"/>
          <w:szCs w:val="24"/>
        </w:rPr>
        <w:t>(Natural gas-fired generation is projected to overtake coal-fired generation for U.S. electricity generation by 2040.  Natural gas’ share of U.S. electricity generation is projected to increase from 30 percent in 2012 to 35 percent in 2040.); ICF Assessment of New England’s Natural Gas Pipeline Capacity to Satisfy Short and Near-Term Electric Generation Needs: Phase II Final Report (November 20, 2014); North American Electric Reliability Corporation, </w:t>
      </w:r>
      <w:r w:rsidRPr="005B1BAC">
        <w:rPr>
          <w:i/>
          <w:sz w:val="24"/>
          <w:szCs w:val="24"/>
        </w:rPr>
        <w:t xml:space="preserve">2014 Long-Term Reliability Assessment </w:t>
      </w:r>
      <w:r w:rsidRPr="005B1BAC">
        <w:rPr>
          <w:sz w:val="24"/>
          <w:szCs w:val="24"/>
        </w:rPr>
        <w:t>(November 2014) at 13</w:t>
      </w:r>
      <w:r w:rsidRPr="005B1BAC">
        <w:rPr>
          <w:color w:val="000080"/>
          <w:sz w:val="24"/>
          <w:szCs w:val="24"/>
        </w:rPr>
        <w:t xml:space="preserve">. </w:t>
      </w:r>
    </w:p>
  </w:footnote>
  <w:footnote w:id="9">
    <w:p w14:paraId="1D4F9B0B" w14:textId="77777777" w:rsidR="009C6E13" w:rsidRPr="005B1BAC" w:rsidRDefault="009C6E13" w:rsidP="00877A89">
      <w:pPr>
        <w:pStyle w:val="FootnoteText"/>
        <w:rPr>
          <w:sz w:val="24"/>
          <w:szCs w:val="24"/>
        </w:rPr>
      </w:pPr>
      <w:r w:rsidRPr="005B1BAC">
        <w:rPr>
          <w:rStyle w:val="FootnoteReference"/>
          <w:sz w:val="24"/>
          <w:szCs w:val="24"/>
        </w:rPr>
        <w:footnoteRef/>
      </w:r>
      <w:r w:rsidRPr="005B1BAC">
        <w:rPr>
          <w:sz w:val="24"/>
          <w:szCs w:val="24"/>
        </w:rPr>
        <w:t xml:space="preserve"> </w:t>
      </w:r>
      <w:r w:rsidRPr="005B1BAC">
        <w:rPr>
          <w:i/>
          <w:sz w:val="24"/>
          <w:szCs w:val="24"/>
        </w:rPr>
        <w:t>See</w:t>
      </w:r>
      <w:r w:rsidRPr="005B1BAC">
        <w:rPr>
          <w:sz w:val="24"/>
          <w:szCs w:val="24"/>
        </w:rPr>
        <w:t xml:space="preserve"> FERC/NERC, </w:t>
      </w:r>
      <w:r w:rsidRPr="005B1BAC">
        <w:rPr>
          <w:i/>
          <w:sz w:val="24"/>
          <w:szCs w:val="24"/>
        </w:rPr>
        <w:t>Report on Outages and Curtailments During the Southwest Cold Weather Event of February 1-5, 2011</w:t>
      </w:r>
      <w:r w:rsidRPr="005B1BAC">
        <w:rPr>
          <w:sz w:val="24"/>
          <w:szCs w:val="24"/>
        </w:rPr>
        <w:t xml:space="preserve"> (2011), </w:t>
      </w:r>
      <w:r w:rsidRPr="005B1BAC">
        <w:rPr>
          <w:i/>
          <w:sz w:val="24"/>
          <w:szCs w:val="24"/>
        </w:rPr>
        <w:t>available at</w:t>
      </w:r>
      <w:r w:rsidRPr="005B1BAC">
        <w:rPr>
          <w:sz w:val="24"/>
          <w:szCs w:val="24"/>
        </w:rPr>
        <w:t xml:space="preserve"> http://www.ferc.gov/legal/staff-reports/08-16-11-report.pdf. </w:t>
      </w:r>
    </w:p>
  </w:footnote>
  <w:footnote w:id="10">
    <w:p w14:paraId="11FBB7D6" w14:textId="77777777" w:rsidR="009C6E13" w:rsidRPr="00CC0D00" w:rsidRDefault="009C6E13" w:rsidP="00877A89">
      <w:pPr>
        <w:pStyle w:val="FootnoteText"/>
        <w:rPr>
          <w:sz w:val="24"/>
          <w:szCs w:val="24"/>
        </w:rPr>
      </w:pPr>
      <w:r w:rsidRPr="005B1BAC">
        <w:rPr>
          <w:rStyle w:val="FootnoteReference"/>
          <w:sz w:val="24"/>
          <w:szCs w:val="24"/>
        </w:rPr>
        <w:footnoteRef/>
      </w:r>
      <w:r w:rsidRPr="005B1BAC">
        <w:rPr>
          <w:sz w:val="24"/>
          <w:szCs w:val="24"/>
        </w:rPr>
        <w:t xml:space="preserve"> The widespread and record low temperatures during January 2014 resulted in coincident record peak demand for natural gas throughout the Midwest, Northeast, Mid-Atlantic, and Southeast regions leading to constrained pipeline capacity and high natural gas prices.  In addition, in February 2014, arctic temperatures limited the availability of natural gas to supply New Mexico and Southern California leading CAISO to issue a system alert and a request for consumers to reduce power demand around the system.  CAISO invoked increasingly stringent measures throughout the day to move generation off natural gas, reduce demand, and maintain sufficient supply to meet firm load.  </w:t>
      </w:r>
      <w:r w:rsidRPr="005B1BAC">
        <w:rPr>
          <w:i/>
          <w:sz w:val="24"/>
          <w:szCs w:val="24"/>
        </w:rPr>
        <w:t>See</w:t>
      </w:r>
      <w:r w:rsidRPr="005B1BAC">
        <w:rPr>
          <w:sz w:val="24"/>
          <w:szCs w:val="24"/>
        </w:rPr>
        <w:t xml:space="preserve"> FERC Staff Presentation “Recent Weather Impacts on the Bulk Power System” January 16, 2014, http://www.ferc.gov/CalendarFiles/20140116102908-A-4-Presentation.pdf.</w:t>
      </w:r>
    </w:p>
  </w:footnote>
  <w:footnote w:id="11">
    <w:p w14:paraId="51D19026" w14:textId="77777777" w:rsidR="009C6E13" w:rsidRPr="005B1BAC" w:rsidRDefault="009C6E13" w:rsidP="00D43CBA">
      <w:pPr>
        <w:pStyle w:val="FootnoteText"/>
        <w:rPr>
          <w:sz w:val="24"/>
          <w:szCs w:val="24"/>
        </w:rPr>
      </w:pPr>
      <w:r w:rsidRPr="005B1BAC">
        <w:rPr>
          <w:rStyle w:val="FootnoteReference"/>
          <w:sz w:val="24"/>
          <w:szCs w:val="24"/>
        </w:rPr>
        <w:footnoteRef/>
      </w:r>
      <w:r w:rsidRPr="005B1BAC">
        <w:rPr>
          <w:sz w:val="24"/>
          <w:szCs w:val="24"/>
        </w:rPr>
        <w:t xml:space="preserve"> </w:t>
      </w:r>
      <w:r w:rsidRPr="005B1BAC">
        <w:rPr>
          <w:i/>
          <w:sz w:val="24"/>
          <w:szCs w:val="24"/>
        </w:rPr>
        <w:t>See Coordination Between Natural Gas and Electricity Markets</w:t>
      </w:r>
      <w:r w:rsidRPr="005B1BAC">
        <w:rPr>
          <w:sz w:val="24"/>
          <w:szCs w:val="24"/>
        </w:rPr>
        <w:t xml:space="preserve">, Docket No. AD12-12-000 (Feb. 15, 2012), </w:t>
      </w:r>
      <w:r w:rsidRPr="005B1BAC">
        <w:rPr>
          <w:i/>
          <w:sz w:val="24"/>
          <w:szCs w:val="24"/>
        </w:rPr>
        <w:t xml:space="preserve">available at </w:t>
      </w:r>
      <w:r w:rsidRPr="005B1BAC">
        <w:rPr>
          <w:sz w:val="24"/>
          <w:szCs w:val="24"/>
        </w:rPr>
        <w:t>http://elibrary.ferc.gov/idmws/common/opennat.asp?fileID=12893828.</w:t>
      </w:r>
    </w:p>
  </w:footnote>
  <w:footnote w:id="12">
    <w:p w14:paraId="432C28CD" w14:textId="77777777" w:rsidR="009C6E13" w:rsidRPr="005B1BAC" w:rsidRDefault="009C6E13" w:rsidP="00D43CBA">
      <w:pPr>
        <w:pStyle w:val="FootnoteText"/>
        <w:rPr>
          <w:sz w:val="24"/>
          <w:szCs w:val="24"/>
        </w:rPr>
      </w:pPr>
      <w:r w:rsidRPr="005B1BAC">
        <w:rPr>
          <w:rStyle w:val="FootnoteReference"/>
          <w:sz w:val="24"/>
          <w:szCs w:val="24"/>
        </w:rPr>
        <w:footnoteRef/>
      </w:r>
      <w:r w:rsidRPr="005B1BAC">
        <w:rPr>
          <w:sz w:val="24"/>
          <w:szCs w:val="24"/>
        </w:rPr>
        <w:t xml:space="preserve"> </w:t>
      </w:r>
      <w:r w:rsidRPr="005B1BAC">
        <w:rPr>
          <w:i/>
          <w:sz w:val="24"/>
          <w:szCs w:val="24"/>
        </w:rPr>
        <w:t>Staff Report on Gas-Electric Coordination Technical Conferences</w:t>
      </w:r>
      <w:r w:rsidRPr="005B1BAC">
        <w:rPr>
          <w:sz w:val="24"/>
          <w:szCs w:val="24"/>
        </w:rPr>
        <w:t xml:space="preserve">, Docket    No. AD12-12-000 (Nov. 15, 2012) (November Staff Report), </w:t>
      </w:r>
      <w:r w:rsidRPr="005B1BAC">
        <w:rPr>
          <w:i/>
          <w:sz w:val="24"/>
          <w:szCs w:val="24"/>
        </w:rPr>
        <w:t>available at</w:t>
      </w:r>
      <w:r w:rsidRPr="005B1BAC">
        <w:rPr>
          <w:sz w:val="24"/>
          <w:szCs w:val="24"/>
        </w:rPr>
        <w:t xml:space="preserve"> </w:t>
      </w:r>
      <w:r w:rsidRPr="005B1BAC">
        <w:rPr>
          <w:rStyle w:val="Hyperlink"/>
          <w:sz w:val="24"/>
          <w:szCs w:val="24"/>
        </w:rPr>
        <w:t>http://elibrary.ferc.gov/idmws/File_List.asp</w:t>
      </w:r>
      <w:r w:rsidRPr="005B1BAC">
        <w:rPr>
          <w:sz w:val="24"/>
          <w:szCs w:val="24"/>
        </w:rPr>
        <w:t xml:space="preserve">. </w:t>
      </w:r>
    </w:p>
  </w:footnote>
  <w:footnote w:id="13">
    <w:p w14:paraId="10261C90" w14:textId="77777777" w:rsidR="009C6E13" w:rsidRPr="006D154A" w:rsidRDefault="009C6E13" w:rsidP="00D43CBA">
      <w:pPr>
        <w:pStyle w:val="FootnoteText"/>
        <w:rPr>
          <w:sz w:val="24"/>
          <w:szCs w:val="24"/>
        </w:rPr>
      </w:pPr>
      <w:r w:rsidRPr="005B1BAC">
        <w:rPr>
          <w:rStyle w:val="FootnoteReference"/>
          <w:sz w:val="24"/>
          <w:szCs w:val="24"/>
        </w:rPr>
        <w:footnoteRef/>
      </w:r>
      <w:r w:rsidRPr="005B1BAC">
        <w:rPr>
          <w:sz w:val="24"/>
          <w:szCs w:val="24"/>
        </w:rPr>
        <w:t xml:space="preserve"> </w:t>
      </w:r>
      <w:r w:rsidRPr="005B1BAC">
        <w:rPr>
          <w:i/>
          <w:sz w:val="24"/>
          <w:szCs w:val="24"/>
        </w:rPr>
        <w:t>Coordination between Natural Gas and Electricity Markets</w:t>
      </w:r>
      <w:r w:rsidRPr="005B1BAC">
        <w:rPr>
          <w:sz w:val="24"/>
          <w:szCs w:val="24"/>
        </w:rPr>
        <w:t xml:space="preserve">, Docket No. AD12-12-000 (Mar. 5, 2013) (Notice of Technical Conference), </w:t>
      </w:r>
      <w:r w:rsidRPr="005B1BAC">
        <w:rPr>
          <w:i/>
          <w:sz w:val="24"/>
          <w:szCs w:val="24"/>
        </w:rPr>
        <w:t>available at</w:t>
      </w:r>
      <w:r w:rsidRPr="005B1BAC">
        <w:rPr>
          <w:sz w:val="24"/>
          <w:szCs w:val="24"/>
        </w:rPr>
        <w:t xml:space="preserve"> http://elibrary.ferc.gov/idmws/File_list.asp?document_id=14095482</w:t>
      </w:r>
      <w:r w:rsidRPr="005B1BAC">
        <w:rPr>
          <w:color w:val="0000FF"/>
          <w:sz w:val="24"/>
          <w:szCs w:val="24"/>
        </w:rPr>
        <w:t>.</w:t>
      </w:r>
    </w:p>
  </w:footnote>
  <w:footnote w:id="14">
    <w:p w14:paraId="5B8AA9AB" w14:textId="77777777" w:rsidR="009C6E13" w:rsidRPr="005B1BAC" w:rsidRDefault="009C6E13" w:rsidP="00D43CBA">
      <w:pPr>
        <w:pStyle w:val="FootnoteText"/>
        <w:rPr>
          <w:sz w:val="24"/>
          <w:szCs w:val="24"/>
        </w:rPr>
      </w:pPr>
      <w:r w:rsidRPr="005B1BAC">
        <w:rPr>
          <w:rStyle w:val="FootnoteReference"/>
          <w:sz w:val="24"/>
          <w:szCs w:val="24"/>
        </w:rPr>
        <w:footnoteRef/>
      </w:r>
      <w:r w:rsidRPr="005B1BAC">
        <w:rPr>
          <w:sz w:val="24"/>
          <w:szCs w:val="24"/>
        </w:rPr>
        <w:t xml:space="preserve"> </w:t>
      </w:r>
      <w:r w:rsidRPr="005B1BAC">
        <w:rPr>
          <w:i/>
          <w:sz w:val="24"/>
          <w:szCs w:val="24"/>
        </w:rPr>
        <w:t xml:space="preserve"> California Independent System Operator Corp., et al, </w:t>
      </w:r>
      <w:r w:rsidRPr="005B1BAC">
        <w:rPr>
          <w:sz w:val="24"/>
          <w:szCs w:val="24"/>
        </w:rPr>
        <w:t>Order Initiating Investigation into ISO/RTO Scheduling Practices and Establishing Paper Hearing Procedures, 146 FERC ¶ 61,202 (2014) (Section 206 Order).</w:t>
      </w:r>
    </w:p>
  </w:footnote>
  <w:footnote w:id="15">
    <w:p w14:paraId="719BF5A9" w14:textId="77777777" w:rsidR="009C6E13" w:rsidRPr="00DA7146" w:rsidRDefault="009C6E13" w:rsidP="00D43CBA">
      <w:pPr>
        <w:pStyle w:val="FootnoteText"/>
        <w:rPr>
          <w:sz w:val="24"/>
          <w:szCs w:val="24"/>
        </w:rPr>
      </w:pPr>
      <w:r w:rsidRPr="005B1BAC">
        <w:rPr>
          <w:rStyle w:val="FootnoteReference"/>
          <w:sz w:val="24"/>
          <w:szCs w:val="24"/>
        </w:rPr>
        <w:footnoteRef/>
      </w:r>
      <w:r w:rsidRPr="005B1BAC">
        <w:rPr>
          <w:sz w:val="24"/>
          <w:szCs w:val="24"/>
        </w:rPr>
        <w:t xml:space="preserve"> </w:t>
      </w:r>
      <w:r w:rsidRPr="005B1BAC">
        <w:rPr>
          <w:i/>
          <w:sz w:val="24"/>
          <w:szCs w:val="24"/>
        </w:rPr>
        <w:t>Coordination of the Scheduling Processes of Interstate Natural Gas Pipelines and Public Utilities</w:t>
      </w:r>
      <w:r w:rsidRPr="005B1BAC">
        <w:rPr>
          <w:sz w:val="24"/>
          <w:szCs w:val="24"/>
        </w:rPr>
        <w:t>, 79 FR 18223 (April 1, 2014), FERC Stats. &amp; Regs ¶ 32,700 (2014) (cross-referenced at 146 FERC ¶ 61,201 (2014)) (NOPR).</w:t>
      </w:r>
    </w:p>
  </w:footnote>
  <w:footnote w:id="16">
    <w:p w14:paraId="72EF63BB" w14:textId="77777777" w:rsidR="009C6E13" w:rsidRPr="006D154A" w:rsidRDefault="009C6E13" w:rsidP="00127317">
      <w:r>
        <w:rPr>
          <w:rStyle w:val="FootnoteReference"/>
        </w:rPr>
        <w:footnoteRef/>
      </w:r>
      <w:r>
        <w:t xml:space="preserve"> </w:t>
      </w:r>
      <w:r w:rsidRPr="0019793D">
        <w:t xml:space="preserve">FERC-549C was created in Order No. 587 (July 26, 1996, 61 FR 39053) because interstate pipelines were required to adopt certain standards for business practices that required changes in the day-to-day operations.  In addition, these standards required pipelines to adopt certain mechanisms for electronic </w:t>
      </w:r>
      <w:r w:rsidRPr="005B1BAC">
        <w:t>communication between the pipelines and those doing business with the pipelines.</w:t>
      </w:r>
    </w:p>
    <w:p w14:paraId="64D1E5C2" w14:textId="77777777" w:rsidR="009C6E13" w:rsidRPr="006D154A" w:rsidRDefault="009C6E13" w:rsidP="00127317">
      <w:pPr>
        <w:pStyle w:val="FootnoteText"/>
        <w:rPr>
          <w:sz w:val="24"/>
          <w:szCs w:val="24"/>
        </w:rPr>
      </w:pPr>
    </w:p>
  </w:footnote>
  <w:footnote w:id="17">
    <w:p w14:paraId="636821CF" w14:textId="5296338E" w:rsidR="009C6E13" w:rsidRPr="00A27A38" w:rsidRDefault="009C6E13">
      <w:pPr>
        <w:pStyle w:val="FootnoteText"/>
        <w:rPr>
          <w:sz w:val="24"/>
          <w:szCs w:val="24"/>
        </w:rPr>
      </w:pPr>
      <w:r w:rsidRPr="005B1BAC">
        <w:rPr>
          <w:rStyle w:val="FootnoteReference"/>
          <w:sz w:val="24"/>
          <w:szCs w:val="24"/>
        </w:rPr>
        <w:footnoteRef/>
      </w:r>
      <w:r w:rsidRPr="005B1BAC">
        <w:rPr>
          <w:sz w:val="24"/>
          <w:szCs w:val="24"/>
        </w:rPr>
        <w:t xml:space="preserve"> Additional information is available on NAESB’s website at </w:t>
      </w:r>
      <w:hyperlink r:id="rId5" w:history="1">
        <w:r w:rsidRPr="005B1BAC">
          <w:rPr>
            <w:rStyle w:val="Hyperlink"/>
            <w:sz w:val="24"/>
            <w:szCs w:val="24"/>
          </w:rPr>
          <w:t>http://www.naesb.org/</w:t>
        </w:r>
      </w:hyperlink>
      <w:r w:rsidRPr="005B1BAC">
        <w:rPr>
          <w:sz w:val="24"/>
          <w:szCs w:val="24"/>
        </w:rPr>
        <w:t xml:space="preserve"> .  NAESB described its standards development process as of 1/29/2013 in “Submittal of Modifications to the NAESB Public Key Infrastructure Standards and Other Standards to support the Public Key Infrastructure (Docket Nos. RM05-5-000 and RM05-5-022),” Appendix E, posted on ferc.gov at </w:t>
      </w:r>
      <w:hyperlink r:id="rId6" w:history="1">
        <w:r w:rsidRPr="005B1BAC">
          <w:rPr>
            <w:rStyle w:val="Hyperlink"/>
            <w:sz w:val="24"/>
            <w:szCs w:val="24"/>
          </w:rPr>
          <w:t>http://elibrary.ferc.gov/idmws/common/opennat.asp?fileID=13165589</w:t>
        </w:r>
      </w:hyperlink>
      <w:r w:rsidRPr="005B1BAC">
        <w:rPr>
          <w:sz w:val="24"/>
          <w:szCs w:val="24"/>
        </w:rPr>
        <w:t xml:space="preserve"> .</w:t>
      </w:r>
    </w:p>
  </w:footnote>
  <w:footnote w:id="18">
    <w:p w14:paraId="78988676" w14:textId="77777777" w:rsidR="009C6E13" w:rsidRPr="00DA7146" w:rsidRDefault="009C6E13" w:rsidP="005B1BAC">
      <w:pPr>
        <w:pStyle w:val="FootnoteText"/>
        <w:rPr>
          <w:sz w:val="24"/>
          <w:szCs w:val="24"/>
        </w:rPr>
      </w:pPr>
      <w:r w:rsidRPr="00DA7146">
        <w:rPr>
          <w:rStyle w:val="FootnoteReference"/>
          <w:sz w:val="24"/>
          <w:szCs w:val="24"/>
        </w:rPr>
        <w:footnoteRef/>
      </w:r>
      <w:r w:rsidRPr="00DA7146">
        <w:rPr>
          <w:sz w:val="24"/>
          <w:szCs w:val="24"/>
        </w:rPr>
        <w:t xml:space="preserve"> </w:t>
      </w:r>
      <w:r w:rsidRPr="00DA7146">
        <w:rPr>
          <w:i/>
          <w:sz w:val="24"/>
          <w:szCs w:val="24"/>
        </w:rPr>
        <w:t>Coordination of the Scheduling Processes of Interstate Natural Gas Pipelines and Public Utilities</w:t>
      </w:r>
      <w:r w:rsidRPr="00DA7146">
        <w:rPr>
          <w:sz w:val="24"/>
          <w:szCs w:val="24"/>
        </w:rPr>
        <w:t>, 79 FR 18223 (April 1, 2014), FERC Stats. &amp; Regs ¶ 32,700 (2014) (cross-referenced at 146 FERC ¶ 61,201 (2014)) (NOPR).</w:t>
      </w:r>
    </w:p>
  </w:footnote>
  <w:footnote w:id="19">
    <w:p w14:paraId="2CE5F657" w14:textId="77777777" w:rsidR="009C6E13" w:rsidRPr="001B7C2A" w:rsidRDefault="009C6E13" w:rsidP="001C3337">
      <w:pPr>
        <w:pStyle w:val="FootnoteText"/>
        <w:rPr>
          <w:sz w:val="24"/>
          <w:szCs w:val="24"/>
        </w:rPr>
      </w:pPr>
      <w:r w:rsidRPr="001B7C2A">
        <w:rPr>
          <w:rStyle w:val="FootnoteReference"/>
          <w:sz w:val="24"/>
          <w:szCs w:val="24"/>
        </w:rPr>
        <w:footnoteRef/>
      </w:r>
      <w:r w:rsidRPr="001B7C2A">
        <w:rPr>
          <w:sz w:val="24"/>
          <w:szCs w:val="24"/>
        </w:rPr>
        <w:t xml:space="preserve"> More information is available on FERC’s eTariff page at </w:t>
      </w:r>
      <w:hyperlink r:id="rId7" w:history="1">
        <w:r w:rsidRPr="001B7C2A">
          <w:rPr>
            <w:rStyle w:val="Hyperlink"/>
            <w:sz w:val="24"/>
            <w:szCs w:val="24"/>
          </w:rPr>
          <w:t>http://www.ferc.gov/docs-filing/etariff.asp</w:t>
        </w:r>
      </w:hyperlink>
      <w:r w:rsidRPr="001B7C2A">
        <w:rPr>
          <w:sz w:val="24"/>
          <w:szCs w:val="24"/>
        </w:rPr>
        <w:t xml:space="preserve"> .</w:t>
      </w:r>
    </w:p>
  </w:footnote>
  <w:footnote w:id="20">
    <w:p w14:paraId="6740FA1C" w14:textId="77777777" w:rsidR="009C6E13" w:rsidRDefault="009C6E13" w:rsidP="001A3773">
      <w:pPr>
        <w:pStyle w:val="FootnoteText"/>
      </w:pPr>
      <w:r>
        <w:rPr>
          <w:rStyle w:val="FootnoteReference"/>
        </w:rPr>
        <w:footnoteRef/>
      </w:r>
      <w:r>
        <w:t xml:space="preserve"> U.S. Small Business Administration, Table of Small Business Size Standards for  Pipeline Transportation of Natural Gas, NAICS Code 486210,  available at https://www.sba.gov/sites/default/files/files/Size_Standards_Table.pdf, Subsector 486. </w:t>
      </w:r>
    </w:p>
    <w:p w14:paraId="2EDAA33D" w14:textId="42C7F8AF" w:rsidR="009C6E13" w:rsidRDefault="009C6E13" w:rsidP="001A3773">
      <w:pPr>
        <w:pStyle w:val="FootnoteText"/>
      </w:pPr>
      <w:r>
        <w:t>Matched to North American Industry Classification System Codes, Natural Gas Pipeline Transportation, NAICS Code 486210,  page 27, July 14, 2014, available at https://www.sba.gov/sites/default/files/files/Size_Standards_Table.pdf, Subsector 486.</w:t>
      </w:r>
    </w:p>
  </w:footnote>
  <w:footnote w:id="21">
    <w:p w14:paraId="708A0352" w14:textId="36FE670F" w:rsidR="009C6E13" w:rsidRDefault="009C6E13">
      <w:pPr>
        <w:pStyle w:val="FootnoteText"/>
      </w:pPr>
      <w:r>
        <w:rPr>
          <w:rStyle w:val="FootnoteReference"/>
        </w:rPr>
        <w:footnoteRef/>
      </w:r>
      <w:r>
        <w:t xml:space="preserve"> The original notice of the conferences is in Docket AD12-12 </w:t>
      </w:r>
      <w:r w:rsidR="0089034E">
        <w:t xml:space="preserve">posted in FERC’s eLibrary at </w:t>
      </w:r>
      <w:r>
        <w:t xml:space="preserve"> </w:t>
      </w:r>
      <w:hyperlink r:id="rId8" w:history="1">
        <w:r w:rsidRPr="00DD4B7E">
          <w:rPr>
            <w:rStyle w:val="Hyperlink"/>
          </w:rPr>
          <w:t>http://elibrary.ferc.gov/idmws/common/opennat.asp?fileID=13023450</w:t>
        </w:r>
      </w:hyperlink>
      <w:r>
        <w:t xml:space="preserve"> .  Subsequent notices, agendas, etc. are availablae in FERC’s eLibrary by doing a Docket Search on AD12-12.</w:t>
      </w:r>
    </w:p>
  </w:footnote>
  <w:footnote w:id="22">
    <w:p w14:paraId="367532DA" w14:textId="4E30B9FA" w:rsidR="009C6E13" w:rsidRDefault="009C6E13" w:rsidP="009C6E13">
      <w:pPr>
        <w:pStyle w:val="FootnoteText"/>
      </w:pPr>
      <w:r>
        <w:rPr>
          <w:rStyle w:val="FootnoteReference"/>
        </w:rPr>
        <w:footnoteRef/>
      </w:r>
      <w:r>
        <w:t xml:space="preserve"> The </w:t>
      </w:r>
      <w:r w:rsidRPr="009C6E13">
        <w:t xml:space="preserve">Order Directing Further Conferences </w:t>
      </w:r>
      <w:r>
        <w:t>a</w:t>
      </w:r>
      <w:r w:rsidRPr="009C6E13">
        <w:t>nd Reports</w:t>
      </w:r>
      <w:r>
        <w:t xml:space="preserve"> is posted at </w:t>
      </w:r>
      <w:hyperlink r:id="rId9" w:history="1">
        <w:r w:rsidRPr="00DD4B7E">
          <w:rPr>
            <w:rStyle w:val="Hyperlink"/>
          </w:rPr>
          <w:t>http://elibrary.ferc.gov/idmws/common/opennat.asp?fileID=13109633</w:t>
        </w:r>
      </w:hyperlink>
      <w:r>
        <w:t xml:space="preserve"> .  It states in part “</w:t>
      </w:r>
      <w:r w:rsidRPr="009C6E13">
        <w:t>the Commission convened five regional conferences throughout the month of August 2012 for the purpose of obtaining information regarding coordination between natural gas and electric markets.  The conferences were structured around three sets of issues:  scheduling and market structures/rules; communications, coordination, and information-sharing; and reliability concerns</w:t>
      </w:r>
      <w:r w:rsidR="0089034E">
        <w:t>.</w:t>
      </w:r>
      <w:r w:rsidRPr="009C6E13">
        <w:t xml:space="preserve"> </w:t>
      </w:r>
      <w:r>
        <w:t xml:space="preserve">A cross-section of industry representatives participated and/or attended the regional conferences, with total attendance exceeding 1,200 registrants.  </w:t>
      </w:r>
    </w:p>
    <w:p w14:paraId="492CA4D8" w14:textId="532D57B1" w:rsidR="009C6E13" w:rsidRDefault="009C6E13" w:rsidP="00425731">
      <w:pPr>
        <w:pStyle w:val="FootnoteText"/>
        <w:ind w:firstLine="720"/>
      </w:pPr>
      <w:r>
        <w:t xml:space="preserve">Conference participants described significant industry efforts underway to address gas-electric coordination issues, most of which focus on region-specific issues through table-top exercises, planning studies, and reforms to specific electric market rules.  The participants also identified general concerns that came up in all regions:  the respective ability of each industry to share information in furtherance of enhancing gas-electric coordination consistent with the Commission’s regulations on Standards of Conduct and statutory restrictions on undue discrimination and preference; and, scheduling discontinuities between the gas and electric industries, including the impact of the Commission’s “no bump” and pipeline capacity release rules.  Industry representatives at multiple conferences suggested that generic guidance or action on these issues could facilitate greater harmonization of the gas and electric industries.    </w:t>
      </w:r>
    </w:p>
    <w:p w14:paraId="662DF498" w14:textId="5CFAFAEC" w:rsidR="009C6E13" w:rsidRDefault="0089034E" w:rsidP="00425731">
      <w:pPr>
        <w:pStyle w:val="FootnoteText"/>
        <w:ind w:firstLine="720"/>
      </w:pPr>
      <w:r>
        <w:t>T</w:t>
      </w:r>
      <w:r w:rsidR="009C6E13">
        <w:t>he Commission appreciates the responses to the questions posed in this docket, the thoughtful participation in the August 2012 conferences, and the subsequent input of many from the gas and electric industries.  Based on the totality of this information and the reality that changes to market structures and development of infrastructure do not happen over night, the Commission believes the most prudent course of action at this time is to more fully explore the two primary issues identified above through additional, targeted technical conferences.  In addition, the Commission directs each regional transmission organization (RTO) and independent system operator (ISO) to appear before the Commission on May 16, 2013, and October 17, 2013, to share their experiences from the winter and spring, and summer and fall, respectively.”</w:t>
      </w:r>
    </w:p>
  </w:footnote>
  <w:footnote w:id="23">
    <w:p w14:paraId="67A787D3" w14:textId="77777777" w:rsidR="009C6E13" w:rsidRPr="00DA7146" w:rsidRDefault="009C6E13" w:rsidP="00733AEB">
      <w:pPr>
        <w:pStyle w:val="FootnoteText"/>
        <w:rPr>
          <w:sz w:val="24"/>
          <w:szCs w:val="24"/>
        </w:rPr>
      </w:pPr>
      <w:r w:rsidRPr="00DA7146">
        <w:rPr>
          <w:rStyle w:val="FootnoteReference"/>
          <w:sz w:val="24"/>
          <w:szCs w:val="24"/>
        </w:rPr>
        <w:footnoteRef/>
      </w:r>
      <w:r w:rsidRPr="00DA7146">
        <w:rPr>
          <w:sz w:val="24"/>
          <w:szCs w:val="24"/>
        </w:rPr>
        <w:t xml:space="preserve"> 16 U.S.C. § 824e (2012).</w:t>
      </w:r>
    </w:p>
  </w:footnote>
  <w:footnote w:id="24">
    <w:p w14:paraId="2112A2AA" w14:textId="77777777" w:rsidR="009C6E13" w:rsidRDefault="009C6E13" w:rsidP="00733AEB">
      <w:pPr>
        <w:pStyle w:val="FootnoteText"/>
      </w:pPr>
      <w:r w:rsidRPr="00DA7146">
        <w:rPr>
          <w:rStyle w:val="FootnoteReference"/>
          <w:sz w:val="24"/>
          <w:szCs w:val="24"/>
        </w:rPr>
        <w:footnoteRef/>
      </w:r>
      <w:r w:rsidRPr="00DA7146">
        <w:rPr>
          <w:sz w:val="24"/>
          <w:szCs w:val="24"/>
        </w:rPr>
        <w:t xml:space="preserve"> Section 206 Order, 146 FERC ¶ 61,202.</w:t>
      </w:r>
    </w:p>
  </w:footnote>
  <w:footnote w:id="25">
    <w:p w14:paraId="62F714A5" w14:textId="77777777" w:rsidR="009C6E13" w:rsidRPr="00DA7146" w:rsidRDefault="009C6E13" w:rsidP="00733AEB">
      <w:pPr>
        <w:pStyle w:val="FootnoteText"/>
        <w:rPr>
          <w:sz w:val="24"/>
          <w:szCs w:val="24"/>
        </w:rPr>
      </w:pPr>
      <w:r w:rsidRPr="00DA7146">
        <w:rPr>
          <w:rStyle w:val="FootnoteReference"/>
          <w:sz w:val="24"/>
          <w:szCs w:val="24"/>
        </w:rPr>
        <w:footnoteRef/>
      </w:r>
      <w:r w:rsidRPr="00DA7146">
        <w:rPr>
          <w:sz w:val="24"/>
          <w:szCs w:val="24"/>
        </w:rPr>
        <w:t xml:space="preserve"> 15 U.S.C. § 717d.</w:t>
      </w:r>
    </w:p>
  </w:footnote>
  <w:footnote w:id="26">
    <w:p w14:paraId="3BDFE352" w14:textId="77777777" w:rsidR="009C6E13" w:rsidRPr="00DA7146" w:rsidRDefault="009C6E13" w:rsidP="00733AEB">
      <w:pPr>
        <w:pStyle w:val="FootnoteText"/>
        <w:rPr>
          <w:sz w:val="24"/>
          <w:szCs w:val="24"/>
        </w:rPr>
      </w:pPr>
      <w:r w:rsidRPr="00DA7146">
        <w:rPr>
          <w:rStyle w:val="FootnoteReference"/>
          <w:sz w:val="24"/>
          <w:szCs w:val="24"/>
        </w:rPr>
        <w:footnoteRef/>
      </w:r>
      <w:r w:rsidRPr="00DA7146">
        <w:rPr>
          <w:sz w:val="24"/>
          <w:szCs w:val="24"/>
        </w:rPr>
        <w:t xml:space="preserve"> </w:t>
      </w:r>
      <w:r w:rsidRPr="00DA7146">
        <w:rPr>
          <w:i/>
          <w:iCs/>
          <w:sz w:val="24"/>
          <w:szCs w:val="24"/>
        </w:rPr>
        <w:t>Posting of Offers to Purchase Capacity</w:t>
      </w:r>
      <w:r w:rsidRPr="00DA7146">
        <w:rPr>
          <w:sz w:val="24"/>
          <w:szCs w:val="24"/>
        </w:rPr>
        <w:t xml:space="preserve">, 146 FERC ¶ 61,203 (2014).  </w:t>
      </w:r>
      <w:r w:rsidRPr="00DA7146">
        <w:rPr>
          <w:i/>
          <w:sz w:val="24"/>
          <w:szCs w:val="24"/>
        </w:rPr>
        <w:t xml:space="preserve">See also </w:t>
      </w:r>
      <w:r w:rsidRPr="00DA7146">
        <w:rPr>
          <w:sz w:val="24"/>
          <w:szCs w:val="24"/>
        </w:rPr>
        <w:t>18 CFR 284.8(d)(2013).</w:t>
      </w:r>
    </w:p>
  </w:footnote>
  <w:footnote w:id="27">
    <w:p w14:paraId="45740DB6" w14:textId="77777777" w:rsidR="00CB41CE" w:rsidRPr="004A231D" w:rsidRDefault="00CB41CE" w:rsidP="00CB41CE">
      <w:pPr>
        <w:pStyle w:val="FootnoteText"/>
        <w:rPr>
          <w:sz w:val="24"/>
          <w:szCs w:val="24"/>
        </w:rPr>
      </w:pPr>
      <w:r w:rsidRPr="008B11B2">
        <w:rPr>
          <w:rStyle w:val="FootnoteReference"/>
          <w:sz w:val="24"/>
          <w:szCs w:val="24"/>
        </w:rPr>
        <w:footnoteRef/>
      </w:r>
      <w:r w:rsidRPr="008B11B2">
        <w:rPr>
          <w:sz w:val="24"/>
          <w:szCs w:val="24"/>
        </w:rPr>
        <w:t xml:space="preserve"> </w:t>
      </w:r>
      <w:r w:rsidRPr="004A231D">
        <w:rPr>
          <w:sz w:val="24"/>
          <w:szCs w:val="24"/>
        </w:rPr>
        <w:t>An estimated 16</w:t>
      </w:r>
      <w:r>
        <w:rPr>
          <w:sz w:val="24"/>
          <w:szCs w:val="24"/>
        </w:rPr>
        <w:t>5</w:t>
      </w:r>
      <w:r w:rsidRPr="004A231D">
        <w:rPr>
          <w:sz w:val="24"/>
          <w:szCs w:val="24"/>
        </w:rPr>
        <w:t xml:space="preserve"> natural gas pipelines (Part 284 program) are affected by this Final Rule.  Although some natural gas pipeline companies may utilize business practices that satisfy parts of the proposals in this Final Rule (e.g., provide additional nomination opportunities), the full cost of industry compliance is estimated for the total number of approximately 16</w:t>
      </w:r>
      <w:r>
        <w:rPr>
          <w:sz w:val="24"/>
          <w:szCs w:val="24"/>
        </w:rPr>
        <w:t>5</w:t>
      </w:r>
      <w:r w:rsidRPr="004A231D">
        <w:rPr>
          <w:sz w:val="24"/>
          <w:szCs w:val="24"/>
        </w:rPr>
        <w:t xml:space="preserve"> potential respondents. </w:t>
      </w:r>
    </w:p>
  </w:footnote>
  <w:footnote w:id="28">
    <w:p w14:paraId="103EC5ED" w14:textId="77777777" w:rsidR="00CB41CE" w:rsidRPr="004A231D" w:rsidRDefault="00CB41CE" w:rsidP="00CB41CE">
      <w:pPr>
        <w:pStyle w:val="FootnoteText"/>
        <w:rPr>
          <w:sz w:val="24"/>
          <w:szCs w:val="24"/>
        </w:rPr>
      </w:pPr>
      <w:r w:rsidRPr="004A231D">
        <w:rPr>
          <w:rStyle w:val="FootnoteReference"/>
          <w:sz w:val="24"/>
          <w:szCs w:val="24"/>
        </w:rPr>
        <w:footnoteRef/>
      </w:r>
      <w:r w:rsidRPr="004A231D">
        <w:rPr>
          <w:sz w:val="24"/>
          <w:szCs w:val="24"/>
        </w:rPr>
        <w:t xml:space="preserve"> </w:t>
      </w:r>
      <w:r w:rsidRPr="00817519">
        <w:rPr>
          <w:sz w:val="24"/>
          <w:szCs w:val="24"/>
        </w:rPr>
        <w:t>The hourly wage figures are published by the Bureau of Labor Statistics, U.S. Department of Labor, National Occupational Employment and Wage Estimates, United States, Occupation Profiles, May 2013, at http://www.bls.gov/oes/home.htm, and the benefits are calculated using BLS information, at http://www.bls.gov/news.release/ecec.</w:t>
      </w:r>
      <w:r>
        <w:rPr>
          <w:sz w:val="24"/>
          <w:szCs w:val="24"/>
        </w:rPr>
        <w:t xml:space="preserve">nr0.htm.  Each response to the </w:t>
      </w:r>
      <w:r w:rsidRPr="00817519">
        <w:rPr>
          <w:sz w:val="24"/>
          <w:szCs w:val="24"/>
        </w:rPr>
        <w:t>regulation in Column 1 corresponds to a unique respondent.</w:t>
      </w:r>
    </w:p>
  </w:footnote>
  <w:footnote w:id="29">
    <w:p w14:paraId="533BE186" w14:textId="77777777" w:rsidR="00CB41CE" w:rsidRPr="006D154A" w:rsidRDefault="00CB41CE" w:rsidP="00CB41CE">
      <w:pPr>
        <w:pStyle w:val="FootnoteText"/>
        <w:rPr>
          <w:sz w:val="24"/>
          <w:szCs w:val="24"/>
        </w:rPr>
      </w:pPr>
      <w:r w:rsidRPr="006D154A">
        <w:rPr>
          <w:rStyle w:val="FootnoteReference"/>
          <w:sz w:val="24"/>
          <w:szCs w:val="24"/>
        </w:rPr>
        <w:footnoteRef/>
      </w:r>
      <w:r w:rsidRPr="006D154A">
        <w:rPr>
          <w:sz w:val="24"/>
          <w:szCs w:val="24"/>
        </w:rPr>
        <w:t xml:space="preserve"> The average hourly burden cost (salary plus benefits) related to tariff filings is $70.58.  This represents the average wage (salary and benefits) of the following occupational categories: “Lawyers” ($128.94 per hour, top </w:t>
      </w:r>
      <w:r w:rsidRPr="008A5C98">
        <w:rPr>
          <w:sz w:val="24"/>
          <w:szCs w:val="24"/>
        </w:rPr>
        <w:t xml:space="preserve">10 percent of wage earners), “Computer Systems Analyst” ($58.77 per hour, average composite hourly wage), and “Office and Administrative” ($24.04 per hour, average composite hourly wage).  </w:t>
      </w:r>
      <w:r w:rsidRPr="0014601E">
        <w:rPr>
          <w:sz w:val="24"/>
          <w:szCs w:val="24"/>
        </w:rPr>
        <w:t>Wage data is available from the Bureau of Labor Statistics at http://www.bls.gov/oes/home.htm; background on the estimate of the benefits component is at http://www.bls.gov/news.release/ecec.nr0.htm.</w:t>
      </w:r>
    </w:p>
  </w:footnote>
  <w:footnote w:id="30">
    <w:p w14:paraId="3B47B602" w14:textId="77777777" w:rsidR="00CB41CE" w:rsidRPr="006D154A" w:rsidRDefault="00CB41CE" w:rsidP="00CB41CE">
      <w:pPr>
        <w:pStyle w:val="FootnoteText"/>
        <w:rPr>
          <w:sz w:val="24"/>
          <w:szCs w:val="24"/>
        </w:rPr>
      </w:pPr>
      <w:r w:rsidRPr="006D154A">
        <w:rPr>
          <w:rStyle w:val="FootnoteReference"/>
          <w:sz w:val="24"/>
          <w:szCs w:val="24"/>
        </w:rPr>
        <w:footnoteRef/>
      </w:r>
      <w:r w:rsidRPr="006D154A">
        <w:rPr>
          <w:sz w:val="24"/>
          <w:szCs w:val="24"/>
        </w:rPr>
        <w:t xml:space="preserve"> Some of the estimated 165 natural gas pipeline companies (Part 284 program) may already utilize business practices that satisfy the NAESB proposal elements of this Rulemaking (e.g., provide additional nomination opportunities).  In these instances the full cost of industry compliance is estimated for the total number of potential respondents.</w:t>
      </w:r>
    </w:p>
  </w:footnote>
  <w:footnote w:id="31">
    <w:p w14:paraId="491E4CE2" w14:textId="77777777" w:rsidR="00CB41CE" w:rsidRPr="006D154A" w:rsidRDefault="00CB41CE" w:rsidP="00CB41CE">
      <w:pPr>
        <w:pStyle w:val="FootnoteText"/>
        <w:rPr>
          <w:sz w:val="24"/>
          <w:szCs w:val="24"/>
        </w:rPr>
      </w:pPr>
      <w:r w:rsidRPr="006D154A">
        <w:rPr>
          <w:rStyle w:val="FootnoteReference"/>
          <w:sz w:val="24"/>
          <w:szCs w:val="24"/>
        </w:rPr>
        <w:footnoteRef/>
      </w:r>
      <w:r w:rsidRPr="006D154A">
        <w:rPr>
          <w:sz w:val="24"/>
          <w:szCs w:val="24"/>
        </w:rPr>
        <w:t xml:space="preserve"> The average (mean) hourly cost of tariff filings and implementation for interstate natural gas pipelines is $70.58.  This represents the composite wage (salary and benefits) of the following occupational categories: “Lawyers” ($128.</w:t>
      </w:r>
      <w:r w:rsidRPr="008A5C98">
        <w:rPr>
          <w:sz w:val="24"/>
          <w:szCs w:val="24"/>
        </w:rPr>
        <w:t xml:space="preserve">94 per hour, top 10 percent of wage earners), “Computer Systems Analyst” ($58.77 per hour, average composite hourly wage), and “Office and Administrative” ($24.04 per hour, average composite hourly wage).  </w:t>
      </w:r>
      <w:r w:rsidRPr="0014601E">
        <w:rPr>
          <w:sz w:val="24"/>
          <w:szCs w:val="24"/>
        </w:rPr>
        <w:t>Wage data is available from the Bureau of Labor Statistics at http://www.bls.gov/oes/home.htm; estimate of the benefits component at http://www.bls.gov/news.release/ecec.nr0.htm.</w:t>
      </w:r>
    </w:p>
  </w:footnote>
  <w:footnote w:id="32">
    <w:p w14:paraId="2A7851FE" w14:textId="77777777" w:rsidR="00CB41CE" w:rsidRPr="006D154A" w:rsidRDefault="00CB41CE" w:rsidP="00CB41CE">
      <w:pPr>
        <w:pStyle w:val="FootnoteText"/>
        <w:rPr>
          <w:sz w:val="24"/>
          <w:szCs w:val="24"/>
        </w:rPr>
      </w:pPr>
      <w:r w:rsidRPr="006D154A">
        <w:rPr>
          <w:rStyle w:val="FootnoteReference"/>
          <w:sz w:val="24"/>
          <w:szCs w:val="24"/>
        </w:rPr>
        <w:footnoteRef/>
      </w:r>
      <w:r w:rsidRPr="006D154A">
        <w:rPr>
          <w:sz w:val="24"/>
          <w:szCs w:val="24"/>
        </w:rPr>
        <w:t xml:space="preserve"> A majority of the 165 potential respondents operate under tariffs filed with the Commission that include provisions for multi-party service agreements.  The Commission expects that approximately 8 of the 165 potential respondents (five percent), following an expression of shipper interest, will file tariffs each year with the Commission that support multi-party service agreements.</w:t>
      </w:r>
    </w:p>
  </w:footnote>
  <w:footnote w:id="33">
    <w:p w14:paraId="64EE5995" w14:textId="77777777" w:rsidR="00CB41CE" w:rsidRPr="00425731" w:rsidRDefault="00CB41CE" w:rsidP="00CB41CE">
      <w:pPr>
        <w:pStyle w:val="FootnoteText"/>
        <w:rPr>
          <w:sz w:val="24"/>
          <w:szCs w:val="24"/>
        </w:rPr>
      </w:pPr>
      <w:r w:rsidRPr="006D154A">
        <w:rPr>
          <w:rStyle w:val="FootnoteReference"/>
          <w:sz w:val="24"/>
          <w:szCs w:val="24"/>
        </w:rPr>
        <w:footnoteRef/>
      </w:r>
      <w:r w:rsidRPr="006D154A">
        <w:rPr>
          <w:sz w:val="24"/>
          <w:szCs w:val="24"/>
        </w:rPr>
        <w:t xml:space="preserve"> The average </w:t>
      </w:r>
      <w:r w:rsidRPr="008A5C98">
        <w:rPr>
          <w:sz w:val="24"/>
          <w:szCs w:val="24"/>
        </w:rPr>
        <w:t xml:space="preserve">hourly cost is $63.75.  </w:t>
      </w:r>
      <w:r w:rsidRPr="0014601E">
        <w:rPr>
          <w:sz w:val="24"/>
          <w:szCs w:val="24"/>
        </w:rPr>
        <w:t>This represents the average wage (salary and benefits) of the following occupational categories: “Lawyers” ($128.94 per hour, top 10 percent of wage earners), “Computer Systems Analyst” ($58.77 per hour, average composite hourly wage), “Gas Plant Operator” ($43.24 per hour, average composite hourly wage), and “</w:t>
      </w:r>
      <w:r w:rsidRPr="00425731">
        <w:rPr>
          <w:sz w:val="24"/>
          <w:szCs w:val="24"/>
        </w:rPr>
        <w:t xml:space="preserve">Office and Administrative” ($24.04 per hour, average composite hourly wage).  </w:t>
      </w:r>
    </w:p>
  </w:footnote>
  <w:footnote w:id="34">
    <w:p w14:paraId="26EFA0F1" w14:textId="36AED2F6" w:rsidR="00CB41CE" w:rsidRPr="009C5F46" w:rsidRDefault="00CB41CE" w:rsidP="00CB41CE">
      <w:pPr>
        <w:pStyle w:val="FootnoteText"/>
        <w:rPr>
          <w:sz w:val="24"/>
          <w:szCs w:val="24"/>
        </w:rPr>
      </w:pPr>
      <w:r w:rsidRPr="00425731">
        <w:rPr>
          <w:rStyle w:val="FootnoteReference"/>
          <w:sz w:val="24"/>
          <w:szCs w:val="24"/>
        </w:rPr>
        <w:footnoteRef/>
      </w:r>
      <w:r w:rsidRPr="00425731">
        <w:rPr>
          <w:sz w:val="24"/>
          <w:szCs w:val="24"/>
        </w:rPr>
        <w:t xml:space="preserve"> For ongoing operations, we estimate 0.5 hours per calendar day per respondent (or 182.5 hours annually per respondent).  </w:t>
      </w:r>
      <w:r w:rsidR="00402F1C" w:rsidRPr="00425731">
        <w:rPr>
          <w:sz w:val="24"/>
          <w:szCs w:val="24"/>
        </w:rPr>
        <w:t xml:space="preserve">For this clearance package, we are counting that </w:t>
      </w:r>
      <w:r w:rsidR="006615DB" w:rsidRPr="00425731">
        <w:rPr>
          <w:sz w:val="24"/>
          <w:szCs w:val="24"/>
        </w:rPr>
        <w:t xml:space="preserve">FERC-549C ongoing component </w:t>
      </w:r>
      <w:r w:rsidR="00402F1C" w:rsidRPr="00425731">
        <w:rPr>
          <w:sz w:val="24"/>
          <w:szCs w:val="24"/>
        </w:rPr>
        <w:t>as 1 response [albeit daily] for each of the 165 respondents.</w:t>
      </w:r>
    </w:p>
    <w:p w14:paraId="51FE0209" w14:textId="77777777" w:rsidR="00CB41CE" w:rsidRPr="006D154A" w:rsidRDefault="00CB41CE" w:rsidP="00CB41CE">
      <w:pPr>
        <w:pStyle w:val="FootnoteText"/>
        <w:rPr>
          <w:sz w:val="24"/>
          <w:szCs w:val="24"/>
        </w:rPr>
      </w:pPr>
      <w:r w:rsidRPr="009C5F46">
        <w:rPr>
          <w:sz w:val="24"/>
          <w:szCs w:val="24"/>
        </w:rPr>
        <w:t xml:space="preserve">The average hourly cost is $51.  </w:t>
      </w:r>
      <w:r w:rsidRPr="0014601E">
        <w:rPr>
          <w:sz w:val="24"/>
          <w:szCs w:val="24"/>
        </w:rPr>
        <w:t>This represents the average wage (salary and benefits) of the following occupational categories: “Computer Systems Analyst” ($58.77 per hour), and “Gas Plant Operator” ($43.24 per hour).</w:t>
      </w:r>
    </w:p>
    <w:p w14:paraId="18A0EDDC" w14:textId="77777777" w:rsidR="00CB41CE" w:rsidRPr="006D154A" w:rsidRDefault="00CB41CE" w:rsidP="00CB41CE">
      <w:pPr>
        <w:pStyle w:val="FootnoteText"/>
        <w:rPr>
          <w:sz w:val="24"/>
          <w:szCs w:val="24"/>
        </w:rPr>
      </w:pPr>
    </w:p>
  </w:footnote>
  <w:footnote w:id="35">
    <w:p w14:paraId="504C4361" w14:textId="705653A6" w:rsidR="009C6E13" w:rsidRPr="00E70325" w:rsidRDefault="009C6E13" w:rsidP="00231159">
      <w:pPr>
        <w:pStyle w:val="FootnoteText"/>
        <w:rPr>
          <w:sz w:val="24"/>
          <w:szCs w:val="24"/>
        </w:rPr>
      </w:pPr>
      <w:r w:rsidRPr="00E70325">
        <w:rPr>
          <w:rStyle w:val="FootnoteReference"/>
          <w:sz w:val="24"/>
          <w:szCs w:val="24"/>
        </w:rPr>
        <w:footnoteRef/>
      </w:r>
      <w:r w:rsidRPr="00E70325">
        <w:rPr>
          <w:sz w:val="24"/>
          <w:szCs w:val="24"/>
        </w:rPr>
        <w:t xml:space="preserve"> Based on </w:t>
      </w:r>
      <w:r w:rsidR="00CD346D">
        <w:rPr>
          <w:sz w:val="24"/>
          <w:szCs w:val="24"/>
        </w:rPr>
        <w:t xml:space="preserve">FERC’s Fiscal Year </w:t>
      </w:r>
      <w:r w:rsidRPr="00E70325">
        <w:rPr>
          <w:sz w:val="24"/>
          <w:szCs w:val="24"/>
        </w:rPr>
        <w:t>201</w:t>
      </w:r>
      <w:r>
        <w:rPr>
          <w:sz w:val="24"/>
          <w:szCs w:val="24"/>
        </w:rPr>
        <w:t>5</w:t>
      </w:r>
      <w:r w:rsidRPr="00E70325">
        <w:rPr>
          <w:sz w:val="24"/>
          <w:szCs w:val="24"/>
        </w:rPr>
        <w:t xml:space="preserve"> </w:t>
      </w:r>
      <w:r w:rsidR="009A0848">
        <w:rPr>
          <w:sz w:val="24"/>
          <w:szCs w:val="24"/>
        </w:rPr>
        <w:t xml:space="preserve">average </w:t>
      </w:r>
      <w:r w:rsidRPr="00E70325">
        <w:rPr>
          <w:sz w:val="24"/>
          <w:szCs w:val="24"/>
        </w:rPr>
        <w:t xml:space="preserve">cost </w:t>
      </w:r>
      <w:r w:rsidR="00CD346D" w:rsidRPr="00E70325">
        <w:rPr>
          <w:sz w:val="24"/>
          <w:szCs w:val="24"/>
        </w:rPr>
        <w:t xml:space="preserve">per FTE </w:t>
      </w:r>
      <w:r w:rsidRPr="00E70325">
        <w:rPr>
          <w:sz w:val="24"/>
          <w:szCs w:val="24"/>
        </w:rPr>
        <w:t xml:space="preserve">(salary plus benefits) of </w:t>
      </w:r>
      <w:r w:rsidRPr="008759E2">
        <w:rPr>
          <w:sz w:val="24"/>
          <w:szCs w:val="24"/>
        </w:rPr>
        <w:t>$149,489</w:t>
      </w:r>
      <w:r w:rsidRPr="00E70325">
        <w:rPr>
          <w:sz w:val="24"/>
          <w:szCs w:val="24"/>
        </w:rPr>
        <w:t xml:space="preserve"> </w:t>
      </w:r>
      <w:r w:rsidR="00CB41CE">
        <w:rPr>
          <w:sz w:val="24"/>
          <w:szCs w:val="24"/>
        </w:rPr>
        <w:t xml:space="preserve">per </w:t>
      </w:r>
      <w:r w:rsidRPr="00E70325">
        <w:rPr>
          <w:sz w:val="24"/>
          <w:szCs w:val="24"/>
        </w:rPr>
        <w:t xml:space="preserve">year (or 2,080 </w:t>
      </w:r>
      <w:r w:rsidR="00CD346D">
        <w:rPr>
          <w:sz w:val="24"/>
          <w:szCs w:val="24"/>
        </w:rPr>
        <w:t xml:space="preserve">work </w:t>
      </w:r>
      <w:r w:rsidRPr="00E70325">
        <w:rPr>
          <w:sz w:val="24"/>
          <w:szCs w:val="24"/>
        </w:rPr>
        <w:t>hours), rounded to $</w:t>
      </w:r>
      <w:r>
        <w:rPr>
          <w:sz w:val="24"/>
          <w:szCs w:val="24"/>
        </w:rPr>
        <w:t>72.00</w:t>
      </w:r>
      <w:r w:rsidRPr="00E70325">
        <w:rPr>
          <w:sz w:val="24"/>
          <w:szCs w:val="24"/>
        </w:rPr>
        <w:t xml:space="preserve"> per hour.</w:t>
      </w:r>
      <w:r>
        <w:rPr>
          <w:sz w:val="24"/>
          <w:szCs w:val="24"/>
        </w:rPr>
        <w:t xml:space="preserve"> </w:t>
      </w:r>
    </w:p>
  </w:footnote>
  <w:footnote w:id="36">
    <w:p w14:paraId="63C3AF15" w14:textId="16D2A12D" w:rsidR="009C6E13" w:rsidRPr="00817519" w:rsidRDefault="009C6E13">
      <w:pPr>
        <w:pStyle w:val="FootnoteText"/>
        <w:rPr>
          <w:sz w:val="24"/>
          <w:szCs w:val="24"/>
        </w:rPr>
      </w:pPr>
      <w:r w:rsidRPr="00E70325">
        <w:rPr>
          <w:rStyle w:val="FootnoteReference"/>
          <w:sz w:val="24"/>
          <w:szCs w:val="24"/>
        </w:rPr>
        <w:footnoteRef/>
      </w:r>
      <w:r w:rsidRPr="00E70325">
        <w:rPr>
          <w:sz w:val="24"/>
          <w:szCs w:val="24"/>
        </w:rPr>
        <w:t xml:space="preserve"> Paperwork Reduction Act of </w:t>
      </w:r>
      <w:r w:rsidRPr="007F1297">
        <w:rPr>
          <w:sz w:val="24"/>
          <w:szCs w:val="24"/>
        </w:rPr>
        <w:t>1995 (PRA)</w:t>
      </w:r>
    </w:p>
  </w:footnote>
  <w:footnote w:id="37">
    <w:p w14:paraId="18C1BE6D" w14:textId="703D7420" w:rsidR="009C6E13" w:rsidRPr="0014601E" w:rsidRDefault="009C6E13" w:rsidP="00231159">
      <w:pPr>
        <w:pStyle w:val="FootnoteText"/>
        <w:rPr>
          <w:sz w:val="24"/>
          <w:szCs w:val="24"/>
        </w:rPr>
      </w:pPr>
      <w:r w:rsidRPr="009C5F46">
        <w:rPr>
          <w:rStyle w:val="FootnoteReference"/>
          <w:sz w:val="24"/>
          <w:szCs w:val="24"/>
        </w:rPr>
        <w:footnoteRef/>
      </w:r>
      <w:r w:rsidRPr="009C5F46">
        <w:rPr>
          <w:sz w:val="24"/>
          <w:szCs w:val="24"/>
        </w:rPr>
        <w:t xml:space="preserve"> The PRA Administration Cost is $</w:t>
      </w:r>
      <w:r w:rsidRPr="00824E72">
        <w:t xml:space="preserve"> </w:t>
      </w:r>
      <w:r w:rsidRPr="007D241B">
        <w:rPr>
          <w:sz w:val="24"/>
          <w:szCs w:val="24"/>
        </w:rPr>
        <w:t>5,193, and includes preparing supporting statements, notices, and other activities associated with Pa</w:t>
      </w:r>
      <w:r w:rsidRPr="0014601E">
        <w:rPr>
          <w:sz w:val="24"/>
          <w:szCs w:val="24"/>
        </w:rPr>
        <w:t>perwork Reduction Act compliance.</w:t>
      </w:r>
    </w:p>
  </w:footnote>
  <w:footnote w:id="38">
    <w:p w14:paraId="464E11F9" w14:textId="531021A7" w:rsidR="009C6E13" w:rsidRPr="00443AA1" w:rsidRDefault="009C6E13">
      <w:pPr>
        <w:pStyle w:val="FootnoteText"/>
        <w:rPr>
          <w:sz w:val="24"/>
          <w:szCs w:val="24"/>
        </w:rPr>
      </w:pPr>
      <w:r w:rsidRPr="00443AA1">
        <w:rPr>
          <w:rStyle w:val="FootnoteReference"/>
          <w:sz w:val="24"/>
          <w:szCs w:val="24"/>
        </w:rPr>
        <w:footnoteRef/>
      </w:r>
      <w:r w:rsidRPr="00443AA1">
        <w:rPr>
          <w:sz w:val="24"/>
          <w:szCs w:val="24"/>
        </w:rPr>
        <w:t xml:space="preserve"> The estimate of federal FTE’s </w:t>
      </w:r>
      <w:r>
        <w:rPr>
          <w:sz w:val="24"/>
          <w:szCs w:val="24"/>
        </w:rPr>
        <w:t xml:space="preserve">and the indicated </w:t>
      </w:r>
      <w:r w:rsidRPr="00443AA1">
        <w:rPr>
          <w:sz w:val="24"/>
          <w:szCs w:val="24"/>
        </w:rPr>
        <w:t xml:space="preserve">split between FERC-545 and FERC549C is based on staff’s experience and the fact that the FERC-545 </w:t>
      </w:r>
      <w:r>
        <w:rPr>
          <w:sz w:val="24"/>
          <w:szCs w:val="24"/>
        </w:rPr>
        <w:t>filings a</w:t>
      </w:r>
      <w:r w:rsidRPr="00443AA1">
        <w:rPr>
          <w:sz w:val="24"/>
          <w:szCs w:val="24"/>
        </w:rPr>
        <w:t>re one-time</w:t>
      </w:r>
      <w:r>
        <w:rPr>
          <w:sz w:val="24"/>
          <w:szCs w:val="24"/>
        </w:rPr>
        <w:t>, with</w:t>
      </w:r>
      <w:r w:rsidRPr="00443AA1">
        <w:rPr>
          <w:sz w:val="24"/>
          <w:szCs w:val="24"/>
        </w:rPr>
        <w:t xml:space="preserve"> the FERC-549C </w:t>
      </w:r>
      <w:r>
        <w:rPr>
          <w:sz w:val="24"/>
          <w:szCs w:val="24"/>
        </w:rPr>
        <w:t>requirements</w:t>
      </w:r>
      <w:r w:rsidRPr="00842BD4">
        <w:rPr>
          <w:sz w:val="24"/>
          <w:szCs w:val="24"/>
        </w:rPr>
        <w:t xml:space="preserve"> both one-time and on-go</w:t>
      </w:r>
      <w:r w:rsidRPr="00443AA1">
        <w:rPr>
          <w:sz w:val="24"/>
          <w:szCs w:val="24"/>
        </w:rPr>
        <w:t>ing.</w:t>
      </w:r>
    </w:p>
  </w:footnote>
  <w:footnote w:id="39">
    <w:p w14:paraId="46B70C1B" w14:textId="1395B807" w:rsidR="009C6E13" w:rsidRPr="0014601E" w:rsidRDefault="009C6E13">
      <w:pPr>
        <w:pStyle w:val="FootnoteText"/>
        <w:rPr>
          <w:sz w:val="24"/>
          <w:szCs w:val="24"/>
        </w:rPr>
      </w:pPr>
      <w:r w:rsidRPr="0014601E">
        <w:rPr>
          <w:rStyle w:val="FootnoteReference"/>
          <w:sz w:val="24"/>
          <w:szCs w:val="24"/>
        </w:rPr>
        <w:footnoteRef/>
      </w:r>
      <w:r w:rsidRPr="0014601E">
        <w:rPr>
          <w:sz w:val="24"/>
          <w:szCs w:val="24"/>
        </w:rPr>
        <w:t xml:space="preserve"> This cost includes the Data Processing and Analysis cost.  In addition, it includes a portion of the PRA Admin. cost weighted as follows:</w:t>
      </w:r>
    </w:p>
    <w:p w14:paraId="28F89E3D" w14:textId="1C25B22B" w:rsidR="009C6E13" w:rsidRPr="007F1297" w:rsidRDefault="009C6E13" w:rsidP="00807E75">
      <w:pPr>
        <w:pStyle w:val="FootnoteText"/>
        <w:numPr>
          <w:ilvl w:val="0"/>
          <w:numId w:val="22"/>
        </w:numPr>
        <w:rPr>
          <w:sz w:val="24"/>
          <w:szCs w:val="24"/>
        </w:rPr>
      </w:pPr>
      <w:r w:rsidRPr="0014601E">
        <w:rPr>
          <w:sz w:val="24"/>
          <w:szCs w:val="24"/>
        </w:rPr>
        <w:t>for FERC-545, 0.25 * $5,193</w:t>
      </w:r>
      <w:r w:rsidRPr="007F1297">
        <w:rPr>
          <w:sz w:val="24"/>
          <w:szCs w:val="24"/>
        </w:rPr>
        <w:t xml:space="preserve"> </w:t>
      </w:r>
      <w:r w:rsidRPr="00817519">
        <w:rPr>
          <w:sz w:val="24"/>
          <w:szCs w:val="24"/>
        </w:rPr>
        <w:t>=$1,2</w:t>
      </w:r>
      <w:r w:rsidRPr="0014601E">
        <w:rPr>
          <w:sz w:val="24"/>
          <w:szCs w:val="24"/>
        </w:rPr>
        <w:t>98</w:t>
      </w:r>
    </w:p>
    <w:p w14:paraId="69EABB40" w14:textId="080986C8" w:rsidR="009C6E13" w:rsidRDefault="009C6E13" w:rsidP="00807E75">
      <w:pPr>
        <w:pStyle w:val="FootnoteText"/>
        <w:numPr>
          <w:ilvl w:val="0"/>
          <w:numId w:val="22"/>
        </w:numPr>
      </w:pPr>
      <w:r w:rsidRPr="00817519">
        <w:rPr>
          <w:sz w:val="24"/>
          <w:szCs w:val="24"/>
        </w:rPr>
        <w:t>for FERC-549C, 0.75 * $5,</w:t>
      </w:r>
      <w:r w:rsidRPr="0014601E">
        <w:rPr>
          <w:sz w:val="24"/>
          <w:szCs w:val="24"/>
        </w:rPr>
        <w:t>193</w:t>
      </w:r>
      <w:r w:rsidRPr="007F1297">
        <w:rPr>
          <w:sz w:val="24"/>
          <w:szCs w:val="24"/>
        </w:rPr>
        <w:t>=$3,</w:t>
      </w:r>
      <w:r w:rsidRPr="00817519">
        <w:rPr>
          <w:sz w:val="24"/>
          <w:szCs w:val="24"/>
        </w:rPr>
        <w:t>895</w:t>
      </w:r>
    </w:p>
  </w:footnote>
  <w:footnote w:id="40">
    <w:p w14:paraId="13DD7284" w14:textId="77777777" w:rsidR="00CD346D" w:rsidRPr="00E70325" w:rsidRDefault="00CD346D" w:rsidP="00CD346D">
      <w:pPr>
        <w:pStyle w:val="FootnoteText"/>
        <w:rPr>
          <w:sz w:val="24"/>
          <w:szCs w:val="24"/>
        </w:rPr>
      </w:pPr>
      <w:r w:rsidRPr="001B7C2A">
        <w:rPr>
          <w:rStyle w:val="FootnoteReference"/>
          <w:sz w:val="24"/>
          <w:szCs w:val="24"/>
        </w:rPr>
        <w:footnoteRef/>
      </w:r>
      <w:r w:rsidRPr="001B7C2A">
        <w:rPr>
          <w:sz w:val="24"/>
          <w:szCs w:val="24"/>
        </w:rPr>
        <w:t xml:space="preserve"> FERC-545 includes items such as: Standard Rate Case Issues (e.g., Compliance, Cost of Service, </w:t>
      </w:r>
      <w:r w:rsidRPr="00E70325">
        <w:rPr>
          <w:sz w:val="24"/>
          <w:szCs w:val="24"/>
        </w:rPr>
        <w:t xml:space="preserve">Settlement); Reports (e.g., Annual, Reconciliation); Negotiated Rates; Non-Conforming Agreements; and Tariffs </w:t>
      </w:r>
      <w:r>
        <w:rPr>
          <w:sz w:val="24"/>
          <w:szCs w:val="24"/>
        </w:rPr>
        <w:t xml:space="preserve">  </w:t>
      </w:r>
    </w:p>
  </w:footnote>
  <w:footnote w:id="41">
    <w:p w14:paraId="606C4365" w14:textId="77777777" w:rsidR="00CB41CE" w:rsidRPr="00DA7146" w:rsidRDefault="00CB41CE" w:rsidP="00CB41CE">
      <w:pPr>
        <w:pStyle w:val="FootnoteText"/>
        <w:rPr>
          <w:sz w:val="24"/>
          <w:szCs w:val="24"/>
        </w:rPr>
      </w:pPr>
      <w:r w:rsidRPr="00DA7146">
        <w:rPr>
          <w:rStyle w:val="FootnoteReference"/>
          <w:sz w:val="24"/>
          <w:szCs w:val="24"/>
        </w:rPr>
        <w:footnoteRef/>
      </w:r>
      <w:r w:rsidRPr="00DA7146">
        <w:rPr>
          <w:sz w:val="24"/>
          <w:szCs w:val="24"/>
        </w:rPr>
        <w:t xml:space="preserve"> </w:t>
      </w:r>
      <w:r w:rsidRPr="00DA7146">
        <w:rPr>
          <w:i/>
          <w:sz w:val="24"/>
          <w:szCs w:val="24"/>
        </w:rPr>
        <w:t>Coordination of the Scheduling Processes of Interstate Natural Gas Pipelines and Public Utilities</w:t>
      </w:r>
      <w:r w:rsidRPr="00DA7146">
        <w:rPr>
          <w:sz w:val="24"/>
          <w:szCs w:val="24"/>
        </w:rPr>
        <w:t>, 79 FR 18223 (April 1, 2014), FERC Stats. &amp; Regs ¶ 32,700 (2014) (cross-referenced at 146 FERC ¶ 61,201 (2014)) (NOPR).</w:t>
      </w:r>
    </w:p>
  </w:footnote>
  <w:footnote w:id="42">
    <w:p w14:paraId="172E076D" w14:textId="30DDC4FF" w:rsidR="009C6E13" w:rsidRPr="0014601E" w:rsidRDefault="009C6E13">
      <w:pPr>
        <w:pStyle w:val="FootnoteText"/>
        <w:rPr>
          <w:sz w:val="24"/>
          <w:szCs w:val="24"/>
        </w:rPr>
      </w:pPr>
      <w:r w:rsidRPr="00824E72">
        <w:rPr>
          <w:rStyle w:val="FootnoteReference"/>
          <w:sz w:val="24"/>
          <w:szCs w:val="24"/>
        </w:rPr>
        <w:footnoteRef/>
      </w:r>
      <w:r w:rsidRPr="007D241B">
        <w:rPr>
          <w:sz w:val="24"/>
          <w:szCs w:val="24"/>
        </w:rPr>
        <w:t xml:space="preserve"> This FERC-545 burden increase is one-time and only in Year 1.  </w:t>
      </w:r>
      <w:r w:rsidR="000C7409">
        <w:rPr>
          <w:sz w:val="24"/>
          <w:szCs w:val="24"/>
        </w:rPr>
        <w:t xml:space="preserve">For this submittal, it is being averaged over Years 1-3; </w:t>
      </w:r>
      <w:r w:rsidRPr="007D241B">
        <w:rPr>
          <w:sz w:val="24"/>
          <w:szCs w:val="24"/>
        </w:rPr>
        <w:t xml:space="preserve">FERC will request that it be removed from the inventory of FERC-545 after </w:t>
      </w:r>
      <w:r w:rsidR="000C7409">
        <w:rPr>
          <w:sz w:val="24"/>
          <w:szCs w:val="24"/>
        </w:rPr>
        <w:t>Year 3</w:t>
      </w:r>
      <w:r w:rsidRPr="007D241B">
        <w:rPr>
          <w:sz w:val="24"/>
          <w:szCs w:val="24"/>
        </w:rPr>
        <w:t>.</w:t>
      </w:r>
    </w:p>
  </w:footnote>
  <w:footnote w:id="43">
    <w:p w14:paraId="42C43568" w14:textId="13F493F6" w:rsidR="009C6E13" w:rsidRPr="001B7C2A" w:rsidRDefault="009C6E13" w:rsidP="000B6AAE">
      <w:pPr>
        <w:pStyle w:val="FootnoteText"/>
        <w:rPr>
          <w:sz w:val="24"/>
          <w:szCs w:val="24"/>
        </w:rPr>
      </w:pPr>
      <w:r w:rsidRPr="0014601E">
        <w:rPr>
          <w:rStyle w:val="FootnoteReference"/>
          <w:sz w:val="24"/>
          <w:szCs w:val="24"/>
        </w:rPr>
        <w:footnoteRef/>
      </w:r>
      <w:r w:rsidRPr="0014601E">
        <w:rPr>
          <w:sz w:val="24"/>
          <w:szCs w:val="24"/>
        </w:rPr>
        <w:t xml:space="preserve"> Each of the 165 </w:t>
      </w:r>
      <w:r w:rsidRPr="00425731">
        <w:rPr>
          <w:sz w:val="24"/>
          <w:szCs w:val="24"/>
        </w:rPr>
        <w:t xml:space="preserve">respondents has one-time burden, and each has ongoing burden.  As a result, the reginfo.gov and ROCIS number of responses shows </w:t>
      </w:r>
      <w:r w:rsidR="006615DB" w:rsidRPr="00425731">
        <w:rPr>
          <w:sz w:val="24"/>
          <w:szCs w:val="24"/>
        </w:rPr>
        <w:t xml:space="preserve">330 </w:t>
      </w:r>
      <w:r w:rsidRPr="00425731">
        <w:rPr>
          <w:sz w:val="24"/>
          <w:szCs w:val="24"/>
        </w:rPr>
        <w:t>additional responses (+</w:t>
      </w:r>
      <w:r w:rsidR="006615DB" w:rsidRPr="00425731">
        <w:rPr>
          <w:sz w:val="24"/>
          <w:szCs w:val="24"/>
        </w:rPr>
        <w:t>165</w:t>
      </w:r>
      <w:r w:rsidRPr="00425731">
        <w:rPr>
          <w:sz w:val="24"/>
          <w:szCs w:val="24"/>
        </w:rPr>
        <w:t xml:space="preserve">one-time, plus </w:t>
      </w:r>
      <w:r w:rsidR="006615DB" w:rsidRPr="00425731">
        <w:rPr>
          <w:sz w:val="24"/>
          <w:szCs w:val="24"/>
        </w:rPr>
        <w:t xml:space="preserve">165 </w:t>
      </w:r>
      <w:r w:rsidRPr="00425731">
        <w:rPr>
          <w:sz w:val="24"/>
          <w:szCs w:val="24"/>
        </w:rPr>
        <w:t xml:space="preserve">ongoing), giving a total new number of responses of </w:t>
      </w:r>
      <w:r w:rsidR="006615DB" w:rsidRPr="00425731">
        <w:rPr>
          <w:sz w:val="24"/>
          <w:szCs w:val="24"/>
        </w:rPr>
        <w:t>491</w:t>
      </w:r>
      <w:r w:rsidRPr="00425731">
        <w:rPr>
          <w:sz w:val="24"/>
          <w:szCs w:val="24"/>
        </w:rPr>
        <w:t>.</w:t>
      </w:r>
    </w:p>
  </w:footnote>
  <w:footnote w:id="44">
    <w:p w14:paraId="1FC90CAF" w14:textId="09656DA0" w:rsidR="009C6E13" w:rsidRDefault="009C6E13" w:rsidP="000B6AAE">
      <w:pPr>
        <w:pStyle w:val="FootnoteText"/>
      </w:pPr>
      <w:r w:rsidRPr="001B7C2A">
        <w:rPr>
          <w:rStyle w:val="FootnoteReference"/>
          <w:sz w:val="24"/>
          <w:szCs w:val="24"/>
        </w:rPr>
        <w:footnoteRef/>
      </w:r>
      <w:r w:rsidRPr="001B7C2A">
        <w:rPr>
          <w:sz w:val="24"/>
          <w:szCs w:val="24"/>
        </w:rPr>
        <w:t xml:space="preserve"> Averaging the one-time burden and cost over Years 1-3 for the purposes of this PRA-related supporting statement (for the total </w:t>
      </w:r>
      <w:r>
        <w:rPr>
          <w:sz w:val="24"/>
          <w:szCs w:val="24"/>
        </w:rPr>
        <w:t xml:space="preserve">number </w:t>
      </w:r>
      <w:r w:rsidRPr="001B7C2A">
        <w:rPr>
          <w:sz w:val="24"/>
          <w:szCs w:val="24"/>
        </w:rPr>
        <w:t>of entities)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75745" w14:textId="4389B8FC" w:rsidR="009C6E13" w:rsidRDefault="009C6E13" w:rsidP="00A72889">
    <w:pPr>
      <w:pStyle w:val="Header"/>
    </w:pPr>
    <w:r>
      <w:t xml:space="preserve">FERC-545 (OMB Control No. 1902-0154) and </w:t>
    </w:r>
    <w:r w:rsidRPr="00A72889">
      <w:t>FERC-549C (OMB Control No. 1902-0174)</w:t>
    </w:r>
  </w:p>
  <w:p w14:paraId="5F7B96EE" w14:textId="6794D27A" w:rsidR="009C6E13" w:rsidRDefault="009C6E13" w:rsidP="00A72889">
    <w:pPr>
      <w:pStyle w:val="Header"/>
    </w:pPr>
    <w:r>
      <w:t>Docket No. RM14-2-000 (Final Rule,</w:t>
    </w:r>
    <w:r w:rsidRPr="000E3D96">
      <w:t xml:space="preserve"> Issued </w:t>
    </w:r>
    <w:r>
      <w:t>4</w:t>
    </w:r>
    <w:r w:rsidRPr="00A55F2D">
      <w:t>/</w:t>
    </w:r>
    <w:r>
      <w:t>16</w:t>
    </w:r>
    <w:r w:rsidRPr="00A55F2D">
      <w:t>/201</w:t>
    </w:r>
    <w:r>
      <w:t>5)</w:t>
    </w:r>
    <w:r w:rsidRPr="000E3D96">
      <w:t>; RIN</w:t>
    </w:r>
    <w:r w:rsidRPr="000002B9">
      <w:t xml:space="preserve"> 1902-AE82</w:t>
    </w:r>
  </w:p>
  <w:p w14:paraId="5FD614F8" w14:textId="19A575BA" w:rsidR="009C6E13" w:rsidRDefault="009C6E13" w:rsidP="00A72889">
    <w:pPr>
      <w:pStyle w:val="Header"/>
    </w:pPr>
    <w:r>
      <w:t>(updated 7/2/2015)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558"/>
    <w:multiLevelType w:val="hybridMultilevel"/>
    <w:tmpl w:val="01B282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ACC77E8"/>
    <w:multiLevelType w:val="hybridMultilevel"/>
    <w:tmpl w:val="9F1C93B0"/>
    <w:lvl w:ilvl="0" w:tplc="8FE84B46">
      <w:start w:val="2"/>
      <w:numFmt w:val="decimal"/>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
    <w:nsid w:val="0C747DB0"/>
    <w:multiLevelType w:val="hybridMultilevel"/>
    <w:tmpl w:val="5C34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0412F"/>
    <w:multiLevelType w:val="hybridMultilevel"/>
    <w:tmpl w:val="CEAA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00A24"/>
    <w:multiLevelType w:val="hybridMultilevel"/>
    <w:tmpl w:val="7428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097D9F"/>
    <w:multiLevelType w:val="hybridMultilevel"/>
    <w:tmpl w:val="2374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2E00FE"/>
    <w:multiLevelType w:val="hybridMultilevel"/>
    <w:tmpl w:val="8B442898"/>
    <w:lvl w:ilvl="0" w:tplc="1C8C7F74">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7E677A6"/>
    <w:multiLevelType w:val="multilevel"/>
    <w:tmpl w:val="5F18A6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7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8D601BA"/>
    <w:multiLevelType w:val="hybridMultilevel"/>
    <w:tmpl w:val="6F6CE4EA"/>
    <w:lvl w:ilvl="0" w:tplc="F594DBE4">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1A8F1AFA"/>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B4E83"/>
    <w:multiLevelType w:val="hybridMultilevel"/>
    <w:tmpl w:val="BFBAE6CA"/>
    <w:lvl w:ilvl="0" w:tplc="F4E6BEB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9F5C04"/>
    <w:multiLevelType w:val="hybridMultilevel"/>
    <w:tmpl w:val="AA32C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FA87F85"/>
    <w:multiLevelType w:val="hybridMultilevel"/>
    <w:tmpl w:val="A814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6B484D"/>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71095E"/>
    <w:multiLevelType w:val="hybridMultilevel"/>
    <w:tmpl w:val="20D0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F65A9"/>
    <w:multiLevelType w:val="hybridMultilevel"/>
    <w:tmpl w:val="22207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1F5155"/>
    <w:multiLevelType w:val="hybridMultilevel"/>
    <w:tmpl w:val="D8827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5956E2"/>
    <w:multiLevelType w:val="hybridMultilevel"/>
    <w:tmpl w:val="E09ECAD4"/>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9">
    <w:nsid w:val="48F803E2"/>
    <w:multiLevelType w:val="hybridMultilevel"/>
    <w:tmpl w:val="0BE239CA"/>
    <w:lvl w:ilvl="0" w:tplc="D3700D42">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9D42070"/>
    <w:multiLevelType w:val="hybridMultilevel"/>
    <w:tmpl w:val="4010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D6583F"/>
    <w:multiLevelType w:val="hybridMultilevel"/>
    <w:tmpl w:val="6110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2503D0"/>
    <w:multiLevelType w:val="hybridMultilevel"/>
    <w:tmpl w:val="CBD66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9E7312B"/>
    <w:multiLevelType w:val="hybridMultilevel"/>
    <w:tmpl w:val="2C68D9A6"/>
    <w:lvl w:ilvl="0" w:tplc="042ECDC8">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5E3616E5"/>
    <w:multiLevelType w:val="hybridMultilevel"/>
    <w:tmpl w:val="EE86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405595"/>
    <w:multiLevelType w:val="hybridMultilevel"/>
    <w:tmpl w:val="E438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2E4280"/>
    <w:multiLevelType w:val="hybridMultilevel"/>
    <w:tmpl w:val="53DC877E"/>
    <w:lvl w:ilvl="0" w:tplc="7C6EF6CA">
      <w:start w:val="1"/>
      <w:numFmt w:val="decimal"/>
      <w:lvlText w:val="Issue %1."/>
      <w:lvlJc w:val="left"/>
      <w:pPr>
        <w:tabs>
          <w:tab w:val="num" w:pos="360"/>
        </w:tabs>
        <w:ind w:left="144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DE52BE2"/>
    <w:multiLevelType w:val="hybridMultilevel"/>
    <w:tmpl w:val="84F64D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748155AE"/>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75272E"/>
    <w:multiLevelType w:val="hybridMultilevel"/>
    <w:tmpl w:val="93D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EF6CCD"/>
    <w:multiLevelType w:val="hybridMultilevel"/>
    <w:tmpl w:val="7AF8D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7"/>
  </w:num>
  <w:num w:numId="3">
    <w:abstractNumId w:val="20"/>
  </w:num>
  <w:num w:numId="4">
    <w:abstractNumId w:val="10"/>
  </w:num>
  <w:num w:numId="5">
    <w:abstractNumId w:val="30"/>
  </w:num>
  <w:num w:numId="6">
    <w:abstractNumId w:val="0"/>
  </w:num>
  <w:num w:numId="7">
    <w:abstractNumId w:val="27"/>
  </w:num>
  <w:num w:numId="8">
    <w:abstractNumId w:val="1"/>
  </w:num>
  <w:num w:numId="9">
    <w:abstractNumId w:val="23"/>
  </w:num>
  <w:num w:numId="10">
    <w:abstractNumId w:val="18"/>
  </w:num>
  <w:num w:numId="11">
    <w:abstractNumId w:val="6"/>
  </w:num>
  <w:num w:numId="12">
    <w:abstractNumId w:val="8"/>
  </w:num>
  <w:num w:numId="13">
    <w:abstractNumId w:val="19"/>
  </w:num>
  <w:num w:numId="14">
    <w:abstractNumId w:val="25"/>
  </w:num>
  <w:num w:numId="15">
    <w:abstractNumId w:val="4"/>
  </w:num>
  <w:num w:numId="16">
    <w:abstractNumId w:val="21"/>
  </w:num>
  <w:num w:numId="17">
    <w:abstractNumId w:val="3"/>
  </w:num>
  <w:num w:numId="18">
    <w:abstractNumId w:val="15"/>
  </w:num>
  <w:num w:numId="19">
    <w:abstractNumId w:val="5"/>
  </w:num>
  <w:num w:numId="20">
    <w:abstractNumId w:val="22"/>
  </w:num>
  <w:num w:numId="21">
    <w:abstractNumId w:val="24"/>
  </w:num>
  <w:num w:numId="22">
    <w:abstractNumId w:val="29"/>
  </w:num>
  <w:num w:numId="23">
    <w:abstractNumId w:val="11"/>
  </w:num>
  <w:num w:numId="24">
    <w:abstractNumId w:val="28"/>
  </w:num>
  <w:num w:numId="25">
    <w:abstractNumId w:val="16"/>
  </w:num>
  <w:num w:numId="26">
    <w:abstractNumId w:val="26"/>
  </w:num>
  <w:num w:numId="27">
    <w:abstractNumId w:val="17"/>
  </w:num>
  <w:num w:numId="28">
    <w:abstractNumId w:val="14"/>
  </w:num>
  <w:num w:numId="29">
    <w:abstractNumId w:val="13"/>
  </w:num>
  <w:num w:numId="30">
    <w:abstractNumId w:val="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removePersonalInformation/>
  <w:removeDateAndTime/>
  <w:hideSpellingErrors/>
  <w:hideGrammaticalErrors/>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5F"/>
    <w:rsid w:val="000002B9"/>
    <w:rsid w:val="00000B06"/>
    <w:rsid w:val="00007AD7"/>
    <w:rsid w:val="000143D2"/>
    <w:rsid w:val="00020486"/>
    <w:rsid w:val="00027B22"/>
    <w:rsid w:val="000312D1"/>
    <w:rsid w:val="0003164C"/>
    <w:rsid w:val="00035823"/>
    <w:rsid w:val="00037BDD"/>
    <w:rsid w:val="00041522"/>
    <w:rsid w:val="00042050"/>
    <w:rsid w:val="00044D8D"/>
    <w:rsid w:val="000478BB"/>
    <w:rsid w:val="00051475"/>
    <w:rsid w:val="00051566"/>
    <w:rsid w:val="000542CD"/>
    <w:rsid w:val="00060B6D"/>
    <w:rsid w:val="00063ED0"/>
    <w:rsid w:val="00065358"/>
    <w:rsid w:val="000657B0"/>
    <w:rsid w:val="00073BF9"/>
    <w:rsid w:val="00085322"/>
    <w:rsid w:val="00091565"/>
    <w:rsid w:val="000A1400"/>
    <w:rsid w:val="000B1D13"/>
    <w:rsid w:val="000B5B3F"/>
    <w:rsid w:val="000B6AAE"/>
    <w:rsid w:val="000B714E"/>
    <w:rsid w:val="000C7409"/>
    <w:rsid w:val="000D57B7"/>
    <w:rsid w:val="000D60C6"/>
    <w:rsid w:val="000D6238"/>
    <w:rsid w:val="000E0A76"/>
    <w:rsid w:val="000E3D96"/>
    <w:rsid w:val="0010590F"/>
    <w:rsid w:val="0011355E"/>
    <w:rsid w:val="001146C0"/>
    <w:rsid w:val="00117A4E"/>
    <w:rsid w:val="0012093C"/>
    <w:rsid w:val="00127317"/>
    <w:rsid w:val="0012752D"/>
    <w:rsid w:val="00127E9E"/>
    <w:rsid w:val="00134976"/>
    <w:rsid w:val="00135CDD"/>
    <w:rsid w:val="0014601E"/>
    <w:rsid w:val="00151340"/>
    <w:rsid w:val="00152C62"/>
    <w:rsid w:val="001634F6"/>
    <w:rsid w:val="00176A68"/>
    <w:rsid w:val="00181FB4"/>
    <w:rsid w:val="001837BB"/>
    <w:rsid w:val="001862C8"/>
    <w:rsid w:val="001902E6"/>
    <w:rsid w:val="00190CFA"/>
    <w:rsid w:val="00193F96"/>
    <w:rsid w:val="0019793D"/>
    <w:rsid w:val="001A3773"/>
    <w:rsid w:val="001A463B"/>
    <w:rsid w:val="001A4C1F"/>
    <w:rsid w:val="001B7C2A"/>
    <w:rsid w:val="001C1257"/>
    <w:rsid w:val="001C3337"/>
    <w:rsid w:val="001C3404"/>
    <w:rsid w:val="001C44AB"/>
    <w:rsid w:val="001C4F47"/>
    <w:rsid w:val="001C6BCB"/>
    <w:rsid w:val="001D38E9"/>
    <w:rsid w:val="001E0DEF"/>
    <w:rsid w:val="001F112B"/>
    <w:rsid w:val="001F6CBF"/>
    <w:rsid w:val="00203C2B"/>
    <w:rsid w:val="00204CCA"/>
    <w:rsid w:val="00210F7B"/>
    <w:rsid w:val="00212B42"/>
    <w:rsid w:val="00216EB9"/>
    <w:rsid w:val="00221A61"/>
    <w:rsid w:val="0022416B"/>
    <w:rsid w:val="0022603F"/>
    <w:rsid w:val="00226A35"/>
    <w:rsid w:val="00231159"/>
    <w:rsid w:val="00231637"/>
    <w:rsid w:val="00232C41"/>
    <w:rsid w:val="002331D2"/>
    <w:rsid w:val="00233220"/>
    <w:rsid w:val="00234939"/>
    <w:rsid w:val="002353A1"/>
    <w:rsid w:val="00240BE8"/>
    <w:rsid w:val="002427F7"/>
    <w:rsid w:val="00244BCF"/>
    <w:rsid w:val="002471A5"/>
    <w:rsid w:val="002474D0"/>
    <w:rsid w:val="00250789"/>
    <w:rsid w:val="002516ED"/>
    <w:rsid w:val="00252D3B"/>
    <w:rsid w:val="00255086"/>
    <w:rsid w:val="002633A6"/>
    <w:rsid w:val="00267F6E"/>
    <w:rsid w:val="0027062E"/>
    <w:rsid w:val="002707FA"/>
    <w:rsid w:val="002846C9"/>
    <w:rsid w:val="0029066C"/>
    <w:rsid w:val="0029327F"/>
    <w:rsid w:val="00295007"/>
    <w:rsid w:val="002A1575"/>
    <w:rsid w:val="002A49B6"/>
    <w:rsid w:val="002B4453"/>
    <w:rsid w:val="002E3598"/>
    <w:rsid w:val="002E6F17"/>
    <w:rsid w:val="002F6152"/>
    <w:rsid w:val="002F6207"/>
    <w:rsid w:val="0030191C"/>
    <w:rsid w:val="00304D4D"/>
    <w:rsid w:val="003240E7"/>
    <w:rsid w:val="003327A4"/>
    <w:rsid w:val="00332BEF"/>
    <w:rsid w:val="0034344F"/>
    <w:rsid w:val="00353A87"/>
    <w:rsid w:val="003567C1"/>
    <w:rsid w:val="003575E9"/>
    <w:rsid w:val="00362AD4"/>
    <w:rsid w:val="003663E0"/>
    <w:rsid w:val="00381025"/>
    <w:rsid w:val="00383B03"/>
    <w:rsid w:val="00391433"/>
    <w:rsid w:val="0039378E"/>
    <w:rsid w:val="003960B0"/>
    <w:rsid w:val="003A1465"/>
    <w:rsid w:val="003A3B53"/>
    <w:rsid w:val="003A4E6D"/>
    <w:rsid w:val="003A636B"/>
    <w:rsid w:val="003B1D79"/>
    <w:rsid w:val="003C00C5"/>
    <w:rsid w:val="003D2376"/>
    <w:rsid w:val="003D4FFA"/>
    <w:rsid w:val="003D6D32"/>
    <w:rsid w:val="003E0CE7"/>
    <w:rsid w:val="00402F1C"/>
    <w:rsid w:val="0041210E"/>
    <w:rsid w:val="00414E21"/>
    <w:rsid w:val="0041662C"/>
    <w:rsid w:val="0042127D"/>
    <w:rsid w:val="00423736"/>
    <w:rsid w:val="00425731"/>
    <w:rsid w:val="0042602B"/>
    <w:rsid w:val="0043202E"/>
    <w:rsid w:val="004340AA"/>
    <w:rsid w:val="00435FEF"/>
    <w:rsid w:val="00443AA1"/>
    <w:rsid w:val="004469A2"/>
    <w:rsid w:val="00460B6C"/>
    <w:rsid w:val="0046219B"/>
    <w:rsid w:val="0046224D"/>
    <w:rsid w:val="0046295C"/>
    <w:rsid w:val="00462D1B"/>
    <w:rsid w:val="00466398"/>
    <w:rsid w:val="004727F9"/>
    <w:rsid w:val="004735BF"/>
    <w:rsid w:val="004739F8"/>
    <w:rsid w:val="00482097"/>
    <w:rsid w:val="00490E01"/>
    <w:rsid w:val="00492622"/>
    <w:rsid w:val="00494AA3"/>
    <w:rsid w:val="00494B73"/>
    <w:rsid w:val="00496ED3"/>
    <w:rsid w:val="004A231D"/>
    <w:rsid w:val="004A7160"/>
    <w:rsid w:val="004C5F48"/>
    <w:rsid w:val="004C6A8D"/>
    <w:rsid w:val="004C7DF8"/>
    <w:rsid w:val="004D3635"/>
    <w:rsid w:val="004D6EFC"/>
    <w:rsid w:val="004D6FBA"/>
    <w:rsid w:val="004E26EE"/>
    <w:rsid w:val="004E54CC"/>
    <w:rsid w:val="004F7E93"/>
    <w:rsid w:val="00507B6D"/>
    <w:rsid w:val="00510A94"/>
    <w:rsid w:val="005128B1"/>
    <w:rsid w:val="00521B76"/>
    <w:rsid w:val="00522EA0"/>
    <w:rsid w:val="0052302A"/>
    <w:rsid w:val="00524421"/>
    <w:rsid w:val="00525A18"/>
    <w:rsid w:val="0053295A"/>
    <w:rsid w:val="0053444A"/>
    <w:rsid w:val="00541D01"/>
    <w:rsid w:val="0054248A"/>
    <w:rsid w:val="00543973"/>
    <w:rsid w:val="00544199"/>
    <w:rsid w:val="00546516"/>
    <w:rsid w:val="005518EB"/>
    <w:rsid w:val="005530B7"/>
    <w:rsid w:val="00562427"/>
    <w:rsid w:val="0057353F"/>
    <w:rsid w:val="00576BF0"/>
    <w:rsid w:val="00577C8D"/>
    <w:rsid w:val="00582D01"/>
    <w:rsid w:val="00586B3D"/>
    <w:rsid w:val="00592524"/>
    <w:rsid w:val="00594AA1"/>
    <w:rsid w:val="005976F5"/>
    <w:rsid w:val="005A11F9"/>
    <w:rsid w:val="005A36C7"/>
    <w:rsid w:val="005B0DA6"/>
    <w:rsid w:val="005B1BAC"/>
    <w:rsid w:val="005B708B"/>
    <w:rsid w:val="005C023B"/>
    <w:rsid w:val="005C05EF"/>
    <w:rsid w:val="005C48FF"/>
    <w:rsid w:val="005D3223"/>
    <w:rsid w:val="005D620C"/>
    <w:rsid w:val="005F17A9"/>
    <w:rsid w:val="005F34A7"/>
    <w:rsid w:val="005F3BFB"/>
    <w:rsid w:val="006035D4"/>
    <w:rsid w:val="0060371A"/>
    <w:rsid w:val="00604912"/>
    <w:rsid w:val="00611E51"/>
    <w:rsid w:val="006120E4"/>
    <w:rsid w:val="00612555"/>
    <w:rsid w:val="0061357D"/>
    <w:rsid w:val="00617C5A"/>
    <w:rsid w:val="00622F18"/>
    <w:rsid w:val="006252AA"/>
    <w:rsid w:val="0063070B"/>
    <w:rsid w:val="00633998"/>
    <w:rsid w:val="00633B4A"/>
    <w:rsid w:val="00635E25"/>
    <w:rsid w:val="00636AAB"/>
    <w:rsid w:val="0064408F"/>
    <w:rsid w:val="00644F14"/>
    <w:rsid w:val="006471A0"/>
    <w:rsid w:val="00654C33"/>
    <w:rsid w:val="006615DB"/>
    <w:rsid w:val="00662292"/>
    <w:rsid w:val="0067702E"/>
    <w:rsid w:val="0068670E"/>
    <w:rsid w:val="00686720"/>
    <w:rsid w:val="00691D53"/>
    <w:rsid w:val="006979FB"/>
    <w:rsid w:val="006A51AB"/>
    <w:rsid w:val="006B66ED"/>
    <w:rsid w:val="006B6CE4"/>
    <w:rsid w:val="006B7AF3"/>
    <w:rsid w:val="006C22C7"/>
    <w:rsid w:val="006C3BEE"/>
    <w:rsid w:val="006C749F"/>
    <w:rsid w:val="006D154A"/>
    <w:rsid w:val="006D6EEA"/>
    <w:rsid w:val="006D76F7"/>
    <w:rsid w:val="006E1C2A"/>
    <w:rsid w:val="006E1F99"/>
    <w:rsid w:val="006E5463"/>
    <w:rsid w:val="006E6B36"/>
    <w:rsid w:val="006E764F"/>
    <w:rsid w:val="006E7A4A"/>
    <w:rsid w:val="006F6B5C"/>
    <w:rsid w:val="00706A3B"/>
    <w:rsid w:val="007202AB"/>
    <w:rsid w:val="007258EF"/>
    <w:rsid w:val="00725D6D"/>
    <w:rsid w:val="00733AEB"/>
    <w:rsid w:val="007350DD"/>
    <w:rsid w:val="00736B4D"/>
    <w:rsid w:val="00740DAF"/>
    <w:rsid w:val="00743F69"/>
    <w:rsid w:val="0074677E"/>
    <w:rsid w:val="00750015"/>
    <w:rsid w:val="00750796"/>
    <w:rsid w:val="00750AB1"/>
    <w:rsid w:val="007556AE"/>
    <w:rsid w:val="00762F4E"/>
    <w:rsid w:val="00763EDA"/>
    <w:rsid w:val="00767D14"/>
    <w:rsid w:val="007717C2"/>
    <w:rsid w:val="00772F44"/>
    <w:rsid w:val="0078188C"/>
    <w:rsid w:val="007841D9"/>
    <w:rsid w:val="00784BDA"/>
    <w:rsid w:val="00787361"/>
    <w:rsid w:val="0079129C"/>
    <w:rsid w:val="00792A79"/>
    <w:rsid w:val="007A0D04"/>
    <w:rsid w:val="007A12A8"/>
    <w:rsid w:val="007B1F7B"/>
    <w:rsid w:val="007B2C32"/>
    <w:rsid w:val="007B3C95"/>
    <w:rsid w:val="007B4357"/>
    <w:rsid w:val="007B6728"/>
    <w:rsid w:val="007D2221"/>
    <w:rsid w:val="007D241B"/>
    <w:rsid w:val="007D6309"/>
    <w:rsid w:val="007E393F"/>
    <w:rsid w:val="007F1294"/>
    <w:rsid w:val="007F1297"/>
    <w:rsid w:val="007F2B78"/>
    <w:rsid w:val="00805DCC"/>
    <w:rsid w:val="00807E75"/>
    <w:rsid w:val="0081242C"/>
    <w:rsid w:val="00817519"/>
    <w:rsid w:val="00822150"/>
    <w:rsid w:val="00822736"/>
    <w:rsid w:val="00824E72"/>
    <w:rsid w:val="008258CC"/>
    <w:rsid w:val="00826E34"/>
    <w:rsid w:val="00827479"/>
    <w:rsid w:val="008327D4"/>
    <w:rsid w:val="00842BD4"/>
    <w:rsid w:val="00844D5B"/>
    <w:rsid w:val="00846FA5"/>
    <w:rsid w:val="00847625"/>
    <w:rsid w:val="00847F01"/>
    <w:rsid w:val="008606EE"/>
    <w:rsid w:val="008633DD"/>
    <w:rsid w:val="00870D92"/>
    <w:rsid w:val="00871CA7"/>
    <w:rsid w:val="00874151"/>
    <w:rsid w:val="008759E2"/>
    <w:rsid w:val="00877A89"/>
    <w:rsid w:val="0089034E"/>
    <w:rsid w:val="008906D7"/>
    <w:rsid w:val="00892D44"/>
    <w:rsid w:val="00893E14"/>
    <w:rsid w:val="00896D4F"/>
    <w:rsid w:val="008A0CFE"/>
    <w:rsid w:val="008A56FE"/>
    <w:rsid w:val="008A5BBB"/>
    <w:rsid w:val="008A5C98"/>
    <w:rsid w:val="008A6B94"/>
    <w:rsid w:val="008B0A82"/>
    <w:rsid w:val="008B11B2"/>
    <w:rsid w:val="008B1776"/>
    <w:rsid w:val="008B2B78"/>
    <w:rsid w:val="008B44B7"/>
    <w:rsid w:val="008B5831"/>
    <w:rsid w:val="008C6A53"/>
    <w:rsid w:val="008F60F9"/>
    <w:rsid w:val="008F6CC8"/>
    <w:rsid w:val="00901B01"/>
    <w:rsid w:val="009027BE"/>
    <w:rsid w:val="00902B9C"/>
    <w:rsid w:val="00914CAA"/>
    <w:rsid w:val="00930896"/>
    <w:rsid w:val="00933179"/>
    <w:rsid w:val="009400A1"/>
    <w:rsid w:val="00940B52"/>
    <w:rsid w:val="00950698"/>
    <w:rsid w:val="00950A39"/>
    <w:rsid w:val="00951D8B"/>
    <w:rsid w:val="00955689"/>
    <w:rsid w:val="009563F2"/>
    <w:rsid w:val="0096442B"/>
    <w:rsid w:val="00970939"/>
    <w:rsid w:val="00970CD5"/>
    <w:rsid w:val="00972A82"/>
    <w:rsid w:val="00974B84"/>
    <w:rsid w:val="009834C2"/>
    <w:rsid w:val="009920FE"/>
    <w:rsid w:val="00996DF4"/>
    <w:rsid w:val="009A0848"/>
    <w:rsid w:val="009A2B90"/>
    <w:rsid w:val="009A699F"/>
    <w:rsid w:val="009B7756"/>
    <w:rsid w:val="009C1EF6"/>
    <w:rsid w:val="009C3D8F"/>
    <w:rsid w:val="009C5F46"/>
    <w:rsid w:val="009C6E13"/>
    <w:rsid w:val="009C75D6"/>
    <w:rsid w:val="009D0E8A"/>
    <w:rsid w:val="009D6A25"/>
    <w:rsid w:val="009D6B1E"/>
    <w:rsid w:val="009E1EA4"/>
    <w:rsid w:val="009E206A"/>
    <w:rsid w:val="009F522B"/>
    <w:rsid w:val="009F5E7F"/>
    <w:rsid w:val="00A02247"/>
    <w:rsid w:val="00A0252A"/>
    <w:rsid w:val="00A03B9E"/>
    <w:rsid w:val="00A05092"/>
    <w:rsid w:val="00A0780E"/>
    <w:rsid w:val="00A07CEB"/>
    <w:rsid w:val="00A14408"/>
    <w:rsid w:val="00A231F3"/>
    <w:rsid w:val="00A25DEF"/>
    <w:rsid w:val="00A27A38"/>
    <w:rsid w:val="00A3027B"/>
    <w:rsid w:val="00A3065F"/>
    <w:rsid w:val="00A341C1"/>
    <w:rsid w:val="00A34632"/>
    <w:rsid w:val="00A34E65"/>
    <w:rsid w:val="00A408C1"/>
    <w:rsid w:val="00A427B9"/>
    <w:rsid w:val="00A44DFA"/>
    <w:rsid w:val="00A50333"/>
    <w:rsid w:val="00A50725"/>
    <w:rsid w:val="00A50A6D"/>
    <w:rsid w:val="00A54BF1"/>
    <w:rsid w:val="00A554F5"/>
    <w:rsid w:val="00A55F2D"/>
    <w:rsid w:val="00A72889"/>
    <w:rsid w:val="00A72BD0"/>
    <w:rsid w:val="00A82529"/>
    <w:rsid w:val="00A8708F"/>
    <w:rsid w:val="00A9255A"/>
    <w:rsid w:val="00AA0329"/>
    <w:rsid w:val="00AA0337"/>
    <w:rsid w:val="00AA47AB"/>
    <w:rsid w:val="00AA6893"/>
    <w:rsid w:val="00AA7A39"/>
    <w:rsid w:val="00AC0CB9"/>
    <w:rsid w:val="00AC100E"/>
    <w:rsid w:val="00AC64A6"/>
    <w:rsid w:val="00AC6561"/>
    <w:rsid w:val="00AC6C63"/>
    <w:rsid w:val="00AC77C0"/>
    <w:rsid w:val="00AD59DF"/>
    <w:rsid w:val="00AD7BAD"/>
    <w:rsid w:val="00AE141B"/>
    <w:rsid w:val="00AF3989"/>
    <w:rsid w:val="00AF454D"/>
    <w:rsid w:val="00AF7EC3"/>
    <w:rsid w:val="00B0079A"/>
    <w:rsid w:val="00B00965"/>
    <w:rsid w:val="00B04134"/>
    <w:rsid w:val="00B04D6E"/>
    <w:rsid w:val="00B10C32"/>
    <w:rsid w:val="00B168E2"/>
    <w:rsid w:val="00B17318"/>
    <w:rsid w:val="00B32011"/>
    <w:rsid w:val="00B339BE"/>
    <w:rsid w:val="00B34E5A"/>
    <w:rsid w:val="00B35BD3"/>
    <w:rsid w:val="00B52642"/>
    <w:rsid w:val="00B534F6"/>
    <w:rsid w:val="00B57842"/>
    <w:rsid w:val="00B7269C"/>
    <w:rsid w:val="00B756C6"/>
    <w:rsid w:val="00B803A3"/>
    <w:rsid w:val="00B9400D"/>
    <w:rsid w:val="00BA100E"/>
    <w:rsid w:val="00BA5BD0"/>
    <w:rsid w:val="00BB5E8B"/>
    <w:rsid w:val="00BB6A47"/>
    <w:rsid w:val="00BC74C3"/>
    <w:rsid w:val="00BC7CA2"/>
    <w:rsid w:val="00BD0BA9"/>
    <w:rsid w:val="00BD6DCF"/>
    <w:rsid w:val="00BD7C50"/>
    <w:rsid w:val="00BE69E3"/>
    <w:rsid w:val="00BE7376"/>
    <w:rsid w:val="00BF272B"/>
    <w:rsid w:val="00C0048B"/>
    <w:rsid w:val="00C00981"/>
    <w:rsid w:val="00C065F0"/>
    <w:rsid w:val="00C11C42"/>
    <w:rsid w:val="00C13CF6"/>
    <w:rsid w:val="00C1495C"/>
    <w:rsid w:val="00C22BE5"/>
    <w:rsid w:val="00C304F7"/>
    <w:rsid w:val="00C3087A"/>
    <w:rsid w:val="00C37EFF"/>
    <w:rsid w:val="00C421B2"/>
    <w:rsid w:val="00C5017B"/>
    <w:rsid w:val="00C60F8F"/>
    <w:rsid w:val="00C64132"/>
    <w:rsid w:val="00C64138"/>
    <w:rsid w:val="00C66775"/>
    <w:rsid w:val="00C66C32"/>
    <w:rsid w:val="00C674AD"/>
    <w:rsid w:val="00C732B7"/>
    <w:rsid w:val="00C7343D"/>
    <w:rsid w:val="00C738ED"/>
    <w:rsid w:val="00C74A22"/>
    <w:rsid w:val="00C75C08"/>
    <w:rsid w:val="00C849BE"/>
    <w:rsid w:val="00C905F0"/>
    <w:rsid w:val="00C942CB"/>
    <w:rsid w:val="00CA2D3D"/>
    <w:rsid w:val="00CA3B99"/>
    <w:rsid w:val="00CA411F"/>
    <w:rsid w:val="00CA74CA"/>
    <w:rsid w:val="00CB3BD9"/>
    <w:rsid w:val="00CB41CE"/>
    <w:rsid w:val="00CB77B1"/>
    <w:rsid w:val="00CC5DBC"/>
    <w:rsid w:val="00CC6599"/>
    <w:rsid w:val="00CC6BF0"/>
    <w:rsid w:val="00CD2A0C"/>
    <w:rsid w:val="00CD346D"/>
    <w:rsid w:val="00CD4249"/>
    <w:rsid w:val="00CD4DF3"/>
    <w:rsid w:val="00CD55E1"/>
    <w:rsid w:val="00CD5764"/>
    <w:rsid w:val="00CD6DB6"/>
    <w:rsid w:val="00CE1591"/>
    <w:rsid w:val="00CE3AAC"/>
    <w:rsid w:val="00CE4844"/>
    <w:rsid w:val="00CE65A8"/>
    <w:rsid w:val="00CF1035"/>
    <w:rsid w:val="00CF2FD2"/>
    <w:rsid w:val="00CF47D3"/>
    <w:rsid w:val="00D0317D"/>
    <w:rsid w:val="00D06571"/>
    <w:rsid w:val="00D07730"/>
    <w:rsid w:val="00D1054F"/>
    <w:rsid w:val="00D13B16"/>
    <w:rsid w:val="00D1788B"/>
    <w:rsid w:val="00D2082F"/>
    <w:rsid w:val="00D263E1"/>
    <w:rsid w:val="00D26B45"/>
    <w:rsid w:val="00D27378"/>
    <w:rsid w:val="00D31617"/>
    <w:rsid w:val="00D3620D"/>
    <w:rsid w:val="00D43CBA"/>
    <w:rsid w:val="00D51040"/>
    <w:rsid w:val="00D5381D"/>
    <w:rsid w:val="00D543FF"/>
    <w:rsid w:val="00D6282F"/>
    <w:rsid w:val="00D635AC"/>
    <w:rsid w:val="00D63AF6"/>
    <w:rsid w:val="00D74F1A"/>
    <w:rsid w:val="00D777BB"/>
    <w:rsid w:val="00D83F2B"/>
    <w:rsid w:val="00DA1D64"/>
    <w:rsid w:val="00DA3B4A"/>
    <w:rsid w:val="00DA6CEC"/>
    <w:rsid w:val="00DB29CB"/>
    <w:rsid w:val="00DB3695"/>
    <w:rsid w:val="00DB4391"/>
    <w:rsid w:val="00DB5585"/>
    <w:rsid w:val="00DC221C"/>
    <w:rsid w:val="00DC2818"/>
    <w:rsid w:val="00DC726E"/>
    <w:rsid w:val="00DD278C"/>
    <w:rsid w:val="00DD4BE1"/>
    <w:rsid w:val="00DD7E58"/>
    <w:rsid w:val="00DE0195"/>
    <w:rsid w:val="00DE1F52"/>
    <w:rsid w:val="00DE6212"/>
    <w:rsid w:val="00E155D6"/>
    <w:rsid w:val="00E20863"/>
    <w:rsid w:val="00E21F05"/>
    <w:rsid w:val="00E325F8"/>
    <w:rsid w:val="00E32A47"/>
    <w:rsid w:val="00E42BD2"/>
    <w:rsid w:val="00E575C0"/>
    <w:rsid w:val="00E576A6"/>
    <w:rsid w:val="00E62894"/>
    <w:rsid w:val="00E70325"/>
    <w:rsid w:val="00E70D60"/>
    <w:rsid w:val="00E73619"/>
    <w:rsid w:val="00E75AC7"/>
    <w:rsid w:val="00E7736E"/>
    <w:rsid w:val="00E775B9"/>
    <w:rsid w:val="00E83778"/>
    <w:rsid w:val="00EA7378"/>
    <w:rsid w:val="00EB3A79"/>
    <w:rsid w:val="00EB7838"/>
    <w:rsid w:val="00EC4664"/>
    <w:rsid w:val="00ED071D"/>
    <w:rsid w:val="00ED7F81"/>
    <w:rsid w:val="00EE29A4"/>
    <w:rsid w:val="00EE460D"/>
    <w:rsid w:val="00EE50BE"/>
    <w:rsid w:val="00EF3AD3"/>
    <w:rsid w:val="00F10451"/>
    <w:rsid w:val="00F12338"/>
    <w:rsid w:val="00F142AD"/>
    <w:rsid w:val="00F21D43"/>
    <w:rsid w:val="00F21DD4"/>
    <w:rsid w:val="00F24759"/>
    <w:rsid w:val="00F32345"/>
    <w:rsid w:val="00F336E5"/>
    <w:rsid w:val="00F3635F"/>
    <w:rsid w:val="00F45909"/>
    <w:rsid w:val="00F47494"/>
    <w:rsid w:val="00F52E54"/>
    <w:rsid w:val="00F55AC8"/>
    <w:rsid w:val="00F5713B"/>
    <w:rsid w:val="00F7769D"/>
    <w:rsid w:val="00F86C63"/>
    <w:rsid w:val="00F90220"/>
    <w:rsid w:val="00F969B0"/>
    <w:rsid w:val="00FA119F"/>
    <w:rsid w:val="00FA193E"/>
    <w:rsid w:val="00FA578E"/>
    <w:rsid w:val="00FB39E0"/>
    <w:rsid w:val="00FB5622"/>
    <w:rsid w:val="00FB7EA8"/>
    <w:rsid w:val="00FB7F5F"/>
    <w:rsid w:val="00FC1724"/>
    <w:rsid w:val="00FC39FD"/>
    <w:rsid w:val="00FC5470"/>
    <w:rsid w:val="00FD2199"/>
    <w:rsid w:val="00FD3D6A"/>
    <w:rsid w:val="00FE1E7C"/>
    <w:rsid w:val="00FF32D1"/>
    <w:rsid w:val="00FF3935"/>
    <w:rsid w:val="00FF40CD"/>
    <w:rsid w:val="00FF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9B7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Char">
    <w:name w:val="fn Char"/>
    <w:aliases w:val="Footnote Text Char1 Char2,Footnote Text Char Char Char1,Footnote Text Char1 Char Char1,Footnote Text Char Char Char Char,Footnote Text MRP Char,Footnote Text Char1 Char Char Char"/>
    <w:semiHidden/>
    <w:rsid w:val="000B6AAE"/>
  </w:style>
  <w:style w:type="character" w:customStyle="1" w:styleId="apple-converted-space">
    <w:name w:val="apple-converted-space"/>
    <w:rsid w:val="001C44A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Char">
    <w:name w:val="fn Char"/>
    <w:aliases w:val="Footnote Text Char1 Char2,Footnote Text Char Char Char1,Footnote Text Char1 Char Char1,Footnote Text Char Char Char Char,Footnote Text MRP Char,Footnote Text Char1 Char Char Char"/>
    <w:semiHidden/>
    <w:rsid w:val="000B6AAE"/>
  </w:style>
  <w:style w:type="character" w:customStyle="1" w:styleId="apple-converted-space">
    <w:name w:val="apple-converted-space"/>
    <w:rsid w:val="001C44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3069">
      <w:bodyDiv w:val="1"/>
      <w:marLeft w:val="0"/>
      <w:marRight w:val="0"/>
      <w:marTop w:val="0"/>
      <w:marBottom w:val="0"/>
      <w:divBdr>
        <w:top w:val="none" w:sz="0" w:space="0" w:color="auto"/>
        <w:left w:val="none" w:sz="0" w:space="0" w:color="auto"/>
        <w:bottom w:val="none" w:sz="0" w:space="0" w:color="auto"/>
        <w:right w:val="none" w:sz="0" w:space="0" w:color="auto"/>
      </w:divBdr>
    </w:div>
    <w:div w:id="841314986">
      <w:marLeft w:val="0"/>
      <w:marRight w:val="0"/>
      <w:marTop w:val="0"/>
      <w:marBottom w:val="0"/>
      <w:divBdr>
        <w:top w:val="none" w:sz="0" w:space="0" w:color="auto"/>
        <w:left w:val="none" w:sz="0" w:space="0" w:color="auto"/>
        <w:bottom w:val="none" w:sz="0" w:space="0" w:color="auto"/>
        <w:right w:val="none" w:sz="0" w:space="0" w:color="auto"/>
      </w:divBdr>
    </w:div>
    <w:div w:id="841314987">
      <w:marLeft w:val="0"/>
      <w:marRight w:val="0"/>
      <w:marTop w:val="0"/>
      <w:marBottom w:val="0"/>
      <w:divBdr>
        <w:top w:val="none" w:sz="0" w:space="0" w:color="auto"/>
        <w:left w:val="none" w:sz="0" w:space="0" w:color="auto"/>
        <w:bottom w:val="none" w:sz="0" w:space="0" w:color="auto"/>
        <w:right w:val="none" w:sz="0" w:space="0" w:color="auto"/>
      </w:divBdr>
    </w:div>
    <w:div w:id="841314988">
      <w:marLeft w:val="0"/>
      <w:marRight w:val="0"/>
      <w:marTop w:val="0"/>
      <w:marBottom w:val="0"/>
      <w:divBdr>
        <w:top w:val="none" w:sz="0" w:space="0" w:color="auto"/>
        <w:left w:val="none" w:sz="0" w:space="0" w:color="auto"/>
        <w:bottom w:val="none" w:sz="0" w:space="0" w:color="auto"/>
        <w:right w:val="none" w:sz="0" w:space="0" w:color="auto"/>
      </w:divBdr>
    </w:div>
    <w:div w:id="977299876">
      <w:bodyDiv w:val="1"/>
      <w:marLeft w:val="0"/>
      <w:marRight w:val="0"/>
      <w:marTop w:val="0"/>
      <w:marBottom w:val="0"/>
      <w:divBdr>
        <w:top w:val="none" w:sz="0" w:space="0" w:color="auto"/>
        <w:left w:val="none" w:sz="0" w:space="0" w:color="auto"/>
        <w:bottom w:val="none" w:sz="0" w:space="0" w:color="auto"/>
        <w:right w:val="none" w:sz="0" w:space="0" w:color="auto"/>
      </w:divBdr>
    </w:div>
    <w:div w:id="1360744865">
      <w:bodyDiv w:val="1"/>
      <w:marLeft w:val="0"/>
      <w:marRight w:val="0"/>
      <w:marTop w:val="0"/>
      <w:marBottom w:val="0"/>
      <w:divBdr>
        <w:top w:val="none" w:sz="0" w:space="0" w:color="auto"/>
        <w:left w:val="none" w:sz="0" w:space="0" w:color="auto"/>
        <w:bottom w:val="none" w:sz="0" w:space="0" w:color="auto"/>
        <w:right w:val="none" w:sz="0" w:space="0" w:color="auto"/>
      </w:divBdr>
    </w:div>
    <w:div w:id="1404180886">
      <w:bodyDiv w:val="1"/>
      <w:marLeft w:val="0"/>
      <w:marRight w:val="0"/>
      <w:marTop w:val="0"/>
      <w:marBottom w:val="0"/>
      <w:divBdr>
        <w:top w:val="none" w:sz="0" w:space="0" w:color="auto"/>
        <w:left w:val="none" w:sz="0" w:space="0" w:color="auto"/>
        <w:bottom w:val="none" w:sz="0" w:space="0" w:color="auto"/>
        <w:right w:val="none" w:sz="0" w:space="0" w:color="auto"/>
      </w:divBdr>
    </w:div>
    <w:div w:id="1587425413">
      <w:bodyDiv w:val="1"/>
      <w:marLeft w:val="0"/>
      <w:marRight w:val="0"/>
      <w:marTop w:val="0"/>
      <w:marBottom w:val="0"/>
      <w:divBdr>
        <w:top w:val="none" w:sz="0" w:space="0" w:color="auto"/>
        <w:left w:val="none" w:sz="0" w:space="0" w:color="auto"/>
        <w:bottom w:val="none" w:sz="0" w:space="0" w:color="auto"/>
        <w:right w:val="none" w:sz="0" w:space="0" w:color="auto"/>
      </w:divBdr>
    </w:div>
    <w:div w:id="1949389760">
      <w:bodyDiv w:val="1"/>
      <w:marLeft w:val="0"/>
      <w:marRight w:val="0"/>
      <w:marTop w:val="0"/>
      <w:marBottom w:val="0"/>
      <w:divBdr>
        <w:top w:val="none" w:sz="0" w:space="0" w:color="auto"/>
        <w:left w:val="none" w:sz="0" w:space="0" w:color="auto"/>
        <w:bottom w:val="none" w:sz="0" w:space="0" w:color="auto"/>
        <w:right w:val="none" w:sz="0" w:space="0" w:color="auto"/>
      </w:divBdr>
    </w:div>
    <w:div w:id="2077320899">
      <w:bodyDiv w:val="1"/>
      <w:marLeft w:val="0"/>
      <w:marRight w:val="0"/>
      <w:marTop w:val="0"/>
      <w:marBottom w:val="0"/>
      <w:divBdr>
        <w:top w:val="none" w:sz="0" w:space="0" w:color="auto"/>
        <w:left w:val="none" w:sz="0" w:space="0" w:color="auto"/>
        <w:bottom w:val="none" w:sz="0" w:space="0" w:color="auto"/>
        <w:right w:val="none" w:sz="0" w:space="0" w:color="auto"/>
      </w:divBdr>
    </w:div>
    <w:div w:id="21436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elibrary.ferc.gov/idmws/common/opennat.asp?fileID=13023450" TargetMode="External"/><Relationship Id="rId3" Type="http://schemas.openxmlformats.org/officeDocument/2006/relationships/hyperlink" Target="http://elibrary.ferc.gov/idmws/common/opennat.asp?fileID=13842833" TargetMode="External"/><Relationship Id="rId7" Type="http://schemas.openxmlformats.org/officeDocument/2006/relationships/hyperlink" Target="http://www.ferc.gov/docs-filing/etariff.asp" TargetMode="External"/><Relationship Id="rId2" Type="http://schemas.openxmlformats.org/officeDocument/2006/relationships/hyperlink" Target="http://elibrary.ferc.gov/idmws/common/opennat.asp?fileID=13843648" TargetMode="External"/><Relationship Id="rId1" Type="http://schemas.openxmlformats.org/officeDocument/2006/relationships/hyperlink" Target="http://elibrary.ferc.gov/idmws/common/opennat.asp?fileID=13842743" TargetMode="External"/><Relationship Id="rId6" Type="http://schemas.openxmlformats.org/officeDocument/2006/relationships/hyperlink" Target="http://elibrary.ferc.gov/idmws/common/opennat.asp?fileID=13165589" TargetMode="External"/><Relationship Id="rId5" Type="http://schemas.openxmlformats.org/officeDocument/2006/relationships/hyperlink" Target="http://www.naesb.org/" TargetMode="External"/><Relationship Id="rId4" Type="http://schemas.openxmlformats.org/officeDocument/2006/relationships/hyperlink" Target="http://elibrary.ferc.gov/idmws/common/opennat.asp?fileID=13842786" TargetMode="External"/><Relationship Id="rId9" Type="http://schemas.openxmlformats.org/officeDocument/2006/relationships/hyperlink" Target="http://elibrary.ferc.gov/idmws/common/opennat.asp?fileID=1310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Date xmlns="d6eefc7d-9817-4fa6-84d5-3bc009be21b8">2015-07-02T04:00:00+00:00</Date>
    <Status xmlns="d6eefc7d-9817-4fa6-84d5-3bc009be21b8">Final</Status>
    <_x0032__x002e__x0020_Docket_x0020_Number xmlns="d6eefc7d-9817-4fa6-84d5-3bc009be21b8" xsi:nil="true"/>
    <_x0032__x002e__x0020_Collection_x0020_Number xmlns="d6eefc7d-9817-4fa6-84d5-3bc009be21b8">549C</_x0032__x002e__x0020_Collection_x0020_Number>
    <_x0031__x002e__x0020_Docket_x0020_Number xmlns="d6eefc7d-9817-4fa6-84d5-3bc009be21b8">RM14-2</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08AFD-B404-446A-9041-D607C9A5C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FF336-CACA-4E32-A489-646AEBC58885}">
  <ds:schemaRefs>
    <ds:schemaRef ds:uri="http://schemas.microsoft.com/office/2006/metadata/customXsn"/>
  </ds:schemaRefs>
</ds:datastoreItem>
</file>

<file path=customXml/itemProps3.xml><?xml version="1.0" encoding="utf-8"?>
<ds:datastoreItem xmlns:ds="http://schemas.openxmlformats.org/officeDocument/2006/customXml" ds:itemID="{E7FCA8AE-8AB7-42A7-8564-AB9864711675}">
  <ds:schemaRefs>
    <ds:schemaRef ds:uri="http://schemas.microsoft.com/sharepoint/v3/contenttype/forms"/>
  </ds:schemaRefs>
</ds:datastoreItem>
</file>

<file path=customXml/itemProps4.xml><?xml version="1.0" encoding="utf-8"?>
<ds:datastoreItem xmlns:ds="http://schemas.openxmlformats.org/officeDocument/2006/customXml" ds:itemID="{37425350-8439-43F8-807E-1B7A78627C3F}">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d6eefc7d-9817-4fa6-84d5-3bc009be21b8"/>
  </ds:schemaRefs>
</ds:datastoreItem>
</file>

<file path=customXml/itemProps5.xml><?xml version="1.0" encoding="utf-8"?>
<ds:datastoreItem xmlns:ds="http://schemas.openxmlformats.org/officeDocument/2006/customXml" ds:itemID="{AE7478AB-82B8-4EC1-9B00-1442E7A8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6103</Words>
  <Characters>34793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2015-07-02T20:42:00Z</dcterms:created>
  <dcterms:modified xsi:type="dcterms:W3CDTF">2015-07-06T11:58:00Z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