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45A7" w:rsidRPr="00423C65" w:rsidRDefault="00390AB1" w:rsidP="00390AB1">
      <w:pPr>
        <w:suppressAutoHyphens/>
        <w:jc w:val="center"/>
        <w:rPr>
          <w:b/>
          <w:bCs/>
          <w:sz w:val="24"/>
          <w:szCs w:val="24"/>
        </w:rPr>
      </w:pPr>
      <w:bookmarkStart w:id="0" w:name="_GoBack"/>
      <w:bookmarkEnd w:id="0"/>
      <w:r w:rsidRPr="00423C65">
        <w:rPr>
          <w:b/>
          <w:bCs/>
          <w:sz w:val="24"/>
          <w:szCs w:val="24"/>
        </w:rPr>
        <w:t>Supporting Statement</w:t>
      </w:r>
    </w:p>
    <w:p w:rsidR="005B45A7" w:rsidRPr="00423C65" w:rsidRDefault="00F22350">
      <w:pPr>
        <w:suppressAutoHyphens/>
        <w:rPr>
          <w:sz w:val="24"/>
          <w:szCs w:val="24"/>
        </w:rPr>
      </w:pPr>
      <w:r>
        <w:rPr>
          <w:b/>
          <w:sz w:val="24"/>
          <w:szCs w:val="24"/>
        </w:rPr>
        <w:t>A.</w:t>
      </w:r>
      <w:r>
        <w:rPr>
          <w:b/>
          <w:sz w:val="24"/>
          <w:szCs w:val="24"/>
        </w:rPr>
        <w:tab/>
      </w:r>
      <w:r w:rsidR="005B45A7" w:rsidRPr="00423C65">
        <w:rPr>
          <w:b/>
          <w:sz w:val="24"/>
          <w:szCs w:val="24"/>
        </w:rPr>
        <w:t>Justification</w:t>
      </w:r>
    </w:p>
    <w:p w:rsidR="005B45A7" w:rsidRPr="00423C65" w:rsidRDefault="005B45A7">
      <w:pPr>
        <w:suppressAutoHyphens/>
        <w:rPr>
          <w:sz w:val="24"/>
          <w:szCs w:val="24"/>
        </w:rPr>
      </w:pPr>
    </w:p>
    <w:p w:rsidR="005E673D" w:rsidRPr="00423C65" w:rsidRDefault="005E673D">
      <w:pPr>
        <w:suppressAutoHyphens/>
        <w:rPr>
          <w:b/>
          <w:sz w:val="24"/>
          <w:szCs w:val="24"/>
        </w:rPr>
      </w:pPr>
      <w:r w:rsidRPr="00160CAD">
        <w:rPr>
          <w:b/>
          <w:sz w:val="24"/>
          <w:szCs w:val="24"/>
        </w:rPr>
        <w:t>PROPOSED MODIFICATION TO THIS EXISTING INFORMATION COLLECTION:</w:t>
      </w:r>
      <w:r w:rsidR="007D79CC" w:rsidRPr="00160CAD">
        <w:rPr>
          <w:rStyle w:val="FootnoteReference"/>
          <w:b/>
          <w:szCs w:val="24"/>
        </w:rPr>
        <w:footnoteReference w:id="1"/>
      </w:r>
    </w:p>
    <w:p w:rsidR="00D44C20" w:rsidRDefault="00D44C20" w:rsidP="00CC1A50">
      <w:pPr>
        <w:suppressAutoHyphens/>
        <w:rPr>
          <w:sz w:val="24"/>
          <w:szCs w:val="24"/>
        </w:rPr>
      </w:pPr>
    </w:p>
    <w:p w:rsidR="002F27E4" w:rsidRPr="00423C65" w:rsidRDefault="008A5941" w:rsidP="00142931">
      <w:pPr>
        <w:suppressAutoHyphens/>
        <w:rPr>
          <w:sz w:val="24"/>
          <w:szCs w:val="24"/>
        </w:rPr>
      </w:pPr>
      <w:r>
        <w:rPr>
          <w:sz w:val="24"/>
          <w:szCs w:val="24"/>
        </w:rPr>
        <w:t xml:space="preserve">1. </w:t>
      </w:r>
      <w:r w:rsidR="009435B8" w:rsidRPr="00423C65">
        <w:rPr>
          <w:sz w:val="24"/>
          <w:szCs w:val="24"/>
        </w:rPr>
        <w:t xml:space="preserve">On </w:t>
      </w:r>
      <w:r w:rsidR="009435B8" w:rsidRPr="002B4567">
        <w:rPr>
          <w:sz w:val="24"/>
          <w:szCs w:val="24"/>
        </w:rPr>
        <w:t xml:space="preserve">March </w:t>
      </w:r>
      <w:r w:rsidR="00F60E3D">
        <w:rPr>
          <w:sz w:val="24"/>
          <w:szCs w:val="24"/>
        </w:rPr>
        <w:t>26</w:t>
      </w:r>
      <w:r w:rsidR="009435B8" w:rsidRPr="002B4567">
        <w:rPr>
          <w:sz w:val="24"/>
          <w:szCs w:val="24"/>
        </w:rPr>
        <w:t>, 2015, the</w:t>
      </w:r>
      <w:r w:rsidR="009435B8" w:rsidRPr="00423C65">
        <w:rPr>
          <w:sz w:val="24"/>
          <w:szCs w:val="24"/>
        </w:rPr>
        <w:t xml:space="preserve"> Commission released a </w:t>
      </w:r>
      <w:r w:rsidR="009435B8" w:rsidRPr="00423C65">
        <w:rPr>
          <w:i/>
          <w:sz w:val="24"/>
          <w:szCs w:val="24"/>
        </w:rPr>
        <w:t>Notice of Proposed Rulemaking</w:t>
      </w:r>
      <w:r w:rsidR="000B50DD" w:rsidRPr="00423C65">
        <w:rPr>
          <w:i/>
          <w:sz w:val="24"/>
          <w:szCs w:val="24"/>
        </w:rPr>
        <w:t xml:space="preserve"> (NPRM)</w:t>
      </w:r>
      <w:r w:rsidR="009435B8" w:rsidRPr="00423C65">
        <w:rPr>
          <w:sz w:val="24"/>
          <w:szCs w:val="24"/>
        </w:rPr>
        <w:t>, FCC 15-</w:t>
      </w:r>
      <w:r w:rsidR="00ED4C22">
        <w:rPr>
          <w:sz w:val="24"/>
          <w:szCs w:val="24"/>
        </w:rPr>
        <w:t>34</w:t>
      </w:r>
      <w:r w:rsidR="001C69BD" w:rsidRPr="00423C65">
        <w:rPr>
          <w:sz w:val="24"/>
          <w:szCs w:val="24"/>
        </w:rPr>
        <w:t>,</w:t>
      </w:r>
      <w:r w:rsidR="009435B8" w:rsidRPr="00423C65">
        <w:rPr>
          <w:sz w:val="24"/>
          <w:szCs w:val="24"/>
        </w:rPr>
        <w:t xml:space="preserve"> in MB Docket No. 15-</w:t>
      </w:r>
      <w:r w:rsidR="00ED4C22">
        <w:rPr>
          <w:sz w:val="24"/>
          <w:szCs w:val="24"/>
        </w:rPr>
        <w:t>71</w:t>
      </w:r>
      <w:r w:rsidR="001C69BD" w:rsidRPr="00423C65">
        <w:rPr>
          <w:sz w:val="24"/>
          <w:szCs w:val="24"/>
        </w:rPr>
        <w:t>,</w:t>
      </w:r>
      <w:r w:rsidR="000B50DD" w:rsidRPr="00423C65">
        <w:rPr>
          <w:rStyle w:val="FootnoteReference"/>
          <w:sz w:val="24"/>
          <w:szCs w:val="24"/>
        </w:rPr>
        <w:footnoteReference w:id="2"/>
      </w:r>
      <w:r w:rsidR="001C69BD" w:rsidRPr="00423C65">
        <w:rPr>
          <w:sz w:val="24"/>
          <w:szCs w:val="24"/>
        </w:rPr>
        <w:t xml:space="preserve"> proposing satellite television “market modification” rules ‎to implement Section 102 of the Satellite Television Extension and Localism Act (STELA) Reauthorization Act of 2014 (STELAR).</w:t>
      </w:r>
      <w:r w:rsidR="000B50DD" w:rsidRPr="00423C65">
        <w:rPr>
          <w:rStyle w:val="FootnoteReference"/>
          <w:sz w:val="24"/>
          <w:szCs w:val="24"/>
        </w:rPr>
        <w:footnoteReference w:id="3"/>
      </w:r>
      <w:r w:rsidR="0055325A" w:rsidRPr="00423C65">
        <w:rPr>
          <w:sz w:val="24"/>
          <w:szCs w:val="24"/>
        </w:rPr>
        <w:t xml:space="preserve">  </w:t>
      </w:r>
      <w:r w:rsidR="00805EA4" w:rsidRPr="00423C65">
        <w:rPr>
          <w:sz w:val="24"/>
          <w:szCs w:val="24"/>
        </w:rPr>
        <w:t>The STELAR amended the Communications Act and the Copyright Act to give the Commission authority to modify a commercial television broadcast station’s local television market – defined by The Nielsen Company’s Designated Market Area (DMA) in which it is located – to include additional communities or exclude communities for purposes of better effectuating satellite carriage rights.  ‎The Commission previously had the authority to modify a station’s market only in the cable carriage context.</w:t>
      </w:r>
      <w:r w:rsidR="00805EA4" w:rsidRPr="00423C65">
        <w:rPr>
          <w:rStyle w:val="FootnoteReference"/>
          <w:sz w:val="24"/>
          <w:szCs w:val="24"/>
        </w:rPr>
        <w:footnoteReference w:id="4"/>
      </w:r>
      <w:r w:rsidR="00805EA4" w:rsidRPr="00423C65">
        <w:rPr>
          <w:sz w:val="24"/>
          <w:szCs w:val="24"/>
        </w:rPr>
        <w:t xml:space="preserve">  With Section 102 of the STELAR, Congress provides regulatory parity in this regard and intends to promote consumer access to in-state and other re</w:t>
      </w:r>
      <w:r w:rsidR="009068C2" w:rsidRPr="00423C65">
        <w:rPr>
          <w:sz w:val="24"/>
          <w:szCs w:val="24"/>
        </w:rPr>
        <w:t xml:space="preserve">levant television programming. </w:t>
      </w:r>
      <w:r w:rsidR="000B50DD" w:rsidRPr="00423C65">
        <w:rPr>
          <w:sz w:val="24"/>
          <w:szCs w:val="24"/>
        </w:rPr>
        <w:t xml:space="preserve"> Congress’ intent through this provision of STELAR, and the Commission’s actions in this NPRM, seek to address satellite subscribers’ inability to receive in-state programming in certain areas, sometimes called “orphan counties.”</w:t>
      </w:r>
      <w:r w:rsidR="002F27E4" w:rsidRPr="00423C65">
        <w:rPr>
          <w:sz w:val="24"/>
          <w:szCs w:val="24"/>
        </w:rPr>
        <w:t xml:space="preserve">  </w:t>
      </w:r>
      <w:r w:rsidR="000B50DD" w:rsidRPr="00423C65">
        <w:rPr>
          <w:sz w:val="24"/>
          <w:szCs w:val="24"/>
        </w:rPr>
        <w:t xml:space="preserve">In this </w:t>
      </w:r>
      <w:r w:rsidR="000B50DD" w:rsidRPr="00423C65">
        <w:rPr>
          <w:i/>
          <w:sz w:val="24"/>
          <w:szCs w:val="24"/>
        </w:rPr>
        <w:t>NPRM</w:t>
      </w:r>
      <w:r w:rsidR="000B50DD" w:rsidRPr="00423C65">
        <w:rPr>
          <w:sz w:val="24"/>
          <w:szCs w:val="24"/>
        </w:rPr>
        <w:t xml:space="preserve">, consistent with Congress’ intent that the Commission model the satellite market modification process on the current cable market modification process, the Commission proposes ‎to implement Section 102 of the STELAR by revising the current cable market modification rule, Section 76.59, to apply also to satellite carriage, while adding provisions to the rules to address the unique nature of satellite television service.  </w:t>
      </w:r>
    </w:p>
    <w:p w:rsidR="009068C2" w:rsidRPr="00423C65" w:rsidRDefault="009068C2" w:rsidP="00142931">
      <w:pPr>
        <w:suppressAutoHyphens/>
        <w:rPr>
          <w:sz w:val="24"/>
          <w:szCs w:val="24"/>
        </w:rPr>
      </w:pPr>
    </w:p>
    <w:p w:rsidR="00FC5711" w:rsidRPr="00423C65" w:rsidRDefault="00FC5711" w:rsidP="00FC5711">
      <w:pPr>
        <w:rPr>
          <w:sz w:val="24"/>
          <w:szCs w:val="24"/>
        </w:rPr>
      </w:pPr>
      <w:r w:rsidRPr="00423C65">
        <w:rPr>
          <w:sz w:val="24"/>
          <w:szCs w:val="24"/>
        </w:rPr>
        <w:t>STELAR Section 102, which adds Section 338(l) of the Communications Act, creates a satellite market modification regime very similar to that in place for cable, while adding provisions to address the unique nature of satellite television service.</w:t>
      </w:r>
      <w:r w:rsidRPr="00423C65">
        <w:rPr>
          <w:rStyle w:val="FootnoteReference"/>
          <w:sz w:val="24"/>
          <w:szCs w:val="24"/>
        </w:rPr>
        <w:footnoteReference w:id="5"/>
      </w:r>
      <w:r w:rsidRPr="00423C65">
        <w:rPr>
          <w:sz w:val="24"/>
          <w:szCs w:val="24"/>
        </w:rPr>
        <w:t xml:space="preserve"> ‎ Market modification, which has been </w:t>
      </w:r>
      <w:r w:rsidRPr="00423C65">
        <w:rPr>
          <w:sz w:val="24"/>
          <w:szCs w:val="24"/>
        </w:rPr>
        <w:lastRenderedPageBreak/>
        <w:t>available in the cable carriage context since 1992,</w:t>
      </w:r>
      <w:r w:rsidRPr="00423C65">
        <w:rPr>
          <w:rStyle w:val="FootnoteReference"/>
          <w:sz w:val="24"/>
          <w:szCs w:val="24"/>
        </w:rPr>
        <w:footnoteReference w:id="6"/>
      </w:r>
      <w:r w:rsidRPr="00423C65">
        <w:rPr>
          <w:sz w:val="24"/>
          <w:szCs w:val="24"/>
        </w:rPr>
        <w:t xml:space="preserve"> will allow the Commission to modify the local television market of a commercial television broadcast station to enable satellite carriers to better serve the interests of local communities.</w:t>
      </w:r>
      <w:r w:rsidRPr="00423C65">
        <w:rPr>
          <w:rStyle w:val="FootnoteReference"/>
          <w:sz w:val="24"/>
          <w:szCs w:val="24"/>
        </w:rPr>
        <w:footnoteReference w:id="7"/>
      </w:r>
      <w:r w:rsidRPr="00423C65">
        <w:rPr>
          <w:sz w:val="24"/>
          <w:szCs w:val="24"/>
        </w:rPr>
        <w:t xml:space="preserve">  Market modification provides a means to avoid rigid adherence to DMA designations and to promote consumer access to in-state and other relevant television programming.  To better reflect market realities and effectuate the purposes of this provision, Section 338(l), like the corresponding cable provision in Section 614(h)(1)(C), permits the Commission to add communities to or delete communities from a station’s local television market following a written request.</w:t>
      </w:r>
      <w:r w:rsidRPr="00423C65">
        <w:rPr>
          <w:rStyle w:val="FootnoteReference"/>
          <w:sz w:val="24"/>
          <w:szCs w:val="24"/>
        </w:rPr>
        <w:footnoteReference w:id="8"/>
      </w:r>
      <w:r w:rsidRPr="00423C65">
        <w:rPr>
          <w:sz w:val="24"/>
          <w:szCs w:val="24"/>
        </w:rPr>
        <w:t xml:space="preserve">  Furthermore, as in the cable carriage context, the Commission may determine that particular communities are part of more than one television market.</w:t>
      </w:r>
      <w:r w:rsidRPr="00423C65">
        <w:rPr>
          <w:rStyle w:val="FootnoteReference"/>
          <w:sz w:val="24"/>
          <w:szCs w:val="24"/>
        </w:rPr>
        <w:footnoteReference w:id="9"/>
      </w:r>
      <w:r w:rsidRPr="00423C65">
        <w:rPr>
          <w:sz w:val="24"/>
          <w:szCs w:val="24"/>
        </w:rPr>
        <w:t xml:space="preserve">  Similar to the cable carriage context, when the Commission modifies a station’s market to add a community for purposes of carriage rights, the station is considered local and is covered by the local statutory copyright license and may assert mandatory carriage (or retransmission consent) by the applicable satellite carrier in the local market.</w:t>
      </w:r>
      <w:r w:rsidRPr="00423C65">
        <w:rPr>
          <w:rStyle w:val="FootnoteReference"/>
          <w:sz w:val="24"/>
          <w:szCs w:val="24"/>
        </w:rPr>
        <w:footnoteReference w:id="10"/>
      </w:r>
      <w:r w:rsidRPr="00423C65">
        <w:rPr>
          <w:sz w:val="24"/>
          <w:szCs w:val="24"/>
        </w:rPr>
        <w:t xml:space="preserve">  Likewise, if the Commission modifies a station’s market to delete a community, the station is considered “distant” and loses its right to assert mandatory carriage (or retransmission consent) by the applicable satellite carrier</w:t>
      </w:r>
      <w:r w:rsidRPr="00423C65" w:rsidDel="005E1F6E">
        <w:rPr>
          <w:sz w:val="24"/>
          <w:szCs w:val="24"/>
        </w:rPr>
        <w:t xml:space="preserve"> </w:t>
      </w:r>
      <w:r w:rsidRPr="00423C65">
        <w:rPr>
          <w:sz w:val="24"/>
          <w:szCs w:val="24"/>
        </w:rPr>
        <w:t>in the local market.</w:t>
      </w:r>
      <w:r w:rsidRPr="00423C65">
        <w:rPr>
          <w:rStyle w:val="FootnoteReference"/>
          <w:sz w:val="24"/>
          <w:szCs w:val="24"/>
        </w:rPr>
        <w:footnoteReference w:id="11"/>
      </w:r>
      <w:r w:rsidRPr="00423C65">
        <w:rPr>
          <w:sz w:val="24"/>
          <w:szCs w:val="24"/>
        </w:rPr>
        <w:t xml:space="preserve">  </w:t>
      </w:r>
    </w:p>
    <w:p w:rsidR="002F27E4" w:rsidRPr="00423C65" w:rsidRDefault="002F27E4" w:rsidP="00FC5711">
      <w:pPr>
        <w:rPr>
          <w:sz w:val="24"/>
          <w:szCs w:val="24"/>
        </w:rPr>
      </w:pPr>
    </w:p>
    <w:p w:rsidR="002C0BDF" w:rsidRPr="00423C65" w:rsidRDefault="002C0BDF" w:rsidP="002C0BDF">
      <w:pPr>
        <w:rPr>
          <w:sz w:val="24"/>
          <w:szCs w:val="24"/>
        </w:rPr>
      </w:pPr>
      <w:r w:rsidRPr="00423C65">
        <w:rPr>
          <w:sz w:val="24"/>
          <w:szCs w:val="24"/>
        </w:rPr>
        <w:t>The NPRM proposes to revise Section 76.59 of the rules to apply it to the satellite television context, thus permitting commercial TV broadcast stations and satellite carriers to file petitions seeking to modify a commercial TV broadcast station’s local television market for purposes of satellite carriage rights.</w:t>
      </w:r>
      <w:r w:rsidRPr="00423C65">
        <w:rPr>
          <w:rStyle w:val="FootnoteReference"/>
          <w:sz w:val="24"/>
          <w:szCs w:val="24"/>
        </w:rPr>
        <w:footnoteReference w:id="12"/>
      </w:r>
      <w:r w:rsidRPr="00423C65">
        <w:rPr>
          <w:sz w:val="24"/>
          <w:szCs w:val="24"/>
        </w:rPr>
        <w:t xml:space="preserve">  Under Section 76.59 of the rules, commercial TV broadcast stations and cable system operators may already file such requests for market modification for purposes </w:t>
      </w:r>
      <w:r w:rsidRPr="00423C65">
        <w:rPr>
          <w:sz w:val="24"/>
          <w:szCs w:val="24"/>
        </w:rPr>
        <w:lastRenderedPageBreak/>
        <w:t>of cable carriage rights.  Consistent with the current cable requirement in Section 76.59, the proposed rules would require commercial TV broadcast stations and satellite carriers to file market modification requests and/or responsive pleadings in accordance with the procedures for filing Special Relief petitions in Section 76.7 of the rules.</w:t>
      </w:r>
      <w:r w:rsidRPr="00423C65">
        <w:rPr>
          <w:rStyle w:val="FootnoteReference"/>
          <w:sz w:val="24"/>
          <w:szCs w:val="24"/>
        </w:rPr>
        <w:footnoteReference w:id="13"/>
      </w:r>
      <w:r w:rsidRPr="00423C65">
        <w:rPr>
          <w:sz w:val="24"/>
          <w:szCs w:val="24"/>
        </w:rPr>
        <w:t xml:space="preserve">  Consistent with the current cable requirement in Section 76.59, the proposed rules would require commercial TV broadcast stations and satellite carriers to provide specific forms of evidence to support market modification petitions, should they chose to file such petitions.</w:t>
      </w:r>
      <w:r w:rsidRPr="00423C65">
        <w:rPr>
          <w:rStyle w:val="FootnoteReference"/>
          <w:sz w:val="24"/>
          <w:szCs w:val="24"/>
        </w:rPr>
        <w:footnoteReference w:id="14"/>
      </w:r>
      <w:r w:rsidRPr="00423C65">
        <w:rPr>
          <w:sz w:val="24"/>
          <w:szCs w:val="24"/>
        </w:rPr>
        <w:t xml:space="preserve">  The proposed rules would also require a satellite carrier to provide specific evidence to demonstrate its claim that satellite carriage resulting from a market modification would be technically or economically infeasible.</w:t>
      </w:r>
      <w:r w:rsidRPr="00423C65">
        <w:rPr>
          <w:rStyle w:val="FootnoteReference"/>
          <w:sz w:val="24"/>
          <w:szCs w:val="24"/>
        </w:rPr>
        <w:footnoteReference w:id="15"/>
      </w:r>
      <w:r w:rsidR="00FD3027" w:rsidRPr="00423C65">
        <w:rPr>
          <w:sz w:val="24"/>
          <w:szCs w:val="24"/>
        </w:rPr>
        <w:t xml:space="preserve"> </w:t>
      </w:r>
    </w:p>
    <w:p w:rsidR="002C0BDF" w:rsidRPr="00423C65" w:rsidRDefault="002C0BDF" w:rsidP="00142931">
      <w:pPr>
        <w:suppressAutoHyphens/>
        <w:rPr>
          <w:sz w:val="24"/>
          <w:szCs w:val="24"/>
        </w:rPr>
      </w:pPr>
    </w:p>
    <w:p w:rsidR="00FD3027" w:rsidRPr="00423C65" w:rsidRDefault="00FD3027" w:rsidP="00142931">
      <w:pPr>
        <w:suppressAutoHyphens/>
        <w:rPr>
          <w:sz w:val="24"/>
          <w:szCs w:val="24"/>
        </w:rPr>
      </w:pPr>
    </w:p>
    <w:p w:rsidR="002C0BDF" w:rsidRPr="00423C65" w:rsidRDefault="002C0BDF" w:rsidP="002C0BDF">
      <w:pPr>
        <w:ind w:left="720" w:hanging="720"/>
        <w:rPr>
          <w:b/>
          <w:sz w:val="24"/>
          <w:szCs w:val="24"/>
          <w:u w:val="single"/>
        </w:rPr>
      </w:pPr>
      <w:r w:rsidRPr="00423C65">
        <w:rPr>
          <w:b/>
          <w:sz w:val="24"/>
          <w:szCs w:val="24"/>
          <w:u w:val="single"/>
        </w:rPr>
        <w:t>Proposed Rule Changes to Section 76.59</w:t>
      </w:r>
    </w:p>
    <w:p w:rsidR="002C0BDF" w:rsidRPr="00423C65" w:rsidRDefault="002C0BDF" w:rsidP="002C0BDF">
      <w:pPr>
        <w:ind w:left="720" w:hanging="720"/>
        <w:rPr>
          <w:sz w:val="24"/>
          <w:szCs w:val="24"/>
        </w:rPr>
      </w:pPr>
    </w:p>
    <w:p w:rsidR="002C0BDF" w:rsidRPr="00423C65" w:rsidRDefault="002C0BDF" w:rsidP="002C0BDF">
      <w:pPr>
        <w:rPr>
          <w:b/>
          <w:sz w:val="24"/>
          <w:szCs w:val="24"/>
        </w:rPr>
      </w:pPr>
      <w:r w:rsidRPr="00423C65">
        <w:rPr>
          <w:b/>
          <w:sz w:val="24"/>
          <w:szCs w:val="24"/>
        </w:rPr>
        <w:t>§76.59   Modification of television markets.</w:t>
      </w:r>
    </w:p>
    <w:p w:rsidR="002C0BDF" w:rsidRPr="00423C65" w:rsidRDefault="002C0BDF" w:rsidP="002C0BDF">
      <w:pPr>
        <w:rPr>
          <w:b/>
          <w:sz w:val="24"/>
          <w:szCs w:val="24"/>
        </w:rPr>
      </w:pPr>
    </w:p>
    <w:p w:rsidR="002C0BDF" w:rsidRPr="00423C65" w:rsidRDefault="002C0BDF" w:rsidP="002C0BDF">
      <w:pPr>
        <w:rPr>
          <w:sz w:val="24"/>
          <w:szCs w:val="24"/>
        </w:rPr>
      </w:pPr>
      <w:r w:rsidRPr="00423C65">
        <w:rPr>
          <w:sz w:val="24"/>
          <w:szCs w:val="24"/>
        </w:rPr>
        <w:t>(a) The Commission, following a written request from a broadcast station</w:t>
      </w:r>
      <w:r w:rsidRPr="00423C65">
        <w:rPr>
          <w:b/>
          <w:sz w:val="24"/>
          <w:szCs w:val="24"/>
        </w:rPr>
        <w:t>,</w:t>
      </w:r>
      <w:r w:rsidR="00FF7310">
        <w:rPr>
          <w:b/>
          <w:sz w:val="24"/>
          <w:szCs w:val="24"/>
        </w:rPr>
        <w:t xml:space="preserve"> </w:t>
      </w:r>
      <w:r w:rsidRPr="00423C65">
        <w:rPr>
          <w:sz w:val="24"/>
          <w:szCs w:val="24"/>
        </w:rPr>
        <w:t>cable system</w:t>
      </w:r>
      <w:r w:rsidRPr="00423C65">
        <w:rPr>
          <w:b/>
          <w:sz w:val="24"/>
          <w:szCs w:val="24"/>
        </w:rPr>
        <w:t xml:space="preserve"> or satellite carrier</w:t>
      </w:r>
      <w:r w:rsidRPr="00423C65">
        <w:rPr>
          <w:sz w:val="24"/>
          <w:szCs w:val="24"/>
        </w:rPr>
        <w:t>, may deem that the television market</w:t>
      </w:r>
      <w:r w:rsidRPr="00423C65">
        <w:rPr>
          <w:b/>
          <w:sz w:val="24"/>
          <w:szCs w:val="24"/>
        </w:rPr>
        <w:t>, as defined either by §76.55(e) or §76.66(e),</w:t>
      </w:r>
      <w:r w:rsidRPr="00423C65">
        <w:rPr>
          <w:sz w:val="24"/>
          <w:szCs w:val="24"/>
        </w:rPr>
        <w:t xml:space="preserve"> of a particular commercial television broadcast station should include additional communities within its television market or exclude communities from such station’s television market. In this respect, communities may be considered part of more than one television market.</w:t>
      </w:r>
    </w:p>
    <w:p w:rsidR="002C0BDF" w:rsidRPr="00423C65" w:rsidRDefault="002C0BDF" w:rsidP="002C0BDF">
      <w:pPr>
        <w:rPr>
          <w:sz w:val="24"/>
          <w:szCs w:val="24"/>
        </w:rPr>
      </w:pPr>
    </w:p>
    <w:p w:rsidR="002C0BDF" w:rsidRPr="00423C65" w:rsidRDefault="002C0BDF" w:rsidP="002C0BDF">
      <w:pPr>
        <w:rPr>
          <w:sz w:val="24"/>
          <w:szCs w:val="24"/>
        </w:rPr>
      </w:pPr>
      <w:r w:rsidRPr="00423C65">
        <w:rPr>
          <w:sz w:val="24"/>
          <w:szCs w:val="24"/>
        </w:rPr>
        <w:t>(b) Such requests for modification of a television market shall be submitted in accordance with §76.7, petitions for special relief, and shall include the following evidence:</w:t>
      </w:r>
    </w:p>
    <w:p w:rsidR="002C0BDF" w:rsidRPr="00423C65" w:rsidRDefault="002C0BDF" w:rsidP="002C0BDF">
      <w:pPr>
        <w:rPr>
          <w:sz w:val="24"/>
          <w:szCs w:val="24"/>
        </w:rPr>
      </w:pPr>
    </w:p>
    <w:p w:rsidR="002C0BDF" w:rsidRPr="00423C65" w:rsidRDefault="002C0BDF" w:rsidP="002C0BDF">
      <w:pPr>
        <w:rPr>
          <w:sz w:val="24"/>
          <w:szCs w:val="24"/>
        </w:rPr>
      </w:pPr>
      <w:r w:rsidRPr="00423C65">
        <w:rPr>
          <w:sz w:val="24"/>
          <w:szCs w:val="24"/>
        </w:rPr>
        <w:t xml:space="preserve">(1) A map or maps illustrating the relevant community locations and geographic features, station transmitter sites, cable system headend </w:t>
      </w:r>
      <w:r w:rsidRPr="00423C65">
        <w:rPr>
          <w:b/>
          <w:sz w:val="24"/>
          <w:szCs w:val="24"/>
        </w:rPr>
        <w:t xml:space="preserve">or satellite carrier local receive facility </w:t>
      </w:r>
      <w:r w:rsidRPr="00423C65">
        <w:rPr>
          <w:sz w:val="24"/>
          <w:szCs w:val="24"/>
        </w:rPr>
        <w:t>locations, terrain features that would affect station reception, mileage between the community and the television station transmitter site, transportation routes and any other evidence contributing to the scope of the market.</w:t>
      </w:r>
    </w:p>
    <w:p w:rsidR="002C0BDF" w:rsidRPr="00423C65" w:rsidRDefault="002C0BDF" w:rsidP="002C0BDF">
      <w:pPr>
        <w:rPr>
          <w:sz w:val="24"/>
          <w:szCs w:val="24"/>
        </w:rPr>
      </w:pPr>
    </w:p>
    <w:p w:rsidR="002C0BDF" w:rsidRPr="00423C65" w:rsidRDefault="002C0BDF" w:rsidP="002C0BDF">
      <w:pPr>
        <w:rPr>
          <w:sz w:val="24"/>
          <w:szCs w:val="24"/>
        </w:rPr>
      </w:pPr>
      <w:r w:rsidRPr="00423C65">
        <w:rPr>
          <w:sz w:val="24"/>
          <w:szCs w:val="24"/>
        </w:rPr>
        <w:t xml:space="preserve">(2) </w:t>
      </w:r>
      <w:r w:rsidRPr="00423C65">
        <w:rPr>
          <w:b/>
          <w:sz w:val="24"/>
          <w:szCs w:val="24"/>
        </w:rPr>
        <w:t>Noise-limited service</w:t>
      </w:r>
      <w:r w:rsidRPr="00423C65">
        <w:rPr>
          <w:sz w:val="24"/>
          <w:szCs w:val="24"/>
        </w:rPr>
        <w:t xml:space="preserve"> </w:t>
      </w:r>
      <w:r w:rsidRPr="00423C65">
        <w:rPr>
          <w:b/>
          <w:sz w:val="24"/>
          <w:szCs w:val="24"/>
        </w:rPr>
        <w:t>contour maps (for digital stations) or</w:t>
      </w:r>
      <w:r w:rsidRPr="00423C65">
        <w:rPr>
          <w:sz w:val="24"/>
          <w:szCs w:val="24"/>
        </w:rPr>
        <w:t xml:space="preserve"> Grade B contour maps </w:t>
      </w:r>
      <w:r w:rsidRPr="00423C65">
        <w:rPr>
          <w:b/>
          <w:sz w:val="24"/>
          <w:szCs w:val="24"/>
        </w:rPr>
        <w:t>(for analog stations)</w:t>
      </w:r>
      <w:r w:rsidRPr="00423C65">
        <w:rPr>
          <w:sz w:val="24"/>
          <w:szCs w:val="24"/>
        </w:rPr>
        <w:t xml:space="preserve"> delineating the station’s technical service area and showing the location of the cable system headends </w:t>
      </w:r>
      <w:r w:rsidRPr="00423C65">
        <w:rPr>
          <w:b/>
          <w:sz w:val="24"/>
          <w:szCs w:val="24"/>
        </w:rPr>
        <w:t xml:space="preserve">or satellite carrier local receive facilities </w:t>
      </w:r>
      <w:r w:rsidRPr="00423C65">
        <w:rPr>
          <w:sz w:val="24"/>
          <w:szCs w:val="24"/>
        </w:rPr>
        <w:t xml:space="preserve">and communities in relation to the service areas. </w:t>
      </w:r>
    </w:p>
    <w:p w:rsidR="002C0BDF" w:rsidRPr="00423C65" w:rsidRDefault="002C0BDF" w:rsidP="002C0BDF">
      <w:pPr>
        <w:rPr>
          <w:sz w:val="24"/>
          <w:szCs w:val="24"/>
        </w:rPr>
      </w:pPr>
    </w:p>
    <w:p w:rsidR="002C0BDF" w:rsidRPr="00423C65" w:rsidRDefault="002C0BDF" w:rsidP="002C0BDF">
      <w:pPr>
        <w:rPr>
          <w:sz w:val="24"/>
          <w:szCs w:val="24"/>
        </w:rPr>
      </w:pPr>
      <w:r w:rsidRPr="00423C65">
        <w:rPr>
          <w:sz w:val="24"/>
          <w:szCs w:val="24"/>
        </w:rPr>
        <w:t>Note to paragraph (b)(2): Service area maps using Longley-Rice (version 1.2.2) propagation curves may also be included to support a technical service exhibit.</w:t>
      </w:r>
    </w:p>
    <w:p w:rsidR="002C0BDF" w:rsidRPr="00423C65" w:rsidRDefault="002C0BDF" w:rsidP="002C0BDF">
      <w:pPr>
        <w:rPr>
          <w:sz w:val="24"/>
          <w:szCs w:val="24"/>
        </w:rPr>
      </w:pPr>
    </w:p>
    <w:p w:rsidR="002C0BDF" w:rsidRPr="00423C65" w:rsidRDefault="002C0BDF" w:rsidP="002C0BDF">
      <w:pPr>
        <w:rPr>
          <w:sz w:val="24"/>
          <w:szCs w:val="24"/>
        </w:rPr>
      </w:pPr>
      <w:r w:rsidRPr="00423C65">
        <w:rPr>
          <w:sz w:val="24"/>
          <w:szCs w:val="24"/>
        </w:rPr>
        <w:t>(3) Available data on shopping and labor patterns in the local market.</w:t>
      </w:r>
    </w:p>
    <w:p w:rsidR="002C0BDF" w:rsidRPr="00423C65" w:rsidRDefault="002C0BDF" w:rsidP="002C0BDF">
      <w:pPr>
        <w:rPr>
          <w:sz w:val="24"/>
          <w:szCs w:val="24"/>
        </w:rPr>
      </w:pPr>
    </w:p>
    <w:p w:rsidR="002C0BDF" w:rsidRPr="00423C65" w:rsidRDefault="002C0BDF" w:rsidP="002C0BDF">
      <w:pPr>
        <w:rPr>
          <w:sz w:val="24"/>
          <w:szCs w:val="24"/>
        </w:rPr>
      </w:pPr>
      <w:r w:rsidRPr="00423C65">
        <w:rPr>
          <w:sz w:val="24"/>
          <w:szCs w:val="24"/>
        </w:rPr>
        <w:t>(4) Television station programming information derived from station logs or the local edition of the television guide.</w:t>
      </w:r>
    </w:p>
    <w:p w:rsidR="002C0BDF" w:rsidRPr="00423C65" w:rsidRDefault="002C0BDF" w:rsidP="002C0BDF">
      <w:pPr>
        <w:rPr>
          <w:sz w:val="24"/>
          <w:szCs w:val="24"/>
        </w:rPr>
      </w:pPr>
    </w:p>
    <w:p w:rsidR="002C0BDF" w:rsidRPr="00423C65" w:rsidRDefault="002C0BDF" w:rsidP="002C0BDF">
      <w:pPr>
        <w:rPr>
          <w:sz w:val="24"/>
          <w:szCs w:val="24"/>
        </w:rPr>
      </w:pPr>
      <w:r w:rsidRPr="00423C65">
        <w:rPr>
          <w:sz w:val="24"/>
          <w:szCs w:val="24"/>
        </w:rPr>
        <w:t xml:space="preserve">(5) Cable system </w:t>
      </w:r>
      <w:r w:rsidRPr="00423C65">
        <w:rPr>
          <w:b/>
          <w:sz w:val="24"/>
          <w:szCs w:val="24"/>
        </w:rPr>
        <w:t xml:space="preserve">or satellite carrier </w:t>
      </w:r>
      <w:r w:rsidRPr="00423C65">
        <w:rPr>
          <w:sz w:val="24"/>
          <w:szCs w:val="24"/>
        </w:rPr>
        <w:t>channel line-up cards or other exhibits establishing historic carriage, such as television guide listings.</w:t>
      </w:r>
    </w:p>
    <w:p w:rsidR="002C0BDF" w:rsidRPr="00423C65" w:rsidRDefault="002C0BDF" w:rsidP="002C0BDF">
      <w:pPr>
        <w:rPr>
          <w:sz w:val="24"/>
          <w:szCs w:val="24"/>
        </w:rPr>
      </w:pPr>
    </w:p>
    <w:p w:rsidR="002C0BDF" w:rsidRPr="00423C65" w:rsidRDefault="002C0BDF" w:rsidP="002C0BDF">
      <w:pPr>
        <w:rPr>
          <w:sz w:val="24"/>
          <w:szCs w:val="24"/>
        </w:rPr>
      </w:pPr>
      <w:r w:rsidRPr="00423C65">
        <w:rPr>
          <w:sz w:val="24"/>
          <w:szCs w:val="24"/>
        </w:rPr>
        <w:t>(6) Published audience data for the relevant station showing its average all day audience (</w:t>
      </w:r>
      <w:r w:rsidRPr="00423C65">
        <w:rPr>
          <w:i/>
          <w:sz w:val="24"/>
          <w:szCs w:val="24"/>
        </w:rPr>
        <w:t>i.e.</w:t>
      </w:r>
      <w:r w:rsidRPr="00423C65">
        <w:rPr>
          <w:sz w:val="24"/>
          <w:szCs w:val="24"/>
        </w:rPr>
        <w:t xml:space="preserve">, the reported audience averaged over Sunday-Saturday, 7 a.m.-1 a.m., or an equivalent time period) for both </w:t>
      </w:r>
      <w:r w:rsidRPr="00423C65">
        <w:rPr>
          <w:b/>
          <w:sz w:val="24"/>
          <w:szCs w:val="24"/>
        </w:rPr>
        <w:t xml:space="preserve">multichannel video programming distributor (MVPD) and non-MVPD </w:t>
      </w:r>
      <w:r w:rsidRPr="00423C65">
        <w:rPr>
          <w:sz w:val="24"/>
          <w:szCs w:val="24"/>
        </w:rPr>
        <w:t>households or other specific audience indicia, such as station advertising and sales data or viewer contribution records.</w:t>
      </w:r>
    </w:p>
    <w:p w:rsidR="002C0BDF" w:rsidRPr="00423C65" w:rsidRDefault="002C0BDF" w:rsidP="002C0BDF">
      <w:pPr>
        <w:rPr>
          <w:sz w:val="24"/>
          <w:szCs w:val="24"/>
        </w:rPr>
      </w:pPr>
    </w:p>
    <w:p w:rsidR="002C0BDF" w:rsidRPr="00423C65" w:rsidRDefault="002C0BDF" w:rsidP="002C0BDF">
      <w:pPr>
        <w:rPr>
          <w:sz w:val="24"/>
          <w:szCs w:val="24"/>
        </w:rPr>
      </w:pPr>
      <w:r w:rsidRPr="00423C65">
        <w:rPr>
          <w:sz w:val="24"/>
          <w:szCs w:val="24"/>
        </w:rPr>
        <w:t xml:space="preserve">(c) Petitions for Special Relief to modify television markets that do not include such evidence shall be dismissed without prejudice and may be re-filed at a later date with the appropriate filing fee. </w:t>
      </w:r>
    </w:p>
    <w:p w:rsidR="002C0BDF" w:rsidRPr="00423C65" w:rsidRDefault="002C0BDF" w:rsidP="002C0BDF">
      <w:pPr>
        <w:rPr>
          <w:sz w:val="24"/>
          <w:szCs w:val="24"/>
        </w:rPr>
      </w:pPr>
    </w:p>
    <w:p w:rsidR="002C0BDF" w:rsidRPr="00423C65" w:rsidRDefault="002C0BDF" w:rsidP="002C0BDF">
      <w:pPr>
        <w:rPr>
          <w:sz w:val="24"/>
          <w:szCs w:val="24"/>
        </w:rPr>
      </w:pPr>
      <w:r w:rsidRPr="00423C65">
        <w:rPr>
          <w:sz w:val="24"/>
          <w:szCs w:val="24"/>
        </w:rPr>
        <w:t xml:space="preserve">(d) A cable operator </w:t>
      </w:r>
      <w:r w:rsidRPr="00423C65">
        <w:rPr>
          <w:b/>
          <w:sz w:val="24"/>
          <w:szCs w:val="24"/>
        </w:rPr>
        <w:t xml:space="preserve">or satellite carrier </w:t>
      </w:r>
      <w:r w:rsidRPr="00423C65">
        <w:rPr>
          <w:sz w:val="24"/>
          <w:szCs w:val="24"/>
        </w:rPr>
        <w:t>shall not delete from carriage the signal of a commercial television station during the pendency of any proceeding pursuant to this section.</w:t>
      </w:r>
    </w:p>
    <w:p w:rsidR="002C0BDF" w:rsidRPr="00423C65" w:rsidRDefault="002C0BDF" w:rsidP="002C0BDF">
      <w:pPr>
        <w:rPr>
          <w:sz w:val="24"/>
          <w:szCs w:val="24"/>
        </w:rPr>
      </w:pPr>
    </w:p>
    <w:p w:rsidR="002C0BDF" w:rsidRPr="00423C65" w:rsidRDefault="002C0BDF" w:rsidP="002C0BDF">
      <w:pPr>
        <w:rPr>
          <w:b/>
          <w:sz w:val="24"/>
          <w:szCs w:val="24"/>
        </w:rPr>
      </w:pPr>
      <w:r w:rsidRPr="00423C65">
        <w:rPr>
          <w:b/>
          <w:sz w:val="24"/>
          <w:szCs w:val="24"/>
        </w:rPr>
        <w:t>(e) A market determination under this section shall not create additional carriage obligations for a satellite carrier if it is not technically and economically feasible for such carrier to accomplish such carriage by means of its satellites in operation at the time of the determination.</w:t>
      </w:r>
    </w:p>
    <w:p w:rsidR="002C0BDF" w:rsidRPr="00423C65" w:rsidRDefault="002C0BDF" w:rsidP="002C0BDF">
      <w:pPr>
        <w:rPr>
          <w:sz w:val="24"/>
          <w:szCs w:val="24"/>
        </w:rPr>
      </w:pPr>
    </w:p>
    <w:p w:rsidR="002C0BDF" w:rsidRPr="00423C65" w:rsidRDefault="002C0BDF" w:rsidP="002C0BDF">
      <w:pPr>
        <w:rPr>
          <w:b/>
          <w:sz w:val="24"/>
          <w:szCs w:val="24"/>
        </w:rPr>
      </w:pPr>
      <w:r w:rsidRPr="00423C65">
        <w:rPr>
          <w:b/>
          <w:sz w:val="24"/>
          <w:szCs w:val="24"/>
        </w:rPr>
        <w:t>(f) No modification of a commercial television broadcast station’s local market pursuant to this section shall have any effect on the eligibility of households in the community affected by such modification to receive distant signals from a satellite carrier pursuant to 47 U.S.C. 339.</w:t>
      </w:r>
    </w:p>
    <w:p w:rsidR="002F27E4" w:rsidRDefault="002F27E4" w:rsidP="002F27E4">
      <w:pPr>
        <w:suppressAutoHyphens/>
        <w:rPr>
          <w:sz w:val="24"/>
          <w:szCs w:val="24"/>
        </w:rPr>
      </w:pPr>
    </w:p>
    <w:p w:rsidR="00D81231" w:rsidRDefault="00D81231" w:rsidP="002F27E4">
      <w:pPr>
        <w:suppressAutoHyphens/>
        <w:rPr>
          <w:sz w:val="24"/>
          <w:szCs w:val="24"/>
        </w:rPr>
      </w:pPr>
    </w:p>
    <w:p w:rsidR="00D81231" w:rsidRDefault="00D81231" w:rsidP="002F27E4">
      <w:pPr>
        <w:suppressAutoHyphens/>
        <w:rPr>
          <w:sz w:val="24"/>
          <w:szCs w:val="24"/>
        </w:rPr>
      </w:pPr>
    </w:p>
    <w:p w:rsidR="00D81231" w:rsidRDefault="00D81231" w:rsidP="002F27E4">
      <w:pPr>
        <w:suppressAutoHyphens/>
        <w:rPr>
          <w:sz w:val="24"/>
          <w:szCs w:val="24"/>
        </w:rPr>
      </w:pPr>
    </w:p>
    <w:p w:rsidR="00D81231" w:rsidRDefault="00D81231" w:rsidP="002F27E4">
      <w:pPr>
        <w:suppressAutoHyphens/>
        <w:rPr>
          <w:sz w:val="24"/>
          <w:szCs w:val="24"/>
        </w:rPr>
      </w:pPr>
    </w:p>
    <w:p w:rsidR="00D81231" w:rsidRPr="00423C65" w:rsidRDefault="00D81231" w:rsidP="002F27E4">
      <w:pPr>
        <w:suppressAutoHyphens/>
        <w:rPr>
          <w:sz w:val="24"/>
          <w:szCs w:val="24"/>
        </w:rPr>
      </w:pPr>
    </w:p>
    <w:p w:rsidR="002F27E4" w:rsidRPr="00423C65" w:rsidRDefault="002F27E4" w:rsidP="002F27E4">
      <w:pPr>
        <w:suppressAutoHyphens/>
        <w:rPr>
          <w:b/>
          <w:sz w:val="24"/>
          <w:szCs w:val="24"/>
        </w:rPr>
      </w:pPr>
      <w:r w:rsidRPr="00423C65">
        <w:rPr>
          <w:b/>
          <w:sz w:val="24"/>
          <w:szCs w:val="24"/>
        </w:rPr>
        <w:lastRenderedPageBreak/>
        <w:t>History:</w:t>
      </w:r>
    </w:p>
    <w:p w:rsidR="002F27E4" w:rsidRPr="00423C65" w:rsidRDefault="002F27E4" w:rsidP="002F27E4">
      <w:pPr>
        <w:suppressAutoHyphens/>
        <w:rPr>
          <w:b/>
          <w:sz w:val="24"/>
          <w:szCs w:val="24"/>
        </w:rPr>
      </w:pPr>
    </w:p>
    <w:p w:rsidR="002F27E4" w:rsidRPr="00423C65" w:rsidRDefault="002F27E4" w:rsidP="002F27E4">
      <w:pPr>
        <w:suppressAutoHyphens/>
        <w:rPr>
          <w:sz w:val="24"/>
          <w:szCs w:val="24"/>
        </w:rPr>
      </w:pPr>
      <w:r w:rsidRPr="00423C65">
        <w:rPr>
          <w:sz w:val="24"/>
          <w:szCs w:val="24"/>
        </w:rPr>
        <w:t xml:space="preserve">On March 29, 1993, the Commission released a </w:t>
      </w:r>
      <w:r w:rsidRPr="00423C65">
        <w:rPr>
          <w:i/>
          <w:sz w:val="24"/>
          <w:szCs w:val="24"/>
        </w:rPr>
        <w:t>Report and Order</w:t>
      </w:r>
      <w:r w:rsidRPr="00423C65">
        <w:rPr>
          <w:sz w:val="24"/>
          <w:szCs w:val="24"/>
        </w:rPr>
        <w:t>, FCC 93-144.</w:t>
      </w:r>
      <w:r w:rsidR="00611A2B" w:rsidRPr="00423C65">
        <w:rPr>
          <w:rStyle w:val="FootnoteReference"/>
          <w:sz w:val="24"/>
          <w:szCs w:val="24"/>
        </w:rPr>
        <w:footnoteReference w:id="16"/>
      </w:r>
      <w:r w:rsidRPr="00423C65">
        <w:rPr>
          <w:sz w:val="24"/>
          <w:szCs w:val="24"/>
        </w:rPr>
        <w:t xml:space="preserve">  Among other things, this </w:t>
      </w:r>
      <w:r w:rsidRPr="00423C65">
        <w:rPr>
          <w:i/>
          <w:sz w:val="24"/>
          <w:szCs w:val="24"/>
        </w:rPr>
        <w:t>Report and Order</w:t>
      </w:r>
      <w:r w:rsidRPr="00423C65">
        <w:rPr>
          <w:sz w:val="24"/>
          <w:szCs w:val="24"/>
        </w:rPr>
        <w:t xml:space="preserve"> implemented procedures that enable the Commission to add communities to or </w:t>
      </w:r>
      <w:r w:rsidR="00594BF0" w:rsidRPr="00423C65">
        <w:rPr>
          <w:sz w:val="24"/>
          <w:szCs w:val="24"/>
        </w:rPr>
        <w:t>delete</w:t>
      </w:r>
      <w:r w:rsidRPr="00423C65">
        <w:rPr>
          <w:sz w:val="24"/>
          <w:szCs w:val="24"/>
        </w:rPr>
        <w:t xml:space="preserve"> communities from a station's television market to better reflect marketplace conditions following a written request.  Such written requests to modify a television station's must-carry market may be filed by television stations or cable operators</w:t>
      </w:r>
      <w:r w:rsidR="00594BF0" w:rsidRPr="00423C65">
        <w:rPr>
          <w:sz w:val="24"/>
          <w:szCs w:val="24"/>
        </w:rPr>
        <w:t>,</w:t>
      </w:r>
      <w:r w:rsidRPr="00423C65">
        <w:rPr>
          <w:sz w:val="24"/>
          <w:szCs w:val="24"/>
        </w:rPr>
        <w:t xml:space="preserve"> pursuant to 47 CFR Section 76.59 of the Commission's rules.</w:t>
      </w:r>
    </w:p>
    <w:p w:rsidR="002F27E4" w:rsidRPr="00423C65" w:rsidRDefault="002F27E4" w:rsidP="002F27E4">
      <w:pPr>
        <w:suppressAutoHyphens/>
        <w:rPr>
          <w:sz w:val="24"/>
          <w:szCs w:val="24"/>
        </w:rPr>
      </w:pPr>
    </w:p>
    <w:p w:rsidR="002F27E4" w:rsidRPr="00423C65" w:rsidRDefault="002F27E4" w:rsidP="002F27E4">
      <w:pPr>
        <w:suppressAutoHyphens/>
        <w:rPr>
          <w:sz w:val="24"/>
          <w:szCs w:val="24"/>
        </w:rPr>
      </w:pPr>
      <w:r w:rsidRPr="00423C65">
        <w:rPr>
          <w:sz w:val="24"/>
          <w:szCs w:val="24"/>
        </w:rPr>
        <w:t xml:space="preserve">On May 24, 1996, the Commission released a </w:t>
      </w:r>
      <w:r w:rsidRPr="00423C65">
        <w:rPr>
          <w:i/>
          <w:sz w:val="24"/>
          <w:szCs w:val="24"/>
        </w:rPr>
        <w:t>First Report and Order and Further Notice of Proposed Rulemaking</w:t>
      </w:r>
      <w:r w:rsidRPr="00423C65">
        <w:rPr>
          <w:sz w:val="24"/>
          <w:szCs w:val="24"/>
        </w:rPr>
        <w:t>, FCC 96-197.</w:t>
      </w:r>
      <w:r w:rsidR="00594BF0" w:rsidRPr="00423C65">
        <w:rPr>
          <w:rStyle w:val="FootnoteReference"/>
          <w:sz w:val="24"/>
          <w:szCs w:val="24"/>
        </w:rPr>
        <w:footnoteReference w:id="17"/>
      </w:r>
      <w:r w:rsidRPr="00423C65">
        <w:rPr>
          <w:sz w:val="24"/>
          <w:szCs w:val="24"/>
        </w:rPr>
        <w:t xml:space="preserve">  The </w:t>
      </w:r>
      <w:r w:rsidRPr="00423C65">
        <w:rPr>
          <w:i/>
          <w:sz w:val="24"/>
          <w:szCs w:val="24"/>
        </w:rPr>
        <w:t>First Report and Order</w:t>
      </w:r>
      <w:r w:rsidRPr="00423C65">
        <w:rPr>
          <w:sz w:val="24"/>
          <w:szCs w:val="24"/>
        </w:rPr>
        <w:t xml:space="preserve"> established new television market definitions for purposes of the cable television signal carriage and retransmission consent rules.  The Commission concluded that i</w:t>
      </w:r>
      <w:r w:rsidR="00611A2B" w:rsidRPr="00423C65">
        <w:rPr>
          <w:sz w:val="24"/>
          <w:szCs w:val="24"/>
        </w:rPr>
        <w:t>t</w:t>
      </w:r>
      <w:r w:rsidRPr="00423C65">
        <w:rPr>
          <w:sz w:val="24"/>
          <w:szCs w:val="24"/>
        </w:rPr>
        <w:t xml:space="preserve"> was appropriate to change market definitions from Arbitron areas of dominant influence ("ADIs") to Nielsen Media Research designated market areas ("DMAs") for must-carry/retransmission consent elections beginning with the must-carry/retransmission consent cycle that is to commence on January 1, 2000.  The </w:t>
      </w:r>
      <w:r w:rsidRPr="00423C65">
        <w:rPr>
          <w:i/>
          <w:sz w:val="24"/>
          <w:szCs w:val="24"/>
        </w:rPr>
        <w:t>Further Notice</w:t>
      </w:r>
      <w:r w:rsidRPr="00423C65">
        <w:rPr>
          <w:sz w:val="24"/>
          <w:szCs w:val="24"/>
        </w:rPr>
        <w:t xml:space="preserve"> provided parties an opportunity to further consider issues relating to the transition to market designations based on DMAs and sought comment on procedures for refining the market modification process.</w:t>
      </w:r>
    </w:p>
    <w:p w:rsidR="002F27E4" w:rsidRPr="00423C65" w:rsidRDefault="002F27E4" w:rsidP="002F27E4">
      <w:pPr>
        <w:suppressAutoHyphens/>
        <w:rPr>
          <w:sz w:val="24"/>
          <w:szCs w:val="24"/>
        </w:rPr>
      </w:pPr>
    </w:p>
    <w:p w:rsidR="002F27E4" w:rsidRPr="00423C65" w:rsidRDefault="002F27E4" w:rsidP="002F27E4">
      <w:pPr>
        <w:suppressAutoHyphens/>
        <w:rPr>
          <w:sz w:val="24"/>
          <w:szCs w:val="24"/>
        </w:rPr>
      </w:pPr>
      <w:r w:rsidRPr="00423C65">
        <w:rPr>
          <w:sz w:val="24"/>
          <w:szCs w:val="24"/>
        </w:rPr>
        <w:t xml:space="preserve">On May 26, 1999, the Commission released an </w:t>
      </w:r>
      <w:r w:rsidRPr="00423C65">
        <w:rPr>
          <w:i/>
          <w:sz w:val="24"/>
          <w:szCs w:val="24"/>
        </w:rPr>
        <w:t>Order on Reconsideration and Second Report and Order</w:t>
      </w:r>
      <w:r w:rsidRPr="00423C65">
        <w:rPr>
          <w:sz w:val="24"/>
          <w:szCs w:val="24"/>
        </w:rPr>
        <w:t>, FCC 99-116.</w:t>
      </w:r>
      <w:r w:rsidR="00BF0630" w:rsidRPr="00423C65">
        <w:rPr>
          <w:rStyle w:val="FootnoteReference"/>
          <w:sz w:val="24"/>
          <w:szCs w:val="24"/>
        </w:rPr>
        <w:footnoteReference w:id="18"/>
      </w:r>
      <w:r w:rsidRPr="00423C65">
        <w:rPr>
          <w:sz w:val="24"/>
          <w:szCs w:val="24"/>
        </w:rPr>
        <w:t xml:space="preserve">  Among other things, the Commission established final rules for procedures for refining the cable market modification process by adopting a standardized evidence approach to the market modification process.  The Commission sets forth specific information submission requirements for the market modification process, as detailed in </w:t>
      </w:r>
      <w:r w:rsidR="00611A2B" w:rsidRPr="00423C65">
        <w:rPr>
          <w:sz w:val="24"/>
          <w:szCs w:val="24"/>
        </w:rPr>
        <w:t xml:space="preserve">the </w:t>
      </w:r>
      <w:r w:rsidRPr="00423C65">
        <w:rPr>
          <w:sz w:val="24"/>
          <w:szCs w:val="24"/>
        </w:rPr>
        <w:t xml:space="preserve">amended 47 CFR Section 76.59.  The intent of specific submission requirements </w:t>
      </w:r>
      <w:r w:rsidR="00611A2B" w:rsidRPr="00423C65">
        <w:rPr>
          <w:sz w:val="24"/>
          <w:szCs w:val="24"/>
        </w:rPr>
        <w:t>was</w:t>
      </w:r>
      <w:r w:rsidRPr="00423C65">
        <w:rPr>
          <w:sz w:val="24"/>
          <w:szCs w:val="24"/>
        </w:rPr>
        <w:t xml:space="preserve"> to bring greater uniformity and certainty to the market modification process and to avoid unnecessary reconsideration petitions and appeals.  This collection accounts for the paperwork burden imposed on entities when undergoing the market modification request process. </w:t>
      </w:r>
    </w:p>
    <w:p w:rsidR="001349A7" w:rsidRPr="00423C65" w:rsidRDefault="001349A7">
      <w:pPr>
        <w:rPr>
          <w:sz w:val="24"/>
          <w:szCs w:val="24"/>
        </w:rPr>
      </w:pPr>
    </w:p>
    <w:p w:rsidR="007B7426" w:rsidRPr="00423C65" w:rsidRDefault="00C331CE">
      <w:pPr>
        <w:rPr>
          <w:sz w:val="24"/>
          <w:szCs w:val="24"/>
        </w:rPr>
      </w:pPr>
      <w:r w:rsidRPr="00423C65">
        <w:rPr>
          <w:sz w:val="24"/>
          <w:szCs w:val="24"/>
        </w:rPr>
        <w:t>T</w:t>
      </w:r>
      <w:r w:rsidR="007B7426" w:rsidRPr="00423C65">
        <w:rPr>
          <w:sz w:val="24"/>
          <w:szCs w:val="24"/>
        </w:rPr>
        <w:t>his information collection does not affect individuals or households; thus, there are no impacts under the Privacy Act.</w:t>
      </w:r>
    </w:p>
    <w:p w:rsidR="007B7426" w:rsidRPr="00423C65" w:rsidRDefault="007B7426">
      <w:pPr>
        <w:suppressAutoHyphens/>
        <w:rPr>
          <w:sz w:val="24"/>
          <w:szCs w:val="24"/>
        </w:rPr>
      </w:pPr>
    </w:p>
    <w:p w:rsidR="002F27E4" w:rsidRPr="00423C65" w:rsidRDefault="002F27E4">
      <w:pPr>
        <w:suppressAutoHyphens/>
        <w:rPr>
          <w:sz w:val="24"/>
          <w:szCs w:val="24"/>
        </w:rPr>
      </w:pPr>
      <w:r w:rsidRPr="00423C65">
        <w:rPr>
          <w:sz w:val="24"/>
          <w:szCs w:val="24"/>
        </w:rPr>
        <w:t>Statutory authority for this collection of information is contained in Section 102 of the STELA Reauthorization Act of 2014 (STELAR), Pub. L. No. 113-200, 128 Stat. 2059 (2014), and Sections 1, 4(i), 303(r), 338 and 614 of the Communications Act of 1934, as amended, 47 U.S.C. §§ 151, 154(i), 303(r), 338 and 534.</w:t>
      </w:r>
    </w:p>
    <w:p w:rsidR="005B45A7" w:rsidRPr="00423C65" w:rsidRDefault="005B45A7">
      <w:pPr>
        <w:suppressAutoHyphens/>
        <w:rPr>
          <w:sz w:val="24"/>
          <w:szCs w:val="24"/>
        </w:rPr>
      </w:pPr>
    </w:p>
    <w:p w:rsidR="005B45A7" w:rsidRPr="00423C65" w:rsidRDefault="005B45A7">
      <w:pPr>
        <w:suppressAutoHyphens/>
        <w:rPr>
          <w:sz w:val="24"/>
          <w:szCs w:val="24"/>
        </w:rPr>
      </w:pPr>
      <w:r w:rsidRPr="00423C65">
        <w:rPr>
          <w:sz w:val="24"/>
          <w:szCs w:val="24"/>
        </w:rPr>
        <w:t xml:space="preserve">2. </w:t>
      </w:r>
      <w:r w:rsidR="002036BE">
        <w:rPr>
          <w:sz w:val="24"/>
          <w:szCs w:val="24"/>
        </w:rPr>
        <w:t>TV</w:t>
      </w:r>
      <w:r w:rsidR="00FF7310" w:rsidRPr="00FF7310">
        <w:rPr>
          <w:sz w:val="24"/>
          <w:szCs w:val="24"/>
        </w:rPr>
        <w:t xml:space="preserve"> broadcast stations</w:t>
      </w:r>
      <w:r w:rsidR="00FF7310">
        <w:rPr>
          <w:sz w:val="24"/>
          <w:szCs w:val="24"/>
        </w:rPr>
        <w:t xml:space="preserve">, cable </w:t>
      </w:r>
      <w:r w:rsidR="002036BE">
        <w:rPr>
          <w:sz w:val="24"/>
          <w:szCs w:val="24"/>
        </w:rPr>
        <w:t xml:space="preserve">system </w:t>
      </w:r>
      <w:r w:rsidR="00FF7310">
        <w:rPr>
          <w:sz w:val="24"/>
          <w:szCs w:val="24"/>
        </w:rPr>
        <w:t>operators</w:t>
      </w:r>
      <w:r w:rsidR="002036BE">
        <w:rPr>
          <w:sz w:val="24"/>
          <w:szCs w:val="24"/>
        </w:rPr>
        <w:t xml:space="preserve"> and satellite carriers</w:t>
      </w:r>
      <w:r w:rsidR="00FF7310">
        <w:rPr>
          <w:sz w:val="24"/>
          <w:szCs w:val="24"/>
        </w:rPr>
        <w:t xml:space="preserve"> </w:t>
      </w:r>
      <w:r w:rsidR="002036BE">
        <w:rPr>
          <w:sz w:val="24"/>
          <w:szCs w:val="24"/>
        </w:rPr>
        <w:t xml:space="preserve">may file a petition with the Commission seeking to modify </w:t>
      </w:r>
      <w:r w:rsidR="002036BE" w:rsidRPr="002036BE">
        <w:rPr>
          <w:sz w:val="24"/>
          <w:szCs w:val="24"/>
        </w:rPr>
        <w:t xml:space="preserve">the local television market of a commercial television broadcast station to better serve the </w:t>
      </w:r>
      <w:r w:rsidR="002036BE">
        <w:rPr>
          <w:sz w:val="24"/>
          <w:szCs w:val="24"/>
        </w:rPr>
        <w:t>programming needs</w:t>
      </w:r>
      <w:r w:rsidR="002036BE" w:rsidRPr="002036BE">
        <w:rPr>
          <w:sz w:val="24"/>
          <w:szCs w:val="24"/>
        </w:rPr>
        <w:t xml:space="preserve"> of local communities.</w:t>
      </w:r>
      <w:r w:rsidR="002036BE">
        <w:rPr>
          <w:sz w:val="24"/>
          <w:szCs w:val="24"/>
        </w:rPr>
        <w:t xml:space="preserve">  </w:t>
      </w:r>
      <w:r w:rsidR="008437F5" w:rsidRPr="00423C65">
        <w:rPr>
          <w:sz w:val="24"/>
          <w:szCs w:val="24"/>
        </w:rPr>
        <w:t>The Commission will use i</w:t>
      </w:r>
      <w:r w:rsidRPr="00423C65">
        <w:rPr>
          <w:sz w:val="24"/>
          <w:szCs w:val="24"/>
        </w:rPr>
        <w:t xml:space="preserve">nformation </w:t>
      </w:r>
      <w:r w:rsidR="00E2767A" w:rsidRPr="00423C65">
        <w:rPr>
          <w:sz w:val="24"/>
          <w:szCs w:val="24"/>
        </w:rPr>
        <w:t>collected</w:t>
      </w:r>
      <w:r w:rsidRPr="00423C65">
        <w:rPr>
          <w:sz w:val="24"/>
          <w:szCs w:val="24"/>
        </w:rPr>
        <w:t xml:space="preserve"> </w:t>
      </w:r>
      <w:r w:rsidR="008437F5" w:rsidRPr="00423C65">
        <w:rPr>
          <w:sz w:val="24"/>
          <w:szCs w:val="24"/>
        </w:rPr>
        <w:t>in order to determine whether</w:t>
      </w:r>
      <w:r w:rsidRPr="00423C65">
        <w:rPr>
          <w:sz w:val="24"/>
          <w:szCs w:val="24"/>
        </w:rPr>
        <w:t xml:space="preserve"> </w:t>
      </w:r>
      <w:r w:rsidR="002036BE">
        <w:rPr>
          <w:sz w:val="24"/>
          <w:szCs w:val="24"/>
        </w:rPr>
        <w:t>the</w:t>
      </w:r>
      <w:r w:rsidR="00E2767A" w:rsidRPr="00423C65">
        <w:rPr>
          <w:sz w:val="24"/>
          <w:szCs w:val="24"/>
        </w:rPr>
        <w:t xml:space="preserve"> grant </w:t>
      </w:r>
      <w:r w:rsidR="002036BE">
        <w:rPr>
          <w:sz w:val="24"/>
          <w:szCs w:val="24"/>
        </w:rPr>
        <w:t xml:space="preserve">of such </w:t>
      </w:r>
      <w:r w:rsidR="00E2767A" w:rsidRPr="00423C65">
        <w:rPr>
          <w:sz w:val="24"/>
          <w:szCs w:val="24"/>
        </w:rPr>
        <w:t>a market modification request</w:t>
      </w:r>
      <w:r w:rsidR="002036BE">
        <w:rPr>
          <w:sz w:val="24"/>
          <w:szCs w:val="24"/>
        </w:rPr>
        <w:t xml:space="preserve"> would be in the public interest</w:t>
      </w:r>
      <w:r w:rsidR="00E2767A" w:rsidRPr="00423C65">
        <w:rPr>
          <w:sz w:val="24"/>
          <w:szCs w:val="24"/>
        </w:rPr>
        <w:t>.</w:t>
      </w:r>
    </w:p>
    <w:p w:rsidR="005B45A7" w:rsidRPr="00423C65" w:rsidRDefault="005B45A7">
      <w:pPr>
        <w:suppressAutoHyphens/>
        <w:rPr>
          <w:bCs/>
          <w:sz w:val="24"/>
          <w:szCs w:val="24"/>
        </w:rPr>
      </w:pPr>
    </w:p>
    <w:p w:rsidR="005B45A7" w:rsidRDefault="005B45A7">
      <w:pPr>
        <w:suppressAutoHyphens/>
        <w:rPr>
          <w:sz w:val="24"/>
          <w:szCs w:val="24"/>
        </w:rPr>
      </w:pPr>
      <w:r w:rsidRPr="00423C65">
        <w:rPr>
          <w:sz w:val="24"/>
          <w:szCs w:val="24"/>
        </w:rPr>
        <w:t xml:space="preserve">3. </w:t>
      </w:r>
      <w:r w:rsidR="00E2767A" w:rsidRPr="00423C65">
        <w:rPr>
          <w:sz w:val="24"/>
          <w:szCs w:val="24"/>
        </w:rPr>
        <w:t>The Commission requires petitioners filing a market modification requests (</w:t>
      </w:r>
      <w:r w:rsidR="00E2767A" w:rsidRPr="002036BE">
        <w:rPr>
          <w:i/>
          <w:sz w:val="24"/>
          <w:szCs w:val="24"/>
        </w:rPr>
        <w:t>e.g.</w:t>
      </w:r>
      <w:r w:rsidR="00E2767A" w:rsidRPr="00423C65">
        <w:rPr>
          <w:sz w:val="24"/>
          <w:szCs w:val="24"/>
        </w:rPr>
        <w:t xml:space="preserve">, TV </w:t>
      </w:r>
      <w:r w:rsidR="002036BE">
        <w:rPr>
          <w:sz w:val="24"/>
          <w:szCs w:val="24"/>
        </w:rPr>
        <w:t xml:space="preserve">broadcast </w:t>
      </w:r>
      <w:r w:rsidR="00E2767A" w:rsidRPr="00423C65">
        <w:rPr>
          <w:sz w:val="24"/>
          <w:szCs w:val="24"/>
        </w:rPr>
        <w:t xml:space="preserve">station, cable system operator, or satellite carrier) to file such request electronically in accordance with the procedures in 47 C.F.R. § 76.7 for filing Special Relief petitions.  Special Relief petitions must be submitted electronically using the Commission’s Electronic Comment Filing System (ECFS), </w:t>
      </w:r>
      <w:hyperlink r:id="rId8" w:history="1">
        <w:r w:rsidR="00E2767A" w:rsidRPr="00423C65">
          <w:rPr>
            <w:rStyle w:val="Hyperlink"/>
            <w:sz w:val="24"/>
            <w:szCs w:val="24"/>
          </w:rPr>
          <w:t>http://www.fcc.gov/cgb/ecfs/</w:t>
        </w:r>
      </w:hyperlink>
      <w:r w:rsidR="00E2767A" w:rsidRPr="00423C65">
        <w:rPr>
          <w:sz w:val="24"/>
          <w:szCs w:val="24"/>
        </w:rPr>
        <w:t>.</w:t>
      </w:r>
      <w:r w:rsidR="00E2767A" w:rsidRPr="00423C65">
        <w:rPr>
          <w:rStyle w:val="FootnoteReference"/>
          <w:sz w:val="24"/>
          <w:szCs w:val="24"/>
        </w:rPr>
        <w:footnoteReference w:id="19"/>
      </w:r>
      <w:r w:rsidR="00E2767A" w:rsidRPr="00423C65">
        <w:rPr>
          <w:sz w:val="24"/>
          <w:szCs w:val="24"/>
        </w:rPr>
        <w:t xml:space="preserve">  Petitions must be initially filed in MB Docket No. 12-1.  A fee is generally required for the filing of Special Relief petitions; 47 C.F.R. §§ 1.1104, 1.1117, 76.7. </w:t>
      </w:r>
    </w:p>
    <w:p w:rsidR="002036BE" w:rsidRPr="00423C65" w:rsidRDefault="002036BE">
      <w:pPr>
        <w:suppressAutoHyphens/>
        <w:rPr>
          <w:sz w:val="24"/>
          <w:szCs w:val="24"/>
        </w:rPr>
      </w:pPr>
    </w:p>
    <w:p w:rsidR="005B45A7" w:rsidRPr="00423C65" w:rsidRDefault="005B45A7">
      <w:pPr>
        <w:suppressAutoHyphens/>
        <w:rPr>
          <w:sz w:val="24"/>
          <w:szCs w:val="24"/>
        </w:rPr>
      </w:pPr>
      <w:r w:rsidRPr="00423C65">
        <w:rPr>
          <w:sz w:val="24"/>
          <w:szCs w:val="24"/>
        </w:rPr>
        <w:t>4. This agency does not impose a similar information collection requirement on the respondents.  There are no similar data available.</w:t>
      </w:r>
    </w:p>
    <w:p w:rsidR="005B45A7" w:rsidRPr="00423C65" w:rsidRDefault="005B45A7">
      <w:pPr>
        <w:suppressAutoHyphens/>
        <w:rPr>
          <w:sz w:val="24"/>
          <w:szCs w:val="24"/>
        </w:rPr>
      </w:pPr>
    </w:p>
    <w:p w:rsidR="005B45A7" w:rsidRPr="00423C65" w:rsidRDefault="005B45A7">
      <w:pPr>
        <w:suppressAutoHyphens/>
        <w:rPr>
          <w:sz w:val="24"/>
          <w:szCs w:val="24"/>
        </w:rPr>
      </w:pPr>
      <w:r w:rsidRPr="00423C65">
        <w:rPr>
          <w:sz w:val="24"/>
          <w:szCs w:val="24"/>
        </w:rPr>
        <w:t xml:space="preserve">5. The requirements accounted for in this </w:t>
      </w:r>
      <w:r w:rsidR="001349A7" w:rsidRPr="00423C65">
        <w:rPr>
          <w:sz w:val="24"/>
          <w:szCs w:val="24"/>
        </w:rPr>
        <w:t xml:space="preserve">information </w:t>
      </w:r>
      <w:r w:rsidRPr="00423C65">
        <w:rPr>
          <w:sz w:val="24"/>
          <w:szCs w:val="24"/>
        </w:rPr>
        <w:t>collection do not have a significant impact on a substantial number of small businesses or other small entities.</w:t>
      </w:r>
    </w:p>
    <w:p w:rsidR="005B45A7" w:rsidRPr="00423C65" w:rsidRDefault="005B45A7">
      <w:pPr>
        <w:suppressAutoHyphens/>
        <w:rPr>
          <w:sz w:val="24"/>
          <w:szCs w:val="24"/>
        </w:rPr>
      </w:pPr>
    </w:p>
    <w:p w:rsidR="005B45A7" w:rsidRPr="00423C65" w:rsidRDefault="005B45A7">
      <w:pPr>
        <w:suppressAutoHyphens/>
        <w:rPr>
          <w:sz w:val="24"/>
          <w:szCs w:val="24"/>
        </w:rPr>
      </w:pPr>
      <w:r w:rsidRPr="00423C65">
        <w:rPr>
          <w:sz w:val="24"/>
          <w:szCs w:val="24"/>
        </w:rPr>
        <w:t xml:space="preserve">6. </w:t>
      </w:r>
      <w:r w:rsidR="005529F1" w:rsidRPr="00423C65">
        <w:rPr>
          <w:sz w:val="24"/>
          <w:szCs w:val="24"/>
        </w:rPr>
        <w:t xml:space="preserve">The Commission is required by Sections 338(l) and 614(h)(1)(C) of the Communications Act to permit the filing of market modification requests.  </w:t>
      </w:r>
      <w:r w:rsidRPr="00423C65">
        <w:rPr>
          <w:sz w:val="24"/>
          <w:szCs w:val="24"/>
        </w:rPr>
        <w:t xml:space="preserve">If this collection </w:t>
      </w:r>
      <w:r w:rsidR="001349A7" w:rsidRPr="00423C65">
        <w:rPr>
          <w:sz w:val="24"/>
          <w:szCs w:val="24"/>
        </w:rPr>
        <w:t xml:space="preserve">of information </w:t>
      </w:r>
      <w:r w:rsidRPr="00423C65">
        <w:rPr>
          <w:sz w:val="24"/>
          <w:szCs w:val="24"/>
        </w:rPr>
        <w:t xml:space="preserve">were not sponsored by the Commission, then broadcast </w:t>
      </w:r>
      <w:r w:rsidR="002036BE">
        <w:rPr>
          <w:sz w:val="24"/>
          <w:szCs w:val="24"/>
        </w:rPr>
        <w:t>TV</w:t>
      </w:r>
      <w:r w:rsidRPr="00423C65">
        <w:rPr>
          <w:sz w:val="24"/>
          <w:szCs w:val="24"/>
        </w:rPr>
        <w:t xml:space="preserve"> stations</w:t>
      </w:r>
      <w:r w:rsidR="005529F1" w:rsidRPr="00423C65">
        <w:rPr>
          <w:sz w:val="24"/>
          <w:szCs w:val="24"/>
        </w:rPr>
        <w:t xml:space="preserve">, </w:t>
      </w:r>
      <w:r w:rsidRPr="00423C65">
        <w:rPr>
          <w:sz w:val="24"/>
          <w:szCs w:val="24"/>
        </w:rPr>
        <w:t>cable system</w:t>
      </w:r>
      <w:r w:rsidR="002036BE">
        <w:rPr>
          <w:sz w:val="24"/>
          <w:szCs w:val="24"/>
        </w:rPr>
        <w:t xml:space="preserve"> operators</w:t>
      </w:r>
      <w:r w:rsidRPr="00423C65">
        <w:rPr>
          <w:sz w:val="24"/>
          <w:szCs w:val="24"/>
        </w:rPr>
        <w:t xml:space="preserve"> </w:t>
      </w:r>
      <w:r w:rsidR="005529F1" w:rsidRPr="00423C65">
        <w:rPr>
          <w:sz w:val="24"/>
          <w:szCs w:val="24"/>
        </w:rPr>
        <w:t xml:space="preserve">and satellite carriers </w:t>
      </w:r>
      <w:r w:rsidRPr="00423C65">
        <w:rPr>
          <w:sz w:val="24"/>
          <w:szCs w:val="24"/>
        </w:rPr>
        <w:t xml:space="preserve">would not have filing procedures available to them to request modifications </w:t>
      </w:r>
      <w:r w:rsidR="005529F1" w:rsidRPr="00423C65">
        <w:rPr>
          <w:sz w:val="24"/>
          <w:szCs w:val="24"/>
        </w:rPr>
        <w:t xml:space="preserve">of a broadcast station’s local television market </w:t>
      </w:r>
      <w:r w:rsidRPr="00423C65">
        <w:rPr>
          <w:sz w:val="24"/>
          <w:szCs w:val="24"/>
        </w:rPr>
        <w:t xml:space="preserve">to better reflect marketplace conditions.  </w:t>
      </w:r>
      <w:r w:rsidR="005529F1" w:rsidRPr="00423C65">
        <w:rPr>
          <w:sz w:val="24"/>
          <w:szCs w:val="24"/>
        </w:rPr>
        <w:t>Furthermore, if these information collection requirements were not conducted, the Commission would be unable to fulfill its obligation to ensure that a grant of a market modification request is in the public interest.  (The frequency for this collection of information is determined by respondents, as necessary.)</w:t>
      </w:r>
    </w:p>
    <w:p w:rsidR="005B45A7" w:rsidRPr="00423C65" w:rsidRDefault="005B45A7">
      <w:pPr>
        <w:suppressAutoHyphens/>
        <w:rPr>
          <w:sz w:val="24"/>
          <w:szCs w:val="24"/>
        </w:rPr>
      </w:pPr>
    </w:p>
    <w:p w:rsidR="005B45A7" w:rsidRPr="00423C65" w:rsidRDefault="005B45A7">
      <w:pPr>
        <w:suppressAutoHyphens/>
        <w:rPr>
          <w:sz w:val="24"/>
          <w:szCs w:val="24"/>
        </w:rPr>
      </w:pPr>
      <w:r w:rsidRPr="00423C65">
        <w:rPr>
          <w:sz w:val="24"/>
          <w:szCs w:val="24"/>
        </w:rPr>
        <w:lastRenderedPageBreak/>
        <w:t xml:space="preserve">7. There are no special circumstances associated with this </w:t>
      </w:r>
      <w:r w:rsidR="001349A7" w:rsidRPr="00423C65">
        <w:rPr>
          <w:sz w:val="24"/>
          <w:szCs w:val="24"/>
        </w:rPr>
        <w:t xml:space="preserve">information </w:t>
      </w:r>
      <w:r w:rsidRPr="00423C65">
        <w:rPr>
          <w:sz w:val="24"/>
          <w:szCs w:val="24"/>
        </w:rPr>
        <w:t>collection.</w:t>
      </w:r>
      <w:r w:rsidR="00FE05A1" w:rsidRPr="00423C65">
        <w:rPr>
          <w:sz w:val="24"/>
          <w:szCs w:val="24"/>
        </w:rPr>
        <w:t xml:space="preserve">  This information collection is consistent with the guidelines in 5 CFR 1320.5(d)(2).</w:t>
      </w:r>
    </w:p>
    <w:p w:rsidR="005B45A7" w:rsidRPr="00423C65" w:rsidRDefault="005B45A7">
      <w:pPr>
        <w:suppressAutoHyphens/>
        <w:rPr>
          <w:sz w:val="24"/>
          <w:szCs w:val="24"/>
        </w:rPr>
      </w:pPr>
    </w:p>
    <w:p w:rsidR="00124B31" w:rsidRPr="00423C65" w:rsidRDefault="005B45A7" w:rsidP="00124B31">
      <w:pPr>
        <w:suppressAutoHyphens/>
        <w:jc w:val="both"/>
        <w:rPr>
          <w:spacing w:val="-3"/>
          <w:sz w:val="24"/>
          <w:szCs w:val="24"/>
        </w:rPr>
      </w:pPr>
      <w:r w:rsidRPr="00423C65">
        <w:rPr>
          <w:sz w:val="24"/>
          <w:szCs w:val="24"/>
        </w:rPr>
        <w:t xml:space="preserve">8. </w:t>
      </w:r>
      <w:r w:rsidR="00534F37" w:rsidRPr="00423C65">
        <w:rPr>
          <w:sz w:val="24"/>
          <w:szCs w:val="24"/>
        </w:rPr>
        <w:t xml:space="preserve">The Commission published a Federal Register Notice </w:t>
      </w:r>
      <w:r w:rsidR="00534F37" w:rsidRPr="00D927F0">
        <w:rPr>
          <w:sz w:val="24"/>
          <w:szCs w:val="24"/>
        </w:rPr>
        <w:t>(</w:t>
      </w:r>
      <w:r w:rsidR="00D81231" w:rsidRPr="00D927F0">
        <w:rPr>
          <w:sz w:val="24"/>
          <w:szCs w:val="24"/>
        </w:rPr>
        <w:t>80</w:t>
      </w:r>
      <w:r w:rsidR="00D927F0" w:rsidRPr="00D927F0">
        <w:rPr>
          <w:sz w:val="24"/>
          <w:szCs w:val="24"/>
        </w:rPr>
        <w:t xml:space="preserve"> FR 19594</w:t>
      </w:r>
      <w:r w:rsidR="00534F37" w:rsidRPr="00D927F0">
        <w:rPr>
          <w:sz w:val="24"/>
          <w:szCs w:val="24"/>
        </w:rPr>
        <w:t xml:space="preserve">) on April </w:t>
      </w:r>
      <w:r w:rsidR="00D927F0" w:rsidRPr="00D927F0">
        <w:rPr>
          <w:sz w:val="24"/>
          <w:szCs w:val="24"/>
        </w:rPr>
        <w:t>13</w:t>
      </w:r>
      <w:r w:rsidR="00534F37" w:rsidRPr="00D927F0">
        <w:rPr>
          <w:sz w:val="24"/>
          <w:szCs w:val="24"/>
        </w:rPr>
        <w:t>, 2015</w:t>
      </w:r>
      <w:r w:rsidR="00534F37" w:rsidRPr="00423C65">
        <w:rPr>
          <w:sz w:val="24"/>
          <w:szCs w:val="24"/>
        </w:rPr>
        <w:t xml:space="preserve"> seeking comments on the information collection requirements contained in this supporting statement.  No comments have been received from the public.</w:t>
      </w:r>
    </w:p>
    <w:p w:rsidR="00DA4103" w:rsidRPr="00423C65" w:rsidRDefault="00DA4103">
      <w:pPr>
        <w:suppressAutoHyphens/>
        <w:rPr>
          <w:sz w:val="24"/>
          <w:szCs w:val="24"/>
        </w:rPr>
      </w:pPr>
    </w:p>
    <w:p w:rsidR="005B45A7" w:rsidRPr="00423C65" w:rsidRDefault="005B45A7">
      <w:pPr>
        <w:suppressAutoHyphens/>
        <w:rPr>
          <w:sz w:val="24"/>
          <w:szCs w:val="24"/>
        </w:rPr>
      </w:pPr>
      <w:r w:rsidRPr="00423C65">
        <w:rPr>
          <w:sz w:val="24"/>
          <w:szCs w:val="24"/>
        </w:rPr>
        <w:t>9. There are no payments or gifts given to respondents.</w:t>
      </w:r>
    </w:p>
    <w:p w:rsidR="005B45A7" w:rsidRPr="00423C65" w:rsidRDefault="005B45A7">
      <w:pPr>
        <w:suppressAutoHyphens/>
        <w:rPr>
          <w:sz w:val="24"/>
          <w:szCs w:val="24"/>
        </w:rPr>
      </w:pPr>
      <w:r w:rsidRPr="00423C65">
        <w:rPr>
          <w:sz w:val="24"/>
          <w:szCs w:val="24"/>
        </w:rPr>
        <w:t xml:space="preserve"> </w:t>
      </w:r>
    </w:p>
    <w:p w:rsidR="005B45A7" w:rsidRPr="00423C65" w:rsidRDefault="005B45A7">
      <w:pPr>
        <w:suppressAutoHyphens/>
        <w:rPr>
          <w:sz w:val="24"/>
          <w:szCs w:val="24"/>
        </w:rPr>
      </w:pPr>
      <w:r w:rsidRPr="00423C65">
        <w:rPr>
          <w:sz w:val="24"/>
          <w:szCs w:val="24"/>
        </w:rPr>
        <w:t xml:space="preserve">10. </w:t>
      </w:r>
      <w:r w:rsidR="00FE05A1" w:rsidRPr="00423C65">
        <w:rPr>
          <w:sz w:val="24"/>
          <w:szCs w:val="24"/>
        </w:rPr>
        <w:t>There is no assurance of confidentiality provided to petitioners or other respondents</w:t>
      </w:r>
      <w:r w:rsidR="002036BE">
        <w:rPr>
          <w:sz w:val="24"/>
          <w:szCs w:val="24"/>
        </w:rPr>
        <w:t>; however</w:t>
      </w:r>
      <w:r w:rsidR="00FE05A1" w:rsidRPr="00423C65">
        <w:rPr>
          <w:sz w:val="24"/>
          <w:szCs w:val="24"/>
        </w:rPr>
        <w:t xml:space="preserve">, in accordance with the Commission’s rules, 47 C.F.R. § 0.459, a </w:t>
      </w:r>
      <w:r w:rsidR="002036BE" w:rsidRPr="00423C65">
        <w:rPr>
          <w:sz w:val="24"/>
          <w:szCs w:val="24"/>
        </w:rPr>
        <w:t xml:space="preserve">TV </w:t>
      </w:r>
      <w:r w:rsidR="002036BE">
        <w:rPr>
          <w:sz w:val="24"/>
          <w:szCs w:val="24"/>
        </w:rPr>
        <w:t xml:space="preserve">broadcast </w:t>
      </w:r>
      <w:r w:rsidR="002036BE" w:rsidRPr="00423C65">
        <w:rPr>
          <w:sz w:val="24"/>
          <w:szCs w:val="24"/>
        </w:rPr>
        <w:t xml:space="preserve">station, cable system operator, or satellite carrier </w:t>
      </w:r>
      <w:r w:rsidR="00FE05A1" w:rsidRPr="00423C65">
        <w:rPr>
          <w:sz w:val="24"/>
          <w:szCs w:val="24"/>
        </w:rPr>
        <w:t>may request confidential treatment for financial or other information supplied with its petition or responsive pleading.</w:t>
      </w:r>
    </w:p>
    <w:p w:rsidR="005B45A7" w:rsidRPr="00423C65" w:rsidRDefault="005B45A7">
      <w:pPr>
        <w:suppressAutoHyphens/>
        <w:rPr>
          <w:sz w:val="24"/>
          <w:szCs w:val="24"/>
        </w:rPr>
      </w:pPr>
    </w:p>
    <w:p w:rsidR="005B45A7" w:rsidRPr="00423C65" w:rsidRDefault="005B45A7">
      <w:pPr>
        <w:suppressAutoHyphens/>
        <w:rPr>
          <w:sz w:val="24"/>
          <w:szCs w:val="24"/>
        </w:rPr>
      </w:pPr>
      <w:r w:rsidRPr="00423C65">
        <w:rPr>
          <w:sz w:val="24"/>
          <w:szCs w:val="24"/>
        </w:rPr>
        <w:t xml:space="preserve">11. This </w:t>
      </w:r>
      <w:r w:rsidR="00A3617E" w:rsidRPr="00423C65">
        <w:rPr>
          <w:sz w:val="24"/>
          <w:szCs w:val="24"/>
        </w:rPr>
        <w:t xml:space="preserve">information </w:t>
      </w:r>
      <w:r w:rsidRPr="00423C65">
        <w:rPr>
          <w:sz w:val="24"/>
          <w:szCs w:val="24"/>
        </w:rPr>
        <w:t xml:space="preserve">collection does not address any private matters of a sensitive nature. </w:t>
      </w:r>
    </w:p>
    <w:p w:rsidR="0018344D" w:rsidRPr="00423C65" w:rsidRDefault="0018344D">
      <w:pPr>
        <w:suppressAutoHyphens/>
        <w:rPr>
          <w:sz w:val="24"/>
          <w:szCs w:val="24"/>
        </w:rPr>
      </w:pPr>
    </w:p>
    <w:p w:rsidR="00622C39" w:rsidRPr="00423C65" w:rsidRDefault="00BF708E">
      <w:pPr>
        <w:suppressAutoHyphens/>
        <w:rPr>
          <w:sz w:val="24"/>
          <w:szCs w:val="24"/>
        </w:rPr>
      </w:pPr>
      <w:r w:rsidRPr="00EB0ACB">
        <w:rPr>
          <w:sz w:val="24"/>
          <w:szCs w:val="24"/>
        </w:rPr>
        <w:t xml:space="preserve">12. </w:t>
      </w:r>
      <w:r w:rsidR="005B45A7" w:rsidRPr="00EB0ACB">
        <w:rPr>
          <w:sz w:val="24"/>
          <w:szCs w:val="24"/>
        </w:rPr>
        <w:t xml:space="preserve">We estimate that </w:t>
      </w:r>
      <w:r w:rsidR="0061283A" w:rsidRPr="00EB0ACB">
        <w:rPr>
          <w:sz w:val="24"/>
          <w:szCs w:val="24"/>
        </w:rPr>
        <w:t xml:space="preserve">20 market modification requests (petitions) will be filed annually with the Commission by </w:t>
      </w:r>
      <w:r w:rsidR="00984A00" w:rsidRPr="00EB0ACB">
        <w:rPr>
          <w:sz w:val="24"/>
          <w:szCs w:val="24"/>
        </w:rPr>
        <w:t>TV</w:t>
      </w:r>
      <w:r w:rsidR="005B45A7" w:rsidRPr="00EB0ACB">
        <w:rPr>
          <w:sz w:val="24"/>
          <w:szCs w:val="24"/>
        </w:rPr>
        <w:t xml:space="preserve"> </w:t>
      </w:r>
      <w:r w:rsidR="007E31C5" w:rsidRPr="00EB0ACB">
        <w:rPr>
          <w:sz w:val="24"/>
          <w:szCs w:val="24"/>
        </w:rPr>
        <w:t xml:space="preserve">broadcast </w:t>
      </w:r>
      <w:r w:rsidR="005B45A7" w:rsidRPr="00EB0ACB">
        <w:rPr>
          <w:sz w:val="24"/>
          <w:szCs w:val="24"/>
        </w:rPr>
        <w:t>stations</w:t>
      </w:r>
      <w:r w:rsidR="007E31C5" w:rsidRPr="00EB0ACB">
        <w:rPr>
          <w:sz w:val="24"/>
          <w:szCs w:val="24"/>
        </w:rPr>
        <w:t>,</w:t>
      </w:r>
      <w:r w:rsidR="005B45A7" w:rsidRPr="00EB0ACB">
        <w:rPr>
          <w:sz w:val="24"/>
          <w:szCs w:val="24"/>
        </w:rPr>
        <w:t xml:space="preserve"> cable </w:t>
      </w:r>
      <w:r w:rsidR="007E31C5" w:rsidRPr="00EB0ACB">
        <w:rPr>
          <w:sz w:val="24"/>
          <w:szCs w:val="24"/>
        </w:rPr>
        <w:t xml:space="preserve">system </w:t>
      </w:r>
      <w:r w:rsidR="005B45A7" w:rsidRPr="00EB0ACB">
        <w:rPr>
          <w:sz w:val="24"/>
          <w:szCs w:val="24"/>
        </w:rPr>
        <w:t>operators</w:t>
      </w:r>
      <w:r w:rsidR="007E31C5" w:rsidRPr="00EB0ACB">
        <w:rPr>
          <w:sz w:val="24"/>
          <w:szCs w:val="24"/>
        </w:rPr>
        <w:t xml:space="preserve"> and satellite carriers</w:t>
      </w:r>
      <w:r w:rsidR="00704A78" w:rsidRPr="00EB0ACB">
        <w:rPr>
          <w:sz w:val="24"/>
          <w:szCs w:val="24"/>
        </w:rPr>
        <w:t xml:space="preserve"> (collectively)</w:t>
      </w:r>
      <w:r w:rsidR="005B45A7" w:rsidRPr="00EB0ACB">
        <w:rPr>
          <w:sz w:val="24"/>
          <w:szCs w:val="24"/>
        </w:rPr>
        <w:t>.</w:t>
      </w:r>
      <w:r w:rsidR="0074529E" w:rsidRPr="00EB0ACB">
        <w:rPr>
          <w:rStyle w:val="FootnoteReference"/>
          <w:color w:val="000000"/>
        </w:rPr>
        <w:footnoteReference w:id="20"/>
      </w:r>
      <w:r w:rsidR="005B45A7" w:rsidRPr="00EB0ACB">
        <w:rPr>
          <w:sz w:val="24"/>
          <w:szCs w:val="24"/>
        </w:rPr>
        <w:t xml:space="preserve">  </w:t>
      </w:r>
      <w:r w:rsidR="00704A78" w:rsidRPr="00EB0ACB">
        <w:rPr>
          <w:sz w:val="24"/>
          <w:szCs w:val="24"/>
        </w:rPr>
        <w:t xml:space="preserve">In addition, parties may file responsive pleadings, such as comments or oppositions to the petitions, and petitioners may file replies responding to such comments or oppositions.  We estimate </w:t>
      </w:r>
      <w:r w:rsidR="0061283A" w:rsidRPr="00EB0ACB">
        <w:rPr>
          <w:sz w:val="24"/>
          <w:szCs w:val="24"/>
        </w:rPr>
        <w:t>that</w:t>
      </w:r>
      <w:r w:rsidR="00704A78" w:rsidRPr="00EB0ACB">
        <w:rPr>
          <w:sz w:val="24"/>
          <w:szCs w:val="24"/>
        </w:rPr>
        <w:t xml:space="preserve"> </w:t>
      </w:r>
      <w:r w:rsidR="00C71498">
        <w:rPr>
          <w:sz w:val="24"/>
          <w:szCs w:val="24"/>
        </w:rPr>
        <w:t>80</w:t>
      </w:r>
      <w:r w:rsidR="00C71498" w:rsidRPr="00EB0ACB">
        <w:rPr>
          <w:sz w:val="24"/>
          <w:szCs w:val="24"/>
        </w:rPr>
        <w:t xml:space="preserve"> </w:t>
      </w:r>
      <w:r w:rsidR="00704A78" w:rsidRPr="00EB0ACB">
        <w:rPr>
          <w:sz w:val="24"/>
          <w:szCs w:val="24"/>
        </w:rPr>
        <w:t>responsive pleadings</w:t>
      </w:r>
      <w:r w:rsidR="0061283A" w:rsidRPr="00EB0ACB">
        <w:rPr>
          <w:sz w:val="24"/>
          <w:szCs w:val="24"/>
        </w:rPr>
        <w:t>,</w:t>
      </w:r>
      <w:r w:rsidR="00704A78" w:rsidRPr="00EB0ACB">
        <w:rPr>
          <w:sz w:val="24"/>
          <w:szCs w:val="24"/>
        </w:rPr>
        <w:t xml:space="preserve"> or about </w:t>
      </w:r>
      <w:r w:rsidR="00C71498">
        <w:rPr>
          <w:sz w:val="24"/>
          <w:szCs w:val="24"/>
        </w:rPr>
        <w:t>four</w:t>
      </w:r>
      <w:r w:rsidR="00C71498" w:rsidRPr="00EB0ACB">
        <w:rPr>
          <w:sz w:val="24"/>
          <w:szCs w:val="24"/>
        </w:rPr>
        <w:t xml:space="preserve"> </w:t>
      </w:r>
      <w:r w:rsidR="00704A78" w:rsidRPr="00EB0ACB">
        <w:rPr>
          <w:sz w:val="24"/>
          <w:szCs w:val="24"/>
        </w:rPr>
        <w:t xml:space="preserve">responsive pleadings for each petition filed (20 x </w:t>
      </w:r>
      <w:r w:rsidR="00C71498">
        <w:rPr>
          <w:sz w:val="24"/>
          <w:szCs w:val="24"/>
        </w:rPr>
        <w:t>4</w:t>
      </w:r>
      <w:r w:rsidR="00704A78" w:rsidRPr="00EB0ACB">
        <w:rPr>
          <w:sz w:val="24"/>
          <w:szCs w:val="24"/>
        </w:rPr>
        <w:t xml:space="preserve"> = </w:t>
      </w:r>
      <w:r w:rsidR="00C71498">
        <w:rPr>
          <w:sz w:val="24"/>
          <w:szCs w:val="24"/>
        </w:rPr>
        <w:t>80</w:t>
      </w:r>
      <w:r w:rsidR="00704A78" w:rsidRPr="00EB0ACB">
        <w:rPr>
          <w:sz w:val="24"/>
          <w:szCs w:val="24"/>
        </w:rPr>
        <w:t>)</w:t>
      </w:r>
      <w:r w:rsidR="001349A7" w:rsidRPr="00EB0ACB">
        <w:rPr>
          <w:sz w:val="24"/>
          <w:szCs w:val="24"/>
        </w:rPr>
        <w:t>.</w:t>
      </w:r>
      <w:r w:rsidR="00C71498">
        <w:rPr>
          <w:sz w:val="24"/>
          <w:szCs w:val="24"/>
        </w:rPr>
        <w:t xml:space="preserve">  The resulting total is 100 responses (20 petitions + 80 responsive pleadings).  However, we expect that the petitioner will reply to comments/oppositions and that this reply will constitute one of the four responsive pleadings per petition</w:t>
      </w:r>
      <w:r w:rsidR="00577F94">
        <w:rPr>
          <w:sz w:val="24"/>
          <w:szCs w:val="24"/>
        </w:rPr>
        <w:t>/proceeding</w:t>
      </w:r>
      <w:r w:rsidR="00C71498">
        <w:rPr>
          <w:sz w:val="24"/>
          <w:szCs w:val="24"/>
        </w:rPr>
        <w:t xml:space="preserve">.  Accordingly, we do not double-count the petitioner in our estimate of 80 respondents. </w:t>
      </w:r>
    </w:p>
    <w:p w:rsidR="00622C39" w:rsidRDefault="00622C39">
      <w:pPr>
        <w:suppressAutoHyphens/>
        <w:rPr>
          <w:b/>
          <w:sz w:val="24"/>
          <w:szCs w:val="24"/>
        </w:rPr>
      </w:pPr>
    </w:p>
    <w:p w:rsidR="001349A7" w:rsidRPr="00423C65" w:rsidRDefault="006C72AE" w:rsidP="00622C39">
      <w:pPr>
        <w:suppressAutoHyphens/>
        <w:rPr>
          <w:sz w:val="24"/>
          <w:szCs w:val="24"/>
        </w:rPr>
      </w:pPr>
      <w:r w:rsidRPr="00423C65">
        <w:rPr>
          <w:b/>
          <w:sz w:val="24"/>
          <w:szCs w:val="24"/>
        </w:rPr>
        <w:t xml:space="preserve">Total </w:t>
      </w:r>
      <w:r w:rsidR="001349A7" w:rsidRPr="00423C65">
        <w:rPr>
          <w:b/>
          <w:sz w:val="24"/>
          <w:szCs w:val="24"/>
        </w:rPr>
        <w:t xml:space="preserve">Annual </w:t>
      </w:r>
      <w:r w:rsidRPr="00423C65">
        <w:rPr>
          <w:b/>
          <w:sz w:val="24"/>
          <w:szCs w:val="24"/>
        </w:rPr>
        <w:t>Respondents</w:t>
      </w:r>
      <w:r w:rsidR="00500E4B" w:rsidRPr="00423C65">
        <w:rPr>
          <w:b/>
          <w:sz w:val="24"/>
          <w:szCs w:val="24"/>
        </w:rPr>
        <w:t>:</w:t>
      </w:r>
      <w:r w:rsidR="00704A78" w:rsidRPr="00423C65">
        <w:rPr>
          <w:sz w:val="24"/>
          <w:szCs w:val="24"/>
        </w:rPr>
        <w:tab/>
      </w:r>
      <w:r w:rsidR="00704A78" w:rsidRPr="00423C65">
        <w:rPr>
          <w:sz w:val="24"/>
          <w:szCs w:val="24"/>
        </w:rPr>
        <w:tab/>
        <w:t xml:space="preserve">20 </w:t>
      </w:r>
      <w:r w:rsidR="001349A7" w:rsidRPr="00423C65">
        <w:rPr>
          <w:sz w:val="24"/>
          <w:szCs w:val="24"/>
        </w:rPr>
        <w:t>TV Station</w:t>
      </w:r>
      <w:r w:rsidR="00704A78" w:rsidRPr="00423C65">
        <w:rPr>
          <w:sz w:val="24"/>
          <w:szCs w:val="24"/>
        </w:rPr>
        <w:t>s</w:t>
      </w:r>
      <w:r w:rsidR="001349A7" w:rsidRPr="00423C65">
        <w:rPr>
          <w:sz w:val="24"/>
          <w:szCs w:val="24"/>
        </w:rPr>
        <w:t>/Cable Operators</w:t>
      </w:r>
      <w:r w:rsidR="00704A78" w:rsidRPr="00423C65">
        <w:rPr>
          <w:sz w:val="24"/>
          <w:szCs w:val="24"/>
        </w:rPr>
        <w:t>/Satellite Carriers</w:t>
      </w:r>
    </w:p>
    <w:p w:rsidR="001349A7" w:rsidRPr="00423C65" w:rsidRDefault="00510918" w:rsidP="001349A7">
      <w:pPr>
        <w:suppressAutoHyphens/>
        <w:ind w:left="2880" w:firstLine="720"/>
        <w:rPr>
          <w:sz w:val="24"/>
          <w:szCs w:val="24"/>
        </w:rPr>
      </w:pPr>
      <w:r w:rsidRPr="00423C65">
        <w:rPr>
          <w:sz w:val="24"/>
          <w:szCs w:val="24"/>
          <w:u w:val="single"/>
        </w:rPr>
        <w:t>60</w:t>
      </w:r>
      <w:r w:rsidR="00E32207" w:rsidRPr="00423C65">
        <w:rPr>
          <w:sz w:val="24"/>
          <w:szCs w:val="24"/>
        </w:rPr>
        <w:t xml:space="preserve"> </w:t>
      </w:r>
      <w:r w:rsidR="001349A7" w:rsidRPr="00423C65">
        <w:rPr>
          <w:sz w:val="24"/>
          <w:szCs w:val="24"/>
        </w:rPr>
        <w:t>Commenting Parties</w:t>
      </w:r>
    </w:p>
    <w:p w:rsidR="00622C39" w:rsidRPr="00423C65" w:rsidRDefault="00704A78" w:rsidP="001349A7">
      <w:pPr>
        <w:suppressAutoHyphens/>
        <w:ind w:left="2880" w:firstLine="720"/>
        <w:rPr>
          <w:sz w:val="24"/>
          <w:szCs w:val="24"/>
        </w:rPr>
      </w:pPr>
      <w:r w:rsidRPr="00423C65">
        <w:rPr>
          <w:b/>
          <w:sz w:val="24"/>
          <w:szCs w:val="24"/>
        </w:rPr>
        <w:t xml:space="preserve">80 </w:t>
      </w:r>
      <w:r w:rsidR="006C72AE" w:rsidRPr="00423C65">
        <w:rPr>
          <w:b/>
          <w:sz w:val="24"/>
          <w:szCs w:val="24"/>
        </w:rPr>
        <w:t>respondents</w:t>
      </w:r>
      <w:r w:rsidR="00C71498" w:rsidRPr="00160CAD">
        <w:rPr>
          <w:rStyle w:val="FootnoteReference"/>
          <w:szCs w:val="24"/>
        </w:rPr>
        <w:footnoteReference w:id="21"/>
      </w:r>
      <w:r w:rsidR="000A0804" w:rsidRPr="00423C65">
        <w:rPr>
          <w:sz w:val="24"/>
          <w:szCs w:val="24"/>
        </w:rPr>
        <w:t xml:space="preserve"> </w:t>
      </w:r>
    </w:p>
    <w:p w:rsidR="006C72AE" w:rsidRPr="00423C65" w:rsidRDefault="006C72AE" w:rsidP="00622C39">
      <w:pPr>
        <w:suppressAutoHyphens/>
        <w:rPr>
          <w:b/>
          <w:sz w:val="24"/>
          <w:szCs w:val="24"/>
        </w:rPr>
      </w:pPr>
    </w:p>
    <w:p w:rsidR="001349A7" w:rsidRPr="00423C65" w:rsidRDefault="001349A7" w:rsidP="001349A7">
      <w:pPr>
        <w:suppressAutoHyphens/>
        <w:rPr>
          <w:sz w:val="24"/>
          <w:szCs w:val="24"/>
        </w:rPr>
      </w:pPr>
      <w:r w:rsidRPr="00423C65">
        <w:rPr>
          <w:b/>
          <w:sz w:val="24"/>
          <w:szCs w:val="24"/>
        </w:rPr>
        <w:lastRenderedPageBreak/>
        <w:t>Total Annual Responses</w:t>
      </w:r>
      <w:r w:rsidR="00704A78" w:rsidRPr="00423C65">
        <w:rPr>
          <w:b/>
          <w:sz w:val="24"/>
          <w:szCs w:val="24"/>
        </w:rPr>
        <w:t>:</w:t>
      </w:r>
      <w:r w:rsidR="00704A78" w:rsidRPr="00423C65">
        <w:rPr>
          <w:b/>
          <w:sz w:val="24"/>
          <w:szCs w:val="24"/>
        </w:rPr>
        <w:tab/>
      </w:r>
      <w:r w:rsidR="00704A78" w:rsidRPr="00423C65">
        <w:rPr>
          <w:b/>
          <w:sz w:val="24"/>
          <w:szCs w:val="24"/>
        </w:rPr>
        <w:tab/>
      </w:r>
      <w:r w:rsidR="00704A78" w:rsidRPr="00D927F0">
        <w:rPr>
          <w:sz w:val="24"/>
          <w:szCs w:val="24"/>
        </w:rPr>
        <w:t>20</w:t>
      </w:r>
      <w:r w:rsidRPr="00D927F0">
        <w:rPr>
          <w:sz w:val="24"/>
          <w:szCs w:val="24"/>
        </w:rPr>
        <w:t xml:space="preserve"> </w:t>
      </w:r>
      <w:r w:rsidRPr="00423C65">
        <w:rPr>
          <w:sz w:val="24"/>
          <w:szCs w:val="24"/>
        </w:rPr>
        <w:t xml:space="preserve">Market Modification </w:t>
      </w:r>
      <w:r w:rsidR="00704A78" w:rsidRPr="00423C65">
        <w:rPr>
          <w:sz w:val="24"/>
          <w:szCs w:val="24"/>
        </w:rPr>
        <w:t>Petitions</w:t>
      </w:r>
      <w:r w:rsidRPr="00423C65">
        <w:rPr>
          <w:sz w:val="24"/>
          <w:szCs w:val="24"/>
        </w:rPr>
        <w:t xml:space="preserve"> </w:t>
      </w:r>
    </w:p>
    <w:p w:rsidR="001349A7" w:rsidRPr="00423C65" w:rsidRDefault="00C71498" w:rsidP="001349A7">
      <w:pPr>
        <w:suppressAutoHyphens/>
        <w:ind w:left="2880" w:firstLine="720"/>
        <w:rPr>
          <w:sz w:val="24"/>
          <w:szCs w:val="24"/>
        </w:rPr>
      </w:pPr>
      <w:r>
        <w:rPr>
          <w:sz w:val="24"/>
          <w:szCs w:val="24"/>
          <w:u w:val="single"/>
        </w:rPr>
        <w:t>80</w:t>
      </w:r>
      <w:r w:rsidR="001349A7" w:rsidRPr="00423C65">
        <w:rPr>
          <w:sz w:val="24"/>
          <w:szCs w:val="24"/>
        </w:rPr>
        <w:t xml:space="preserve"> </w:t>
      </w:r>
      <w:r w:rsidR="000E1D2F">
        <w:rPr>
          <w:sz w:val="24"/>
          <w:szCs w:val="24"/>
        </w:rPr>
        <w:t>Responsive Pleadings</w:t>
      </w:r>
      <w:r>
        <w:rPr>
          <w:rStyle w:val="FootnoteReference"/>
          <w:szCs w:val="24"/>
        </w:rPr>
        <w:footnoteReference w:id="22"/>
      </w:r>
    </w:p>
    <w:p w:rsidR="006C72AE" w:rsidRPr="00423C65" w:rsidRDefault="001349A7" w:rsidP="00622C39">
      <w:pPr>
        <w:suppressAutoHyphens/>
        <w:rPr>
          <w:sz w:val="24"/>
          <w:szCs w:val="24"/>
        </w:rPr>
      </w:pPr>
      <w:r w:rsidRPr="00423C65">
        <w:rPr>
          <w:sz w:val="24"/>
          <w:szCs w:val="24"/>
        </w:rPr>
        <w:tab/>
      </w:r>
      <w:r w:rsidRPr="00423C65">
        <w:rPr>
          <w:sz w:val="24"/>
          <w:szCs w:val="24"/>
        </w:rPr>
        <w:tab/>
      </w:r>
      <w:r w:rsidRPr="00423C65">
        <w:rPr>
          <w:sz w:val="24"/>
          <w:szCs w:val="24"/>
        </w:rPr>
        <w:tab/>
      </w:r>
      <w:r w:rsidRPr="00423C65">
        <w:rPr>
          <w:sz w:val="24"/>
          <w:szCs w:val="24"/>
        </w:rPr>
        <w:tab/>
      </w:r>
      <w:r w:rsidRPr="00423C65">
        <w:rPr>
          <w:sz w:val="24"/>
          <w:szCs w:val="24"/>
        </w:rPr>
        <w:tab/>
      </w:r>
      <w:r w:rsidR="00C71498" w:rsidRPr="00160CAD">
        <w:rPr>
          <w:b/>
          <w:sz w:val="24"/>
          <w:szCs w:val="24"/>
        </w:rPr>
        <w:t>100</w:t>
      </w:r>
      <w:r w:rsidR="00E32207" w:rsidRPr="00423C65">
        <w:rPr>
          <w:b/>
          <w:sz w:val="24"/>
          <w:szCs w:val="24"/>
        </w:rPr>
        <w:t xml:space="preserve"> </w:t>
      </w:r>
      <w:r w:rsidRPr="00423C65">
        <w:rPr>
          <w:b/>
          <w:sz w:val="24"/>
          <w:szCs w:val="24"/>
        </w:rPr>
        <w:t>respo</w:t>
      </w:r>
      <w:r w:rsidR="00C331CE" w:rsidRPr="00423C65">
        <w:rPr>
          <w:b/>
          <w:sz w:val="24"/>
          <w:szCs w:val="24"/>
        </w:rPr>
        <w:t>nses</w:t>
      </w:r>
    </w:p>
    <w:p w:rsidR="00DD392F" w:rsidRDefault="00DD392F" w:rsidP="00DD392F">
      <w:pPr>
        <w:suppressAutoHyphens/>
        <w:rPr>
          <w:b/>
          <w:sz w:val="24"/>
          <w:szCs w:val="24"/>
        </w:rPr>
      </w:pPr>
    </w:p>
    <w:p w:rsidR="009F1E03" w:rsidRPr="00AF2EFD" w:rsidRDefault="000E1D2F">
      <w:pPr>
        <w:suppressAutoHyphens/>
        <w:rPr>
          <w:sz w:val="24"/>
          <w:szCs w:val="24"/>
        </w:rPr>
      </w:pPr>
      <w:r w:rsidRPr="00EB0ACB">
        <w:rPr>
          <w:sz w:val="24"/>
          <w:szCs w:val="24"/>
          <w:u w:val="single"/>
        </w:rPr>
        <w:t>Market Modification Petitions</w:t>
      </w:r>
      <w:r w:rsidRPr="00EB0ACB">
        <w:rPr>
          <w:sz w:val="24"/>
          <w:szCs w:val="24"/>
        </w:rPr>
        <w:t xml:space="preserve">.  </w:t>
      </w:r>
      <w:r w:rsidR="005B45A7" w:rsidRPr="00EB0ACB">
        <w:rPr>
          <w:sz w:val="24"/>
          <w:szCs w:val="24"/>
        </w:rPr>
        <w:t xml:space="preserve">We estimate that </w:t>
      </w:r>
      <w:r w:rsidR="009F1E03" w:rsidRPr="00EB0ACB">
        <w:rPr>
          <w:sz w:val="24"/>
          <w:szCs w:val="24"/>
        </w:rPr>
        <w:t xml:space="preserve">all 20 </w:t>
      </w:r>
      <w:r w:rsidR="0090007A" w:rsidRPr="00EB0ACB">
        <w:rPr>
          <w:sz w:val="24"/>
          <w:szCs w:val="24"/>
        </w:rPr>
        <w:t xml:space="preserve">market modification </w:t>
      </w:r>
      <w:r w:rsidR="009F1E03" w:rsidRPr="00EB0ACB">
        <w:rPr>
          <w:sz w:val="24"/>
          <w:szCs w:val="24"/>
        </w:rPr>
        <w:t xml:space="preserve">petitions will be filed by parties using outside legal assistance.  </w:t>
      </w:r>
      <w:r w:rsidR="0090007A" w:rsidRPr="00EB0ACB">
        <w:rPr>
          <w:sz w:val="24"/>
          <w:szCs w:val="24"/>
        </w:rPr>
        <w:t>Therefore, we estimate that each such petitioner/respondent will take about 4 hours to consult with an outside attorney</w:t>
      </w:r>
      <w:r w:rsidRPr="00EB0ACB">
        <w:rPr>
          <w:sz w:val="24"/>
          <w:szCs w:val="24"/>
        </w:rPr>
        <w:t xml:space="preserve"> to prepare a market modification petition</w:t>
      </w:r>
      <w:r w:rsidR="0090007A" w:rsidRPr="00EB0ACB">
        <w:rPr>
          <w:sz w:val="24"/>
          <w:szCs w:val="24"/>
        </w:rPr>
        <w:t>.</w:t>
      </w:r>
      <w:r w:rsidR="0090007A" w:rsidRPr="00EB0ACB">
        <w:rPr>
          <w:rStyle w:val="FootnoteReference"/>
          <w:szCs w:val="24"/>
        </w:rPr>
        <w:footnoteReference w:id="23"/>
      </w:r>
      <w:r w:rsidR="0090007A" w:rsidRPr="00EB0ACB">
        <w:rPr>
          <w:sz w:val="24"/>
          <w:szCs w:val="24"/>
        </w:rPr>
        <w:t xml:space="preserve">  We estimate that the respondent would have an average salary of </w:t>
      </w:r>
      <w:r w:rsidR="0090007A" w:rsidRPr="00AF2EFD">
        <w:rPr>
          <w:sz w:val="24"/>
          <w:szCs w:val="24"/>
        </w:rPr>
        <w:t>$100,000/year ($48.08/hour).  All estimates are based on Commission staff's knowledge and familiarity with the availability of the data required.</w:t>
      </w:r>
    </w:p>
    <w:p w:rsidR="009F1E03" w:rsidRPr="00AF2EFD" w:rsidRDefault="009F1E03">
      <w:pPr>
        <w:suppressAutoHyphens/>
        <w:rPr>
          <w:sz w:val="24"/>
          <w:szCs w:val="24"/>
        </w:rPr>
      </w:pPr>
    </w:p>
    <w:p w:rsidR="005B45A7" w:rsidRPr="00EB0ACB" w:rsidRDefault="000E1D2F">
      <w:pPr>
        <w:suppressAutoHyphens/>
        <w:rPr>
          <w:sz w:val="24"/>
          <w:szCs w:val="24"/>
        </w:rPr>
      </w:pPr>
      <w:r w:rsidRPr="00AF2EFD">
        <w:rPr>
          <w:sz w:val="24"/>
          <w:szCs w:val="24"/>
          <w:u w:val="single"/>
        </w:rPr>
        <w:t>Responsive Pleadings</w:t>
      </w:r>
      <w:r w:rsidRPr="00AF2EFD">
        <w:rPr>
          <w:sz w:val="24"/>
          <w:szCs w:val="24"/>
        </w:rPr>
        <w:t xml:space="preserve">.  </w:t>
      </w:r>
      <w:r w:rsidR="009F1E03" w:rsidRPr="00AF2EFD">
        <w:rPr>
          <w:sz w:val="24"/>
          <w:szCs w:val="24"/>
        </w:rPr>
        <w:t xml:space="preserve">In addition, we estimate that </w:t>
      </w:r>
      <w:r w:rsidR="00072510" w:rsidRPr="00AF2EFD">
        <w:rPr>
          <w:sz w:val="24"/>
          <w:szCs w:val="24"/>
        </w:rPr>
        <w:t xml:space="preserve">16 responsive pleadings </w:t>
      </w:r>
      <w:r w:rsidR="009F1E03" w:rsidRPr="00AF2EFD">
        <w:rPr>
          <w:sz w:val="24"/>
          <w:szCs w:val="24"/>
        </w:rPr>
        <w:t>(</w:t>
      </w:r>
      <w:r w:rsidR="005B45A7" w:rsidRPr="00AF2EFD">
        <w:rPr>
          <w:sz w:val="24"/>
          <w:szCs w:val="24"/>
        </w:rPr>
        <w:t xml:space="preserve">20% of </w:t>
      </w:r>
      <w:r w:rsidR="009F1E03" w:rsidRPr="00AF2EFD">
        <w:rPr>
          <w:sz w:val="24"/>
          <w:szCs w:val="24"/>
        </w:rPr>
        <w:t xml:space="preserve">the </w:t>
      </w:r>
      <w:r w:rsidR="00072510" w:rsidRPr="00AF2EFD">
        <w:rPr>
          <w:sz w:val="24"/>
          <w:szCs w:val="24"/>
        </w:rPr>
        <w:t>80 responsive pleadings</w:t>
      </w:r>
      <w:r w:rsidR="009F1E03" w:rsidRPr="00EB0ACB">
        <w:rPr>
          <w:sz w:val="24"/>
          <w:szCs w:val="24"/>
        </w:rPr>
        <w:t>)</w:t>
      </w:r>
      <w:r w:rsidR="005B45A7" w:rsidRPr="00EB0ACB">
        <w:rPr>
          <w:sz w:val="24"/>
          <w:szCs w:val="24"/>
        </w:rPr>
        <w:t xml:space="preserve"> will </w:t>
      </w:r>
      <w:r w:rsidR="00072510">
        <w:rPr>
          <w:sz w:val="24"/>
          <w:szCs w:val="24"/>
        </w:rPr>
        <w:t xml:space="preserve">be filed </w:t>
      </w:r>
      <w:r w:rsidR="005B45A7" w:rsidRPr="00EB0ACB">
        <w:rPr>
          <w:sz w:val="24"/>
          <w:szCs w:val="24"/>
        </w:rPr>
        <w:t>us</w:t>
      </w:r>
      <w:r w:rsidR="00072510">
        <w:rPr>
          <w:sz w:val="24"/>
          <w:szCs w:val="24"/>
        </w:rPr>
        <w:t>ing</w:t>
      </w:r>
      <w:r w:rsidR="005B45A7" w:rsidRPr="00EB0ACB">
        <w:rPr>
          <w:sz w:val="24"/>
          <w:szCs w:val="24"/>
        </w:rPr>
        <w:t xml:space="preserve"> </w:t>
      </w:r>
      <w:r w:rsidR="00B7711B" w:rsidRPr="00EB0ACB">
        <w:rPr>
          <w:sz w:val="24"/>
          <w:szCs w:val="24"/>
        </w:rPr>
        <w:t>“</w:t>
      </w:r>
      <w:r w:rsidR="005B45A7" w:rsidRPr="00EB0ACB">
        <w:rPr>
          <w:sz w:val="24"/>
          <w:szCs w:val="24"/>
        </w:rPr>
        <w:t>in-house</w:t>
      </w:r>
      <w:r w:rsidR="00B7711B" w:rsidRPr="00EB0ACB">
        <w:rPr>
          <w:sz w:val="24"/>
          <w:szCs w:val="24"/>
        </w:rPr>
        <w:t>”</w:t>
      </w:r>
      <w:r w:rsidR="005B45A7" w:rsidRPr="00EB0ACB">
        <w:rPr>
          <w:sz w:val="24"/>
          <w:szCs w:val="24"/>
        </w:rPr>
        <w:t xml:space="preserve"> legal staff, </w:t>
      </w:r>
      <w:r w:rsidRPr="00EB0ACB">
        <w:rPr>
          <w:sz w:val="24"/>
          <w:szCs w:val="24"/>
        </w:rPr>
        <w:t>whereas</w:t>
      </w:r>
      <w:r w:rsidR="005B45A7" w:rsidRPr="00EB0ACB">
        <w:rPr>
          <w:sz w:val="24"/>
          <w:szCs w:val="24"/>
        </w:rPr>
        <w:t xml:space="preserve"> </w:t>
      </w:r>
      <w:r w:rsidRPr="00EB0ACB">
        <w:rPr>
          <w:sz w:val="24"/>
          <w:szCs w:val="24"/>
        </w:rPr>
        <w:t xml:space="preserve">we estimate that </w:t>
      </w:r>
      <w:r w:rsidR="00072510">
        <w:rPr>
          <w:sz w:val="24"/>
          <w:szCs w:val="24"/>
        </w:rPr>
        <w:t>64</w:t>
      </w:r>
      <w:r w:rsidR="00072510" w:rsidRPr="00EB0ACB">
        <w:rPr>
          <w:sz w:val="24"/>
          <w:szCs w:val="24"/>
        </w:rPr>
        <w:t xml:space="preserve"> </w:t>
      </w:r>
      <w:r w:rsidR="00072510">
        <w:rPr>
          <w:sz w:val="24"/>
          <w:szCs w:val="24"/>
        </w:rPr>
        <w:t xml:space="preserve">responsive pleadings </w:t>
      </w:r>
      <w:r w:rsidR="009F1E03" w:rsidRPr="00EB0ACB">
        <w:rPr>
          <w:sz w:val="24"/>
          <w:szCs w:val="24"/>
        </w:rPr>
        <w:t>(80% of the</w:t>
      </w:r>
      <w:r w:rsidR="00072510">
        <w:rPr>
          <w:sz w:val="24"/>
          <w:szCs w:val="24"/>
        </w:rPr>
        <w:t xml:space="preserve"> 80</w:t>
      </w:r>
      <w:r w:rsidR="00072510" w:rsidRPr="00EB0ACB">
        <w:rPr>
          <w:sz w:val="24"/>
          <w:szCs w:val="24"/>
        </w:rPr>
        <w:t xml:space="preserve"> </w:t>
      </w:r>
      <w:r w:rsidR="00072510">
        <w:rPr>
          <w:sz w:val="24"/>
          <w:szCs w:val="24"/>
        </w:rPr>
        <w:t>responsive pleadings</w:t>
      </w:r>
      <w:r w:rsidR="009F1E03" w:rsidRPr="00EB0ACB">
        <w:rPr>
          <w:sz w:val="24"/>
          <w:szCs w:val="24"/>
        </w:rPr>
        <w:t xml:space="preserve">) </w:t>
      </w:r>
      <w:r w:rsidR="005B45A7" w:rsidRPr="00EB0ACB">
        <w:rPr>
          <w:sz w:val="24"/>
          <w:szCs w:val="24"/>
        </w:rPr>
        <w:t xml:space="preserve">will use </w:t>
      </w:r>
      <w:r w:rsidR="00EB0ACB" w:rsidRPr="00EB0ACB">
        <w:rPr>
          <w:sz w:val="24"/>
          <w:szCs w:val="24"/>
        </w:rPr>
        <w:t xml:space="preserve">an </w:t>
      </w:r>
      <w:r w:rsidR="005B45A7" w:rsidRPr="00EB0ACB">
        <w:rPr>
          <w:sz w:val="24"/>
          <w:szCs w:val="24"/>
        </w:rPr>
        <w:t xml:space="preserve">outside </w:t>
      </w:r>
      <w:r w:rsidR="00EB0ACB" w:rsidRPr="00EB0ACB">
        <w:rPr>
          <w:sz w:val="24"/>
          <w:szCs w:val="24"/>
        </w:rPr>
        <w:t>attorney</w:t>
      </w:r>
      <w:r w:rsidRPr="00EB0ACB">
        <w:rPr>
          <w:sz w:val="24"/>
          <w:szCs w:val="24"/>
        </w:rPr>
        <w:t xml:space="preserve"> to prepare such responsive pleadings</w:t>
      </w:r>
      <w:r w:rsidR="005B45A7" w:rsidRPr="00EB0ACB">
        <w:rPr>
          <w:sz w:val="24"/>
          <w:szCs w:val="24"/>
        </w:rPr>
        <w:t xml:space="preserve">.  </w:t>
      </w:r>
      <w:r w:rsidR="009F1E03" w:rsidRPr="00EB0ACB">
        <w:rPr>
          <w:sz w:val="24"/>
          <w:szCs w:val="24"/>
        </w:rPr>
        <w:t xml:space="preserve">For </w:t>
      </w:r>
      <w:r w:rsidR="00EB0ACB" w:rsidRPr="00EB0ACB">
        <w:rPr>
          <w:sz w:val="24"/>
          <w:szCs w:val="24"/>
        </w:rPr>
        <w:t xml:space="preserve">the estimated </w:t>
      </w:r>
      <w:r w:rsidR="00072510">
        <w:rPr>
          <w:sz w:val="24"/>
          <w:szCs w:val="24"/>
        </w:rPr>
        <w:t>16</w:t>
      </w:r>
      <w:r w:rsidR="00EB0ACB" w:rsidRPr="00EB0ACB">
        <w:rPr>
          <w:sz w:val="24"/>
          <w:szCs w:val="24"/>
        </w:rPr>
        <w:t xml:space="preserve"> </w:t>
      </w:r>
      <w:r w:rsidR="00072510">
        <w:rPr>
          <w:sz w:val="24"/>
          <w:szCs w:val="24"/>
        </w:rPr>
        <w:t xml:space="preserve">responsive </w:t>
      </w:r>
      <w:r w:rsidR="009F1E03" w:rsidRPr="00EB0ACB">
        <w:rPr>
          <w:sz w:val="24"/>
          <w:szCs w:val="24"/>
        </w:rPr>
        <w:t xml:space="preserve">pleadings prepared in-house, we estimate </w:t>
      </w:r>
      <w:r w:rsidRPr="00EB0ACB">
        <w:rPr>
          <w:sz w:val="24"/>
          <w:szCs w:val="24"/>
        </w:rPr>
        <w:t>that each commenting party/respondent will take about 40 hours</w:t>
      </w:r>
      <w:r w:rsidR="00072510">
        <w:rPr>
          <w:rStyle w:val="FootnoteReference"/>
          <w:szCs w:val="24"/>
        </w:rPr>
        <w:footnoteReference w:id="24"/>
      </w:r>
      <w:r w:rsidRPr="00EB0ACB">
        <w:rPr>
          <w:sz w:val="24"/>
          <w:szCs w:val="24"/>
        </w:rPr>
        <w:t xml:space="preserve"> to prepare a responsive pleading.  For </w:t>
      </w:r>
      <w:r w:rsidR="00EB0ACB" w:rsidRPr="00EB0ACB">
        <w:rPr>
          <w:sz w:val="24"/>
          <w:szCs w:val="24"/>
        </w:rPr>
        <w:t xml:space="preserve">the estimated </w:t>
      </w:r>
      <w:r w:rsidR="00FA39DC">
        <w:rPr>
          <w:sz w:val="24"/>
          <w:szCs w:val="24"/>
        </w:rPr>
        <w:t>64</w:t>
      </w:r>
      <w:r w:rsidR="00FA39DC" w:rsidRPr="00EB0ACB">
        <w:rPr>
          <w:sz w:val="24"/>
          <w:szCs w:val="24"/>
        </w:rPr>
        <w:t xml:space="preserve"> </w:t>
      </w:r>
      <w:r w:rsidR="00FA39DC">
        <w:rPr>
          <w:sz w:val="24"/>
          <w:szCs w:val="24"/>
        </w:rPr>
        <w:t xml:space="preserve">responsive </w:t>
      </w:r>
      <w:r w:rsidRPr="00EB0ACB">
        <w:rPr>
          <w:sz w:val="24"/>
          <w:szCs w:val="24"/>
        </w:rPr>
        <w:t xml:space="preserve">pleadings prepared </w:t>
      </w:r>
      <w:r w:rsidR="00EB0ACB" w:rsidRPr="00EB0ACB">
        <w:rPr>
          <w:sz w:val="24"/>
          <w:szCs w:val="24"/>
        </w:rPr>
        <w:t>by an outside attorney</w:t>
      </w:r>
      <w:r w:rsidRPr="00EB0ACB">
        <w:rPr>
          <w:sz w:val="24"/>
          <w:szCs w:val="24"/>
        </w:rPr>
        <w:t xml:space="preserve">, we estimate that each </w:t>
      </w:r>
      <w:r w:rsidR="00EB0ACB" w:rsidRPr="00EB0ACB">
        <w:rPr>
          <w:sz w:val="24"/>
          <w:szCs w:val="24"/>
        </w:rPr>
        <w:t xml:space="preserve">commenting party/respondent </w:t>
      </w:r>
      <w:r w:rsidRPr="00EB0ACB">
        <w:rPr>
          <w:sz w:val="24"/>
          <w:szCs w:val="24"/>
        </w:rPr>
        <w:t xml:space="preserve">will take about 4 hours to consult with an outside attorney </w:t>
      </w:r>
      <w:r w:rsidR="00EB0ACB" w:rsidRPr="00EB0ACB">
        <w:rPr>
          <w:sz w:val="24"/>
          <w:szCs w:val="24"/>
        </w:rPr>
        <w:t>to prepare a responsive pleading.</w:t>
      </w:r>
      <w:r w:rsidRPr="00EB0ACB">
        <w:rPr>
          <w:rStyle w:val="FootnoteReference"/>
          <w:szCs w:val="24"/>
        </w:rPr>
        <w:footnoteReference w:id="25"/>
      </w:r>
      <w:r w:rsidRPr="00EB0ACB">
        <w:rPr>
          <w:sz w:val="24"/>
          <w:szCs w:val="24"/>
        </w:rPr>
        <w:t xml:space="preserve">  We estimate that the respondent would have an average salary of $100,000/year ($48.08/hour</w:t>
      </w:r>
      <w:r w:rsidR="001304A1">
        <w:rPr>
          <w:sz w:val="24"/>
          <w:szCs w:val="24"/>
        </w:rPr>
        <w:t>).</w:t>
      </w:r>
    </w:p>
    <w:p w:rsidR="0004393D" w:rsidRPr="00743255" w:rsidRDefault="0004393D">
      <w:pPr>
        <w:suppressAutoHyphens/>
        <w:rPr>
          <w:sz w:val="24"/>
          <w:szCs w:val="24"/>
        </w:rPr>
      </w:pPr>
    </w:p>
    <w:p w:rsidR="00A361FD" w:rsidRPr="00743255" w:rsidRDefault="00A361FD">
      <w:pPr>
        <w:suppressAutoHyphens/>
        <w:rPr>
          <w:sz w:val="24"/>
          <w:szCs w:val="24"/>
        </w:rPr>
      </w:pPr>
      <w:r w:rsidRPr="00743255">
        <w:rPr>
          <w:sz w:val="24"/>
          <w:szCs w:val="24"/>
          <w:u w:val="single"/>
        </w:rPr>
        <w:t>Total Annual Burden Hours</w:t>
      </w:r>
      <w:r w:rsidRPr="00743255">
        <w:rPr>
          <w:sz w:val="24"/>
          <w:szCs w:val="24"/>
        </w:rPr>
        <w:t>:</w:t>
      </w:r>
    </w:p>
    <w:p w:rsidR="001304A1" w:rsidRPr="00743255" w:rsidRDefault="001304A1" w:rsidP="001304A1">
      <w:pPr>
        <w:suppressAutoHyphens/>
        <w:ind w:left="288"/>
        <w:rPr>
          <w:sz w:val="24"/>
          <w:szCs w:val="24"/>
        </w:rPr>
      </w:pPr>
      <w:r w:rsidRPr="00743255">
        <w:rPr>
          <w:sz w:val="24"/>
          <w:szCs w:val="24"/>
        </w:rPr>
        <w:t>20 market modification petitions</w:t>
      </w:r>
      <w:r w:rsidR="00DE4402" w:rsidRPr="00743255">
        <w:rPr>
          <w:sz w:val="24"/>
          <w:szCs w:val="24"/>
        </w:rPr>
        <w:t xml:space="preserve"> </w:t>
      </w:r>
      <w:r w:rsidR="00900603" w:rsidRPr="00743255">
        <w:rPr>
          <w:sz w:val="24"/>
          <w:szCs w:val="24"/>
        </w:rPr>
        <w:tab/>
      </w:r>
      <w:r w:rsidR="00900603" w:rsidRPr="00743255">
        <w:rPr>
          <w:sz w:val="24"/>
          <w:szCs w:val="24"/>
        </w:rPr>
        <w:tab/>
      </w:r>
      <w:r w:rsidR="00DE4402" w:rsidRPr="00743255">
        <w:rPr>
          <w:sz w:val="24"/>
          <w:szCs w:val="24"/>
        </w:rPr>
        <w:t>x 4 hours =</w:t>
      </w:r>
      <w:r w:rsidR="00DE4402" w:rsidRPr="00743255">
        <w:rPr>
          <w:sz w:val="24"/>
          <w:szCs w:val="24"/>
        </w:rPr>
        <w:tab/>
        <w:t>80 hours</w:t>
      </w:r>
    </w:p>
    <w:p w:rsidR="005B45A7" w:rsidRPr="00743255" w:rsidRDefault="00FA39DC" w:rsidP="001304A1">
      <w:pPr>
        <w:suppressAutoHyphens/>
        <w:ind w:left="288"/>
        <w:rPr>
          <w:sz w:val="24"/>
          <w:szCs w:val="24"/>
        </w:rPr>
      </w:pPr>
      <w:r>
        <w:rPr>
          <w:sz w:val="24"/>
          <w:szCs w:val="24"/>
        </w:rPr>
        <w:t>16</w:t>
      </w:r>
      <w:r w:rsidR="001304A1" w:rsidRPr="00743255">
        <w:rPr>
          <w:sz w:val="24"/>
          <w:szCs w:val="24"/>
        </w:rPr>
        <w:t xml:space="preserve"> </w:t>
      </w:r>
      <w:r w:rsidR="00A361FD" w:rsidRPr="00743255">
        <w:rPr>
          <w:sz w:val="24"/>
          <w:szCs w:val="24"/>
        </w:rPr>
        <w:t>“</w:t>
      </w:r>
      <w:r w:rsidR="001304A1" w:rsidRPr="00743255">
        <w:rPr>
          <w:sz w:val="24"/>
          <w:szCs w:val="24"/>
        </w:rPr>
        <w:t>in-house</w:t>
      </w:r>
      <w:r w:rsidR="00A361FD" w:rsidRPr="00743255">
        <w:rPr>
          <w:sz w:val="24"/>
          <w:szCs w:val="24"/>
        </w:rPr>
        <w:t>”</w:t>
      </w:r>
      <w:r w:rsidR="001304A1" w:rsidRPr="00743255">
        <w:rPr>
          <w:sz w:val="24"/>
          <w:szCs w:val="24"/>
        </w:rPr>
        <w:t xml:space="preserve"> responsive pleadings</w:t>
      </w:r>
      <w:r w:rsidR="00900603" w:rsidRPr="00743255">
        <w:rPr>
          <w:rStyle w:val="FootnoteReference"/>
          <w:szCs w:val="24"/>
        </w:rPr>
        <w:footnoteReference w:id="26"/>
      </w:r>
      <w:r w:rsidR="005B45A7" w:rsidRPr="00743255">
        <w:rPr>
          <w:sz w:val="24"/>
          <w:szCs w:val="24"/>
        </w:rPr>
        <w:t xml:space="preserve"> </w:t>
      </w:r>
      <w:r w:rsidR="00900603" w:rsidRPr="00743255">
        <w:rPr>
          <w:sz w:val="24"/>
          <w:szCs w:val="24"/>
        </w:rPr>
        <w:tab/>
      </w:r>
      <w:r w:rsidR="005B45A7" w:rsidRPr="00743255">
        <w:rPr>
          <w:sz w:val="24"/>
          <w:szCs w:val="24"/>
        </w:rPr>
        <w:t xml:space="preserve">x </w:t>
      </w:r>
      <w:r w:rsidR="00900603" w:rsidRPr="00743255">
        <w:rPr>
          <w:sz w:val="24"/>
          <w:szCs w:val="24"/>
        </w:rPr>
        <w:t>4</w:t>
      </w:r>
      <w:r w:rsidR="00876170" w:rsidRPr="00743255">
        <w:rPr>
          <w:sz w:val="24"/>
          <w:szCs w:val="24"/>
        </w:rPr>
        <w:t>0</w:t>
      </w:r>
      <w:r w:rsidR="005B45A7" w:rsidRPr="00743255">
        <w:rPr>
          <w:sz w:val="24"/>
          <w:szCs w:val="24"/>
        </w:rPr>
        <w:t xml:space="preserve"> hours =</w:t>
      </w:r>
      <w:r w:rsidR="00DE4402" w:rsidRPr="00743255">
        <w:rPr>
          <w:sz w:val="24"/>
          <w:szCs w:val="24"/>
        </w:rPr>
        <w:tab/>
      </w:r>
      <w:r>
        <w:rPr>
          <w:sz w:val="24"/>
          <w:szCs w:val="24"/>
        </w:rPr>
        <w:t>640</w:t>
      </w:r>
      <w:r w:rsidR="005B45A7" w:rsidRPr="00743255">
        <w:rPr>
          <w:sz w:val="24"/>
          <w:szCs w:val="24"/>
        </w:rPr>
        <w:t xml:space="preserve"> hours</w:t>
      </w:r>
    </w:p>
    <w:p w:rsidR="005B45A7" w:rsidRPr="00743255" w:rsidRDefault="00FA39DC" w:rsidP="001304A1">
      <w:pPr>
        <w:suppressAutoHyphens/>
        <w:ind w:left="288"/>
        <w:rPr>
          <w:sz w:val="24"/>
          <w:szCs w:val="24"/>
        </w:rPr>
      </w:pPr>
      <w:r>
        <w:rPr>
          <w:sz w:val="24"/>
          <w:szCs w:val="24"/>
        </w:rPr>
        <w:t>64</w:t>
      </w:r>
      <w:r w:rsidR="00900603" w:rsidRPr="00743255">
        <w:rPr>
          <w:sz w:val="24"/>
          <w:szCs w:val="24"/>
        </w:rPr>
        <w:t xml:space="preserve"> outside attorney pleadings</w:t>
      </w:r>
      <w:r w:rsidR="00900603" w:rsidRPr="00743255">
        <w:rPr>
          <w:rStyle w:val="FootnoteReference"/>
          <w:szCs w:val="24"/>
        </w:rPr>
        <w:footnoteReference w:id="27"/>
      </w:r>
      <w:r w:rsidR="00900603" w:rsidRPr="00743255">
        <w:rPr>
          <w:sz w:val="24"/>
          <w:szCs w:val="24"/>
        </w:rPr>
        <w:t xml:space="preserve"> </w:t>
      </w:r>
      <w:r w:rsidR="00900603" w:rsidRPr="00743255">
        <w:rPr>
          <w:sz w:val="24"/>
          <w:szCs w:val="24"/>
        </w:rPr>
        <w:tab/>
      </w:r>
      <w:r w:rsidR="00900603" w:rsidRPr="00743255">
        <w:rPr>
          <w:sz w:val="24"/>
          <w:szCs w:val="24"/>
        </w:rPr>
        <w:tab/>
        <w:t>x 4</w:t>
      </w:r>
      <w:r w:rsidR="005B45A7" w:rsidRPr="00743255">
        <w:rPr>
          <w:sz w:val="24"/>
          <w:szCs w:val="24"/>
        </w:rPr>
        <w:t xml:space="preserve"> hours </w:t>
      </w:r>
      <w:r w:rsidR="005B45A7" w:rsidRPr="00743255">
        <w:rPr>
          <w:sz w:val="24"/>
          <w:szCs w:val="24"/>
          <w:u w:val="single"/>
        </w:rPr>
        <w:t>=</w:t>
      </w:r>
      <w:r w:rsidR="00900603" w:rsidRPr="00743255">
        <w:rPr>
          <w:sz w:val="24"/>
          <w:szCs w:val="24"/>
          <w:u w:val="single"/>
        </w:rPr>
        <w:tab/>
      </w:r>
      <w:r>
        <w:rPr>
          <w:sz w:val="24"/>
          <w:szCs w:val="24"/>
          <w:u w:val="single"/>
        </w:rPr>
        <w:t>256</w:t>
      </w:r>
      <w:r w:rsidR="00B7711B" w:rsidRPr="00743255">
        <w:rPr>
          <w:sz w:val="24"/>
          <w:szCs w:val="24"/>
          <w:u w:val="single"/>
        </w:rPr>
        <w:t xml:space="preserve"> hours</w:t>
      </w:r>
    </w:p>
    <w:p w:rsidR="005B45A7" w:rsidRPr="00743255" w:rsidRDefault="006C72AE" w:rsidP="001304A1">
      <w:pPr>
        <w:suppressAutoHyphens/>
        <w:ind w:left="288"/>
        <w:rPr>
          <w:sz w:val="24"/>
          <w:szCs w:val="24"/>
        </w:rPr>
      </w:pPr>
      <w:r w:rsidRPr="00743255">
        <w:rPr>
          <w:sz w:val="24"/>
          <w:szCs w:val="24"/>
        </w:rPr>
        <w:t>Total Annual Burden Hours</w:t>
      </w:r>
      <w:r w:rsidR="005B45A7" w:rsidRPr="00743255">
        <w:rPr>
          <w:sz w:val="24"/>
          <w:szCs w:val="24"/>
        </w:rPr>
        <w:t>:</w:t>
      </w:r>
      <w:r w:rsidR="00900603" w:rsidRPr="00743255">
        <w:rPr>
          <w:sz w:val="24"/>
          <w:szCs w:val="24"/>
        </w:rPr>
        <w:tab/>
      </w:r>
      <w:r w:rsidR="00900603" w:rsidRPr="00743255">
        <w:rPr>
          <w:sz w:val="24"/>
          <w:szCs w:val="24"/>
        </w:rPr>
        <w:tab/>
      </w:r>
      <w:r w:rsidR="00900603" w:rsidRPr="00743255">
        <w:rPr>
          <w:sz w:val="24"/>
          <w:szCs w:val="24"/>
        </w:rPr>
        <w:tab/>
      </w:r>
      <w:r w:rsidR="00900603" w:rsidRPr="00743255">
        <w:rPr>
          <w:sz w:val="24"/>
          <w:szCs w:val="24"/>
        </w:rPr>
        <w:tab/>
      </w:r>
      <w:r w:rsidR="00FA39DC" w:rsidRPr="00160CAD">
        <w:rPr>
          <w:b/>
          <w:sz w:val="24"/>
          <w:szCs w:val="24"/>
        </w:rPr>
        <w:t>976</w:t>
      </w:r>
      <w:r w:rsidR="008F5E86" w:rsidRPr="00160CAD">
        <w:rPr>
          <w:b/>
          <w:sz w:val="24"/>
          <w:szCs w:val="24"/>
        </w:rPr>
        <w:t xml:space="preserve"> </w:t>
      </w:r>
      <w:r w:rsidR="005B45A7" w:rsidRPr="00160CAD">
        <w:rPr>
          <w:b/>
          <w:sz w:val="24"/>
          <w:szCs w:val="24"/>
        </w:rPr>
        <w:t>hours</w:t>
      </w:r>
      <w:r w:rsidR="00BE275B">
        <w:rPr>
          <w:rStyle w:val="FootnoteReference"/>
          <w:szCs w:val="24"/>
        </w:rPr>
        <w:footnoteReference w:id="28"/>
      </w:r>
    </w:p>
    <w:p w:rsidR="005B45A7" w:rsidRPr="00743255" w:rsidRDefault="005B45A7" w:rsidP="006C72AE">
      <w:pPr>
        <w:suppressAutoHyphens/>
        <w:ind w:left="720"/>
        <w:rPr>
          <w:sz w:val="24"/>
          <w:szCs w:val="24"/>
        </w:rPr>
      </w:pPr>
    </w:p>
    <w:p w:rsidR="007806A0" w:rsidRPr="00743255" w:rsidRDefault="00A03A6F">
      <w:pPr>
        <w:suppressAutoHyphens/>
        <w:rPr>
          <w:sz w:val="24"/>
          <w:szCs w:val="24"/>
        </w:rPr>
      </w:pPr>
      <w:r w:rsidRPr="00743255">
        <w:rPr>
          <w:sz w:val="24"/>
          <w:szCs w:val="24"/>
          <w:u w:val="single"/>
        </w:rPr>
        <w:t>Annual “In-House” Cost</w:t>
      </w:r>
      <w:r w:rsidRPr="00743255">
        <w:rPr>
          <w:sz w:val="24"/>
          <w:szCs w:val="24"/>
        </w:rPr>
        <w:t>:</w:t>
      </w:r>
    </w:p>
    <w:p w:rsidR="00A361FD" w:rsidRPr="00743255" w:rsidRDefault="00A361FD" w:rsidP="00A361FD">
      <w:pPr>
        <w:suppressAutoHyphens/>
        <w:ind w:left="288"/>
        <w:rPr>
          <w:sz w:val="24"/>
          <w:szCs w:val="24"/>
        </w:rPr>
      </w:pPr>
      <w:r w:rsidRPr="00743255">
        <w:rPr>
          <w:sz w:val="24"/>
          <w:szCs w:val="24"/>
        </w:rPr>
        <w:t xml:space="preserve">80 hours </w:t>
      </w:r>
      <w:r w:rsidRPr="00743255">
        <w:rPr>
          <w:sz w:val="24"/>
          <w:szCs w:val="24"/>
        </w:rPr>
        <w:tab/>
        <w:t xml:space="preserve">x $48.08/hour =  </w:t>
      </w:r>
      <w:r w:rsidRPr="00743255">
        <w:rPr>
          <w:sz w:val="24"/>
          <w:szCs w:val="24"/>
        </w:rPr>
        <w:tab/>
        <w:t>$3,846.40</w:t>
      </w:r>
    </w:p>
    <w:p w:rsidR="00A361FD" w:rsidRPr="00743255" w:rsidRDefault="00D80165" w:rsidP="00A361FD">
      <w:pPr>
        <w:suppressAutoHyphens/>
        <w:ind w:left="288"/>
        <w:rPr>
          <w:sz w:val="24"/>
          <w:szCs w:val="24"/>
        </w:rPr>
      </w:pPr>
      <w:r>
        <w:rPr>
          <w:sz w:val="24"/>
          <w:szCs w:val="24"/>
        </w:rPr>
        <w:t>640</w:t>
      </w:r>
      <w:r w:rsidR="00A361FD" w:rsidRPr="00743255">
        <w:rPr>
          <w:sz w:val="24"/>
          <w:szCs w:val="24"/>
        </w:rPr>
        <w:t xml:space="preserve"> hours </w:t>
      </w:r>
      <w:r w:rsidR="00A361FD" w:rsidRPr="00743255">
        <w:rPr>
          <w:sz w:val="24"/>
          <w:szCs w:val="24"/>
        </w:rPr>
        <w:tab/>
        <w:t xml:space="preserve">x $48.08/hour =  </w:t>
      </w:r>
      <w:r w:rsidR="00A361FD" w:rsidRPr="00743255">
        <w:rPr>
          <w:sz w:val="24"/>
          <w:szCs w:val="24"/>
        </w:rPr>
        <w:tab/>
        <w:t>$</w:t>
      </w:r>
      <w:r w:rsidR="00B82CB4">
        <w:rPr>
          <w:sz w:val="24"/>
          <w:szCs w:val="24"/>
        </w:rPr>
        <w:t>30,771.20</w:t>
      </w:r>
    </w:p>
    <w:p w:rsidR="00A361FD" w:rsidRPr="00743255" w:rsidRDefault="00D80165" w:rsidP="00A361FD">
      <w:pPr>
        <w:suppressAutoHyphens/>
        <w:ind w:left="288"/>
        <w:rPr>
          <w:sz w:val="24"/>
          <w:szCs w:val="24"/>
        </w:rPr>
      </w:pPr>
      <w:r>
        <w:rPr>
          <w:sz w:val="24"/>
          <w:szCs w:val="24"/>
        </w:rPr>
        <w:t>256</w:t>
      </w:r>
      <w:r w:rsidR="00A361FD" w:rsidRPr="00743255">
        <w:rPr>
          <w:sz w:val="24"/>
          <w:szCs w:val="24"/>
        </w:rPr>
        <w:t xml:space="preserve"> hours </w:t>
      </w:r>
      <w:r w:rsidR="00A361FD" w:rsidRPr="00743255">
        <w:rPr>
          <w:sz w:val="24"/>
          <w:szCs w:val="24"/>
        </w:rPr>
        <w:tab/>
        <w:t xml:space="preserve">x $48.08/hour =  </w:t>
      </w:r>
      <w:r w:rsidR="00A361FD" w:rsidRPr="00743255">
        <w:rPr>
          <w:sz w:val="24"/>
          <w:szCs w:val="24"/>
        </w:rPr>
        <w:tab/>
      </w:r>
      <w:r w:rsidR="00A361FD" w:rsidRPr="00743255">
        <w:rPr>
          <w:sz w:val="24"/>
          <w:szCs w:val="24"/>
          <w:u w:val="single"/>
        </w:rPr>
        <w:t>$</w:t>
      </w:r>
      <w:r w:rsidR="00B82CB4">
        <w:rPr>
          <w:sz w:val="24"/>
          <w:szCs w:val="24"/>
          <w:u w:val="single"/>
        </w:rPr>
        <w:t>12,308.48</w:t>
      </w:r>
    </w:p>
    <w:p w:rsidR="005B45A7" w:rsidRPr="00743255" w:rsidRDefault="00CC6B20" w:rsidP="001304A1">
      <w:pPr>
        <w:suppressAutoHyphens/>
        <w:ind w:left="288"/>
        <w:rPr>
          <w:sz w:val="24"/>
          <w:szCs w:val="24"/>
        </w:rPr>
      </w:pPr>
      <w:r w:rsidRPr="00743255">
        <w:rPr>
          <w:sz w:val="24"/>
          <w:szCs w:val="24"/>
        </w:rPr>
        <w:t>Total Annual In-H</w:t>
      </w:r>
      <w:r w:rsidR="00A03A6F" w:rsidRPr="00743255">
        <w:rPr>
          <w:sz w:val="24"/>
          <w:szCs w:val="24"/>
        </w:rPr>
        <w:t>ouse Cost:</w:t>
      </w:r>
      <w:r w:rsidR="00C331CE" w:rsidRPr="00743255">
        <w:rPr>
          <w:sz w:val="24"/>
          <w:szCs w:val="24"/>
        </w:rPr>
        <w:t xml:space="preserve"> </w:t>
      </w:r>
      <w:r w:rsidR="00743255">
        <w:rPr>
          <w:sz w:val="24"/>
          <w:szCs w:val="24"/>
        </w:rPr>
        <w:tab/>
      </w:r>
      <w:r w:rsidR="005B45A7" w:rsidRPr="00160CAD">
        <w:rPr>
          <w:b/>
          <w:sz w:val="24"/>
          <w:szCs w:val="24"/>
        </w:rPr>
        <w:t>$</w:t>
      </w:r>
      <w:r w:rsidR="00B82CB4" w:rsidRPr="00160CAD">
        <w:rPr>
          <w:b/>
          <w:sz w:val="24"/>
          <w:szCs w:val="24"/>
        </w:rPr>
        <w:t>46,926.08</w:t>
      </w:r>
      <w:r w:rsidR="00BE275B" w:rsidRPr="00160CAD">
        <w:rPr>
          <w:rStyle w:val="FootnoteReference"/>
          <w:szCs w:val="24"/>
        </w:rPr>
        <w:footnoteReference w:id="29"/>
      </w:r>
    </w:p>
    <w:p w:rsidR="005B45A7" w:rsidRPr="00743255" w:rsidRDefault="005B45A7">
      <w:pPr>
        <w:suppressAutoHyphens/>
        <w:rPr>
          <w:sz w:val="24"/>
          <w:szCs w:val="24"/>
        </w:rPr>
      </w:pPr>
    </w:p>
    <w:p w:rsidR="00743255" w:rsidRPr="00CC6B20" w:rsidRDefault="00743255" w:rsidP="00743255">
      <w:pPr>
        <w:suppressAutoHyphens/>
        <w:rPr>
          <w:sz w:val="24"/>
          <w:szCs w:val="24"/>
        </w:rPr>
      </w:pPr>
      <w:r>
        <w:rPr>
          <w:b/>
          <w:sz w:val="24"/>
          <w:szCs w:val="24"/>
          <w:u w:val="single"/>
        </w:rPr>
        <w:t>Summary</w:t>
      </w:r>
      <w:r w:rsidRPr="00CC6B20">
        <w:rPr>
          <w:b/>
          <w:sz w:val="24"/>
          <w:szCs w:val="24"/>
        </w:rPr>
        <w:t>:</w:t>
      </w:r>
    </w:p>
    <w:p w:rsidR="00B05B1A" w:rsidRPr="00CC6B20" w:rsidRDefault="00B05B1A" w:rsidP="00B05B1A">
      <w:pPr>
        <w:pStyle w:val="ParaNum"/>
        <w:widowControl/>
        <w:numPr>
          <w:ilvl w:val="0"/>
          <w:numId w:val="9"/>
        </w:numPr>
        <w:tabs>
          <w:tab w:val="left" w:pos="0"/>
        </w:tabs>
        <w:spacing w:after="0"/>
        <w:rPr>
          <w:b/>
          <w:sz w:val="24"/>
          <w:szCs w:val="24"/>
        </w:rPr>
      </w:pPr>
      <w:r w:rsidRPr="00CC6B20">
        <w:rPr>
          <w:b/>
          <w:sz w:val="24"/>
          <w:szCs w:val="24"/>
        </w:rPr>
        <w:t>Total Number of Respondents:</w:t>
      </w:r>
      <w:r w:rsidRPr="00CC6B20">
        <w:rPr>
          <w:b/>
          <w:sz w:val="24"/>
          <w:szCs w:val="24"/>
        </w:rPr>
        <w:tab/>
        <w:t>80 respondents</w:t>
      </w:r>
    </w:p>
    <w:p w:rsidR="00B05B1A" w:rsidRPr="00CC6B20" w:rsidRDefault="00B05B1A" w:rsidP="00B05B1A">
      <w:pPr>
        <w:widowControl/>
        <w:numPr>
          <w:ilvl w:val="0"/>
          <w:numId w:val="9"/>
        </w:numPr>
        <w:suppressAutoHyphens/>
        <w:rPr>
          <w:b/>
          <w:sz w:val="24"/>
          <w:szCs w:val="24"/>
        </w:rPr>
      </w:pPr>
      <w:r w:rsidRPr="00CC6B20">
        <w:rPr>
          <w:b/>
          <w:sz w:val="24"/>
          <w:szCs w:val="24"/>
        </w:rPr>
        <w:t>Total Number of Responses:</w:t>
      </w:r>
      <w:r w:rsidRPr="00CC6B20">
        <w:rPr>
          <w:b/>
          <w:sz w:val="24"/>
          <w:szCs w:val="24"/>
        </w:rPr>
        <w:tab/>
      </w:r>
      <w:r w:rsidR="00BE275B">
        <w:rPr>
          <w:b/>
          <w:sz w:val="24"/>
          <w:szCs w:val="24"/>
        </w:rPr>
        <w:t>100</w:t>
      </w:r>
      <w:r w:rsidRPr="00CC6B20">
        <w:rPr>
          <w:b/>
          <w:sz w:val="24"/>
          <w:szCs w:val="24"/>
        </w:rPr>
        <w:t xml:space="preserve"> responses</w:t>
      </w:r>
    </w:p>
    <w:p w:rsidR="00B05B1A" w:rsidRPr="00CC6B20" w:rsidRDefault="00B05B1A" w:rsidP="00B05B1A">
      <w:pPr>
        <w:widowControl/>
        <w:numPr>
          <w:ilvl w:val="0"/>
          <w:numId w:val="9"/>
        </w:numPr>
        <w:suppressAutoHyphens/>
        <w:rPr>
          <w:b/>
          <w:sz w:val="24"/>
          <w:szCs w:val="24"/>
        </w:rPr>
      </w:pPr>
      <w:r w:rsidRPr="00CC6B20">
        <w:rPr>
          <w:b/>
          <w:sz w:val="24"/>
          <w:szCs w:val="24"/>
        </w:rPr>
        <w:t>Total Annual Burden Hours:</w:t>
      </w:r>
      <w:r w:rsidRPr="00CC6B20">
        <w:rPr>
          <w:b/>
          <w:sz w:val="24"/>
          <w:szCs w:val="24"/>
        </w:rPr>
        <w:tab/>
      </w:r>
      <w:r w:rsidR="00BE275B">
        <w:rPr>
          <w:b/>
          <w:sz w:val="24"/>
          <w:szCs w:val="24"/>
        </w:rPr>
        <w:t>976</w:t>
      </w:r>
      <w:r w:rsidRPr="00CC6B20">
        <w:rPr>
          <w:b/>
          <w:sz w:val="24"/>
          <w:szCs w:val="24"/>
        </w:rPr>
        <w:t xml:space="preserve"> hours</w:t>
      </w:r>
    </w:p>
    <w:p w:rsidR="00B05B1A" w:rsidRPr="00CC6B20" w:rsidRDefault="00B05B1A" w:rsidP="00B05B1A">
      <w:pPr>
        <w:widowControl/>
        <w:numPr>
          <w:ilvl w:val="0"/>
          <w:numId w:val="9"/>
        </w:numPr>
        <w:suppressAutoHyphens/>
        <w:rPr>
          <w:b/>
          <w:sz w:val="24"/>
          <w:szCs w:val="24"/>
        </w:rPr>
      </w:pPr>
      <w:r w:rsidRPr="00CC6B20">
        <w:rPr>
          <w:b/>
          <w:sz w:val="24"/>
          <w:szCs w:val="24"/>
        </w:rPr>
        <w:t>Total Annual In-House Cost:</w:t>
      </w:r>
      <w:r w:rsidRPr="00CC6B20">
        <w:rPr>
          <w:b/>
          <w:sz w:val="24"/>
          <w:szCs w:val="24"/>
        </w:rPr>
        <w:tab/>
      </w:r>
      <w:r w:rsidR="00BE275B">
        <w:rPr>
          <w:b/>
          <w:sz w:val="24"/>
          <w:szCs w:val="24"/>
        </w:rPr>
        <w:t>$46,926.08</w:t>
      </w:r>
    </w:p>
    <w:p w:rsidR="00423C65" w:rsidRPr="00423C65" w:rsidRDefault="00423C65" w:rsidP="00423C65">
      <w:pPr>
        <w:pStyle w:val="ParaNum"/>
        <w:numPr>
          <w:ilvl w:val="0"/>
          <w:numId w:val="0"/>
        </w:numPr>
        <w:tabs>
          <w:tab w:val="left" w:pos="360"/>
        </w:tabs>
        <w:rPr>
          <w:sz w:val="24"/>
          <w:szCs w:val="24"/>
        </w:rPr>
      </w:pPr>
    </w:p>
    <w:p w:rsidR="00423C65" w:rsidRPr="00423C65" w:rsidRDefault="00423C65" w:rsidP="00423C65">
      <w:pPr>
        <w:pStyle w:val="ParaNum"/>
        <w:numPr>
          <w:ilvl w:val="0"/>
          <w:numId w:val="0"/>
        </w:numPr>
        <w:tabs>
          <w:tab w:val="left" w:pos="0"/>
          <w:tab w:val="left" w:pos="360"/>
        </w:tabs>
        <w:rPr>
          <w:sz w:val="24"/>
          <w:szCs w:val="24"/>
        </w:rPr>
      </w:pPr>
      <w:r w:rsidRPr="009F6442">
        <w:rPr>
          <w:spacing w:val="-3"/>
          <w:sz w:val="24"/>
          <w:szCs w:val="24"/>
        </w:rPr>
        <w:t>13.</w:t>
      </w:r>
      <w:r w:rsidR="004A6BD4" w:rsidRPr="009F6442">
        <w:rPr>
          <w:spacing w:val="-3"/>
          <w:sz w:val="24"/>
          <w:szCs w:val="24"/>
        </w:rPr>
        <w:t xml:space="preserve"> </w:t>
      </w:r>
      <w:r w:rsidRPr="009F6442">
        <w:rPr>
          <w:b/>
          <w:spacing w:val="-3"/>
          <w:sz w:val="24"/>
          <w:szCs w:val="24"/>
        </w:rPr>
        <w:t>Cost to Respondents</w:t>
      </w:r>
      <w:r w:rsidRPr="009F6442">
        <w:rPr>
          <w:spacing w:val="-3"/>
          <w:sz w:val="24"/>
          <w:szCs w:val="24"/>
        </w:rPr>
        <w:t xml:space="preserve">:  </w:t>
      </w:r>
      <w:r w:rsidR="00B05B1A" w:rsidRPr="009F6442">
        <w:rPr>
          <w:spacing w:val="-3"/>
          <w:sz w:val="24"/>
          <w:szCs w:val="24"/>
        </w:rPr>
        <w:t xml:space="preserve">As noted </w:t>
      </w:r>
      <w:r w:rsidR="006F1D93" w:rsidRPr="009F6442">
        <w:rPr>
          <w:spacing w:val="-3"/>
          <w:sz w:val="24"/>
          <w:szCs w:val="24"/>
        </w:rPr>
        <w:t xml:space="preserve">in item 12, </w:t>
      </w:r>
      <w:r w:rsidR="00B05B1A" w:rsidRPr="009F6442">
        <w:rPr>
          <w:spacing w:val="-3"/>
          <w:sz w:val="24"/>
          <w:szCs w:val="24"/>
        </w:rPr>
        <w:t xml:space="preserve">above, we </w:t>
      </w:r>
      <w:r w:rsidR="006F1D93" w:rsidRPr="009F6442">
        <w:rPr>
          <w:sz w:val="24"/>
          <w:szCs w:val="24"/>
        </w:rPr>
        <w:t xml:space="preserve">estimated that all 20 market modification petitions will be prepared using an outside attorney.  </w:t>
      </w:r>
      <w:r w:rsidR="00126DCD" w:rsidRPr="009F6442">
        <w:rPr>
          <w:sz w:val="24"/>
          <w:szCs w:val="24"/>
        </w:rPr>
        <w:t>W</w:t>
      </w:r>
      <w:r w:rsidR="006F1D93" w:rsidRPr="009F6442">
        <w:rPr>
          <w:sz w:val="24"/>
          <w:szCs w:val="24"/>
        </w:rPr>
        <w:t xml:space="preserve">e </w:t>
      </w:r>
      <w:r w:rsidR="00126DCD" w:rsidRPr="009F6442">
        <w:rPr>
          <w:sz w:val="24"/>
          <w:szCs w:val="24"/>
        </w:rPr>
        <w:t xml:space="preserve">also </w:t>
      </w:r>
      <w:r w:rsidR="006F1D93" w:rsidRPr="009F6442">
        <w:rPr>
          <w:sz w:val="24"/>
          <w:szCs w:val="24"/>
        </w:rPr>
        <w:t xml:space="preserve">estimated that </w:t>
      </w:r>
      <w:r w:rsidR="004A5E5B">
        <w:rPr>
          <w:sz w:val="24"/>
          <w:szCs w:val="24"/>
        </w:rPr>
        <w:t>64</w:t>
      </w:r>
      <w:r w:rsidR="006F1D93" w:rsidRPr="009F6442">
        <w:rPr>
          <w:sz w:val="24"/>
          <w:szCs w:val="24"/>
        </w:rPr>
        <w:t xml:space="preserve"> responsive pleadings will be prepared using an outside attorney.  </w:t>
      </w:r>
      <w:r w:rsidR="00126DCD" w:rsidRPr="009F6442">
        <w:rPr>
          <w:sz w:val="24"/>
          <w:szCs w:val="24"/>
        </w:rPr>
        <w:t xml:space="preserve">With respect to the 20 market modification petitions prepared using an outside attorney, we estimate that it will take the outside attorney 80 hours to research and prepare a market modification petition.  With respect to the </w:t>
      </w:r>
      <w:r w:rsidR="004A5E5B">
        <w:rPr>
          <w:sz w:val="24"/>
          <w:szCs w:val="24"/>
        </w:rPr>
        <w:t>64</w:t>
      </w:r>
      <w:r w:rsidR="00126DCD" w:rsidRPr="009F6442">
        <w:rPr>
          <w:sz w:val="24"/>
          <w:szCs w:val="24"/>
        </w:rPr>
        <w:t xml:space="preserve"> responsive pleadings prepared using an outside attorney, we estimate that it will take the outside attorney 40 hours to prepare a responsive pleading.  We estimate that an outside attorney will charge an average of </w:t>
      </w:r>
      <w:r w:rsidR="00E26E35" w:rsidRPr="009F6442">
        <w:rPr>
          <w:spacing w:val="-3"/>
          <w:sz w:val="24"/>
          <w:szCs w:val="24"/>
        </w:rPr>
        <w:t xml:space="preserve">$300 per </w:t>
      </w:r>
      <w:r w:rsidRPr="009F6442">
        <w:rPr>
          <w:spacing w:val="-3"/>
          <w:sz w:val="24"/>
          <w:szCs w:val="24"/>
        </w:rPr>
        <w:t>hour</w:t>
      </w:r>
      <w:r w:rsidR="00126DCD" w:rsidRPr="009F6442">
        <w:rPr>
          <w:spacing w:val="-3"/>
          <w:sz w:val="24"/>
          <w:szCs w:val="24"/>
        </w:rPr>
        <w:t xml:space="preserve"> for providing legal services to respondents</w:t>
      </w:r>
      <w:r w:rsidR="00E26E35" w:rsidRPr="009F6442">
        <w:rPr>
          <w:spacing w:val="-3"/>
          <w:sz w:val="24"/>
          <w:szCs w:val="24"/>
        </w:rPr>
        <w:t>.</w:t>
      </w:r>
      <w:r w:rsidR="00126DCD" w:rsidRPr="009F6442">
        <w:rPr>
          <w:spacing w:val="-3"/>
          <w:sz w:val="24"/>
          <w:szCs w:val="24"/>
        </w:rPr>
        <w:t xml:space="preserve"> </w:t>
      </w:r>
      <w:r w:rsidRPr="009F6442">
        <w:rPr>
          <w:spacing w:val="-3"/>
          <w:sz w:val="24"/>
          <w:szCs w:val="24"/>
        </w:rPr>
        <w:t xml:space="preserve"> </w:t>
      </w:r>
      <w:r w:rsidR="00126DCD" w:rsidRPr="009F6442">
        <w:rPr>
          <w:sz w:val="24"/>
          <w:szCs w:val="24"/>
        </w:rPr>
        <w:t>In addition,</w:t>
      </w:r>
      <w:r w:rsidR="00126DCD" w:rsidRPr="009F6442">
        <w:rPr>
          <w:spacing w:val="-3"/>
          <w:sz w:val="24"/>
          <w:szCs w:val="24"/>
        </w:rPr>
        <w:t xml:space="preserve"> a filing fee of $1,465.00</w:t>
      </w:r>
      <w:r w:rsidR="00E26E35" w:rsidRPr="009F6442">
        <w:rPr>
          <w:spacing w:val="-3"/>
          <w:sz w:val="24"/>
          <w:szCs w:val="24"/>
        </w:rPr>
        <w:t xml:space="preserve"> </w:t>
      </w:r>
      <w:r w:rsidR="00126DCD" w:rsidRPr="009F6442">
        <w:rPr>
          <w:spacing w:val="-3"/>
          <w:sz w:val="24"/>
          <w:szCs w:val="24"/>
        </w:rPr>
        <w:t>is generally required for the filing of Special Relief petitions</w:t>
      </w:r>
      <w:r w:rsidR="00E26E35" w:rsidRPr="009F6442">
        <w:rPr>
          <w:spacing w:val="-3"/>
          <w:sz w:val="24"/>
          <w:szCs w:val="24"/>
        </w:rPr>
        <w:t>, such as a market modification petitions.</w:t>
      </w:r>
      <w:r w:rsidR="00E26E35" w:rsidRPr="009F6442">
        <w:rPr>
          <w:rStyle w:val="FootnoteReference"/>
          <w:spacing w:val="-3"/>
          <w:szCs w:val="24"/>
        </w:rPr>
        <w:footnoteReference w:id="30"/>
      </w:r>
      <w:r w:rsidR="00126DCD" w:rsidRPr="009F6442">
        <w:rPr>
          <w:spacing w:val="-3"/>
          <w:sz w:val="24"/>
          <w:szCs w:val="24"/>
        </w:rPr>
        <w:t xml:space="preserve"> </w:t>
      </w:r>
    </w:p>
    <w:p w:rsidR="00423C65" w:rsidRPr="00423C65" w:rsidRDefault="00C84CC2" w:rsidP="00423C65">
      <w:pPr>
        <w:pStyle w:val="ParaNum"/>
        <w:numPr>
          <w:ilvl w:val="0"/>
          <w:numId w:val="0"/>
        </w:numPr>
        <w:tabs>
          <w:tab w:val="left" w:pos="0"/>
          <w:tab w:val="left" w:pos="360"/>
        </w:tabs>
        <w:rPr>
          <w:sz w:val="24"/>
          <w:szCs w:val="24"/>
        </w:rPr>
      </w:pPr>
      <w:r w:rsidRPr="00C84CC2">
        <w:rPr>
          <w:sz w:val="24"/>
          <w:szCs w:val="24"/>
          <w:u w:val="single"/>
        </w:rPr>
        <w:t>Outside Attorney Cost</w:t>
      </w:r>
      <w:r w:rsidRPr="00423C65">
        <w:rPr>
          <w:sz w:val="24"/>
          <w:szCs w:val="24"/>
        </w:rPr>
        <w:t>:</w:t>
      </w:r>
    </w:p>
    <w:p w:rsidR="00423C65" w:rsidRDefault="001C600A" w:rsidP="00423C65">
      <w:pPr>
        <w:suppressAutoHyphens/>
        <w:rPr>
          <w:sz w:val="24"/>
          <w:szCs w:val="24"/>
        </w:rPr>
      </w:pPr>
      <w:r>
        <w:rPr>
          <w:sz w:val="24"/>
          <w:szCs w:val="24"/>
        </w:rPr>
        <w:tab/>
      </w:r>
      <w:r w:rsidR="00423C65" w:rsidRPr="00423C65">
        <w:rPr>
          <w:sz w:val="24"/>
          <w:szCs w:val="24"/>
        </w:rPr>
        <w:t xml:space="preserve">20 </w:t>
      </w:r>
      <w:r w:rsidRPr="00EB0ACB">
        <w:rPr>
          <w:sz w:val="24"/>
          <w:szCs w:val="24"/>
        </w:rPr>
        <w:t xml:space="preserve">market modification petitions </w:t>
      </w:r>
      <w:r>
        <w:rPr>
          <w:sz w:val="24"/>
          <w:szCs w:val="24"/>
        </w:rPr>
        <w:tab/>
      </w:r>
      <w:r w:rsidR="00423C65" w:rsidRPr="00423C65">
        <w:rPr>
          <w:sz w:val="24"/>
          <w:szCs w:val="24"/>
        </w:rPr>
        <w:t xml:space="preserve">x </w:t>
      </w:r>
      <w:r>
        <w:rPr>
          <w:sz w:val="24"/>
          <w:szCs w:val="24"/>
        </w:rPr>
        <w:t>80</w:t>
      </w:r>
      <w:r w:rsidR="00423C65" w:rsidRPr="00423C65">
        <w:rPr>
          <w:sz w:val="24"/>
          <w:szCs w:val="24"/>
        </w:rPr>
        <w:t xml:space="preserve"> hours/</w:t>
      </w:r>
      <w:r>
        <w:rPr>
          <w:sz w:val="24"/>
          <w:szCs w:val="24"/>
        </w:rPr>
        <w:t>petition</w:t>
      </w:r>
      <w:r w:rsidR="0017189D">
        <w:rPr>
          <w:sz w:val="24"/>
          <w:szCs w:val="24"/>
        </w:rPr>
        <w:t xml:space="preserve"> =</w:t>
      </w:r>
      <w:r w:rsidR="0017189D">
        <w:rPr>
          <w:sz w:val="24"/>
          <w:szCs w:val="24"/>
        </w:rPr>
        <w:tab/>
        <w:t>1,60</w:t>
      </w:r>
      <w:r w:rsidR="00423C65" w:rsidRPr="00423C65">
        <w:rPr>
          <w:sz w:val="24"/>
          <w:szCs w:val="24"/>
        </w:rPr>
        <w:t xml:space="preserve">0 hours </w:t>
      </w:r>
    </w:p>
    <w:p w:rsidR="001C600A" w:rsidRDefault="001C600A" w:rsidP="00423C65">
      <w:pPr>
        <w:suppressAutoHyphens/>
        <w:rPr>
          <w:sz w:val="24"/>
          <w:szCs w:val="24"/>
        </w:rPr>
      </w:pPr>
      <w:r>
        <w:rPr>
          <w:sz w:val="24"/>
          <w:szCs w:val="24"/>
        </w:rPr>
        <w:tab/>
      </w:r>
      <w:r w:rsidR="004A5E5B">
        <w:rPr>
          <w:sz w:val="24"/>
          <w:szCs w:val="24"/>
        </w:rPr>
        <w:t>64</w:t>
      </w:r>
      <w:r>
        <w:rPr>
          <w:sz w:val="24"/>
          <w:szCs w:val="24"/>
        </w:rPr>
        <w:t xml:space="preserve"> responsive pleadings </w:t>
      </w:r>
      <w:r>
        <w:rPr>
          <w:sz w:val="24"/>
          <w:szCs w:val="24"/>
        </w:rPr>
        <w:tab/>
      </w:r>
      <w:r>
        <w:rPr>
          <w:sz w:val="24"/>
          <w:szCs w:val="24"/>
        </w:rPr>
        <w:tab/>
        <w:t>x 40</w:t>
      </w:r>
      <w:r w:rsidRPr="00423C65">
        <w:rPr>
          <w:sz w:val="24"/>
          <w:szCs w:val="24"/>
        </w:rPr>
        <w:t xml:space="preserve"> hours/</w:t>
      </w:r>
      <w:r w:rsidR="0017189D">
        <w:rPr>
          <w:sz w:val="24"/>
          <w:szCs w:val="24"/>
        </w:rPr>
        <w:t>pleading =</w:t>
      </w:r>
      <w:r w:rsidR="0017189D">
        <w:rPr>
          <w:sz w:val="24"/>
          <w:szCs w:val="24"/>
        </w:rPr>
        <w:tab/>
      </w:r>
      <w:r w:rsidR="004A5E5B">
        <w:rPr>
          <w:sz w:val="24"/>
          <w:szCs w:val="24"/>
        </w:rPr>
        <w:t>2,560</w:t>
      </w:r>
      <w:r w:rsidR="0017189D" w:rsidRPr="00C84CC2">
        <w:rPr>
          <w:sz w:val="24"/>
          <w:szCs w:val="24"/>
          <w:u w:val="single"/>
        </w:rPr>
        <w:t xml:space="preserve"> hours</w:t>
      </w:r>
    </w:p>
    <w:p w:rsidR="00C84CC2" w:rsidRDefault="00C84CC2" w:rsidP="00423C65">
      <w:pPr>
        <w:suppressAutoHyphens/>
        <w:rPr>
          <w:sz w:val="24"/>
          <w:szCs w:val="24"/>
        </w:rPr>
      </w:pPr>
      <w:r>
        <w:rPr>
          <w:sz w:val="24"/>
          <w:szCs w:val="24"/>
        </w:rPr>
        <w:tab/>
        <w:t>Total Outside Attorney Hours</w:t>
      </w:r>
      <w:r>
        <w:rPr>
          <w:sz w:val="24"/>
          <w:szCs w:val="24"/>
        </w:rPr>
        <w:tab/>
        <w:t>:</w:t>
      </w:r>
      <w:r>
        <w:rPr>
          <w:sz w:val="24"/>
          <w:szCs w:val="24"/>
        </w:rPr>
        <w:tab/>
      </w:r>
      <w:r>
        <w:rPr>
          <w:sz w:val="24"/>
          <w:szCs w:val="24"/>
        </w:rPr>
        <w:tab/>
      </w:r>
      <w:r>
        <w:rPr>
          <w:sz w:val="24"/>
          <w:szCs w:val="24"/>
        </w:rPr>
        <w:tab/>
      </w:r>
      <w:r>
        <w:rPr>
          <w:sz w:val="24"/>
          <w:szCs w:val="24"/>
        </w:rPr>
        <w:tab/>
      </w:r>
      <w:r w:rsidR="004A5E5B">
        <w:rPr>
          <w:sz w:val="24"/>
          <w:szCs w:val="24"/>
        </w:rPr>
        <w:t>4,160</w:t>
      </w:r>
      <w:r>
        <w:rPr>
          <w:sz w:val="24"/>
          <w:szCs w:val="24"/>
        </w:rPr>
        <w:t xml:space="preserve"> hours</w:t>
      </w:r>
    </w:p>
    <w:p w:rsidR="001C600A" w:rsidRDefault="001C600A" w:rsidP="00423C65">
      <w:pPr>
        <w:suppressAutoHyphens/>
        <w:rPr>
          <w:sz w:val="24"/>
          <w:szCs w:val="24"/>
        </w:rPr>
      </w:pPr>
    </w:p>
    <w:p w:rsidR="00E239D3" w:rsidRDefault="00E239D3" w:rsidP="00E239D3">
      <w:pPr>
        <w:suppressAutoHyphens/>
        <w:rPr>
          <w:sz w:val="24"/>
          <w:szCs w:val="24"/>
        </w:rPr>
      </w:pPr>
      <w:r w:rsidRPr="00E239D3">
        <w:rPr>
          <w:sz w:val="24"/>
          <w:szCs w:val="24"/>
          <w:u w:val="single"/>
        </w:rPr>
        <w:t>Subtotal</w:t>
      </w:r>
      <w:r>
        <w:rPr>
          <w:sz w:val="24"/>
          <w:szCs w:val="24"/>
        </w:rPr>
        <w:t>:</w:t>
      </w:r>
      <w:r>
        <w:rPr>
          <w:sz w:val="24"/>
          <w:szCs w:val="24"/>
        </w:rPr>
        <w:tab/>
      </w:r>
      <w:r w:rsidR="004A5E5B">
        <w:rPr>
          <w:sz w:val="24"/>
          <w:szCs w:val="24"/>
        </w:rPr>
        <w:t xml:space="preserve">4,160 </w:t>
      </w:r>
      <w:r w:rsidRPr="00C84CC2">
        <w:rPr>
          <w:sz w:val="24"/>
          <w:szCs w:val="24"/>
        </w:rPr>
        <w:t xml:space="preserve">hours </w:t>
      </w:r>
      <w:r>
        <w:rPr>
          <w:sz w:val="24"/>
          <w:szCs w:val="24"/>
        </w:rPr>
        <w:tab/>
      </w:r>
      <w:r w:rsidRPr="00423C65">
        <w:rPr>
          <w:sz w:val="24"/>
          <w:szCs w:val="24"/>
        </w:rPr>
        <w:t xml:space="preserve">x $300/hour = </w:t>
      </w:r>
      <w:r>
        <w:rPr>
          <w:sz w:val="24"/>
          <w:szCs w:val="24"/>
        </w:rPr>
        <w:tab/>
      </w:r>
      <w:r w:rsidRPr="00423C65">
        <w:rPr>
          <w:b/>
          <w:sz w:val="24"/>
          <w:szCs w:val="24"/>
        </w:rPr>
        <w:t>$1</w:t>
      </w:r>
      <w:r>
        <w:rPr>
          <w:b/>
          <w:sz w:val="24"/>
          <w:szCs w:val="24"/>
        </w:rPr>
        <w:t>,</w:t>
      </w:r>
      <w:r w:rsidR="004A13BF">
        <w:rPr>
          <w:b/>
          <w:sz w:val="24"/>
          <w:szCs w:val="24"/>
        </w:rPr>
        <w:t>248</w:t>
      </w:r>
      <w:r w:rsidRPr="00423C65">
        <w:rPr>
          <w:b/>
          <w:sz w:val="24"/>
          <w:szCs w:val="24"/>
        </w:rPr>
        <w:t>,000.00</w:t>
      </w:r>
    </w:p>
    <w:p w:rsidR="00E239D3" w:rsidRDefault="00E239D3" w:rsidP="00423C65">
      <w:pPr>
        <w:suppressAutoHyphens/>
        <w:rPr>
          <w:sz w:val="24"/>
          <w:szCs w:val="24"/>
        </w:rPr>
      </w:pPr>
    </w:p>
    <w:p w:rsidR="00C84CC2" w:rsidRDefault="00C84CC2" w:rsidP="00423C65">
      <w:pPr>
        <w:suppressAutoHyphens/>
        <w:rPr>
          <w:sz w:val="24"/>
          <w:szCs w:val="24"/>
        </w:rPr>
      </w:pPr>
      <w:r w:rsidRPr="00C84CC2">
        <w:rPr>
          <w:sz w:val="24"/>
          <w:szCs w:val="24"/>
          <w:u w:val="single"/>
        </w:rPr>
        <w:lastRenderedPageBreak/>
        <w:t>Filing Fees</w:t>
      </w:r>
      <w:r>
        <w:rPr>
          <w:sz w:val="24"/>
          <w:szCs w:val="24"/>
        </w:rPr>
        <w:t>:</w:t>
      </w:r>
    </w:p>
    <w:p w:rsidR="00C84CC2" w:rsidRDefault="00E239D3" w:rsidP="00E239D3">
      <w:pPr>
        <w:suppressAutoHyphens/>
        <w:ind w:firstLine="720"/>
        <w:rPr>
          <w:sz w:val="24"/>
          <w:szCs w:val="24"/>
        </w:rPr>
      </w:pPr>
      <w:r w:rsidRPr="00423C65">
        <w:rPr>
          <w:sz w:val="24"/>
          <w:szCs w:val="24"/>
        </w:rPr>
        <w:t xml:space="preserve">20 </w:t>
      </w:r>
      <w:r w:rsidRPr="00EB0ACB">
        <w:rPr>
          <w:sz w:val="24"/>
          <w:szCs w:val="24"/>
        </w:rPr>
        <w:t xml:space="preserve">market modification petitions </w:t>
      </w:r>
      <w:r w:rsidR="00160CAD">
        <w:rPr>
          <w:sz w:val="24"/>
          <w:szCs w:val="24"/>
        </w:rPr>
        <w:t xml:space="preserve"> </w:t>
      </w:r>
      <w:r w:rsidRPr="00423C65">
        <w:rPr>
          <w:sz w:val="24"/>
          <w:szCs w:val="24"/>
        </w:rPr>
        <w:t xml:space="preserve">x </w:t>
      </w:r>
      <w:r w:rsidRPr="00126DCD">
        <w:rPr>
          <w:spacing w:val="-3"/>
          <w:sz w:val="24"/>
          <w:szCs w:val="24"/>
        </w:rPr>
        <w:t>1,465.00</w:t>
      </w:r>
      <w:r>
        <w:rPr>
          <w:spacing w:val="-3"/>
          <w:sz w:val="24"/>
          <w:szCs w:val="24"/>
        </w:rPr>
        <w:t xml:space="preserve"> </w:t>
      </w:r>
      <w:r w:rsidRPr="00E239D3">
        <w:rPr>
          <w:sz w:val="24"/>
          <w:szCs w:val="24"/>
        </w:rPr>
        <w:t>Fee/</w:t>
      </w:r>
      <w:r>
        <w:rPr>
          <w:sz w:val="24"/>
          <w:szCs w:val="24"/>
        </w:rPr>
        <w:t>petition</w:t>
      </w:r>
      <w:r w:rsidRPr="00E239D3">
        <w:rPr>
          <w:sz w:val="24"/>
          <w:szCs w:val="24"/>
        </w:rPr>
        <w:t xml:space="preserve"> = </w:t>
      </w:r>
      <w:r w:rsidRPr="00381FC0">
        <w:rPr>
          <w:b/>
          <w:sz w:val="24"/>
          <w:szCs w:val="24"/>
        </w:rPr>
        <w:t>$29,300.00</w:t>
      </w:r>
      <w:r w:rsidR="00381FC0">
        <w:rPr>
          <w:b/>
          <w:sz w:val="24"/>
          <w:szCs w:val="24"/>
        </w:rPr>
        <w:t xml:space="preserve"> filing fees</w:t>
      </w:r>
    </w:p>
    <w:p w:rsidR="00C84CC2" w:rsidRPr="00423C65" w:rsidRDefault="00C84CC2" w:rsidP="00423C65">
      <w:pPr>
        <w:suppressAutoHyphens/>
        <w:rPr>
          <w:sz w:val="24"/>
          <w:szCs w:val="24"/>
        </w:rPr>
      </w:pPr>
    </w:p>
    <w:p w:rsidR="00423C65" w:rsidRPr="00423C65" w:rsidRDefault="00E239D3" w:rsidP="00E239D3">
      <w:pPr>
        <w:widowControl/>
        <w:numPr>
          <w:ilvl w:val="0"/>
          <w:numId w:val="9"/>
        </w:numPr>
        <w:suppressAutoHyphens/>
        <w:rPr>
          <w:sz w:val="24"/>
          <w:szCs w:val="24"/>
        </w:rPr>
      </w:pPr>
      <w:r w:rsidRPr="00E239D3">
        <w:rPr>
          <w:b/>
          <w:spacing w:val="-3"/>
          <w:sz w:val="24"/>
          <w:szCs w:val="24"/>
        </w:rPr>
        <w:t xml:space="preserve">Total </w:t>
      </w:r>
      <w:r w:rsidR="00423C65" w:rsidRPr="00423C65">
        <w:rPr>
          <w:b/>
          <w:spacing w:val="-3"/>
          <w:sz w:val="24"/>
          <w:szCs w:val="24"/>
        </w:rPr>
        <w:t>Cost to Respondents</w:t>
      </w:r>
      <w:r>
        <w:rPr>
          <w:b/>
          <w:spacing w:val="-3"/>
          <w:sz w:val="24"/>
          <w:szCs w:val="24"/>
        </w:rPr>
        <w:t>:</w:t>
      </w:r>
      <w:r w:rsidRPr="00E239D3">
        <w:rPr>
          <w:spacing w:val="-3"/>
          <w:sz w:val="24"/>
          <w:szCs w:val="24"/>
        </w:rPr>
        <w:tab/>
      </w:r>
      <w:r w:rsidRPr="00E239D3">
        <w:rPr>
          <w:sz w:val="24"/>
          <w:szCs w:val="24"/>
        </w:rPr>
        <w:t>$1,</w:t>
      </w:r>
      <w:r w:rsidR="004A13BF">
        <w:rPr>
          <w:sz w:val="24"/>
          <w:szCs w:val="24"/>
        </w:rPr>
        <w:t>248</w:t>
      </w:r>
      <w:r w:rsidRPr="00E239D3">
        <w:rPr>
          <w:sz w:val="24"/>
          <w:szCs w:val="24"/>
        </w:rPr>
        <w:t>,000.00 + $29,300.00 =</w:t>
      </w:r>
      <w:r>
        <w:rPr>
          <w:sz w:val="24"/>
          <w:szCs w:val="24"/>
        </w:rPr>
        <w:t xml:space="preserve"> </w:t>
      </w:r>
      <w:r w:rsidRPr="00E239D3">
        <w:rPr>
          <w:b/>
          <w:sz w:val="24"/>
          <w:szCs w:val="24"/>
        </w:rPr>
        <w:t>$1,</w:t>
      </w:r>
      <w:r w:rsidR="004A13BF">
        <w:rPr>
          <w:b/>
          <w:sz w:val="24"/>
          <w:szCs w:val="24"/>
        </w:rPr>
        <w:t>277</w:t>
      </w:r>
      <w:r w:rsidRPr="00E239D3">
        <w:rPr>
          <w:b/>
          <w:sz w:val="24"/>
          <w:szCs w:val="24"/>
        </w:rPr>
        <w:t>,300</w:t>
      </w:r>
      <w:r w:rsidR="00381FC0">
        <w:rPr>
          <w:b/>
          <w:sz w:val="24"/>
          <w:szCs w:val="24"/>
        </w:rPr>
        <w:t>.00</w:t>
      </w:r>
    </w:p>
    <w:p w:rsidR="00937210" w:rsidRPr="00E239D3" w:rsidRDefault="00937210">
      <w:pPr>
        <w:suppressAutoHyphens/>
        <w:rPr>
          <w:sz w:val="24"/>
          <w:szCs w:val="24"/>
        </w:rPr>
      </w:pPr>
    </w:p>
    <w:p w:rsidR="005B45A7" w:rsidRPr="00160CAD" w:rsidRDefault="005B45A7">
      <w:pPr>
        <w:suppressAutoHyphens/>
        <w:rPr>
          <w:sz w:val="24"/>
          <w:szCs w:val="24"/>
        </w:rPr>
      </w:pPr>
      <w:r w:rsidRPr="00423C65">
        <w:rPr>
          <w:sz w:val="24"/>
          <w:szCs w:val="24"/>
        </w:rPr>
        <w:t xml:space="preserve">14. </w:t>
      </w:r>
      <w:r w:rsidR="00B17010" w:rsidRPr="00A7183B">
        <w:rPr>
          <w:b/>
          <w:sz w:val="24"/>
          <w:szCs w:val="24"/>
        </w:rPr>
        <w:t>Cost to the Federal Government</w:t>
      </w:r>
      <w:r w:rsidR="00B17010" w:rsidRPr="00423C65">
        <w:rPr>
          <w:sz w:val="24"/>
          <w:szCs w:val="24"/>
        </w:rPr>
        <w:t>:</w:t>
      </w:r>
      <w:r w:rsidR="00813306" w:rsidRPr="00423C65">
        <w:rPr>
          <w:sz w:val="24"/>
          <w:szCs w:val="24"/>
        </w:rPr>
        <w:t xml:space="preserve"> </w:t>
      </w:r>
      <w:r w:rsidR="009F6442">
        <w:rPr>
          <w:sz w:val="24"/>
          <w:szCs w:val="24"/>
        </w:rPr>
        <w:t xml:space="preserve"> </w:t>
      </w:r>
      <w:r w:rsidR="009F6442" w:rsidRPr="009F6442">
        <w:rPr>
          <w:spacing w:val="-3"/>
          <w:sz w:val="24"/>
          <w:szCs w:val="24"/>
        </w:rPr>
        <w:t xml:space="preserve">As noted in item 12, above, we </w:t>
      </w:r>
      <w:r w:rsidR="009F6442" w:rsidRPr="009F6442">
        <w:rPr>
          <w:sz w:val="24"/>
          <w:szCs w:val="24"/>
        </w:rPr>
        <w:t xml:space="preserve">estimated that </w:t>
      </w:r>
      <w:r w:rsidR="009F6442" w:rsidRPr="00EB0ACB">
        <w:rPr>
          <w:sz w:val="24"/>
          <w:szCs w:val="24"/>
        </w:rPr>
        <w:t>20 market modification requests (petitions) will be filed annually with the Commission by TV broadcast stations, cable system operators and satellite carriers (collectively)</w:t>
      </w:r>
      <w:r w:rsidR="009F6442">
        <w:rPr>
          <w:sz w:val="24"/>
          <w:szCs w:val="24"/>
        </w:rPr>
        <w:t xml:space="preserve">.  </w:t>
      </w:r>
      <w:r w:rsidR="00AF2EFD">
        <w:rPr>
          <w:sz w:val="24"/>
          <w:szCs w:val="24"/>
        </w:rPr>
        <w:t xml:space="preserve">Each petition will initiate a market modification proceeding.  As noted in item 12, above, we estimate </w:t>
      </w:r>
      <w:r w:rsidR="00AF2EFD" w:rsidRPr="00AF2EFD">
        <w:rPr>
          <w:sz w:val="24"/>
          <w:szCs w:val="24"/>
        </w:rPr>
        <w:t xml:space="preserve">about four responsive pleadings </w:t>
      </w:r>
      <w:r w:rsidR="00AF2EFD">
        <w:rPr>
          <w:sz w:val="24"/>
          <w:szCs w:val="24"/>
        </w:rPr>
        <w:t>will be filed in response to a petition (in each proceeding).</w:t>
      </w:r>
      <w:r w:rsidR="00AF2EFD" w:rsidRPr="00AF2EFD">
        <w:rPr>
          <w:sz w:val="24"/>
          <w:szCs w:val="24"/>
        </w:rPr>
        <w:t xml:space="preserve"> </w:t>
      </w:r>
      <w:r w:rsidR="00AF2EFD">
        <w:rPr>
          <w:sz w:val="24"/>
          <w:szCs w:val="24"/>
        </w:rPr>
        <w:t xml:space="preserve"> </w:t>
      </w:r>
      <w:r w:rsidR="0011155B" w:rsidRPr="00423C65">
        <w:rPr>
          <w:sz w:val="24"/>
          <w:szCs w:val="24"/>
        </w:rPr>
        <w:t>We estimate that the Commission will use clerical staff at the GS-</w:t>
      </w:r>
      <w:r w:rsidR="00830924" w:rsidRPr="00423C65">
        <w:rPr>
          <w:sz w:val="24"/>
          <w:szCs w:val="24"/>
        </w:rPr>
        <w:t>9</w:t>
      </w:r>
      <w:r w:rsidR="0011155B" w:rsidRPr="00423C65">
        <w:rPr>
          <w:sz w:val="24"/>
          <w:szCs w:val="24"/>
        </w:rPr>
        <w:t xml:space="preserve">, Step 5 </w:t>
      </w:r>
      <w:r w:rsidR="00591650" w:rsidRPr="00423C65">
        <w:rPr>
          <w:sz w:val="24"/>
          <w:szCs w:val="24"/>
        </w:rPr>
        <w:t xml:space="preserve">grade level </w:t>
      </w:r>
      <w:r w:rsidR="00B14E06" w:rsidRPr="00160CAD">
        <w:rPr>
          <w:sz w:val="24"/>
          <w:szCs w:val="24"/>
        </w:rPr>
        <w:t>(</w:t>
      </w:r>
      <w:r w:rsidR="00B066C8" w:rsidRPr="00160CAD">
        <w:rPr>
          <w:sz w:val="24"/>
          <w:szCs w:val="24"/>
        </w:rPr>
        <w:t>$</w:t>
      </w:r>
      <w:r w:rsidR="00591650" w:rsidRPr="00160CAD">
        <w:rPr>
          <w:sz w:val="24"/>
          <w:szCs w:val="24"/>
        </w:rPr>
        <w:t>2</w:t>
      </w:r>
      <w:r w:rsidR="00C331CE" w:rsidRPr="00160CAD">
        <w:rPr>
          <w:sz w:val="24"/>
          <w:szCs w:val="24"/>
        </w:rPr>
        <w:t>8.</w:t>
      </w:r>
      <w:r w:rsidR="00C52277" w:rsidRPr="00160CAD">
        <w:rPr>
          <w:sz w:val="24"/>
          <w:szCs w:val="24"/>
        </w:rPr>
        <w:t>60</w:t>
      </w:r>
      <w:r w:rsidR="00B066C8" w:rsidRPr="00160CAD">
        <w:rPr>
          <w:sz w:val="24"/>
          <w:szCs w:val="24"/>
        </w:rPr>
        <w:t>)</w:t>
      </w:r>
      <w:r w:rsidR="0011155B" w:rsidRPr="00160CAD">
        <w:rPr>
          <w:sz w:val="24"/>
          <w:szCs w:val="24"/>
        </w:rPr>
        <w:t xml:space="preserve"> and attorney or other professional staff at the </w:t>
      </w:r>
      <w:r w:rsidR="00C52277" w:rsidRPr="00160CAD">
        <w:rPr>
          <w:sz w:val="24"/>
          <w:szCs w:val="24"/>
        </w:rPr>
        <w:t>GS 15, Step 5 level ($68.56</w:t>
      </w:r>
      <w:r w:rsidR="009F6442" w:rsidRPr="00160CAD">
        <w:rPr>
          <w:sz w:val="24"/>
          <w:szCs w:val="24"/>
        </w:rPr>
        <w:t xml:space="preserve">/hour) </w:t>
      </w:r>
      <w:r w:rsidR="0011155B" w:rsidRPr="00160CAD">
        <w:rPr>
          <w:sz w:val="24"/>
          <w:szCs w:val="24"/>
        </w:rPr>
        <w:t xml:space="preserve">to review </w:t>
      </w:r>
      <w:r w:rsidR="00AF2EFD">
        <w:rPr>
          <w:sz w:val="24"/>
          <w:szCs w:val="24"/>
        </w:rPr>
        <w:t xml:space="preserve">the record of each proceeding, which includes the initiating </w:t>
      </w:r>
      <w:r w:rsidR="009F6442" w:rsidRPr="00160CAD">
        <w:rPr>
          <w:sz w:val="24"/>
          <w:szCs w:val="24"/>
        </w:rPr>
        <w:t>market modification</w:t>
      </w:r>
      <w:r w:rsidR="00591650" w:rsidRPr="00160CAD">
        <w:rPr>
          <w:sz w:val="24"/>
          <w:szCs w:val="24"/>
        </w:rPr>
        <w:t xml:space="preserve"> </w:t>
      </w:r>
      <w:r w:rsidR="009F6442" w:rsidRPr="00160CAD">
        <w:rPr>
          <w:sz w:val="24"/>
          <w:szCs w:val="24"/>
        </w:rPr>
        <w:t xml:space="preserve">petition and associated </w:t>
      </w:r>
      <w:r w:rsidR="00AF2EFD">
        <w:rPr>
          <w:sz w:val="24"/>
          <w:szCs w:val="24"/>
        </w:rPr>
        <w:t xml:space="preserve">responsive </w:t>
      </w:r>
      <w:r w:rsidR="009F6442" w:rsidRPr="00160CAD">
        <w:rPr>
          <w:sz w:val="24"/>
          <w:szCs w:val="24"/>
        </w:rPr>
        <w:t>pleadings</w:t>
      </w:r>
      <w:r w:rsidR="00591650" w:rsidRPr="00160CAD">
        <w:rPr>
          <w:sz w:val="24"/>
          <w:szCs w:val="24"/>
        </w:rPr>
        <w:t>.</w:t>
      </w:r>
      <w:r w:rsidR="009F6442" w:rsidRPr="00160CAD">
        <w:rPr>
          <w:rStyle w:val="FootnoteReference"/>
          <w:szCs w:val="24"/>
        </w:rPr>
        <w:footnoteReference w:id="31"/>
      </w:r>
      <w:r w:rsidR="00591650" w:rsidRPr="00160CAD">
        <w:rPr>
          <w:sz w:val="24"/>
          <w:szCs w:val="24"/>
        </w:rPr>
        <w:t xml:space="preserve">  </w:t>
      </w:r>
      <w:r w:rsidR="00AF2EFD">
        <w:rPr>
          <w:sz w:val="24"/>
          <w:szCs w:val="24"/>
        </w:rPr>
        <w:t>We estimate that t</w:t>
      </w:r>
      <w:r w:rsidR="00591650" w:rsidRPr="00160CAD">
        <w:rPr>
          <w:sz w:val="24"/>
          <w:szCs w:val="24"/>
        </w:rPr>
        <w:t xml:space="preserve">he average processing time for Commission staff </w:t>
      </w:r>
      <w:r w:rsidR="00AF2EFD">
        <w:rPr>
          <w:sz w:val="24"/>
          <w:szCs w:val="24"/>
        </w:rPr>
        <w:t>for reviewing the filings in each proceeding will be</w:t>
      </w:r>
      <w:r w:rsidR="00591650" w:rsidRPr="00160CAD">
        <w:rPr>
          <w:sz w:val="24"/>
          <w:szCs w:val="24"/>
        </w:rPr>
        <w:t xml:space="preserve"> </w:t>
      </w:r>
      <w:r w:rsidR="009F6442" w:rsidRPr="00160CAD">
        <w:rPr>
          <w:sz w:val="24"/>
          <w:szCs w:val="24"/>
        </w:rPr>
        <w:t>85</w:t>
      </w:r>
      <w:r w:rsidR="00591650" w:rsidRPr="00160CAD">
        <w:rPr>
          <w:sz w:val="24"/>
          <w:szCs w:val="24"/>
        </w:rPr>
        <w:t xml:space="preserve"> hours.</w:t>
      </w:r>
      <w:r w:rsidR="009F6442" w:rsidRPr="00160CAD">
        <w:rPr>
          <w:rStyle w:val="FootnoteReference"/>
          <w:szCs w:val="24"/>
        </w:rPr>
        <w:footnoteReference w:id="32"/>
      </w:r>
    </w:p>
    <w:p w:rsidR="00C311BA" w:rsidRPr="00160CAD" w:rsidRDefault="00C311BA" w:rsidP="006D2649">
      <w:pPr>
        <w:suppressAutoHyphens/>
        <w:rPr>
          <w:sz w:val="24"/>
          <w:szCs w:val="24"/>
        </w:rPr>
      </w:pPr>
    </w:p>
    <w:p w:rsidR="006D2649" w:rsidRPr="00160CAD" w:rsidRDefault="006D2649" w:rsidP="006D2649">
      <w:pPr>
        <w:suppressAutoHyphens/>
        <w:rPr>
          <w:b/>
          <w:sz w:val="24"/>
          <w:szCs w:val="24"/>
        </w:rPr>
      </w:pPr>
      <w:r w:rsidRPr="00160CAD">
        <w:rPr>
          <w:sz w:val="24"/>
          <w:szCs w:val="24"/>
        </w:rPr>
        <w:tab/>
      </w:r>
      <w:r w:rsidRPr="00160CAD">
        <w:rPr>
          <w:sz w:val="24"/>
          <w:szCs w:val="24"/>
        </w:rPr>
        <w:tab/>
      </w:r>
      <w:bookmarkStart w:id="1" w:name="OLE_LINK1"/>
      <w:bookmarkStart w:id="2" w:name="OLE_LINK2"/>
      <w:r w:rsidRPr="00160CAD">
        <w:rPr>
          <w:sz w:val="24"/>
          <w:szCs w:val="24"/>
        </w:rPr>
        <w:tab/>
      </w:r>
      <w:r w:rsidRPr="00160CAD">
        <w:rPr>
          <w:b/>
          <w:sz w:val="24"/>
          <w:szCs w:val="24"/>
        </w:rPr>
        <w:t>Total Petitions    Total hours per           Cost</w:t>
      </w:r>
    </w:p>
    <w:p w:rsidR="006D2649" w:rsidRPr="00160CAD" w:rsidRDefault="006D2649" w:rsidP="006D2649">
      <w:pPr>
        <w:suppressAutoHyphens/>
        <w:spacing w:after="120"/>
        <w:rPr>
          <w:b/>
          <w:sz w:val="24"/>
          <w:szCs w:val="24"/>
        </w:rPr>
      </w:pPr>
      <w:r w:rsidRPr="00160CAD">
        <w:rPr>
          <w:b/>
          <w:sz w:val="24"/>
          <w:szCs w:val="24"/>
        </w:rPr>
        <w:tab/>
      </w:r>
      <w:r w:rsidRPr="00160CAD">
        <w:rPr>
          <w:b/>
          <w:sz w:val="24"/>
          <w:szCs w:val="24"/>
        </w:rPr>
        <w:tab/>
      </w:r>
      <w:r w:rsidRPr="00160CAD">
        <w:rPr>
          <w:b/>
          <w:sz w:val="24"/>
          <w:szCs w:val="24"/>
        </w:rPr>
        <w:tab/>
      </w:r>
      <w:r w:rsidRPr="00160CAD">
        <w:rPr>
          <w:b/>
          <w:sz w:val="24"/>
          <w:szCs w:val="24"/>
          <w:u w:val="single"/>
        </w:rPr>
        <w:t>Filed</w:t>
      </w:r>
      <w:r w:rsidRPr="00160CAD">
        <w:rPr>
          <w:b/>
          <w:sz w:val="24"/>
          <w:szCs w:val="24"/>
        </w:rPr>
        <w:tab/>
      </w:r>
      <w:r w:rsidRPr="00160CAD">
        <w:rPr>
          <w:b/>
          <w:sz w:val="24"/>
          <w:szCs w:val="24"/>
        </w:rPr>
        <w:tab/>
        <w:t xml:space="preserve">      </w:t>
      </w:r>
      <w:r w:rsidRPr="00160CAD">
        <w:rPr>
          <w:b/>
          <w:sz w:val="24"/>
          <w:szCs w:val="24"/>
          <w:u w:val="single"/>
        </w:rPr>
        <w:t>Filing</w:t>
      </w:r>
      <w:r w:rsidRPr="00160CAD">
        <w:rPr>
          <w:b/>
          <w:sz w:val="24"/>
          <w:szCs w:val="24"/>
        </w:rPr>
        <w:tab/>
      </w:r>
      <w:r w:rsidRPr="00160CAD">
        <w:rPr>
          <w:b/>
          <w:sz w:val="24"/>
          <w:szCs w:val="24"/>
        </w:rPr>
        <w:tab/>
        <w:t xml:space="preserve">       </w:t>
      </w:r>
      <w:r w:rsidRPr="00160CAD">
        <w:rPr>
          <w:b/>
          <w:sz w:val="24"/>
          <w:szCs w:val="24"/>
          <w:u w:val="single"/>
        </w:rPr>
        <w:t>per hour</w:t>
      </w:r>
      <w:r w:rsidRPr="00160CAD">
        <w:rPr>
          <w:b/>
          <w:sz w:val="24"/>
          <w:szCs w:val="24"/>
        </w:rPr>
        <w:tab/>
        <w:t xml:space="preserve">     </w:t>
      </w:r>
      <w:r w:rsidRPr="00160CAD">
        <w:rPr>
          <w:b/>
          <w:sz w:val="24"/>
          <w:szCs w:val="24"/>
          <w:u w:val="single"/>
        </w:rPr>
        <w:t>Cost per filing</w:t>
      </w:r>
    </w:p>
    <w:p w:rsidR="006D2649" w:rsidRPr="00160CAD" w:rsidRDefault="006D2649" w:rsidP="006D2649">
      <w:pPr>
        <w:suppressAutoHyphens/>
        <w:rPr>
          <w:sz w:val="24"/>
          <w:szCs w:val="24"/>
        </w:rPr>
      </w:pPr>
      <w:r w:rsidRPr="00160CAD">
        <w:rPr>
          <w:sz w:val="24"/>
          <w:szCs w:val="24"/>
        </w:rPr>
        <w:t>FCC Attorneys:</w:t>
      </w:r>
      <w:r w:rsidRPr="00160CAD">
        <w:rPr>
          <w:sz w:val="24"/>
          <w:szCs w:val="24"/>
        </w:rPr>
        <w:tab/>
        <w:t xml:space="preserve">20 </w:t>
      </w:r>
      <w:r w:rsidRPr="00160CAD">
        <w:rPr>
          <w:sz w:val="24"/>
          <w:szCs w:val="24"/>
        </w:rPr>
        <w:tab/>
        <w:t>x</w:t>
      </w:r>
      <w:r w:rsidRPr="00160CAD">
        <w:rPr>
          <w:sz w:val="24"/>
          <w:szCs w:val="24"/>
        </w:rPr>
        <w:tab/>
        <w:t xml:space="preserve">   8</w:t>
      </w:r>
      <w:r w:rsidR="00CB2ED3" w:rsidRPr="00160CAD">
        <w:rPr>
          <w:sz w:val="24"/>
          <w:szCs w:val="24"/>
        </w:rPr>
        <w:t>0</w:t>
      </w:r>
      <w:r w:rsidR="00C52277" w:rsidRPr="00160CAD">
        <w:rPr>
          <w:sz w:val="24"/>
          <w:szCs w:val="24"/>
        </w:rPr>
        <w:t xml:space="preserve"> hours       x</w:t>
      </w:r>
      <w:r w:rsidR="00C52277" w:rsidRPr="00160CAD">
        <w:rPr>
          <w:sz w:val="24"/>
          <w:szCs w:val="24"/>
        </w:rPr>
        <w:tab/>
        <w:t xml:space="preserve">       $68.56</w:t>
      </w:r>
      <w:r w:rsidRPr="00160CAD">
        <w:rPr>
          <w:sz w:val="24"/>
          <w:szCs w:val="24"/>
        </w:rPr>
        <w:tab/>
        <w:t>=    $</w:t>
      </w:r>
      <w:r w:rsidR="00C52277" w:rsidRPr="00160CAD">
        <w:rPr>
          <w:sz w:val="24"/>
          <w:szCs w:val="24"/>
        </w:rPr>
        <w:t>2,193,920.00</w:t>
      </w:r>
    </w:p>
    <w:p w:rsidR="006D2649" w:rsidRPr="00160CAD" w:rsidRDefault="006D2649" w:rsidP="006D2649">
      <w:pPr>
        <w:suppressAutoHyphens/>
        <w:rPr>
          <w:sz w:val="24"/>
          <w:szCs w:val="24"/>
        </w:rPr>
      </w:pPr>
      <w:r w:rsidRPr="00160CAD">
        <w:rPr>
          <w:sz w:val="24"/>
          <w:szCs w:val="24"/>
        </w:rPr>
        <w:tab/>
      </w:r>
      <w:r w:rsidRPr="00160CAD">
        <w:rPr>
          <w:sz w:val="24"/>
          <w:szCs w:val="24"/>
        </w:rPr>
        <w:tab/>
      </w:r>
      <w:r w:rsidRPr="00160CAD">
        <w:rPr>
          <w:sz w:val="24"/>
          <w:szCs w:val="24"/>
        </w:rPr>
        <w:tab/>
      </w:r>
      <w:r w:rsidRPr="00160CAD">
        <w:rPr>
          <w:sz w:val="24"/>
          <w:szCs w:val="24"/>
        </w:rPr>
        <w:tab/>
      </w:r>
      <w:r w:rsidRPr="00160CAD">
        <w:rPr>
          <w:sz w:val="24"/>
          <w:szCs w:val="24"/>
        </w:rPr>
        <w:tab/>
        <w:t>(20x</w:t>
      </w:r>
      <w:r w:rsidR="00CB2ED3" w:rsidRPr="00160CAD">
        <w:rPr>
          <w:sz w:val="24"/>
          <w:szCs w:val="24"/>
        </w:rPr>
        <w:t>80=1,</w:t>
      </w:r>
      <w:r w:rsidRPr="00160CAD">
        <w:rPr>
          <w:sz w:val="24"/>
          <w:szCs w:val="24"/>
        </w:rPr>
        <w:t>6</w:t>
      </w:r>
      <w:r w:rsidR="00CB2ED3" w:rsidRPr="00160CAD">
        <w:rPr>
          <w:sz w:val="24"/>
          <w:szCs w:val="24"/>
        </w:rPr>
        <w:t>0</w:t>
      </w:r>
      <w:r w:rsidRPr="00160CAD">
        <w:rPr>
          <w:sz w:val="24"/>
          <w:szCs w:val="24"/>
        </w:rPr>
        <w:t>0 hours)</w:t>
      </w:r>
    </w:p>
    <w:p w:rsidR="006D2649" w:rsidRPr="00160CAD" w:rsidRDefault="006D2649" w:rsidP="006D2649">
      <w:pPr>
        <w:suppressAutoHyphens/>
        <w:rPr>
          <w:sz w:val="24"/>
          <w:szCs w:val="24"/>
        </w:rPr>
      </w:pPr>
    </w:p>
    <w:p w:rsidR="006D2649" w:rsidRPr="00160CAD" w:rsidRDefault="006D2649" w:rsidP="006D2649">
      <w:pPr>
        <w:suppressAutoHyphens/>
        <w:rPr>
          <w:sz w:val="24"/>
          <w:szCs w:val="24"/>
        </w:rPr>
      </w:pPr>
      <w:r w:rsidRPr="00160CAD">
        <w:rPr>
          <w:sz w:val="24"/>
          <w:szCs w:val="24"/>
        </w:rPr>
        <w:t>FCC Clerical:</w:t>
      </w:r>
      <w:r w:rsidRPr="00160CAD">
        <w:rPr>
          <w:sz w:val="24"/>
          <w:szCs w:val="24"/>
        </w:rPr>
        <w:tab/>
      </w:r>
      <w:r w:rsidRPr="00160CAD">
        <w:rPr>
          <w:sz w:val="24"/>
          <w:szCs w:val="24"/>
        </w:rPr>
        <w:tab/>
        <w:t>20</w:t>
      </w:r>
      <w:r w:rsidRPr="00160CAD">
        <w:rPr>
          <w:sz w:val="24"/>
          <w:szCs w:val="24"/>
        </w:rPr>
        <w:tab/>
        <w:t>x</w:t>
      </w:r>
      <w:r w:rsidRPr="00160CAD">
        <w:rPr>
          <w:sz w:val="24"/>
          <w:szCs w:val="24"/>
        </w:rPr>
        <w:tab/>
        <w:t xml:space="preserve">   </w:t>
      </w:r>
      <w:r w:rsidR="00CB2ED3" w:rsidRPr="00160CAD">
        <w:rPr>
          <w:sz w:val="24"/>
          <w:szCs w:val="24"/>
        </w:rPr>
        <w:t>5</w:t>
      </w:r>
      <w:r w:rsidRPr="00160CAD">
        <w:rPr>
          <w:sz w:val="24"/>
          <w:szCs w:val="24"/>
        </w:rPr>
        <w:t xml:space="preserve"> hours         x</w:t>
      </w:r>
      <w:r w:rsidRPr="00160CAD">
        <w:rPr>
          <w:sz w:val="24"/>
          <w:szCs w:val="24"/>
        </w:rPr>
        <w:tab/>
        <w:t xml:space="preserve">        $</w:t>
      </w:r>
      <w:r w:rsidR="00C52277" w:rsidRPr="00160CAD">
        <w:rPr>
          <w:sz w:val="24"/>
          <w:szCs w:val="24"/>
        </w:rPr>
        <w:t>28.60</w:t>
      </w:r>
      <w:r w:rsidRPr="00160CAD">
        <w:rPr>
          <w:sz w:val="24"/>
          <w:szCs w:val="24"/>
        </w:rPr>
        <w:tab/>
        <w:t>=    $</w:t>
      </w:r>
      <w:r w:rsidR="00C52277" w:rsidRPr="00160CAD">
        <w:rPr>
          <w:sz w:val="24"/>
          <w:szCs w:val="24"/>
        </w:rPr>
        <w:t>57,200.00</w:t>
      </w:r>
    </w:p>
    <w:p w:rsidR="006D2649" w:rsidRPr="00160CAD" w:rsidRDefault="006D2649" w:rsidP="006D2649">
      <w:pPr>
        <w:suppressAutoHyphens/>
        <w:rPr>
          <w:sz w:val="24"/>
          <w:szCs w:val="24"/>
        </w:rPr>
      </w:pPr>
      <w:r w:rsidRPr="00160CAD">
        <w:rPr>
          <w:sz w:val="24"/>
          <w:szCs w:val="24"/>
        </w:rPr>
        <w:tab/>
      </w:r>
      <w:r w:rsidRPr="00160CAD">
        <w:rPr>
          <w:sz w:val="24"/>
          <w:szCs w:val="24"/>
        </w:rPr>
        <w:tab/>
      </w:r>
      <w:r w:rsidRPr="00160CAD">
        <w:rPr>
          <w:sz w:val="24"/>
          <w:szCs w:val="24"/>
        </w:rPr>
        <w:tab/>
      </w:r>
      <w:r w:rsidRPr="00160CAD">
        <w:rPr>
          <w:sz w:val="24"/>
          <w:szCs w:val="24"/>
        </w:rPr>
        <w:tab/>
      </w:r>
      <w:r w:rsidRPr="00160CAD">
        <w:rPr>
          <w:sz w:val="24"/>
          <w:szCs w:val="24"/>
        </w:rPr>
        <w:tab/>
        <w:t>(20x</w:t>
      </w:r>
      <w:r w:rsidR="00C311BA" w:rsidRPr="00160CAD">
        <w:rPr>
          <w:sz w:val="24"/>
          <w:szCs w:val="24"/>
        </w:rPr>
        <w:t>5</w:t>
      </w:r>
      <w:r w:rsidRPr="00160CAD">
        <w:rPr>
          <w:sz w:val="24"/>
          <w:szCs w:val="24"/>
        </w:rPr>
        <w:t>=</w:t>
      </w:r>
      <w:r w:rsidR="00C311BA" w:rsidRPr="00160CAD">
        <w:rPr>
          <w:sz w:val="24"/>
          <w:szCs w:val="24"/>
        </w:rPr>
        <w:t>10</w:t>
      </w:r>
      <w:r w:rsidRPr="00160CAD">
        <w:rPr>
          <w:sz w:val="24"/>
          <w:szCs w:val="24"/>
        </w:rPr>
        <w:t>0 hours)</w:t>
      </w:r>
    </w:p>
    <w:p w:rsidR="006D2649" w:rsidRPr="00160CAD" w:rsidRDefault="006D2649" w:rsidP="006D2649">
      <w:pPr>
        <w:suppressAutoHyphens/>
        <w:rPr>
          <w:sz w:val="24"/>
          <w:szCs w:val="24"/>
        </w:rPr>
      </w:pPr>
      <w:r w:rsidRPr="00160CAD">
        <w:rPr>
          <w:sz w:val="24"/>
          <w:szCs w:val="24"/>
          <w:u w:val="single"/>
        </w:rPr>
        <w:t xml:space="preserve">                   </w:t>
      </w:r>
      <w:r w:rsidRPr="00160CAD">
        <w:rPr>
          <w:sz w:val="24"/>
          <w:szCs w:val="24"/>
          <w:u w:val="single"/>
        </w:rPr>
        <w:tab/>
      </w:r>
      <w:r w:rsidRPr="00160CAD">
        <w:rPr>
          <w:sz w:val="24"/>
          <w:szCs w:val="24"/>
          <w:u w:val="single"/>
        </w:rPr>
        <w:tab/>
      </w:r>
      <w:r w:rsidRPr="00160CAD">
        <w:rPr>
          <w:sz w:val="24"/>
          <w:szCs w:val="24"/>
          <w:u w:val="single"/>
        </w:rPr>
        <w:tab/>
      </w:r>
      <w:r w:rsidRPr="00160CAD">
        <w:rPr>
          <w:sz w:val="24"/>
          <w:szCs w:val="24"/>
          <w:u w:val="single"/>
        </w:rPr>
        <w:tab/>
      </w:r>
      <w:r w:rsidRPr="00160CAD">
        <w:rPr>
          <w:sz w:val="24"/>
          <w:szCs w:val="24"/>
          <w:u w:val="single"/>
        </w:rPr>
        <w:tab/>
      </w:r>
      <w:r w:rsidRPr="00160CAD">
        <w:rPr>
          <w:sz w:val="24"/>
          <w:szCs w:val="24"/>
          <w:u w:val="single"/>
        </w:rPr>
        <w:tab/>
      </w:r>
      <w:r w:rsidRPr="00160CAD">
        <w:rPr>
          <w:sz w:val="24"/>
          <w:szCs w:val="24"/>
          <w:u w:val="single"/>
        </w:rPr>
        <w:tab/>
      </w:r>
      <w:r w:rsidRPr="00160CAD">
        <w:rPr>
          <w:sz w:val="24"/>
          <w:szCs w:val="24"/>
          <w:u w:val="single"/>
        </w:rPr>
        <w:tab/>
      </w:r>
      <w:r w:rsidRPr="00160CAD">
        <w:rPr>
          <w:sz w:val="24"/>
          <w:szCs w:val="24"/>
          <w:u w:val="single"/>
        </w:rPr>
        <w:tab/>
      </w:r>
      <w:r w:rsidRPr="00160CAD">
        <w:rPr>
          <w:sz w:val="24"/>
          <w:szCs w:val="24"/>
          <w:u w:val="single"/>
        </w:rPr>
        <w:tab/>
      </w:r>
      <w:r w:rsidRPr="00160CAD">
        <w:rPr>
          <w:sz w:val="24"/>
          <w:szCs w:val="24"/>
          <w:u w:val="single"/>
        </w:rPr>
        <w:tab/>
      </w:r>
      <w:r w:rsidRPr="00160CAD">
        <w:rPr>
          <w:sz w:val="24"/>
          <w:szCs w:val="24"/>
          <w:u w:val="single"/>
        </w:rPr>
        <w:tab/>
      </w:r>
      <w:r w:rsidRPr="00160CAD">
        <w:rPr>
          <w:sz w:val="24"/>
          <w:szCs w:val="24"/>
        </w:rPr>
        <w:t xml:space="preserve"> </w:t>
      </w:r>
    </w:p>
    <w:p w:rsidR="006D2649" w:rsidRPr="00423C65" w:rsidRDefault="006D2649" w:rsidP="006D2649">
      <w:pPr>
        <w:pStyle w:val="EndnoteText"/>
        <w:rPr>
          <w:b/>
          <w:sz w:val="24"/>
          <w:szCs w:val="24"/>
        </w:rPr>
      </w:pPr>
      <w:r w:rsidRPr="00160CAD">
        <w:rPr>
          <w:b/>
          <w:sz w:val="24"/>
          <w:szCs w:val="24"/>
        </w:rPr>
        <w:t>Total Cost to the Federal Government</w:t>
      </w:r>
      <w:r w:rsidRPr="00160CAD">
        <w:rPr>
          <w:b/>
          <w:sz w:val="24"/>
          <w:szCs w:val="24"/>
        </w:rPr>
        <w:tab/>
      </w:r>
      <w:r w:rsidRPr="00160CAD">
        <w:rPr>
          <w:b/>
          <w:sz w:val="24"/>
          <w:szCs w:val="24"/>
        </w:rPr>
        <w:tab/>
      </w:r>
      <w:r w:rsidRPr="00160CAD">
        <w:rPr>
          <w:b/>
          <w:sz w:val="24"/>
          <w:szCs w:val="24"/>
        </w:rPr>
        <w:tab/>
      </w:r>
      <w:r w:rsidRPr="00160CAD">
        <w:rPr>
          <w:b/>
          <w:sz w:val="24"/>
          <w:szCs w:val="24"/>
        </w:rPr>
        <w:tab/>
      </w:r>
      <w:r w:rsidRPr="00160CAD">
        <w:rPr>
          <w:b/>
          <w:sz w:val="24"/>
          <w:szCs w:val="24"/>
        </w:rPr>
        <w:tab/>
        <w:t xml:space="preserve">       $</w:t>
      </w:r>
      <w:r w:rsidR="00C52277" w:rsidRPr="00160CAD">
        <w:rPr>
          <w:b/>
          <w:sz w:val="24"/>
          <w:szCs w:val="24"/>
        </w:rPr>
        <w:t>2,251,120.00</w:t>
      </w:r>
    </w:p>
    <w:bookmarkEnd w:id="1"/>
    <w:bookmarkEnd w:id="2"/>
    <w:p w:rsidR="006D2649" w:rsidRDefault="006D2649">
      <w:pPr>
        <w:suppressAutoHyphens/>
        <w:rPr>
          <w:sz w:val="24"/>
          <w:szCs w:val="24"/>
        </w:rPr>
      </w:pPr>
    </w:p>
    <w:p w:rsidR="00386C0C" w:rsidRDefault="00386C0C">
      <w:pPr>
        <w:widowControl/>
        <w:rPr>
          <w:sz w:val="24"/>
          <w:szCs w:val="24"/>
          <w:highlight w:val="green"/>
        </w:rPr>
      </w:pPr>
      <w:r>
        <w:rPr>
          <w:sz w:val="24"/>
          <w:szCs w:val="24"/>
          <w:highlight w:val="green"/>
        </w:rPr>
        <w:br w:type="page"/>
      </w:r>
    </w:p>
    <w:p w:rsidR="006F02F3" w:rsidRPr="00F21623" w:rsidRDefault="003252C0" w:rsidP="006F02F3">
      <w:pPr>
        <w:suppressAutoHyphens/>
        <w:jc w:val="both"/>
        <w:rPr>
          <w:sz w:val="24"/>
          <w:szCs w:val="24"/>
        </w:rPr>
      </w:pPr>
      <w:r w:rsidRPr="00F21623">
        <w:rPr>
          <w:sz w:val="24"/>
          <w:szCs w:val="24"/>
        </w:rPr>
        <w:lastRenderedPageBreak/>
        <w:t>15.</w:t>
      </w:r>
      <w:r w:rsidR="008A5941" w:rsidRPr="00F21623">
        <w:rPr>
          <w:sz w:val="24"/>
          <w:szCs w:val="24"/>
        </w:rPr>
        <w:t xml:space="preserve"> </w:t>
      </w:r>
      <w:r w:rsidR="006F02F3" w:rsidRPr="00F21623">
        <w:rPr>
          <w:sz w:val="24"/>
          <w:szCs w:val="24"/>
        </w:rPr>
        <w:t xml:space="preserve">There are </w:t>
      </w:r>
      <w:r w:rsidR="00534F37" w:rsidRPr="00F21623">
        <w:rPr>
          <w:sz w:val="24"/>
          <w:szCs w:val="24"/>
        </w:rPr>
        <w:t>proposed</w:t>
      </w:r>
      <w:r w:rsidR="006F02F3" w:rsidRPr="00F21623">
        <w:rPr>
          <w:sz w:val="24"/>
          <w:szCs w:val="24"/>
        </w:rPr>
        <w:t xml:space="preserve"> program changes</w:t>
      </w:r>
      <w:r w:rsidR="00C331CE" w:rsidRPr="00F21623">
        <w:rPr>
          <w:sz w:val="24"/>
          <w:szCs w:val="24"/>
        </w:rPr>
        <w:t xml:space="preserve"> to this collection</w:t>
      </w:r>
      <w:r w:rsidR="00AA7CB1" w:rsidRPr="00F21623">
        <w:rPr>
          <w:sz w:val="24"/>
          <w:szCs w:val="24"/>
        </w:rPr>
        <w:t xml:space="preserve"> which are due to the proposed information collection requirements adopted in FCC 15-34.  Therefore, if the proposed requirements ar</w:t>
      </w:r>
      <w:r w:rsidR="008E3631" w:rsidRPr="00F21623">
        <w:rPr>
          <w:sz w:val="24"/>
          <w:szCs w:val="24"/>
        </w:rPr>
        <w:t>e adopted in a final rulemaking by the Commission, the</w:t>
      </w:r>
      <w:r w:rsidR="00AA7CB1" w:rsidRPr="00F21623">
        <w:rPr>
          <w:sz w:val="24"/>
          <w:szCs w:val="24"/>
        </w:rPr>
        <w:t xml:space="preserve"> following will occur to OMB’s inventory:  </w:t>
      </w:r>
      <w:r w:rsidR="008E3631" w:rsidRPr="00F21623">
        <w:rPr>
          <w:sz w:val="24"/>
          <w:szCs w:val="24"/>
        </w:rPr>
        <w:t xml:space="preserve">an increase of </w:t>
      </w:r>
      <w:r w:rsidR="00E9350F" w:rsidRPr="00F21623">
        <w:rPr>
          <w:sz w:val="24"/>
          <w:szCs w:val="24"/>
        </w:rPr>
        <w:t>40</w:t>
      </w:r>
      <w:r w:rsidR="008E3631" w:rsidRPr="00F21623">
        <w:rPr>
          <w:sz w:val="24"/>
          <w:szCs w:val="24"/>
        </w:rPr>
        <w:t xml:space="preserve"> to the number of respondents</w:t>
      </w:r>
      <w:r w:rsidR="00E9350F" w:rsidRPr="00F21623">
        <w:rPr>
          <w:sz w:val="24"/>
          <w:szCs w:val="24"/>
        </w:rPr>
        <w:t>, an increase of 50 to the number of responses</w:t>
      </w:r>
      <w:r w:rsidR="008E3631" w:rsidRPr="00F21623">
        <w:rPr>
          <w:sz w:val="24"/>
          <w:szCs w:val="24"/>
        </w:rPr>
        <w:t>, a</w:t>
      </w:r>
      <w:r w:rsidR="00E9350F" w:rsidRPr="00F21623">
        <w:rPr>
          <w:sz w:val="24"/>
          <w:szCs w:val="24"/>
        </w:rPr>
        <w:t xml:space="preserve">n increase </w:t>
      </w:r>
      <w:r w:rsidR="008E3631" w:rsidRPr="00F21623">
        <w:rPr>
          <w:sz w:val="24"/>
          <w:szCs w:val="24"/>
        </w:rPr>
        <w:t xml:space="preserve">of </w:t>
      </w:r>
      <w:r w:rsidR="00E9350F" w:rsidRPr="00F21623">
        <w:rPr>
          <w:sz w:val="24"/>
          <w:szCs w:val="24"/>
        </w:rPr>
        <w:t>488</w:t>
      </w:r>
      <w:r w:rsidR="00160CAD" w:rsidRPr="00F21623">
        <w:rPr>
          <w:sz w:val="24"/>
          <w:szCs w:val="24"/>
        </w:rPr>
        <w:t xml:space="preserve"> </w:t>
      </w:r>
      <w:r w:rsidR="008E3631" w:rsidRPr="00F21623">
        <w:rPr>
          <w:sz w:val="24"/>
          <w:szCs w:val="24"/>
        </w:rPr>
        <w:t>to the annual burden hours and a</w:t>
      </w:r>
      <w:r w:rsidR="00E9350F" w:rsidRPr="00F21623">
        <w:rPr>
          <w:sz w:val="24"/>
          <w:szCs w:val="24"/>
        </w:rPr>
        <w:t>n</w:t>
      </w:r>
      <w:r w:rsidR="00160CAD" w:rsidRPr="00F21623">
        <w:rPr>
          <w:sz w:val="24"/>
          <w:szCs w:val="24"/>
        </w:rPr>
        <w:t xml:space="preserve"> </w:t>
      </w:r>
      <w:r w:rsidR="00E9350F" w:rsidRPr="00F21623">
        <w:rPr>
          <w:sz w:val="24"/>
          <w:szCs w:val="24"/>
        </w:rPr>
        <w:t xml:space="preserve">increase of $638,650.00 </w:t>
      </w:r>
      <w:r w:rsidR="008E3631" w:rsidRPr="00F21623">
        <w:rPr>
          <w:sz w:val="24"/>
          <w:szCs w:val="24"/>
        </w:rPr>
        <w:t xml:space="preserve">to the annual burden cost.  </w:t>
      </w:r>
    </w:p>
    <w:p w:rsidR="005B45A7" w:rsidRPr="00F21623" w:rsidRDefault="005B45A7">
      <w:pPr>
        <w:suppressAutoHyphens/>
        <w:rPr>
          <w:sz w:val="24"/>
          <w:szCs w:val="24"/>
        </w:rPr>
      </w:pPr>
    </w:p>
    <w:p w:rsidR="008E3631" w:rsidRDefault="008E3631">
      <w:pPr>
        <w:suppressAutoHyphens/>
        <w:rPr>
          <w:sz w:val="24"/>
          <w:szCs w:val="24"/>
        </w:rPr>
      </w:pPr>
      <w:r w:rsidRPr="00F21623">
        <w:rPr>
          <w:sz w:val="24"/>
          <w:szCs w:val="24"/>
        </w:rPr>
        <w:t>There are adjustments to this collection</w:t>
      </w:r>
      <w:r w:rsidR="00E9350F" w:rsidRPr="00F21623">
        <w:rPr>
          <w:sz w:val="24"/>
          <w:szCs w:val="24"/>
        </w:rPr>
        <w:t xml:space="preserve"> which are due to the Commission reevaluating the existing burdens for this collection.  Therefore, the adjustments are as follows:  </w:t>
      </w:r>
      <w:r w:rsidR="00160CAD" w:rsidRPr="00F21623">
        <w:rPr>
          <w:sz w:val="24"/>
          <w:szCs w:val="24"/>
        </w:rPr>
        <w:t>a decrease to the number of respondents of 35, a decrease to the number of responses of 25, a decrease to the annual burden hours of 952 and a decrease to the annual cost of $801,350</w:t>
      </w:r>
      <w:r w:rsidR="00727E71" w:rsidRPr="00F21623">
        <w:rPr>
          <w:sz w:val="24"/>
          <w:szCs w:val="24"/>
        </w:rPr>
        <w:t>.00</w:t>
      </w:r>
      <w:r w:rsidRPr="00F21623">
        <w:rPr>
          <w:sz w:val="24"/>
          <w:szCs w:val="24"/>
        </w:rPr>
        <w:t>.</w:t>
      </w:r>
    </w:p>
    <w:p w:rsidR="00386C0C" w:rsidRPr="00423C65" w:rsidRDefault="00386C0C">
      <w:pPr>
        <w:suppressAutoHyphens/>
        <w:rPr>
          <w:sz w:val="24"/>
          <w:szCs w:val="24"/>
        </w:rPr>
      </w:pPr>
    </w:p>
    <w:p w:rsidR="00423C65" w:rsidRPr="00423C65" w:rsidRDefault="00423C65" w:rsidP="00423C65">
      <w:pPr>
        <w:rPr>
          <w:spacing w:val="-3"/>
          <w:sz w:val="24"/>
          <w:szCs w:val="24"/>
        </w:rPr>
      </w:pPr>
      <w:r w:rsidRPr="00423C65">
        <w:rPr>
          <w:spacing w:val="-3"/>
          <w:sz w:val="24"/>
          <w:szCs w:val="24"/>
        </w:rPr>
        <w:t>16.</w:t>
      </w:r>
      <w:r w:rsidR="008A5941">
        <w:rPr>
          <w:spacing w:val="-3"/>
          <w:sz w:val="24"/>
          <w:szCs w:val="24"/>
        </w:rPr>
        <w:t xml:space="preserve"> </w:t>
      </w:r>
      <w:r w:rsidRPr="00423C65">
        <w:rPr>
          <w:spacing w:val="-3"/>
          <w:sz w:val="24"/>
          <w:szCs w:val="24"/>
        </w:rPr>
        <w:t>The data will not be published.</w:t>
      </w:r>
    </w:p>
    <w:p w:rsidR="00423C65" w:rsidRPr="00423C65" w:rsidRDefault="00423C65" w:rsidP="00423C65">
      <w:pPr>
        <w:pStyle w:val="ParaNum"/>
        <w:numPr>
          <w:ilvl w:val="0"/>
          <w:numId w:val="0"/>
        </w:numPr>
        <w:tabs>
          <w:tab w:val="left" w:pos="360"/>
        </w:tabs>
        <w:rPr>
          <w:sz w:val="24"/>
          <w:szCs w:val="24"/>
        </w:rPr>
      </w:pPr>
    </w:p>
    <w:p w:rsidR="00423C65" w:rsidRPr="00423C65" w:rsidRDefault="00423C65" w:rsidP="00423C65">
      <w:pPr>
        <w:rPr>
          <w:spacing w:val="-3"/>
          <w:sz w:val="24"/>
          <w:szCs w:val="24"/>
        </w:rPr>
      </w:pPr>
      <w:r w:rsidRPr="00423C65">
        <w:rPr>
          <w:spacing w:val="-3"/>
          <w:sz w:val="24"/>
          <w:szCs w:val="24"/>
        </w:rPr>
        <w:t>17.</w:t>
      </w:r>
      <w:r w:rsidR="008A5941">
        <w:rPr>
          <w:spacing w:val="-3"/>
          <w:sz w:val="24"/>
          <w:szCs w:val="24"/>
        </w:rPr>
        <w:t xml:space="preserve"> </w:t>
      </w:r>
      <w:r w:rsidRPr="00423C65">
        <w:rPr>
          <w:spacing w:val="-3"/>
          <w:sz w:val="24"/>
          <w:szCs w:val="24"/>
        </w:rPr>
        <w:t>OMB approval of the expiration of the information collection will be displayed at 47 C.F.R. § 0.408.</w:t>
      </w:r>
    </w:p>
    <w:p w:rsidR="00612230" w:rsidRPr="00423C65" w:rsidRDefault="00612230">
      <w:pPr>
        <w:suppressAutoHyphens/>
        <w:rPr>
          <w:sz w:val="24"/>
          <w:szCs w:val="24"/>
        </w:rPr>
      </w:pPr>
    </w:p>
    <w:p w:rsidR="005B45A7" w:rsidRPr="00423C65" w:rsidRDefault="003252C0">
      <w:pPr>
        <w:suppressAutoHyphens/>
        <w:rPr>
          <w:sz w:val="24"/>
          <w:szCs w:val="24"/>
        </w:rPr>
      </w:pPr>
      <w:r>
        <w:rPr>
          <w:sz w:val="24"/>
          <w:szCs w:val="24"/>
        </w:rPr>
        <w:t>18.</w:t>
      </w:r>
      <w:r w:rsidR="008A5941">
        <w:rPr>
          <w:sz w:val="24"/>
          <w:szCs w:val="24"/>
        </w:rPr>
        <w:t xml:space="preserve"> </w:t>
      </w:r>
      <w:r w:rsidR="00ED71DC" w:rsidRPr="00423C65">
        <w:rPr>
          <w:sz w:val="24"/>
          <w:szCs w:val="24"/>
        </w:rPr>
        <w:t>Th</w:t>
      </w:r>
      <w:r w:rsidR="00813306" w:rsidRPr="00423C65">
        <w:rPr>
          <w:sz w:val="24"/>
          <w:szCs w:val="24"/>
        </w:rPr>
        <w:t>ere are no</w:t>
      </w:r>
      <w:r w:rsidR="00ED71DC" w:rsidRPr="00423C65">
        <w:rPr>
          <w:sz w:val="24"/>
          <w:szCs w:val="24"/>
        </w:rPr>
        <w:t xml:space="preserve"> e</w:t>
      </w:r>
      <w:r w:rsidR="005B45A7" w:rsidRPr="00423C65">
        <w:rPr>
          <w:sz w:val="24"/>
          <w:szCs w:val="24"/>
        </w:rPr>
        <w:t>xception</w:t>
      </w:r>
      <w:r w:rsidR="00813306" w:rsidRPr="00423C65">
        <w:rPr>
          <w:sz w:val="24"/>
          <w:szCs w:val="24"/>
        </w:rPr>
        <w:t>s</w:t>
      </w:r>
      <w:r w:rsidR="005B45A7" w:rsidRPr="00423C65">
        <w:rPr>
          <w:sz w:val="24"/>
          <w:szCs w:val="24"/>
        </w:rPr>
        <w:t xml:space="preserve"> </w:t>
      </w:r>
      <w:r w:rsidR="00ED71DC" w:rsidRPr="00423C65">
        <w:rPr>
          <w:sz w:val="24"/>
          <w:szCs w:val="24"/>
        </w:rPr>
        <w:t>to the Certification Statement</w:t>
      </w:r>
      <w:r w:rsidR="00510918" w:rsidRPr="00423C65">
        <w:rPr>
          <w:sz w:val="24"/>
          <w:szCs w:val="24"/>
        </w:rPr>
        <w:t>.</w:t>
      </w:r>
    </w:p>
    <w:p w:rsidR="005B45A7" w:rsidRPr="00423C65" w:rsidRDefault="005B45A7">
      <w:pPr>
        <w:suppressAutoHyphens/>
        <w:rPr>
          <w:sz w:val="24"/>
          <w:szCs w:val="24"/>
        </w:rPr>
      </w:pPr>
    </w:p>
    <w:p w:rsidR="005B45A7" w:rsidRPr="00423C65" w:rsidRDefault="00F22350">
      <w:pPr>
        <w:suppressAutoHyphens/>
        <w:rPr>
          <w:sz w:val="24"/>
          <w:szCs w:val="24"/>
        </w:rPr>
      </w:pPr>
      <w:r>
        <w:rPr>
          <w:b/>
          <w:sz w:val="24"/>
          <w:szCs w:val="24"/>
        </w:rPr>
        <w:t>B.</w:t>
      </w:r>
      <w:r>
        <w:rPr>
          <w:b/>
          <w:sz w:val="24"/>
          <w:szCs w:val="24"/>
        </w:rPr>
        <w:tab/>
      </w:r>
      <w:r w:rsidR="005B45A7" w:rsidRPr="00423C65">
        <w:rPr>
          <w:b/>
          <w:sz w:val="24"/>
          <w:szCs w:val="24"/>
        </w:rPr>
        <w:t>Collections of Information Employing Statistical Methods</w:t>
      </w:r>
    </w:p>
    <w:p w:rsidR="003335CD" w:rsidRPr="00423C65" w:rsidRDefault="003335CD">
      <w:pPr>
        <w:suppressAutoHyphens/>
        <w:rPr>
          <w:sz w:val="24"/>
          <w:szCs w:val="24"/>
        </w:rPr>
      </w:pPr>
    </w:p>
    <w:p w:rsidR="005B45A7" w:rsidRPr="00423C65" w:rsidRDefault="005B45A7">
      <w:pPr>
        <w:suppressAutoHyphens/>
        <w:rPr>
          <w:sz w:val="24"/>
          <w:szCs w:val="24"/>
        </w:rPr>
      </w:pPr>
      <w:r w:rsidRPr="00423C65">
        <w:rPr>
          <w:sz w:val="24"/>
          <w:szCs w:val="24"/>
        </w:rPr>
        <w:t>No statistical methods are employed.</w:t>
      </w:r>
    </w:p>
    <w:sectPr w:rsidR="005B45A7" w:rsidRPr="00423C65">
      <w:headerReference w:type="default" r:id="rId9"/>
      <w:footerReference w:type="default" r:id="rId10"/>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171E" w:rsidRDefault="002D171E">
      <w:pPr>
        <w:spacing w:line="20" w:lineRule="exact"/>
        <w:rPr>
          <w:sz w:val="24"/>
        </w:rPr>
      </w:pPr>
    </w:p>
  </w:endnote>
  <w:endnote w:type="continuationSeparator" w:id="0">
    <w:p w:rsidR="002D171E" w:rsidRDefault="002D171E">
      <w:r>
        <w:rPr>
          <w:sz w:val="24"/>
        </w:rPr>
        <w:t xml:space="preserve"> </w:t>
      </w:r>
    </w:p>
  </w:endnote>
  <w:endnote w:type="continuationNotice" w:id="1">
    <w:p w:rsidR="002D171E" w:rsidRDefault="002D171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Line Draw">
    <w:altName w:val="Courier New"/>
    <w:panose1 w:val="00000000000000000000"/>
    <w:charset w:val="00"/>
    <w:family w:val="moder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lbertus Medium">
    <w:panose1 w:val="00000000000000000000"/>
    <w:charset w:val="00"/>
    <w:family w:val="swiss"/>
    <w:notTrueType/>
    <w:pitch w:val="variable"/>
    <w:sig w:usb0="00000003" w:usb1="00000000" w:usb2="00000000" w:usb3="00000000" w:csb0="00000001" w:csb1="00000000"/>
  </w:font>
  <w:font w:name="Albertus Extra Bold">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5D04" w:rsidRDefault="00DD5D04">
    <w:pPr>
      <w:spacing w:before="140" w:line="100" w:lineRule="exact"/>
      <w:rPr>
        <w:sz w:val="10"/>
      </w:rPr>
    </w:pPr>
  </w:p>
  <w:p w:rsidR="00DD5D04" w:rsidRDefault="00DD5D04">
    <w:pPr>
      <w:suppressAutoHyphens/>
      <w:rPr>
        <w:sz w:val="24"/>
      </w:rPr>
    </w:pPr>
  </w:p>
  <w:p w:rsidR="00DD5D04" w:rsidRDefault="008A517D">
    <w:r>
      <w:rPr>
        <w:noProof/>
        <w:snapToGrid/>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DD5D04" w:rsidRPr="00771E34" w:rsidRDefault="00DD5D04">
                          <w:pPr>
                            <w:tabs>
                              <w:tab w:val="center" w:pos="4680"/>
                              <w:tab w:val="right" w:pos="9360"/>
                            </w:tabs>
                            <w:rPr>
                              <w:spacing w:val="-3"/>
                            </w:rPr>
                          </w:pPr>
                          <w:r>
                            <w:rPr>
                              <w:sz w:val="24"/>
                            </w:rPr>
                            <w:tab/>
                          </w:r>
                          <w:r w:rsidRPr="00771E34">
                            <w:rPr>
                              <w:spacing w:val="-3"/>
                            </w:rPr>
                            <w:fldChar w:fldCharType="begin"/>
                          </w:r>
                          <w:r w:rsidRPr="00771E34">
                            <w:rPr>
                              <w:spacing w:val="-3"/>
                            </w:rPr>
                            <w:instrText>page \* arabic</w:instrText>
                          </w:r>
                          <w:r w:rsidRPr="00771E34">
                            <w:rPr>
                              <w:spacing w:val="-3"/>
                            </w:rPr>
                            <w:fldChar w:fldCharType="separate"/>
                          </w:r>
                          <w:r w:rsidR="003B705D">
                            <w:rPr>
                              <w:noProof/>
                              <w:spacing w:val="-3"/>
                            </w:rPr>
                            <w:t>1</w:t>
                          </w:r>
                          <w:r w:rsidRPr="00771E34">
                            <w:rPr>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bCG3QIAAF4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" o:allowincell="f" filled="f" stroked="f" strokeweight="0">
              <v:textbox inset="0,0,0,0">
                <w:txbxContent>
                  <w:p w:rsidR="00DD5D04" w:rsidRPr="00771E34" w:rsidRDefault="00DD5D04">
                    <w:pPr>
                      <w:tabs>
                        <w:tab w:val="center" w:pos="4680"/>
                        <w:tab w:val="right" w:pos="9360"/>
                      </w:tabs>
                      <w:rPr>
                        <w:spacing w:val="-3"/>
                      </w:rPr>
                    </w:pPr>
                    <w:r>
                      <w:rPr>
                        <w:sz w:val="24"/>
                      </w:rPr>
                      <w:tab/>
                    </w:r>
                    <w:r w:rsidRPr="00771E34">
                      <w:rPr>
                        <w:spacing w:val="-3"/>
                      </w:rPr>
                      <w:fldChar w:fldCharType="begin"/>
                    </w:r>
                    <w:r w:rsidRPr="00771E34">
                      <w:rPr>
                        <w:spacing w:val="-3"/>
                      </w:rPr>
                      <w:instrText>page \* arabic</w:instrText>
                    </w:r>
                    <w:r w:rsidRPr="00771E34">
                      <w:rPr>
                        <w:spacing w:val="-3"/>
                      </w:rPr>
                      <w:fldChar w:fldCharType="separate"/>
                    </w:r>
                    <w:r w:rsidR="003B705D">
                      <w:rPr>
                        <w:noProof/>
                        <w:spacing w:val="-3"/>
                      </w:rPr>
                      <w:t>1</w:t>
                    </w:r>
                    <w:r w:rsidRPr="00771E34">
                      <w:rPr>
                        <w:spacing w:val="-3"/>
                      </w:rPr>
                      <w:fldChar w:fldCharType="end"/>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171E" w:rsidRDefault="002D171E">
      <w:r>
        <w:rPr>
          <w:sz w:val="24"/>
        </w:rPr>
        <w:separator/>
      </w:r>
    </w:p>
  </w:footnote>
  <w:footnote w:type="continuationSeparator" w:id="0">
    <w:p w:rsidR="002D171E" w:rsidRDefault="002D171E">
      <w:r>
        <w:continuationSeparator/>
      </w:r>
    </w:p>
  </w:footnote>
  <w:footnote w:id="1">
    <w:p w:rsidR="007D79CC" w:rsidRDefault="007D79CC">
      <w:pPr>
        <w:pStyle w:val="FootnoteText"/>
      </w:pPr>
      <w:r w:rsidRPr="00160CAD">
        <w:rPr>
          <w:rStyle w:val="FootnoteReference"/>
        </w:rPr>
        <w:footnoteRef/>
      </w:r>
      <w:r w:rsidRPr="00160CAD">
        <w:t xml:space="preserve"> In addition to the proposed increase in burden estimates resulting from the proposed expansion of this collection to cover satellite market modification petitions and responsive pleadings, we also intend to make reductions to the existing burden estimates with respect to cable market modification petitions and responsive pleadings, based on FCC staff experience with such pleadings.</w:t>
      </w:r>
    </w:p>
  </w:footnote>
  <w:footnote w:id="2">
    <w:p w:rsidR="000B50DD" w:rsidRPr="001C69BD" w:rsidRDefault="000B50DD" w:rsidP="000B50DD">
      <w:pPr>
        <w:pStyle w:val="FootnoteText"/>
      </w:pPr>
      <w:r w:rsidRPr="001C69BD">
        <w:rPr>
          <w:rStyle w:val="FootnoteReference"/>
          <w:vertAlign w:val="baseline"/>
        </w:rPr>
        <w:footnoteRef/>
      </w:r>
      <w:r w:rsidRPr="001C69BD">
        <w:t xml:space="preserve"> </w:t>
      </w:r>
      <w:r w:rsidRPr="001C69BD">
        <w:rPr>
          <w:i/>
        </w:rPr>
        <w:t>See Amendment to the Commission’s Rules Concerning Market Modification; Implementation of Section 102 of the STELA Reauthorization Act of 2014</w:t>
      </w:r>
      <w:r>
        <w:t xml:space="preserve">, </w:t>
      </w:r>
      <w:r w:rsidRPr="001C69BD">
        <w:t>MB Docket No. 15-</w:t>
      </w:r>
      <w:r w:rsidR="00ED4C22">
        <w:t>71</w:t>
      </w:r>
      <w:r>
        <w:t xml:space="preserve">, </w:t>
      </w:r>
      <w:r w:rsidRPr="001C69BD">
        <w:t>Notice of Proposed Rulemaking</w:t>
      </w:r>
      <w:r>
        <w:t xml:space="preserve">, </w:t>
      </w:r>
      <w:r w:rsidRPr="001C69BD">
        <w:t>FCC 15-</w:t>
      </w:r>
      <w:r w:rsidR="00ED4C22">
        <w:t>34</w:t>
      </w:r>
      <w:r>
        <w:t xml:space="preserve"> (rel. Mar. 27, 2015).</w:t>
      </w:r>
    </w:p>
  </w:footnote>
  <w:footnote w:id="3">
    <w:p w:rsidR="000B50DD" w:rsidRPr="00D07F64" w:rsidRDefault="000B50DD" w:rsidP="000B50DD">
      <w:pPr>
        <w:pStyle w:val="FootnoteText"/>
      </w:pPr>
      <w:r w:rsidRPr="00D07F64">
        <w:footnoteRef/>
      </w:r>
      <w:r w:rsidRPr="00D07F64">
        <w:t xml:space="preserve"> The STELA Reauthorization Act of 2014 (STELAR), §§ 102, Pub. L. No. 113-200, 128 Stat. 2059, 2060-62 (2014) (codified at 47 U.S.C. § 338(l)).  The STELAR was enacted on December 4, 2014 (H. R. 5728, 113th Cong.). </w:t>
      </w:r>
    </w:p>
  </w:footnote>
  <w:footnote w:id="4">
    <w:p w:rsidR="00805EA4" w:rsidRPr="009068C2" w:rsidRDefault="00805EA4">
      <w:pPr>
        <w:pStyle w:val="FootnoteText"/>
      </w:pPr>
      <w:r w:rsidRPr="009068C2">
        <w:footnoteRef/>
      </w:r>
      <w:r w:rsidRPr="009068C2">
        <w:t xml:space="preserve"> </w:t>
      </w:r>
      <w:r w:rsidR="009068C2">
        <w:t xml:space="preserve">This existing collection covers the information collection requirements for </w:t>
      </w:r>
    </w:p>
  </w:footnote>
  <w:footnote w:id="5">
    <w:p w:rsidR="00FC5711" w:rsidRDefault="00FC5711" w:rsidP="00FC5711">
      <w:pPr>
        <w:pStyle w:val="FootnoteText"/>
      </w:pPr>
      <w:r>
        <w:rPr>
          <w:rStyle w:val="FootnoteReference"/>
        </w:rPr>
        <w:footnoteRef/>
      </w:r>
      <w:r>
        <w:t xml:space="preserve"> </w:t>
      </w:r>
      <w:r w:rsidRPr="00240F46">
        <w:rPr>
          <w:i/>
        </w:rPr>
        <w:t>See</w:t>
      </w:r>
      <w:r>
        <w:t xml:space="preserve"> 47 U.S.C. §§ 338(l),</w:t>
      </w:r>
      <w:r w:rsidRPr="00505386">
        <w:t xml:space="preserve"> 534(h)(1)(C</w:t>
      </w:r>
      <w:r>
        <w:t>).</w:t>
      </w:r>
    </w:p>
  </w:footnote>
  <w:footnote w:id="6">
    <w:p w:rsidR="00FC5711" w:rsidRDefault="00FC5711" w:rsidP="00FC5711">
      <w:pPr>
        <w:pStyle w:val="FootnoteText"/>
      </w:pPr>
      <w:r>
        <w:rPr>
          <w:rStyle w:val="FootnoteReference"/>
        </w:rPr>
        <w:footnoteRef/>
      </w:r>
      <w:r>
        <w:t xml:space="preserve"> </w:t>
      </w:r>
      <w:r w:rsidRPr="00ED5765">
        <w:rPr>
          <w:i/>
        </w:rPr>
        <w:t>See</w:t>
      </w:r>
      <w:r w:rsidRPr="00505386">
        <w:t xml:space="preserve"> </w:t>
      </w:r>
      <w:r w:rsidRPr="00B556A8">
        <w:rPr>
          <w:i/>
        </w:rPr>
        <w:t>supra</w:t>
      </w:r>
      <w:r>
        <w:t xml:space="preserve"> note 3 (citing </w:t>
      </w:r>
      <w:r w:rsidRPr="00505386">
        <w:t>47 U.S.C. § 534(h)(1)(C</w:t>
      </w:r>
      <w:r>
        <w:t xml:space="preserve">); 47 C.F.R. </w:t>
      </w:r>
      <w:r w:rsidRPr="00505386">
        <w:t>§</w:t>
      </w:r>
      <w:r>
        <w:t xml:space="preserve"> 76.59).</w:t>
      </w:r>
    </w:p>
  </w:footnote>
  <w:footnote w:id="7">
    <w:p w:rsidR="00FC5711" w:rsidRPr="00B879E2" w:rsidRDefault="00FC5711" w:rsidP="00FC5711">
      <w:pPr>
        <w:pStyle w:val="FootnoteText"/>
      </w:pPr>
      <w:r>
        <w:rPr>
          <w:rStyle w:val="FootnoteReference"/>
        </w:rPr>
        <w:footnoteRef/>
      </w:r>
      <w:r>
        <w:t xml:space="preserve"> </w:t>
      </w:r>
      <w:r w:rsidRPr="008B2C63">
        <w:rPr>
          <w:i/>
        </w:rPr>
        <w:t xml:space="preserve">See </w:t>
      </w:r>
      <w:r w:rsidRPr="002D2BC0">
        <w:rPr>
          <w:i/>
        </w:rPr>
        <w:t>In-State Broadcast Programming: Report to Congress Pursuant to Section 304 of the Satellite Television Extension and Localism Act of 2010</w:t>
      </w:r>
      <w:r w:rsidRPr="002D2BC0">
        <w:t>, MB Docket No. 10-238, Report, 26 FCC Rcd 11919</w:t>
      </w:r>
      <w:r>
        <w:t xml:space="preserve">, </w:t>
      </w:r>
      <w:r w:rsidRPr="009C522D">
        <w:t>11949</w:t>
      </w:r>
      <w:r>
        <w:t>-50,</w:t>
      </w:r>
      <w:r w:rsidRPr="009C522D">
        <w:t xml:space="preserve"> </w:t>
      </w:r>
      <w:r w:rsidRPr="009D6931">
        <w:t xml:space="preserve">¶ </w:t>
      </w:r>
      <w:r>
        <w:t>55-59</w:t>
      </w:r>
      <w:r w:rsidRPr="002D2BC0">
        <w:t xml:space="preserve"> (MB 2011) (</w:t>
      </w:r>
      <w:r>
        <w:t>“</w:t>
      </w:r>
      <w:r w:rsidRPr="007C073E">
        <w:rPr>
          <w:i/>
        </w:rPr>
        <w:t>In-State Programming Report</w:t>
      </w:r>
      <w:r w:rsidRPr="007C073E">
        <w:t>”</w:t>
      </w:r>
      <w:r w:rsidRPr="002D2BC0">
        <w:t>)</w:t>
      </w:r>
      <w:r>
        <w:t xml:space="preserve"> (stating that “</w:t>
      </w:r>
      <w:r w:rsidRPr="009C522D">
        <w:t>market modifications could potentially address special situations in underserved areas and facilitate greater access to local information</w:t>
      </w:r>
      <w:r>
        <w:t xml:space="preserve">”).  </w:t>
      </w:r>
      <w:r w:rsidRPr="008B2C63">
        <w:rPr>
          <w:i/>
        </w:rPr>
        <w:t>See</w:t>
      </w:r>
      <w:r>
        <w:rPr>
          <w:i/>
        </w:rPr>
        <w:t xml:space="preserve"> also</w:t>
      </w:r>
      <w:r w:rsidRPr="008B2C63">
        <w:rPr>
          <w:i/>
        </w:rPr>
        <w:t xml:space="preserve"> </w:t>
      </w:r>
      <w:r w:rsidRPr="002D2BC0">
        <w:rPr>
          <w:i/>
        </w:rPr>
        <w:t>Broadcast Localism</w:t>
      </w:r>
      <w:r w:rsidRPr="009D6931">
        <w:t>, MB Docket No. 04-233, Report on Broadcast Localism and Notice of Proposed Rulemaking, 23 FCC Rcd 1324, 13</w:t>
      </w:r>
      <w:r>
        <w:t>46</w:t>
      </w:r>
      <w:r w:rsidRPr="009D6931">
        <w:t>, ¶ 4</w:t>
      </w:r>
      <w:r>
        <w:t>9-50</w:t>
      </w:r>
      <w:r w:rsidRPr="009D6931">
        <w:t xml:space="preserve"> (2008) (</w:t>
      </w:r>
      <w:r>
        <w:t>“</w:t>
      </w:r>
      <w:r w:rsidRPr="00797E26">
        <w:rPr>
          <w:i/>
        </w:rPr>
        <w:t>Broadcast Localism Report</w:t>
      </w:r>
      <w:r>
        <w:t>”</w:t>
      </w:r>
      <w:r w:rsidRPr="009D6931">
        <w:t>)</w:t>
      </w:r>
      <w:r>
        <w:t>.</w:t>
      </w:r>
    </w:p>
  </w:footnote>
  <w:footnote w:id="8">
    <w:p w:rsidR="00FC5711" w:rsidRDefault="00FC5711" w:rsidP="00FC5711">
      <w:pPr>
        <w:pStyle w:val="FootnoteText"/>
      </w:pPr>
      <w:r>
        <w:rPr>
          <w:rStyle w:val="FootnoteReference"/>
        </w:rPr>
        <w:footnoteRef/>
      </w:r>
      <w:r>
        <w:t xml:space="preserve"> 47 U.S.C. §§ 338(l)(1), </w:t>
      </w:r>
      <w:r w:rsidRPr="00505386">
        <w:t>534(h)(1)(C</w:t>
      </w:r>
      <w:r>
        <w:t>).</w:t>
      </w:r>
    </w:p>
  </w:footnote>
  <w:footnote w:id="9">
    <w:p w:rsidR="00FC5711" w:rsidRDefault="00FC5711" w:rsidP="00FC5711">
      <w:pPr>
        <w:pStyle w:val="FootnoteText"/>
      </w:pPr>
      <w:r>
        <w:rPr>
          <w:rStyle w:val="FootnoteReference"/>
        </w:rPr>
        <w:footnoteRef/>
      </w:r>
      <w:r>
        <w:t xml:space="preserve"> </w:t>
      </w:r>
      <w:r w:rsidRPr="0094332F">
        <w:rPr>
          <w:i/>
        </w:rPr>
        <w:t>Id</w:t>
      </w:r>
      <w:r>
        <w:t>. § 338(l)(2)(A).</w:t>
      </w:r>
    </w:p>
  </w:footnote>
  <w:footnote w:id="10">
    <w:p w:rsidR="00FC5711" w:rsidRDefault="00FC5711" w:rsidP="00FC5711">
      <w:pPr>
        <w:pStyle w:val="FootnoteText"/>
      </w:pPr>
      <w:r>
        <w:rPr>
          <w:rStyle w:val="FootnoteReference"/>
        </w:rPr>
        <w:footnoteRef/>
      </w:r>
      <w:r>
        <w:t xml:space="preserve"> Section 204 of the STELAR amends the local statutory copyright license in 17 </w:t>
      </w:r>
      <w:r w:rsidRPr="00505386">
        <w:t>U.S.C. §</w:t>
      </w:r>
      <w:r>
        <w:t xml:space="preserve"> 122 so that </w:t>
      </w:r>
      <w:r w:rsidRPr="00764104">
        <w:t>when the Commission modifies a station</w:t>
      </w:r>
      <w:r>
        <w:t>’</w:t>
      </w:r>
      <w:r w:rsidRPr="00764104">
        <w:t xml:space="preserve">s market for purposes of </w:t>
      </w:r>
      <w:r>
        <w:t>satellite</w:t>
      </w:r>
      <w:r w:rsidRPr="00764104">
        <w:t xml:space="preserve"> carriage rights, the station is considered local and is covered by </w:t>
      </w:r>
      <w:r>
        <w:t xml:space="preserve">the local statutory copyright license.  </w:t>
      </w:r>
      <w:r w:rsidRPr="002054BB">
        <w:rPr>
          <w:i/>
        </w:rPr>
        <w:t>See</w:t>
      </w:r>
      <w:r>
        <w:t xml:space="preserve"> 17 U.S.C. § 122(j)(2)(E) (as amended by STELAR § 204); 47 U.S.C. § 338.  </w:t>
      </w:r>
      <w:r w:rsidRPr="009808A9">
        <w:rPr>
          <w:i/>
        </w:rPr>
        <w:t>See also</w:t>
      </w:r>
      <w:r>
        <w:t xml:space="preserve"> 17 U.S.C. § 111(f)(4) (defining </w:t>
      </w:r>
      <w:r w:rsidRPr="006C7BBC">
        <w:t>“local servic</w:t>
      </w:r>
      <w:r>
        <w:t>e area of a primary transmitter</w:t>
      </w:r>
      <w:r w:rsidRPr="006C7BBC">
        <w:t>”</w:t>
      </w:r>
      <w:r>
        <w:t xml:space="preserve"> </w:t>
      </w:r>
      <w:r w:rsidRPr="006C7BBC">
        <w:t xml:space="preserve">for </w:t>
      </w:r>
      <w:r>
        <w:t xml:space="preserve">cable carriage </w:t>
      </w:r>
      <w:r w:rsidRPr="006C7BBC">
        <w:t>copyright purposes</w:t>
      </w:r>
      <w:r>
        <w:t>); 47 U.S.C. § 534</w:t>
      </w:r>
      <w:r w:rsidRPr="00733382">
        <w:t>(h)(1)(C)</w:t>
      </w:r>
      <w:r>
        <w:t>.</w:t>
      </w:r>
    </w:p>
  </w:footnote>
  <w:footnote w:id="11">
    <w:p w:rsidR="00FC5711" w:rsidRDefault="00FC5711" w:rsidP="00FC5711">
      <w:pPr>
        <w:pStyle w:val="FootnoteText"/>
      </w:pPr>
      <w:r>
        <w:rPr>
          <w:rStyle w:val="FootnoteReference"/>
        </w:rPr>
        <w:footnoteRef/>
      </w:r>
      <w:r>
        <w:t xml:space="preserve"> </w:t>
      </w:r>
      <w:r w:rsidRPr="00133F6E">
        <w:rPr>
          <w:i/>
        </w:rPr>
        <w:t>See id</w:t>
      </w:r>
      <w:r>
        <w:t>.</w:t>
      </w:r>
    </w:p>
  </w:footnote>
  <w:footnote w:id="12">
    <w:p w:rsidR="002C0BDF" w:rsidRDefault="002C0BDF" w:rsidP="002C0BDF">
      <w:pPr>
        <w:pStyle w:val="FootnoteText"/>
      </w:pPr>
      <w:r>
        <w:rPr>
          <w:rStyle w:val="FootnoteReference"/>
        </w:rPr>
        <w:footnoteRef/>
      </w:r>
      <w:r>
        <w:t xml:space="preserve"> </w:t>
      </w:r>
      <w:r w:rsidRPr="00EC29F8">
        <w:rPr>
          <w:i/>
        </w:rPr>
        <w:t>See</w:t>
      </w:r>
      <w:r>
        <w:t xml:space="preserve"> NPRM ¶ 8.</w:t>
      </w:r>
    </w:p>
  </w:footnote>
  <w:footnote w:id="13">
    <w:p w:rsidR="002C0BDF" w:rsidRDefault="002C0BDF" w:rsidP="002C0BDF">
      <w:pPr>
        <w:pStyle w:val="FootnoteText"/>
      </w:pPr>
      <w:r>
        <w:rPr>
          <w:rStyle w:val="FootnoteReference"/>
        </w:rPr>
        <w:footnoteRef/>
      </w:r>
      <w:r>
        <w:t xml:space="preserve"> </w:t>
      </w:r>
      <w:r w:rsidRPr="00EC29F8">
        <w:rPr>
          <w:i/>
        </w:rPr>
        <w:t>See</w:t>
      </w:r>
      <w:r>
        <w:t xml:space="preserve"> NPRM ¶ 10.  Broadcasters and satellite carriers that want to oppose </w:t>
      </w:r>
      <w:r w:rsidRPr="003F075C">
        <w:t>market modification requests</w:t>
      </w:r>
      <w:r>
        <w:t xml:space="preserve"> would need to file responsive pleadings in accordance with 47 C.F.R. § 76.7.</w:t>
      </w:r>
    </w:p>
  </w:footnote>
  <w:footnote w:id="14">
    <w:p w:rsidR="002C0BDF" w:rsidRDefault="002C0BDF" w:rsidP="002C0BDF">
      <w:pPr>
        <w:pStyle w:val="FootnoteText"/>
      </w:pPr>
      <w:r>
        <w:rPr>
          <w:rStyle w:val="FootnoteReference"/>
        </w:rPr>
        <w:footnoteRef/>
      </w:r>
      <w:r>
        <w:t xml:space="preserve"> </w:t>
      </w:r>
      <w:r w:rsidRPr="00EC29F8">
        <w:rPr>
          <w:i/>
        </w:rPr>
        <w:t>See</w:t>
      </w:r>
      <w:r>
        <w:t xml:space="preserve"> NPRM ¶¶ 12-13.</w:t>
      </w:r>
    </w:p>
  </w:footnote>
  <w:footnote w:id="15">
    <w:p w:rsidR="002C0BDF" w:rsidRDefault="002C0BDF" w:rsidP="002C0BDF">
      <w:pPr>
        <w:pStyle w:val="FootnoteText"/>
      </w:pPr>
      <w:r>
        <w:rPr>
          <w:rStyle w:val="FootnoteReference"/>
        </w:rPr>
        <w:footnoteRef/>
      </w:r>
      <w:r>
        <w:t xml:space="preserve"> </w:t>
      </w:r>
      <w:r w:rsidRPr="00EC29F8">
        <w:rPr>
          <w:i/>
        </w:rPr>
        <w:t>See</w:t>
      </w:r>
      <w:r>
        <w:t xml:space="preserve"> NPRM ¶ 19-20.</w:t>
      </w:r>
    </w:p>
  </w:footnote>
  <w:footnote w:id="16">
    <w:p w:rsidR="00611A2B" w:rsidRDefault="00611A2B">
      <w:pPr>
        <w:pStyle w:val="FootnoteText"/>
      </w:pPr>
      <w:r>
        <w:rPr>
          <w:rStyle w:val="FootnoteReference"/>
        </w:rPr>
        <w:footnoteRef/>
      </w:r>
      <w:r>
        <w:t xml:space="preserve"> </w:t>
      </w:r>
      <w:r w:rsidRPr="00EA1917">
        <w:rPr>
          <w:i/>
        </w:rPr>
        <w:t>Implementation of the Cable Television Consumer Protection and Competition Act of 1992, Broadcast Signal Carriage Issues</w:t>
      </w:r>
      <w:r w:rsidRPr="000066F5">
        <w:t xml:space="preserve">, </w:t>
      </w:r>
      <w:r w:rsidRPr="00EA1917">
        <w:t xml:space="preserve">MM Docket No. 92-259, Report and Order, </w:t>
      </w:r>
      <w:r w:rsidRPr="000066F5">
        <w:t>8 FCC Rcd 2965 (1993)</w:t>
      </w:r>
      <w:r>
        <w:t>.</w:t>
      </w:r>
    </w:p>
  </w:footnote>
  <w:footnote w:id="17">
    <w:p w:rsidR="00594BF0" w:rsidRDefault="00594BF0">
      <w:pPr>
        <w:pStyle w:val="FootnoteText"/>
      </w:pPr>
      <w:r>
        <w:rPr>
          <w:rStyle w:val="FootnoteReference"/>
        </w:rPr>
        <w:footnoteRef/>
      </w:r>
      <w:r>
        <w:t xml:space="preserve"> </w:t>
      </w:r>
      <w:r w:rsidR="000405A2" w:rsidRPr="000405A2">
        <w:rPr>
          <w:i/>
        </w:rPr>
        <w:t>Definition Of Markets For Purposes Of The Cable Television Mandatory Television Broadcast Signal Carriage Rules; Implementation of Section 301(d) of the Telecommunications Act of 1996, Market Determinations</w:t>
      </w:r>
      <w:r w:rsidR="000405A2" w:rsidRPr="000405A2">
        <w:t>; CS Docket No. 95-178, Report and Order and Further Notice of Proposed Rulemaking 11 FCC Rcd 6201 (1996)</w:t>
      </w:r>
      <w:r w:rsidR="000405A2">
        <w:t>.</w:t>
      </w:r>
    </w:p>
  </w:footnote>
  <w:footnote w:id="18">
    <w:p w:rsidR="00BF0630" w:rsidRDefault="00BF0630">
      <w:pPr>
        <w:pStyle w:val="FootnoteText"/>
      </w:pPr>
      <w:r>
        <w:rPr>
          <w:rStyle w:val="FootnoteReference"/>
        </w:rPr>
        <w:footnoteRef/>
      </w:r>
      <w:r>
        <w:t xml:space="preserve"> </w:t>
      </w:r>
      <w:r w:rsidRPr="00940FCF">
        <w:rPr>
          <w:i/>
        </w:rPr>
        <w:t>Definition of Markets for Purposes of the Cable Television Broadcast Signal Carriage Rules</w:t>
      </w:r>
      <w:r w:rsidRPr="00DE1464">
        <w:t xml:space="preserve">, </w:t>
      </w:r>
      <w:r w:rsidRPr="00940FCF">
        <w:t>CS Docket No. 95-178</w:t>
      </w:r>
      <w:r>
        <w:t xml:space="preserve">, </w:t>
      </w:r>
      <w:r w:rsidRPr="00940FCF">
        <w:t>Order on Reconsideration and Second Report and Order</w:t>
      </w:r>
      <w:r>
        <w:t>,</w:t>
      </w:r>
      <w:r w:rsidRPr="00940FCF">
        <w:t xml:space="preserve"> </w:t>
      </w:r>
      <w:r w:rsidRPr="00DE1464">
        <w:t>14 FCC Rcd 8366</w:t>
      </w:r>
      <w:r>
        <w:t>, 8385-86, ¶ 44</w:t>
      </w:r>
      <w:r w:rsidRPr="00DE1464">
        <w:t xml:space="preserve"> (1999)</w:t>
      </w:r>
      <w:r>
        <w:t>.</w:t>
      </w:r>
    </w:p>
  </w:footnote>
  <w:footnote w:id="19">
    <w:p w:rsidR="00E2767A" w:rsidRDefault="00E2767A">
      <w:pPr>
        <w:pStyle w:val="FootnoteText"/>
      </w:pPr>
      <w:r>
        <w:rPr>
          <w:rStyle w:val="FootnoteReference"/>
        </w:rPr>
        <w:footnoteRef/>
      </w:r>
      <w:r>
        <w:t xml:space="preserve"> </w:t>
      </w:r>
      <w:r w:rsidRPr="00EB7F0A">
        <w:rPr>
          <w:i/>
        </w:rPr>
        <w:t>See Media Bureau Announces Commencement of Mandatory Electronic Filing for Cable Special Relief Petitions and Cable Show Cause Petitions Via the Electronic Comment Filing System</w:t>
      </w:r>
      <w:r w:rsidRPr="00EB7F0A">
        <w:t>, Public Notice, 26 FCC Rcd 17150 (MB 2011).</w:t>
      </w:r>
      <w:r>
        <w:t xml:space="preserve">  </w:t>
      </w:r>
    </w:p>
  </w:footnote>
  <w:footnote w:id="20">
    <w:p w:rsidR="0074529E" w:rsidRDefault="0074529E" w:rsidP="0074529E">
      <w:pPr>
        <w:pStyle w:val="FootnoteText"/>
      </w:pPr>
      <w:r>
        <w:rPr>
          <w:rStyle w:val="FootnoteReference"/>
        </w:rPr>
        <w:footnoteRef/>
      </w:r>
      <w:r>
        <w:t xml:space="preserve"> </w:t>
      </w:r>
      <w:r w:rsidR="0090007A">
        <w:t xml:space="preserve">This estimate is based </w:t>
      </w:r>
      <w:r w:rsidR="0090007A" w:rsidRPr="0090007A">
        <w:t xml:space="preserve">on </w:t>
      </w:r>
      <w:r w:rsidR="0090007A">
        <w:t xml:space="preserve">the </w:t>
      </w:r>
      <w:r w:rsidR="0090007A" w:rsidRPr="0090007A">
        <w:t>addition of satellite market mod</w:t>
      </w:r>
      <w:r w:rsidR="0090007A">
        <w:t xml:space="preserve">ification petitions </w:t>
      </w:r>
      <w:r w:rsidR="0090007A" w:rsidRPr="0090007A">
        <w:t xml:space="preserve">and </w:t>
      </w:r>
      <w:r>
        <w:t xml:space="preserve">on staff experience with receiving </w:t>
      </w:r>
      <w:r w:rsidR="0090007A">
        <w:t xml:space="preserve">cable </w:t>
      </w:r>
      <w:r>
        <w:t>market modification petitions</w:t>
      </w:r>
      <w:r w:rsidR="0090007A">
        <w:t>.</w:t>
      </w:r>
      <w:r w:rsidR="00734C1A">
        <w:t xml:space="preserve">  This estimate includes a downward adjustment from 15 to 10 cable petitions, and then a proposed program change from 10 to 20 to reflect the </w:t>
      </w:r>
      <w:r w:rsidR="00734C1A" w:rsidRPr="0090007A">
        <w:t>addition of satellite market mod</w:t>
      </w:r>
      <w:r w:rsidR="00734C1A">
        <w:t>ification petitions.</w:t>
      </w:r>
    </w:p>
  </w:footnote>
  <w:footnote w:id="21">
    <w:p w:rsidR="00C71498" w:rsidRDefault="00C71498">
      <w:pPr>
        <w:pStyle w:val="FootnoteText"/>
      </w:pPr>
      <w:r>
        <w:rPr>
          <w:rStyle w:val="FootnoteReference"/>
        </w:rPr>
        <w:footnoteRef/>
      </w:r>
      <w:r>
        <w:t xml:space="preserve"> This estimate assumes the petitioner will file two pleadings and that three other interested parties will file comments/oppositions per petition</w:t>
      </w:r>
      <w:r w:rsidR="0063296E">
        <w:t>/proceeding</w:t>
      </w:r>
      <w:r>
        <w:t xml:space="preserve"> (4 different parties x 20 petitions</w:t>
      </w:r>
      <w:r w:rsidR="00577F94">
        <w:t>/proceedings</w:t>
      </w:r>
      <w:r>
        <w:t xml:space="preserve">). </w:t>
      </w:r>
      <w:r w:rsidR="0063296E">
        <w:t xml:space="preserve"> This estimate includes a downward adjustment from 75 to 40 respondents in the cable context, and then a proposed program change from 40 to 80 to reflect the </w:t>
      </w:r>
      <w:r w:rsidR="0063296E" w:rsidRPr="0090007A">
        <w:t xml:space="preserve">addition of </w:t>
      </w:r>
      <w:r w:rsidR="0063296E">
        <w:t xml:space="preserve">respondents in the </w:t>
      </w:r>
      <w:r w:rsidR="0063296E" w:rsidRPr="0090007A">
        <w:t xml:space="preserve">satellite </w:t>
      </w:r>
      <w:r w:rsidR="0063296E">
        <w:t>context.</w:t>
      </w:r>
    </w:p>
  </w:footnote>
  <w:footnote w:id="22">
    <w:p w:rsidR="00C71498" w:rsidRDefault="00C71498" w:rsidP="00C71498">
      <w:pPr>
        <w:pStyle w:val="FootnoteText"/>
      </w:pPr>
      <w:r>
        <w:rPr>
          <w:rStyle w:val="FootnoteReference"/>
        </w:rPr>
        <w:footnoteRef/>
      </w:r>
      <w:r>
        <w:t xml:space="preserve"> This includes comments or oppositions to petitions, as well as replies to comments/oppositions by the original petitioner.</w:t>
      </w:r>
      <w:r w:rsidR="0063296E">
        <w:t xml:space="preserve">  This estimate includes a downward adjustment from 75 to 50 responses in the cable context, and then a proposed program change from 50 to 100 to reflect the </w:t>
      </w:r>
      <w:r w:rsidR="0063296E" w:rsidRPr="0090007A">
        <w:t xml:space="preserve">addition of </w:t>
      </w:r>
      <w:r w:rsidR="0063296E">
        <w:t xml:space="preserve">responses in the </w:t>
      </w:r>
      <w:r w:rsidR="0063296E" w:rsidRPr="0090007A">
        <w:t xml:space="preserve">satellite </w:t>
      </w:r>
      <w:r w:rsidR="0063296E">
        <w:t>context.</w:t>
      </w:r>
    </w:p>
  </w:footnote>
  <w:footnote w:id="23">
    <w:p w:rsidR="0090007A" w:rsidRPr="004857E0" w:rsidRDefault="0090007A" w:rsidP="0090007A">
      <w:pPr>
        <w:pStyle w:val="FootnoteText"/>
      </w:pPr>
      <w:r w:rsidRPr="004857E0">
        <w:rPr>
          <w:rStyle w:val="FootnoteReference"/>
        </w:rPr>
        <w:footnoteRef/>
      </w:r>
      <w:r w:rsidRPr="004857E0">
        <w:t xml:space="preserve"> The estimated time for outside attorney review of a </w:t>
      </w:r>
      <w:r w:rsidRPr="0090007A">
        <w:t>market mod</w:t>
      </w:r>
      <w:r>
        <w:t xml:space="preserve">ification petition </w:t>
      </w:r>
      <w:r w:rsidRPr="004857E0">
        <w:t>is provided in item 13’s cost to respondents.</w:t>
      </w:r>
    </w:p>
  </w:footnote>
  <w:footnote w:id="24">
    <w:p w:rsidR="00072510" w:rsidRDefault="00072510">
      <w:pPr>
        <w:pStyle w:val="FootnoteText"/>
      </w:pPr>
      <w:r w:rsidRPr="00160CAD">
        <w:rPr>
          <w:rStyle w:val="FootnoteReference"/>
        </w:rPr>
        <w:footnoteRef/>
      </w:r>
      <w:r w:rsidRPr="00160CAD">
        <w:t xml:space="preserve"> This adjustment from 80 hours to </w:t>
      </w:r>
      <w:r w:rsidR="00FA39DC" w:rsidRPr="00160CAD">
        <w:t>4</w:t>
      </w:r>
      <w:r w:rsidRPr="00160CAD">
        <w:t xml:space="preserve">0 hours </w:t>
      </w:r>
      <w:r w:rsidR="00BE275B" w:rsidRPr="00160CAD">
        <w:t xml:space="preserve">to prepare a pleading </w:t>
      </w:r>
      <w:r w:rsidRPr="00160CAD">
        <w:t>reflects that a responsive pleading (</w:t>
      </w:r>
      <w:r w:rsidRPr="00160CAD">
        <w:rPr>
          <w:i/>
        </w:rPr>
        <w:t>e.g.</w:t>
      </w:r>
      <w:r w:rsidRPr="00160CAD">
        <w:t>, comment, opposition, reply) will take substantially less time to prepare than the market modification petition initiating the proceeding.</w:t>
      </w:r>
      <w:r w:rsidR="00193706" w:rsidRPr="00160CAD">
        <w:t xml:space="preserve">  This change accounts for much of the downward adjustment.</w:t>
      </w:r>
      <w:r w:rsidR="00193706">
        <w:t xml:space="preserve"> </w:t>
      </w:r>
    </w:p>
  </w:footnote>
  <w:footnote w:id="25">
    <w:p w:rsidR="000E1D2F" w:rsidRPr="004857E0" w:rsidRDefault="000E1D2F" w:rsidP="000E1D2F">
      <w:pPr>
        <w:pStyle w:val="FootnoteText"/>
      </w:pPr>
      <w:r w:rsidRPr="004857E0">
        <w:rPr>
          <w:rStyle w:val="FootnoteReference"/>
        </w:rPr>
        <w:footnoteRef/>
      </w:r>
      <w:r w:rsidRPr="004857E0">
        <w:t xml:space="preserve"> The estimated time for outside attorney review of a </w:t>
      </w:r>
      <w:r w:rsidRPr="0090007A">
        <w:t>market mod</w:t>
      </w:r>
      <w:r>
        <w:t xml:space="preserve">ification petition </w:t>
      </w:r>
      <w:r w:rsidRPr="004857E0">
        <w:t>is provided in item 13’s cost to respondents.</w:t>
      </w:r>
    </w:p>
  </w:footnote>
  <w:footnote w:id="26">
    <w:p w:rsidR="00900603" w:rsidRDefault="00900603">
      <w:pPr>
        <w:pStyle w:val="FootnoteText"/>
      </w:pPr>
      <w:r>
        <w:rPr>
          <w:rStyle w:val="FootnoteReference"/>
        </w:rPr>
        <w:footnoteRef/>
      </w:r>
      <w:r>
        <w:t xml:space="preserve"> </w:t>
      </w:r>
      <w:r w:rsidRPr="00900603">
        <w:t xml:space="preserve">(20% of </w:t>
      </w:r>
      <w:r w:rsidR="00FA39DC" w:rsidRPr="00FA39DC">
        <w:t>80 responsive pleadings</w:t>
      </w:r>
      <w:r w:rsidRPr="00900603">
        <w:t>)</w:t>
      </w:r>
    </w:p>
  </w:footnote>
  <w:footnote w:id="27">
    <w:p w:rsidR="00900603" w:rsidRDefault="00900603" w:rsidP="00900603">
      <w:pPr>
        <w:pStyle w:val="FootnoteText"/>
      </w:pPr>
      <w:r>
        <w:rPr>
          <w:rStyle w:val="FootnoteReference"/>
        </w:rPr>
        <w:footnoteRef/>
      </w:r>
      <w:r>
        <w:t xml:space="preserve"> </w:t>
      </w:r>
      <w:r w:rsidRPr="00900603">
        <w:t>(</w:t>
      </w:r>
      <w:r>
        <w:t>80</w:t>
      </w:r>
      <w:r w:rsidRPr="00900603">
        <w:t xml:space="preserve">% of </w:t>
      </w:r>
      <w:r w:rsidR="00FA39DC" w:rsidRPr="00FA39DC">
        <w:t>80 responsive pleadings</w:t>
      </w:r>
      <w:r w:rsidRPr="00900603">
        <w:t>)</w:t>
      </w:r>
    </w:p>
  </w:footnote>
  <w:footnote w:id="28">
    <w:p w:rsidR="00BE275B" w:rsidRDefault="00BE275B">
      <w:pPr>
        <w:pStyle w:val="FootnoteText"/>
      </w:pPr>
      <w:r>
        <w:rPr>
          <w:rStyle w:val="FootnoteReference"/>
        </w:rPr>
        <w:footnoteRef/>
      </w:r>
      <w:r>
        <w:t xml:space="preserve"> This estimate includes a downward adjustment from total burden hours of 1,440 hours to 488 hours in the cable context, and then a proposed program change from 488 hours to 976 hours to reflect the </w:t>
      </w:r>
      <w:r w:rsidRPr="0090007A">
        <w:t>addition</w:t>
      </w:r>
      <w:r>
        <w:t>al</w:t>
      </w:r>
      <w:r w:rsidRPr="0090007A">
        <w:t xml:space="preserve"> </w:t>
      </w:r>
      <w:r>
        <w:t xml:space="preserve">burden hours to cover </w:t>
      </w:r>
      <w:r w:rsidRPr="0090007A">
        <w:t xml:space="preserve">satellite </w:t>
      </w:r>
      <w:r>
        <w:t>petitions.</w:t>
      </w:r>
    </w:p>
  </w:footnote>
  <w:footnote w:id="29">
    <w:p w:rsidR="00BE275B" w:rsidRDefault="00BE275B">
      <w:pPr>
        <w:pStyle w:val="FootnoteText"/>
      </w:pPr>
      <w:r>
        <w:rPr>
          <w:rStyle w:val="FootnoteReference"/>
        </w:rPr>
        <w:footnoteRef/>
      </w:r>
      <w:r>
        <w:t xml:space="preserve"> This in-house cost</w:t>
      </w:r>
      <w:r w:rsidRPr="0090007A">
        <w:t xml:space="preserve"> </w:t>
      </w:r>
      <w:r>
        <w:t xml:space="preserve">estimate includes a downward adjustment from $69,235.20 to $23,463.04 in the cable context, and then a proposed program change from $23,463.04 to $46,926.08 to reflect the </w:t>
      </w:r>
      <w:r w:rsidRPr="0090007A">
        <w:t>addition</w:t>
      </w:r>
      <w:r>
        <w:t>al in-house cost</w:t>
      </w:r>
      <w:r w:rsidRPr="0090007A">
        <w:t xml:space="preserve"> </w:t>
      </w:r>
      <w:r>
        <w:t xml:space="preserve">to cover </w:t>
      </w:r>
      <w:r w:rsidRPr="0090007A">
        <w:t xml:space="preserve">satellite </w:t>
      </w:r>
      <w:r>
        <w:t>petitions.</w:t>
      </w:r>
    </w:p>
  </w:footnote>
  <w:footnote w:id="30">
    <w:p w:rsidR="00E26E35" w:rsidRDefault="00E26E35">
      <w:pPr>
        <w:pStyle w:val="FootnoteText"/>
      </w:pPr>
      <w:r>
        <w:rPr>
          <w:rStyle w:val="FootnoteReference"/>
        </w:rPr>
        <w:footnoteRef/>
      </w:r>
      <w:r>
        <w:t xml:space="preserve"> </w:t>
      </w:r>
      <w:r w:rsidRPr="00E26E35">
        <w:rPr>
          <w:i/>
        </w:rPr>
        <w:t>See</w:t>
      </w:r>
      <w:r w:rsidRPr="00E26E35">
        <w:t xml:space="preserve"> 47 C.F.R. §§ 1.1104, 1.1117.</w:t>
      </w:r>
    </w:p>
  </w:footnote>
  <w:footnote w:id="31">
    <w:p w:rsidR="009F6442" w:rsidRDefault="009F6442">
      <w:pPr>
        <w:pStyle w:val="FootnoteText"/>
      </w:pPr>
      <w:r>
        <w:rPr>
          <w:rStyle w:val="FootnoteReference"/>
        </w:rPr>
        <w:footnoteRef/>
      </w:r>
      <w:r>
        <w:t xml:space="preserve"> Our burden estimate will include time to review and evaluate the market modification petition and any associated responsive pleadings filed in the market modification proceeding.</w:t>
      </w:r>
    </w:p>
  </w:footnote>
  <w:footnote w:id="32">
    <w:p w:rsidR="009F6442" w:rsidRDefault="009F6442">
      <w:pPr>
        <w:pStyle w:val="FootnoteText"/>
      </w:pPr>
      <w:r>
        <w:rPr>
          <w:rStyle w:val="FootnoteReference"/>
        </w:rPr>
        <w:footnoteRef/>
      </w:r>
      <w:r>
        <w:t xml:space="preserve"> Our increased burden hours estimate (39 to 85 hours) is based on staff experience with receiving cable market modification petitions.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5D04" w:rsidRDefault="00DD5D04" w:rsidP="00AD0AFF">
    <w:pPr>
      <w:suppressAutoHyphens/>
      <w:rPr>
        <w:b/>
        <w:sz w:val="24"/>
      </w:rPr>
    </w:pPr>
    <w:r>
      <w:rPr>
        <w:b/>
        <w:sz w:val="24"/>
      </w:rPr>
      <w:t xml:space="preserve">OMB </w:t>
    </w:r>
    <w:r w:rsidR="00A3617E">
      <w:rPr>
        <w:b/>
        <w:sz w:val="24"/>
      </w:rPr>
      <w:t xml:space="preserve">Control Number:  </w:t>
    </w:r>
    <w:r>
      <w:rPr>
        <w:b/>
        <w:sz w:val="24"/>
      </w:rPr>
      <w:t>3060-0546</w:t>
    </w:r>
    <w:r>
      <w:rPr>
        <w:b/>
        <w:sz w:val="24"/>
      </w:rPr>
      <w:tab/>
    </w:r>
    <w:r>
      <w:rPr>
        <w:b/>
        <w:sz w:val="24"/>
      </w:rPr>
      <w:tab/>
    </w:r>
    <w:r>
      <w:rPr>
        <w:b/>
        <w:sz w:val="24"/>
      </w:rPr>
      <w:tab/>
    </w:r>
    <w:r>
      <w:rPr>
        <w:b/>
        <w:sz w:val="24"/>
      </w:rPr>
      <w:tab/>
    </w:r>
    <w:r>
      <w:rPr>
        <w:b/>
        <w:sz w:val="24"/>
      </w:rPr>
      <w:tab/>
    </w:r>
    <w:r w:rsidR="0059334A">
      <w:rPr>
        <w:b/>
        <w:sz w:val="24"/>
      </w:rPr>
      <w:tab/>
    </w:r>
    <w:r w:rsidR="00881218">
      <w:rPr>
        <w:b/>
        <w:sz w:val="24"/>
      </w:rPr>
      <w:t>April</w:t>
    </w:r>
    <w:r w:rsidR="00612230">
      <w:rPr>
        <w:b/>
        <w:sz w:val="24"/>
      </w:rPr>
      <w:t xml:space="preserve"> 201</w:t>
    </w:r>
    <w:r w:rsidR="0059334A">
      <w:rPr>
        <w:b/>
        <w:sz w:val="24"/>
      </w:rPr>
      <w:t>5</w:t>
    </w:r>
  </w:p>
  <w:p w:rsidR="00DD5D04" w:rsidRPr="00E56846" w:rsidRDefault="00DD5D04" w:rsidP="00AD0AFF">
    <w:pPr>
      <w:suppressAutoHyphens/>
      <w:rPr>
        <w:bCs/>
        <w:sz w:val="24"/>
      </w:rPr>
    </w:pPr>
    <w:r>
      <w:rPr>
        <w:b/>
        <w:bCs/>
        <w:sz w:val="24"/>
      </w:rPr>
      <w:t xml:space="preserve">Title: </w:t>
    </w:r>
    <w:r w:rsidRPr="00E56846">
      <w:rPr>
        <w:bCs/>
        <w:sz w:val="24"/>
      </w:rPr>
      <w:t>Section 76.59</w:t>
    </w:r>
    <w:r w:rsidR="00A3617E">
      <w:rPr>
        <w:bCs/>
        <w:sz w:val="24"/>
      </w:rPr>
      <w:t>,</w:t>
    </w:r>
    <w:r w:rsidRPr="00E56846">
      <w:rPr>
        <w:bCs/>
        <w:sz w:val="24"/>
      </w:rPr>
      <w:t xml:space="preserve"> </w:t>
    </w:r>
    <w:r w:rsidR="00867DA2">
      <w:rPr>
        <w:bCs/>
        <w:sz w:val="24"/>
      </w:rPr>
      <w:t xml:space="preserve">Market </w:t>
    </w:r>
    <w:r w:rsidR="0059334A">
      <w:rPr>
        <w:bCs/>
        <w:sz w:val="24"/>
      </w:rPr>
      <w:t xml:space="preserve">Modification of </w:t>
    </w:r>
    <w:r w:rsidR="00867DA2">
      <w:rPr>
        <w:bCs/>
        <w:sz w:val="24"/>
      </w:rPr>
      <w:t xml:space="preserve">Broadcast </w:t>
    </w:r>
    <w:r w:rsidR="0059334A">
      <w:rPr>
        <w:bCs/>
        <w:sz w:val="24"/>
      </w:rPr>
      <w:t>T</w:t>
    </w:r>
    <w:r w:rsidR="0059334A" w:rsidRPr="0059334A">
      <w:rPr>
        <w:bCs/>
        <w:sz w:val="24"/>
      </w:rPr>
      <w:t xml:space="preserve">elevision </w:t>
    </w:r>
    <w:r w:rsidR="00867DA2">
      <w:rPr>
        <w:bCs/>
        <w:sz w:val="24"/>
      </w:rPr>
      <w:t xml:space="preserve">Stations </w:t>
    </w:r>
    <w:r w:rsidRPr="00E56846">
      <w:rPr>
        <w:bCs/>
        <w:sz w:val="24"/>
      </w:rPr>
      <w:t xml:space="preserve">for Purposes of the Cable </w:t>
    </w:r>
    <w:r w:rsidR="0059334A">
      <w:rPr>
        <w:bCs/>
        <w:sz w:val="24"/>
      </w:rPr>
      <w:t xml:space="preserve">and Satellite </w:t>
    </w:r>
    <w:r w:rsidRPr="00E56846">
      <w:rPr>
        <w:bCs/>
        <w:sz w:val="24"/>
      </w:rPr>
      <w:t>Mandatory Television Broadcast Signal Carriage Rules</w:t>
    </w:r>
  </w:p>
  <w:p w:rsidR="00DD5D04" w:rsidRDefault="00DD5D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4B453C"/>
    <w:multiLevelType w:val="singleLevel"/>
    <w:tmpl w:val="40A8E97A"/>
    <w:lvl w:ilvl="0">
      <w:start w:val="1"/>
      <w:numFmt w:val="decimal"/>
      <w:lvlText w:val="%1."/>
      <w:lvlJc w:val="left"/>
      <w:pPr>
        <w:tabs>
          <w:tab w:val="num" w:pos="1080"/>
        </w:tabs>
        <w:ind w:left="0" w:firstLine="720"/>
      </w:pPr>
    </w:lvl>
  </w:abstractNum>
  <w:abstractNum w:abstractNumId="1">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2">
    <w:nsid w:val="248246F3"/>
    <w:multiLevelType w:val="singleLevel"/>
    <w:tmpl w:val="B1F45678"/>
    <w:lvl w:ilvl="0">
      <w:start w:val="1"/>
      <w:numFmt w:val="decimal"/>
      <w:lvlText w:val="%1."/>
      <w:lvlJc w:val="left"/>
      <w:pPr>
        <w:tabs>
          <w:tab w:val="num" w:pos="1080"/>
        </w:tabs>
        <w:ind w:left="0" w:firstLine="720"/>
      </w:pPr>
    </w:lvl>
  </w:abstractNum>
  <w:abstractNum w:abstractNumId="3">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4">
    <w:nsid w:val="39BF1E45"/>
    <w:multiLevelType w:val="hybridMultilevel"/>
    <w:tmpl w:val="7556FFAE"/>
    <w:lvl w:ilvl="0" w:tplc="A96C0EAE">
      <w:start w:val="1"/>
      <w:numFmt w:val="decimal"/>
      <w:lvlText w:val="%1."/>
      <w:lvlJc w:val="left"/>
      <w:pPr>
        <w:tabs>
          <w:tab w:val="num" w:pos="1440"/>
        </w:tabs>
        <w:ind w:left="360" w:firstLine="720"/>
      </w:pPr>
      <w:rPr>
        <w:rFonts w:ascii="Times New Roman" w:hAnsi="Times New Roman" w:hint="default"/>
        <w:b w:val="0"/>
        <w:i w:val="0"/>
        <w:caps w:val="0"/>
        <w:strike w:val="0"/>
        <w:dstrike w:val="0"/>
        <w:vanish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
    <w:nsid w:val="5FE06A33"/>
    <w:multiLevelType w:val="hybridMultilevel"/>
    <w:tmpl w:val="DCFE9D1C"/>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8">
    <w:nsid w:val="77DB5601"/>
    <w:multiLevelType w:val="singleLevel"/>
    <w:tmpl w:val="32BA8698"/>
    <w:lvl w:ilvl="0">
      <w:start w:val="15"/>
      <w:numFmt w:val="decimal"/>
      <w:lvlText w:val="%1."/>
      <w:lvlJc w:val="left"/>
      <w:pPr>
        <w:tabs>
          <w:tab w:val="num" w:pos="420"/>
        </w:tabs>
        <w:ind w:left="420" w:hanging="420"/>
      </w:pPr>
      <w:rPr>
        <w:rFonts w:hint="default"/>
      </w:rPr>
    </w:lvl>
  </w:abstractNum>
  <w:num w:numId="1">
    <w:abstractNumId w:val="8"/>
  </w:num>
  <w:num w:numId="2">
    <w:abstractNumId w:val="1"/>
  </w:num>
  <w:num w:numId="3">
    <w:abstractNumId w:val="7"/>
  </w:num>
  <w:num w:numId="4">
    <w:abstractNumId w:val="3"/>
  </w:num>
  <w:num w:numId="5">
    <w:abstractNumId w:val="5"/>
  </w:num>
  <w:num w:numId="6">
    <w:abstractNumId w:val="2"/>
  </w:num>
  <w:num w:numId="7">
    <w:abstractNumId w:val="0"/>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103"/>
    <w:rsid w:val="00021B91"/>
    <w:rsid w:val="00023EA1"/>
    <w:rsid w:val="000253FA"/>
    <w:rsid w:val="00027838"/>
    <w:rsid w:val="000405A2"/>
    <w:rsid w:val="0004393D"/>
    <w:rsid w:val="0006726E"/>
    <w:rsid w:val="00072510"/>
    <w:rsid w:val="000A0804"/>
    <w:rsid w:val="000B4B84"/>
    <w:rsid w:val="000B50DD"/>
    <w:rsid w:val="000E08D1"/>
    <w:rsid w:val="000E1D2F"/>
    <w:rsid w:val="00106CC2"/>
    <w:rsid w:val="0011155B"/>
    <w:rsid w:val="00124B31"/>
    <w:rsid w:val="00126DCD"/>
    <w:rsid w:val="001304A1"/>
    <w:rsid w:val="001349A7"/>
    <w:rsid w:val="00142931"/>
    <w:rsid w:val="00151892"/>
    <w:rsid w:val="00156096"/>
    <w:rsid w:val="00160CAD"/>
    <w:rsid w:val="0017189D"/>
    <w:rsid w:val="00182D44"/>
    <w:rsid w:val="0018344D"/>
    <w:rsid w:val="00191887"/>
    <w:rsid w:val="00193415"/>
    <w:rsid w:val="00193706"/>
    <w:rsid w:val="001B3A91"/>
    <w:rsid w:val="001C600A"/>
    <w:rsid w:val="001C69BD"/>
    <w:rsid w:val="001D283A"/>
    <w:rsid w:val="002036BE"/>
    <w:rsid w:val="0021452A"/>
    <w:rsid w:val="00246FAB"/>
    <w:rsid w:val="0026612E"/>
    <w:rsid w:val="00293533"/>
    <w:rsid w:val="002A53D0"/>
    <w:rsid w:val="002A6B25"/>
    <w:rsid w:val="002B4567"/>
    <w:rsid w:val="002C0BDF"/>
    <w:rsid w:val="002C16F5"/>
    <w:rsid w:val="002D171E"/>
    <w:rsid w:val="002F27E4"/>
    <w:rsid w:val="00302C13"/>
    <w:rsid w:val="00315566"/>
    <w:rsid w:val="0032518B"/>
    <w:rsid w:val="003252C0"/>
    <w:rsid w:val="003335CD"/>
    <w:rsid w:val="0033736D"/>
    <w:rsid w:val="00380350"/>
    <w:rsid w:val="00381FC0"/>
    <w:rsid w:val="00386C0C"/>
    <w:rsid w:val="00390AB1"/>
    <w:rsid w:val="003A3F67"/>
    <w:rsid w:val="003B705D"/>
    <w:rsid w:val="00423C65"/>
    <w:rsid w:val="004363C7"/>
    <w:rsid w:val="00444340"/>
    <w:rsid w:val="004A13BF"/>
    <w:rsid w:val="004A5E5B"/>
    <w:rsid w:val="004A6BD4"/>
    <w:rsid w:val="004D53B1"/>
    <w:rsid w:val="004E452A"/>
    <w:rsid w:val="00500E4B"/>
    <w:rsid w:val="00510918"/>
    <w:rsid w:val="00510BBB"/>
    <w:rsid w:val="00523842"/>
    <w:rsid w:val="00534F37"/>
    <w:rsid w:val="005529F1"/>
    <w:rsid w:val="0055325A"/>
    <w:rsid w:val="00576673"/>
    <w:rsid w:val="00577F94"/>
    <w:rsid w:val="005838E8"/>
    <w:rsid w:val="00591650"/>
    <w:rsid w:val="0059334A"/>
    <w:rsid w:val="00594BF0"/>
    <w:rsid w:val="005B45A7"/>
    <w:rsid w:val="005C5F5E"/>
    <w:rsid w:val="005D2AA0"/>
    <w:rsid w:val="005E673D"/>
    <w:rsid w:val="00602F34"/>
    <w:rsid w:val="00604F0F"/>
    <w:rsid w:val="006051BC"/>
    <w:rsid w:val="00611A2B"/>
    <w:rsid w:val="00612230"/>
    <w:rsid w:val="0061283A"/>
    <w:rsid w:val="00622C39"/>
    <w:rsid w:val="0063296E"/>
    <w:rsid w:val="00635A4C"/>
    <w:rsid w:val="006410A6"/>
    <w:rsid w:val="0068708E"/>
    <w:rsid w:val="00694439"/>
    <w:rsid w:val="00694A13"/>
    <w:rsid w:val="00695C7C"/>
    <w:rsid w:val="006B6781"/>
    <w:rsid w:val="006C72AE"/>
    <w:rsid w:val="006D0731"/>
    <w:rsid w:val="006D2649"/>
    <w:rsid w:val="006E05D8"/>
    <w:rsid w:val="006F02F3"/>
    <w:rsid w:val="006F1D93"/>
    <w:rsid w:val="00704813"/>
    <w:rsid w:val="00704A78"/>
    <w:rsid w:val="00710A20"/>
    <w:rsid w:val="00721E88"/>
    <w:rsid w:val="00727E71"/>
    <w:rsid w:val="00731585"/>
    <w:rsid w:val="00732B90"/>
    <w:rsid w:val="00734C1A"/>
    <w:rsid w:val="0074268F"/>
    <w:rsid w:val="00743255"/>
    <w:rsid w:val="0074529E"/>
    <w:rsid w:val="00762269"/>
    <w:rsid w:val="00771E34"/>
    <w:rsid w:val="00777F1D"/>
    <w:rsid w:val="007806A0"/>
    <w:rsid w:val="007B7426"/>
    <w:rsid w:val="007D79CC"/>
    <w:rsid w:val="007E31C5"/>
    <w:rsid w:val="008037A1"/>
    <w:rsid w:val="00805EA4"/>
    <w:rsid w:val="00813306"/>
    <w:rsid w:val="00830924"/>
    <w:rsid w:val="008437F5"/>
    <w:rsid w:val="00843ADB"/>
    <w:rsid w:val="00867DA2"/>
    <w:rsid w:val="00876170"/>
    <w:rsid w:val="008811A6"/>
    <w:rsid w:val="00881218"/>
    <w:rsid w:val="00883B3A"/>
    <w:rsid w:val="00886ECF"/>
    <w:rsid w:val="008A1E70"/>
    <w:rsid w:val="008A26AC"/>
    <w:rsid w:val="008A4375"/>
    <w:rsid w:val="008A517D"/>
    <w:rsid w:val="008A5941"/>
    <w:rsid w:val="008D581C"/>
    <w:rsid w:val="008E3631"/>
    <w:rsid w:val="008F5E86"/>
    <w:rsid w:val="0090007A"/>
    <w:rsid w:val="00900603"/>
    <w:rsid w:val="00906821"/>
    <w:rsid w:val="009068C2"/>
    <w:rsid w:val="00927249"/>
    <w:rsid w:val="00937210"/>
    <w:rsid w:val="009435B8"/>
    <w:rsid w:val="00966B87"/>
    <w:rsid w:val="00984A00"/>
    <w:rsid w:val="0099243F"/>
    <w:rsid w:val="009937AE"/>
    <w:rsid w:val="009A54EA"/>
    <w:rsid w:val="009B7FFC"/>
    <w:rsid w:val="009C218A"/>
    <w:rsid w:val="009C5B29"/>
    <w:rsid w:val="009C7706"/>
    <w:rsid w:val="009D6D4A"/>
    <w:rsid w:val="009F1E03"/>
    <w:rsid w:val="009F6442"/>
    <w:rsid w:val="00A03A6F"/>
    <w:rsid w:val="00A11ADD"/>
    <w:rsid w:val="00A25BCA"/>
    <w:rsid w:val="00A3617E"/>
    <w:rsid w:val="00A361FD"/>
    <w:rsid w:val="00A7183B"/>
    <w:rsid w:val="00A90B16"/>
    <w:rsid w:val="00AA7CB1"/>
    <w:rsid w:val="00AB546A"/>
    <w:rsid w:val="00AD0AFF"/>
    <w:rsid w:val="00AE3A83"/>
    <w:rsid w:val="00AF2EFD"/>
    <w:rsid w:val="00B05B1A"/>
    <w:rsid w:val="00B066C8"/>
    <w:rsid w:val="00B14E06"/>
    <w:rsid w:val="00B17010"/>
    <w:rsid w:val="00B27FBE"/>
    <w:rsid w:val="00B36FB8"/>
    <w:rsid w:val="00B37E4C"/>
    <w:rsid w:val="00B65263"/>
    <w:rsid w:val="00B7711B"/>
    <w:rsid w:val="00B80F06"/>
    <w:rsid w:val="00B82CB4"/>
    <w:rsid w:val="00B8324A"/>
    <w:rsid w:val="00BB2880"/>
    <w:rsid w:val="00BB4BB7"/>
    <w:rsid w:val="00BE275B"/>
    <w:rsid w:val="00BF0630"/>
    <w:rsid w:val="00BF57AD"/>
    <w:rsid w:val="00BF59D9"/>
    <w:rsid w:val="00BF708E"/>
    <w:rsid w:val="00C311BA"/>
    <w:rsid w:val="00C331CE"/>
    <w:rsid w:val="00C52277"/>
    <w:rsid w:val="00C573CF"/>
    <w:rsid w:val="00C71498"/>
    <w:rsid w:val="00C83A42"/>
    <w:rsid w:val="00C84CC2"/>
    <w:rsid w:val="00CB2CB8"/>
    <w:rsid w:val="00CB2ED3"/>
    <w:rsid w:val="00CC1A50"/>
    <w:rsid w:val="00CC6B20"/>
    <w:rsid w:val="00D07F64"/>
    <w:rsid w:val="00D16B15"/>
    <w:rsid w:val="00D223F7"/>
    <w:rsid w:val="00D44C20"/>
    <w:rsid w:val="00D465A9"/>
    <w:rsid w:val="00D61821"/>
    <w:rsid w:val="00D63436"/>
    <w:rsid w:val="00D779B4"/>
    <w:rsid w:val="00D80165"/>
    <w:rsid w:val="00D81231"/>
    <w:rsid w:val="00D927F0"/>
    <w:rsid w:val="00DA4103"/>
    <w:rsid w:val="00DD392F"/>
    <w:rsid w:val="00DD5D04"/>
    <w:rsid w:val="00DE2D9A"/>
    <w:rsid w:val="00DE4402"/>
    <w:rsid w:val="00E025E3"/>
    <w:rsid w:val="00E0540E"/>
    <w:rsid w:val="00E239D3"/>
    <w:rsid w:val="00E26E35"/>
    <w:rsid w:val="00E2767A"/>
    <w:rsid w:val="00E32207"/>
    <w:rsid w:val="00E343E1"/>
    <w:rsid w:val="00E36057"/>
    <w:rsid w:val="00E56846"/>
    <w:rsid w:val="00E64B48"/>
    <w:rsid w:val="00E9350F"/>
    <w:rsid w:val="00E94975"/>
    <w:rsid w:val="00EB0ACB"/>
    <w:rsid w:val="00EB776C"/>
    <w:rsid w:val="00ED4C22"/>
    <w:rsid w:val="00ED71DC"/>
    <w:rsid w:val="00EF560C"/>
    <w:rsid w:val="00F01B5A"/>
    <w:rsid w:val="00F21623"/>
    <w:rsid w:val="00F22350"/>
    <w:rsid w:val="00F23752"/>
    <w:rsid w:val="00F36E19"/>
    <w:rsid w:val="00F60E3D"/>
    <w:rsid w:val="00F739DB"/>
    <w:rsid w:val="00F81D75"/>
    <w:rsid w:val="00FA39DC"/>
    <w:rsid w:val="00FA3F8C"/>
    <w:rsid w:val="00FB111C"/>
    <w:rsid w:val="00FC5711"/>
    <w:rsid w:val="00FD3027"/>
    <w:rsid w:val="00FD43AC"/>
    <w:rsid w:val="00FE05A1"/>
    <w:rsid w:val="00FF7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62C9567-7879-47F1-B97A-6CDD62A19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3436"/>
    <w:pPr>
      <w:widowControl w:val="0"/>
    </w:pPr>
    <w:rPr>
      <w:snapToGrid w:val="0"/>
      <w:kern w:val="28"/>
      <w:sz w:val="22"/>
    </w:rPr>
  </w:style>
  <w:style w:type="paragraph" w:styleId="Heading1">
    <w:name w:val="heading 1"/>
    <w:basedOn w:val="Normal"/>
    <w:next w:val="ParaNum"/>
    <w:qFormat/>
    <w:rsid w:val="00D63436"/>
    <w:pPr>
      <w:keepNext/>
      <w:numPr>
        <w:numId w:val="4"/>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D63436"/>
    <w:pPr>
      <w:keepNext/>
      <w:numPr>
        <w:ilvl w:val="1"/>
        <w:numId w:val="4"/>
      </w:numPr>
      <w:spacing w:after="120"/>
      <w:outlineLvl w:val="1"/>
    </w:pPr>
    <w:rPr>
      <w:b/>
    </w:rPr>
  </w:style>
  <w:style w:type="paragraph" w:styleId="Heading3">
    <w:name w:val="heading 3"/>
    <w:basedOn w:val="Normal"/>
    <w:next w:val="ParaNum"/>
    <w:link w:val="Heading3Char"/>
    <w:qFormat/>
    <w:rsid w:val="00D63436"/>
    <w:pPr>
      <w:keepNext/>
      <w:numPr>
        <w:ilvl w:val="2"/>
        <w:numId w:val="4"/>
      </w:numPr>
      <w:tabs>
        <w:tab w:val="left" w:pos="2160"/>
      </w:tabs>
      <w:spacing w:after="120"/>
      <w:outlineLvl w:val="2"/>
    </w:pPr>
    <w:rPr>
      <w:b/>
    </w:rPr>
  </w:style>
  <w:style w:type="paragraph" w:styleId="Heading4">
    <w:name w:val="heading 4"/>
    <w:basedOn w:val="Normal"/>
    <w:next w:val="ParaNum"/>
    <w:qFormat/>
    <w:rsid w:val="00D63436"/>
    <w:pPr>
      <w:keepNext/>
      <w:numPr>
        <w:ilvl w:val="3"/>
        <w:numId w:val="4"/>
      </w:numPr>
      <w:tabs>
        <w:tab w:val="left" w:pos="2880"/>
      </w:tabs>
      <w:spacing w:after="120"/>
      <w:outlineLvl w:val="3"/>
    </w:pPr>
    <w:rPr>
      <w:b/>
    </w:rPr>
  </w:style>
  <w:style w:type="paragraph" w:styleId="Heading5">
    <w:name w:val="heading 5"/>
    <w:basedOn w:val="Normal"/>
    <w:next w:val="ParaNum"/>
    <w:qFormat/>
    <w:rsid w:val="00D63436"/>
    <w:pPr>
      <w:keepNext/>
      <w:numPr>
        <w:ilvl w:val="4"/>
        <w:numId w:val="4"/>
      </w:numPr>
      <w:tabs>
        <w:tab w:val="left" w:pos="3600"/>
      </w:tabs>
      <w:suppressAutoHyphens/>
      <w:spacing w:after="120"/>
      <w:outlineLvl w:val="4"/>
    </w:pPr>
    <w:rPr>
      <w:b/>
    </w:rPr>
  </w:style>
  <w:style w:type="paragraph" w:styleId="Heading6">
    <w:name w:val="heading 6"/>
    <w:basedOn w:val="Normal"/>
    <w:next w:val="ParaNum"/>
    <w:qFormat/>
    <w:rsid w:val="00D63436"/>
    <w:pPr>
      <w:numPr>
        <w:ilvl w:val="5"/>
        <w:numId w:val="4"/>
      </w:numPr>
      <w:tabs>
        <w:tab w:val="left" w:pos="4320"/>
      </w:tabs>
      <w:spacing w:after="120"/>
      <w:outlineLvl w:val="5"/>
    </w:pPr>
    <w:rPr>
      <w:b/>
    </w:rPr>
  </w:style>
  <w:style w:type="paragraph" w:styleId="Heading7">
    <w:name w:val="heading 7"/>
    <w:basedOn w:val="Normal"/>
    <w:next w:val="ParaNum"/>
    <w:qFormat/>
    <w:rsid w:val="00D63436"/>
    <w:pPr>
      <w:numPr>
        <w:ilvl w:val="6"/>
        <w:numId w:val="4"/>
      </w:numPr>
      <w:tabs>
        <w:tab w:val="left" w:pos="5040"/>
      </w:tabs>
      <w:spacing w:after="120"/>
      <w:ind w:left="5040" w:hanging="720"/>
      <w:outlineLvl w:val="6"/>
    </w:pPr>
    <w:rPr>
      <w:b/>
    </w:rPr>
  </w:style>
  <w:style w:type="paragraph" w:styleId="Heading8">
    <w:name w:val="heading 8"/>
    <w:basedOn w:val="Normal"/>
    <w:next w:val="ParaNum"/>
    <w:qFormat/>
    <w:rsid w:val="00D63436"/>
    <w:pPr>
      <w:numPr>
        <w:ilvl w:val="7"/>
        <w:numId w:val="4"/>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D63436"/>
    <w:pPr>
      <w:numPr>
        <w:ilvl w:val="8"/>
        <w:numId w:val="4"/>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D63436"/>
    <w:rPr>
      <w:sz w:val="20"/>
    </w:rPr>
  </w:style>
  <w:style w:type="character" w:styleId="EndnoteReference">
    <w:name w:val="endnote reference"/>
    <w:semiHidden/>
    <w:rsid w:val="00D63436"/>
    <w:rPr>
      <w:vertAlign w:val="superscript"/>
    </w:rPr>
  </w:style>
  <w:style w:type="paragraph" w:styleId="FootnoteText">
    <w:name w:val="footnote text"/>
    <w:aliases w:val="Footnote Text Char,Footnote Text Char1 Char,Footnote Text Char Char Char,Footnote Text Char1 Char Char Char1,Footnote Text Char Char Char Char Char1,Footnote Text Char2 Char Char Char Char Char1,Footnote Text Char2 Char,Footnote Text Char3"/>
    <w:link w:val="FootnoteTextChar1"/>
    <w:rsid w:val="00D63436"/>
    <w:pPr>
      <w:spacing w:after="120"/>
    </w:pPr>
  </w:style>
  <w:style w:type="character" w:styleId="FootnoteReference">
    <w:name w:val="footnote reference"/>
    <w:aliases w:val="(NECG) Footnote Reference,Appel note de bas de p,Style 124,o,fr,Style 13,FR,Style 17,Footnote Reference/"/>
    <w:rsid w:val="00D63436"/>
    <w:rPr>
      <w:rFonts w:ascii="Times New Roman" w:hAnsi="Times New Roman"/>
      <w:dstrike w:val="0"/>
      <w:color w:val="auto"/>
      <w:sz w:val="20"/>
      <w:vertAlign w:val="superscript"/>
    </w:rPr>
  </w:style>
  <w:style w:type="character" w:customStyle="1" w:styleId="Document8">
    <w:name w:val="Document 8"/>
    <w:basedOn w:val="DefaultParagraphFont"/>
  </w:style>
  <w:style w:type="character" w:customStyle="1" w:styleId="Document4">
    <w:name w:val="Document 4"/>
    <w:rPr>
      <w:b/>
      <w:i/>
      <w:sz w:val="20"/>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Line Draw" w:hAnsi="Line Draw"/>
      <w:noProof w:val="0"/>
      <w:sz w:val="20"/>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Line Draw" w:hAnsi="Line Draw"/>
      <w:noProof w:val="0"/>
      <w:sz w:val="20"/>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Line Draw" w:hAnsi="Line Draw"/>
      <w:noProof w:val="0"/>
      <w:sz w:val="20"/>
      <w:lang w:val="en-US"/>
    </w:rPr>
  </w:style>
  <w:style w:type="paragraph" w:customStyle="1" w:styleId="Document1">
    <w:name w:val="Document 1"/>
    <w:pPr>
      <w:keepNext/>
      <w:keepLines/>
      <w:widowControl w:val="0"/>
      <w:tabs>
        <w:tab w:val="left" w:pos="-720"/>
      </w:tabs>
      <w:suppressAutoHyphens/>
    </w:pPr>
    <w:rPr>
      <w:rFonts w:ascii="Line Draw" w:hAnsi="Line Draw"/>
      <w:snapToGrid w:val="0"/>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Line Draw" w:hAnsi="Line Draw"/>
      <w:noProof w:val="0"/>
      <w:sz w:val="20"/>
      <w:lang w:val="en-US"/>
    </w:rPr>
  </w:style>
  <w:style w:type="character" w:customStyle="1" w:styleId="Technical3">
    <w:name w:val="Technical 3"/>
    <w:rPr>
      <w:rFonts w:ascii="Line Draw" w:hAnsi="Line Draw"/>
      <w:noProof w:val="0"/>
      <w:sz w:val="20"/>
      <w:lang w:val="en-US"/>
    </w:rPr>
  </w:style>
  <w:style w:type="character" w:customStyle="1" w:styleId="Technical4">
    <w:name w:val="Technical 4"/>
    <w:basedOn w:val="DefaultParagraphFont"/>
  </w:style>
  <w:style w:type="character" w:customStyle="1" w:styleId="Technical1">
    <w:name w:val="Technical 1"/>
    <w:rPr>
      <w:rFonts w:ascii="Line Draw" w:hAnsi="Line Draw"/>
      <w:noProof w:val="0"/>
      <w:sz w:val="20"/>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character" w:customStyle="1" w:styleId="head1">
    <w:name w:val="head1"/>
    <w:rPr>
      <w:rFonts w:ascii="Arial" w:hAnsi="Arial"/>
      <w:b/>
      <w:noProof w:val="0"/>
      <w:sz w:val="32"/>
      <w:lang w:val="en-US"/>
    </w:rPr>
  </w:style>
  <w:style w:type="character" w:customStyle="1" w:styleId="Paragraph1">
    <w:name w:val="Paragraph 1"/>
    <w:basedOn w:val="DefaultParagraphFont"/>
  </w:style>
  <w:style w:type="character" w:customStyle="1" w:styleId="Paragraph2">
    <w:name w:val="Paragraph 2"/>
    <w:basedOn w:val="DefaultParagraphFont"/>
  </w:style>
  <w:style w:type="character" w:customStyle="1" w:styleId="Paragraph3">
    <w:name w:val="Paragraph 3"/>
    <w:basedOn w:val="DefaultParagraphFont"/>
  </w:style>
  <w:style w:type="character" w:customStyle="1" w:styleId="Paragraph4">
    <w:name w:val="Paragraph 4"/>
    <w:basedOn w:val="DefaultParagraphFont"/>
  </w:style>
  <w:style w:type="character" w:customStyle="1" w:styleId="Paragraph5">
    <w:name w:val="Paragraph 5"/>
    <w:basedOn w:val="DefaultParagraphFont"/>
  </w:style>
  <w:style w:type="character" w:customStyle="1" w:styleId="Paragraph6">
    <w:name w:val="Paragraph 6"/>
    <w:basedOn w:val="DefaultParagraphFont"/>
  </w:style>
  <w:style w:type="character" w:customStyle="1" w:styleId="Paragraph7">
    <w:name w:val="Paragraph 7"/>
    <w:basedOn w:val="DefaultParagraphFont"/>
  </w:style>
  <w:style w:type="character" w:customStyle="1" w:styleId="Paragraph8">
    <w:name w:val="Paragraph 8"/>
    <w:basedOn w:val="DefaultParagraphFont"/>
  </w:style>
  <w:style w:type="character" w:customStyle="1" w:styleId="DefaultParagraphFo">
    <w:name w:val="Default Paragraph Fo"/>
    <w:basedOn w:val="DefaultParagraphFont"/>
  </w:style>
  <w:style w:type="character" w:customStyle="1" w:styleId="Document8a">
    <w:name w:val="Document 8a"/>
    <w:basedOn w:val="DefaultParagraphFont"/>
  </w:style>
  <w:style w:type="character" w:customStyle="1" w:styleId="Document4a">
    <w:name w:val="Document 4a"/>
    <w:rPr>
      <w:b/>
      <w:i/>
      <w:sz w:val="20"/>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left" w:pos="288"/>
        <w:tab w:val="decimal" w:pos="720"/>
      </w:tabs>
      <w:suppressAutoHyphens/>
    </w:pPr>
    <w:rPr>
      <w:rFonts w:ascii="Line Draw" w:hAnsi="Line Draw"/>
      <w:snapToGrid w:val="0"/>
    </w:rPr>
  </w:style>
  <w:style w:type="paragraph" w:customStyle="1" w:styleId="RightPar2a">
    <w:name w:val="Right Par 2a"/>
    <w:pPr>
      <w:widowControl w:val="0"/>
      <w:tabs>
        <w:tab w:val="left" w:pos="-720"/>
        <w:tab w:val="left" w:pos="0"/>
        <w:tab w:val="left" w:pos="720"/>
        <w:tab w:val="left" w:pos="1008"/>
        <w:tab w:val="decimal" w:pos="1440"/>
      </w:tabs>
      <w:suppressAutoHyphens/>
    </w:pPr>
    <w:rPr>
      <w:rFonts w:ascii="Line Draw" w:hAnsi="Line Draw"/>
      <w:snapToGrid w:val="0"/>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left" w:pos="1728"/>
        <w:tab w:val="decimal" w:pos="2160"/>
      </w:tabs>
      <w:suppressAutoHyphens/>
    </w:pPr>
    <w:rPr>
      <w:rFonts w:ascii="Line Draw" w:hAnsi="Line Draw"/>
      <w:snapToGrid w:val="0"/>
    </w:rPr>
  </w:style>
  <w:style w:type="paragraph" w:customStyle="1" w:styleId="RightPar4a">
    <w:name w:val="Right Par 4a"/>
    <w:pPr>
      <w:widowControl w:val="0"/>
      <w:tabs>
        <w:tab w:val="left" w:pos="-720"/>
        <w:tab w:val="left" w:pos="0"/>
        <w:tab w:val="left" w:pos="720"/>
        <w:tab w:val="left" w:pos="1440"/>
        <w:tab w:val="left" w:pos="2160"/>
        <w:tab w:val="left" w:pos="2448"/>
        <w:tab w:val="decimal" w:pos="2880"/>
      </w:tabs>
      <w:suppressAutoHyphens/>
    </w:pPr>
    <w:rPr>
      <w:rFonts w:ascii="Line Draw" w:hAnsi="Line Draw"/>
      <w:snapToGrid w:val="0"/>
    </w:rPr>
  </w:style>
  <w:style w:type="paragraph" w:customStyle="1" w:styleId="RightPar5a">
    <w:name w:val="Right Par 5a"/>
    <w:pPr>
      <w:widowControl w:val="0"/>
      <w:tabs>
        <w:tab w:val="left" w:pos="-720"/>
        <w:tab w:val="left" w:pos="0"/>
        <w:tab w:val="left" w:pos="720"/>
        <w:tab w:val="left" w:pos="1440"/>
        <w:tab w:val="left" w:pos="2160"/>
        <w:tab w:val="left" w:pos="2880"/>
        <w:tab w:val="left" w:pos="3024"/>
        <w:tab w:val="decimal" w:pos="3600"/>
      </w:tabs>
      <w:suppressAutoHyphens/>
    </w:pPr>
    <w:rPr>
      <w:rFonts w:ascii="Line Draw" w:hAnsi="Line Draw"/>
      <w:snapToGrid w:val="0"/>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left" w:pos="3744"/>
        <w:tab w:val="decimal" w:pos="4320"/>
      </w:tabs>
      <w:suppressAutoHyphens/>
    </w:pPr>
    <w:rPr>
      <w:rFonts w:ascii="Line Draw" w:hAnsi="Line Draw"/>
      <w:snapToGrid w:val="0"/>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Line Draw" w:hAnsi="Line Draw"/>
      <w:snapToGrid w:val="0"/>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Line Draw" w:hAnsi="Line Draw"/>
      <w:snapToGrid w:val="0"/>
    </w:rPr>
  </w:style>
  <w:style w:type="paragraph" w:customStyle="1" w:styleId="Document1a">
    <w:name w:val="Document 1a"/>
    <w:pPr>
      <w:keepNext/>
      <w:keepLines/>
      <w:widowControl w:val="0"/>
      <w:tabs>
        <w:tab w:val="left" w:pos="-720"/>
      </w:tabs>
      <w:suppressAutoHyphens/>
    </w:pPr>
    <w:rPr>
      <w:rFonts w:ascii="Line Draw" w:hAnsi="Line Draw"/>
      <w:snapToGrid w:val="0"/>
    </w:rPr>
  </w:style>
  <w:style w:type="paragraph" w:customStyle="1" w:styleId="Technical5a">
    <w:name w:val="Technical 5a"/>
    <w:pPr>
      <w:widowControl w:val="0"/>
      <w:tabs>
        <w:tab w:val="left" w:pos="-720"/>
      </w:tabs>
      <w:suppressAutoHyphens/>
    </w:pPr>
    <w:rPr>
      <w:rFonts w:ascii="Line Draw" w:hAnsi="Line Draw"/>
      <w:b/>
      <w:snapToGrid w:val="0"/>
    </w:rPr>
  </w:style>
  <w:style w:type="paragraph" w:customStyle="1" w:styleId="Technical6a">
    <w:name w:val="Technical 6a"/>
    <w:pPr>
      <w:widowControl w:val="0"/>
      <w:tabs>
        <w:tab w:val="left" w:pos="-720"/>
      </w:tabs>
      <w:suppressAutoHyphens/>
    </w:pPr>
    <w:rPr>
      <w:rFonts w:ascii="Line Draw" w:hAnsi="Line Draw"/>
      <w:b/>
      <w:snapToGrid w:val="0"/>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rFonts w:ascii="Line Draw" w:hAnsi="Line Draw"/>
      <w:b/>
      <w:snapToGrid w:val="0"/>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Line Draw" w:hAnsi="Line Draw"/>
      <w:b/>
      <w:snapToGrid w:val="0"/>
    </w:rPr>
  </w:style>
  <w:style w:type="paragraph" w:customStyle="1" w:styleId="Technical8a">
    <w:name w:val="Technical 8a"/>
    <w:pPr>
      <w:widowControl w:val="0"/>
      <w:tabs>
        <w:tab w:val="left" w:pos="-720"/>
      </w:tabs>
      <w:suppressAutoHyphens/>
    </w:pPr>
    <w:rPr>
      <w:rFonts w:ascii="Line Draw" w:hAnsi="Line Draw"/>
      <w:b/>
      <w:snapToGrid w:val="0"/>
    </w:rPr>
  </w:style>
  <w:style w:type="paragraph" w:customStyle="1" w:styleId="toa">
    <w:name w:val="toa"/>
    <w:pPr>
      <w:widowControl w:val="0"/>
      <w:tabs>
        <w:tab w:val="left" w:pos="0"/>
        <w:tab w:val="left" w:pos="9000"/>
        <w:tab w:val="right" w:pos="9360"/>
      </w:tabs>
      <w:suppressAutoHyphens/>
    </w:pPr>
    <w:rPr>
      <w:rFonts w:ascii="Line Draw" w:hAnsi="Line Draw"/>
      <w:snapToGrid w:val="0"/>
    </w:rPr>
  </w:style>
  <w:style w:type="character" w:customStyle="1" w:styleId="EquationCaption">
    <w:name w:val="_Equation Caption"/>
    <w:rsid w:val="00D63436"/>
  </w:style>
  <w:style w:type="character" w:customStyle="1" w:styleId="Heading">
    <w:name w:val="Heading"/>
    <w:basedOn w:val="DefaultParagraphFont"/>
  </w:style>
  <w:style w:type="character" w:customStyle="1" w:styleId="RightPar">
    <w:name w:val="Right Par"/>
    <w:basedOn w:val="DefaultParagraphFont"/>
  </w:style>
  <w:style w:type="character" w:customStyle="1" w:styleId="Subheading">
    <w:name w:val="Subheading"/>
    <w:basedOn w:val="DefaultParagraphFont"/>
  </w:style>
  <w:style w:type="character" w:customStyle="1" w:styleId="FOOTNOTE">
    <w:name w:val="FOOTNOTE"/>
    <w:rPr>
      <w:rFonts w:ascii="Line Draw" w:hAnsi="Line Draw"/>
      <w:noProof w:val="0"/>
      <w:sz w:val="16"/>
      <w:lang w:val="en-US"/>
    </w:rPr>
  </w:style>
  <w:style w:type="character" w:customStyle="1" w:styleId="HIGHLIGHT1">
    <w:name w:val="HIGHLIGHT 1"/>
    <w:rPr>
      <w:rFonts w:ascii="Line Draw" w:hAnsi="Line Draw"/>
      <w:b/>
      <w:i/>
      <w:noProof w:val="0"/>
      <w:sz w:val="20"/>
      <w:lang w:val="en-US"/>
    </w:rPr>
  </w:style>
  <w:style w:type="character" w:customStyle="1" w:styleId="Header1">
    <w:name w:val="Header1"/>
    <w:rPr>
      <w:rFonts w:ascii="Line Draw" w:hAnsi="Line Draw"/>
      <w:noProof w:val="0"/>
      <w:sz w:val="20"/>
      <w:lang w:val="en-US"/>
    </w:rPr>
  </w:style>
  <w:style w:type="character" w:customStyle="1" w:styleId="LETTERLAND">
    <w:name w:val="LETTER LAND"/>
    <w:rPr>
      <w:rFonts w:ascii="Line Draw" w:hAnsi="Line Draw"/>
      <w:noProof w:val="0"/>
      <w:sz w:val="20"/>
      <w:lang w:val="en-US"/>
    </w:rPr>
  </w:style>
  <w:style w:type="character" w:customStyle="1" w:styleId="LEGALLAND">
    <w:name w:val="LEGAL LAND"/>
    <w:rPr>
      <w:rFonts w:ascii="Line Draw" w:hAnsi="Line Draw"/>
      <w:noProof w:val="0"/>
      <w:sz w:val="20"/>
      <w:lang w:val="en-US"/>
    </w:rPr>
  </w:style>
  <w:style w:type="character" w:customStyle="1" w:styleId="LETTERPORT">
    <w:name w:val="LETTER PORT"/>
    <w:rPr>
      <w:rFonts w:ascii="Line Draw" w:hAnsi="Line Draw"/>
      <w:noProof w:val="0"/>
      <w:sz w:val="20"/>
      <w:lang w:val="en-US"/>
    </w:rPr>
  </w:style>
  <w:style w:type="character" w:customStyle="1" w:styleId="LEGALPORT">
    <w:name w:val="LEGAL PORT"/>
    <w:rPr>
      <w:rFonts w:ascii="Line Draw" w:hAnsi="Line Draw"/>
      <w:noProof w:val="0"/>
      <w:sz w:val="20"/>
      <w:lang w:val="en-US"/>
    </w:rPr>
  </w:style>
  <w:style w:type="character" w:customStyle="1" w:styleId="Title1">
    <w:name w:val="Title1"/>
    <w:rPr>
      <w:b/>
      <w:sz w:val="30"/>
    </w:rPr>
  </w:style>
  <w:style w:type="character" w:customStyle="1" w:styleId="Footer1">
    <w:name w:val="Footer1"/>
    <w:rPr>
      <w:rFonts w:ascii="Line Draw" w:hAnsi="Line Draw"/>
      <w:noProof w:val="0"/>
      <w:sz w:val="20"/>
      <w:lang w:val="en-US"/>
    </w:rPr>
  </w:style>
  <w:style w:type="character" w:customStyle="1" w:styleId="BLOCKQUOTE">
    <w:name w:val="BLOCK QUOTE"/>
    <w:basedOn w:val="DefaultParagraphFont"/>
  </w:style>
  <w:style w:type="character" w:customStyle="1" w:styleId="Heading31">
    <w:name w:val="Heading 31"/>
    <w:rPr>
      <w:rFonts w:ascii="Line Draw" w:hAnsi="Line Draw"/>
      <w:b/>
      <w:noProof w:val="0"/>
      <w:sz w:val="20"/>
      <w:lang w:val="en-US"/>
    </w:rPr>
  </w:style>
  <w:style w:type="character" w:customStyle="1" w:styleId="HIGHLIGHT2">
    <w:name w:val="HIGHLIGHT 2"/>
    <w:rPr>
      <w:rFonts w:ascii="Line Draw" w:hAnsi="Line Draw"/>
      <w:b/>
      <w:noProof w:val="0"/>
      <w:sz w:val="24"/>
      <w:lang w:val="en-US"/>
    </w:rPr>
  </w:style>
  <w:style w:type="character" w:customStyle="1" w:styleId="HIGHLIGHT3">
    <w:name w:val="HIGHLIGHT 3"/>
    <w:rPr>
      <w:sz w:val="24"/>
      <w:u w:val="single"/>
    </w:rPr>
  </w:style>
  <w:style w:type="character" w:customStyle="1" w:styleId="LETTERHEAD">
    <w:name w:val="LETTERHEAD"/>
    <w:basedOn w:val="DefaultParagraphFont"/>
  </w:style>
  <w:style w:type="paragraph" w:customStyle="1" w:styleId="INVOICEFEE">
    <w:name w:val="INVOICE FEE"/>
    <w:pPr>
      <w:widowControl w:val="0"/>
      <w:tabs>
        <w:tab w:val="left" w:pos="-1584"/>
        <w:tab w:val="left" w:pos="0"/>
        <w:tab w:val="decimal" w:pos="9432"/>
      </w:tabs>
      <w:suppressAutoHyphens/>
    </w:pPr>
    <w:rPr>
      <w:rFonts w:ascii="Line Draw" w:hAnsi="Line Draw"/>
      <w:snapToGrid w:val="0"/>
    </w:rPr>
  </w:style>
  <w:style w:type="character" w:customStyle="1" w:styleId="MEMORANDUM">
    <w:name w:val="MEMORANDUM"/>
    <w:rPr>
      <w:sz w:val="20"/>
    </w:rPr>
  </w:style>
  <w:style w:type="paragraph" w:customStyle="1" w:styleId="INVOICEEXP">
    <w:name w:val="INVOICE EXP"/>
    <w:pPr>
      <w:widowControl w:val="0"/>
      <w:tabs>
        <w:tab w:val="left" w:pos="-6912"/>
        <w:tab w:val="left" w:pos="-5328"/>
        <w:tab w:val="decimal" w:pos="4104"/>
      </w:tabs>
      <w:suppressAutoHyphens/>
    </w:pPr>
    <w:rPr>
      <w:rFonts w:ascii="Line Draw" w:hAnsi="Line Draw"/>
      <w:snapToGrid w:val="0"/>
    </w:rPr>
  </w:style>
  <w:style w:type="paragraph" w:customStyle="1" w:styleId="INVOICETOT">
    <w:name w:val="INVOICE TOT"/>
    <w:pPr>
      <w:widowControl w:val="0"/>
      <w:tabs>
        <w:tab w:val="left" w:pos="-6912"/>
        <w:tab w:val="left" w:pos="-5328"/>
        <w:tab w:val="decimal" w:pos="4104"/>
      </w:tabs>
      <w:suppressAutoHyphens/>
    </w:pPr>
    <w:rPr>
      <w:rFonts w:ascii="Line Draw" w:hAnsi="Line Draw"/>
      <w:snapToGrid w:val="0"/>
    </w:rPr>
  </w:style>
  <w:style w:type="character" w:customStyle="1" w:styleId="Normal1">
    <w:name w:val="Normal1"/>
    <w:rPr>
      <w:rFonts w:ascii="Line Draw" w:hAnsi="Line Draw"/>
      <w:noProof w:val="0"/>
      <w:sz w:val="20"/>
      <w:lang w:val="en-US"/>
    </w:rPr>
  </w:style>
  <w:style w:type="character" w:customStyle="1" w:styleId="SMALL">
    <w:name w:val="SMALL"/>
    <w:rPr>
      <w:rFonts w:ascii="Line Draw" w:hAnsi="Line Draw"/>
      <w:noProof w:val="0"/>
      <w:sz w:val="16"/>
      <w:lang w:val="en-US"/>
    </w:rPr>
  </w:style>
  <w:style w:type="character" w:customStyle="1" w:styleId="FINE">
    <w:name w:val="FINE"/>
    <w:rPr>
      <w:rFonts w:ascii="Line Draw" w:hAnsi="Line Draw"/>
      <w:noProof w:val="0"/>
      <w:sz w:val="12"/>
      <w:lang w:val="en-US"/>
    </w:rPr>
  </w:style>
  <w:style w:type="character" w:customStyle="1" w:styleId="LARGE">
    <w:name w:val="LARGE"/>
    <w:rPr>
      <w:rFonts w:ascii="Line Draw" w:hAnsi="Line Draw"/>
      <w:noProof w:val="0"/>
      <w:sz w:val="24"/>
      <w:lang w:val="en-US"/>
    </w:rPr>
  </w:style>
  <w:style w:type="character" w:customStyle="1" w:styleId="EXTRALARGE">
    <w:name w:val="EXTRA LARGE"/>
    <w:rPr>
      <w:rFonts w:ascii="Line Draw" w:hAnsi="Line Draw"/>
      <w:noProof w:val="0"/>
      <w:sz w:val="40"/>
      <w:lang w:val="en-US"/>
    </w:rPr>
  </w:style>
  <w:style w:type="character" w:customStyle="1" w:styleId="VERYLARGE">
    <w:name w:val="VERY LARGE"/>
    <w:rPr>
      <w:rFonts w:ascii="Line Draw" w:hAnsi="Line Draw"/>
      <w:noProof w:val="0"/>
      <w:sz w:val="30"/>
      <w:lang w:val="en-US"/>
    </w:rPr>
  </w:style>
  <w:style w:type="character" w:customStyle="1" w:styleId="A">
    <w:name w:val="A"/>
    <w:aliases w:val="B"/>
    <w:basedOn w:val="DefaultParagraphFont"/>
  </w:style>
  <w:style w:type="character" w:customStyle="1" w:styleId="EquationCaption1">
    <w:name w:val="_Equation Caption1"/>
    <w:basedOn w:val="DefaultParagraphFont"/>
  </w:style>
  <w:style w:type="character" w:customStyle="1" w:styleId="footnotetex">
    <w:name w:val="footnote tex"/>
    <w:rPr>
      <w:rFonts w:ascii="CG Times" w:hAnsi="CG Times"/>
      <w:noProof w:val="0"/>
      <w:sz w:val="21"/>
      <w:lang w:val="en-US"/>
    </w:rPr>
  </w:style>
  <w:style w:type="character" w:customStyle="1" w:styleId="21">
    <w:name w:val="2 1"/>
    <w:basedOn w:val="DefaultParagraphFont"/>
  </w:style>
  <w:style w:type="character" w:customStyle="1" w:styleId="22">
    <w:name w:val="2 2"/>
    <w:basedOn w:val="DefaultParagraphFont"/>
  </w:style>
  <w:style w:type="character" w:customStyle="1" w:styleId="23">
    <w:name w:val="2 3"/>
    <w:basedOn w:val="DefaultParagraphFont"/>
  </w:style>
  <w:style w:type="character" w:customStyle="1" w:styleId="24">
    <w:name w:val="2 4"/>
    <w:basedOn w:val="DefaultParagraphFont"/>
  </w:style>
  <w:style w:type="character" w:customStyle="1" w:styleId="25">
    <w:name w:val="2 5"/>
    <w:basedOn w:val="DefaultParagraphFont"/>
  </w:style>
  <w:style w:type="character" w:customStyle="1" w:styleId="26">
    <w:name w:val="2 6"/>
    <w:basedOn w:val="DefaultParagraphFont"/>
  </w:style>
  <w:style w:type="character" w:customStyle="1" w:styleId="27">
    <w:name w:val="2 7"/>
    <w:basedOn w:val="DefaultParagraphFont"/>
  </w:style>
  <w:style w:type="character" w:customStyle="1" w:styleId="28">
    <w:name w:val="2 8"/>
    <w:basedOn w:val="DefaultParagraphFont"/>
  </w:style>
  <w:style w:type="character" w:customStyle="1" w:styleId="Unnamed1">
    <w:name w:val="Unnamed 1"/>
    <w:basedOn w:val="DefaultParagraphFont"/>
  </w:style>
  <w:style w:type="character" w:customStyle="1" w:styleId="SMALL0">
    <w:name w:val="ŽÔSMALL"/>
    <w:basedOn w:val="DefaultParagraphFont"/>
  </w:style>
  <w:style w:type="paragraph" w:customStyle="1" w:styleId="NORMAL0">
    <w:name w:val="†ÔNORMAL"/>
    <w:pPr>
      <w:widowControl w:val="0"/>
      <w:tabs>
        <w:tab w:val="left" w:pos="-720"/>
        <w:tab w:val="left" w:pos="0"/>
        <w:tab w:val="left" w:pos="720"/>
        <w:tab w:val="left" w:pos="1440"/>
        <w:tab w:val="left" w:pos="1728"/>
        <w:tab w:val="decimal" w:pos="2160"/>
        <w:tab w:val="left" w:pos="2880"/>
        <w:tab w:val="left" w:pos="3600"/>
        <w:tab w:val="left" w:pos="4320"/>
        <w:tab w:val="left" w:pos="5040"/>
        <w:tab w:val="left" w:pos="5760"/>
        <w:tab w:val="left" w:pos="6480"/>
        <w:tab w:val="left" w:pos="7200"/>
        <w:tab w:val="left" w:pos="7920"/>
        <w:tab w:val="left" w:pos="8640"/>
        <w:tab w:val="left" w:pos="9360"/>
      </w:tabs>
      <w:suppressAutoHyphens/>
    </w:pPr>
    <w:rPr>
      <w:rFonts w:ascii="Line Draw" w:hAnsi="Line Draw"/>
      <w:snapToGrid w:val="0"/>
    </w:rPr>
  </w:style>
  <w:style w:type="paragraph" w:customStyle="1" w:styleId="blyremainsseveral">
    <w:name w:val="bly remains several"/>
    <w:pPr>
      <w:keepNext/>
      <w:keepLines/>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rFonts w:ascii="Line Draw" w:hAnsi="Line Draw"/>
      <w:snapToGrid w:val="0"/>
    </w:rPr>
  </w:style>
  <w:style w:type="paragraph" w:customStyle="1" w:styleId="Technical40">
    <w:name w:val="ÒÏTechnical 4"/>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rFonts w:ascii="Line Draw" w:hAnsi="Line Draw"/>
      <w:b/>
      <w:snapToGrid w:val="0"/>
    </w:rPr>
  </w:style>
  <w:style w:type="paragraph" w:customStyle="1" w:styleId="T2">
    <w:name w:val="T 2"/>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rFonts w:ascii="Line Draw" w:hAnsi="Line Draw"/>
      <w:snapToGrid w:val="0"/>
    </w:rPr>
  </w:style>
  <w:style w:type="character" w:customStyle="1" w:styleId="Cmw3022tmp">
    <w:name w:val="žƒC:/mw3022.tmp"/>
    <w:basedOn w:val="DefaultParagraphFont"/>
  </w:style>
  <w:style w:type="paragraph" w:customStyle="1" w:styleId="mw3022tmp">
    <w:name w:val=":/mw3022.tmp"/>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rFonts w:ascii="CG Times" w:hAnsi="CG Times"/>
      <w:b/>
      <w:snapToGrid w:val="0"/>
      <w:sz w:val="29"/>
    </w:rPr>
  </w:style>
  <w:style w:type="character" w:customStyle="1" w:styleId="Cmw3022tmpa">
    <w:name w:val="ÞƒC:/mw3022.tmpa"/>
    <w:basedOn w:val="DefaultParagraphFont"/>
  </w:style>
  <w:style w:type="paragraph" w:customStyle="1" w:styleId="CDOCSCOMPWHEN">
    <w:name w:val="~ƒC:/DOCS/COMPWHEN/"/>
    <w:pPr>
      <w:widowControl w:val="0"/>
      <w:tabs>
        <w:tab w:val="left" w:pos="0"/>
        <w:tab w:val="decimal" w:pos="4104"/>
        <w:tab w:val="left" w:pos="4320"/>
        <w:tab w:val="left" w:pos="5040"/>
        <w:tab w:val="left" w:pos="5760"/>
        <w:tab w:val="left" w:pos="6480"/>
        <w:tab w:val="left" w:pos="7200"/>
        <w:tab w:val="left" w:pos="7920"/>
        <w:tab w:val="left" w:pos="8640"/>
        <w:tab w:val="left" w:pos="9360"/>
      </w:tabs>
      <w:suppressAutoHyphens/>
    </w:pPr>
    <w:rPr>
      <w:rFonts w:ascii="Line Draw" w:hAnsi="Line Draw"/>
      <w:snapToGrid w:val="0"/>
    </w:rPr>
  </w:style>
  <w:style w:type="paragraph" w:customStyle="1" w:styleId="DOCSCOMPWHENa">
    <w:name w:val=":/DOCS/COMPWHEN/a"/>
    <w:pPr>
      <w:widowControl w:val="0"/>
      <w:tabs>
        <w:tab w:val="left" w:pos="0"/>
        <w:tab w:val="decimal" w:pos="4104"/>
        <w:tab w:val="left" w:pos="4320"/>
        <w:tab w:val="left" w:pos="5040"/>
        <w:tab w:val="left" w:pos="5760"/>
        <w:tab w:val="left" w:pos="6480"/>
        <w:tab w:val="left" w:pos="7200"/>
        <w:tab w:val="left" w:pos="7920"/>
        <w:tab w:val="left" w:pos="8640"/>
        <w:tab w:val="left" w:pos="9360"/>
      </w:tabs>
      <w:suppressAutoHyphens/>
    </w:pPr>
    <w:rPr>
      <w:rFonts w:ascii="Line Draw" w:hAnsi="Line Draw"/>
      <w:snapToGrid w:val="0"/>
    </w:rPr>
  </w:style>
  <w:style w:type="paragraph" w:customStyle="1" w:styleId="a0">
    <w:name w:val="µ:µ"/>
    <w:pPr>
      <w:widowControl w:val="0"/>
      <w:tabs>
        <w:tab w:val="left" w:pos="720"/>
        <w:tab w:val="left" w:pos="1440"/>
        <w:tab w:val="left" w:leader="dot" w:pos="9000"/>
        <w:tab w:val="right" w:pos="9360"/>
      </w:tabs>
      <w:suppressAutoHyphens/>
    </w:pPr>
    <w:rPr>
      <w:rFonts w:ascii="Line Draw" w:hAnsi="Line Draw"/>
      <w:snapToGrid w:val="0"/>
    </w:rPr>
  </w:style>
  <w:style w:type="paragraph" w:customStyle="1" w:styleId="a1">
    <w:name w:val="µ"/>
    <w:pPr>
      <w:widowControl w:val="0"/>
      <w:tabs>
        <w:tab w:val="left" w:pos="720"/>
        <w:tab w:val="left" w:pos="1440"/>
        <w:tab w:val="left" w:pos="2160"/>
        <w:tab w:val="left" w:leader="dot" w:pos="9000"/>
        <w:tab w:val="right" w:pos="9360"/>
      </w:tabs>
      <w:suppressAutoHyphens/>
    </w:pPr>
    <w:rPr>
      <w:rFonts w:ascii="Line Draw" w:hAnsi="Line Draw"/>
      <w:snapToGrid w:val="0"/>
    </w:rPr>
  </w:style>
  <w:style w:type="paragraph" w:customStyle="1" w:styleId="mw3024tmp">
    <w:name w:val=":/mw3024.tmp"/>
    <w:pPr>
      <w:widowControl w:val="0"/>
      <w:tabs>
        <w:tab w:val="left" w:pos="720"/>
        <w:tab w:val="left" w:pos="2160"/>
        <w:tab w:val="left" w:pos="2880"/>
        <w:tab w:val="left" w:leader="dot" w:pos="9000"/>
        <w:tab w:val="right" w:pos="9360"/>
      </w:tabs>
      <w:suppressAutoHyphens/>
    </w:pPr>
    <w:rPr>
      <w:rFonts w:ascii="Line Draw" w:hAnsi="Line Draw"/>
      <w:snapToGrid w:val="0"/>
    </w:rPr>
  </w:style>
  <w:style w:type="paragraph" w:customStyle="1" w:styleId="w">
    <w:name w:val="w"/>
    <w:pPr>
      <w:widowControl w:val="0"/>
      <w:tabs>
        <w:tab w:val="left" w:pos="720"/>
        <w:tab w:val="left" w:pos="1440"/>
        <w:tab w:val="left" w:leader="dot" w:pos="9000"/>
        <w:tab w:val="right" w:pos="9360"/>
      </w:tabs>
      <w:suppressAutoHyphens/>
    </w:pPr>
    <w:rPr>
      <w:rFonts w:ascii="Line Draw" w:hAnsi="Line Draw"/>
      <w:snapToGrid w:val="0"/>
    </w:rPr>
  </w:style>
  <w:style w:type="character" w:customStyle="1" w:styleId="a2">
    <w:name w:val="µµa"/>
    <w:basedOn w:val="DefaultParagraphFont"/>
  </w:style>
  <w:style w:type="character" w:customStyle="1" w:styleId="Document80">
    <w:name w:val="Document[8]"/>
    <w:basedOn w:val="DefaultParagraphFont"/>
  </w:style>
  <w:style w:type="character" w:customStyle="1" w:styleId="Document40">
    <w:name w:val="Document[4]"/>
    <w:rPr>
      <w:b/>
      <w:i/>
      <w:sz w:val="20"/>
    </w:rPr>
  </w:style>
  <w:style w:type="character" w:customStyle="1" w:styleId="Document60">
    <w:name w:val="Document[6]"/>
    <w:basedOn w:val="DefaultParagraphFont"/>
  </w:style>
  <w:style w:type="character" w:customStyle="1" w:styleId="Document50">
    <w:name w:val="Document[5]"/>
    <w:basedOn w:val="DefaultParagraphFont"/>
  </w:style>
  <w:style w:type="character" w:customStyle="1" w:styleId="Document20">
    <w:name w:val="Document[2]"/>
    <w:rPr>
      <w:rFonts w:ascii="Line Draw" w:hAnsi="Line Draw"/>
      <w:noProof w:val="0"/>
      <w:sz w:val="20"/>
      <w:lang w:val="en-US"/>
    </w:rPr>
  </w:style>
  <w:style w:type="character" w:customStyle="1" w:styleId="Document70">
    <w:name w:val="Document[7]"/>
    <w:basedOn w:val="DefaultParagraphFont"/>
  </w:style>
  <w:style w:type="character" w:customStyle="1" w:styleId="RightPar10">
    <w:name w:val="Right Par[1]"/>
    <w:basedOn w:val="DefaultParagraphFont"/>
  </w:style>
  <w:style w:type="character" w:customStyle="1" w:styleId="RightPar20">
    <w:name w:val="Right Par[2]"/>
    <w:basedOn w:val="DefaultParagraphFont"/>
  </w:style>
  <w:style w:type="character" w:customStyle="1" w:styleId="Document30">
    <w:name w:val="Document[3]"/>
    <w:rPr>
      <w:rFonts w:ascii="Line Draw" w:hAnsi="Line Draw"/>
      <w:noProof w:val="0"/>
      <w:sz w:val="20"/>
      <w:lang w:val="en-US"/>
    </w:rPr>
  </w:style>
  <w:style w:type="character" w:customStyle="1" w:styleId="RightPar30">
    <w:name w:val="Right Par[3]"/>
    <w:basedOn w:val="DefaultParagraphFont"/>
  </w:style>
  <w:style w:type="character" w:customStyle="1" w:styleId="RightPar40">
    <w:name w:val="Right Par[4]"/>
    <w:basedOn w:val="DefaultParagraphFont"/>
  </w:style>
  <w:style w:type="character" w:customStyle="1" w:styleId="RightPar50">
    <w:name w:val="Right Par[5]"/>
    <w:basedOn w:val="DefaultParagraphFont"/>
  </w:style>
  <w:style w:type="character" w:customStyle="1" w:styleId="RightPar60">
    <w:name w:val="Right Par[6]"/>
    <w:basedOn w:val="DefaultParagraphFont"/>
  </w:style>
  <w:style w:type="character" w:customStyle="1" w:styleId="RightPar70">
    <w:name w:val="Right Par[7]"/>
    <w:basedOn w:val="DefaultParagraphFont"/>
  </w:style>
  <w:style w:type="character" w:customStyle="1" w:styleId="RightPar80">
    <w:name w:val="Right Par[8]"/>
    <w:basedOn w:val="DefaultParagraphFont"/>
  </w:style>
  <w:style w:type="paragraph" w:customStyle="1" w:styleId="Document10">
    <w:name w:val="Document[1]"/>
    <w:pPr>
      <w:keepNext/>
      <w:keepLines/>
      <w:widowControl w:val="0"/>
      <w:tabs>
        <w:tab w:val="left" w:pos="-720"/>
      </w:tabs>
      <w:suppressAutoHyphens/>
    </w:pPr>
    <w:rPr>
      <w:rFonts w:ascii="Line Draw" w:hAnsi="Line Draw"/>
      <w:snapToGrid w:val="0"/>
    </w:rPr>
  </w:style>
  <w:style w:type="character" w:customStyle="1" w:styleId="Technical50">
    <w:name w:val="Technical[5]"/>
    <w:basedOn w:val="DefaultParagraphFont"/>
  </w:style>
  <w:style w:type="character" w:customStyle="1" w:styleId="Technical60">
    <w:name w:val="Technical[6]"/>
    <w:basedOn w:val="DefaultParagraphFont"/>
  </w:style>
  <w:style w:type="character" w:customStyle="1" w:styleId="Technical20">
    <w:name w:val="Technical[2]"/>
    <w:rPr>
      <w:rFonts w:ascii="Line Draw" w:hAnsi="Line Draw"/>
      <w:noProof w:val="0"/>
      <w:sz w:val="20"/>
      <w:lang w:val="en-US"/>
    </w:rPr>
  </w:style>
  <w:style w:type="character" w:customStyle="1" w:styleId="Technical30">
    <w:name w:val="Technical[3]"/>
    <w:rPr>
      <w:rFonts w:ascii="Line Draw" w:hAnsi="Line Draw"/>
      <w:noProof w:val="0"/>
      <w:sz w:val="20"/>
      <w:lang w:val="en-US"/>
    </w:rPr>
  </w:style>
  <w:style w:type="character" w:customStyle="1" w:styleId="Technical41">
    <w:name w:val="Technical[4]"/>
    <w:basedOn w:val="DefaultParagraphFont"/>
  </w:style>
  <w:style w:type="character" w:customStyle="1" w:styleId="Technical10">
    <w:name w:val="Technical[1]"/>
    <w:rPr>
      <w:rFonts w:ascii="Line Draw" w:hAnsi="Line Draw"/>
      <w:noProof w:val="0"/>
      <w:sz w:val="20"/>
      <w:lang w:val="en-US"/>
    </w:rPr>
  </w:style>
  <w:style w:type="character" w:customStyle="1" w:styleId="Technical70">
    <w:name w:val="Technical[7]"/>
    <w:basedOn w:val="DefaultParagraphFont"/>
  </w:style>
  <w:style w:type="character" w:customStyle="1" w:styleId="Technical80">
    <w:name w:val="Technical[8]"/>
    <w:basedOn w:val="DefaultParagraphFont"/>
  </w:style>
  <w:style w:type="character" w:customStyle="1" w:styleId="Paragraph10">
    <w:name w:val="Paragraph[1]"/>
    <w:basedOn w:val="DefaultParagraphFont"/>
  </w:style>
  <w:style w:type="character" w:customStyle="1" w:styleId="Paragraph20">
    <w:name w:val="Paragraph[2]"/>
    <w:basedOn w:val="DefaultParagraphFont"/>
  </w:style>
  <w:style w:type="character" w:customStyle="1" w:styleId="Paragraph30">
    <w:name w:val="Paragraph[3]"/>
    <w:basedOn w:val="DefaultParagraphFont"/>
  </w:style>
  <w:style w:type="character" w:customStyle="1" w:styleId="Paragraph40">
    <w:name w:val="Paragraph[4]"/>
    <w:basedOn w:val="DefaultParagraphFont"/>
  </w:style>
  <w:style w:type="character" w:customStyle="1" w:styleId="Paragraph50">
    <w:name w:val="Paragraph[5]"/>
    <w:basedOn w:val="DefaultParagraphFont"/>
  </w:style>
  <w:style w:type="character" w:customStyle="1" w:styleId="Paragraph60">
    <w:name w:val="Paragraph[6]"/>
    <w:basedOn w:val="DefaultParagraphFont"/>
  </w:style>
  <w:style w:type="character" w:customStyle="1" w:styleId="Paragraph70">
    <w:name w:val="Paragraph[7]"/>
    <w:basedOn w:val="DefaultParagraphFont"/>
  </w:style>
  <w:style w:type="character" w:customStyle="1" w:styleId="Paragraph80">
    <w:name w:val="Paragraph[8]"/>
    <w:basedOn w:val="DefaultParagraphFont"/>
  </w:style>
  <w:style w:type="character" w:customStyle="1" w:styleId="1">
    <w:name w:val="1"/>
    <w:basedOn w:val="DefaultParagraphFont"/>
  </w:style>
  <w:style w:type="character" w:customStyle="1" w:styleId="2">
    <w:name w:val="2"/>
    <w:rPr>
      <w:b/>
      <w:i/>
      <w:sz w:val="20"/>
    </w:rPr>
  </w:style>
  <w:style w:type="character" w:customStyle="1" w:styleId="3">
    <w:name w:val="3"/>
    <w:basedOn w:val="DefaultParagraphFont"/>
  </w:style>
  <w:style w:type="character" w:customStyle="1" w:styleId="4">
    <w:name w:val="4"/>
    <w:basedOn w:val="DefaultParagraphFont"/>
  </w:style>
  <w:style w:type="character" w:customStyle="1" w:styleId="5">
    <w:name w:val="5"/>
    <w:rPr>
      <w:rFonts w:ascii="Line Draw" w:hAnsi="Line Draw"/>
      <w:noProof w:val="0"/>
      <w:sz w:val="20"/>
      <w:lang w:val="en-US"/>
    </w:rPr>
  </w:style>
  <w:style w:type="character" w:customStyle="1" w:styleId="6">
    <w:name w:val="6"/>
    <w:basedOn w:val="DefaultParagraphFont"/>
  </w:style>
  <w:style w:type="character" w:customStyle="1" w:styleId="7">
    <w:name w:val="7"/>
    <w:basedOn w:val="DefaultParagraphFont"/>
  </w:style>
  <w:style w:type="character" w:customStyle="1" w:styleId="8">
    <w:name w:val="8"/>
    <w:basedOn w:val="DefaultParagraphFont"/>
  </w:style>
  <w:style w:type="character" w:customStyle="1" w:styleId="9">
    <w:name w:val="9"/>
    <w:rPr>
      <w:rFonts w:ascii="Line Draw" w:hAnsi="Line Draw"/>
      <w:noProof w:val="0"/>
      <w:sz w:val="20"/>
      <w:lang w:val="en-US"/>
    </w:rPr>
  </w:style>
  <w:style w:type="character" w:customStyle="1" w:styleId="10">
    <w:name w:val="10"/>
    <w:basedOn w:val="DefaultParagraphFont"/>
  </w:style>
  <w:style w:type="character" w:customStyle="1" w:styleId="11">
    <w:name w:val="11"/>
    <w:basedOn w:val="DefaultParagraphFont"/>
  </w:style>
  <w:style w:type="character" w:customStyle="1" w:styleId="12">
    <w:name w:val="12"/>
    <w:basedOn w:val="DefaultParagraphFont"/>
  </w:style>
  <w:style w:type="character" w:customStyle="1" w:styleId="13">
    <w:name w:val="13"/>
    <w:basedOn w:val="DefaultParagraphFont"/>
  </w:style>
  <w:style w:type="character" w:customStyle="1" w:styleId="14">
    <w:name w:val="14"/>
    <w:basedOn w:val="DefaultParagraphFont"/>
  </w:style>
  <w:style w:type="character" w:customStyle="1" w:styleId="15">
    <w:name w:val="15"/>
    <w:basedOn w:val="DefaultParagraphFont"/>
  </w:style>
  <w:style w:type="paragraph" w:customStyle="1" w:styleId="16">
    <w:name w:val="16"/>
    <w:pPr>
      <w:keepNext/>
      <w:keepLines/>
      <w:widowControl w:val="0"/>
      <w:tabs>
        <w:tab w:val="left" w:pos="-720"/>
      </w:tabs>
      <w:suppressAutoHyphens/>
    </w:pPr>
    <w:rPr>
      <w:rFonts w:ascii="Line Draw" w:hAnsi="Line Draw"/>
      <w:snapToGrid w:val="0"/>
    </w:rPr>
  </w:style>
  <w:style w:type="character" w:customStyle="1" w:styleId="17">
    <w:name w:val="17"/>
    <w:basedOn w:val="DefaultParagraphFont"/>
  </w:style>
  <w:style w:type="character" w:customStyle="1" w:styleId="18">
    <w:name w:val="18"/>
    <w:basedOn w:val="DefaultParagraphFont"/>
  </w:style>
  <w:style w:type="character" w:customStyle="1" w:styleId="19">
    <w:name w:val="19"/>
    <w:rPr>
      <w:rFonts w:ascii="Line Draw" w:hAnsi="Line Draw"/>
      <w:noProof w:val="0"/>
      <w:sz w:val="20"/>
      <w:lang w:val="en-US"/>
    </w:rPr>
  </w:style>
  <w:style w:type="character" w:customStyle="1" w:styleId="20a">
    <w:name w:val="20a"/>
    <w:rPr>
      <w:rFonts w:ascii="Line Draw" w:hAnsi="Line Draw"/>
      <w:noProof w:val="0"/>
      <w:sz w:val="20"/>
      <w:lang w:val="en-US"/>
    </w:rPr>
  </w:style>
  <w:style w:type="character" w:customStyle="1" w:styleId="21a">
    <w:name w:val="21a"/>
    <w:basedOn w:val="DefaultParagraphFont"/>
  </w:style>
  <w:style w:type="character" w:customStyle="1" w:styleId="22a">
    <w:name w:val="22a"/>
    <w:rPr>
      <w:rFonts w:ascii="Line Draw" w:hAnsi="Line Draw"/>
      <w:noProof w:val="0"/>
      <w:sz w:val="20"/>
      <w:lang w:val="en-US"/>
    </w:rPr>
  </w:style>
  <w:style w:type="character" w:customStyle="1" w:styleId="23a">
    <w:name w:val="23a"/>
    <w:basedOn w:val="DefaultParagraphFont"/>
  </w:style>
  <w:style w:type="character" w:customStyle="1" w:styleId="24a">
    <w:name w:val="24a"/>
    <w:basedOn w:val="DefaultParagraphFont"/>
  </w:style>
  <w:style w:type="character" w:customStyle="1" w:styleId="25a">
    <w:name w:val="25a"/>
    <w:basedOn w:val="DefaultParagraphFont"/>
  </w:style>
  <w:style w:type="character" w:customStyle="1" w:styleId="26a">
    <w:name w:val="26a"/>
    <w:basedOn w:val="DefaultParagraphFont"/>
  </w:style>
  <w:style w:type="character" w:customStyle="1" w:styleId="27a">
    <w:name w:val="27a"/>
    <w:basedOn w:val="DefaultParagraphFont"/>
  </w:style>
  <w:style w:type="character" w:customStyle="1" w:styleId="280">
    <w:name w:val="28"/>
    <w:basedOn w:val="DefaultParagraphFont"/>
  </w:style>
  <w:style w:type="character" w:customStyle="1" w:styleId="29">
    <w:name w:val="29"/>
    <w:basedOn w:val="DefaultParagraphFont"/>
  </w:style>
  <w:style w:type="character" w:customStyle="1" w:styleId="30b">
    <w:name w:val="30b"/>
    <w:basedOn w:val="DefaultParagraphFont"/>
  </w:style>
  <w:style w:type="character" w:customStyle="1" w:styleId="31b">
    <w:name w:val="31b"/>
    <w:basedOn w:val="DefaultParagraphFont"/>
  </w:style>
  <w:style w:type="character" w:customStyle="1" w:styleId="32b">
    <w:name w:val="32b"/>
    <w:basedOn w:val="DefaultParagraphFont"/>
  </w:style>
  <w:style w:type="character" w:customStyle="1" w:styleId="DefaultPara">
    <w:name w:val="Default Para"/>
    <w:basedOn w:val="DefaultParagraphFont"/>
  </w:style>
  <w:style w:type="character" w:customStyle="1" w:styleId="EquationCa">
    <w:name w:val="_Equation Ca"/>
    <w:basedOn w:val="DefaultParagraphFont"/>
  </w:style>
  <w:style w:type="character" w:customStyle="1" w:styleId="endnoterefe">
    <w:name w:val="endnote refe"/>
    <w:rPr>
      <w:rFonts w:ascii="Albertus Medium" w:hAnsi="Albertus Medium"/>
      <w:noProof w:val="0"/>
      <w:sz w:val="2"/>
      <w:vertAlign w:val="superscript"/>
      <w:lang w:val="en-US"/>
    </w:rPr>
  </w:style>
  <w:style w:type="character" w:customStyle="1" w:styleId="footnoteref">
    <w:name w:val="footnote ref"/>
    <w:rPr>
      <w:rFonts w:ascii="Albertus Medium" w:hAnsi="Albertus Medium"/>
      <w:noProof w:val="0"/>
      <w:sz w:val="2"/>
      <w:vertAlign w:val="superscript"/>
      <w:lang w:val="en-US"/>
    </w:rPr>
  </w:style>
  <w:style w:type="character" w:customStyle="1" w:styleId="110">
    <w:name w:val="110"/>
    <w:aliases w:val="21,31"/>
    <w:basedOn w:val="DefaultParagraphFont"/>
  </w:style>
  <w:style w:type="character" w:customStyle="1" w:styleId="11a">
    <w:name w:val="1 1a"/>
    <w:basedOn w:val="DefaultParagraphFont"/>
  </w:style>
  <w:style w:type="character" w:customStyle="1" w:styleId="120">
    <w:name w:val="1 2"/>
    <w:basedOn w:val="DefaultParagraphFont"/>
  </w:style>
  <w:style w:type="character" w:customStyle="1" w:styleId="130">
    <w:name w:val="1 3"/>
    <w:basedOn w:val="DefaultParagraphFont"/>
  </w:style>
  <w:style w:type="character" w:customStyle="1" w:styleId="14a">
    <w:name w:val="1 4a"/>
    <w:basedOn w:val="DefaultParagraphFont"/>
  </w:style>
  <w:style w:type="character" w:customStyle="1" w:styleId="150">
    <w:name w:val="1 5"/>
    <w:basedOn w:val="DefaultParagraphFont"/>
  </w:style>
  <w:style w:type="character" w:customStyle="1" w:styleId="160">
    <w:name w:val="1 6"/>
    <w:basedOn w:val="DefaultParagraphFont"/>
  </w:style>
  <w:style w:type="character" w:customStyle="1" w:styleId="170">
    <w:name w:val="1 7"/>
    <w:basedOn w:val="DefaultParagraphFont"/>
  </w:style>
  <w:style w:type="character" w:customStyle="1" w:styleId="18a">
    <w:name w:val="1 8a"/>
    <w:basedOn w:val="DefaultParagraphFont"/>
  </w:style>
  <w:style w:type="paragraph" w:customStyle="1" w:styleId="Chapter">
    <w:name w:val="Chapter"/>
    <w:pPr>
      <w:widowControl w:val="0"/>
      <w:tabs>
        <w:tab w:val="left" w:pos="-720"/>
      </w:tabs>
      <w:suppressAutoHyphens/>
    </w:pPr>
    <w:rPr>
      <w:rFonts w:ascii="Line Draw" w:hAnsi="Line Draw"/>
      <w:snapToGrid w:val="0"/>
      <w:sz w:val="30"/>
    </w:rPr>
  </w:style>
  <w:style w:type="paragraph" w:customStyle="1" w:styleId="ReportBody">
    <w:name w:val="Report Body"/>
    <w:pPr>
      <w:widowControl w:val="0"/>
      <w:tabs>
        <w:tab w:val="left" w:pos="-720"/>
      </w:tabs>
      <w:suppressAutoHyphens/>
      <w:spacing w:line="480" w:lineRule="auto"/>
    </w:pPr>
    <w:rPr>
      <w:rFonts w:ascii="Line Draw" w:hAnsi="Line Draw"/>
      <w:snapToGrid w:val="0"/>
    </w:rPr>
  </w:style>
  <w:style w:type="character" w:customStyle="1" w:styleId="TitleNotes">
    <w:name w:val="TitleNotes"/>
    <w:rPr>
      <w:rFonts w:ascii="CG Times" w:hAnsi="CG Times"/>
      <w:b/>
      <w:i/>
      <w:noProof w:val="0"/>
      <w:sz w:val="28"/>
      <w:lang w:val="en-US"/>
    </w:rPr>
  </w:style>
  <w:style w:type="character" w:customStyle="1" w:styleId="a3">
    <w:name w:val="_"/>
    <w:basedOn w:val="DefaultParagraphFont"/>
  </w:style>
  <w:style w:type="paragraph" w:customStyle="1" w:styleId="WorksCited">
    <w:name w:val="Works Cited"/>
    <w:pPr>
      <w:widowControl w:val="0"/>
      <w:tabs>
        <w:tab w:val="left" w:pos="-720"/>
      </w:tabs>
      <w:suppressAutoHyphens/>
      <w:ind w:left="720"/>
    </w:pPr>
    <w:rPr>
      <w:rFonts w:ascii="Line Draw" w:hAnsi="Line Draw"/>
      <w:snapToGrid w:val="0"/>
    </w:rPr>
  </w:style>
  <w:style w:type="paragraph" w:customStyle="1" w:styleId="PageTitle">
    <w:name w:val="Page Title"/>
    <w:pPr>
      <w:widowControl w:val="0"/>
      <w:tabs>
        <w:tab w:val="left" w:pos="-720"/>
      </w:tabs>
      <w:suppressAutoHyphens/>
    </w:pPr>
    <w:rPr>
      <w:rFonts w:ascii="Line Draw" w:hAnsi="Line Draw"/>
      <w:snapToGrid w:val="0"/>
      <w:sz w:val="30"/>
    </w:rPr>
  </w:style>
  <w:style w:type="character" w:customStyle="1" w:styleId="paranum0">
    <w:name w:val="para num"/>
    <w:rPr>
      <w:rFonts w:ascii="Line Draw" w:hAnsi="Line Draw"/>
      <w:noProof w:val="0"/>
      <w:sz w:val="20"/>
      <w:lang w:val="en-US"/>
    </w:rPr>
  </w:style>
  <w:style w:type="character" w:customStyle="1" w:styleId="MACNormal">
    <w:name w:val="MACNormal"/>
    <w:rPr>
      <w:rFonts w:ascii="Line Draw" w:hAnsi="Line Draw"/>
      <w:noProof w:val="0"/>
      <w:sz w:val="20"/>
      <w:lang w:val="en-US"/>
    </w:rPr>
  </w:style>
  <w:style w:type="character" w:customStyle="1" w:styleId="Style14">
    <w:name w:val="Style 14"/>
    <w:rPr>
      <w:rFonts w:ascii="Arial" w:hAnsi="Arial"/>
      <w:noProof w:val="0"/>
      <w:sz w:val="15"/>
      <w:lang w:val="en-US"/>
    </w:rPr>
  </w:style>
  <w:style w:type="character" w:customStyle="1" w:styleId="Style12">
    <w:name w:val="Style 12"/>
    <w:rPr>
      <w:rFonts w:ascii="Albertus Medium" w:hAnsi="Albertus Medium"/>
      <w:i/>
      <w:noProof w:val="0"/>
      <w:sz w:val="22"/>
      <w:lang w:val="en-US"/>
    </w:rPr>
  </w:style>
  <w:style w:type="paragraph" w:customStyle="1" w:styleId="Style3">
    <w:name w:val="Style 3"/>
    <w:pPr>
      <w:widowControl w:val="0"/>
      <w:tabs>
        <w:tab w:val="left" w:pos="-409"/>
        <w:tab w:val="left" w:pos="755"/>
        <w:tab w:val="left" w:pos="1919"/>
        <w:tab w:val="left" w:pos="3083"/>
        <w:tab w:val="left" w:pos="3665"/>
        <w:tab w:val="left" w:pos="4247"/>
        <w:tab w:val="left" w:pos="4829"/>
        <w:tab w:val="left" w:pos="5411"/>
        <w:tab w:val="left" w:pos="5993"/>
        <w:tab w:val="left" w:pos="6575"/>
        <w:tab w:val="left" w:pos="7157"/>
        <w:tab w:val="left" w:pos="7739"/>
        <w:tab w:val="left" w:pos="8321"/>
        <w:tab w:val="left" w:pos="8903"/>
      </w:tabs>
      <w:suppressAutoHyphens/>
    </w:pPr>
    <w:rPr>
      <w:rFonts w:ascii="Albertus Medium" w:hAnsi="Albertus Medium"/>
      <w:snapToGrid w:val="0"/>
      <w:sz w:val="22"/>
    </w:rPr>
  </w:style>
  <w:style w:type="character" w:customStyle="1" w:styleId="Style4">
    <w:name w:val="Style 4"/>
    <w:rPr>
      <w:rFonts w:ascii="Arial" w:hAnsi="Arial"/>
      <w:noProof w:val="0"/>
      <w:sz w:val="15"/>
      <w:lang w:val="en-US"/>
    </w:rPr>
  </w:style>
  <w:style w:type="character" w:customStyle="1" w:styleId="Style1">
    <w:name w:val="Style 1"/>
    <w:rPr>
      <w:rFonts w:ascii="Albertus Medium" w:hAnsi="Albertus Medium"/>
      <w:noProof w:val="0"/>
      <w:sz w:val="22"/>
      <w:lang w:val="en-US"/>
    </w:rPr>
  </w:style>
  <w:style w:type="character" w:customStyle="1" w:styleId="Style2">
    <w:name w:val="Style 2"/>
    <w:rPr>
      <w:rFonts w:ascii="Albertus Medium" w:hAnsi="Albertus Medium"/>
      <w:i/>
      <w:noProof w:val="0"/>
      <w:sz w:val="22"/>
      <w:lang w:val="en-US"/>
    </w:rPr>
  </w:style>
  <w:style w:type="character" w:customStyle="1" w:styleId="Style5">
    <w:name w:val="Style 5"/>
    <w:rPr>
      <w:rFonts w:ascii="Albertus Extra Bold" w:hAnsi="Albertus Extra Bold"/>
      <w:b/>
      <w:noProof w:val="0"/>
      <w:sz w:val="34"/>
      <w:lang w:val="en-US"/>
    </w:rPr>
  </w:style>
  <w:style w:type="character" w:customStyle="1" w:styleId="Style7">
    <w:name w:val="Style 7"/>
    <w:rPr>
      <w:rFonts w:ascii="Arial" w:hAnsi="Arial"/>
      <w:noProof w:val="0"/>
      <w:sz w:val="22"/>
      <w:lang w:val="en-US"/>
    </w:rPr>
  </w:style>
  <w:style w:type="character" w:customStyle="1" w:styleId="Style6">
    <w:name w:val="Style 6"/>
    <w:rPr>
      <w:rFonts w:ascii="Albertus Medium" w:hAnsi="Albertus Medium"/>
      <w:noProof w:val="0"/>
      <w:sz w:val="27"/>
      <w:lang w:val="en-US"/>
    </w:rPr>
  </w:style>
  <w:style w:type="character" w:customStyle="1" w:styleId="33b">
    <w:name w:val="33b"/>
    <w:basedOn w:val="DefaultParagraphFont"/>
  </w:style>
  <w:style w:type="character" w:customStyle="1" w:styleId="34b">
    <w:name w:val="34b"/>
    <w:rPr>
      <w:b/>
      <w:i/>
      <w:sz w:val="20"/>
    </w:rPr>
  </w:style>
  <w:style w:type="character" w:customStyle="1" w:styleId="35b">
    <w:name w:val="35b"/>
    <w:basedOn w:val="DefaultParagraphFont"/>
  </w:style>
  <w:style w:type="character" w:customStyle="1" w:styleId="36b">
    <w:name w:val="36b"/>
    <w:basedOn w:val="DefaultParagraphFont"/>
  </w:style>
  <w:style w:type="character" w:customStyle="1" w:styleId="37b">
    <w:name w:val="37b"/>
    <w:rPr>
      <w:rFonts w:ascii="Line Draw" w:hAnsi="Line Draw"/>
      <w:noProof w:val="0"/>
      <w:sz w:val="20"/>
      <w:lang w:val="en-US"/>
    </w:rPr>
  </w:style>
  <w:style w:type="character" w:customStyle="1" w:styleId="38">
    <w:name w:val="38"/>
    <w:basedOn w:val="DefaultParagraphFont"/>
  </w:style>
  <w:style w:type="character" w:customStyle="1" w:styleId="39a">
    <w:name w:val="39a"/>
    <w:basedOn w:val="DefaultParagraphFont"/>
  </w:style>
  <w:style w:type="character" w:customStyle="1" w:styleId="40">
    <w:name w:val="40"/>
    <w:basedOn w:val="DefaultParagraphFont"/>
  </w:style>
  <w:style w:type="paragraph" w:styleId="TOC1">
    <w:name w:val="toc 1"/>
    <w:basedOn w:val="Normal"/>
    <w:next w:val="Normal"/>
    <w:semiHidden/>
    <w:rsid w:val="00D63436"/>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D63436"/>
    <w:pPr>
      <w:tabs>
        <w:tab w:val="left" w:pos="720"/>
        <w:tab w:val="right" w:leader="dot" w:pos="9360"/>
      </w:tabs>
      <w:suppressAutoHyphens/>
      <w:ind w:left="720" w:right="720" w:hanging="360"/>
    </w:pPr>
    <w:rPr>
      <w:noProof/>
    </w:rPr>
  </w:style>
  <w:style w:type="paragraph" w:styleId="TOC3">
    <w:name w:val="toc 3"/>
    <w:basedOn w:val="Normal"/>
    <w:next w:val="Normal"/>
    <w:semiHidden/>
    <w:rsid w:val="00D63436"/>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D63436"/>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D63436"/>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D63436"/>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D63436"/>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D63436"/>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D63436"/>
    <w:pPr>
      <w:tabs>
        <w:tab w:val="left" w:pos="3240"/>
        <w:tab w:val="right" w:leader="dot" w:pos="9360"/>
      </w:tabs>
      <w:suppressAutoHyphens/>
      <w:ind w:left="3240" w:hanging="360"/>
    </w:pPr>
    <w:rPr>
      <w:noProof/>
    </w:r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rsid w:val="00D63436"/>
    <w:pPr>
      <w:tabs>
        <w:tab w:val="right" w:pos="9360"/>
      </w:tabs>
      <w:suppressAutoHyphens/>
    </w:pPr>
  </w:style>
  <w:style w:type="paragraph" w:styleId="Caption">
    <w:name w:val="caption"/>
    <w:basedOn w:val="Normal"/>
    <w:next w:val="Normal"/>
    <w:qFormat/>
    <w:rPr>
      <w:sz w:val="24"/>
    </w:rPr>
  </w:style>
  <w:style w:type="character" w:customStyle="1" w:styleId="EquationCaption2">
    <w:name w:val="_Equation Caption2"/>
  </w:style>
  <w:style w:type="paragraph" w:styleId="Footer">
    <w:name w:val="footer"/>
    <w:basedOn w:val="Normal"/>
    <w:rsid w:val="00D63436"/>
    <w:pPr>
      <w:tabs>
        <w:tab w:val="center" w:pos="4320"/>
        <w:tab w:val="right" w:pos="8640"/>
      </w:tabs>
    </w:pPr>
  </w:style>
  <w:style w:type="character" w:styleId="PageNumber">
    <w:name w:val="page number"/>
    <w:basedOn w:val="DefaultParagraphFont"/>
    <w:rsid w:val="00D63436"/>
  </w:style>
  <w:style w:type="paragraph" w:styleId="Header">
    <w:name w:val="header"/>
    <w:basedOn w:val="Normal"/>
    <w:autoRedefine/>
    <w:rsid w:val="00D63436"/>
    <w:pPr>
      <w:tabs>
        <w:tab w:val="center" w:pos="4680"/>
        <w:tab w:val="right" w:pos="9360"/>
      </w:tabs>
    </w:pPr>
    <w:rPr>
      <w:b/>
    </w:rPr>
  </w:style>
  <w:style w:type="paragraph" w:styleId="BalloonText">
    <w:name w:val="Balloon Text"/>
    <w:basedOn w:val="Normal"/>
    <w:semiHidden/>
    <w:rsid w:val="00FB111C"/>
    <w:rPr>
      <w:rFonts w:ascii="Tahoma" w:hAnsi="Tahoma" w:cs="Tahoma"/>
      <w:sz w:val="16"/>
      <w:szCs w:val="16"/>
    </w:rPr>
  </w:style>
  <w:style w:type="paragraph" w:styleId="NormalWeb">
    <w:name w:val="Normal (Web)"/>
    <w:basedOn w:val="Normal"/>
    <w:rsid w:val="00DD5D04"/>
    <w:rPr>
      <w:sz w:val="24"/>
      <w:szCs w:val="24"/>
    </w:rPr>
  </w:style>
  <w:style w:type="character" w:customStyle="1" w:styleId="FootnoteTextChar1">
    <w:name w:val="Footnote Text Char1"/>
    <w:aliases w:val="Footnote Text Char Char,Footnote Text Char1 Char Char,Footnote Text Char Char Char Char,Footnote Text Char1 Char Char Char1 Char,Footnote Text Char Char Char Char Char1 Char,Footnote Text Char2 Char Char Char Char Char1 Char"/>
    <w:basedOn w:val="DefaultParagraphFont"/>
    <w:link w:val="FootnoteText"/>
    <w:rsid w:val="000B50DD"/>
  </w:style>
  <w:style w:type="character" w:customStyle="1" w:styleId="Heading2Char">
    <w:name w:val="Heading 2 Char"/>
    <w:basedOn w:val="DefaultParagraphFont"/>
    <w:link w:val="Heading2"/>
    <w:rsid w:val="00FC5711"/>
    <w:rPr>
      <w:b/>
      <w:snapToGrid w:val="0"/>
      <w:kern w:val="28"/>
      <w:sz w:val="22"/>
    </w:rPr>
  </w:style>
  <w:style w:type="character" w:customStyle="1" w:styleId="Heading3Char">
    <w:name w:val="Heading 3 Char"/>
    <w:basedOn w:val="DefaultParagraphFont"/>
    <w:link w:val="Heading3"/>
    <w:rsid w:val="00FC5711"/>
    <w:rPr>
      <w:b/>
      <w:snapToGrid w:val="0"/>
      <w:kern w:val="28"/>
      <w:sz w:val="22"/>
    </w:rPr>
  </w:style>
  <w:style w:type="character" w:customStyle="1" w:styleId="Heading9Char">
    <w:name w:val="Heading 9 Char"/>
    <w:basedOn w:val="DefaultParagraphFont"/>
    <w:link w:val="Heading9"/>
    <w:rsid w:val="00FC5711"/>
    <w:rPr>
      <w:b/>
      <w:snapToGrid w:val="0"/>
      <w:kern w:val="28"/>
      <w:sz w:val="22"/>
    </w:rPr>
  </w:style>
  <w:style w:type="paragraph" w:customStyle="1" w:styleId="ParaNum">
    <w:name w:val="ParaNum"/>
    <w:basedOn w:val="Normal"/>
    <w:link w:val="ParaNumChar"/>
    <w:rsid w:val="00D63436"/>
    <w:pPr>
      <w:numPr>
        <w:numId w:val="3"/>
      </w:numPr>
      <w:tabs>
        <w:tab w:val="clear" w:pos="1080"/>
        <w:tab w:val="num" w:pos="1440"/>
      </w:tabs>
      <w:spacing w:after="120"/>
    </w:pPr>
  </w:style>
  <w:style w:type="paragraph" w:styleId="BlockText">
    <w:name w:val="Block Text"/>
    <w:basedOn w:val="Normal"/>
    <w:rsid w:val="00D63436"/>
    <w:pPr>
      <w:spacing w:after="240"/>
      <w:ind w:left="1440" w:right="1440"/>
    </w:pPr>
  </w:style>
  <w:style w:type="paragraph" w:customStyle="1" w:styleId="Paratitle">
    <w:name w:val="Para title"/>
    <w:basedOn w:val="Normal"/>
    <w:rsid w:val="00D63436"/>
    <w:pPr>
      <w:tabs>
        <w:tab w:val="center" w:pos="9270"/>
      </w:tabs>
      <w:spacing w:after="240"/>
    </w:pPr>
    <w:rPr>
      <w:spacing w:val="-2"/>
    </w:rPr>
  </w:style>
  <w:style w:type="paragraph" w:customStyle="1" w:styleId="Bullet">
    <w:name w:val="Bullet"/>
    <w:basedOn w:val="Normal"/>
    <w:rsid w:val="00D63436"/>
    <w:pPr>
      <w:tabs>
        <w:tab w:val="left" w:pos="2160"/>
      </w:tabs>
      <w:spacing w:after="220"/>
      <w:ind w:left="2160" w:hanging="720"/>
    </w:pPr>
  </w:style>
  <w:style w:type="paragraph" w:customStyle="1" w:styleId="TableFormat">
    <w:name w:val="TableFormat"/>
    <w:basedOn w:val="Bullet"/>
    <w:rsid w:val="00D63436"/>
    <w:pPr>
      <w:tabs>
        <w:tab w:val="clear" w:pos="2160"/>
        <w:tab w:val="left" w:pos="5040"/>
      </w:tabs>
      <w:ind w:left="5040" w:hanging="3600"/>
    </w:pPr>
  </w:style>
  <w:style w:type="paragraph" w:customStyle="1" w:styleId="TOCTitle">
    <w:name w:val="TOC Title"/>
    <w:basedOn w:val="Normal"/>
    <w:rsid w:val="00D63436"/>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D63436"/>
    <w:pPr>
      <w:jc w:val="center"/>
    </w:pPr>
    <w:rPr>
      <w:rFonts w:ascii="Times New Roman Bold" w:hAnsi="Times New Roman Bold"/>
      <w:b/>
      <w:bCs/>
      <w:caps/>
      <w:szCs w:val="22"/>
    </w:rPr>
  </w:style>
  <w:style w:type="character" w:styleId="Hyperlink">
    <w:name w:val="Hyperlink"/>
    <w:rsid w:val="00D63436"/>
    <w:rPr>
      <w:color w:val="0000FF"/>
      <w:u w:val="single"/>
    </w:rPr>
  </w:style>
  <w:style w:type="character" w:customStyle="1" w:styleId="ParaNumChar">
    <w:name w:val="ParaNum Char"/>
    <w:link w:val="ParaNum"/>
    <w:rsid w:val="00FC5711"/>
    <w:rPr>
      <w:snapToGrid w:val="0"/>
      <w:kern w:val="28"/>
      <w:sz w:val="22"/>
    </w:rPr>
  </w:style>
  <w:style w:type="character" w:customStyle="1" w:styleId="ParaNumChar1">
    <w:name w:val="ParaNum Char1"/>
    <w:rsid w:val="00423C65"/>
    <w:rPr>
      <w:sz w:val="24"/>
      <w:lang w:val="en-US" w:eastAsia="en-US" w:bidi="ar-SA"/>
    </w:rPr>
  </w:style>
  <w:style w:type="character" w:styleId="CommentReference">
    <w:name w:val="annotation reference"/>
    <w:basedOn w:val="DefaultParagraphFont"/>
    <w:rsid w:val="00423C65"/>
    <w:rPr>
      <w:sz w:val="16"/>
      <w:szCs w:val="16"/>
    </w:rPr>
  </w:style>
  <w:style w:type="paragraph" w:styleId="CommentText">
    <w:name w:val="annotation text"/>
    <w:basedOn w:val="Normal"/>
    <w:link w:val="CommentTextChar"/>
    <w:rsid w:val="00423C65"/>
    <w:pPr>
      <w:widowControl/>
    </w:pPr>
    <w:rPr>
      <w:snapToGrid/>
      <w:kern w:val="0"/>
      <w:sz w:val="20"/>
    </w:rPr>
  </w:style>
  <w:style w:type="character" w:customStyle="1" w:styleId="CommentTextChar">
    <w:name w:val="Comment Text Char"/>
    <w:basedOn w:val="DefaultParagraphFont"/>
    <w:link w:val="CommentText"/>
    <w:rsid w:val="00423C65"/>
  </w:style>
  <w:style w:type="paragraph" w:styleId="ListParagraph">
    <w:name w:val="List Paragraph"/>
    <w:basedOn w:val="Normal"/>
    <w:uiPriority w:val="34"/>
    <w:qFormat/>
    <w:rsid w:val="00F22350"/>
    <w:pPr>
      <w:ind w:left="720"/>
      <w:contextualSpacing/>
    </w:pPr>
  </w:style>
  <w:style w:type="paragraph" w:styleId="CommentSubject">
    <w:name w:val="annotation subject"/>
    <w:basedOn w:val="CommentText"/>
    <w:next w:val="CommentText"/>
    <w:link w:val="CommentSubjectChar"/>
    <w:rsid w:val="002B4567"/>
    <w:pPr>
      <w:widowControl w:val="0"/>
    </w:pPr>
    <w:rPr>
      <w:b/>
      <w:bCs/>
      <w:snapToGrid w:val="0"/>
      <w:kern w:val="28"/>
    </w:rPr>
  </w:style>
  <w:style w:type="character" w:customStyle="1" w:styleId="CommentSubjectChar">
    <w:name w:val="Comment Subject Char"/>
    <w:basedOn w:val="CommentTextChar"/>
    <w:link w:val="CommentSubject"/>
    <w:rsid w:val="002B4567"/>
    <w:rPr>
      <w:b/>
      <w:bCs/>
      <w:snapToGrid w:val="0"/>
      <w:kern w:val="28"/>
    </w:rPr>
  </w:style>
  <w:style w:type="table" w:styleId="TableGrid">
    <w:name w:val="Table Grid"/>
    <w:basedOn w:val="TableNormal"/>
    <w:uiPriority w:val="59"/>
    <w:rsid w:val="00386C0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86C0C"/>
    <w:rPr>
      <w:snapToGrid w:val="0"/>
      <w:kern w:val="28"/>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cc.gov/cgb/ecf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Forms\OS%20Process\Orders%20TOC%20by%20Paragrap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F68066-4160-4BA4-8896-E5D49392E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TOC by Paragraph</Template>
  <TotalTime>0</TotalTime>
  <Pages>11</Pages>
  <Words>3067</Words>
  <Characters>17482</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20508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Market Mod - Section 76.59</dc:subject>
  <dc:creator>ecb</dc:creator>
  <cp:lastModifiedBy>James</cp:lastModifiedBy>
  <cp:revision>2</cp:revision>
  <cp:lastPrinted>2015-03-26T12:24:00Z</cp:lastPrinted>
  <dcterms:created xsi:type="dcterms:W3CDTF">2015-04-13T12:06:00Z</dcterms:created>
  <dcterms:modified xsi:type="dcterms:W3CDTF">2015-04-13T12:06:00Z</dcterms:modified>
</cp:coreProperties>
</file>