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851DE" w14:textId="77777777" w:rsidR="00245FDB" w:rsidRPr="00CE017E" w:rsidRDefault="00245FDB" w:rsidP="00CE017E">
      <w:pPr>
        <w:pStyle w:val="Default"/>
        <w:jc w:val="center"/>
        <w:rPr>
          <w:rFonts w:asciiTheme="minorHAnsi" w:hAnsiTheme="minorHAnsi" w:cs="Calibri"/>
          <w:b/>
          <w:bCs/>
        </w:rPr>
      </w:pPr>
    </w:p>
    <w:p w14:paraId="493994A1" w14:textId="77777777" w:rsidR="00245FDB" w:rsidRPr="00CE017E" w:rsidRDefault="00245FDB" w:rsidP="00CE017E">
      <w:pPr>
        <w:pStyle w:val="Default"/>
        <w:jc w:val="center"/>
        <w:rPr>
          <w:rFonts w:asciiTheme="minorHAnsi" w:hAnsiTheme="minorHAnsi" w:cs="Calibri"/>
          <w:b/>
          <w:bCs/>
        </w:rPr>
      </w:pPr>
    </w:p>
    <w:p w14:paraId="4107BC4E" w14:textId="77777777" w:rsidR="00245FDB" w:rsidRPr="00CE017E" w:rsidRDefault="00245FDB" w:rsidP="00CE017E">
      <w:pPr>
        <w:pStyle w:val="Default"/>
        <w:jc w:val="center"/>
        <w:rPr>
          <w:rFonts w:asciiTheme="minorHAnsi" w:hAnsiTheme="minorHAnsi" w:cs="Calibri"/>
          <w:b/>
          <w:bCs/>
        </w:rPr>
      </w:pPr>
    </w:p>
    <w:p w14:paraId="60CFD1AD" w14:textId="77777777" w:rsidR="00245FDB" w:rsidRPr="00CE017E" w:rsidRDefault="00245FDB" w:rsidP="00CE017E">
      <w:pPr>
        <w:pStyle w:val="Default"/>
        <w:jc w:val="center"/>
        <w:rPr>
          <w:rFonts w:asciiTheme="minorHAnsi" w:hAnsiTheme="minorHAnsi" w:cs="Calibri"/>
          <w:b/>
          <w:bCs/>
        </w:rPr>
      </w:pPr>
    </w:p>
    <w:p w14:paraId="1FABD5C8" w14:textId="77777777" w:rsidR="00245FDB" w:rsidRPr="00CE017E" w:rsidRDefault="00245FDB" w:rsidP="00CE017E">
      <w:pPr>
        <w:pStyle w:val="Default"/>
        <w:jc w:val="center"/>
        <w:rPr>
          <w:rFonts w:asciiTheme="minorHAnsi" w:hAnsiTheme="minorHAnsi" w:cs="Calibri"/>
          <w:b/>
          <w:bCs/>
        </w:rPr>
      </w:pPr>
    </w:p>
    <w:p w14:paraId="1E351DC5" w14:textId="77777777" w:rsidR="00245FDB" w:rsidRPr="00CE017E" w:rsidRDefault="00245FDB" w:rsidP="00CE017E">
      <w:pPr>
        <w:pStyle w:val="Default"/>
        <w:jc w:val="center"/>
        <w:rPr>
          <w:rFonts w:asciiTheme="minorHAnsi" w:hAnsiTheme="minorHAnsi" w:cs="Calibri"/>
          <w:b/>
          <w:bCs/>
        </w:rPr>
      </w:pPr>
    </w:p>
    <w:p w14:paraId="76C3C64F" w14:textId="77777777" w:rsidR="00245FDB" w:rsidRPr="00CE017E" w:rsidRDefault="00245FDB" w:rsidP="00CE017E">
      <w:pPr>
        <w:pStyle w:val="Default"/>
        <w:jc w:val="center"/>
        <w:rPr>
          <w:rFonts w:asciiTheme="minorHAnsi" w:hAnsiTheme="minorHAnsi" w:cs="Calibri"/>
          <w:b/>
          <w:bCs/>
        </w:rPr>
      </w:pPr>
    </w:p>
    <w:p w14:paraId="4F9BCA4C" w14:textId="77777777" w:rsidR="00245FDB" w:rsidRPr="00CE017E" w:rsidRDefault="00245FDB" w:rsidP="00CE017E">
      <w:pPr>
        <w:pStyle w:val="Default"/>
        <w:jc w:val="center"/>
        <w:rPr>
          <w:rFonts w:asciiTheme="minorHAnsi" w:hAnsiTheme="minorHAnsi" w:cs="Calibri"/>
          <w:b/>
          <w:bCs/>
        </w:rPr>
      </w:pPr>
    </w:p>
    <w:p w14:paraId="26AC9A5B" w14:textId="77777777" w:rsidR="00245FDB" w:rsidRPr="00CE017E" w:rsidRDefault="00245FDB" w:rsidP="00CE017E">
      <w:pPr>
        <w:pStyle w:val="Default"/>
        <w:jc w:val="center"/>
        <w:rPr>
          <w:rFonts w:asciiTheme="minorHAnsi" w:hAnsiTheme="minorHAnsi" w:cs="Calibri"/>
          <w:b/>
          <w:bCs/>
        </w:rPr>
      </w:pPr>
    </w:p>
    <w:p w14:paraId="46AA593E" w14:textId="77777777" w:rsidR="00245FDB" w:rsidRPr="00CE017E" w:rsidRDefault="00245FDB" w:rsidP="00CE017E">
      <w:pPr>
        <w:pStyle w:val="Default"/>
        <w:jc w:val="center"/>
        <w:rPr>
          <w:rFonts w:asciiTheme="minorHAnsi" w:hAnsiTheme="minorHAnsi" w:cs="Calibri"/>
          <w:b/>
          <w:bCs/>
        </w:rPr>
      </w:pPr>
    </w:p>
    <w:p w14:paraId="102E849B" w14:textId="77777777" w:rsidR="00245FDB" w:rsidRPr="00CE017E" w:rsidRDefault="00245FDB" w:rsidP="00CE017E">
      <w:pPr>
        <w:pStyle w:val="Default"/>
        <w:jc w:val="center"/>
        <w:rPr>
          <w:rFonts w:asciiTheme="minorHAnsi" w:hAnsiTheme="minorHAnsi" w:cs="Calibri"/>
          <w:b/>
          <w:bCs/>
        </w:rPr>
      </w:pPr>
    </w:p>
    <w:p w14:paraId="63A1E30E" w14:textId="77777777" w:rsidR="00245FDB" w:rsidRPr="00CE017E" w:rsidRDefault="00245FDB" w:rsidP="00CE017E">
      <w:pPr>
        <w:pStyle w:val="Default"/>
        <w:jc w:val="center"/>
        <w:rPr>
          <w:rFonts w:asciiTheme="minorHAnsi" w:hAnsiTheme="minorHAnsi" w:cs="Calibri"/>
          <w:b/>
          <w:bCs/>
        </w:rPr>
      </w:pPr>
    </w:p>
    <w:p w14:paraId="54908B7E" w14:textId="77777777" w:rsidR="00245FDB" w:rsidRPr="00CE017E" w:rsidRDefault="00245FDB" w:rsidP="00CE017E">
      <w:pPr>
        <w:pStyle w:val="Default"/>
        <w:jc w:val="center"/>
        <w:rPr>
          <w:rFonts w:asciiTheme="minorHAnsi" w:hAnsiTheme="minorHAnsi" w:cs="Calibri"/>
          <w:b/>
          <w:bCs/>
        </w:rPr>
      </w:pPr>
    </w:p>
    <w:p w14:paraId="484440D5" w14:textId="77777777" w:rsidR="00245FDB" w:rsidRPr="00CE017E" w:rsidRDefault="00245FDB" w:rsidP="00CE017E">
      <w:pPr>
        <w:pStyle w:val="Default"/>
        <w:jc w:val="center"/>
        <w:rPr>
          <w:rFonts w:asciiTheme="minorHAnsi" w:hAnsiTheme="minorHAnsi" w:cs="Calibri"/>
          <w:b/>
          <w:bCs/>
        </w:rPr>
      </w:pPr>
    </w:p>
    <w:p w14:paraId="7D77FFF8" w14:textId="77777777" w:rsidR="00245FDB" w:rsidRPr="00CE017E" w:rsidRDefault="00245FDB" w:rsidP="00CE017E">
      <w:pPr>
        <w:pStyle w:val="Default"/>
        <w:jc w:val="center"/>
        <w:rPr>
          <w:rFonts w:asciiTheme="minorHAnsi" w:hAnsiTheme="minorHAnsi" w:cs="Calibri"/>
          <w:b/>
          <w:bCs/>
        </w:rPr>
      </w:pPr>
    </w:p>
    <w:p w14:paraId="1D445484" w14:textId="169100CC" w:rsidR="00941B61" w:rsidRPr="00CE017E" w:rsidRDefault="00363A2C" w:rsidP="00CE017E">
      <w:pPr>
        <w:numPr>
          <w:ilvl w:val="1"/>
          <w:numId w:val="0"/>
        </w:numPr>
        <w:spacing w:after="0" w:line="240" w:lineRule="auto"/>
        <w:jc w:val="center"/>
        <w:rPr>
          <w:rFonts w:eastAsiaTheme="majorEastAsia" w:cstheme="majorBidi"/>
          <w:b/>
          <w:iCs/>
          <w:spacing w:val="15"/>
          <w:sz w:val="24"/>
          <w:szCs w:val="24"/>
        </w:rPr>
      </w:pPr>
      <w:r w:rsidRPr="00CE017E">
        <w:rPr>
          <w:rFonts w:eastAsiaTheme="majorEastAsia" w:cstheme="majorBidi"/>
          <w:b/>
          <w:iCs/>
          <w:spacing w:val="15"/>
          <w:sz w:val="24"/>
          <w:szCs w:val="24"/>
        </w:rPr>
        <w:t>Assessment on Public Knowledge, Attitudes, and Practices Relating to Ebola Virus Disease (EVD) Prevention and Medical Care in Guinea</w:t>
      </w:r>
      <w:r w:rsidR="00941B61" w:rsidRPr="00CE017E">
        <w:rPr>
          <w:rFonts w:eastAsiaTheme="majorEastAsia" w:cstheme="majorBidi"/>
          <w:b/>
          <w:iCs/>
          <w:spacing w:val="15"/>
          <w:sz w:val="24"/>
          <w:szCs w:val="24"/>
        </w:rPr>
        <w:t>:</w:t>
      </w:r>
    </w:p>
    <w:p w14:paraId="13E32794" w14:textId="77777777" w:rsidR="00245FDB" w:rsidRPr="00CE017E" w:rsidRDefault="00245FDB" w:rsidP="00CE017E">
      <w:pPr>
        <w:pStyle w:val="Default"/>
        <w:jc w:val="center"/>
        <w:rPr>
          <w:rFonts w:asciiTheme="minorHAnsi" w:hAnsiTheme="minorHAnsi" w:cs="Calibri"/>
          <w:b/>
          <w:bCs/>
        </w:rPr>
      </w:pPr>
    </w:p>
    <w:p w14:paraId="0C721576" w14:textId="2F142D93" w:rsidR="00245FDB" w:rsidRPr="00273C2F" w:rsidRDefault="00245FDB" w:rsidP="00CE017E">
      <w:pPr>
        <w:pStyle w:val="Default"/>
        <w:jc w:val="center"/>
        <w:rPr>
          <w:rFonts w:asciiTheme="minorHAnsi" w:hAnsiTheme="minorHAnsi" w:cs="Calibri"/>
          <w:b/>
          <w:bCs/>
        </w:rPr>
      </w:pPr>
      <w:r w:rsidRPr="00C54866">
        <w:rPr>
          <w:rFonts w:asciiTheme="minorHAnsi" w:hAnsiTheme="minorHAnsi" w:cs="Calibri"/>
          <w:b/>
          <w:bCs/>
        </w:rPr>
        <w:t>Supporting Statement – Part</w:t>
      </w:r>
      <w:r w:rsidRPr="00BE7DA5">
        <w:rPr>
          <w:rFonts w:asciiTheme="minorHAnsi" w:hAnsiTheme="minorHAnsi" w:cs="Calibri"/>
          <w:b/>
          <w:bCs/>
        </w:rPr>
        <w:t xml:space="preserve"> B</w:t>
      </w:r>
    </w:p>
    <w:p w14:paraId="4B64CEAC" w14:textId="3FD5F9D5" w:rsidR="00941B61" w:rsidRPr="00273C2F" w:rsidRDefault="00941B61" w:rsidP="00CE017E">
      <w:pPr>
        <w:pStyle w:val="Default"/>
        <w:jc w:val="center"/>
        <w:rPr>
          <w:rFonts w:asciiTheme="minorHAnsi" w:hAnsiTheme="minorHAnsi" w:cs="Calibri"/>
          <w:b/>
          <w:bCs/>
        </w:rPr>
      </w:pPr>
      <w:r w:rsidRPr="00273C2F">
        <w:rPr>
          <w:rFonts w:asciiTheme="minorHAnsi" w:hAnsiTheme="minorHAnsi" w:cs="Calibri"/>
          <w:b/>
          <w:bCs/>
        </w:rPr>
        <w:t xml:space="preserve">Collections of Information Employing </w:t>
      </w:r>
      <w:r w:rsidR="00707C6C" w:rsidRPr="00273C2F">
        <w:rPr>
          <w:rFonts w:asciiTheme="minorHAnsi" w:hAnsiTheme="minorHAnsi" w:cs="Calibri"/>
          <w:b/>
          <w:bCs/>
        </w:rPr>
        <w:t>Statistical</w:t>
      </w:r>
      <w:r w:rsidRPr="00273C2F">
        <w:rPr>
          <w:rFonts w:asciiTheme="minorHAnsi" w:hAnsiTheme="minorHAnsi" w:cs="Calibri"/>
          <w:b/>
          <w:bCs/>
        </w:rPr>
        <w:t xml:space="preserve"> Methods</w:t>
      </w:r>
    </w:p>
    <w:p w14:paraId="3B4506BD" w14:textId="77777777" w:rsidR="00707C6C" w:rsidRPr="00273C2F" w:rsidRDefault="00707C6C" w:rsidP="00CE017E">
      <w:pPr>
        <w:pStyle w:val="Default"/>
        <w:jc w:val="center"/>
        <w:rPr>
          <w:rFonts w:asciiTheme="minorHAnsi" w:hAnsiTheme="minorHAnsi" w:cs="Calibri"/>
          <w:b/>
          <w:bCs/>
        </w:rPr>
      </w:pPr>
    </w:p>
    <w:p w14:paraId="0F7EA3B1" w14:textId="77777777" w:rsidR="00707C6C" w:rsidRPr="00273C2F" w:rsidRDefault="00707C6C" w:rsidP="00CE017E">
      <w:pPr>
        <w:numPr>
          <w:ilvl w:val="1"/>
          <w:numId w:val="0"/>
        </w:numPr>
        <w:spacing w:after="0" w:line="240" w:lineRule="auto"/>
        <w:jc w:val="center"/>
        <w:rPr>
          <w:rFonts w:eastAsiaTheme="majorEastAsia" w:cstheme="majorBidi"/>
          <w:b/>
          <w:iCs/>
          <w:spacing w:val="15"/>
          <w:sz w:val="24"/>
          <w:szCs w:val="24"/>
        </w:rPr>
      </w:pPr>
      <w:r w:rsidRPr="00273C2F">
        <w:rPr>
          <w:rFonts w:eastAsiaTheme="majorEastAsia" w:cstheme="majorBidi"/>
          <w:b/>
          <w:iCs/>
          <w:spacing w:val="15"/>
          <w:sz w:val="24"/>
          <w:szCs w:val="24"/>
        </w:rPr>
        <w:t>NEW</w:t>
      </w:r>
    </w:p>
    <w:p w14:paraId="085A6F22" w14:textId="77777777" w:rsidR="00707C6C" w:rsidRPr="00273C2F" w:rsidRDefault="00707C6C" w:rsidP="00CE017E">
      <w:pPr>
        <w:numPr>
          <w:ilvl w:val="1"/>
          <w:numId w:val="0"/>
        </w:numPr>
        <w:spacing w:after="0" w:line="240" w:lineRule="auto"/>
        <w:jc w:val="center"/>
        <w:rPr>
          <w:rFonts w:eastAsiaTheme="majorEastAsia" w:cstheme="majorBidi"/>
          <w:b/>
          <w:iCs/>
          <w:spacing w:val="15"/>
          <w:sz w:val="24"/>
          <w:szCs w:val="24"/>
        </w:rPr>
      </w:pPr>
      <w:r w:rsidRPr="00273C2F">
        <w:rPr>
          <w:rFonts w:eastAsiaTheme="majorEastAsia" w:cstheme="majorBidi"/>
          <w:b/>
          <w:iCs/>
          <w:spacing w:val="15"/>
          <w:sz w:val="24"/>
          <w:szCs w:val="24"/>
        </w:rPr>
        <w:t>Emergency Request</w:t>
      </w:r>
    </w:p>
    <w:p w14:paraId="0FAE084B" w14:textId="77777777" w:rsidR="00245FDB" w:rsidRPr="00273C2F" w:rsidRDefault="00245FDB" w:rsidP="00CE017E">
      <w:pPr>
        <w:pStyle w:val="Default"/>
        <w:jc w:val="center"/>
        <w:rPr>
          <w:rFonts w:asciiTheme="minorHAnsi" w:hAnsiTheme="minorHAnsi" w:cs="Calibri"/>
          <w:b/>
          <w:bCs/>
        </w:rPr>
      </w:pPr>
    </w:p>
    <w:p w14:paraId="2280D01B" w14:textId="40F35789" w:rsidR="00245FDB" w:rsidRPr="00273C2F" w:rsidRDefault="00552D8B" w:rsidP="00CE017E">
      <w:pPr>
        <w:pStyle w:val="Default"/>
        <w:jc w:val="center"/>
        <w:rPr>
          <w:rFonts w:asciiTheme="minorHAnsi" w:hAnsiTheme="minorHAnsi" w:cs="Calibri"/>
          <w:b/>
          <w:bCs/>
        </w:rPr>
      </w:pPr>
      <w:r w:rsidRPr="00273C2F">
        <w:rPr>
          <w:rFonts w:asciiTheme="minorHAnsi" w:hAnsiTheme="minorHAnsi" w:cs="Calibri"/>
          <w:b/>
          <w:bCs/>
        </w:rPr>
        <w:t xml:space="preserve">May </w:t>
      </w:r>
      <w:r w:rsidR="009D12CA">
        <w:rPr>
          <w:rFonts w:asciiTheme="minorHAnsi" w:hAnsiTheme="minorHAnsi" w:cs="Calibri"/>
          <w:b/>
          <w:bCs/>
        </w:rPr>
        <w:t>7</w:t>
      </w:r>
      <w:r w:rsidR="00363A2C" w:rsidRPr="00273C2F">
        <w:rPr>
          <w:rFonts w:asciiTheme="minorHAnsi" w:hAnsiTheme="minorHAnsi" w:cs="Calibri"/>
          <w:b/>
          <w:bCs/>
        </w:rPr>
        <w:t>, 2015</w:t>
      </w:r>
    </w:p>
    <w:p w14:paraId="42BC71C0" w14:textId="77777777" w:rsidR="00245FDB" w:rsidRPr="00273C2F" w:rsidRDefault="00245FDB" w:rsidP="00CE017E">
      <w:pPr>
        <w:pStyle w:val="Default"/>
        <w:jc w:val="center"/>
        <w:rPr>
          <w:rFonts w:asciiTheme="minorHAnsi" w:hAnsiTheme="minorHAnsi" w:cs="Calibri"/>
          <w:b/>
          <w:bCs/>
        </w:rPr>
      </w:pPr>
    </w:p>
    <w:p w14:paraId="5264B9B3" w14:textId="77777777" w:rsidR="00245FDB" w:rsidRPr="00273C2F" w:rsidRDefault="00245FDB" w:rsidP="00CE017E">
      <w:pPr>
        <w:pStyle w:val="Default"/>
        <w:jc w:val="center"/>
        <w:rPr>
          <w:rFonts w:asciiTheme="minorHAnsi" w:hAnsiTheme="minorHAnsi" w:cs="Calibri"/>
          <w:b/>
          <w:bCs/>
        </w:rPr>
      </w:pPr>
    </w:p>
    <w:p w14:paraId="7D34F7E4" w14:textId="77777777" w:rsidR="00245FDB" w:rsidRPr="00273C2F" w:rsidRDefault="00245FDB" w:rsidP="00CE017E">
      <w:pPr>
        <w:pStyle w:val="Default"/>
        <w:jc w:val="center"/>
        <w:rPr>
          <w:rFonts w:asciiTheme="minorHAnsi" w:hAnsiTheme="minorHAnsi" w:cs="Calibri"/>
          <w:b/>
          <w:bCs/>
        </w:rPr>
      </w:pPr>
    </w:p>
    <w:p w14:paraId="7416ED4C" w14:textId="77777777" w:rsidR="00245FDB" w:rsidRPr="00273C2F" w:rsidRDefault="00245FDB" w:rsidP="00CE017E">
      <w:pPr>
        <w:pStyle w:val="Default"/>
        <w:jc w:val="center"/>
        <w:rPr>
          <w:rFonts w:asciiTheme="minorHAnsi" w:hAnsiTheme="minorHAnsi" w:cs="Calibri"/>
          <w:b/>
          <w:bCs/>
        </w:rPr>
      </w:pPr>
    </w:p>
    <w:p w14:paraId="2E9A6609" w14:textId="77777777" w:rsidR="00245FDB" w:rsidRPr="00273C2F" w:rsidRDefault="00245FDB" w:rsidP="00CE017E">
      <w:pPr>
        <w:pStyle w:val="Default"/>
        <w:jc w:val="center"/>
        <w:rPr>
          <w:rFonts w:asciiTheme="minorHAnsi" w:hAnsiTheme="minorHAnsi" w:cs="Calibri"/>
          <w:b/>
          <w:bCs/>
        </w:rPr>
      </w:pPr>
    </w:p>
    <w:p w14:paraId="7449309F" w14:textId="77777777" w:rsidR="00363A2C" w:rsidRPr="00273C2F" w:rsidRDefault="00363A2C" w:rsidP="00CE017E">
      <w:pPr>
        <w:spacing w:after="0" w:line="240" w:lineRule="auto"/>
        <w:jc w:val="center"/>
        <w:rPr>
          <w:b/>
          <w:sz w:val="24"/>
          <w:szCs w:val="24"/>
          <w:u w:val="single"/>
        </w:rPr>
      </w:pPr>
      <w:r w:rsidRPr="00273C2F">
        <w:rPr>
          <w:b/>
          <w:sz w:val="24"/>
          <w:szCs w:val="24"/>
          <w:u w:val="single"/>
        </w:rPr>
        <w:t>Program Official/Project Officer</w:t>
      </w:r>
    </w:p>
    <w:p w14:paraId="36DB3D4C" w14:textId="77777777" w:rsidR="00363A2C" w:rsidRPr="00273C2F" w:rsidRDefault="00363A2C" w:rsidP="00CE017E">
      <w:pPr>
        <w:spacing w:after="0" w:line="240" w:lineRule="auto"/>
        <w:jc w:val="center"/>
        <w:rPr>
          <w:sz w:val="24"/>
          <w:szCs w:val="24"/>
        </w:rPr>
      </w:pPr>
      <w:r w:rsidRPr="00273C2F">
        <w:rPr>
          <w:sz w:val="24"/>
          <w:szCs w:val="24"/>
        </w:rPr>
        <w:t>Name: Barbara Marston, MD</w:t>
      </w:r>
    </w:p>
    <w:p w14:paraId="13CB5811" w14:textId="77777777" w:rsidR="00363A2C" w:rsidRPr="00273C2F" w:rsidRDefault="00363A2C" w:rsidP="00CE017E">
      <w:pPr>
        <w:spacing w:after="0" w:line="240" w:lineRule="auto"/>
        <w:jc w:val="center"/>
        <w:rPr>
          <w:sz w:val="24"/>
          <w:szCs w:val="24"/>
        </w:rPr>
      </w:pPr>
      <w:r w:rsidRPr="00273C2F">
        <w:rPr>
          <w:sz w:val="24"/>
          <w:szCs w:val="24"/>
        </w:rPr>
        <w:t>Title: Lead, International Task Force, Ebola Response</w:t>
      </w:r>
    </w:p>
    <w:p w14:paraId="7AFE3447" w14:textId="77777777" w:rsidR="00363A2C" w:rsidRPr="00273C2F" w:rsidRDefault="00363A2C" w:rsidP="00CE017E">
      <w:pPr>
        <w:spacing w:after="0" w:line="240" w:lineRule="auto"/>
        <w:jc w:val="center"/>
        <w:rPr>
          <w:sz w:val="24"/>
          <w:szCs w:val="24"/>
        </w:rPr>
      </w:pPr>
      <w:r w:rsidRPr="00273C2F">
        <w:rPr>
          <w:sz w:val="24"/>
          <w:szCs w:val="24"/>
        </w:rPr>
        <w:t>Organization: Centers for Disease Control</w:t>
      </w:r>
    </w:p>
    <w:p w14:paraId="0528792A" w14:textId="77777777" w:rsidR="00363A2C" w:rsidRPr="00273C2F" w:rsidRDefault="00363A2C" w:rsidP="00CE017E">
      <w:pPr>
        <w:spacing w:after="0" w:line="240" w:lineRule="auto"/>
        <w:jc w:val="center"/>
        <w:rPr>
          <w:sz w:val="24"/>
          <w:szCs w:val="24"/>
        </w:rPr>
      </w:pPr>
      <w:r w:rsidRPr="00273C2F">
        <w:rPr>
          <w:sz w:val="24"/>
          <w:szCs w:val="24"/>
        </w:rPr>
        <w:t>Address: 1600 Clifton Road, Atlanta, GA</w:t>
      </w:r>
    </w:p>
    <w:p w14:paraId="76DC909B" w14:textId="3943CAB1" w:rsidR="00363A2C" w:rsidRPr="00273C2F" w:rsidRDefault="00363A2C" w:rsidP="00CE017E">
      <w:pPr>
        <w:spacing w:after="0" w:line="240" w:lineRule="auto"/>
        <w:jc w:val="center"/>
        <w:rPr>
          <w:sz w:val="24"/>
          <w:szCs w:val="24"/>
        </w:rPr>
      </w:pPr>
      <w:r w:rsidRPr="00273C2F">
        <w:rPr>
          <w:sz w:val="24"/>
          <w:szCs w:val="24"/>
        </w:rPr>
        <w:t>Phone number:  404-553-7870</w:t>
      </w:r>
    </w:p>
    <w:p w14:paraId="06A47D54" w14:textId="77777777" w:rsidR="00363A2C" w:rsidRPr="00273C2F" w:rsidRDefault="00363A2C" w:rsidP="00CE017E">
      <w:pPr>
        <w:spacing w:after="0" w:line="240" w:lineRule="auto"/>
        <w:jc w:val="center"/>
        <w:rPr>
          <w:sz w:val="24"/>
          <w:szCs w:val="24"/>
        </w:rPr>
      </w:pPr>
      <w:r w:rsidRPr="00273C2F">
        <w:rPr>
          <w:sz w:val="24"/>
          <w:szCs w:val="24"/>
        </w:rPr>
        <w:t>Email: BMarston@cdc.gov</w:t>
      </w:r>
    </w:p>
    <w:p w14:paraId="6F68AC18" w14:textId="77777777" w:rsidR="00245FDB" w:rsidRPr="00273C2F" w:rsidRDefault="00245FDB" w:rsidP="00CE017E">
      <w:pPr>
        <w:pStyle w:val="Default"/>
        <w:jc w:val="center"/>
        <w:rPr>
          <w:rFonts w:asciiTheme="minorHAnsi" w:hAnsiTheme="minorHAnsi" w:cs="Calibri"/>
          <w:b/>
          <w:bCs/>
        </w:rPr>
      </w:pPr>
      <w:r w:rsidRPr="00273C2F">
        <w:rPr>
          <w:rFonts w:asciiTheme="minorHAnsi" w:hAnsiTheme="minorHAnsi" w:cs="Calibri"/>
          <w:b/>
          <w:bCs/>
        </w:rPr>
        <w:br w:type="page"/>
      </w:r>
    </w:p>
    <w:p w14:paraId="1D9F17D8" w14:textId="77777777" w:rsidR="00A8294D" w:rsidRPr="00273C2F" w:rsidRDefault="00A8294D" w:rsidP="00CE017E">
      <w:pPr>
        <w:pStyle w:val="Default"/>
        <w:rPr>
          <w:rFonts w:asciiTheme="minorHAnsi" w:hAnsiTheme="minorHAnsi" w:cs="Calibri"/>
          <w:b/>
          <w:bCs/>
        </w:rPr>
      </w:pPr>
      <w:r w:rsidRPr="00273C2F">
        <w:rPr>
          <w:rFonts w:asciiTheme="minorHAnsi" w:hAnsiTheme="minorHAnsi" w:cs="Calibri"/>
          <w:b/>
          <w:bCs/>
        </w:rPr>
        <w:lastRenderedPageBreak/>
        <w:t>TABLE OF CONTENTS</w:t>
      </w:r>
    </w:p>
    <w:p w14:paraId="7B628E82" w14:textId="77777777" w:rsidR="00A8294D" w:rsidRPr="00273C2F" w:rsidRDefault="00A8294D" w:rsidP="00C54866">
      <w:pPr>
        <w:pStyle w:val="Default"/>
        <w:rPr>
          <w:rFonts w:asciiTheme="minorHAnsi" w:hAnsiTheme="minorHAnsi" w:cs="Calibri"/>
          <w:b/>
          <w:bCs/>
        </w:rPr>
      </w:pPr>
    </w:p>
    <w:p w14:paraId="0F9A5362" w14:textId="096EAB95" w:rsidR="00BC15BA" w:rsidRPr="00273C2F" w:rsidRDefault="00BC15BA" w:rsidP="00C54866">
      <w:pPr>
        <w:autoSpaceDE w:val="0"/>
        <w:autoSpaceDN w:val="0"/>
        <w:adjustRightInd w:val="0"/>
        <w:spacing w:after="0" w:line="240" w:lineRule="auto"/>
        <w:rPr>
          <w:rFonts w:cs="Calibri"/>
          <w:b/>
          <w:bCs/>
          <w:color w:val="000000"/>
          <w:sz w:val="24"/>
          <w:szCs w:val="24"/>
        </w:rPr>
      </w:pPr>
      <w:r w:rsidRPr="00273C2F">
        <w:rPr>
          <w:rFonts w:cs="Calibri"/>
          <w:b/>
          <w:bCs/>
          <w:color w:val="000000"/>
          <w:sz w:val="24"/>
          <w:szCs w:val="24"/>
        </w:rPr>
        <w:t>B. Collections of Information</w:t>
      </w:r>
      <w:r w:rsidR="00A8294D" w:rsidRPr="00273C2F">
        <w:rPr>
          <w:rFonts w:cs="Calibri"/>
          <w:b/>
          <w:bCs/>
          <w:color w:val="000000"/>
          <w:sz w:val="24"/>
          <w:szCs w:val="24"/>
        </w:rPr>
        <w:t xml:space="preserve"> Employing Statistical Methods</w:t>
      </w:r>
    </w:p>
    <w:p w14:paraId="2E7D9026" w14:textId="77777777" w:rsidR="00BC15BA" w:rsidRPr="00273C2F" w:rsidRDefault="00BC15BA" w:rsidP="00BE7DA5">
      <w:pPr>
        <w:autoSpaceDE w:val="0"/>
        <w:autoSpaceDN w:val="0"/>
        <w:adjustRightInd w:val="0"/>
        <w:spacing w:after="0" w:line="240" w:lineRule="auto"/>
        <w:ind w:left="612" w:hanging="270"/>
        <w:rPr>
          <w:rFonts w:cs="Calibri"/>
          <w:color w:val="000000"/>
          <w:sz w:val="24"/>
          <w:szCs w:val="24"/>
        </w:rPr>
      </w:pPr>
      <w:r w:rsidRPr="00273C2F">
        <w:rPr>
          <w:rFonts w:cs="Calibri"/>
          <w:bCs/>
          <w:color w:val="000000"/>
          <w:sz w:val="24"/>
          <w:szCs w:val="24"/>
        </w:rPr>
        <w:t xml:space="preserve">1. Respondent Universe and Sampling Methods </w:t>
      </w:r>
    </w:p>
    <w:p w14:paraId="220FC877" w14:textId="77777777" w:rsidR="00BC15BA" w:rsidRPr="00273C2F" w:rsidRDefault="00BC15BA" w:rsidP="00273C2F">
      <w:pPr>
        <w:autoSpaceDE w:val="0"/>
        <w:autoSpaceDN w:val="0"/>
        <w:adjustRightInd w:val="0"/>
        <w:spacing w:after="0" w:line="240" w:lineRule="auto"/>
        <w:ind w:left="585" w:hanging="243"/>
        <w:rPr>
          <w:rFonts w:cs="Calibri"/>
          <w:color w:val="000000"/>
          <w:sz w:val="24"/>
          <w:szCs w:val="24"/>
        </w:rPr>
      </w:pPr>
      <w:r w:rsidRPr="00273C2F">
        <w:rPr>
          <w:rFonts w:cs="Calibri"/>
          <w:bCs/>
          <w:color w:val="000000"/>
          <w:sz w:val="24"/>
          <w:szCs w:val="24"/>
        </w:rPr>
        <w:t xml:space="preserve">2. Procedures for the Collection of Information </w:t>
      </w:r>
    </w:p>
    <w:p w14:paraId="528A3BB8" w14:textId="77777777" w:rsidR="00BC15BA" w:rsidRPr="00273C2F" w:rsidRDefault="00BC15BA" w:rsidP="00273C2F">
      <w:pPr>
        <w:autoSpaceDE w:val="0"/>
        <w:autoSpaceDN w:val="0"/>
        <w:adjustRightInd w:val="0"/>
        <w:spacing w:after="0" w:line="240" w:lineRule="auto"/>
        <w:ind w:left="612" w:hanging="270"/>
        <w:rPr>
          <w:rFonts w:cs="Calibri"/>
          <w:color w:val="000000"/>
          <w:sz w:val="24"/>
          <w:szCs w:val="24"/>
        </w:rPr>
      </w:pPr>
      <w:r w:rsidRPr="00273C2F">
        <w:rPr>
          <w:rFonts w:cs="Calibri"/>
          <w:bCs/>
          <w:color w:val="000000"/>
          <w:sz w:val="24"/>
          <w:szCs w:val="24"/>
        </w:rPr>
        <w:t xml:space="preserve">3. Methods to Maximize Response Rates and Deal with Nonresponse </w:t>
      </w:r>
    </w:p>
    <w:p w14:paraId="1C21EE6B" w14:textId="77777777" w:rsidR="00BC15BA" w:rsidRPr="00273C2F" w:rsidRDefault="00BC15BA" w:rsidP="00273C2F">
      <w:pPr>
        <w:autoSpaceDE w:val="0"/>
        <w:autoSpaceDN w:val="0"/>
        <w:adjustRightInd w:val="0"/>
        <w:spacing w:after="0" w:line="240" w:lineRule="auto"/>
        <w:ind w:left="612" w:hanging="270"/>
        <w:rPr>
          <w:rFonts w:cs="Calibri"/>
          <w:color w:val="000000"/>
          <w:sz w:val="24"/>
          <w:szCs w:val="24"/>
        </w:rPr>
      </w:pPr>
      <w:r w:rsidRPr="00273C2F">
        <w:rPr>
          <w:rFonts w:cs="Calibri"/>
          <w:bCs/>
          <w:color w:val="000000"/>
          <w:sz w:val="24"/>
          <w:szCs w:val="24"/>
        </w:rPr>
        <w:t xml:space="preserve">4. Tests of Procedures or Methods to be </w:t>
      </w:r>
      <w:proofErr w:type="gramStart"/>
      <w:r w:rsidRPr="00273C2F">
        <w:rPr>
          <w:rFonts w:cs="Calibri"/>
          <w:bCs/>
          <w:color w:val="000000"/>
          <w:sz w:val="24"/>
          <w:szCs w:val="24"/>
        </w:rPr>
        <w:t>Undertaken</w:t>
      </w:r>
      <w:proofErr w:type="gramEnd"/>
    </w:p>
    <w:p w14:paraId="5CC439EA" w14:textId="3ACCB72E" w:rsidR="00A8294D" w:rsidRPr="00273C2F" w:rsidRDefault="00BC15BA" w:rsidP="00273C2F">
      <w:pPr>
        <w:autoSpaceDE w:val="0"/>
        <w:autoSpaceDN w:val="0"/>
        <w:adjustRightInd w:val="0"/>
        <w:spacing w:after="0" w:line="240" w:lineRule="auto"/>
        <w:ind w:left="540" w:hanging="198"/>
        <w:rPr>
          <w:rFonts w:cs="Calibri"/>
          <w:bCs/>
          <w:color w:val="000000"/>
          <w:sz w:val="24"/>
          <w:szCs w:val="24"/>
        </w:rPr>
      </w:pPr>
      <w:r w:rsidRPr="00273C2F">
        <w:rPr>
          <w:rFonts w:cs="Calibri"/>
          <w:bCs/>
          <w:color w:val="000000"/>
          <w:sz w:val="24"/>
          <w:szCs w:val="24"/>
        </w:rPr>
        <w:t>5. Individuals Consulted on Statistical Aspects and Individuals C</w:t>
      </w:r>
      <w:r w:rsidR="00A8294D" w:rsidRPr="00273C2F">
        <w:rPr>
          <w:rFonts w:cs="Calibri"/>
          <w:bCs/>
          <w:color w:val="000000"/>
          <w:sz w:val="24"/>
          <w:szCs w:val="24"/>
        </w:rPr>
        <w:t xml:space="preserve">ollecting and/or Analyzing </w:t>
      </w:r>
      <w:r w:rsidRPr="00273C2F">
        <w:rPr>
          <w:rFonts w:cs="Calibri"/>
          <w:bCs/>
          <w:color w:val="000000"/>
          <w:sz w:val="24"/>
          <w:szCs w:val="24"/>
        </w:rPr>
        <w:t>Data</w:t>
      </w:r>
    </w:p>
    <w:p w14:paraId="6EEEA4F0" w14:textId="77777777" w:rsidR="00A8294D" w:rsidRPr="00273C2F" w:rsidRDefault="00A8294D" w:rsidP="00273C2F">
      <w:pPr>
        <w:autoSpaceDE w:val="0"/>
        <w:autoSpaceDN w:val="0"/>
        <w:adjustRightInd w:val="0"/>
        <w:spacing w:after="0" w:line="240" w:lineRule="auto"/>
        <w:rPr>
          <w:rFonts w:cs="Calibri"/>
          <w:bCs/>
          <w:color w:val="000000"/>
          <w:sz w:val="24"/>
          <w:szCs w:val="24"/>
        </w:rPr>
      </w:pPr>
    </w:p>
    <w:p w14:paraId="0EDE2817" w14:textId="77777777" w:rsidR="00A92E61" w:rsidRPr="00273C2F" w:rsidRDefault="00A92E61" w:rsidP="00273C2F">
      <w:pPr>
        <w:autoSpaceDE w:val="0"/>
        <w:autoSpaceDN w:val="0"/>
        <w:adjustRightInd w:val="0"/>
        <w:spacing w:after="0" w:line="240" w:lineRule="auto"/>
        <w:rPr>
          <w:rFonts w:cs="Calibri"/>
          <w:b/>
          <w:bCs/>
          <w:color w:val="000000"/>
          <w:sz w:val="24"/>
          <w:szCs w:val="24"/>
        </w:rPr>
      </w:pPr>
    </w:p>
    <w:p w14:paraId="65CE63F7" w14:textId="75B91AEA" w:rsidR="00AF685B" w:rsidRPr="00273C2F" w:rsidRDefault="00A8294D" w:rsidP="00273C2F">
      <w:pPr>
        <w:autoSpaceDE w:val="0"/>
        <w:autoSpaceDN w:val="0"/>
        <w:adjustRightInd w:val="0"/>
        <w:spacing w:after="0" w:line="240" w:lineRule="auto"/>
        <w:rPr>
          <w:rFonts w:cs="Calibri"/>
          <w:b/>
          <w:bCs/>
          <w:color w:val="000000"/>
          <w:sz w:val="24"/>
          <w:szCs w:val="24"/>
        </w:rPr>
      </w:pPr>
      <w:r w:rsidRPr="00273C2F">
        <w:rPr>
          <w:rFonts w:cs="Calibri"/>
          <w:b/>
          <w:bCs/>
          <w:color w:val="000000"/>
          <w:sz w:val="24"/>
          <w:szCs w:val="24"/>
        </w:rPr>
        <w:t>List of Attachments</w:t>
      </w:r>
    </w:p>
    <w:p w14:paraId="39DDF05E" w14:textId="77777777" w:rsidR="00AF685B" w:rsidRDefault="00AF685B" w:rsidP="00273C2F">
      <w:pPr>
        <w:autoSpaceDE w:val="0"/>
        <w:autoSpaceDN w:val="0"/>
        <w:adjustRightInd w:val="0"/>
        <w:spacing w:after="0" w:line="240" w:lineRule="auto"/>
        <w:ind w:firstLine="360"/>
        <w:rPr>
          <w:rFonts w:cs="Calibri"/>
          <w:bCs/>
          <w:color w:val="000000"/>
          <w:sz w:val="24"/>
          <w:szCs w:val="24"/>
        </w:rPr>
      </w:pPr>
      <w:r w:rsidRPr="00273C2F">
        <w:rPr>
          <w:rFonts w:cs="Calibri"/>
          <w:bCs/>
          <w:color w:val="000000"/>
          <w:sz w:val="24"/>
          <w:szCs w:val="24"/>
        </w:rPr>
        <w:t>Attachment 1. Authorizing Legislation</w:t>
      </w:r>
    </w:p>
    <w:p w14:paraId="54CD4F4F" w14:textId="55C5AB63" w:rsidR="00420CD1" w:rsidRPr="00273C2F" w:rsidRDefault="00420CD1" w:rsidP="00420CD1">
      <w:pPr>
        <w:autoSpaceDE w:val="0"/>
        <w:autoSpaceDN w:val="0"/>
        <w:adjustRightInd w:val="0"/>
        <w:spacing w:after="0" w:line="240" w:lineRule="auto"/>
        <w:ind w:firstLine="360"/>
        <w:rPr>
          <w:rFonts w:cs="Calibri"/>
          <w:bCs/>
          <w:color w:val="000000"/>
          <w:sz w:val="24"/>
          <w:szCs w:val="24"/>
        </w:rPr>
      </w:pPr>
      <w:r>
        <w:rPr>
          <w:rFonts w:cs="Calibri"/>
          <w:bCs/>
          <w:color w:val="000000"/>
          <w:sz w:val="24"/>
          <w:szCs w:val="24"/>
        </w:rPr>
        <w:t>Attachment 2. Research Determination and Letter of Support</w:t>
      </w:r>
    </w:p>
    <w:p w14:paraId="4190AA97" w14:textId="5271F8B6" w:rsidR="00664A8D" w:rsidRPr="00273C2F" w:rsidRDefault="00AF685B" w:rsidP="00273C2F">
      <w:pPr>
        <w:autoSpaceDE w:val="0"/>
        <w:autoSpaceDN w:val="0"/>
        <w:adjustRightInd w:val="0"/>
        <w:spacing w:after="0" w:line="240" w:lineRule="auto"/>
        <w:ind w:firstLine="360"/>
        <w:rPr>
          <w:rFonts w:cs="Calibri"/>
          <w:bCs/>
          <w:color w:val="000000"/>
          <w:sz w:val="24"/>
          <w:szCs w:val="24"/>
        </w:rPr>
      </w:pPr>
      <w:r w:rsidRPr="00273C2F">
        <w:rPr>
          <w:rFonts w:cs="Calibri"/>
          <w:bCs/>
          <w:color w:val="000000"/>
          <w:sz w:val="24"/>
          <w:szCs w:val="24"/>
        </w:rPr>
        <w:t xml:space="preserve">Attachment </w:t>
      </w:r>
      <w:r w:rsidR="00420CD1">
        <w:rPr>
          <w:rFonts w:cs="Calibri"/>
          <w:bCs/>
          <w:color w:val="000000"/>
          <w:sz w:val="24"/>
          <w:szCs w:val="24"/>
        </w:rPr>
        <w:t>3</w:t>
      </w:r>
      <w:r w:rsidRPr="00273C2F">
        <w:rPr>
          <w:rFonts w:cs="Calibri"/>
          <w:bCs/>
          <w:color w:val="000000"/>
          <w:sz w:val="24"/>
          <w:szCs w:val="24"/>
        </w:rPr>
        <w:t xml:space="preserve">. </w:t>
      </w:r>
      <w:r w:rsidR="00664A8D" w:rsidRPr="00273C2F">
        <w:rPr>
          <w:rFonts w:cs="Calibri"/>
          <w:bCs/>
          <w:color w:val="000000"/>
          <w:sz w:val="24"/>
          <w:szCs w:val="24"/>
        </w:rPr>
        <w:t xml:space="preserve">Introductory Script and Consent – Community Leader </w:t>
      </w:r>
    </w:p>
    <w:p w14:paraId="65ED2AA3" w14:textId="795F4511" w:rsidR="00664A8D" w:rsidRPr="00273C2F" w:rsidRDefault="00664A8D" w:rsidP="00273C2F">
      <w:pPr>
        <w:autoSpaceDE w:val="0"/>
        <w:autoSpaceDN w:val="0"/>
        <w:adjustRightInd w:val="0"/>
        <w:spacing w:after="0" w:line="240" w:lineRule="auto"/>
        <w:ind w:firstLine="360"/>
        <w:rPr>
          <w:rFonts w:cs="Calibri"/>
          <w:bCs/>
          <w:color w:val="000000"/>
          <w:sz w:val="24"/>
          <w:szCs w:val="24"/>
        </w:rPr>
      </w:pPr>
      <w:r w:rsidRPr="00273C2F">
        <w:rPr>
          <w:rFonts w:cs="Calibri"/>
          <w:bCs/>
          <w:color w:val="000000"/>
          <w:sz w:val="24"/>
          <w:szCs w:val="24"/>
        </w:rPr>
        <w:t xml:space="preserve">Attachment </w:t>
      </w:r>
      <w:r w:rsidR="00420CD1">
        <w:rPr>
          <w:rFonts w:cs="Calibri"/>
          <w:bCs/>
          <w:color w:val="000000"/>
          <w:sz w:val="24"/>
          <w:szCs w:val="24"/>
        </w:rPr>
        <w:t>4</w:t>
      </w:r>
      <w:r w:rsidRPr="00273C2F">
        <w:rPr>
          <w:rFonts w:cs="Calibri"/>
          <w:bCs/>
          <w:color w:val="000000"/>
          <w:sz w:val="24"/>
          <w:szCs w:val="24"/>
        </w:rPr>
        <w:t>. Information Collection Instrument – Community Leader</w:t>
      </w:r>
    </w:p>
    <w:p w14:paraId="4DE9B2F1" w14:textId="56E98D0B" w:rsidR="0044778F" w:rsidRPr="00273C2F" w:rsidRDefault="0044778F" w:rsidP="00273C2F">
      <w:pPr>
        <w:autoSpaceDE w:val="0"/>
        <w:autoSpaceDN w:val="0"/>
        <w:adjustRightInd w:val="0"/>
        <w:spacing w:after="0" w:line="240" w:lineRule="auto"/>
        <w:ind w:firstLine="360"/>
        <w:rPr>
          <w:rFonts w:cs="Calibri"/>
          <w:bCs/>
          <w:color w:val="000000"/>
          <w:sz w:val="24"/>
          <w:szCs w:val="24"/>
        </w:rPr>
      </w:pPr>
      <w:r w:rsidRPr="00273C2F">
        <w:rPr>
          <w:rFonts w:cs="Calibri"/>
          <w:bCs/>
          <w:color w:val="000000"/>
          <w:sz w:val="24"/>
          <w:szCs w:val="24"/>
        </w:rPr>
        <w:t xml:space="preserve">Attachment </w:t>
      </w:r>
      <w:r w:rsidR="00420CD1">
        <w:rPr>
          <w:rFonts w:cs="Calibri"/>
          <w:bCs/>
          <w:color w:val="000000"/>
          <w:sz w:val="24"/>
          <w:szCs w:val="24"/>
        </w:rPr>
        <w:t>5</w:t>
      </w:r>
      <w:r w:rsidRPr="00273C2F">
        <w:rPr>
          <w:rFonts w:cs="Calibri"/>
          <w:bCs/>
          <w:color w:val="000000"/>
          <w:sz w:val="24"/>
          <w:szCs w:val="24"/>
        </w:rPr>
        <w:t xml:space="preserve">. </w:t>
      </w:r>
      <w:r w:rsidR="0014086A" w:rsidRPr="00273C2F">
        <w:rPr>
          <w:rFonts w:cs="Calibri"/>
          <w:bCs/>
          <w:color w:val="000000"/>
          <w:sz w:val="24"/>
          <w:szCs w:val="24"/>
        </w:rPr>
        <w:t>Introductory Script</w:t>
      </w:r>
      <w:r w:rsidR="002A21CF" w:rsidRPr="00273C2F">
        <w:rPr>
          <w:rFonts w:cs="Calibri"/>
          <w:bCs/>
          <w:color w:val="000000"/>
          <w:sz w:val="24"/>
          <w:szCs w:val="24"/>
        </w:rPr>
        <w:t xml:space="preserve"> and Consent</w:t>
      </w:r>
      <w:r w:rsidR="0014086A" w:rsidRPr="00273C2F">
        <w:rPr>
          <w:rFonts w:cs="Calibri"/>
          <w:bCs/>
          <w:color w:val="000000"/>
          <w:sz w:val="24"/>
          <w:szCs w:val="24"/>
        </w:rPr>
        <w:t xml:space="preserve"> – Household</w:t>
      </w:r>
      <w:r w:rsidR="002A21CF" w:rsidRPr="00273C2F">
        <w:rPr>
          <w:rFonts w:cs="Calibri"/>
          <w:bCs/>
          <w:color w:val="000000"/>
          <w:sz w:val="24"/>
          <w:szCs w:val="24"/>
        </w:rPr>
        <w:t xml:space="preserve"> Members</w:t>
      </w:r>
    </w:p>
    <w:p w14:paraId="1982ADAE" w14:textId="58D4C02D" w:rsidR="0014086A" w:rsidRPr="00273C2F" w:rsidRDefault="0014086A" w:rsidP="00273C2F">
      <w:pPr>
        <w:autoSpaceDE w:val="0"/>
        <w:autoSpaceDN w:val="0"/>
        <w:adjustRightInd w:val="0"/>
        <w:spacing w:after="0" w:line="240" w:lineRule="auto"/>
        <w:ind w:firstLine="360"/>
        <w:rPr>
          <w:rFonts w:cs="Calibri"/>
          <w:bCs/>
          <w:color w:val="000000"/>
          <w:sz w:val="24"/>
          <w:szCs w:val="24"/>
        </w:rPr>
      </w:pPr>
      <w:r w:rsidRPr="00273C2F">
        <w:rPr>
          <w:rFonts w:cs="Calibri"/>
          <w:bCs/>
          <w:color w:val="000000"/>
          <w:sz w:val="24"/>
          <w:szCs w:val="24"/>
        </w:rPr>
        <w:t xml:space="preserve">Attachment </w:t>
      </w:r>
      <w:r w:rsidR="00420CD1">
        <w:rPr>
          <w:rFonts w:cs="Calibri"/>
          <w:bCs/>
          <w:color w:val="000000"/>
          <w:sz w:val="24"/>
          <w:szCs w:val="24"/>
        </w:rPr>
        <w:t>6</w:t>
      </w:r>
      <w:r w:rsidRPr="00273C2F">
        <w:rPr>
          <w:rFonts w:cs="Calibri"/>
          <w:bCs/>
          <w:color w:val="000000"/>
          <w:sz w:val="24"/>
          <w:szCs w:val="24"/>
        </w:rPr>
        <w:t xml:space="preserve">. Information Collection Instrument </w:t>
      </w:r>
      <w:r w:rsidR="002A21CF" w:rsidRPr="00273C2F">
        <w:rPr>
          <w:rFonts w:cs="Calibri"/>
          <w:bCs/>
          <w:color w:val="000000"/>
          <w:sz w:val="24"/>
          <w:szCs w:val="24"/>
        </w:rPr>
        <w:t>–</w:t>
      </w:r>
      <w:r w:rsidRPr="00273C2F">
        <w:rPr>
          <w:rFonts w:cs="Calibri"/>
          <w:bCs/>
          <w:color w:val="000000"/>
          <w:sz w:val="24"/>
          <w:szCs w:val="24"/>
        </w:rPr>
        <w:t xml:space="preserve"> Household</w:t>
      </w:r>
      <w:r w:rsidR="002A21CF" w:rsidRPr="00273C2F">
        <w:rPr>
          <w:rFonts w:cs="Calibri"/>
          <w:bCs/>
          <w:color w:val="000000"/>
          <w:sz w:val="24"/>
          <w:szCs w:val="24"/>
        </w:rPr>
        <w:t xml:space="preserve"> Members</w:t>
      </w:r>
    </w:p>
    <w:p w14:paraId="5143EE75" w14:textId="74DD6EBD" w:rsidR="0014086A" w:rsidRPr="00273C2F" w:rsidRDefault="00937F78" w:rsidP="00273C2F">
      <w:pPr>
        <w:autoSpaceDE w:val="0"/>
        <w:autoSpaceDN w:val="0"/>
        <w:adjustRightInd w:val="0"/>
        <w:spacing w:after="0" w:line="240" w:lineRule="auto"/>
        <w:ind w:firstLine="360"/>
        <w:rPr>
          <w:rFonts w:cs="Calibri"/>
          <w:bCs/>
          <w:color w:val="000000"/>
          <w:sz w:val="24"/>
          <w:szCs w:val="24"/>
        </w:rPr>
      </w:pPr>
      <w:r w:rsidRPr="00273C2F">
        <w:rPr>
          <w:rFonts w:cs="Calibri"/>
          <w:bCs/>
          <w:color w:val="000000"/>
          <w:sz w:val="24"/>
          <w:szCs w:val="24"/>
        </w:rPr>
        <w:t xml:space="preserve">Attachment </w:t>
      </w:r>
      <w:r w:rsidR="00420CD1">
        <w:rPr>
          <w:rFonts w:cs="Calibri"/>
          <w:bCs/>
          <w:color w:val="000000"/>
          <w:sz w:val="24"/>
          <w:szCs w:val="24"/>
        </w:rPr>
        <w:t>7</w:t>
      </w:r>
      <w:r w:rsidRPr="00273C2F">
        <w:rPr>
          <w:rFonts w:cs="Calibri"/>
          <w:bCs/>
          <w:color w:val="000000"/>
          <w:sz w:val="24"/>
          <w:szCs w:val="24"/>
        </w:rPr>
        <w:t xml:space="preserve">. Data </w:t>
      </w:r>
      <w:r w:rsidR="00606D8C" w:rsidRPr="00273C2F">
        <w:rPr>
          <w:rFonts w:cs="Calibri"/>
          <w:bCs/>
          <w:color w:val="000000"/>
          <w:sz w:val="24"/>
          <w:szCs w:val="24"/>
        </w:rPr>
        <w:t>M</w:t>
      </w:r>
      <w:r w:rsidRPr="00273C2F">
        <w:rPr>
          <w:rFonts w:cs="Calibri"/>
          <w:bCs/>
          <w:color w:val="000000"/>
          <w:sz w:val="24"/>
          <w:szCs w:val="24"/>
        </w:rPr>
        <w:t xml:space="preserve">anagement and </w:t>
      </w:r>
      <w:r w:rsidR="00606D8C" w:rsidRPr="00273C2F">
        <w:rPr>
          <w:rFonts w:cs="Calibri"/>
          <w:bCs/>
          <w:color w:val="000000"/>
          <w:sz w:val="24"/>
          <w:szCs w:val="24"/>
        </w:rPr>
        <w:t>A</w:t>
      </w:r>
      <w:r w:rsidRPr="00273C2F">
        <w:rPr>
          <w:rFonts w:cs="Calibri"/>
          <w:bCs/>
          <w:color w:val="000000"/>
          <w:sz w:val="24"/>
          <w:szCs w:val="24"/>
        </w:rPr>
        <w:t xml:space="preserve">nalysis </w:t>
      </w:r>
      <w:r w:rsidR="00606D8C" w:rsidRPr="00273C2F">
        <w:rPr>
          <w:rFonts w:cs="Calibri"/>
          <w:bCs/>
          <w:color w:val="000000"/>
          <w:sz w:val="24"/>
          <w:szCs w:val="24"/>
        </w:rPr>
        <w:t>P</w:t>
      </w:r>
      <w:r w:rsidRPr="00273C2F">
        <w:rPr>
          <w:rFonts w:cs="Calibri"/>
          <w:bCs/>
          <w:color w:val="000000"/>
          <w:sz w:val="24"/>
          <w:szCs w:val="24"/>
        </w:rPr>
        <w:t xml:space="preserve">lan </w:t>
      </w:r>
    </w:p>
    <w:p w14:paraId="361FE3CF" w14:textId="77777777" w:rsidR="00F7798D" w:rsidRPr="00273C2F" w:rsidRDefault="00F7798D" w:rsidP="00273C2F">
      <w:pPr>
        <w:autoSpaceDE w:val="0"/>
        <w:autoSpaceDN w:val="0"/>
        <w:adjustRightInd w:val="0"/>
        <w:spacing w:after="0" w:line="240" w:lineRule="auto"/>
        <w:ind w:firstLine="360"/>
        <w:rPr>
          <w:rFonts w:cs="Calibri"/>
          <w:color w:val="000000"/>
          <w:sz w:val="24"/>
          <w:szCs w:val="24"/>
        </w:rPr>
      </w:pPr>
    </w:p>
    <w:p w14:paraId="614BAB3D" w14:textId="3DD729D3" w:rsidR="0088366C" w:rsidRPr="00CE017E" w:rsidRDefault="00BC15BA" w:rsidP="002F28B3">
      <w:pPr>
        <w:autoSpaceDE w:val="0"/>
        <w:autoSpaceDN w:val="0"/>
        <w:adjustRightInd w:val="0"/>
        <w:spacing w:after="0" w:line="240" w:lineRule="auto"/>
        <w:rPr>
          <w:rFonts w:eastAsiaTheme="majorEastAsia" w:cstheme="majorBidi"/>
          <w:b/>
          <w:iCs/>
          <w:spacing w:val="15"/>
          <w:sz w:val="24"/>
          <w:szCs w:val="24"/>
        </w:rPr>
      </w:pPr>
      <w:r w:rsidRPr="00273C2F">
        <w:rPr>
          <w:rFonts w:cs="Calibri"/>
          <w:b/>
          <w:bCs/>
          <w:sz w:val="24"/>
          <w:szCs w:val="24"/>
        </w:rPr>
        <w:br w:type="page"/>
      </w:r>
    </w:p>
    <w:p w14:paraId="2EF52458" w14:textId="1C5631BF" w:rsidR="00363A2C" w:rsidRPr="00C54866" w:rsidRDefault="00363A2C" w:rsidP="009D12CA">
      <w:pPr>
        <w:numPr>
          <w:ilvl w:val="1"/>
          <w:numId w:val="0"/>
        </w:numPr>
        <w:spacing w:after="0" w:line="240" w:lineRule="auto"/>
        <w:jc w:val="center"/>
        <w:rPr>
          <w:rFonts w:eastAsiaTheme="majorEastAsia" w:cstheme="majorBidi"/>
          <w:b/>
          <w:iCs/>
          <w:spacing w:val="15"/>
          <w:sz w:val="24"/>
          <w:szCs w:val="24"/>
        </w:rPr>
      </w:pPr>
      <w:r w:rsidRPr="00CE017E">
        <w:rPr>
          <w:rFonts w:eastAsiaTheme="majorEastAsia" w:cstheme="majorBidi"/>
          <w:b/>
          <w:iCs/>
          <w:spacing w:val="15"/>
          <w:sz w:val="24"/>
          <w:szCs w:val="24"/>
        </w:rPr>
        <w:lastRenderedPageBreak/>
        <w:t>Ebola Virus Disease (EVD) Prevention and Medical Care in Guinea</w:t>
      </w:r>
    </w:p>
    <w:p w14:paraId="0D801977" w14:textId="7C1F4F40" w:rsidR="00363A2C" w:rsidRPr="00BE7DA5" w:rsidRDefault="00363A2C" w:rsidP="00CE017E">
      <w:pPr>
        <w:pStyle w:val="Default"/>
        <w:rPr>
          <w:rFonts w:asciiTheme="minorHAnsi" w:hAnsiTheme="minorHAnsi" w:cs="Calibri"/>
          <w:b/>
          <w:bCs/>
        </w:rPr>
      </w:pPr>
    </w:p>
    <w:p w14:paraId="563AA837" w14:textId="77777777" w:rsidR="00DD71DB" w:rsidRPr="00273C2F" w:rsidRDefault="00DD71DB" w:rsidP="00C54866">
      <w:pPr>
        <w:pStyle w:val="Default"/>
        <w:rPr>
          <w:rFonts w:asciiTheme="minorHAnsi" w:hAnsiTheme="minorHAnsi" w:cs="Calibri"/>
          <w:b/>
          <w:bCs/>
        </w:rPr>
      </w:pPr>
    </w:p>
    <w:p w14:paraId="0391C97E" w14:textId="77777777" w:rsidR="00C20BE5" w:rsidRPr="00273C2F" w:rsidRDefault="00C20BE5" w:rsidP="00C54866">
      <w:pPr>
        <w:autoSpaceDE w:val="0"/>
        <w:autoSpaceDN w:val="0"/>
        <w:adjustRightInd w:val="0"/>
        <w:spacing w:after="0" w:line="240" w:lineRule="auto"/>
        <w:rPr>
          <w:rFonts w:cs="Calibri"/>
          <w:color w:val="000000"/>
          <w:sz w:val="24"/>
          <w:szCs w:val="24"/>
        </w:rPr>
      </w:pPr>
      <w:r w:rsidRPr="00273C2F">
        <w:rPr>
          <w:rFonts w:cs="Calibri"/>
          <w:b/>
          <w:bCs/>
          <w:color w:val="000000"/>
          <w:sz w:val="24"/>
          <w:szCs w:val="24"/>
        </w:rPr>
        <w:t xml:space="preserve">B. Collections of Information Employing Statistical Methods. </w:t>
      </w:r>
    </w:p>
    <w:p w14:paraId="0AEB8BB7" w14:textId="77777777" w:rsidR="009973F2" w:rsidRPr="00273C2F" w:rsidRDefault="009973F2" w:rsidP="00BE7DA5">
      <w:pPr>
        <w:autoSpaceDE w:val="0"/>
        <w:autoSpaceDN w:val="0"/>
        <w:adjustRightInd w:val="0"/>
        <w:spacing w:after="0" w:line="240" w:lineRule="auto"/>
        <w:rPr>
          <w:rFonts w:cs="Calibri"/>
          <w:b/>
          <w:bCs/>
          <w:color w:val="000000"/>
          <w:sz w:val="24"/>
          <w:szCs w:val="24"/>
        </w:rPr>
      </w:pPr>
    </w:p>
    <w:p w14:paraId="095BB404" w14:textId="77777777" w:rsidR="009973F2" w:rsidRPr="00273C2F" w:rsidRDefault="009973F2" w:rsidP="00273C2F">
      <w:pPr>
        <w:autoSpaceDE w:val="0"/>
        <w:autoSpaceDN w:val="0"/>
        <w:adjustRightInd w:val="0"/>
        <w:spacing w:after="0" w:line="240" w:lineRule="auto"/>
        <w:rPr>
          <w:rFonts w:cs="Calibri"/>
          <w:b/>
          <w:bCs/>
          <w:color w:val="000000"/>
          <w:sz w:val="24"/>
          <w:szCs w:val="24"/>
        </w:rPr>
      </w:pPr>
    </w:p>
    <w:p w14:paraId="1E15AA56" w14:textId="77777777" w:rsidR="00C20BE5" w:rsidRPr="00273C2F" w:rsidRDefault="00C20BE5" w:rsidP="00273C2F">
      <w:pPr>
        <w:autoSpaceDE w:val="0"/>
        <w:autoSpaceDN w:val="0"/>
        <w:adjustRightInd w:val="0"/>
        <w:spacing w:after="0" w:line="240" w:lineRule="auto"/>
        <w:rPr>
          <w:rFonts w:cs="Calibri"/>
          <w:color w:val="000000"/>
          <w:sz w:val="24"/>
          <w:szCs w:val="24"/>
        </w:rPr>
      </w:pPr>
      <w:r w:rsidRPr="00273C2F">
        <w:rPr>
          <w:rFonts w:cs="Calibri"/>
          <w:b/>
          <w:bCs/>
          <w:color w:val="000000"/>
          <w:sz w:val="24"/>
          <w:szCs w:val="24"/>
        </w:rPr>
        <w:t xml:space="preserve">1. Respondent Universe and Sampling Methods </w:t>
      </w:r>
    </w:p>
    <w:p w14:paraId="40347784" w14:textId="77777777" w:rsidR="009973F2" w:rsidRPr="00273C2F" w:rsidRDefault="009973F2" w:rsidP="00273C2F">
      <w:pPr>
        <w:autoSpaceDE w:val="0"/>
        <w:autoSpaceDN w:val="0"/>
        <w:adjustRightInd w:val="0"/>
        <w:spacing w:after="0" w:line="240" w:lineRule="auto"/>
        <w:rPr>
          <w:rFonts w:cs="Calibri"/>
          <w:color w:val="000000"/>
          <w:sz w:val="24"/>
          <w:szCs w:val="24"/>
        </w:rPr>
      </w:pPr>
    </w:p>
    <w:p w14:paraId="56953A60" w14:textId="77777777" w:rsidR="002A53E7" w:rsidRDefault="00851B7C" w:rsidP="00273C2F">
      <w:pPr>
        <w:rPr>
          <w:sz w:val="24"/>
          <w:szCs w:val="24"/>
        </w:rPr>
      </w:pPr>
      <w:r w:rsidRPr="00273C2F">
        <w:rPr>
          <w:sz w:val="24"/>
          <w:szCs w:val="24"/>
        </w:rPr>
        <w:t>This information collection is a cross-sectional</w:t>
      </w:r>
      <w:r w:rsidR="00407772" w:rsidRPr="00273C2F">
        <w:rPr>
          <w:sz w:val="24"/>
          <w:szCs w:val="24"/>
        </w:rPr>
        <w:t>, nation-wide</w:t>
      </w:r>
      <w:r w:rsidRPr="00273C2F">
        <w:rPr>
          <w:sz w:val="24"/>
          <w:szCs w:val="24"/>
        </w:rPr>
        <w:t xml:space="preserve"> assessment of general public knowledge, attitudes, and behaviors relating to EVD in Guinea</w:t>
      </w:r>
      <w:r w:rsidR="006911CD" w:rsidRPr="00273C2F">
        <w:rPr>
          <w:sz w:val="24"/>
          <w:szCs w:val="24"/>
        </w:rPr>
        <w:t xml:space="preserve">. </w:t>
      </w:r>
      <w:r w:rsidR="00407772" w:rsidRPr="00273C2F">
        <w:rPr>
          <w:sz w:val="24"/>
          <w:szCs w:val="24"/>
        </w:rPr>
        <w:t>Leaders of the EVD emergency response effort at the Guinean Ministry of Health and Sanitation strongly endorse the conduct of a nation-wide assessment that, for reasons of health equity, will provide all Guineans a random opportunity for participation.</w:t>
      </w:r>
      <w:r w:rsidR="00407772" w:rsidRPr="00113454">
        <w:rPr>
          <w:sz w:val="24"/>
          <w:szCs w:val="24"/>
        </w:rPr>
        <w:t xml:space="preserve"> </w:t>
      </w:r>
      <w:r w:rsidR="00FD3FBC" w:rsidRPr="00CE017E">
        <w:rPr>
          <w:sz w:val="24"/>
          <w:szCs w:val="24"/>
        </w:rPr>
        <w:t xml:space="preserve">The Guinea 2014 </w:t>
      </w:r>
      <w:r w:rsidR="00FD3FBC" w:rsidRPr="00C54866">
        <w:rPr>
          <w:sz w:val="24"/>
          <w:szCs w:val="24"/>
        </w:rPr>
        <w:t>Census List of Enumeration Areas will serve as the sampling frame for the random selection of 1</w:t>
      </w:r>
      <w:r w:rsidR="00FD3FBC" w:rsidRPr="00BE7DA5">
        <w:rPr>
          <w:sz w:val="24"/>
          <w:szCs w:val="24"/>
        </w:rPr>
        <w:t xml:space="preserve">50 clusters across the eight (8) selected regions using </w:t>
      </w:r>
      <w:r w:rsidR="004E1091" w:rsidRPr="00273C2F">
        <w:rPr>
          <w:sz w:val="24"/>
          <w:szCs w:val="24"/>
        </w:rPr>
        <w:t xml:space="preserve">a </w:t>
      </w:r>
      <w:r w:rsidR="00C0634E" w:rsidRPr="00273C2F">
        <w:rPr>
          <w:sz w:val="24"/>
          <w:szCs w:val="24"/>
        </w:rPr>
        <w:t xml:space="preserve">probability proportional to size </w:t>
      </w:r>
      <w:r w:rsidR="004E1091" w:rsidRPr="00273C2F">
        <w:rPr>
          <w:sz w:val="24"/>
          <w:szCs w:val="24"/>
        </w:rPr>
        <w:t xml:space="preserve">procedure </w:t>
      </w:r>
      <w:r w:rsidR="00C0634E" w:rsidRPr="00273C2F">
        <w:rPr>
          <w:sz w:val="24"/>
          <w:szCs w:val="24"/>
        </w:rPr>
        <w:t>(</w:t>
      </w:r>
      <w:r w:rsidR="00FD3FBC" w:rsidRPr="00273C2F">
        <w:rPr>
          <w:sz w:val="24"/>
          <w:szCs w:val="24"/>
        </w:rPr>
        <w:t>PPS</w:t>
      </w:r>
      <w:r w:rsidR="00C0634E" w:rsidRPr="00273C2F">
        <w:rPr>
          <w:sz w:val="24"/>
          <w:szCs w:val="24"/>
        </w:rPr>
        <w:t>)</w:t>
      </w:r>
      <w:r w:rsidR="006911CD" w:rsidRPr="00273C2F">
        <w:rPr>
          <w:sz w:val="24"/>
          <w:szCs w:val="24"/>
        </w:rPr>
        <w:t xml:space="preserve"> resulting in a sample of 6</w:t>
      </w:r>
      <w:r w:rsidR="00C0634E" w:rsidRPr="00273C2F">
        <w:rPr>
          <w:sz w:val="24"/>
          <w:szCs w:val="24"/>
        </w:rPr>
        <w:t>,</w:t>
      </w:r>
      <w:r w:rsidR="006911CD" w:rsidRPr="00273C2F">
        <w:rPr>
          <w:sz w:val="24"/>
          <w:szCs w:val="24"/>
        </w:rPr>
        <w:t>000 individuals and 3</w:t>
      </w:r>
      <w:r w:rsidR="00C0634E" w:rsidRPr="00273C2F">
        <w:rPr>
          <w:sz w:val="24"/>
          <w:szCs w:val="24"/>
        </w:rPr>
        <w:t>,</w:t>
      </w:r>
      <w:r w:rsidR="006911CD" w:rsidRPr="00273C2F">
        <w:rPr>
          <w:sz w:val="24"/>
          <w:szCs w:val="24"/>
        </w:rPr>
        <w:t>000 households</w:t>
      </w:r>
      <w:r w:rsidR="00FD3FBC" w:rsidRPr="00273C2F">
        <w:rPr>
          <w:sz w:val="24"/>
          <w:szCs w:val="24"/>
        </w:rPr>
        <w:t xml:space="preserve">. The assessment will employ a </w:t>
      </w:r>
      <w:r w:rsidR="00FD3FBC" w:rsidRPr="00273C2F">
        <w:rPr>
          <w:rFonts w:cstheme="minorHAnsi"/>
          <w:sz w:val="24"/>
          <w:szCs w:val="24"/>
        </w:rPr>
        <w:t xml:space="preserve"> multi-stage cluster sampling design with primary sampling units (PSUs) selected with probability relative to their size in population, or PPS.  The secondary sampling unit (SSU) will consist of households randomly selected within each PSU. Two members from each household will be assessed. </w:t>
      </w:r>
      <w:r w:rsidR="00FD3FBC" w:rsidRPr="00273C2F">
        <w:rPr>
          <w:sz w:val="24"/>
          <w:szCs w:val="24"/>
        </w:rPr>
        <w:t xml:space="preserve">This approach is preferred as it is the most economical for a large population such as that of Guinea but does not always ensure that the diversity of the population is fully described. </w:t>
      </w:r>
    </w:p>
    <w:p w14:paraId="2D3B4A11" w14:textId="5BB2A184" w:rsidR="002A53E7" w:rsidRPr="00273C2F" w:rsidRDefault="00FD3FBC" w:rsidP="00273C2F">
      <w:pPr>
        <w:rPr>
          <w:sz w:val="24"/>
          <w:szCs w:val="24"/>
        </w:rPr>
      </w:pPr>
      <w:r w:rsidRPr="00273C2F">
        <w:rPr>
          <w:sz w:val="24"/>
          <w:szCs w:val="24"/>
        </w:rPr>
        <w:t xml:space="preserve">Post-stratification adjustment procedures will be applied during the analysis to ensure that the </w:t>
      </w:r>
      <w:r w:rsidR="004F6D58" w:rsidRPr="00273C2F">
        <w:rPr>
          <w:sz w:val="24"/>
          <w:szCs w:val="24"/>
        </w:rPr>
        <w:t>collected information</w:t>
      </w:r>
      <w:r w:rsidRPr="00273C2F">
        <w:rPr>
          <w:sz w:val="24"/>
          <w:szCs w:val="24"/>
        </w:rPr>
        <w:t xml:space="preserve"> is weighted according to known population estimates in the 2014 Guinea Census. </w:t>
      </w:r>
      <w:r w:rsidR="002A53E7">
        <w:rPr>
          <w:sz w:val="24"/>
          <w:szCs w:val="24"/>
        </w:rPr>
        <w:t xml:space="preserve"> We will also assess the information available about the potential </w:t>
      </w:r>
      <w:r w:rsidR="00FD4D0C">
        <w:rPr>
          <w:sz w:val="24"/>
          <w:szCs w:val="24"/>
        </w:rPr>
        <w:t>limitations</w:t>
      </w:r>
      <w:r w:rsidR="002A53E7">
        <w:rPr>
          <w:sz w:val="24"/>
          <w:szCs w:val="24"/>
        </w:rPr>
        <w:t xml:space="preserve"> of the 2014 Census, and recommend ways to account for potential over and under counts.</w:t>
      </w:r>
    </w:p>
    <w:p w14:paraId="38C20E68" w14:textId="77777777" w:rsidR="00FD3FBC" w:rsidRPr="00273C2F" w:rsidRDefault="00FD3FBC" w:rsidP="00113454">
      <w:pPr>
        <w:spacing w:after="0" w:line="240" w:lineRule="auto"/>
        <w:rPr>
          <w:sz w:val="24"/>
          <w:szCs w:val="24"/>
        </w:rPr>
      </w:pPr>
    </w:p>
    <w:p w14:paraId="07AF7A89" w14:textId="23FE8C28" w:rsidR="00851B7C" w:rsidRPr="00273C2F" w:rsidRDefault="00FD3FBC" w:rsidP="00CE017E">
      <w:pPr>
        <w:spacing w:after="0" w:line="240" w:lineRule="auto"/>
        <w:rPr>
          <w:sz w:val="24"/>
          <w:szCs w:val="24"/>
        </w:rPr>
      </w:pPr>
      <w:r w:rsidRPr="00273C2F">
        <w:rPr>
          <w:sz w:val="24"/>
          <w:szCs w:val="24"/>
        </w:rPr>
        <w:t xml:space="preserve">Table: Summary of sample size estimation and projected </w:t>
      </w:r>
      <w:r w:rsidR="004F6D58" w:rsidRPr="00273C2F">
        <w:rPr>
          <w:sz w:val="24"/>
          <w:szCs w:val="24"/>
        </w:rPr>
        <w:t>information</w:t>
      </w:r>
      <w:r w:rsidRPr="00273C2F">
        <w:rPr>
          <w:sz w:val="24"/>
          <w:szCs w:val="24"/>
        </w:rPr>
        <w:t xml:space="preserve"> collection planning</w:t>
      </w:r>
    </w:p>
    <w:p w14:paraId="71FC8992" w14:textId="77777777" w:rsidR="00152648" w:rsidRPr="00273C2F" w:rsidRDefault="00152648" w:rsidP="00C54866">
      <w:pPr>
        <w:spacing w:after="0" w:line="240" w:lineRule="auto"/>
        <w:rPr>
          <w:sz w:val="24"/>
          <w:szCs w:val="24"/>
        </w:rPr>
      </w:pPr>
    </w:p>
    <w:tbl>
      <w:tblPr>
        <w:tblW w:w="10185" w:type="dxa"/>
        <w:tblInd w:w="-370" w:type="dxa"/>
        <w:tblLayout w:type="fixed"/>
        <w:tblLook w:val="04A0" w:firstRow="1" w:lastRow="0" w:firstColumn="1" w:lastColumn="0" w:noHBand="0" w:noVBand="1"/>
      </w:tblPr>
      <w:tblGrid>
        <w:gridCol w:w="554"/>
        <w:gridCol w:w="1103"/>
        <w:gridCol w:w="1131"/>
        <w:gridCol w:w="1126"/>
        <w:gridCol w:w="879"/>
        <w:gridCol w:w="1189"/>
        <w:gridCol w:w="1120"/>
        <w:gridCol w:w="1121"/>
        <w:gridCol w:w="882"/>
        <w:gridCol w:w="1080"/>
      </w:tblGrid>
      <w:tr w:rsidR="00152648" w:rsidRPr="00113454" w14:paraId="67A5A79F" w14:textId="77777777" w:rsidTr="00B55FE6">
        <w:trPr>
          <w:trHeight w:val="1050"/>
        </w:trPr>
        <w:tc>
          <w:tcPr>
            <w:tcW w:w="554" w:type="dxa"/>
            <w:tcBorders>
              <w:top w:val="single" w:sz="8" w:space="0" w:color="auto"/>
              <w:left w:val="single" w:sz="8" w:space="0" w:color="auto"/>
              <w:bottom w:val="single" w:sz="8" w:space="0" w:color="auto"/>
              <w:right w:val="single" w:sz="8" w:space="0" w:color="auto"/>
            </w:tcBorders>
            <w:shd w:val="clear" w:color="000000" w:fill="8DB3E2"/>
            <w:vAlign w:val="bottom"/>
            <w:hideMark/>
          </w:tcPr>
          <w:p w14:paraId="0036A1E6" w14:textId="77777777" w:rsidR="00152648" w:rsidRPr="00113454" w:rsidRDefault="00152648" w:rsidP="00113454">
            <w:pPr>
              <w:spacing w:after="0" w:line="240" w:lineRule="auto"/>
              <w:rPr>
                <w:rFonts w:eastAsia="Times New Roman" w:cs="Times New Roman"/>
                <w:b/>
                <w:bCs/>
                <w:color w:val="FFFFFF"/>
                <w:sz w:val="24"/>
                <w:szCs w:val="24"/>
              </w:rPr>
            </w:pPr>
            <w:r w:rsidRPr="00113454">
              <w:rPr>
                <w:rFonts w:eastAsia="Times New Roman" w:cs="Times New Roman"/>
                <w:b/>
                <w:bCs/>
                <w:color w:val="FFFFFF"/>
                <w:sz w:val="24"/>
                <w:szCs w:val="24"/>
              </w:rPr>
              <w:t> No.</w:t>
            </w:r>
          </w:p>
        </w:tc>
        <w:tc>
          <w:tcPr>
            <w:tcW w:w="1103" w:type="dxa"/>
            <w:tcBorders>
              <w:top w:val="single" w:sz="8" w:space="0" w:color="auto"/>
              <w:left w:val="nil"/>
              <w:bottom w:val="single" w:sz="8" w:space="0" w:color="auto"/>
              <w:right w:val="single" w:sz="8" w:space="0" w:color="auto"/>
            </w:tcBorders>
            <w:shd w:val="clear" w:color="000000" w:fill="8DB3E2"/>
            <w:vAlign w:val="bottom"/>
            <w:hideMark/>
          </w:tcPr>
          <w:p w14:paraId="4AEDB1C5" w14:textId="77777777" w:rsidR="00152648" w:rsidRPr="00113454" w:rsidRDefault="00152648" w:rsidP="00CE017E">
            <w:pPr>
              <w:spacing w:after="0" w:line="240" w:lineRule="auto"/>
              <w:rPr>
                <w:rFonts w:eastAsia="Times New Roman" w:cs="Times New Roman"/>
                <w:b/>
                <w:bCs/>
                <w:color w:val="FFFFFF"/>
                <w:sz w:val="24"/>
                <w:szCs w:val="24"/>
              </w:rPr>
            </w:pPr>
            <w:r w:rsidRPr="00113454">
              <w:rPr>
                <w:rFonts w:eastAsia="Times New Roman" w:cs="Times New Roman"/>
                <w:b/>
                <w:bCs/>
                <w:color w:val="FFFFFF"/>
                <w:sz w:val="24"/>
                <w:szCs w:val="24"/>
              </w:rPr>
              <w:t>Region</w:t>
            </w:r>
          </w:p>
        </w:tc>
        <w:tc>
          <w:tcPr>
            <w:tcW w:w="1131" w:type="dxa"/>
            <w:tcBorders>
              <w:top w:val="single" w:sz="8" w:space="0" w:color="auto"/>
              <w:left w:val="nil"/>
              <w:bottom w:val="single" w:sz="8" w:space="0" w:color="auto"/>
              <w:right w:val="single" w:sz="8" w:space="0" w:color="auto"/>
            </w:tcBorders>
            <w:shd w:val="clear" w:color="000000" w:fill="8DB3E2"/>
            <w:vAlign w:val="bottom"/>
            <w:hideMark/>
          </w:tcPr>
          <w:p w14:paraId="1BC9BBC5" w14:textId="77777777" w:rsidR="00152648" w:rsidRPr="00113454" w:rsidRDefault="00152648" w:rsidP="00C54866">
            <w:pPr>
              <w:spacing w:after="0" w:line="240" w:lineRule="auto"/>
              <w:rPr>
                <w:rFonts w:eastAsia="Times New Roman" w:cs="Times New Roman"/>
                <w:b/>
                <w:bCs/>
                <w:color w:val="FFFFFF"/>
                <w:sz w:val="24"/>
                <w:szCs w:val="24"/>
              </w:rPr>
            </w:pPr>
            <w:r w:rsidRPr="00113454">
              <w:rPr>
                <w:rFonts w:eastAsia="Times New Roman" w:cs="Times New Roman"/>
                <w:b/>
                <w:bCs/>
                <w:color w:val="FFFFFF"/>
                <w:sz w:val="24"/>
                <w:szCs w:val="24"/>
              </w:rPr>
              <w:t>Population (2014)</w:t>
            </w:r>
          </w:p>
        </w:tc>
        <w:tc>
          <w:tcPr>
            <w:tcW w:w="1126" w:type="dxa"/>
            <w:tcBorders>
              <w:top w:val="single" w:sz="8" w:space="0" w:color="auto"/>
              <w:left w:val="nil"/>
              <w:bottom w:val="single" w:sz="8" w:space="0" w:color="auto"/>
              <w:right w:val="single" w:sz="8" w:space="0" w:color="auto"/>
            </w:tcBorders>
            <w:shd w:val="clear" w:color="000000" w:fill="8DB3E2"/>
            <w:vAlign w:val="bottom"/>
            <w:hideMark/>
          </w:tcPr>
          <w:p w14:paraId="25353754" w14:textId="77777777" w:rsidR="00152648" w:rsidRPr="00113454" w:rsidRDefault="00152648" w:rsidP="00BE7DA5">
            <w:pPr>
              <w:spacing w:after="0" w:line="240" w:lineRule="auto"/>
              <w:rPr>
                <w:rFonts w:eastAsia="Times New Roman" w:cs="Times New Roman"/>
                <w:b/>
                <w:bCs/>
                <w:color w:val="FFFFFF"/>
                <w:sz w:val="24"/>
                <w:szCs w:val="24"/>
              </w:rPr>
            </w:pPr>
            <w:r w:rsidRPr="00113454">
              <w:rPr>
                <w:rFonts w:eastAsia="Times New Roman" w:cs="Times New Roman"/>
                <w:b/>
                <w:bCs/>
                <w:color w:val="FFFFFF"/>
                <w:sz w:val="24"/>
                <w:szCs w:val="24"/>
              </w:rPr>
              <w:t>Population proportion</w:t>
            </w:r>
          </w:p>
        </w:tc>
        <w:tc>
          <w:tcPr>
            <w:tcW w:w="879" w:type="dxa"/>
            <w:tcBorders>
              <w:top w:val="single" w:sz="8" w:space="0" w:color="auto"/>
              <w:left w:val="nil"/>
              <w:bottom w:val="single" w:sz="8" w:space="0" w:color="auto"/>
              <w:right w:val="single" w:sz="8" w:space="0" w:color="auto"/>
            </w:tcBorders>
            <w:shd w:val="clear" w:color="000000" w:fill="8DB3E2"/>
            <w:vAlign w:val="bottom"/>
            <w:hideMark/>
          </w:tcPr>
          <w:p w14:paraId="0598654A" w14:textId="77777777" w:rsidR="00152648" w:rsidRPr="00113454" w:rsidRDefault="00152648" w:rsidP="00273C2F">
            <w:pPr>
              <w:spacing w:after="0" w:line="240" w:lineRule="auto"/>
              <w:rPr>
                <w:rFonts w:eastAsia="Times New Roman" w:cs="Times New Roman"/>
                <w:b/>
                <w:bCs/>
                <w:color w:val="FFFFFF"/>
                <w:sz w:val="24"/>
                <w:szCs w:val="24"/>
              </w:rPr>
            </w:pPr>
            <w:r w:rsidRPr="00113454">
              <w:rPr>
                <w:rFonts w:eastAsia="Times New Roman" w:cs="Times New Roman"/>
                <w:b/>
                <w:bCs/>
                <w:color w:val="FFFFFF"/>
                <w:sz w:val="24"/>
                <w:szCs w:val="24"/>
              </w:rPr>
              <w:t xml:space="preserve">Clusters to select </w:t>
            </w:r>
          </w:p>
        </w:tc>
        <w:tc>
          <w:tcPr>
            <w:tcW w:w="1189" w:type="dxa"/>
            <w:tcBorders>
              <w:top w:val="single" w:sz="8" w:space="0" w:color="auto"/>
              <w:left w:val="nil"/>
              <w:bottom w:val="single" w:sz="8" w:space="0" w:color="auto"/>
              <w:right w:val="single" w:sz="8" w:space="0" w:color="auto"/>
            </w:tcBorders>
            <w:shd w:val="clear" w:color="000000" w:fill="8DB3E2"/>
            <w:vAlign w:val="bottom"/>
            <w:hideMark/>
          </w:tcPr>
          <w:p w14:paraId="42727E35" w14:textId="77777777" w:rsidR="00152648" w:rsidRPr="00113454" w:rsidRDefault="00152648" w:rsidP="00273C2F">
            <w:pPr>
              <w:spacing w:after="0" w:line="240" w:lineRule="auto"/>
              <w:rPr>
                <w:rFonts w:eastAsia="Times New Roman" w:cs="Times New Roman"/>
                <w:b/>
                <w:bCs/>
                <w:color w:val="FFFFFF"/>
                <w:sz w:val="24"/>
                <w:szCs w:val="24"/>
              </w:rPr>
            </w:pPr>
            <w:r w:rsidRPr="00113454">
              <w:rPr>
                <w:rFonts w:eastAsia="Times New Roman" w:cs="Times New Roman"/>
                <w:b/>
                <w:bCs/>
                <w:color w:val="FFFFFF"/>
                <w:sz w:val="24"/>
                <w:szCs w:val="24"/>
              </w:rPr>
              <w:t>Households to select</w:t>
            </w:r>
          </w:p>
        </w:tc>
        <w:tc>
          <w:tcPr>
            <w:tcW w:w="1120" w:type="dxa"/>
            <w:tcBorders>
              <w:top w:val="single" w:sz="8" w:space="0" w:color="auto"/>
              <w:left w:val="nil"/>
              <w:bottom w:val="single" w:sz="8" w:space="0" w:color="auto"/>
              <w:right w:val="single" w:sz="8" w:space="0" w:color="auto"/>
            </w:tcBorders>
            <w:shd w:val="clear" w:color="000000" w:fill="8DB3E2"/>
            <w:vAlign w:val="bottom"/>
            <w:hideMark/>
          </w:tcPr>
          <w:p w14:paraId="3D60852E" w14:textId="77777777" w:rsidR="00152648" w:rsidRPr="00113454" w:rsidRDefault="00152648" w:rsidP="00273C2F">
            <w:pPr>
              <w:spacing w:after="0" w:line="240" w:lineRule="auto"/>
              <w:rPr>
                <w:rFonts w:eastAsia="Times New Roman" w:cs="Times New Roman"/>
                <w:b/>
                <w:bCs/>
                <w:color w:val="FFFFFF"/>
                <w:sz w:val="24"/>
                <w:szCs w:val="24"/>
              </w:rPr>
            </w:pPr>
            <w:r w:rsidRPr="00113454">
              <w:rPr>
                <w:rFonts w:eastAsia="Times New Roman" w:cs="Times New Roman"/>
                <w:b/>
                <w:bCs/>
                <w:color w:val="FFFFFF"/>
                <w:sz w:val="24"/>
                <w:szCs w:val="24"/>
              </w:rPr>
              <w:t>Individuals to select</w:t>
            </w:r>
          </w:p>
        </w:tc>
        <w:tc>
          <w:tcPr>
            <w:tcW w:w="1121" w:type="dxa"/>
            <w:tcBorders>
              <w:top w:val="single" w:sz="8" w:space="0" w:color="auto"/>
              <w:left w:val="nil"/>
              <w:bottom w:val="single" w:sz="8" w:space="0" w:color="auto"/>
              <w:right w:val="single" w:sz="8" w:space="0" w:color="auto"/>
            </w:tcBorders>
            <w:shd w:val="clear" w:color="000000" w:fill="8DB3E2"/>
            <w:vAlign w:val="bottom"/>
            <w:hideMark/>
          </w:tcPr>
          <w:p w14:paraId="3AE20BF4" w14:textId="77777777" w:rsidR="00152648" w:rsidRPr="00113454" w:rsidRDefault="00152648" w:rsidP="00273C2F">
            <w:pPr>
              <w:spacing w:after="0" w:line="240" w:lineRule="auto"/>
              <w:rPr>
                <w:rFonts w:eastAsia="Times New Roman" w:cs="Times New Roman"/>
                <w:b/>
                <w:bCs/>
                <w:color w:val="FFFFFF"/>
                <w:sz w:val="24"/>
                <w:szCs w:val="24"/>
              </w:rPr>
            </w:pPr>
            <w:r w:rsidRPr="00113454">
              <w:rPr>
                <w:rFonts w:eastAsia="Times New Roman" w:cs="Times New Roman"/>
                <w:b/>
                <w:bCs/>
                <w:color w:val="FFFFFF"/>
                <w:sz w:val="24"/>
                <w:szCs w:val="24"/>
              </w:rPr>
              <w:t>Projected Sample Proportion</w:t>
            </w:r>
          </w:p>
        </w:tc>
        <w:tc>
          <w:tcPr>
            <w:tcW w:w="882" w:type="dxa"/>
            <w:tcBorders>
              <w:top w:val="single" w:sz="8" w:space="0" w:color="auto"/>
              <w:left w:val="nil"/>
              <w:bottom w:val="single" w:sz="8" w:space="0" w:color="auto"/>
              <w:right w:val="single" w:sz="8" w:space="0" w:color="auto"/>
            </w:tcBorders>
            <w:shd w:val="clear" w:color="000000" w:fill="8DB3E2"/>
            <w:vAlign w:val="bottom"/>
            <w:hideMark/>
          </w:tcPr>
          <w:p w14:paraId="0CF16C1B" w14:textId="214C3598" w:rsidR="00152648" w:rsidRPr="00113454" w:rsidRDefault="00152648" w:rsidP="00273C2F">
            <w:pPr>
              <w:spacing w:after="0" w:line="240" w:lineRule="auto"/>
              <w:rPr>
                <w:rFonts w:eastAsia="Times New Roman" w:cs="Times New Roman"/>
                <w:b/>
                <w:bCs/>
                <w:color w:val="FFFFFF"/>
                <w:sz w:val="24"/>
                <w:szCs w:val="24"/>
              </w:rPr>
            </w:pPr>
            <w:r w:rsidRPr="00113454">
              <w:rPr>
                <w:rFonts w:eastAsia="Times New Roman" w:cs="Times New Roman"/>
                <w:b/>
                <w:bCs/>
                <w:color w:val="FFFFFF"/>
                <w:sz w:val="24"/>
                <w:szCs w:val="24"/>
              </w:rPr>
              <w:t xml:space="preserve"># of </w:t>
            </w:r>
            <w:r w:rsidR="004F6D58" w:rsidRPr="00113454">
              <w:rPr>
                <w:rFonts w:eastAsia="Times New Roman" w:cs="Times New Roman"/>
                <w:b/>
                <w:bCs/>
                <w:color w:val="FFFFFF"/>
                <w:sz w:val="24"/>
                <w:szCs w:val="24"/>
              </w:rPr>
              <w:t>Information</w:t>
            </w:r>
            <w:r w:rsidRPr="00113454">
              <w:rPr>
                <w:rFonts w:eastAsia="Times New Roman" w:cs="Times New Roman"/>
                <w:b/>
                <w:bCs/>
                <w:color w:val="FFFFFF"/>
                <w:sz w:val="24"/>
                <w:szCs w:val="24"/>
              </w:rPr>
              <w:t xml:space="preserve"> Collectors</w:t>
            </w:r>
          </w:p>
        </w:tc>
        <w:tc>
          <w:tcPr>
            <w:tcW w:w="1080" w:type="dxa"/>
            <w:tcBorders>
              <w:top w:val="single" w:sz="8" w:space="0" w:color="auto"/>
              <w:left w:val="nil"/>
              <w:bottom w:val="single" w:sz="8" w:space="0" w:color="auto"/>
              <w:right w:val="single" w:sz="8" w:space="0" w:color="auto"/>
            </w:tcBorders>
            <w:shd w:val="clear" w:color="000000" w:fill="8DB3E2"/>
            <w:vAlign w:val="bottom"/>
            <w:hideMark/>
          </w:tcPr>
          <w:p w14:paraId="24CD00D5" w14:textId="03B0DC11" w:rsidR="00152648" w:rsidRPr="00113454" w:rsidRDefault="00152648" w:rsidP="00273C2F">
            <w:pPr>
              <w:spacing w:after="0" w:line="240" w:lineRule="auto"/>
              <w:rPr>
                <w:rFonts w:eastAsia="Times New Roman" w:cs="Times New Roman"/>
                <w:b/>
                <w:bCs/>
                <w:color w:val="FFFFFF"/>
                <w:sz w:val="24"/>
                <w:szCs w:val="24"/>
              </w:rPr>
            </w:pPr>
            <w:r w:rsidRPr="00113454">
              <w:rPr>
                <w:rFonts w:eastAsia="Times New Roman" w:cs="Times New Roman"/>
                <w:b/>
                <w:bCs/>
                <w:color w:val="FFFFFF"/>
                <w:sz w:val="24"/>
                <w:szCs w:val="24"/>
              </w:rPr>
              <w:t xml:space="preserve"># of </w:t>
            </w:r>
            <w:r w:rsidR="004F6D58" w:rsidRPr="00113454">
              <w:rPr>
                <w:rFonts w:eastAsia="Times New Roman" w:cs="Times New Roman"/>
                <w:b/>
                <w:bCs/>
                <w:color w:val="FFFFFF"/>
                <w:sz w:val="24"/>
                <w:szCs w:val="24"/>
              </w:rPr>
              <w:t>information</w:t>
            </w:r>
            <w:r w:rsidRPr="00113454">
              <w:rPr>
                <w:rFonts w:eastAsia="Times New Roman" w:cs="Times New Roman"/>
                <w:b/>
                <w:bCs/>
                <w:color w:val="FFFFFF"/>
                <w:sz w:val="24"/>
                <w:szCs w:val="24"/>
              </w:rPr>
              <w:t xml:space="preserve"> collection days</w:t>
            </w:r>
          </w:p>
        </w:tc>
      </w:tr>
      <w:tr w:rsidR="00152648" w:rsidRPr="00113454" w14:paraId="12D0C420" w14:textId="77777777" w:rsidTr="00B55FE6">
        <w:trPr>
          <w:trHeight w:val="540"/>
        </w:trPr>
        <w:tc>
          <w:tcPr>
            <w:tcW w:w="554" w:type="dxa"/>
            <w:tcBorders>
              <w:top w:val="nil"/>
              <w:left w:val="single" w:sz="8" w:space="0" w:color="auto"/>
              <w:bottom w:val="single" w:sz="8" w:space="0" w:color="auto"/>
              <w:right w:val="single" w:sz="8" w:space="0" w:color="auto"/>
            </w:tcBorders>
            <w:shd w:val="clear" w:color="auto" w:fill="auto"/>
            <w:vAlign w:val="bottom"/>
            <w:hideMark/>
          </w:tcPr>
          <w:p w14:paraId="591C5A19"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w:t>
            </w:r>
          </w:p>
        </w:tc>
        <w:tc>
          <w:tcPr>
            <w:tcW w:w="1103" w:type="dxa"/>
            <w:tcBorders>
              <w:top w:val="nil"/>
              <w:left w:val="nil"/>
              <w:bottom w:val="single" w:sz="8" w:space="0" w:color="auto"/>
              <w:right w:val="single" w:sz="8" w:space="0" w:color="auto"/>
            </w:tcBorders>
            <w:shd w:val="clear" w:color="auto" w:fill="auto"/>
            <w:vAlign w:val="bottom"/>
            <w:hideMark/>
          </w:tcPr>
          <w:p w14:paraId="2FB95B08" w14:textId="32F73578" w:rsidR="00152648" w:rsidRPr="00113454" w:rsidRDefault="00152648" w:rsidP="00CE017E">
            <w:pPr>
              <w:spacing w:after="0" w:line="240" w:lineRule="auto"/>
              <w:rPr>
                <w:rFonts w:eastAsia="Times New Roman" w:cs="Times New Roman"/>
                <w:color w:val="000000"/>
                <w:sz w:val="24"/>
                <w:szCs w:val="24"/>
              </w:rPr>
            </w:pPr>
            <w:proofErr w:type="spellStart"/>
            <w:r w:rsidRPr="00113454">
              <w:rPr>
                <w:rFonts w:eastAsia="Times New Roman" w:cs="Times New Roman"/>
                <w:color w:val="000000"/>
                <w:sz w:val="24"/>
                <w:szCs w:val="24"/>
              </w:rPr>
              <w:t>Boké</w:t>
            </w:r>
            <w:proofErr w:type="spellEnd"/>
          </w:p>
        </w:tc>
        <w:tc>
          <w:tcPr>
            <w:tcW w:w="1131" w:type="dxa"/>
            <w:tcBorders>
              <w:top w:val="nil"/>
              <w:left w:val="nil"/>
              <w:bottom w:val="single" w:sz="8" w:space="0" w:color="auto"/>
              <w:right w:val="single" w:sz="8" w:space="0" w:color="auto"/>
            </w:tcBorders>
            <w:shd w:val="clear" w:color="auto" w:fill="auto"/>
            <w:vAlign w:val="bottom"/>
            <w:hideMark/>
          </w:tcPr>
          <w:p w14:paraId="74E61599"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1,081,445</w:t>
            </w:r>
          </w:p>
        </w:tc>
        <w:tc>
          <w:tcPr>
            <w:tcW w:w="1126" w:type="dxa"/>
            <w:tcBorders>
              <w:top w:val="nil"/>
              <w:left w:val="nil"/>
              <w:bottom w:val="single" w:sz="8" w:space="0" w:color="auto"/>
              <w:right w:val="single" w:sz="8" w:space="0" w:color="auto"/>
            </w:tcBorders>
            <w:shd w:val="clear" w:color="000000" w:fill="FDE9D9"/>
            <w:vAlign w:val="bottom"/>
            <w:hideMark/>
          </w:tcPr>
          <w:p w14:paraId="39D78AAA"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0.10</w:t>
            </w:r>
          </w:p>
        </w:tc>
        <w:tc>
          <w:tcPr>
            <w:tcW w:w="879" w:type="dxa"/>
            <w:tcBorders>
              <w:top w:val="nil"/>
              <w:left w:val="nil"/>
              <w:bottom w:val="single" w:sz="8" w:space="0" w:color="auto"/>
              <w:right w:val="single" w:sz="8" w:space="0" w:color="auto"/>
            </w:tcBorders>
            <w:shd w:val="clear" w:color="auto" w:fill="auto"/>
            <w:vAlign w:val="bottom"/>
            <w:hideMark/>
          </w:tcPr>
          <w:p w14:paraId="1CEF6DCF"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15</w:t>
            </w:r>
          </w:p>
        </w:tc>
        <w:tc>
          <w:tcPr>
            <w:tcW w:w="1189" w:type="dxa"/>
            <w:tcBorders>
              <w:top w:val="nil"/>
              <w:left w:val="nil"/>
              <w:bottom w:val="single" w:sz="8" w:space="0" w:color="auto"/>
              <w:right w:val="single" w:sz="8" w:space="0" w:color="auto"/>
            </w:tcBorders>
            <w:shd w:val="clear" w:color="auto" w:fill="auto"/>
            <w:vAlign w:val="bottom"/>
            <w:hideMark/>
          </w:tcPr>
          <w:p w14:paraId="28544DB5" w14:textId="50CB0666" w:rsidR="00152648" w:rsidRPr="00113454" w:rsidRDefault="009B1CD3"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300</w:t>
            </w:r>
          </w:p>
        </w:tc>
        <w:tc>
          <w:tcPr>
            <w:tcW w:w="1120" w:type="dxa"/>
            <w:tcBorders>
              <w:top w:val="nil"/>
              <w:left w:val="nil"/>
              <w:bottom w:val="single" w:sz="8" w:space="0" w:color="auto"/>
              <w:right w:val="single" w:sz="8" w:space="0" w:color="auto"/>
            </w:tcBorders>
            <w:shd w:val="clear" w:color="auto" w:fill="auto"/>
            <w:vAlign w:val="bottom"/>
            <w:hideMark/>
          </w:tcPr>
          <w:p w14:paraId="4535D260" w14:textId="17C14DAD" w:rsidR="00152648" w:rsidRPr="00113454" w:rsidRDefault="008841C9"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600</w:t>
            </w:r>
          </w:p>
        </w:tc>
        <w:tc>
          <w:tcPr>
            <w:tcW w:w="1121" w:type="dxa"/>
            <w:tcBorders>
              <w:top w:val="nil"/>
              <w:left w:val="nil"/>
              <w:bottom w:val="single" w:sz="8" w:space="0" w:color="auto"/>
              <w:right w:val="single" w:sz="8" w:space="0" w:color="auto"/>
            </w:tcBorders>
            <w:shd w:val="clear" w:color="000000" w:fill="FDE9D9"/>
            <w:vAlign w:val="bottom"/>
            <w:hideMark/>
          </w:tcPr>
          <w:p w14:paraId="3CD47A80"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0.10</w:t>
            </w:r>
          </w:p>
        </w:tc>
        <w:tc>
          <w:tcPr>
            <w:tcW w:w="882" w:type="dxa"/>
            <w:tcBorders>
              <w:top w:val="nil"/>
              <w:left w:val="nil"/>
              <w:bottom w:val="single" w:sz="8" w:space="0" w:color="auto"/>
              <w:right w:val="single" w:sz="8" w:space="0" w:color="auto"/>
            </w:tcBorders>
            <w:shd w:val="clear" w:color="auto" w:fill="auto"/>
            <w:vAlign w:val="bottom"/>
            <w:hideMark/>
          </w:tcPr>
          <w:p w14:paraId="3E6C613C"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7</w:t>
            </w:r>
          </w:p>
        </w:tc>
        <w:tc>
          <w:tcPr>
            <w:tcW w:w="1080" w:type="dxa"/>
            <w:tcBorders>
              <w:top w:val="nil"/>
              <w:left w:val="nil"/>
              <w:bottom w:val="single" w:sz="8" w:space="0" w:color="auto"/>
              <w:right w:val="single" w:sz="8" w:space="0" w:color="auto"/>
            </w:tcBorders>
            <w:shd w:val="clear" w:color="auto" w:fill="auto"/>
            <w:vAlign w:val="bottom"/>
            <w:hideMark/>
          </w:tcPr>
          <w:p w14:paraId="5EDB0161"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11</w:t>
            </w:r>
          </w:p>
        </w:tc>
      </w:tr>
      <w:tr w:rsidR="00152648" w:rsidRPr="00113454" w14:paraId="5EE85F2C" w14:textId="77777777" w:rsidTr="00B55FE6">
        <w:trPr>
          <w:trHeight w:val="540"/>
        </w:trPr>
        <w:tc>
          <w:tcPr>
            <w:tcW w:w="554" w:type="dxa"/>
            <w:tcBorders>
              <w:top w:val="nil"/>
              <w:left w:val="single" w:sz="8" w:space="0" w:color="auto"/>
              <w:bottom w:val="single" w:sz="8" w:space="0" w:color="auto"/>
              <w:right w:val="single" w:sz="8" w:space="0" w:color="auto"/>
            </w:tcBorders>
            <w:shd w:val="clear" w:color="auto" w:fill="auto"/>
            <w:vAlign w:val="bottom"/>
            <w:hideMark/>
          </w:tcPr>
          <w:p w14:paraId="6E00C9F4"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2</w:t>
            </w:r>
          </w:p>
        </w:tc>
        <w:tc>
          <w:tcPr>
            <w:tcW w:w="1103" w:type="dxa"/>
            <w:tcBorders>
              <w:top w:val="nil"/>
              <w:left w:val="nil"/>
              <w:bottom w:val="single" w:sz="8" w:space="0" w:color="auto"/>
              <w:right w:val="single" w:sz="8" w:space="0" w:color="auto"/>
            </w:tcBorders>
            <w:shd w:val="clear" w:color="auto" w:fill="auto"/>
            <w:vAlign w:val="bottom"/>
            <w:hideMark/>
          </w:tcPr>
          <w:p w14:paraId="2F5076AD" w14:textId="6DCD986C" w:rsidR="00152648" w:rsidRPr="00113454" w:rsidRDefault="00152648" w:rsidP="00CE017E">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Conakry</w:t>
            </w:r>
          </w:p>
        </w:tc>
        <w:tc>
          <w:tcPr>
            <w:tcW w:w="1131" w:type="dxa"/>
            <w:tcBorders>
              <w:top w:val="nil"/>
              <w:left w:val="nil"/>
              <w:bottom w:val="single" w:sz="8" w:space="0" w:color="auto"/>
              <w:right w:val="single" w:sz="8" w:space="0" w:color="auto"/>
            </w:tcBorders>
            <w:shd w:val="clear" w:color="auto" w:fill="auto"/>
            <w:vAlign w:val="bottom"/>
            <w:hideMark/>
          </w:tcPr>
          <w:p w14:paraId="3CE58704"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1,667,864</w:t>
            </w:r>
          </w:p>
        </w:tc>
        <w:tc>
          <w:tcPr>
            <w:tcW w:w="1126" w:type="dxa"/>
            <w:tcBorders>
              <w:top w:val="nil"/>
              <w:left w:val="nil"/>
              <w:bottom w:val="single" w:sz="8" w:space="0" w:color="auto"/>
              <w:right w:val="single" w:sz="8" w:space="0" w:color="auto"/>
            </w:tcBorders>
            <w:shd w:val="clear" w:color="000000" w:fill="FDE9D9"/>
            <w:vAlign w:val="bottom"/>
            <w:hideMark/>
          </w:tcPr>
          <w:p w14:paraId="4C7978D2"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0.16</w:t>
            </w:r>
          </w:p>
        </w:tc>
        <w:tc>
          <w:tcPr>
            <w:tcW w:w="879" w:type="dxa"/>
            <w:tcBorders>
              <w:top w:val="nil"/>
              <w:left w:val="nil"/>
              <w:bottom w:val="single" w:sz="8" w:space="0" w:color="auto"/>
              <w:right w:val="single" w:sz="8" w:space="0" w:color="auto"/>
            </w:tcBorders>
            <w:shd w:val="clear" w:color="auto" w:fill="auto"/>
            <w:vAlign w:val="bottom"/>
            <w:hideMark/>
          </w:tcPr>
          <w:p w14:paraId="6B1CFE5B"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24</w:t>
            </w:r>
          </w:p>
        </w:tc>
        <w:tc>
          <w:tcPr>
            <w:tcW w:w="1189" w:type="dxa"/>
            <w:tcBorders>
              <w:top w:val="nil"/>
              <w:left w:val="nil"/>
              <w:bottom w:val="single" w:sz="8" w:space="0" w:color="auto"/>
              <w:right w:val="single" w:sz="8" w:space="0" w:color="auto"/>
            </w:tcBorders>
            <w:shd w:val="clear" w:color="auto" w:fill="auto"/>
            <w:vAlign w:val="bottom"/>
            <w:hideMark/>
          </w:tcPr>
          <w:p w14:paraId="5256E2BE" w14:textId="035D5861" w:rsidR="00152648" w:rsidRPr="00113454" w:rsidRDefault="009B1CD3"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480</w:t>
            </w:r>
          </w:p>
        </w:tc>
        <w:tc>
          <w:tcPr>
            <w:tcW w:w="1120" w:type="dxa"/>
            <w:tcBorders>
              <w:top w:val="nil"/>
              <w:left w:val="nil"/>
              <w:bottom w:val="single" w:sz="8" w:space="0" w:color="auto"/>
              <w:right w:val="single" w:sz="8" w:space="0" w:color="auto"/>
            </w:tcBorders>
            <w:shd w:val="clear" w:color="auto" w:fill="auto"/>
            <w:vAlign w:val="bottom"/>
            <w:hideMark/>
          </w:tcPr>
          <w:p w14:paraId="6A456C43" w14:textId="2F143F81" w:rsidR="00152648" w:rsidRPr="00113454" w:rsidRDefault="008841C9"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960</w:t>
            </w:r>
          </w:p>
        </w:tc>
        <w:tc>
          <w:tcPr>
            <w:tcW w:w="1121" w:type="dxa"/>
            <w:tcBorders>
              <w:top w:val="nil"/>
              <w:left w:val="nil"/>
              <w:bottom w:val="single" w:sz="8" w:space="0" w:color="auto"/>
              <w:right w:val="single" w:sz="8" w:space="0" w:color="auto"/>
            </w:tcBorders>
            <w:shd w:val="clear" w:color="000000" w:fill="FDE9D9"/>
            <w:vAlign w:val="bottom"/>
            <w:hideMark/>
          </w:tcPr>
          <w:p w14:paraId="04572CFF"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0.16</w:t>
            </w:r>
          </w:p>
        </w:tc>
        <w:tc>
          <w:tcPr>
            <w:tcW w:w="882" w:type="dxa"/>
            <w:tcBorders>
              <w:top w:val="nil"/>
              <w:left w:val="nil"/>
              <w:bottom w:val="single" w:sz="8" w:space="0" w:color="auto"/>
              <w:right w:val="single" w:sz="8" w:space="0" w:color="auto"/>
            </w:tcBorders>
            <w:shd w:val="clear" w:color="auto" w:fill="auto"/>
            <w:vAlign w:val="bottom"/>
            <w:hideMark/>
          </w:tcPr>
          <w:p w14:paraId="1F65E045"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11</w:t>
            </w:r>
          </w:p>
        </w:tc>
        <w:tc>
          <w:tcPr>
            <w:tcW w:w="1080" w:type="dxa"/>
            <w:tcBorders>
              <w:top w:val="nil"/>
              <w:left w:val="nil"/>
              <w:bottom w:val="single" w:sz="8" w:space="0" w:color="auto"/>
              <w:right w:val="single" w:sz="8" w:space="0" w:color="auto"/>
            </w:tcBorders>
            <w:shd w:val="clear" w:color="auto" w:fill="auto"/>
            <w:vAlign w:val="bottom"/>
            <w:hideMark/>
          </w:tcPr>
          <w:p w14:paraId="2259824C"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11</w:t>
            </w:r>
          </w:p>
        </w:tc>
      </w:tr>
      <w:tr w:rsidR="00152648" w:rsidRPr="00113454" w14:paraId="43194555" w14:textId="77777777" w:rsidTr="00B55FE6">
        <w:trPr>
          <w:trHeight w:val="540"/>
        </w:trPr>
        <w:tc>
          <w:tcPr>
            <w:tcW w:w="554" w:type="dxa"/>
            <w:tcBorders>
              <w:top w:val="nil"/>
              <w:left w:val="single" w:sz="8" w:space="0" w:color="auto"/>
              <w:bottom w:val="single" w:sz="8" w:space="0" w:color="auto"/>
              <w:right w:val="single" w:sz="8" w:space="0" w:color="auto"/>
            </w:tcBorders>
            <w:shd w:val="clear" w:color="auto" w:fill="auto"/>
            <w:vAlign w:val="bottom"/>
            <w:hideMark/>
          </w:tcPr>
          <w:p w14:paraId="1397F25B"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3</w:t>
            </w:r>
          </w:p>
        </w:tc>
        <w:tc>
          <w:tcPr>
            <w:tcW w:w="1103" w:type="dxa"/>
            <w:tcBorders>
              <w:top w:val="nil"/>
              <w:left w:val="nil"/>
              <w:bottom w:val="single" w:sz="8" w:space="0" w:color="auto"/>
              <w:right w:val="single" w:sz="8" w:space="0" w:color="auto"/>
            </w:tcBorders>
            <w:shd w:val="clear" w:color="auto" w:fill="auto"/>
            <w:vAlign w:val="bottom"/>
            <w:hideMark/>
          </w:tcPr>
          <w:p w14:paraId="47393898" w14:textId="36D50F88" w:rsidR="00152648" w:rsidRPr="00113454" w:rsidRDefault="00152648" w:rsidP="00CE017E">
            <w:pPr>
              <w:spacing w:after="0" w:line="240" w:lineRule="auto"/>
              <w:rPr>
                <w:rFonts w:eastAsia="Times New Roman" w:cs="Times New Roman"/>
                <w:color w:val="000000"/>
                <w:sz w:val="24"/>
                <w:szCs w:val="24"/>
              </w:rPr>
            </w:pPr>
            <w:proofErr w:type="spellStart"/>
            <w:r w:rsidRPr="00113454">
              <w:rPr>
                <w:rFonts w:eastAsia="Times New Roman" w:cs="Times New Roman"/>
                <w:color w:val="000000"/>
                <w:sz w:val="24"/>
                <w:szCs w:val="24"/>
              </w:rPr>
              <w:t>Faranah</w:t>
            </w:r>
            <w:proofErr w:type="spellEnd"/>
          </w:p>
        </w:tc>
        <w:tc>
          <w:tcPr>
            <w:tcW w:w="1131" w:type="dxa"/>
            <w:tcBorders>
              <w:top w:val="nil"/>
              <w:left w:val="nil"/>
              <w:bottom w:val="single" w:sz="8" w:space="0" w:color="auto"/>
              <w:right w:val="single" w:sz="8" w:space="0" w:color="auto"/>
            </w:tcBorders>
            <w:shd w:val="clear" w:color="auto" w:fill="auto"/>
            <w:vAlign w:val="bottom"/>
            <w:hideMark/>
          </w:tcPr>
          <w:p w14:paraId="793CE726"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942,733</w:t>
            </w:r>
          </w:p>
        </w:tc>
        <w:tc>
          <w:tcPr>
            <w:tcW w:w="1126" w:type="dxa"/>
            <w:tcBorders>
              <w:top w:val="nil"/>
              <w:left w:val="nil"/>
              <w:bottom w:val="single" w:sz="8" w:space="0" w:color="auto"/>
              <w:right w:val="single" w:sz="8" w:space="0" w:color="auto"/>
            </w:tcBorders>
            <w:shd w:val="clear" w:color="000000" w:fill="FDE9D9"/>
            <w:vAlign w:val="bottom"/>
            <w:hideMark/>
          </w:tcPr>
          <w:p w14:paraId="307C8508"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0.09</w:t>
            </w:r>
          </w:p>
        </w:tc>
        <w:tc>
          <w:tcPr>
            <w:tcW w:w="879" w:type="dxa"/>
            <w:tcBorders>
              <w:top w:val="nil"/>
              <w:left w:val="nil"/>
              <w:bottom w:val="single" w:sz="8" w:space="0" w:color="auto"/>
              <w:right w:val="single" w:sz="8" w:space="0" w:color="auto"/>
            </w:tcBorders>
            <w:shd w:val="clear" w:color="auto" w:fill="auto"/>
            <w:vAlign w:val="bottom"/>
            <w:hideMark/>
          </w:tcPr>
          <w:p w14:paraId="340850DC"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13</w:t>
            </w:r>
          </w:p>
        </w:tc>
        <w:tc>
          <w:tcPr>
            <w:tcW w:w="1189" w:type="dxa"/>
            <w:tcBorders>
              <w:top w:val="nil"/>
              <w:left w:val="nil"/>
              <w:bottom w:val="single" w:sz="8" w:space="0" w:color="auto"/>
              <w:right w:val="single" w:sz="8" w:space="0" w:color="auto"/>
            </w:tcBorders>
            <w:shd w:val="clear" w:color="auto" w:fill="auto"/>
            <w:vAlign w:val="bottom"/>
            <w:hideMark/>
          </w:tcPr>
          <w:p w14:paraId="3E12D04E" w14:textId="26C19BD1" w:rsidR="00152648" w:rsidRPr="00113454" w:rsidRDefault="009B1CD3"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260</w:t>
            </w:r>
          </w:p>
        </w:tc>
        <w:tc>
          <w:tcPr>
            <w:tcW w:w="1120" w:type="dxa"/>
            <w:tcBorders>
              <w:top w:val="nil"/>
              <w:left w:val="nil"/>
              <w:bottom w:val="single" w:sz="8" w:space="0" w:color="auto"/>
              <w:right w:val="single" w:sz="8" w:space="0" w:color="auto"/>
            </w:tcBorders>
            <w:shd w:val="clear" w:color="auto" w:fill="auto"/>
            <w:vAlign w:val="bottom"/>
            <w:hideMark/>
          </w:tcPr>
          <w:p w14:paraId="72CE05A4" w14:textId="6C83585F" w:rsidR="00152648" w:rsidRPr="00113454" w:rsidRDefault="008841C9"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520</w:t>
            </w:r>
          </w:p>
        </w:tc>
        <w:tc>
          <w:tcPr>
            <w:tcW w:w="1121" w:type="dxa"/>
            <w:tcBorders>
              <w:top w:val="nil"/>
              <w:left w:val="nil"/>
              <w:bottom w:val="single" w:sz="8" w:space="0" w:color="auto"/>
              <w:right w:val="single" w:sz="8" w:space="0" w:color="auto"/>
            </w:tcBorders>
            <w:shd w:val="clear" w:color="000000" w:fill="FDE9D9"/>
            <w:vAlign w:val="bottom"/>
            <w:hideMark/>
          </w:tcPr>
          <w:p w14:paraId="64BB6574"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0.09</w:t>
            </w:r>
          </w:p>
        </w:tc>
        <w:tc>
          <w:tcPr>
            <w:tcW w:w="882" w:type="dxa"/>
            <w:tcBorders>
              <w:top w:val="nil"/>
              <w:left w:val="nil"/>
              <w:bottom w:val="single" w:sz="8" w:space="0" w:color="auto"/>
              <w:right w:val="single" w:sz="8" w:space="0" w:color="auto"/>
            </w:tcBorders>
            <w:shd w:val="clear" w:color="auto" w:fill="auto"/>
            <w:vAlign w:val="bottom"/>
            <w:hideMark/>
          </w:tcPr>
          <w:p w14:paraId="042FFD2B"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6</w:t>
            </w:r>
          </w:p>
        </w:tc>
        <w:tc>
          <w:tcPr>
            <w:tcW w:w="1080" w:type="dxa"/>
            <w:tcBorders>
              <w:top w:val="nil"/>
              <w:left w:val="nil"/>
              <w:bottom w:val="single" w:sz="8" w:space="0" w:color="auto"/>
              <w:right w:val="single" w:sz="8" w:space="0" w:color="auto"/>
            </w:tcBorders>
            <w:shd w:val="clear" w:color="auto" w:fill="auto"/>
            <w:vAlign w:val="bottom"/>
            <w:hideMark/>
          </w:tcPr>
          <w:p w14:paraId="40100EEC"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11</w:t>
            </w:r>
          </w:p>
        </w:tc>
      </w:tr>
      <w:tr w:rsidR="00152648" w:rsidRPr="00113454" w14:paraId="5FA06EB0" w14:textId="77777777" w:rsidTr="00B55FE6">
        <w:trPr>
          <w:trHeight w:val="540"/>
        </w:trPr>
        <w:tc>
          <w:tcPr>
            <w:tcW w:w="554" w:type="dxa"/>
            <w:tcBorders>
              <w:top w:val="nil"/>
              <w:left w:val="single" w:sz="8" w:space="0" w:color="auto"/>
              <w:bottom w:val="single" w:sz="8" w:space="0" w:color="auto"/>
              <w:right w:val="single" w:sz="8" w:space="0" w:color="auto"/>
            </w:tcBorders>
            <w:shd w:val="clear" w:color="auto" w:fill="auto"/>
            <w:vAlign w:val="bottom"/>
            <w:hideMark/>
          </w:tcPr>
          <w:p w14:paraId="3B85A04D"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lastRenderedPageBreak/>
              <w:t>4</w:t>
            </w:r>
          </w:p>
        </w:tc>
        <w:tc>
          <w:tcPr>
            <w:tcW w:w="1103" w:type="dxa"/>
            <w:tcBorders>
              <w:top w:val="nil"/>
              <w:left w:val="nil"/>
              <w:bottom w:val="single" w:sz="8" w:space="0" w:color="auto"/>
              <w:right w:val="single" w:sz="8" w:space="0" w:color="auto"/>
            </w:tcBorders>
            <w:shd w:val="clear" w:color="auto" w:fill="auto"/>
            <w:vAlign w:val="bottom"/>
            <w:hideMark/>
          </w:tcPr>
          <w:p w14:paraId="10637C52" w14:textId="05E21E3D" w:rsidR="00152648" w:rsidRPr="00113454" w:rsidRDefault="00152648" w:rsidP="00CE017E">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Kankan</w:t>
            </w:r>
          </w:p>
        </w:tc>
        <w:tc>
          <w:tcPr>
            <w:tcW w:w="1131" w:type="dxa"/>
            <w:tcBorders>
              <w:top w:val="nil"/>
              <w:left w:val="nil"/>
              <w:bottom w:val="single" w:sz="8" w:space="0" w:color="auto"/>
              <w:right w:val="single" w:sz="8" w:space="0" w:color="auto"/>
            </w:tcBorders>
            <w:shd w:val="clear" w:color="auto" w:fill="auto"/>
            <w:vAlign w:val="bottom"/>
            <w:hideMark/>
          </w:tcPr>
          <w:p w14:paraId="53A5212B"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1,986,329</w:t>
            </w:r>
          </w:p>
        </w:tc>
        <w:tc>
          <w:tcPr>
            <w:tcW w:w="1126" w:type="dxa"/>
            <w:tcBorders>
              <w:top w:val="nil"/>
              <w:left w:val="nil"/>
              <w:bottom w:val="single" w:sz="8" w:space="0" w:color="auto"/>
              <w:right w:val="single" w:sz="8" w:space="0" w:color="auto"/>
            </w:tcBorders>
            <w:shd w:val="clear" w:color="000000" w:fill="FDE9D9"/>
            <w:vAlign w:val="bottom"/>
            <w:hideMark/>
          </w:tcPr>
          <w:p w14:paraId="00F63E20"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0.19</w:t>
            </w:r>
          </w:p>
        </w:tc>
        <w:tc>
          <w:tcPr>
            <w:tcW w:w="879" w:type="dxa"/>
            <w:tcBorders>
              <w:top w:val="nil"/>
              <w:left w:val="nil"/>
              <w:bottom w:val="single" w:sz="8" w:space="0" w:color="auto"/>
              <w:right w:val="single" w:sz="8" w:space="0" w:color="auto"/>
            </w:tcBorders>
            <w:shd w:val="clear" w:color="auto" w:fill="auto"/>
            <w:vAlign w:val="bottom"/>
            <w:hideMark/>
          </w:tcPr>
          <w:p w14:paraId="01B9FA64"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28</w:t>
            </w:r>
          </w:p>
        </w:tc>
        <w:tc>
          <w:tcPr>
            <w:tcW w:w="1189" w:type="dxa"/>
            <w:tcBorders>
              <w:top w:val="nil"/>
              <w:left w:val="nil"/>
              <w:bottom w:val="single" w:sz="8" w:space="0" w:color="auto"/>
              <w:right w:val="single" w:sz="8" w:space="0" w:color="auto"/>
            </w:tcBorders>
            <w:shd w:val="clear" w:color="auto" w:fill="auto"/>
            <w:vAlign w:val="bottom"/>
            <w:hideMark/>
          </w:tcPr>
          <w:p w14:paraId="56C77A9C" w14:textId="4EAEC906" w:rsidR="00152648" w:rsidRPr="00113454" w:rsidRDefault="009B1CD3"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560</w:t>
            </w:r>
          </w:p>
        </w:tc>
        <w:tc>
          <w:tcPr>
            <w:tcW w:w="1120" w:type="dxa"/>
            <w:tcBorders>
              <w:top w:val="nil"/>
              <w:left w:val="nil"/>
              <w:bottom w:val="single" w:sz="8" w:space="0" w:color="auto"/>
              <w:right w:val="single" w:sz="8" w:space="0" w:color="auto"/>
            </w:tcBorders>
            <w:shd w:val="clear" w:color="auto" w:fill="auto"/>
            <w:vAlign w:val="bottom"/>
            <w:hideMark/>
          </w:tcPr>
          <w:p w14:paraId="3DB7A56C" w14:textId="2262D43B" w:rsidR="00152648" w:rsidRPr="00113454" w:rsidRDefault="008841C9"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1120</w:t>
            </w:r>
          </w:p>
        </w:tc>
        <w:tc>
          <w:tcPr>
            <w:tcW w:w="1121" w:type="dxa"/>
            <w:tcBorders>
              <w:top w:val="nil"/>
              <w:left w:val="nil"/>
              <w:bottom w:val="single" w:sz="8" w:space="0" w:color="auto"/>
              <w:right w:val="single" w:sz="8" w:space="0" w:color="auto"/>
            </w:tcBorders>
            <w:shd w:val="clear" w:color="000000" w:fill="FDE9D9"/>
            <w:vAlign w:val="bottom"/>
            <w:hideMark/>
          </w:tcPr>
          <w:p w14:paraId="4951FD4C"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0.19</w:t>
            </w:r>
          </w:p>
        </w:tc>
        <w:tc>
          <w:tcPr>
            <w:tcW w:w="882" w:type="dxa"/>
            <w:tcBorders>
              <w:top w:val="nil"/>
              <w:left w:val="nil"/>
              <w:bottom w:val="single" w:sz="8" w:space="0" w:color="auto"/>
              <w:right w:val="single" w:sz="8" w:space="0" w:color="auto"/>
            </w:tcBorders>
            <w:shd w:val="clear" w:color="auto" w:fill="auto"/>
            <w:vAlign w:val="bottom"/>
            <w:hideMark/>
          </w:tcPr>
          <w:p w14:paraId="696F1703"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13</w:t>
            </w:r>
          </w:p>
        </w:tc>
        <w:tc>
          <w:tcPr>
            <w:tcW w:w="1080" w:type="dxa"/>
            <w:tcBorders>
              <w:top w:val="nil"/>
              <w:left w:val="nil"/>
              <w:bottom w:val="single" w:sz="8" w:space="0" w:color="auto"/>
              <w:right w:val="single" w:sz="8" w:space="0" w:color="auto"/>
            </w:tcBorders>
            <w:shd w:val="clear" w:color="auto" w:fill="auto"/>
            <w:vAlign w:val="bottom"/>
            <w:hideMark/>
          </w:tcPr>
          <w:p w14:paraId="65D2B617"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11</w:t>
            </w:r>
          </w:p>
        </w:tc>
      </w:tr>
      <w:tr w:rsidR="00152648" w:rsidRPr="00113454" w14:paraId="399AD19D" w14:textId="77777777" w:rsidTr="00B55FE6">
        <w:trPr>
          <w:trHeight w:val="540"/>
        </w:trPr>
        <w:tc>
          <w:tcPr>
            <w:tcW w:w="554" w:type="dxa"/>
            <w:tcBorders>
              <w:top w:val="nil"/>
              <w:left w:val="single" w:sz="8" w:space="0" w:color="auto"/>
              <w:bottom w:val="single" w:sz="8" w:space="0" w:color="auto"/>
              <w:right w:val="single" w:sz="8" w:space="0" w:color="auto"/>
            </w:tcBorders>
            <w:shd w:val="clear" w:color="auto" w:fill="auto"/>
            <w:vAlign w:val="bottom"/>
            <w:hideMark/>
          </w:tcPr>
          <w:p w14:paraId="28C34A14"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5</w:t>
            </w:r>
          </w:p>
        </w:tc>
        <w:tc>
          <w:tcPr>
            <w:tcW w:w="1103" w:type="dxa"/>
            <w:tcBorders>
              <w:top w:val="nil"/>
              <w:left w:val="nil"/>
              <w:bottom w:val="single" w:sz="8" w:space="0" w:color="auto"/>
              <w:right w:val="single" w:sz="8" w:space="0" w:color="auto"/>
            </w:tcBorders>
            <w:shd w:val="clear" w:color="auto" w:fill="auto"/>
            <w:vAlign w:val="bottom"/>
            <w:hideMark/>
          </w:tcPr>
          <w:p w14:paraId="66FDA992" w14:textId="4474A83C" w:rsidR="00152648" w:rsidRPr="00113454" w:rsidRDefault="00152648" w:rsidP="00CE017E">
            <w:pPr>
              <w:spacing w:after="0" w:line="240" w:lineRule="auto"/>
              <w:rPr>
                <w:rFonts w:eastAsia="Times New Roman" w:cs="Times New Roman"/>
                <w:color w:val="000000"/>
                <w:sz w:val="24"/>
                <w:szCs w:val="24"/>
              </w:rPr>
            </w:pPr>
            <w:proofErr w:type="spellStart"/>
            <w:r w:rsidRPr="00113454">
              <w:rPr>
                <w:rFonts w:eastAsia="Times New Roman" w:cs="Times New Roman"/>
                <w:color w:val="000000"/>
                <w:sz w:val="24"/>
                <w:szCs w:val="24"/>
              </w:rPr>
              <w:t>Kindia</w:t>
            </w:r>
            <w:proofErr w:type="spellEnd"/>
          </w:p>
        </w:tc>
        <w:tc>
          <w:tcPr>
            <w:tcW w:w="1131" w:type="dxa"/>
            <w:tcBorders>
              <w:top w:val="nil"/>
              <w:left w:val="nil"/>
              <w:bottom w:val="single" w:sz="8" w:space="0" w:color="auto"/>
              <w:right w:val="single" w:sz="8" w:space="0" w:color="auto"/>
            </w:tcBorders>
            <w:shd w:val="clear" w:color="auto" w:fill="auto"/>
            <w:vAlign w:val="bottom"/>
            <w:hideMark/>
          </w:tcPr>
          <w:p w14:paraId="2C5F2ABF"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1,559,185</w:t>
            </w:r>
          </w:p>
        </w:tc>
        <w:tc>
          <w:tcPr>
            <w:tcW w:w="1126" w:type="dxa"/>
            <w:tcBorders>
              <w:top w:val="nil"/>
              <w:left w:val="nil"/>
              <w:bottom w:val="single" w:sz="8" w:space="0" w:color="auto"/>
              <w:right w:val="single" w:sz="8" w:space="0" w:color="auto"/>
            </w:tcBorders>
            <w:shd w:val="clear" w:color="000000" w:fill="FDE9D9"/>
            <w:vAlign w:val="bottom"/>
            <w:hideMark/>
          </w:tcPr>
          <w:p w14:paraId="59F799A8"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0.15</w:t>
            </w:r>
          </w:p>
        </w:tc>
        <w:tc>
          <w:tcPr>
            <w:tcW w:w="879" w:type="dxa"/>
            <w:tcBorders>
              <w:top w:val="nil"/>
              <w:left w:val="nil"/>
              <w:bottom w:val="single" w:sz="8" w:space="0" w:color="auto"/>
              <w:right w:val="single" w:sz="8" w:space="0" w:color="auto"/>
            </w:tcBorders>
            <w:shd w:val="clear" w:color="auto" w:fill="auto"/>
            <w:vAlign w:val="bottom"/>
            <w:hideMark/>
          </w:tcPr>
          <w:p w14:paraId="0ACEABAF"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22</w:t>
            </w:r>
          </w:p>
        </w:tc>
        <w:tc>
          <w:tcPr>
            <w:tcW w:w="1189" w:type="dxa"/>
            <w:tcBorders>
              <w:top w:val="nil"/>
              <w:left w:val="nil"/>
              <w:bottom w:val="single" w:sz="8" w:space="0" w:color="auto"/>
              <w:right w:val="single" w:sz="8" w:space="0" w:color="auto"/>
            </w:tcBorders>
            <w:shd w:val="clear" w:color="auto" w:fill="auto"/>
            <w:vAlign w:val="bottom"/>
            <w:hideMark/>
          </w:tcPr>
          <w:p w14:paraId="359D1066" w14:textId="4A66E69B" w:rsidR="00152648" w:rsidRPr="00113454" w:rsidRDefault="009B1CD3"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440</w:t>
            </w:r>
          </w:p>
        </w:tc>
        <w:tc>
          <w:tcPr>
            <w:tcW w:w="1120" w:type="dxa"/>
            <w:tcBorders>
              <w:top w:val="nil"/>
              <w:left w:val="nil"/>
              <w:bottom w:val="single" w:sz="8" w:space="0" w:color="auto"/>
              <w:right w:val="single" w:sz="8" w:space="0" w:color="auto"/>
            </w:tcBorders>
            <w:shd w:val="clear" w:color="auto" w:fill="auto"/>
            <w:vAlign w:val="bottom"/>
            <w:hideMark/>
          </w:tcPr>
          <w:p w14:paraId="658AD8E4" w14:textId="68A995DB" w:rsidR="00152648" w:rsidRPr="00113454" w:rsidRDefault="008841C9"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880</w:t>
            </w:r>
          </w:p>
        </w:tc>
        <w:tc>
          <w:tcPr>
            <w:tcW w:w="1121" w:type="dxa"/>
            <w:tcBorders>
              <w:top w:val="nil"/>
              <w:left w:val="nil"/>
              <w:bottom w:val="single" w:sz="8" w:space="0" w:color="auto"/>
              <w:right w:val="single" w:sz="8" w:space="0" w:color="auto"/>
            </w:tcBorders>
            <w:shd w:val="clear" w:color="000000" w:fill="FDE9D9"/>
            <w:vAlign w:val="bottom"/>
            <w:hideMark/>
          </w:tcPr>
          <w:p w14:paraId="1AAF99BE"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0.15</w:t>
            </w:r>
          </w:p>
        </w:tc>
        <w:tc>
          <w:tcPr>
            <w:tcW w:w="882" w:type="dxa"/>
            <w:tcBorders>
              <w:top w:val="nil"/>
              <w:left w:val="nil"/>
              <w:bottom w:val="single" w:sz="8" w:space="0" w:color="auto"/>
              <w:right w:val="single" w:sz="8" w:space="0" w:color="auto"/>
            </w:tcBorders>
            <w:shd w:val="clear" w:color="auto" w:fill="auto"/>
            <w:vAlign w:val="bottom"/>
            <w:hideMark/>
          </w:tcPr>
          <w:p w14:paraId="5DA9CB9D"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10</w:t>
            </w:r>
          </w:p>
        </w:tc>
        <w:tc>
          <w:tcPr>
            <w:tcW w:w="1080" w:type="dxa"/>
            <w:tcBorders>
              <w:top w:val="nil"/>
              <w:left w:val="nil"/>
              <w:bottom w:val="single" w:sz="8" w:space="0" w:color="auto"/>
              <w:right w:val="single" w:sz="8" w:space="0" w:color="auto"/>
            </w:tcBorders>
            <w:shd w:val="clear" w:color="auto" w:fill="auto"/>
            <w:vAlign w:val="bottom"/>
            <w:hideMark/>
          </w:tcPr>
          <w:p w14:paraId="55F52BB6"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11</w:t>
            </w:r>
          </w:p>
        </w:tc>
      </w:tr>
      <w:tr w:rsidR="00152648" w:rsidRPr="00113454" w14:paraId="5AF483A1" w14:textId="77777777" w:rsidTr="00B55FE6">
        <w:trPr>
          <w:trHeight w:val="540"/>
        </w:trPr>
        <w:tc>
          <w:tcPr>
            <w:tcW w:w="554" w:type="dxa"/>
            <w:tcBorders>
              <w:top w:val="nil"/>
              <w:left w:val="single" w:sz="8" w:space="0" w:color="auto"/>
              <w:bottom w:val="single" w:sz="8" w:space="0" w:color="auto"/>
              <w:right w:val="single" w:sz="8" w:space="0" w:color="auto"/>
            </w:tcBorders>
            <w:shd w:val="clear" w:color="auto" w:fill="auto"/>
            <w:vAlign w:val="bottom"/>
            <w:hideMark/>
          </w:tcPr>
          <w:p w14:paraId="03684E7A"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6</w:t>
            </w:r>
          </w:p>
        </w:tc>
        <w:tc>
          <w:tcPr>
            <w:tcW w:w="1103" w:type="dxa"/>
            <w:tcBorders>
              <w:top w:val="nil"/>
              <w:left w:val="nil"/>
              <w:bottom w:val="single" w:sz="8" w:space="0" w:color="auto"/>
              <w:right w:val="single" w:sz="8" w:space="0" w:color="auto"/>
            </w:tcBorders>
            <w:shd w:val="clear" w:color="auto" w:fill="auto"/>
            <w:vAlign w:val="bottom"/>
            <w:hideMark/>
          </w:tcPr>
          <w:p w14:paraId="53975B03" w14:textId="4CE6F2AF" w:rsidR="00152648" w:rsidRPr="00113454" w:rsidRDefault="00152648" w:rsidP="00CE017E">
            <w:pPr>
              <w:spacing w:after="0" w:line="240" w:lineRule="auto"/>
              <w:rPr>
                <w:rFonts w:eastAsia="Times New Roman" w:cs="Times New Roman"/>
                <w:color w:val="000000"/>
                <w:sz w:val="24"/>
                <w:szCs w:val="24"/>
              </w:rPr>
            </w:pPr>
            <w:proofErr w:type="spellStart"/>
            <w:r w:rsidRPr="00113454">
              <w:rPr>
                <w:rFonts w:eastAsia="Times New Roman" w:cs="Times New Roman"/>
                <w:color w:val="000000"/>
                <w:sz w:val="24"/>
                <w:szCs w:val="24"/>
              </w:rPr>
              <w:t>Labé</w:t>
            </w:r>
            <w:proofErr w:type="spellEnd"/>
          </w:p>
        </w:tc>
        <w:tc>
          <w:tcPr>
            <w:tcW w:w="1131" w:type="dxa"/>
            <w:tcBorders>
              <w:top w:val="nil"/>
              <w:left w:val="nil"/>
              <w:bottom w:val="single" w:sz="8" w:space="0" w:color="auto"/>
              <w:right w:val="single" w:sz="8" w:space="0" w:color="auto"/>
            </w:tcBorders>
            <w:shd w:val="clear" w:color="auto" w:fill="auto"/>
            <w:vAlign w:val="bottom"/>
            <w:hideMark/>
          </w:tcPr>
          <w:p w14:paraId="708B60DF"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995,717</w:t>
            </w:r>
          </w:p>
        </w:tc>
        <w:tc>
          <w:tcPr>
            <w:tcW w:w="1126" w:type="dxa"/>
            <w:tcBorders>
              <w:top w:val="nil"/>
              <w:left w:val="nil"/>
              <w:bottom w:val="single" w:sz="8" w:space="0" w:color="auto"/>
              <w:right w:val="single" w:sz="8" w:space="0" w:color="auto"/>
            </w:tcBorders>
            <w:shd w:val="clear" w:color="000000" w:fill="FDE9D9"/>
            <w:vAlign w:val="bottom"/>
            <w:hideMark/>
          </w:tcPr>
          <w:p w14:paraId="2E104299"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0.09</w:t>
            </w:r>
          </w:p>
        </w:tc>
        <w:tc>
          <w:tcPr>
            <w:tcW w:w="879" w:type="dxa"/>
            <w:tcBorders>
              <w:top w:val="nil"/>
              <w:left w:val="nil"/>
              <w:bottom w:val="single" w:sz="8" w:space="0" w:color="auto"/>
              <w:right w:val="single" w:sz="8" w:space="0" w:color="auto"/>
            </w:tcBorders>
            <w:shd w:val="clear" w:color="auto" w:fill="auto"/>
            <w:vAlign w:val="bottom"/>
            <w:hideMark/>
          </w:tcPr>
          <w:p w14:paraId="40D7BD86"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14</w:t>
            </w:r>
          </w:p>
        </w:tc>
        <w:tc>
          <w:tcPr>
            <w:tcW w:w="1189" w:type="dxa"/>
            <w:tcBorders>
              <w:top w:val="nil"/>
              <w:left w:val="nil"/>
              <w:bottom w:val="single" w:sz="8" w:space="0" w:color="auto"/>
              <w:right w:val="single" w:sz="8" w:space="0" w:color="auto"/>
            </w:tcBorders>
            <w:shd w:val="clear" w:color="auto" w:fill="auto"/>
            <w:vAlign w:val="bottom"/>
            <w:hideMark/>
          </w:tcPr>
          <w:p w14:paraId="2F8EA4A2" w14:textId="52F914A4" w:rsidR="00152648" w:rsidRPr="00113454" w:rsidRDefault="009B1CD3"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280</w:t>
            </w:r>
          </w:p>
        </w:tc>
        <w:tc>
          <w:tcPr>
            <w:tcW w:w="1120" w:type="dxa"/>
            <w:tcBorders>
              <w:top w:val="nil"/>
              <w:left w:val="nil"/>
              <w:bottom w:val="single" w:sz="8" w:space="0" w:color="auto"/>
              <w:right w:val="single" w:sz="8" w:space="0" w:color="auto"/>
            </w:tcBorders>
            <w:shd w:val="clear" w:color="auto" w:fill="auto"/>
            <w:vAlign w:val="bottom"/>
            <w:hideMark/>
          </w:tcPr>
          <w:p w14:paraId="0E4EA45C" w14:textId="3899B517" w:rsidR="00152648" w:rsidRPr="00113454" w:rsidRDefault="008841C9"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560</w:t>
            </w:r>
          </w:p>
        </w:tc>
        <w:tc>
          <w:tcPr>
            <w:tcW w:w="1121" w:type="dxa"/>
            <w:tcBorders>
              <w:top w:val="nil"/>
              <w:left w:val="nil"/>
              <w:bottom w:val="single" w:sz="8" w:space="0" w:color="auto"/>
              <w:right w:val="single" w:sz="8" w:space="0" w:color="auto"/>
            </w:tcBorders>
            <w:shd w:val="clear" w:color="000000" w:fill="FDE9D9"/>
            <w:vAlign w:val="bottom"/>
            <w:hideMark/>
          </w:tcPr>
          <w:p w14:paraId="7A04182A"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0.09</w:t>
            </w:r>
          </w:p>
        </w:tc>
        <w:tc>
          <w:tcPr>
            <w:tcW w:w="882" w:type="dxa"/>
            <w:tcBorders>
              <w:top w:val="nil"/>
              <w:left w:val="nil"/>
              <w:bottom w:val="single" w:sz="8" w:space="0" w:color="auto"/>
              <w:right w:val="single" w:sz="8" w:space="0" w:color="auto"/>
            </w:tcBorders>
            <w:shd w:val="clear" w:color="auto" w:fill="auto"/>
            <w:vAlign w:val="bottom"/>
            <w:hideMark/>
          </w:tcPr>
          <w:p w14:paraId="0A1FECAF"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7</w:t>
            </w:r>
          </w:p>
        </w:tc>
        <w:tc>
          <w:tcPr>
            <w:tcW w:w="1080" w:type="dxa"/>
            <w:tcBorders>
              <w:top w:val="nil"/>
              <w:left w:val="nil"/>
              <w:bottom w:val="single" w:sz="8" w:space="0" w:color="auto"/>
              <w:right w:val="single" w:sz="8" w:space="0" w:color="auto"/>
            </w:tcBorders>
            <w:shd w:val="clear" w:color="auto" w:fill="auto"/>
            <w:vAlign w:val="bottom"/>
            <w:hideMark/>
          </w:tcPr>
          <w:p w14:paraId="05C7BEEF"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10</w:t>
            </w:r>
          </w:p>
        </w:tc>
      </w:tr>
      <w:tr w:rsidR="00152648" w:rsidRPr="00113454" w14:paraId="10F4323F" w14:textId="77777777" w:rsidTr="00B55FE6">
        <w:trPr>
          <w:trHeight w:val="540"/>
        </w:trPr>
        <w:tc>
          <w:tcPr>
            <w:tcW w:w="554" w:type="dxa"/>
            <w:tcBorders>
              <w:top w:val="nil"/>
              <w:left w:val="single" w:sz="8" w:space="0" w:color="auto"/>
              <w:bottom w:val="single" w:sz="8" w:space="0" w:color="auto"/>
              <w:right w:val="single" w:sz="8" w:space="0" w:color="auto"/>
            </w:tcBorders>
            <w:shd w:val="clear" w:color="auto" w:fill="auto"/>
            <w:vAlign w:val="bottom"/>
            <w:hideMark/>
          </w:tcPr>
          <w:p w14:paraId="716AA927"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7</w:t>
            </w:r>
          </w:p>
        </w:tc>
        <w:tc>
          <w:tcPr>
            <w:tcW w:w="1103" w:type="dxa"/>
            <w:tcBorders>
              <w:top w:val="nil"/>
              <w:left w:val="nil"/>
              <w:bottom w:val="single" w:sz="8" w:space="0" w:color="auto"/>
              <w:right w:val="single" w:sz="8" w:space="0" w:color="auto"/>
            </w:tcBorders>
            <w:shd w:val="clear" w:color="auto" w:fill="auto"/>
            <w:vAlign w:val="bottom"/>
            <w:hideMark/>
          </w:tcPr>
          <w:p w14:paraId="23E82C10" w14:textId="7BC50134" w:rsidR="00152648" w:rsidRPr="00113454" w:rsidRDefault="00152648" w:rsidP="00CE017E">
            <w:pPr>
              <w:spacing w:after="0" w:line="240" w:lineRule="auto"/>
              <w:rPr>
                <w:rFonts w:eastAsia="Times New Roman" w:cs="Times New Roman"/>
                <w:color w:val="000000"/>
                <w:sz w:val="24"/>
                <w:szCs w:val="24"/>
              </w:rPr>
            </w:pPr>
            <w:proofErr w:type="spellStart"/>
            <w:r w:rsidRPr="00113454">
              <w:rPr>
                <w:rFonts w:eastAsia="Times New Roman" w:cs="Times New Roman"/>
                <w:color w:val="000000"/>
                <w:sz w:val="24"/>
                <w:szCs w:val="24"/>
              </w:rPr>
              <w:t>Mamou</w:t>
            </w:r>
            <w:proofErr w:type="spellEnd"/>
          </w:p>
        </w:tc>
        <w:tc>
          <w:tcPr>
            <w:tcW w:w="1131" w:type="dxa"/>
            <w:tcBorders>
              <w:top w:val="nil"/>
              <w:left w:val="nil"/>
              <w:bottom w:val="single" w:sz="8" w:space="0" w:color="auto"/>
              <w:right w:val="single" w:sz="8" w:space="0" w:color="auto"/>
            </w:tcBorders>
            <w:shd w:val="clear" w:color="auto" w:fill="auto"/>
            <w:vAlign w:val="bottom"/>
            <w:hideMark/>
          </w:tcPr>
          <w:p w14:paraId="1CEF350F"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732,117</w:t>
            </w:r>
          </w:p>
        </w:tc>
        <w:tc>
          <w:tcPr>
            <w:tcW w:w="1126" w:type="dxa"/>
            <w:tcBorders>
              <w:top w:val="nil"/>
              <w:left w:val="nil"/>
              <w:bottom w:val="single" w:sz="8" w:space="0" w:color="auto"/>
              <w:right w:val="single" w:sz="8" w:space="0" w:color="auto"/>
            </w:tcBorders>
            <w:shd w:val="clear" w:color="000000" w:fill="FDE9D9"/>
            <w:vAlign w:val="bottom"/>
            <w:hideMark/>
          </w:tcPr>
          <w:p w14:paraId="1FD352B9"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0.07</w:t>
            </w:r>
          </w:p>
        </w:tc>
        <w:tc>
          <w:tcPr>
            <w:tcW w:w="879" w:type="dxa"/>
            <w:tcBorders>
              <w:top w:val="nil"/>
              <w:left w:val="nil"/>
              <w:bottom w:val="single" w:sz="8" w:space="0" w:color="auto"/>
              <w:right w:val="single" w:sz="8" w:space="0" w:color="auto"/>
            </w:tcBorders>
            <w:shd w:val="clear" w:color="auto" w:fill="auto"/>
            <w:vAlign w:val="bottom"/>
            <w:hideMark/>
          </w:tcPr>
          <w:p w14:paraId="0919479F"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10</w:t>
            </w:r>
          </w:p>
        </w:tc>
        <w:tc>
          <w:tcPr>
            <w:tcW w:w="1189" w:type="dxa"/>
            <w:tcBorders>
              <w:top w:val="nil"/>
              <w:left w:val="nil"/>
              <w:bottom w:val="single" w:sz="8" w:space="0" w:color="auto"/>
              <w:right w:val="single" w:sz="8" w:space="0" w:color="auto"/>
            </w:tcBorders>
            <w:shd w:val="clear" w:color="auto" w:fill="auto"/>
            <w:vAlign w:val="bottom"/>
            <w:hideMark/>
          </w:tcPr>
          <w:p w14:paraId="29DD4C05" w14:textId="4FCC1D87" w:rsidR="00152648" w:rsidRPr="00113454" w:rsidRDefault="009B1CD3"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200</w:t>
            </w:r>
          </w:p>
        </w:tc>
        <w:tc>
          <w:tcPr>
            <w:tcW w:w="1120" w:type="dxa"/>
            <w:tcBorders>
              <w:top w:val="nil"/>
              <w:left w:val="nil"/>
              <w:bottom w:val="single" w:sz="8" w:space="0" w:color="auto"/>
              <w:right w:val="single" w:sz="8" w:space="0" w:color="auto"/>
            </w:tcBorders>
            <w:shd w:val="clear" w:color="auto" w:fill="auto"/>
            <w:vAlign w:val="bottom"/>
            <w:hideMark/>
          </w:tcPr>
          <w:p w14:paraId="29BA2A91" w14:textId="6495A4C6" w:rsidR="00152648" w:rsidRPr="00113454" w:rsidRDefault="008841C9"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400</w:t>
            </w:r>
          </w:p>
        </w:tc>
        <w:tc>
          <w:tcPr>
            <w:tcW w:w="1121" w:type="dxa"/>
            <w:tcBorders>
              <w:top w:val="nil"/>
              <w:left w:val="nil"/>
              <w:bottom w:val="single" w:sz="8" w:space="0" w:color="auto"/>
              <w:right w:val="single" w:sz="8" w:space="0" w:color="auto"/>
            </w:tcBorders>
            <w:shd w:val="clear" w:color="000000" w:fill="FDE9D9"/>
            <w:vAlign w:val="bottom"/>
            <w:hideMark/>
          </w:tcPr>
          <w:p w14:paraId="65FFD2D7"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0.07</w:t>
            </w:r>
          </w:p>
        </w:tc>
        <w:tc>
          <w:tcPr>
            <w:tcW w:w="882" w:type="dxa"/>
            <w:tcBorders>
              <w:top w:val="nil"/>
              <w:left w:val="nil"/>
              <w:bottom w:val="single" w:sz="8" w:space="0" w:color="auto"/>
              <w:right w:val="single" w:sz="8" w:space="0" w:color="auto"/>
            </w:tcBorders>
            <w:shd w:val="clear" w:color="auto" w:fill="auto"/>
            <w:vAlign w:val="bottom"/>
            <w:hideMark/>
          </w:tcPr>
          <w:p w14:paraId="22487DF7"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5</w:t>
            </w:r>
          </w:p>
        </w:tc>
        <w:tc>
          <w:tcPr>
            <w:tcW w:w="1080" w:type="dxa"/>
            <w:tcBorders>
              <w:top w:val="nil"/>
              <w:left w:val="nil"/>
              <w:bottom w:val="single" w:sz="8" w:space="0" w:color="auto"/>
              <w:right w:val="single" w:sz="8" w:space="0" w:color="auto"/>
            </w:tcBorders>
            <w:shd w:val="clear" w:color="auto" w:fill="auto"/>
            <w:vAlign w:val="bottom"/>
            <w:hideMark/>
          </w:tcPr>
          <w:p w14:paraId="521529DF"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10</w:t>
            </w:r>
          </w:p>
        </w:tc>
      </w:tr>
      <w:tr w:rsidR="00152648" w:rsidRPr="00113454" w14:paraId="699260C8" w14:textId="77777777" w:rsidTr="00B55FE6">
        <w:trPr>
          <w:trHeight w:val="540"/>
        </w:trPr>
        <w:tc>
          <w:tcPr>
            <w:tcW w:w="554" w:type="dxa"/>
            <w:tcBorders>
              <w:top w:val="nil"/>
              <w:left w:val="single" w:sz="8" w:space="0" w:color="auto"/>
              <w:bottom w:val="single" w:sz="8" w:space="0" w:color="auto"/>
              <w:right w:val="single" w:sz="8" w:space="0" w:color="auto"/>
            </w:tcBorders>
            <w:shd w:val="clear" w:color="auto" w:fill="auto"/>
            <w:vAlign w:val="bottom"/>
            <w:hideMark/>
          </w:tcPr>
          <w:p w14:paraId="03385363"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8</w:t>
            </w:r>
          </w:p>
        </w:tc>
        <w:tc>
          <w:tcPr>
            <w:tcW w:w="1103" w:type="dxa"/>
            <w:tcBorders>
              <w:top w:val="nil"/>
              <w:left w:val="nil"/>
              <w:bottom w:val="single" w:sz="8" w:space="0" w:color="auto"/>
              <w:right w:val="single" w:sz="8" w:space="0" w:color="auto"/>
            </w:tcBorders>
            <w:shd w:val="clear" w:color="auto" w:fill="auto"/>
            <w:vAlign w:val="bottom"/>
            <w:hideMark/>
          </w:tcPr>
          <w:p w14:paraId="22E3AECB" w14:textId="5BDF2CE0" w:rsidR="00152648" w:rsidRPr="00113454" w:rsidRDefault="00152648" w:rsidP="00CE017E">
            <w:pPr>
              <w:spacing w:after="0" w:line="240" w:lineRule="auto"/>
              <w:rPr>
                <w:rFonts w:eastAsia="Times New Roman" w:cs="Times New Roman"/>
                <w:color w:val="000000"/>
                <w:sz w:val="24"/>
                <w:szCs w:val="24"/>
              </w:rPr>
            </w:pPr>
            <w:proofErr w:type="spellStart"/>
            <w:r w:rsidRPr="00113454">
              <w:rPr>
                <w:rFonts w:eastAsia="Times New Roman" w:cs="Times New Roman"/>
                <w:color w:val="000000"/>
                <w:sz w:val="24"/>
                <w:szCs w:val="24"/>
              </w:rPr>
              <w:t>N'zérékoré</w:t>
            </w:r>
            <w:proofErr w:type="spellEnd"/>
          </w:p>
        </w:tc>
        <w:tc>
          <w:tcPr>
            <w:tcW w:w="1131" w:type="dxa"/>
            <w:tcBorders>
              <w:top w:val="nil"/>
              <w:left w:val="nil"/>
              <w:bottom w:val="single" w:sz="8" w:space="0" w:color="auto"/>
              <w:right w:val="single" w:sz="8" w:space="0" w:color="auto"/>
            </w:tcBorders>
            <w:shd w:val="clear" w:color="auto" w:fill="auto"/>
            <w:vAlign w:val="bottom"/>
            <w:hideMark/>
          </w:tcPr>
          <w:p w14:paraId="13B57393"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1,663,582</w:t>
            </w:r>
          </w:p>
        </w:tc>
        <w:tc>
          <w:tcPr>
            <w:tcW w:w="1126" w:type="dxa"/>
            <w:tcBorders>
              <w:top w:val="nil"/>
              <w:left w:val="nil"/>
              <w:bottom w:val="single" w:sz="8" w:space="0" w:color="auto"/>
              <w:right w:val="single" w:sz="8" w:space="0" w:color="auto"/>
            </w:tcBorders>
            <w:shd w:val="clear" w:color="000000" w:fill="FDE9D9"/>
            <w:vAlign w:val="bottom"/>
            <w:hideMark/>
          </w:tcPr>
          <w:p w14:paraId="331F8002"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0.16</w:t>
            </w:r>
          </w:p>
        </w:tc>
        <w:tc>
          <w:tcPr>
            <w:tcW w:w="879" w:type="dxa"/>
            <w:tcBorders>
              <w:top w:val="nil"/>
              <w:left w:val="nil"/>
              <w:bottom w:val="single" w:sz="8" w:space="0" w:color="auto"/>
              <w:right w:val="single" w:sz="8" w:space="0" w:color="auto"/>
            </w:tcBorders>
            <w:shd w:val="clear" w:color="auto" w:fill="auto"/>
            <w:vAlign w:val="bottom"/>
            <w:hideMark/>
          </w:tcPr>
          <w:p w14:paraId="5A7E89A4"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23</w:t>
            </w:r>
          </w:p>
        </w:tc>
        <w:tc>
          <w:tcPr>
            <w:tcW w:w="1189" w:type="dxa"/>
            <w:tcBorders>
              <w:top w:val="nil"/>
              <w:left w:val="nil"/>
              <w:bottom w:val="single" w:sz="8" w:space="0" w:color="auto"/>
              <w:right w:val="single" w:sz="8" w:space="0" w:color="auto"/>
            </w:tcBorders>
            <w:shd w:val="clear" w:color="auto" w:fill="auto"/>
            <w:vAlign w:val="bottom"/>
            <w:hideMark/>
          </w:tcPr>
          <w:p w14:paraId="43734C44" w14:textId="1BC96B43" w:rsidR="00152648" w:rsidRPr="00113454" w:rsidRDefault="009B1CD3"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460</w:t>
            </w:r>
          </w:p>
        </w:tc>
        <w:tc>
          <w:tcPr>
            <w:tcW w:w="1120" w:type="dxa"/>
            <w:tcBorders>
              <w:top w:val="nil"/>
              <w:left w:val="nil"/>
              <w:bottom w:val="single" w:sz="8" w:space="0" w:color="auto"/>
              <w:right w:val="single" w:sz="8" w:space="0" w:color="auto"/>
            </w:tcBorders>
            <w:shd w:val="clear" w:color="auto" w:fill="auto"/>
            <w:vAlign w:val="bottom"/>
            <w:hideMark/>
          </w:tcPr>
          <w:p w14:paraId="3941B7ED" w14:textId="1924B3AC" w:rsidR="00152648" w:rsidRPr="00113454" w:rsidRDefault="008841C9"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920</w:t>
            </w:r>
          </w:p>
        </w:tc>
        <w:tc>
          <w:tcPr>
            <w:tcW w:w="1121" w:type="dxa"/>
            <w:tcBorders>
              <w:top w:val="nil"/>
              <w:left w:val="nil"/>
              <w:bottom w:val="single" w:sz="8" w:space="0" w:color="auto"/>
              <w:right w:val="single" w:sz="8" w:space="0" w:color="auto"/>
            </w:tcBorders>
            <w:shd w:val="clear" w:color="000000" w:fill="FDE9D9"/>
            <w:vAlign w:val="bottom"/>
            <w:hideMark/>
          </w:tcPr>
          <w:p w14:paraId="2939D62B"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0.16</w:t>
            </w:r>
          </w:p>
        </w:tc>
        <w:tc>
          <w:tcPr>
            <w:tcW w:w="882" w:type="dxa"/>
            <w:tcBorders>
              <w:top w:val="nil"/>
              <w:left w:val="nil"/>
              <w:bottom w:val="single" w:sz="8" w:space="0" w:color="auto"/>
              <w:right w:val="single" w:sz="8" w:space="0" w:color="auto"/>
            </w:tcBorders>
            <w:shd w:val="clear" w:color="auto" w:fill="auto"/>
            <w:vAlign w:val="bottom"/>
            <w:hideMark/>
          </w:tcPr>
          <w:p w14:paraId="2AD9E5A5"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11</w:t>
            </w:r>
          </w:p>
        </w:tc>
        <w:tc>
          <w:tcPr>
            <w:tcW w:w="1080" w:type="dxa"/>
            <w:tcBorders>
              <w:top w:val="nil"/>
              <w:left w:val="nil"/>
              <w:bottom w:val="single" w:sz="8" w:space="0" w:color="auto"/>
              <w:right w:val="single" w:sz="8" w:space="0" w:color="auto"/>
            </w:tcBorders>
            <w:shd w:val="clear" w:color="auto" w:fill="auto"/>
            <w:vAlign w:val="bottom"/>
            <w:hideMark/>
          </w:tcPr>
          <w:p w14:paraId="044BC35C" w14:textId="77777777" w:rsidR="00152648" w:rsidRPr="00113454" w:rsidRDefault="00152648" w:rsidP="00113454">
            <w:pPr>
              <w:spacing w:after="0" w:line="240" w:lineRule="auto"/>
              <w:rPr>
                <w:rFonts w:eastAsia="Times New Roman" w:cs="Times New Roman"/>
                <w:color w:val="000000"/>
                <w:sz w:val="24"/>
                <w:szCs w:val="24"/>
              </w:rPr>
            </w:pPr>
            <w:r w:rsidRPr="00113454">
              <w:rPr>
                <w:rFonts w:eastAsia="Times New Roman" w:cs="Times New Roman"/>
                <w:color w:val="000000"/>
                <w:sz w:val="24"/>
                <w:szCs w:val="24"/>
              </w:rPr>
              <w:t>11</w:t>
            </w:r>
          </w:p>
        </w:tc>
      </w:tr>
      <w:tr w:rsidR="00152648" w:rsidRPr="00113454" w14:paraId="5766483D" w14:textId="77777777" w:rsidTr="00B55FE6">
        <w:trPr>
          <w:trHeight w:val="315"/>
        </w:trPr>
        <w:tc>
          <w:tcPr>
            <w:tcW w:w="554" w:type="dxa"/>
            <w:tcBorders>
              <w:top w:val="nil"/>
              <w:left w:val="nil"/>
              <w:bottom w:val="nil"/>
              <w:right w:val="nil"/>
            </w:tcBorders>
            <w:shd w:val="clear" w:color="auto" w:fill="auto"/>
            <w:noWrap/>
            <w:vAlign w:val="bottom"/>
            <w:hideMark/>
          </w:tcPr>
          <w:p w14:paraId="2F97D9FC" w14:textId="77777777" w:rsidR="00152648" w:rsidRPr="00113454" w:rsidRDefault="00152648" w:rsidP="00CE017E">
            <w:pPr>
              <w:spacing w:after="0" w:line="240" w:lineRule="auto"/>
              <w:rPr>
                <w:rFonts w:eastAsia="Times New Roman" w:cs="Times New Roman"/>
                <w:color w:val="000000"/>
                <w:sz w:val="24"/>
                <w:szCs w:val="24"/>
              </w:rPr>
            </w:pPr>
          </w:p>
        </w:tc>
        <w:tc>
          <w:tcPr>
            <w:tcW w:w="1103" w:type="dxa"/>
            <w:tcBorders>
              <w:top w:val="nil"/>
              <w:left w:val="nil"/>
              <w:bottom w:val="nil"/>
              <w:right w:val="nil"/>
            </w:tcBorders>
            <w:shd w:val="clear" w:color="auto" w:fill="auto"/>
            <w:noWrap/>
            <w:vAlign w:val="bottom"/>
            <w:hideMark/>
          </w:tcPr>
          <w:p w14:paraId="6F925FA7" w14:textId="77777777" w:rsidR="00152648" w:rsidRPr="00113454" w:rsidRDefault="00152648" w:rsidP="00C54866">
            <w:pPr>
              <w:spacing w:after="0" w:line="240" w:lineRule="auto"/>
              <w:rPr>
                <w:rFonts w:eastAsia="Times New Roman" w:cs="Times New Roman"/>
                <w:color w:val="000000"/>
                <w:sz w:val="24"/>
                <w:szCs w:val="24"/>
              </w:rPr>
            </w:pPr>
          </w:p>
        </w:tc>
        <w:tc>
          <w:tcPr>
            <w:tcW w:w="1131" w:type="dxa"/>
            <w:tcBorders>
              <w:top w:val="nil"/>
              <w:left w:val="nil"/>
              <w:bottom w:val="double" w:sz="6" w:space="0" w:color="auto"/>
              <w:right w:val="nil"/>
            </w:tcBorders>
            <w:shd w:val="clear" w:color="auto" w:fill="auto"/>
            <w:noWrap/>
            <w:vAlign w:val="bottom"/>
            <w:hideMark/>
          </w:tcPr>
          <w:p w14:paraId="5D6C71F7" w14:textId="77777777" w:rsidR="00152648" w:rsidRPr="00113454" w:rsidRDefault="00152648" w:rsidP="00113454">
            <w:pPr>
              <w:spacing w:after="0" w:line="240" w:lineRule="auto"/>
              <w:rPr>
                <w:rFonts w:eastAsia="Times New Roman" w:cs="Times New Roman"/>
                <w:b/>
                <w:bCs/>
                <w:color w:val="000000"/>
                <w:sz w:val="24"/>
                <w:szCs w:val="24"/>
              </w:rPr>
            </w:pPr>
            <w:r w:rsidRPr="00113454">
              <w:rPr>
                <w:rFonts w:eastAsia="Times New Roman" w:cs="Times New Roman"/>
                <w:b/>
                <w:bCs/>
                <w:color w:val="000000"/>
                <w:sz w:val="24"/>
                <w:szCs w:val="24"/>
              </w:rPr>
              <w:t>10,628,972</w:t>
            </w:r>
          </w:p>
        </w:tc>
        <w:tc>
          <w:tcPr>
            <w:tcW w:w="1126" w:type="dxa"/>
            <w:tcBorders>
              <w:top w:val="nil"/>
              <w:left w:val="nil"/>
              <w:bottom w:val="double" w:sz="6" w:space="0" w:color="auto"/>
              <w:right w:val="nil"/>
            </w:tcBorders>
            <w:shd w:val="clear" w:color="auto" w:fill="auto"/>
            <w:noWrap/>
            <w:vAlign w:val="bottom"/>
            <w:hideMark/>
          </w:tcPr>
          <w:p w14:paraId="245D0AF1" w14:textId="77777777" w:rsidR="00152648" w:rsidRPr="00113454" w:rsidRDefault="00152648" w:rsidP="00113454">
            <w:pPr>
              <w:spacing w:after="0" w:line="240" w:lineRule="auto"/>
              <w:rPr>
                <w:rFonts w:eastAsia="Times New Roman" w:cs="Times New Roman"/>
                <w:b/>
                <w:bCs/>
                <w:color w:val="000000"/>
                <w:sz w:val="24"/>
                <w:szCs w:val="24"/>
              </w:rPr>
            </w:pPr>
            <w:r w:rsidRPr="00113454">
              <w:rPr>
                <w:rFonts w:eastAsia="Times New Roman" w:cs="Times New Roman"/>
                <w:b/>
                <w:bCs/>
                <w:color w:val="000000"/>
                <w:sz w:val="24"/>
                <w:szCs w:val="24"/>
              </w:rPr>
              <w:t>1</w:t>
            </w:r>
          </w:p>
        </w:tc>
        <w:tc>
          <w:tcPr>
            <w:tcW w:w="879" w:type="dxa"/>
            <w:tcBorders>
              <w:top w:val="nil"/>
              <w:left w:val="nil"/>
              <w:bottom w:val="double" w:sz="6" w:space="0" w:color="auto"/>
              <w:right w:val="nil"/>
            </w:tcBorders>
            <w:shd w:val="clear" w:color="auto" w:fill="auto"/>
            <w:noWrap/>
            <w:vAlign w:val="bottom"/>
            <w:hideMark/>
          </w:tcPr>
          <w:p w14:paraId="20797CD8" w14:textId="77777777" w:rsidR="00152648" w:rsidRPr="00113454" w:rsidRDefault="00152648" w:rsidP="00113454">
            <w:pPr>
              <w:spacing w:after="0" w:line="240" w:lineRule="auto"/>
              <w:rPr>
                <w:rFonts w:eastAsia="Times New Roman" w:cs="Times New Roman"/>
                <w:b/>
                <w:bCs/>
                <w:color w:val="000000"/>
                <w:sz w:val="24"/>
                <w:szCs w:val="24"/>
              </w:rPr>
            </w:pPr>
            <w:r w:rsidRPr="00113454">
              <w:rPr>
                <w:rFonts w:eastAsia="Times New Roman" w:cs="Times New Roman"/>
                <w:b/>
                <w:bCs/>
                <w:color w:val="000000"/>
                <w:sz w:val="24"/>
                <w:szCs w:val="24"/>
              </w:rPr>
              <w:t>150</w:t>
            </w:r>
          </w:p>
        </w:tc>
        <w:tc>
          <w:tcPr>
            <w:tcW w:w="1189" w:type="dxa"/>
            <w:tcBorders>
              <w:top w:val="nil"/>
              <w:left w:val="nil"/>
              <w:bottom w:val="double" w:sz="6" w:space="0" w:color="auto"/>
              <w:right w:val="nil"/>
            </w:tcBorders>
            <w:shd w:val="clear" w:color="auto" w:fill="auto"/>
            <w:noWrap/>
            <w:vAlign w:val="bottom"/>
            <w:hideMark/>
          </w:tcPr>
          <w:p w14:paraId="6FB73445" w14:textId="300D8828" w:rsidR="00152648" w:rsidRPr="00113454" w:rsidRDefault="009B1CD3" w:rsidP="00113454">
            <w:pPr>
              <w:spacing w:after="0" w:line="240" w:lineRule="auto"/>
              <w:rPr>
                <w:rFonts w:eastAsia="Times New Roman" w:cs="Times New Roman"/>
                <w:b/>
                <w:bCs/>
                <w:color w:val="000000"/>
                <w:sz w:val="24"/>
                <w:szCs w:val="24"/>
              </w:rPr>
            </w:pPr>
            <w:r w:rsidRPr="00113454">
              <w:rPr>
                <w:rFonts w:eastAsia="Times New Roman" w:cs="Times New Roman"/>
                <w:b/>
                <w:bCs/>
                <w:color w:val="000000"/>
                <w:sz w:val="24"/>
                <w:szCs w:val="24"/>
              </w:rPr>
              <w:t>2980</w:t>
            </w:r>
          </w:p>
        </w:tc>
        <w:tc>
          <w:tcPr>
            <w:tcW w:w="1120" w:type="dxa"/>
            <w:tcBorders>
              <w:top w:val="nil"/>
              <w:left w:val="nil"/>
              <w:bottom w:val="double" w:sz="6" w:space="0" w:color="auto"/>
              <w:right w:val="nil"/>
            </w:tcBorders>
            <w:shd w:val="clear" w:color="auto" w:fill="auto"/>
            <w:noWrap/>
            <w:vAlign w:val="bottom"/>
            <w:hideMark/>
          </w:tcPr>
          <w:p w14:paraId="625D380C" w14:textId="122D22A0" w:rsidR="00152648" w:rsidRPr="00113454" w:rsidRDefault="008841C9" w:rsidP="00113454">
            <w:pPr>
              <w:spacing w:after="0" w:line="240" w:lineRule="auto"/>
              <w:rPr>
                <w:rFonts w:eastAsia="Times New Roman" w:cs="Times New Roman"/>
                <w:b/>
                <w:bCs/>
                <w:color w:val="000000"/>
                <w:sz w:val="24"/>
                <w:szCs w:val="24"/>
              </w:rPr>
            </w:pPr>
            <w:r w:rsidRPr="00113454">
              <w:rPr>
                <w:rFonts w:eastAsia="Times New Roman" w:cs="Times New Roman"/>
                <w:b/>
                <w:bCs/>
                <w:color w:val="000000"/>
                <w:sz w:val="24"/>
                <w:szCs w:val="24"/>
              </w:rPr>
              <w:t>5960</w:t>
            </w:r>
          </w:p>
        </w:tc>
        <w:tc>
          <w:tcPr>
            <w:tcW w:w="1121" w:type="dxa"/>
            <w:tcBorders>
              <w:top w:val="nil"/>
              <w:left w:val="nil"/>
              <w:bottom w:val="double" w:sz="6" w:space="0" w:color="auto"/>
              <w:right w:val="nil"/>
            </w:tcBorders>
            <w:shd w:val="clear" w:color="auto" w:fill="auto"/>
            <w:noWrap/>
            <w:vAlign w:val="bottom"/>
            <w:hideMark/>
          </w:tcPr>
          <w:p w14:paraId="2D3BFD4D" w14:textId="77777777" w:rsidR="00152648" w:rsidRPr="00113454" w:rsidRDefault="00152648" w:rsidP="00113454">
            <w:pPr>
              <w:spacing w:after="0" w:line="240" w:lineRule="auto"/>
              <w:rPr>
                <w:rFonts w:eastAsia="Times New Roman" w:cs="Times New Roman"/>
                <w:b/>
                <w:bCs/>
                <w:color w:val="000000"/>
                <w:sz w:val="24"/>
                <w:szCs w:val="24"/>
              </w:rPr>
            </w:pPr>
            <w:r w:rsidRPr="00113454">
              <w:rPr>
                <w:rFonts w:eastAsia="Times New Roman" w:cs="Times New Roman"/>
                <w:b/>
                <w:bCs/>
                <w:color w:val="000000"/>
                <w:sz w:val="24"/>
                <w:szCs w:val="24"/>
              </w:rPr>
              <w:t>1</w:t>
            </w:r>
          </w:p>
        </w:tc>
        <w:tc>
          <w:tcPr>
            <w:tcW w:w="882" w:type="dxa"/>
            <w:tcBorders>
              <w:top w:val="nil"/>
              <w:left w:val="nil"/>
              <w:bottom w:val="double" w:sz="6" w:space="0" w:color="auto"/>
              <w:right w:val="nil"/>
            </w:tcBorders>
            <w:shd w:val="clear" w:color="auto" w:fill="auto"/>
            <w:noWrap/>
            <w:vAlign w:val="bottom"/>
            <w:hideMark/>
          </w:tcPr>
          <w:p w14:paraId="71713DC0" w14:textId="77777777" w:rsidR="00152648" w:rsidRPr="00113454" w:rsidRDefault="00152648" w:rsidP="00113454">
            <w:pPr>
              <w:spacing w:after="0" w:line="240" w:lineRule="auto"/>
              <w:rPr>
                <w:rFonts w:eastAsia="Times New Roman" w:cs="Times New Roman"/>
                <w:b/>
                <w:bCs/>
                <w:color w:val="000000"/>
                <w:sz w:val="24"/>
                <w:szCs w:val="24"/>
              </w:rPr>
            </w:pPr>
            <w:r w:rsidRPr="00113454">
              <w:rPr>
                <w:rFonts w:eastAsia="Times New Roman" w:cs="Times New Roman"/>
                <w:b/>
                <w:bCs/>
                <w:color w:val="000000"/>
                <w:sz w:val="24"/>
                <w:szCs w:val="24"/>
              </w:rPr>
              <w:t>70</w:t>
            </w:r>
          </w:p>
        </w:tc>
        <w:tc>
          <w:tcPr>
            <w:tcW w:w="1080" w:type="dxa"/>
            <w:tcBorders>
              <w:top w:val="nil"/>
              <w:left w:val="nil"/>
              <w:bottom w:val="nil"/>
              <w:right w:val="nil"/>
            </w:tcBorders>
            <w:shd w:val="clear" w:color="auto" w:fill="auto"/>
            <w:noWrap/>
            <w:vAlign w:val="bottom"/>
            <w:hideMark/>
          </w:tcPr>
          <w:p w14:paraId="205AD33B" w14:textId="77777777" w:rsidR="00152648" w:rsidRPr="00113454" w:rsidRDefault="00152648" w:rsidP="00CE017E">
            <w:pPr>
              <w:spacing w:after="0" w:line="240" w:lineRule="auto"/>
              <w:rPr>
                <w:rFonts w:eastAsia="Times New Roman" w:cs="Times New Roman"/>
                <w:color w:val="000000"/>
                <w:sz w:val="24"/>
                <w:szCs w:val="24"/>
              </w:rPr>
            </w:pPr>
          </w:p>
        </w:tc>
      </w:tr>
    </w:tbl>
    <w:p w14:paraId="09EE22C8" w14:textId="77777777" w:rsidR="00152648" w:rsidRPr="00CE017E" w:rsidRDefault="00152648" w:rsidP="00CE017E">
      <w:pPr>
        <w:spacing w:after="0" w:line="240" w:lineRule="auto"/>
        <w:rPr>
          <w:sz w:val="24"/>
          <w:szCs w:val="24"/>
        </w:rPr>
      </w:pPr>
    </w:p>
    <w:p w14:paraId="0FB9053C" w14:textId="77777777" w:rsidR="00D32ADF" w:rsidRPr="00CE017E" w:rsidRDefault="00D32ADF" w:rsidP="00113454">
      <w:pPr>
        <w:spacing w:after="0" w:line="240" w:lineRule="auto"/>
        <w:rPr>
          <w:rFonts w:cstheme="minorHAnsi"/>
          <w:sz w:val="24"/>
          <w:szCs w:val="24"/>
        </w:rPr>
      </w:pPr>
    </w:p>
    <w:p w14:paraId="59B280E1" w14:textId="77777777" w:rsidR="00851B7C" w:rsidRPr="00273C2F" w:rsidRDefault="00851B7C" w:rsidP="00113454">
      <w:pPr>
        <w:spacing w:after="0" w:line="240" w:lineRule="auto"/>
        <w:rPr>
          <w:sz w:val="24"/>
          <w:szCs w:val="24"/>
        </w:rPr>
      </w:pPr>
      <w:r w:rsidRPr="00C54866">
        <w:rPr>
          <w:sz w:val="24"/>
          <w:szCs w:val="24"/>
        </w:rPr>
        <w:t xml:space="preserve">The following </w:t>
      </w:r>
      <w:r w:rsidR="00017CCA" w:rsidRPr="00BE7DA5">
        <w:rPr>
          <w:sz w:val="24"/>
          <w:szCs w:val="24"/>
        </w:rPr>
        <w:t xml:space="preserve">outlines </w:t>
      </w:r>
      <w:r w:rsidRPr="00273C2F">
        <w:rPr>
          <w:sz w:val="24"/>
          <w:szCs w:val="24"/>
        </w:rPr>
        <w:t>the sampling approach:</w:t>
      </w:r>
    </w:p>
    <w:p w14:paraId="300727D5" w14:textId="77777777" w:rsidR="00D32ADF" w:rsidRPr="00273C2F" w:rsidRDefault="00D32ADF" w:rsidP="00113454">
      <w:pPr>
        <w:spacing w:after="0" w:line="240" w:lineRule="auto"/>
        <w:rPr>
          <w:rFonts w:eastAsia="Times New Roman" w:cs="Times New Roman"/>
          <w:bCs/>
          <w:sz w:val="24"/>
          <w:szCs w:val="24"/>
        </w:rPr>
      </w:pPr>
    </w:p>
    <w:p w14:paraId="1D8FE608" w14:textId="77777777" w:rsidR="004500C6" w:rsidRPr="00273C2F" w:rsidRDefault="004500C6" w:rsidP="00CE017E">
      <w:pPr>
        <w:rPr>
          <w:sz w:val="24"/>
          <w:szCs w:val="24"/>
          <w:u w:val="single"/>
        </w:rPr>
      </w:pPr>
      <w:r w:rsidRPr="00273C2F">
        <w:rPr>
          <w:sz w:val="24"/>
          <w:szCs w:val="24"/>
          <w:u w:val="single"/>
        </w:rPr>
        <w:t>Stage 1: Selection of clusters</w:t>
      </w:r>
      <w:r w:rsidR="006911CD" w:rsidRPr="00273C2F">
        <w:rPr>
          <w:sz w:val="24"/>
          <w:szCs w:val="24"/>
          <w:u w:val="single"/>
        </w:rPr>
        <w:t xml:space="preserve"> from list of 2014 Guinea Census of Enumeration Areas</w:t>
      </w:r>
    </w:p>
    <w:p w14:paraId="3478779B" w14:textId="68962186" w:rsidR="004500C6" w:rsidRPr="00273C2F" w:rsidRDefault="004500C6" w:rsidP="00C54866">
      <w:pPr>
        <w:pStyle w:val="ListParagraph"/>
        <w:numPr>
          <w:ilvl w:val="0"/>
          <w:numId w:val="13"/>
        </w:numPr>
        <w:rPr>
          <w:sz w:val="24"/>
          <w:szCs w:val="24"/>
        </w:rPr>
      </w:pPr>
      <w:r w:rsidRPr="00273C2F">
        <w:rPr>
          <w:sz w:val="24"/>
          <w:szCs w:val="24"/>
        </w:rPr>
        <w:t xml:space="preserve">Within each region, prefectures will be divided into: low and high </w:t>
      </w:r>
      <w:r w:rsidR="006F44C0" w:rsidRPr="00273C2F">
        <w:rPr>
          <w:sz w:val="24"/>
          <w:szCs w:val="24"/>
        </w:rPr>
        <w:t>intensity</w:t>
      </w:r>
      <w:r w:rsidRPr="00273C2F">
        <w:rPr>
          <w:sz w:val="24"/>
          <w:szCs w:val="24"/>
        </w:rPr>
        <w:t xml:space="preserve"> of social mobilization activities</w:t>
      </w:r>
    </w:p>
    <w:p w14:paraId="0C913FB7" w14:textId="629103DE" w:rsidR="004500C6" w:rsidRPr="00273C2F" w:rsidRDefault="004500C6" w:rsidP="00BE7DA5">
      <w:pPr>
        <w:pStyle w:val="ListParagraph"/>
        <w:numPr>
          <w:ilvl w:val="0"/>
          <w:numId w:val="13"/>
        </w:numPr>
        <w:rPr>
          <w:sz w:val="24"/>
          <w:szCs w:val="24"/>
        </w:rPr>
      </w:pPr>
      <w:r w:rsidRPr="00273C2F">
        <w:rPr>
          <w:sz w:val="24"/>
          <w:szCs w:val="24"/>
        </w:rPr>
        <w:t xml:space="preserve">Within each prefecture, sub-prefectures will be further divided into: low and high </w:t>
      </w:r>
      <w:r w:rsidR="006F44C0" w:rsidRPr="00273C2F">
        <w:rPr>
          <w:sz w:val="24"/>
          <w:szCs w:val="24"/>
        </w:rPr>
        <w:t>intensity</w:t>
      </w:r>
      <w:r w:rsidRPr="00273C2F">
        <w:rPr>
          <w:sz w:val="24"/>
          <w:szCs w:val="24"/>
        </w:rPr>
        <w:t xml:space="preserve"> of social mobilization activities</w:t>
      </w:r>
    </w:p>
    <w:p w14:paraId="3B46111E" w14:textId="704E54F4" w:rsidR="004500C6" w:rsidRPr="00273C2F" w:rsidRDefault="004500C6" w:rsidP="00273C2F">
      <w:pPr>
        <w:pStyle w:val="ListParagraph"/>
        <w:numPr>
          <w:ilvl w:val="0"/>
          <w:numId w:val="13"/>
        </w:numPr>
        <w:rPr>
          <w:sz w:val="24"/>
          <w:szCs w:val="24"/>
        </w:rPr>
      </w:pPr>
      <w:r w:rsidRPr="00273C2F">
        <w:rPr>
          <w:sz w:val="24"/>
          <w:szCs w:val="24"/>
        </w:rPr>
        <w:t xml:space="preserve">Within each sub-prefecture, census enumeration areas (clusters) will be further divided into: low and high </w:t>
      </w:r>
      <w:r w:rsidR="006F44C0" w:rsidRPr="00273C2F">
        <w:rPr>
          <w:sz w:val="24"/>
          <w:szCs w:val="24"/>
        </w:rPr>
        <w:t>intensity</w:t>
      </w:r>
      <w:r w:rsidRPr="00273C2F">
        <w:rPr>
          <w:sz w:val="24"/>
          <w:szCs w:val="24"/>
        </w:rPr>
        <w:t xml:space="preserve"> of social mobilization activities</w:t>
      </w:r>
    </w:p>
    <w:p w14:paraId="0A0B8A3D" w14:textId="081E17C5" w:rsidR="004500C6" w:rsidRPr="00273C2F" w:rsidRDefault="004500C6" w:rsidP="00273C2F">
      <w:pPr>
        <w:pStyle w:val="ListParagraph"/>
        <w:numPr>
          <w:ilvl w:val="0"/>
          <w:numId w:val="13"/>
        </w:numPr>
        <w:rPr>
          <w:sz w:val="24"/>
          <w:szCs w:val="24"/>
        </w:rPr>
      </w:pPr>
      <w:r w:rsidRPr="00273C2F">
        <w:rPr>
          <w:sz w:val="24"/>
          <w:szCs w:val="24"/>
        </w:rPr>
        <w:t xml:space="preserve">50% of the total target sample for the respective regions will be randomly selected from the list of list of clusters classified as low </w:t>
      </w:r>
      <w:r w:rsidR="006F44C0" w:rsidRPr="00273C2F">
        <w:rPr>
          <w:sz w:val="24"/>
          <w:szCs w:val="24"/>
        </w:rPr>
        <w:t>intensity</w:t>
      </w:r>
      <w:r w:rsidRPr="00273C2F">
        <w:rPr>
          <w:sz w:val="24"/>
          <w:szCs w:val="24"/>
        </w:rPr>
        <w:t xml:space="preserve"> of social mobilization activities</w:t>
      </w:r>
    </w:p>
    <w:p w14:paraId="77C2ED92" w14:textId="05828F40" w:rsidR="004500C6" w:rsidRPr="00273C2F" w:rsidRDefault="004500C6" w:rsidP="00273C2F">
      <w:pPr>
        <w:pStyle w:val="ListParagraph"/>
        <w:numPr>
          <w:ilvl w:val="0"/>
          <w:numId w:val="13"/>
        </w:numPr>
        <w:rPr>
          <w:sz w:val="24"/>
          <w:szCs w:val="24"/>
        </w:rPr>
      </w:pPr>
      <w:r w:rsidRPr="00273C2F">
        <w:rPr>
          <w:sz w:val="24"/>
          <w:szCs w:val="24"/>
        </w:rPr>
        <w:t xml:space="preserve">Another 50% of the total target sample for the respective regions will be randomly selected from the list of clusters classified as low </w:t>
      </w:r>
      <w:r w:rsidR="006F44C0" w:rsidRPr="00273C2F">
        <w:rPr>
          <w:sz w:val="24"/>
          <w:szCs w:val="24"/>
        </w:rPr>
        <w:t>intensity</w:t>
      </w:r>
      <w:r w:rsidRPr="00273C2F">
        <w:rPr>
          <w:sz w:val="24"/>
          <w:szCs w:val="24"/>
        </w:rPr>
        <w:t xml:space="preserve"> of social mobilization activities</w:t>
      </w:r>
    </w:p>
    <w:p w14:paraId="0C20E8B6" w14:textId="2A416F82" w:rsidR="004500C6" w:rsidRPr="00273C2F" w:rsidRDefault="004500C6" w:rsidP="00273C2F">
      <w:pPr>
        <w:pStyle w:val="ListParagraph"/>
        <w:numPr>
          <w:ilvl w:val="0"/>
          <w:numId w:val="13"/>
        </w:numPr>
        <w:rPr>
          <w:sz w:val="24"/>
          <w:szCs w:val="24"/>
        </w:rPr>
      </w:pPr>
      <w:r w:rsidRPr="00273C2F">
        <w:rPr>
          <w:sz w:val="24"/>
          <w:szCs w:val="24"/>
        </w:rPr>
        <w:t xml:space="preserve">Following this procedure ensures an equal proportion of the 150 target clusters in the sample that have received high </w:t>
      </w:r>
      <w:r w:rsidR="006F44C0" w:rsidRPr="00273C2F">
        <w:rPr>
          <w:sz w:val="24"/>
          <w:szCs w:val="24"/>
        </w:rPr>
        <w:t>intensity</w:t>
      </w:r>
      <w:r w:rsidRPr="00273C2F">
        <w:rPr>
          <w:sz w:val="24"/>
          <w:szCs w:val="24"/>
        </w:rPr>
        <w:t xml:space="preserve"> of social mobilization activities (n = 75) as compared to those with low </w:t>
      </w:r>
      <w:r w:rsidR="006F44C0" w:rsidRPr="00273C2F">
        <w:rPr>
          <w:sz w:val="24"/>
          <w:szCs w:val="24"/>
        </w:rPr>
        <w:t>intensity</w:t>
      </w:r>
      <w:r w:rsidRPr="00273C2F">
        <w:rPr>
          <w:sz w:val="24"/>
          <w:szCs w:val="24"/>
        </w:rPr>
        <w:t xml:space="preserve"> (n=75)</w:t>
      </w:r>
    </w:p>
    <w:p w14:paraId="658C4C88" w14:textId="2B5FAAEA" w:rsidR="004500C6" w:rsidRPr="00273C2F" w:rsidRDefault="004500C6" w:rsidP="00273C2F">
      <w:pPr>
        <w:ind w:left="360"/>
        <w:rPr>
          <w:i/>
          <w:sz w:val="24"/>
          <w:szCs w:val="24"/>
        </w:rPr>
      </w:pPr>
      <w:r w:rsidRPr="00273C2F">
        <w:rPr>
          <w:i/>
          <w:sz w:val="24"/>
          <w:szCs w:val="24"/>
        </w:rPr>
        <w:t xml:space="preserve">Note: In the analysis, the selected clusters in the sample will be further coded into a dichotomous variable of (i) low/no EVD </w:t>
      </w:r>
      <w:r w:rsidR="009D4D8B" w:rsidRPr="00273C2F">
        <w:rPr>
          <w:i/>
          <w:sz w:val="24"/>
          <w:szCs w:val="24"/>
        </w:rPr>
        <w:t>cumulative incidence</w:t>
      </w:r>
      <w:r w:rsidRPr="00273C2F">
        <w:rPr>
          <w:i/>
          <w:sz w:val="24"/>
          <w:szCs w:val="24"/>
        </w:rPr>
        <w:t xml:space="preserve"> and (ii) high EVD prevalence based on </w:t>
      </w:r>
      <w:proofErr w:type="spellStart"/>
      <w:r w:rsidRPr="00273C2F">
        <w:rPr>
          <w:i/>
          <w:sz w:val="24"/>
          <w:szCs w:val="24"/>
        </w:rPr>
        <w:t>MoH</w:t>
      </w:r>
      <w:proofErr w:type="spellEnd"/>
      <w:r w:rsidRPr="00273C2F">
        <w:rPr>
          <w:i/>
          <w:sz w:val="24"/>
          <w:szCs w:val="24"/>
        </w:rPr>
        <w:t>/WHO epidemiological data for the Ebola outbreak in Guinea</w:t>
      </w:r>
      <w:r w:rsidR="00F05455" w:rsidRPr="00273C2F">
        <w:rPr>
          <w:i/>
          <w:sz w:val="24"/>
          <w:szCs w:val="24"/>
        </w:rPr>
        <w:t xml:space="preserve"> during the 2014-2015. </w:t>
      </w:r>
    </w:p>
    <w:p w14:paraId="59DF429D" w14:textId="77777777" w:rsidR="007A578C" w:rsidRDefault="007A578C" w:rsidP="00273C2F">
      <w:pPr>
        <w:rPr>
          <w:sz w:val="24"/>
          <w:szCs w:val="24"/>
          <w:u w:val="single"/>
        </w:rPr>
      </w:pPr>
    </w:p>
    <w:p w14:paraId="650B7446" w14:textId="77777777" w:rsidR="007A578C" w:rsidRDefault="007A578C" w:rsidP="00273C2F">
      <w:pPr>
        <w:rPr>
          <w:sz w:val="24"/>
          <w:szCs w:val="24"/>
          <w:u w:val="single"/>
        </w:rPr>
      </w:pPr>
    </w:p>
    <w:p w14:paraId="5260E302" w14:textId="102CA0F0" w:rsidR="004500C6" w:rsidRPr="00273C2F" w:rsidRDefault="004500C6" w:rsidP="00273C2F">
      <w:pPr>
        <w:rPr>
          <w:sz w:val="24"/>
          <w:szCs w:val="24"/>
          <w:u w:val="single"/>
        </w:rPr>
      </w:pPr>
      <w:r w:rsidRPr="00273C2F">
        <w:rPr>
          <w:sz w:val="24"/>
          <w:szCs w:val="24"/>
          <w:u w:val="single"/>
        </w:rPr>
        <w:lastRenderedPageBreak/>
        <w:t>Stage 2: Selection of households and community leaders</w:t>
      </w:r>
    </w:p>
    <w:p w14:paraId="69F1A941" w14:textId="1B26C712" w:rsidR="004500C6" w:rsidRPr="00273C2F" w:rsidRDefault="004500C6" w:rsidP="00273C2F">
      <w:pPr>
        <w:pStyle w:val="ListParagraph"/>
        <w:numPr>
          <w:ilvl w:val="0"/>
          <w:numId w:val="14"/>
        </w:numPr>
        <w:rPr>
          <w:sz w:val="24"/>
          <w:szCs w:val="24"/>
        </w:rPr>
      </w:pPr>
      <w:r w:rsidRPr="00273C2F">
        <w:rPr>
          <w:sz w:val="24"/>
          <w:szCs w:val="24"/>
        </w:rPr>
        <w:t>Within each randomly selected cluster, the community leader will be consulted for permission to conduct the assessment in the cluster as well as interviewed for 15 minutes if he/she consented</w:t>
      </w:r>
    </w:p>
    <w:p w14:paraId="76F7012B" w14:textId="4D793E60" w:rsidR="004500C6" w:rsidRPr="00273C2F" w:rsidRDefault="004500C6" w:rsidP="00273C2F">
      <w:pPr>
        <w:pStyle w:val="ListParagraph"/>
        <w:numPr>
          <w:ilvl w:val="0"/>
          <w:numId w:val="14"/>
        </w:numPr>
        <w:rPr>
          <w:sz w:val="24"/>
          <w:szCs w:val="24"/>
        </w:rPr>
      </w:pPr>
      <w:r w:rsidRPr="00273C2F">
        <w:rPr>
          <w:sz w:val="24"/>
          <w:szCs w:val="24"/>
        </w:rPr>
        <w:t>With the consent of the community leader, a total of 20 households will then be selected for inclusion using systematic random sampling</w:t>
      </w:r>
    </w:p>
    <w:p w14:paraId="7CF4D7A9" w14:textId="77777777" w:rsidR="004500C6" w:rsidRPr="00273C2F" w:rsidRDefault="004500C6" w:rsidP="00273C2F">
      <w:pPr>
        <w:pStyle w:val="ListParagraph"/>
        <w:numPr>
          <w:ilvl w:val="1"/>
          <w:numId w:val="14"/>
        </w:numPr>
        <w:rPr>
          <w:sz w:val="24"/>
          <w:szCs w:val="24"/>
        </w:rPr>
      </w:pPr>
      <w:r w:rsidRPr="00273C2F">
        <w:rPr>
          <w:sz w:val="24"/>
          <w:szCs w:val="24"/>
        </w:rPr>
        <w:t xml:space="preserve">For each cluster, the total number of households will be obtained from the 2014 Guinea Census database </w:t>
      </w:r>
    </w:p>
    <w:p w14:paraId="58027723" w14:textId="77777777" w:rsidR="004500C6" w:rsidRPr="00273C2F" w:rsidRDefault="004500C6" w:rsidP="00273C2F">
      <w:pPr>
        <w:pStyle w:val="ListParagraph"/>
        <w:numPr>
          <w:ilvl w:val="1"/>
          <w:numId w:val="14"/>
        </w:numPr>
        <w:rPr>
          <w:sz w:val="24"/>
          <w:szCs w:val="24"/>
        </w:rPr>
      </w:pPr>
      <w:r w:rsidRPr="00273C2F">
        <w:rPr>
          <w:sz w:val="24"/>
          <w:szCs w:val="24"/>
        </w:rPr>
        <w:t>The total number of households in the cluster will then be divided by 20 to obtain the skip-interval (e.g. 100 households / 20 = skip-interval of 5)</w:t>
      </w:r>
    </w:p>
    <w:p w14:paraId="71A16695" w14:textId="248B539A" w:rsidR="004500C6" w:rsidRPr="00273C2F" w:rsidRDefault="004500C6" w:rsidP="00273C2F">
      <w:pPr>
        <w:pStyle w:val="ListParagraph"/>
        <w:numPr>
          <w:ilvl w:val="1"/>
          <w:numId w:val="14"/>
        </w:numPr>
        <w:rPr>
          <w:sz w:val="24"/>
          <w:szCs w:val="24"/>
        </w:rPr>
      </w:pPr>
      <w:r w:rsidRPr="00273C2F">
        <w:rPr>
          <w:sz w:val="24"/>
          <w:szCs w:val="24"/>
        </w:rPr>
        <w:t>From a randomly selected starting point within the cluster (</w:t>
      </w:r>
      <w:r w:rsidR="00F05455" w:rsidRPr="00273C2F">
        <w:rPr>
          <w:sz w:val="24"/>
          <w:szCs w:val="24"/>
        </w:rPr>
        <w:t xml:space="preserve">e.g., </w:t>
      </w:r>
      <w:r w:rsidRPr="00273C2F">
        <w:rPr>
          <w:sz w:val="24"/>
          <w:szCs w:val="24"/>
        </w:rPr>
        <w:t>village</w:t>
      </w:r>
      <w:r w:rsidR="00F05455" w:rsidRPr="00273C2F">
        <w:rPr>
          <w:sz w:val="24"/>
          <w:szCs w:val="24"/>
        </w:rPr>
        <w:t xml:space="preserve"> or </w:t>
      </w:r>
      <w:r w:rsidRPr="00273C2F">
        <w:rPr>
          <w:sz w:val="24"/>
          <w:szCs w:val="24"/>
        </w:rPr>
        <w:t>town</w:t>
      </w:r>
      <w:r w:rsidR="00F05455" w:rsidRPr="00273C2F">
        <w:rPr>
          <w:sz w:val="24"/>
          <w:szCs w:val="24"/>
        </w:rPr>
        <w:t xml:space="preserve"> center</w:t>
      </w:r>
      <w:r w:rsidRPr="00273C2F">
        <w:rPr>
          <w:sz w:val="24"/>
          <w:szCs w:val="24"/>
        </w:rPr>
        <w:t>), 20 households will be systematically selected following the established skip-pattern</w:t>
      </w:r>
      <w:r w:rsidR="00FF217D" w:rsidRPr="00273C2F">
        <w:rPr>
          <w:sz w:val="24"/>
          <w:szCs w:val="24"/>
        </w:rPr>
        <w:t xml:space="preserve">. </w:t>
      </w:r>
    </w:p>
    <w:p w14:paraId="2066953C" w14:textId="3CD0477D" w:rsidR="00FF217D" w:rsidRPr="00273C2F" w:rsidRDefault="00FF217D" w:rsidP="00273C2F">
      <w:pPr>
        <w:pStyle w:val="ListParagraph"/>
        <w:numPr>
          <w:ilvl w:val="1"/>
          <w:numId w:val="14"/>
        </w:numPr>
        <w:rPr>
          <w:sz w:val="24"/>
          <w:szCs w:val="24"/>
        </w:rPr>
      </w:pPr>
      <w:r w:rsidRPr="00273C2F">
        <w:rPr>
          <w:sz w:val="24"/>
          <w:szCs w:val="24"/>
        </w:rPr>
        <w:t>If the leader refuses participation</w:t>
      </w:r>
      <w:r w:rsidR="00614E96" w:rsidRPr="00273C2F">
        <w:rPr>
          <w:sz w:val="24"/>
          <w:szCs w:val="24"/>
        </w:rPr>
        <w:t>, another cluster will be randomly selected from a list of substitute clusters that had already been randomly selected</w:t>
      </w:r>
      <w:r w:rsidR="006461FD" w:rsidRPr="00273C2F">
        <w:rPr>
          <w:sz w:val="24"/>
          <w:szCs w:val="24"/>
        </w:rPr>
        <w:t>.</w:t>
      </w:r>
    </w:p>
    <w:p w14:paraId="38004410" w14:textId="1D535D8E" w:rsidR="00FF217D" w:rsidRPr="00273C2F" w:rsidRDefault="00FF217D" w:rsidP="00273C2F">
      <w:pPr>
        <w:pStyle w:val="ListParagraph"/>
        <w:numPr>
          <w:ilvl w:val="1"/>
          <w:numId w:val="14"/>
        </w:numPr>
        <w:rPr>
          <w:sz w:val="24"/>
          <w:szCs w:val="24"/>
        </w:rPr>
      </w:pPr>
      <w:r w:rsidRPr="00273C2F">
        <w:rPr>
          <w:sz w:val="24"/>
          <w:szCs w:val="24"/>
        </w:rPr>
        <w:t xml:space="preserve">If leader participates in the interview, but does not allow contacting households within the cluster, </w:t>
      </w:r>
      <w:r w:rsidR="006461FD" w:rsidRPr="00273C2F">
        <w:rPr>
          <w:sz w:val="24"/>
          <w:szCs w:val="24"/>
        </w:rPr>
        <w:t xml:space="preserve">another cluster will be randomly selected from a list of substitute clusters that had already been randomly selected. </w:t>
      </w:r>
    </w:p>
    <w:p w14:paraId="57E95F68" w14:textId="77777777" w:rsidR="004500C6" w:rsidRPr="00273C2F" w:rsidRDefault="004500C6" w:rsidP="00273C2F">
      <w:pPr>
        <w:rPr>
          <w:sz w:val="24"/>
          <w:szCs w:val="24"/>
          <w:u w:val="single"/>
        </w:rPr>
      </w:pPr>
      <w:r w:rsidRPr="00273C2F">
        <w:rPr>
          <w:sz w:val="24"/>
          <w:szCs w:val="24"/>
          <w:u w:val="single"/>
        </w:rPr>
        <w:t>Stage 3: Selection of respondents</w:t>
      </w:r>
    </w:p>
    <w:p w14:paraId="2EFE0D99" w14:textId="5379E0E1" w:rsidR="004500C6" w:rsidRPr="00273C2F" w:rsidRDefault="004500C6" w:rsidP="00273C2F">
      <w:pPr>
        <w:pStyle w:val="ListParagraph"/>
        <w:numPr>
          <w:ilvl w:val="0"/>
          <w:numId w:val="15"/>
        </w:numPr>
        <w:rPr>
          <w:sz w:val="24"/>
          <w:szCs w:val="24"/>
        </w:rPr>
      </w:pPr>
      <w:r w:rsidRPr="00273C2F">
        <w:rPr>
          <w:sz w:val="24"/>
          <w:szCs w:val="24"/>
        </w:rPr>
        <w:t xml:space="preserve">In each randomly selected household, the head of household </w:t>
      </w:r>
      <w:r w:rsidR="00F05455" w:rsidRPr="00273C2F">
        <w:rPr>
          <w:sz w:val="24"/>
          <w:szCs w:val="24"/>
        </w:rPr>
        <w:t xml:space="preserve">(or the person who assumes his/her responsibilities when absent) </w:t>
      </w:r>
      <w:r w:rsidRPr="00273C2F">
        <w:rPr>
          <w:sz w:val="24"/>
          <w:szCs w:val="24"/>
        </w:rPr>
        <w:t xml:space="preserve">will always be </w:t>
      </w:r>
      <w:r w:rsidR="00F05455" w:rsidRPr="00273C2F">
        <w:rPr>
          <w:sz w:val="24"/>
          <w:szCs w:val="24"/>
        </w:rPr>
        <w:t>offered participation</w:t>
      </w:r>
      <w:r w:rsidRPr="00273C2F">
        <w:rPr>
          <w:sz w:val="24"/>
          <w:szCs w:val="24"/>
        </w:rPr>
        <w:t xml:space="preserve"> </w:t>
      </w:r>
    </w:p>
    <w:p w14:paraId="635C60E0" w14:textId="3D012F4C" w:rsidR="004500C6" w:rsidRPr="00273C2F" w:rsidRDefault="004500C6" w:rsidP="00273C2F">
      <w:pPr>
        <w:pStyle w:val="ListParagraph"/>
        <w:numPr>
          <w:ilvl w:val="0"/>
          <w:numId w:val="15"/>
        </w:numPr>
        <w:rPr>
          <w:sz w:val="24"/>
          <w:szCs w:val="24"/>
        </w:rPr>
      </w:pPr>
      <w:r w:rsidRPr="00273C2F">
        <w:rPr>
          <w:sz w:val="24"/>
          <w:szCs w:val="24"/>
        </w:rPr>
        <w:t xml:space="preserve">A second household </w:t>
      </w:r>
      <w:r w:rsidR="00492962">
        <w:rPr>
          <w:sz w:val="24"/>
          <w:szCs w:val="24"/>
        </w:rPr>
        <w:t>member</w:t>
      </w:r>
      <w:r w:rsidR="00492962" w:rsidRPr="00273C2F">
        <w:rPr>
          <w:sz w:val="24"/>
          <w:szCs w:val="24"/>
        </w:rPr>
        <w:t xml:space="preserve"> </w:t>
      </w:r>
      <w:r w:rsidRPr="00273C2F">
        <w:rPr>
          <w:sz w:val="24"/>
          <w:szCs w:val="24"/>
        </w:rPr>
        <w:t xml:space="preserve">is then </w:t>
      </w:r>
      <w:r w:rsidR="00FF217D" w:rsidRPr="00273C2F">
        <w:rPr>
          <w:sz w:val="24"/>
          <w:szCs w:val="24"/>
        </w:rPr>
        <w:t xml:space="preserve">offered participation </w:t>
      </w:r>
      <w:r w:rsidR="00492962">
        <w:rPr>
          <w:sz w:val="24"/>
          <w:szCs w:val="24"/>
        </w:rPr>
        <w:t xml:space="preserve">and is </w:t>
      </w:r>
      <w:r w:rsidRPr="00273C2F">
        <w:rPr>
          <w:sz w:val="24"/>
          <w:szCs w:val="24"/>
        </w:rPr>
        <w:t>interviewed (either a woman aged 25+ or young person aged 15-24)</w:t>
      </w:r>
    </w:p>
    <w:p w14:paraId="69FD575A" w14:textId="59878CDC" w:rsidR="004500C6" w:rsidRPr="00273C2F" w:rsidRDefault="004500C6" w:rsidP="00273C2F">
      <w:pPr>
        <w:pStyle w:val="ListParagraph"/>
        <w:numPr>
          <w:ilvl w:val="0"/>
          <w:numId w:val="15"/>
        </w:numPr>
        <w:rPr>
          <w:sz w:val="24"/>
          <w:szCs w:val="24"/>
        </w:rPr>
      </w:pPr>
      <w:r w:rsidRPr="00273C2F">
        <w:rPr>
          <w:sz w:val="24"/>
          <w:szCs w:val="24"/>
        </w:rPr>
        <w:t>If there are more than one eligible second household member</w:t>
      </w:r>
      <w:r w:rsidR="000146CA">
        <w:rPr>
          <w:sz w:val="24"/>
          <w:szCs w:val="24"/>
        </w:rPr>
        <w:t>,</w:t>
      </w:r>
      <w:r w:rsidRPr="00273C2F">
        <w:rPr>
          <w:sz w:val="24"/>
          <w:szCs w:val="24"/>
        </w:rPr>
        <w:t xml:space="preserve"> then simple random sampling will be used to select one</w:t>
      </w:r>
    </w:p>
    <w:p w14:paraId="370CF9B4" w14:textId="77777777" w:rsidR="004500C6" w:rsidRPr="00273C2F" w:rsidRDefault="004500C6" w:rsidP="00273C2F">
      <w:pPr>
        <w:pStyle w:val="ListParagraph"/>
        <w:numPr>
          <w:ilvl w:val="1"/>
          <w:numId w:val="15"/>
        </w:numPr>
        <w:rPr>
          <w:sz w:val="24"/>
          <w:szCs w:val="24"/>
        </w:rPr>
      </w:pPr>
      <w:r w:rsidRPr="00273C2F">
        <w:rPr>
          <w:sz w:val="24"/>
          <w:szCs w:val="24"/>
        </w:rPr>
        <w:t>By listing all eligible household members (excluding household head), and then use a pair of six-sided die to randomly select one</w:t>
      </w:r>
    </w:p>
    <w:p w14:paraId="07D43859" w14:textId="6A04D58C" w:rsidR="004500C6" w:rsidRPr="00273C2F" w:rsidRDefault="004500C6" w:rsidP="00273C2F">
      <w:pPr>
        <w:rPr>
          <w:i/>
          <w:sz w:val="24"/>
          <w:szCs w:val="24"/>
        </w:rPr>
      </w:pPr>
      <w:r w:rsidRPr="00273C2F">
        <w:rPr>
          <w:i/>
          <w:sz w:val="24"/>
          <w:szCs w:val="24"/>
        </w:rPr>
        <w:t>Note: If a young person aged 15-24 is selected as the second respondent in house #1, then an eligible woman must be selected from house #2 (therefore the list of eligible participants in house #2 will only be women aged 25+); in house #3 a young person would then be selected again</w:t>
      </w:r>
      <w:r w:rsidR="00232A6E" w:rsidRPr="00273C2F">
        <w:rPr>
          <w:i/>
          <w:sz w:val="24"/>
          <w:szCs w:val="24"/>
        </w:rPr>
        <w:t>. The goal is a total of 5,960 participants</w:t>
      </w:r>
      <w:r w:rsidR="00743E91" w:rsidRPr="00273C2F">
        <w:rPr>
          <w:i/>
          <w:sz w:val="24"/>
          <w:szCs w:val="24"/>
        </w:rPr>
        <w:t xml:space="preserve"> who complete the interview</w:t>
      </w:r>
      <w:r w:rsidR="00232A6E" w:rsidRPr="00273C2F">
        <w:rPr>
          <w:i/>
          <w:sz w:val="24"/>
          <w:szCs w:val="24"/>
        </w:rPr>
        <w:t xml:space="preserve">. </w:t>
      </w:r>
      <w:r w:rsidR="006461FD" w:rsidRPr="00273C2F">
        <w:rPr>
          <w:i/>
          <w:sz w:val="24"/>
          <w:szCs w:val="24"/>
        </w:rPr>
        <w:t xml:space="preserve">. </w:t>
      </w:r>
    </w:p>
    <w:p w14:paraId="1EACE392" w14:textId="77777777" w:rsidR="009D12CA" w:rsidRDefault="009D12CA" w:rsidP="00113454">
      <w:pPr>
        <w:spacing w:after="0" w:line="240" w:lineRule="auto"/>
        <w:rPr>
          <w:rFonts w:cstheme="minorHAnsi"/>
          <w:sz w:val="24"/>
          <w:szCs w:val="24"/>
        </w:rPr>
      </w:pPr>
    </w:p>
    <w:p w14:paraId="592F6B02" w14:textId="1FD2203D" w:rsidR="002A53E7" w:rsidRDefault="002A53E7" w:rsidP="00113454">
      <w:pPr>
        <w:spacing w:after="0" w:line="240" w:lineRule="auto"/>
        <w:rPr>
          <w:rFonts w:cstheme="minorHAnsi"/>
          <w:sz w:val="24"/>
          <w:szCs w:val="24"/>
        </w:rPr>
      </w:pPr>
      <w:r>
        <w:rPr>
          <w:rFonts w:cstheme="minorHAnsi"/>
          <w:sz w:val="24"/>
          <w:szCs w:val="24"/>
        </w:rPr>
        <w:t>Response Rates:</w:t>
      </w:r>
    </w:p>
    <w:p w14:paraId="4A06F4FF" w14:textId="77777777" w:rsidR="00492962" w:rsidRDefault="00492962" w:rsidP="00E779F7">
      <w:pPr>
        <w:spacing w:after="0"/>
        <w:contextualSpacing/>
        <w:rPr>
          <w:sz w:val="24"/>
          <w:szCs w:val="24"/>
        </w:rPr>
      </w:pPr>
    </w:p>
    <w:p w14:paraId="2BFCD9FF" w14:textId="230788BF" w:rsidR="00E779F7" w:rsidRPr="00273C2F" w:rsidRDefault="00E779F7" w:rsidP="00E779F7">
      <w:pPr>
        <w:spacing w:after="0"/>
        <w:contextualSpacing/>
        <w:rPr>
          <w:sz w:val="24"/>
          <w:szCs w:val="24"/>
        </w:rPr>
      </w:pPr>
      <w:r w:rsidRPr="00273C2F">
        <w:rPr>
          <w:sz w:val="24"/>
          <w:szCs w:val="24"/>
        </w:rPr>
        <w:lastRenderedPageBreak/>
        <w:t>In Sierra Leone, response rates for CDC Foundation-funded KAP assessments exceeded 95 percent, and it is anticipate</w:t>
      </w:r>
      <w:r w:rsidR="001F0EAC">
        <w:rPr>
          <w:sz w:val="24"/>
          <w:szCs w:val="24"/>
        </w:rPr>
        <w:t>d</w:t>
      </w:r>
      <w:r w:rsidRPr="00273C2F">
        <w:rPr>
          <w:sz w:val="24"/>
          <w:szCs w:val="24"/>
        </w:rPr>
        <w:t xml:space="preserve"> that only slightly lower rates will be observed in clusters in Guinea due to higher rates of resistance to EVD efforts during this epidemic. </w:t>
      </w:r>
      <w:r w:rsidR="00AB7D6D">
        <w:rPr>
          <w:sz w:val="24"/>
          <w:szCs w:val="24"/>
        </w:rPr>
        <w:t>We estimate a response rate of 85-90% in this Guinea assessment. Factors that might cause lower response rate are potential distrust of Guinea residents toward Guineans who are engaged in an EVD-related information collection activity endorsed by the Guinean government (and noted by letter from Ministry of Health during the introduction phase of the interview) and an interview that poses potentially sensitive questions, including those about use of and impressions of EVD prevention and control services, some of which have been provided by the government. Factors that might mitigat</w:t>
      </w:r>
      <w:r w:rsidR="001F0EAC">
        <w:rPr>
          <w:sz w:val="24"/>
          <w:szCs w:val="24"/>
        </w:rPr>
        <w:t>e low response rate and responde</w:t>
      </w:r>
      <w:r w:rsidR="00AB7D6D">
        <w:rPr>
          <w:sz w:val="24"/>
          <w:szCs w:val="24"/>
        </w:rPr>
        <w:t xml:space="preserve">nts’ confidence in privacy protections are use of a trusted, well-respected survey organization, </w:t>
      </w:r>
      <w:proofErr w:type="spellStart"/>
      <w:r w:rsidR="00AB7D6D">
        <w:rPr>
          <w:sz w:val="24"/>
          <w:szCs w:val="24"/>
        </w:rPr>
        <w:t>Sante</w:t>
      </w:r>
      <w:proofErr w:type="spellEnd"/>
      <w:r w:rsidR="00AB7D6D">
        <w:rPr>
          <w:sz w:val="24"/>
          <w:szCs w:val="24"/>
        </w:rPr>
        <w:t xml:space="preserve"> Plus, that has worked throughout Guinea on valued health surveys and interventions, Guinean information collectors who speak the local languages of the selected clusters, but do not reside in the sampled villages and neighborhoods, and deferral of collecting signatures or thumbprints to identify respondents. Because of a response rate of less than 100%, this request for this assessment ranges up to 6,000 as the number of respondents approached, with a target of 5,960 complete interviews.</w:t>
      </w:r>
    </w:p>
    <w:p w14:paraId="0B291408" w14:textId="77777777" w:rsidR="002A53E7" w:rsidRDefault="002A53E7" w:rsidP="00113454">
      <w:pPr>
        <w:spacing w:after="0" w:line="240" w:lineRule="auto"/>
        <w:rPr>
          <w:rFonts w:cstheme="minorHAnsi"/>
          <w:sz w:val="24"/>
          <w:szCs w:val="24"/>
        </w:rPr>
      </w:pPr>
    </w:p>
    <w:p w14:paraId="4E40690C" w14:textId="44792C4C" w:rsidR="009B1CD3" w:rsidRPr="00273C2F" w:rsidRDefault="00DF1D25" w:rsidP="00113454">
      <w:pPr>
        <w:spacing w:after="0" w:line="240" w:lineRule="auto"/>
        <w:rPr>
          <w:rFonts w:cstheme="minorHAnsi"/>
          <w:sz w:val="24"/>
          <w:szCs w:val="24"/>
        </w:rPr>
      </w:pPr>
      <w:r>
        <w:rPr>
          <w:rFonts w:cstheme="minorHAnsi"/>
          <w:sz w:val="24"/>
          <w:szCs w:val="24"/>
        </w:rPr>
        <w:t>Sample Size</w:t>
      </w:r>
      <w:r w:rsidR="000146CA">
        <w:rPr>
          <w:rFonts w:cstheme="minorHAnsi"/>
          <w:sz w:val="24"/>
          <w:szCs w:val="24"/>
        </w:rPr>
        <w:t>:</w:t>
      </w:r>
    </w:p>
    <w:p w14:paraId="180AD1CB" w14:textId="3DB7A78A" w:rsidR="009B1CD3" w:rsidRPr="00273C2F" w:rsidRDefault="009B1CD3" w:rsidP="00113454">
      <w:pPr>
        <w:spacing w:after="0" w:line="240" w:lineRule="auto"/>
        <w:rPr>
          <w:rFonts w:cstheme="minorHAnsi"/>
          <w:sz w:val="24"/>
          <w:szCs w:val="24"/>
        </w:rPr>
      </w:pPr>
    </w:p>
    <w:p w14:paraId="6B43A766" w14:textId="3F5ABB12" w:rsidR="002A53E7" w:rsidRDefault="002A0801" w:rsidP="00113454">
      <w:pPr>
        <w:spacing w:after="0" w:line="240" w:lineRule="auto"/>
        <w:rPr>
          <w:sz w:val="24"/>
          <w:szCs w:val="24"/>
        </w:rPr>
      </w:pPr>
      <w:r w:rsidRPr="00273C2F">
        <w:rPr>
          <w:rFonts w:cstheme="minorHAnsi"/>
          <w:sz w:val="24"/>
          <w:szCs w:val="24"/>
        </w:rPr>
        <w:t xml:space="preserve">Attachment </w:t>
      </w:r>
      <w:r w:rsidR="000146CA">
        <w:rPr>
          <w:rFonts w:cstheme="minorHAnsi"/>
          <w:sz w:val="24"/>
          <w:szCs w:val="24"/>
        </w:rPr>
        <w:t>7</w:t>
      </w:r>
      <w:r w:rsidRPr="00273C2F">
        <w:rPr>
          <w:rFonts w:cstheme="minorHAnsi"/>
          <w:sz w:val="24"/>
          <w:szCs w:val="24"/>
        </w:rPr>
        <w:t xml:space="preserve"> describes </w:t>
      </w:r>
      <w:r w:rsidR="00DF1D25">
        <w:rPr>
          <w:rFonts w:cstheme="minorHAnsi"/>
          <w:sz w:val="24"/>
          <w:szCs w:val="24"/>
        </w:rPr>
        <w:t xml:space="preserve">the sample size estimation and the </w:t>
      </w:r>
      <w:r w:rsidRPr="00273C2F">
        <w:rPr>
          <w:rFonts w:cstheme="minorHAnsi"/>
          <w:sz w:val="24"/>
          <w:szCs w:val="24"/>
        </w:rPr>
        <w:t>p</w:t>
      </w:r>
      <w:r w:rsidR="00614E96" w:rsidRPr="00273C2F">
        <w:rPr>
          <w:rFonts w:cstheme="minorHAnsi"/>
          <w:sz w:val="24"/>
          <w:szCs w:val="24"/>
        </w:rPr>
        <w:t xml:space="preserve">lanned </w:t>
      </w:r>
      <w:r w:rsidRPr="00273C2F">
        <w:rPr>
          <w:rFonts w:cstheme="minorHAnsi"/>
          <w:sz w:val="24"/>
          <w:szCs w:val="24"/>
        </w:rPr>
        <w:t xml:space="preserve">descriptive </w:t>
      </w:r>
      <w:r w:rsidR="00614E96" w:rsidRPr="00273C2F">
        <w:rPr>
          <w:rFonts w:cstheme="minorHAnsi"/>
          <w:sz w:val="24"/>
          <w:szCs w:val="24"/>
        </w:rPr>
        <w:t>analyses</w:t>
      </w:r>
      <w:r w:rsidR="009B1CD3" w:rsidRPr="00273C2F">
        <w:rPr>
          <w:rFonts w:cstheme="minorHAnsi"/>
          <w:sz w:val="24"/>
          <w:szCs w:val="24"/>
        </w:rPr>
        <w:t xml:space="preserve"> of respondents’ </w:t>
      </w:r>
      <w:r w:rsidRPr="00273C2F">
        <w:rPr>
          <w:rFonts w:cstheme="minorHAnsi"/>
          <w:sz w:val="24"/>
          <w:szCs w:val="24"/>
        </w:rPr>
        <w:t xml:space="preserve">demographic characteristics, KAP variables, and the association of KAP </w:t>
      </w:r>
      <w:r w:rsidR="008C5714">
        <w:rPr>
          <w:rFonts w:cstheme="minorHAnsi"/>
          <w:sz w:val="24"/>
          <w:szCs w:val="24"/>
        </w:rPr>
        <w:t>o</w:t>
      </w:r>
      <w:r w:rsidRPr="00273C2F">
        <w:rPr>
          <w:rFonts w:cstheme="minorHAnsi"/>
          <w:sz w:val="24"/>
          <w:szCs w:val="24"/>
        </w:rPr>
        <w:t>utcome variables to respondent characteristics</w:t>
      </w:r>
      <w:r w:rsidR="00574DA8">
        <w:rPr>
          <w:rFonts w:cstheme="minorHAnsi"/>
          <w:sz w:val="24"/>
          <w:szCs w:val="24"/>
        </w:rPr>
        <w:t xml:space="preserve"> and justification for the sample size of 6</w:t>
      </w:r>
      <w:r w:rsidR="000146CA">
        <w:rPr>
          <w:rFonts w:cstheme="minorHAnsi"/>
          <w:sz w:val="24"/>
          <w:szCs w:val="24"/>
        </w:rPr>
        <w:t>,</w:t>
      </w:r>
      <w:r w:rsidR="00574DA8">
        <w:rPr>
          <w:rFonts w:cstheme="minorHAnsi"/>
          <w:sz w:val="24"/>
          <w:szCs w:val="24"/>
        </w:rPr>
        <w:t>000</w:t>
      </w:r>
      <w:r w:rsidR="002F28B3">
        <w:rPr>
          <w:rFonts w:cstheme="minorHAnsi"/>
          <w:sz w:val="24"/>
          <w:szCs w:val="24"/>
        </w:rPr>
        <w:t xml:space="preserve"> household members</w:t>
      </w:r>
      <w:r w:rsidR="00574DA8">
        <w:rPr>
          <w:rFonts w:cstheme="minorHAnsi"/>
          <w:sz w:val="24"/>
          <w:szCs w:val="24"/>
        </w:rPr>
        <w:t>.</w:t>
      </w:r>
      <w:r w:rsidRPr="00C54866">
        <w:rPr>
          <w:rFonts w:eastAsia="Times New Roman" w:cs="Times New Roman"/>
          <w:bCs/>
          <w:sz w:val="24"/>
          <w:szCs w:val="24"/>
        </w:rPr>
        <w:t xml:space="preserve">  </w:t>
      </w:r>
      <w:r w:rsidR="00DF1D25">
        <w:rPr>
          <w:rFonts w:eastAsia="Times New Roman" w:cs="Times New Roman"/>
          <w:bCs/>
          <w:sz w:val="24"/>
          <w:szCs w:val="24"/>
        </w:rPr>
        <w:t xml:space="preserve">In brief, </w:t>
      </w:r>
      <w:r w:rsidR="00DF1D25">
        <w:rPr>
          <w:sz w:val="24"/>
          <w:szCs w:val="24"/>
        </w:rPr>
        <w:t>t</w:t>
      </w:r>
      <w:r w:rsidR="001C4C5D" w:rsidRPr="002F0D36">
        <w:rPr>
          <w:sz w:val="24"/>
          <w:szCs w:val="24"/>
        </w:rPr>
        <w:t>he secondary sampling unit (SSU) will consist of households randomly selected within each PSU. Two members from each household will be assessed. This approach is preferred as it is the most economical for a large population such as that of Guinea</w:t>
      </w:r>
      <w:r w:rsidR="001C4C5D">
        <w:rPr>
          <w:sz w:val="24"/>
          <w:szCs w:val="24"/>
        </w:rPr>
        <w:t>; further, due to cultural factors, the male head-of-household typically must be interviewed first, as a result, to reach women and youth, one must plan on sampling more than one member per household.</w:t>
      </w:r>
    </w:p>
    <w:p w14:paraId="699105AC" w14:textId="77777777" w:rsidR="002A53E7" w:rsidRDefault="002A53E7" w:rsidP="00113454">
      <w:pPr>
        <w:spacing w:after="0" w:line="240" w:lineRule="auto"/>
        <w:rPr>
          <w:sz w:val="24"/>
          <w:szCs w:val="24"/>
        </w:rPr>
      </w:pPr>
    </w:p>
    <w:p w14:paraId="2BF84F90" w14:textId="4ED57138" w:rsidR="002A0801" w:rsidRPr="00C54866" w:rsidRDefault="002F28B3" w:rsidP="00113454">
      <w:pPr>
        <w:spacing w:after="0" w:line="240" w:lineRule="auto"/>
        <w:rPr>
          <w:rFonts w:eastAsia="Times New Roman" w:cs="Times New Roman"/>
          <w:bCs/>
          <w:sz w:val="24"/>
          <w:szCs w:val="24"/>
        </w:rPr>
      </w:pPr>
      <w:r>
        <w:rPr>
          <w:rFonts w:eastAsia="Times New Roman" w:cs="Times New Roman"/>
          <w:bCs/>
          <w:sz w:val="24"/>
          <w:szCs w:val="24"/>
        </w:rPr>
        <w:t xml:space="preserve">The sample size of 150 community leaders is </w:t>
      </w:r>
      <w:r w:rsidR="00063508">
        <w:rPr>
          <w:rFonts w:eastAsia="Times New Roman" w:cs="Times New Roman"/>
          <w:bCs/>
          <w:sz w:val="24"/>
          <w:szCs w:val="24"/>
        </w:rPr>
        <w:t xml:space="preserve">based on </w:t>
      </w:r>
      <w:r w:rsidR="001F0EAC">
        <w:rPr>
          <w:rFonts w:eastAsia="Times New Roman" w:cs="Times New Roman"/>
          <w:bCs/>
          <w:sz w:val="24"/>
          <w:szCs w:val="24"/>
        </w:rPr>
        <w:t xml:space="preserve">a </w:t>
      </w:r>
      <w:r w:rsidR="00063508">
        <w:rPr>
          <w:rFonts w:eastAsia="Times New Roman" w:cs="Times New Roman"/>
          <w:bCs/>
          <w:sz w:val="24"/>
          <w:szCs w:val="24"/>
        </w:rPr>
        <w:t xml:space="preserve">plan to sample 150 clusters, which represent physically distinct villages and neighborhoods.  When visiting a village or neighborhood, Guinean cultural norms call for visiting the village/neighborhood leader or elder, demonstrating respect for that leader, and asking permission to extend the visit to other members of the community. This process </w:t>
      </w:r>
      <w:r>
        <w:rPr>
          <w:rFonts w:eastAsia="Times New Roman" w:cs="Times New Roman"/>
          <w:bCs/>
          <w:sz w:val="24"/>
          <w:szCs w:val="24"/>
        </w:rPr>
        <w:t xml:space="preserve">respects traditional lines of authority </w:t>
      </w:r>
      <w:r w:rsidR="00A04E32">
        <w:rPr>
          <w:rFonts w:eastAsia="Times New Roman" w:cs="Times New Roman"/>
          <w:bCs/>
          <w:sz w:val="24"/>
          <w:szCs w:val="24"/>
        </w:rPr>
        <w:t xml:space="preserve">for interacting with </w:t>
      </w:r>
      <w:r>
        <w:rPr>
          <w:rFonts w:eastAsia="Times New Roman" w:cs="Times New Roman"/>
          <w:bCs/>
          <w:sz w:val="24"/>
          <w:szCs w:val="24"/>
        </w:rPr>
        <w:t xml:space="preserve">community members in Guinea, </w:t>
      </w:r>
      <w:r w:rsidR="00A04E32">
        <w:rPr>
          <w:rFonts w:eastAsia="Times New Roman" w:cs="Times New Roman"/>
          <w:bCs/>
          <w:sz w:val="24"/>
          <w:szCs w:val="24"/>
        </w:rPr>
        <w:t>is essential to provide access to household members, will reduce risk of resistance to information collectors, and will improve overall response rate.</w:t>
      </w:r>
    </w:p>
    <w:p w14:paraId="73826C85" w14:textId="2428B87F" w:rsidR="00851B7C" w:rsidRDefault="00851B7C" w:rsidP="008D4A90">
      <w:pPr>
        <w:spacing w:after="0" w:line="240" w:lineRule="auto"/>
        <w:rPr>
          <w:rFonts w:cstheme="minorHAnsi"/>
          <w:sz w:val="24"/>
          <w:szCs w:val="24"/>
        </w:rPr>
      </w:pPr>
    </w:p>
    <w:p w14:paraId="153CD5B5" w14:textId="77777777" w:rsidR="007A578C" w:rsidRDefault="007A578C" w:rsidP="008D4A90">
      <w:pPr>
        <w:autoSpaceDE w:val="0"/>
        <w:autoSpaceDN w:val="0"/>
        <w:adjustRightInd w:val="0"/>
        <w:spacing w:after="0"/>
        <w:rPr>
          <w:rFonts w:cs="Calibri"/>
          <w:b/>
          <w:bCs/>
          <w:color w:val="000000"/>
          <w:sz w:val="24"/>
          <w:szCs w:val="24"/>
        </w:rPr>
      </w:pPr>
    </w:p>
    <w:p w14:paraId="672F51D7" w14:textId="77777777" w:rsidR="00C20BE5" w:rsidRPr="00273C2F" w:rsidRDefault="00C20BE5" w:rsidP="008D4A90">
      <w:pPr>
        <w:autoSpaceDE w:val="0"/>
        <w:autoSpaceDN w:val="0"/>
        <w:adjustRightInd w:val="0"/>
        <w:spacing w:after="0"/>
        <w:rPr>
          <w:rFonts w:cs="Calibri"/>
          <w:color w:val="000000"/>
          <w:sz w:val="24"/>
          <w:szCs w:val="24"/>
        </w:rPr>
      </w:pPr>
      <w:r w:rsidRPr="00273C2F">
        <w:rPr>
          <w:rFonts w:cs="Calibri"/>
          <w:b/>
          <w:bCs/>
          <w:color w:val="000000"/>
          <w:sz w:val="24"/>
          <w:szCs w:val="24"/>
        </w:rPr>
        <w:t xml:space="preserve">2. Procedures for the Collection of Information </w:t>
      </w:r>
    </w:p>
    <w:p w14:paraId="1D638996" w14:textId="77777777" w:rsidR="009973F2" w:rsidRPr="00273C2F" w:rsidRDefault="009973F2" w:rsidP="008D4A90">
      <w:pPr>
        <w:autoSpaceDE w:val="0"/>
        <w:autoSpaceDN w:val="0"/>
        <w:adjustRightInd w:val="0"/>
        <w:spacing w:after="0"/>
        <w:rPr>
          <w:rFonts w:cs="Calibri"/>
          <w:color w:val="000000"/>
          <w:sz w:val="24"/>
          <w:szCs w:val="24"/>
        </w:rPr>
      </w:pPr>
    </w:p>
    <w:p w14:paraId="0A7BDD32" w14:textId="5EB8B448" w:rsidR="00123E7D" w:rsidRDefault="00017CCA" w:rsidP="008D4A90">
      <w:pPr>
        <w:autoSpaceDE w:val="0"/>
        <w:autoSpaceDN w:val="0"/>
        <w:adjustRightInd w:val="0"/>
        <w:spacing w:after="0"/>
        <w:rPr>
          <w:rFonts w:cs="Calibri"/>
          <w:color w:val="000000"/>
          <w:sz w:val="24"/>
          <w:szCs w:val="24"/>
        </w:rPr>
      </w:pPr>
      <w:r w:rsidRPr="00273C2F">
        <w:rPr>
          <w:rFonts w:cs="Calibri"/>
          <w:color w:val="000000"/>
          <w:sz w:val="24"/>
          <w:szCs w:val="24"/>
        </w:rPr>
        <w:lastRenderedPageBreak/>
        <w:t xml:space="preserve">Two regional supervisors will be responsible for providing oversight of all </w:t>
      </w:r>
      <w:r w:rsidR="004F6D58" w:rsidRPr="00273C2F">
        <w:rPr>
          <w:rFonts w:cs="Calibri"/>
          <w:color w:val="000000"/>
          <w:sz w:val="24"/>
          <w:szCs w:val="24"/>
        </w:rPr>
        <w:t>information</w:t>
      </w:r>
      <w:r w:rsidRPr="00273C2F">
        <w:rPr>
          <w:rFonts w:cs="Calibri"/>
          <w:color w:val="000000"/>
          <w:sz w:val="24"/>
          <w:szCs w:val="24"/>
        </w:rPr>
        <w:t xml:space="preserve"> collection activities within their respective regions.  The teams will all consist of one supervisor and at least three </w:t>
      </w:r>
      <w:r w:rsidR="00FF217D" w:rsidRPr="00273C2F">
        <w:rPr>
          <w:rFonts w:cs="Calibri"/>
          <w:color w:val="000000"/>
          <w:sz w:val="24"/>
          <w:szCs w:val="24"/>
        </w:rPr>
        <w:t>information collectors from Guinea who speak the local language</w:t>
      </w:r>
      <w:r w:rsidR="006C5D91" w:rsidRPr="00273C2F">
        <w:rPr>
          <w:rFonts w:cs="Calibri"/>
          <w:color w:val="000000"/>
          <w:sz w:val="24"/>
          <w:szCs w:val="24"/>
        </w:rPr>
        <w:t>s</w:t>
      </w:r>
      <w:r w:rsidR="00FF217D" w:rsidRPr="00273C2F">
        <w:rPr>
          <w:rFonts w:cs="Calibri"/>
          <w:color w:val="000000"/>
          <w:sz w:val="24"/>
          <w:szCs w:val="24"/>
        </w:rPr>
        <w:t xml:space="preserve"> </w:t>
      </w:r>
      <w:r w:rsidR="006C5D91" w:rsidRPr="00273C2F">
        <w:rPr>
          <w:rFonts w:cs="Calibri"/>
          <w:color w:val="000000"/>
          <w:sz w:val="24"/>
          <w:szCs w:val="24"/>
        </w:rPr>
        <w:t xml:space="preserve">commonly spoken </w:t>
      </w:r>
      <w:r w:rsidR="00FF217D" w:rsidRPr="00273C2F">
        <w:rPr>
          <w:rFonts w:cs="Calibri"/>
          <w:color w:val="000000"/>
          <w:sz w:val="24"/>
          <w:szCs w:val="24"/>
        </w:rPr>
        <w:t>of the cluster</w:t>
      </w:r>
      <w:r w:rsidRPr="00273C2F">
        <w:rPr>
          <w:rFonts w:cs="Calibri"/>
          <w:color w:val="000000"/>
          <w:sz w:val="24"/>
          <w:szCs w:val="24"/>
        </w:rPr>
        <w:t xml:space="preserve">. </w:t>
      </w:r>
      <w:r w:rsidR="00123E7D">
        <w:t>T</w:t>
      </w:r>
      <w:r w:rsidR="00123E7D" w:rsidRPr="00601CB3">
        <w:t>he</w:t>
      </w:r>
      <w:r w:rsidR="00813F50">
        <w:t>y</w:t>
      </w:r>
      <w:r w:rsidR="00123E7D" w:rsidRPr="00601CB3">
        <w:t xml:space="preserve"> will provide on-the-spot translation as local languages are non-written or do not have a stable written form</w:t>
      </w:r>
      <w:r w:rsidR="00123E7D">
        <w:t>.</w:t>
      </w:r>
    </w:p>
    <w:p w14:paraId="7EEEB0FB" w14:textId="77777777" w:rsidR="00123E7D" w:rsidRDefault="00123E7D" w:rsidP="008D4A90">
      <w:pPr>
        <w:autoSpaceDE w:val="0"/>
        <w:autoSpaceDN w:val="0"/>
        <w:adjustRightInd w:val="0"/>
        <w:spacing w:after="0"/>
        <w:rPr>
          <w:rFonts w:cs="Calibri"/>
          <w:color w:val="000000"/>
          <w:sz w:val="24"/>
          <w:szCs w:val="24"/>
        </w:rPr>
      </w:pPr>
    </w:p>
    <w:p w14:paraId="0EA2093A" w14:textId="4CE16BBB" w:rsidR="004961A1" w:rsidRPr="00273C2F" w:rsidRDefault="00FF217D" w:rsidP="008D4A90">
      <w:pPr>
        <w:autoSpaceDE w:val="0"/>
        <w:autoSpaceDN w:val="0"/>
        <w:adjustRightInd w:val="0"/>
        <w:spacing w:after="0"/>
        <w:rPr>
          <w:rFonts w:cs="Calibri"/>
          <w:color w:val="000000"/>
          <w:sz w:val="24"/>
          <w:szCs w:val="24"/>
        </w:rPr>
      </w:pPr>
      <w:r w:rsidRPr="00273C2F">
        <w:rPr>
          <w:rFonts w:cs="Calibri"/>
          <w:color w:val="000000"/>
          <w:sz w:val="24"/>
          <w:szCs w:val="24"/>
        </w:rPr>
        <w:t>Team member</w:t>
      </w:r>
      <w:r w:rsidR="000146CA">
        <w:rPr>
          <w:rFonts w:cs="Calibri"/>
          <w:color w:val="000000"/>
          <w:sz w:val="24"/>
          <w:szCs w:val="24"/>
        </w:rPr>
        <w:t>s</w:t>
      </w:r>
      <w:r w:rsidRPr="00273C2F">
        <w:rPr>
          <w:rFonts w:cs="Calibri"/>
          <w:color w:val="000000"/>
          <w:sz w:val="24"/>
          <w:szCs w:val="24"/>
        </w:rPr>
        <w:t xml:space="preserve"> will not include residents of the selected cluster in order to reduce </w:t>
      </w:r>
      <w:r w:rsidR="006C5D91" w:rsidRPr="00273C2F">
        <w:rPr>
          <w:rFonts w:cs="Calibri"/>
          <w:color w:val="000000"/>
          <w:sz w:val="24"/>
          <w:szCs w:val="24"/>
        </w:rPr>
        <w:t xml:space="preserve">participant anxiety about revealing sensitive information to local residents. </w:t>
      </w:r>
      <w:r w:rsidR="00017CCA" w:rsidRPr="00273C2F">
        <w:rPr>
          <w:rFonts w:cs="Calibri"/>
          <w:color w:val="000000"/>
          <w:sz w:val="24"/>
          <w:szCs w:val="24"/>
        </w:rPr>
        <w:t xml:space="preserve">Each team will be assigned a determined number of clusters to cover within a twelve-day period. </w:t>
      </w:r>
      <w:r w:rsidR="003F3138" w:rsidRPr="00273C2F">
        <w:rPr>
          <w:rFonts w:cs="Calibri"/>
          <w:color w:val="000000"/>
          <w:sz w:val="24"/>
          <w:szCs w:val="24"/>
        </w:rPr>
        <w:t>The teams will be provided with the following information/items:</w:t>
      </w:r>
    </w:p>
    <w:p w14:paraId="79489F5A" w14:textId="361E930B" w:rsidR="003F3138" w:rsidRPr="00273C2F" w:rsidRDefault="003F3138" w:rsidP="008D4A90">
      <w:pPr>
        <w:pStyle w:val="ListParagraph"/>
        <w:numPr>
          <w:ilvl w:val="0"/>
          <w:numId w:val="16"/>
        </w:numPr>
        <w:autoSpaceDE w:val="0"/>
        <w:autoSpaceDN w:val="0"/>
        <w:adjustRightInd w:val="0"/>
        <w:spacing w:after="0"/>
        <w:rPr>
          <w:rFonts w:cs="Calibri"/>
          <w:color w:val="000000"/>
          <w:sz w:val="24"/>
          <w:szCs w:val="24"/>
        </w:rPr>
      </w:pPr>
      <w:r w:rsidRPr="00273C2F">
        <w:rPr>
          <w:rFonts w:cs="Calibri"/>
          <w:color w:val="000000"/>
          <w:sz w:val="24"/>
          <w:szCs w:val="24"/>
        </w:rPr>
        <w:t xml:space="preserve">List of clusters (including town name and other descriptors; where possible name of </w:t>
      </w:r>
      <w:r w:rsidR="00411233" w:rsidRPr="00273C2F">
        <w:rPr>
          <w:rFonts w:cs="Calibri"/>
          <w:color w:val="000000"/>
          <w:sz w:val="24"/>
          <w:szCs w:val="24"/>
        </w:rPr>
        <w:t>community</w:t>
      </w:r>
      <w:r w:rsidRPr="00273C2F">
        <w:rPr>
          <w:rFonts w:cs="Calibri"/>
          <w:color w:val="000000"/>
          <w:sz w:val="24"/>
          <w:szCs w:val="24"/>
        </w:rPr>
        <w:t xml:space="preserve"> leader)</w:t>
      </w:r>
    </w:p>
    <w:p w14:paraId="7216431E" w14:textId="77777777" w:rsidR="003F3138" w:rsidRPr="00273C2F" w:rsidRDefault="003F3138" w:rsidP="008D4A90">
      <w:pPr>
        <w:pStyle w:val="ListParagraph"/>
        <w:numPr>
          <w:ilvl w:val="0"/>
          <w:numId w:val="16"/>
        </w:numPr>
        <w:autoSpaceDE w:val="0"/>
        <w:autoSpaceDN w:val="0"/>
        <w:adjustRightInd w:val="0"/>
        <w:spacing w:after="0"/>
        <w:rPr>
          <w:rFonts w:cs="Calibri"/>
          <w:color w:val="000000"/>
          <w:sz w:val="24"/>
          <w:szCs w:val="24"/>
        </w:rPr>
      </w:pPr>
      <w:r w:rsidRPr="00273C2F">
        <w:rPr>
          <w:rFonts w:cs="Calibri"/>
          <w:color w:val="000000"/>
          <w:sz w:val="24"/>
          <w:szCs w:val="24"/>
        </w:rPr>
        <w:t>Total number of households in each cluster, skip-interval, and number of households to randomly select (n=20)</w:t>
      </w:r>
    </w:p>
    <w:p w14:paraId="5B19C6D0" w14:textId="0FFBC8A8" w:rsidR="003F3138" w:rsidRPr="00273C2F" w:rsidRDefault="003F3138" w:rsidP="008D4A90">
      <w:pPr>
        <w:pStyle w:val="ListParagraph"/>
        <w:numPr>
          <w:ilvl w:val="0"/>
          <w:numId w:val="16"/>
        </w:numPr>
        <w:autoSpaceDE w:val="0"/>
        <w:autoSpaceDN w:val="0"/>
        <w:adjustRightInd w:val="0"/>
        <w:spacing w:after="0"/>
        <w:rPr>
          <w:rFonts w:cs="Calibri"/>
          <w:color w:val="000000"/>
          <w:sz w:val="24"/>
          <w:szCs w:val="24"/>
        </w:rPr>
      </w:pPr>
      <w:r w:rsidRPr="00273C2F">
        <w:rPr>
          <w:rFonts w:cs="Calibri"/>
          <w:color w:val="000000"/>
          <w:sz w:val="24"/>
          <w:szCs w:val="24"/>
        </w:rPr>
        <w:t xml:space="preserve">Samsung Tab 4 </w:t>
      </w:r>
      <w:r w:rsidR="00FF217D" w:rsidRPr="00273C2F">
        <w:rPr>
          <w:rFonts w:cs="Calibri"/>
          <w:color w:val="000000"/>
          <w:sz w:val="24"/>
          <w:szCs w:val="24"/>
        </w:rPr>
        <w:t xml:space="preserve">mobile </w:t>
      </w:r>
      <w:r w:rsidRPr="00273C2F">
        <w:rPr>
          <w:rFonts w:cs="Calibri"/>
          <w:color w:val="000000"/>
          <w:sz w:val="24"/>
          <w:szCs w:val="24"/>
        </w:rPr>
        <w:t>device for electronic data collection</w:t>
      </w:r>
    </w:p>
    <w:p w14:paraId="06ED0F94" w14:textId="77777777" w:rsidR="003F3138" w:rsidRPr="00273C2F" w:rsidRDefault="003F3138" w:rsidP="008D4A90">
      <w:pPr>
        <w:pStyle w:val="ListParagraph"/>
        <w:numPr>
          <w:ilvl w:val="0"/>
          <w:numId w:val="16"/>
        </w:numPr>
        <w:autoSpaceDE w:val="0"/>
        <w:autoSpaceDN w:val="0"/>
        <w:adjustRightInd w:val="0"/>
        <w:spacing w:after="0"/>
        <w:rPr>
          <w:rFonts w:cs="Calibri"/>
          <w:color w:val="000000"/>
          <w:sz w:val="24"/>
          <w:szCs w:val="24"/>
        </w:rPr>
      </w:pPr>
      <w:r w:rsidRPr="00273C2F">
        <w:rPr>
          <w:rFonts w:cs="Calibri"/>
          <w:color w:val="000000"/>
          <w:sz w:val="24"/>
          <w:szCs w:val="24"/>
        </w:rPr>
        <w:t>Paper-based questionnaires (should the device fail due to unforeseen reasons)</w:t>
      </w:r>
    </w:p>
    <w:p w14:paraId="4F7B5776" w14:textId="4DFBE2DD" w:rsidR="003F3138" w:rsidRPr="00273C2F" w:rsidRDefault="004F6D58" w:rsidP="008D4A90">
      <w:pPr>
        <w:pStyle w:val="ListParagraph"/>
        <w:numPr>
          <w:ilvl w:val="0"/>
          <w:numId w:val="16"/>
        </w:numPr>
        <w:autoSpaceDE w:val="0"/>
        <w:autoSpaceDN w:val="0"/>
        <w:adjustRightInd w:val="0"/>
        <w:spacing w:after="0"/>
        <w:rPr>
          <w:rFonts w:cs="Calibri"/>
          <w:color w:val="000000"/>
          <w:sz w:val="24"/>
          <w:szCs w:val="24"/>
        </w:rPr>
      </w:pPr>
      <w:r w:rsidRPr="00273C2F">
        <w:rPr>
          <w:rFonts w:cs="Calibri"/>
          <w:color w:val="000000"/>
          <w:sz w:val="24"/>
          <w:szCs w:val="24"/>
        </w:rPr>
        <w:t>Information</w:t>
      </w:r>
      <w:r w:rsidR="003F3138" w:rsidRPr="00273C2F">
        <w:rPr>
          <w:rFonts w:cs="Calibri"/>
          <w:color w:val="000000"/>
          <w:sz w:val="24"/>
          <w:szCs w:val="24"/>
        </w:rPr>
        <w:t xml:space="preserve"> Collection Log Sheet</w:t>
      </w:r>
    </w:p>
    <w:p w14:paraId="49D73AA2" w14:textId="77777777" w:rsidR="003F3138" w:rsidRPr="00273C2F" w:rsidRDefault="003F3138" w:rsidP="008D4A90">
      <w:pPr>
        <w:pStyle w:val="ListParagraph"/>
        <w:numPr>
          <w:ilvl w:val="0"/>
          <w:numId w:val="16"/>
        </w:numPr>
        <w:autoSpaceDE w:val="0"/>
        <w:autoSpaceDN w:val="0"/>
        <w:adjustRightInd w:val="0"/>
        <w:spacing w:after="0"/>
        <w:rPr>
          <w:rFonts w:cs="Calibri"/>
          <w:color w:val="000000"/>
          <w:sz w:val="24"/>
          <w:szCs w:val="24"/>
        </w:rPr>
      </w:pPr>
      <w:r w:rsidRPr="00273C2F">
        <w:rPr>
          <w:rFonts w:cs="Calibri"/>
          <w:color w:val="000000"/>
          <w:sz w:val="24"/>
          <w:szCs w:val="24"/>
        </w:rPr>
        <w:t>Information/educational leaflets (post-interview distribution)</w:t>
      </w:r>
    </w:p>
    <w:p w14:paraId="60F140DA" w14:textId="69400024" w:rsidR="003F3138" w:rsidRPr="00273C2F" w:rsidRDefault="003F3138" w:rsidP="008D4A90">
      <w:pPr>
        <w:pStyle w:val="ListParagraph"/>
        <w:numPr>
          <w:ilvl w:val="0"/>
          <w:numId w:val="16"/>
        </w:numPr>
        <w:autoSpaceDE w:val="0"/>
        <w:autoSpaceDN w:val="0"/>
        <w:adjustRightInd w:val="0"/>
        <w:spacing w:after="0"/>
        <w:rPr>
          <w:rFonts w:cs="Calibri"/>
          <w:color w:val="000000"/>
          <w:sz w:val="24"/>
          <w:szCs w:val="24"/>
        </w:rPr>
      </w:pPr>
      <w:r w:rsidRPr="00273C2F">
        <w:rPr>
          <w:rFonts w:cs="Calibri"/>
          <w:color w:val="000000"/>
          <w:sz w:val="24"/>
          <w:szCs w:val="24"/>
        </w:rPr>
        <w:t>Bars of soap (p</w:t>
      </w:r>
      <w:r w:rsidR="009D12CA">
        <w:rPr>
          <w:rFonts w:cs="Calibri"/>
          <w:color w:val="000000"/>
          <w:sz w:val="24"/>
          <w:szCs w:val="24"/>
        </w:rPr>
        <w:t>re</w:t>
      </w:r>
      <w:r w:rsidRPr="00273C2F">
        <w:rPr>
          <w:rFonts w:cs="Calibri"/>
          <w:color w:val="000000"/>
          <w:sz w:val="24"/>
          <w:szCs w:val="24"/>
        </w:rPr>
        <w:t>-interview distribution)</w:t>
      </w:r>
    </w:p>
    <w:p w14:paraId="2251C988" w14:textId="77777777" w:rsidR="003F3138" w:rsidRPr="00273C2F" w:rsidRDefault="003F3138" w:rsidP="008D4A90">
      <w:pPr>
        <w:pStyle w:val="ListParagraph"/>
        <w:numPr>
          <w:ilvl w:val="0"/>
          <w:numId w:val="16"/>
        </w:numPr>
        <w:autoSpaceDE w:val="0"/>
        <w:autoSpaceDN w:val="0"/>
        <w:adjustRightInd w:val="0"/>
        <w:spacing w:after="0"/>
        <w:rPr>
          <w:rFonts w:cs="Calibri"/>
          <w:color w:val="000000"/>
          <w:sz w:val="24"/>
          <w:szCs w:val="24"/>
        </w:rPr>
      </w:pPr>
      <w:r w:rsidRPr="00273C2F">
        <w:rPr>
          <w:rFonts w:cs="Calibri"/>
          <w:color w:val="000000"/>
          <w:sz w:val="24"/>
          <w:szCs w:val="24"/>
        </w:rPr>
        <w:t>Identification card</w:t>
      </w:r>
    </w:p>
    <w:p w14:paraId="36AD342F" w14:textId="43B84A00" w:rsidR="003F3138" w:rsidRPr="00273C2F" w:rsidRDefault="003F3138" w:rsidP="008D4A90">
      <w:pPr>
        <w:pStyle w:val="ListParagraph"/>
        <w:numPr>
          <w:ilvl w:val="0"/>
          <w:numId w:val="16"/>
        </w:numPr>
        <w:autoSpaceDE w:val="0"/>
        <w:autoSpaceDN w:val="0"/>
        <w:adjustRightInd w:val="0"/>
        <w:spacing w:after="0"/>
        <w:rPr>
          <w:rFonts w:cs="Calibri"/>
          <w:color w:val="000000"/>
          <w:sz w:val="24"/>
          <w:szCs w:val="24"/>
        </w:rPr>
      </w:pPr>
      <w:r w:rsidRPr="00273C2F">
        <w:rPr>
          <w:rFonts w:cs="Calibri"/>
          <w:color w:val="000000"/>
          <w:sz w:val="24"/>
          <w:szCs w:val="24"/>
        </w:rPr>
        <w:t xml:space="preserve">Letter of authorization </w:t>
      </w:r>
      <w:r w:rsidR="00FF217D" w:rsidRPr="00273C2F">
        <w:rPr>
          <w:rFonts w:cs="Calibri"/>
          <w:color w:val="000000"/>
          <w:sz w:val="24"/>
          <w:szCs w:val="24"/>
        </w:rPr>
        <w:t xml:space="preserve">for Assessment </w:t>
      </w:r>
      <w:r w:rsidRPr="00273C2F">
        <w:rPr>
          <w:rFonts w:cs="Calibri"/>
          <w:color w:val="000000"/>
          <w:sz w:val="24"/>
          <w:szCs w:val="24"/>
        </w:rPr>
        <w:t xml:space="preserve">from Guinea </w:t>
      </w:r>
      <w:proofErr w:type="spellStart"/>
      <w:r w:rsidRPr="00273C2F">
        <w:rPr>
          <w:rFonts w:cs="Calibri"/>
          <w:color w:val="000000"/>
          <w:sz w:val="24"/>
          <w:szCs w:val="24"/>
        </w:rPr>
        <w:t>MoH</w:t>
      </w:r>
      <w:proofErr w:type="spellEnd"/>
    </w:p>
    <w:p w14:paraId="2DB7B762" w14:textId="77777777" w:rsidR="003F3138" w:rsidRPr="00273C2F" w:rsidRDefault="003F3138" w:rsidP="008D4A90">
      <w:pPr>
        <w:autoSpaceDE w:val="0"/>
        <w:autoSpaceDN w:val="0"/>
        <w:adjustRightInd w:val="0"/>
        <w:spacing w:after="0"/>
        <w:rPr>
          <w:rFonts w:cs="Calibri"/>
          <w:color w:val="000000"/>
          <w:sz w:val="24"/>
          <w:szCs w:val="24"/>
        </w:rPr>
      </w:pPr>
    </w:p>
    <w:p w14:paraId="7C02E8F0" w14:textId="77777777" w:rsidR="008712A9" w:rsidRPr="00273C2F" w:rsidRDefault="008712A9" w:rsidP="008D4A90">
      <w:pPr>
        <w:autoSpaceDE w:val="0"/>
        <w:autoSpaceDN w:val="0"/>
        <w:adjustRightInd w:val="0"/>
        <w:spacing w:after="0"/>
        <w:rPr>
          <w:rFonts w:cs="Calibri"/>
          <w:b/>
          <w:bCs/>
          <w:color w:val="000000"/>
          <w:sz w:val="24"/>
          <w:szCs w:val="24"/>
        </w:rPr>
      </w:pPr>
    </w:p>
    <w:p w14:paraId="16AF4430" w14:textId="77777777" w:rsidR="00C20BE5" w:rsidRPr="00273C2F" w:rsidRDefault="00C20BE5" w:rsidP="008D4A90">
      <w:pPr>
        <w:autoSpaceDE w:val="0"/>
        <w:autoSpaceDN w:val="0"/>
        <w:adjustRightInd w:val="0"/>
        <w:spacing w:after="0"/>
        <w:rPr>
          <w:rFonts w:cs="Calibri"/>
          <w:color w:val="000000"/>
          <w:sz w:val="24"/>
          <w:szCs w:val="24"/>
        </w:rPr>
      </w:pPr>
      <w:r w:rsidRPr="00273C2F">
        <w:rPr>
          <w:rFonts w:cs="Calibri"/>
          <w:b/>
          <w:bCs/>
          <w:color w:val="000000"/>
          <w:sz w:val="24"/>
          <w:szCs w:val="24"/>
        </w:rPr>
        <w:t xml:space="preserve">3. Methods to Maximize Response Rates and Deal with Nonresponse </w:t>
      </w:r>
    </w:p>
    <w:p w14:paraId="5CD7A8CC" w14:textId="77777777" w:rsidR="00F27578" w:rsidRPr="00273C2F" w:rsidRDefault="00F27578" w:rsidP="008D4A90">
      <w:pPr>
        <w:autoSpaceDE w:val="0"/>
        <w:autoSpaceDN w:val="0"/>
        <w:adjustRightInd w:val="0"/>
        <w:spacing w:after="0"/>
        <w:rPr>
          <w:rFonts w:cs="Calibri"/>
          <w:color w:val="000000"/>
          <w:sz w:val="24"/>
          <w:szCs w:val="24"/>
        </w:rPr>
      </w:pPr>
    </w:p>
    <w:p w14:paraId="67AE326D" w14:textId="44028F15" w:rsidR="006C5D91" w:rsidRPr="00273C2F" w:rsidRDefault="006C5D91" w:rsidP="008D4A90">
      <w:pPr>
        <w:spacing w:after="0"/>
        <w:contextualSpacing/>
        <w:rPr>
          <w:rFonts w:cs="Calibri"/>
          <w:color w:val="000000"/>
          <w:sz w:val="24"/>
          <w:szCs w:val="24"/>
        </w:rPr>
      </w:pPr>
      <w:r w:rsidRPr="00273C2F">
        <w:rPr>
          <w:rFonts w:cs="Calibri"/>
          <w:color w:val="000000"/>
          <w:sz w:val="24"/>
          <w:szCs w:val="24"/>
        </w:rPr>
        <w:t>Team members will</w:t>
      </w:r>
      <w:r w:rsidR="003942E5">
        <w:rPr>
          <w:rFonts w:cs="Calibri"/>
          <w:color w:val="000000"/>
          <w:sz w:val="24"/>
          <w:szCs w:val="24"/>
        </w:rPr>
        <w:t xml:space="preserve"> be</w:t>
      </w:r>
      <w:r w:rsidRPr="00273C2F">
        <w:rPr>
          <w:rFonts w:cs="Calibri"/>
          <w:color w:val="000000"/>
          <w:sz w:val="24"/>
          <w:szCs w:val="24"/>
        </w:rPr>
        <w:t xml:space="preserve"> information collectors who speak the local languages of the cluster, but do not reside in the cluster in order to reduce participant anxiety about revealing sensitive information to local residents. During the greeting and introduction phase of encounters, information collectors will present identification cards and an authorization letter from the </w:t>
      </w:r>
      <w:proofErr w:type="spellStart"/>
      <w:r w:rsidRPr="00273C2F">
        <w:rPr>
          <w:rFonts w:cs="Calibri"/>
          <w:color w:val="000000"/>
          <w:sz w:val="24"/>
          <w:szCs w:val="24"/>
        </w:rPr>
        <w:t>MoH</w:t>
      </w:r>
      <w:proofErr w:type="spellEnd"/>
      <w:r w:rsidRPr="00273C2F">
        <w:rPr>
          <w:rFonts w:cs="Calibri"/>
          <w:color w:val="000000"/>
          <w:sz w:val="24"/>
          <w:szCs w:val="24"/>
        </w:rPr>
        <w:t xml:space="preserve"> to reassure participants that the information collection is legitimate and endorsed as part of the EVD response effort. Information collectors will stress the voluntary nature of the interview, the option to decline answering any question, and the </w:t>
      </w:r>
      <w:r w:rsidR="003437DC" w:rsidRPr="00273C2F">
        <w:rPr>
          <w:rFonts w:cs="Calibri"/>
          <w:color w:val="000000"/>
          <w:sz w:val="24"/>
          <w:szCs w:val="24"/>
        </w:rPr>
        <w:t>private</w:t>
      </w:r>
      <w:r w:rsidRPr="00273C2F">
        <w:rPr>
          <w:rFonts w:cs="Calibri"/>
          <w:color w:val="000000"/>
          <w:sz w:val="24"/>
          <w:szCs w:val="24"/>
        </w:rPr>
        <w:t xml:space="preserve"> treatment of collected information. These same methods yielded response rates of 95% or higher in three KAP assessments conducted by F</w:t>
      </w:r>
      <w:r w:rsidR="00475849" w:rsidRPr="00273C2F">
        <w:rPr>
          <w:rFonts w:cs="Calibri"/>
          <w:color w:val="000000"/>
          <w:sz w:val="24"/>
          <w:szCs w:val="24"/>
        </w:rPr>
        <w:t>OCUS</w:t>
      </w:r>
      <w:r w:rsidRPr="00273C2F">
        <w:rPr>
          <w:rFonts w:cs="Calibri"/>
          <w:color w:val="000000"/>
          <w:sz w:val="24"/>
          <w:szCs w:val="24"/>
        </w:rPr>
        <w:t xml:space="preserve"> 1000 in Sierra Leone in 2014 using similar methods. </w:t>
      </w:r>
    </w:p>
    <w:p w14:paraId="1B32C5EC" w14:textId="77777777" w:rsidR="006C5D91" w:rsidRPr="00273C2F" w:rsidRDefault="006C5D91" w:rsidP="008D4A90">
      <w:pPr>
        <w:spacing w:after="0"/>
        <w:contextualSpacing/>
        <w:rPr>
          <w:rFonts w:cs="Calibri"/>
          <w:color w:val="000000"/>
          <w:sz w:val="24"/>
          <w:szCs w:val="24"/>
        </w:rPr>
      </w:pPr>
    </w:p>
    <w:p w14:paraId="0F109DD5" w14:textId="5D3332BD" w:rsidR="0032534F" w:rsidRPr="00273C2F" w:rsidRDefault="000C77A3" w:rsidP="008D4A90">
      <w:pPr>
        <w:spacing w:after="0"/>
        <w:contextualSpacing/>
        <w:rPr>
          <w:sz w:val="24"/>
          <w:szCs w:val="24"/>
        </w:rPr>
      </w:pPr>
      <w:r w:rsidRPr="00273C2F">
        <w:rPr>
          <w:sz w:val="24"/>
          <w:szCs w:val="24"/>
        </w:rPr>
        <w:t>If a</w:t>
      </w:r>
      <w:r w:rsidR="00411233" w:rsidRPr="00273C2F">
        <w:rPr>
          <w:sz w:val="24"/>
          <w:szCs w:val="24"/>
        </w:rPr>
        <w:t xml:space="preserve"> community</w:t>
      </w:r>
      <w:r w:rsidR="00C156CF" w:rsidRPr="00273C2F">
        <w:rPr>
          <w:sz w:val="24"/>
          <w:szCs w:val="24"/>
        </w:rPr>
        <w:t xml:space="preserve"> leader does not give permission to conduct the assessment, </w:t>
      </w:r>
      <w:r w:rsidR="00F40C0A" w:rsidRPr="00273C2F">
        <w:rPr>
          <w:sz w:val="24"/>
          <w:szCs w:val="24"/>
        </w:rPr>
        <w:t xml:space="preserve">another cluster will be randomly selected from a list of substitute clusters that had already been randomly selected. </w:t>
      </w:r>
      <w:r w:rsidR="00C156CF" w:rsidRPr="00273C2F">
        <w:rPr>
          <w:sz w:val="24"/>
          <w:szCs w:val="24"/>
        </w:rPr>
        <w:t xml:space="preserve">For participating villages and neighborhoods, if a </w:t>
      </w:r>
      <w:r w:rsidRPr="00273C2F">
        <w:rPr>
          <w:sz w:val="24"/>
          <w:szCs w:val="24"/>
        </w:rPr>
        <w:t xml:space="preserve">household member refuses, another </w:t>
      </w:r>
      <w:r w:rsidRPr="00273C2F">
        <w:rPr>
          <w:sz w:val="24"/>
          <w:szCs w:val="24"/>
        </w:rPr>
        <w:lastRenderedPageBreak/>
        <w:t>household member will be selected. If all household memb</w:t>
      </w:r>
      <w:bookmarkStart w:id="0" w:name="_GoBack"/>
      <w:bookmarkEnd w:id="0"/>
      <w:r w:rsidRPr="00273C2F">
        <w:rPr>
          <w:sz w:val="24"/>
          <w:szCs w:val="24"/>
        </w:rPr>
        <w:t xml:space="preserve">ers aged 15 years and older refuse, the information collectors will proceed to the next sampled household identified by the appropriate skip-interval. If a household has only one member who agrees to participate, information will be collected from three household members at the next sampled household. </w:t>
      </w:r>
      <w:r w:rsidR="00E5647D">
        <w:rPr>
          <w:sz w:val="24"/>
          <w:szCs w:val="24"/>
        </w:rPr>
        <w:t xml:space="preserve">Qualitative data in the form of a refusers’ checklist and field notes of observable non-respondent traits (e.g., general age category, gender, language spoken, household construction as a measure of poverty) will be systematically taken when refusals occur to determine if a pattern exists, for example, a higher rate of refusals among widowed women or persons who do not speak the prevailing language of the cluster, that could introduce bias in the sample. </w:t>
      </w:r>
    </w:p>
    <w:p w14:paraId="315CFF72" w14:textId="77777777" w:rsidR="00C54866" w:rsidRDefault="00C54866" w:rsidP="008D4A90">
      <w:pPr>
        <w:spacing w:after="0"/>
        <w:contextualSpacing/>
        <w:rPr>
          <w:rFonts w:cs="Calibri"/>
          <w:b/>
          <w:bCs/>
          <w:color w:val="000000"/>
          <w:sz w:val="24"/>
          <w:szCs w:val="24"/>
        </w:rPr>
      </w:pPr>
    </w:p>
    <w:p w14:paraId="57C092C7" w14:textId="3137E9ED" w:rsidR="00C54866" w:rsidRDefault="00E779F7" w:rsidP="008D4A90">
      <w:pPr>
        <w:spacing w:after="0"/>
        <w:contextualSpacing/>
        <w:rPr>
          <w:sz w:val="24"/>
          <w:szCs w:val="24"/>
        </w:rPr>
      </w:pPr>
      <w:r>
        <w:rPr>
          <w:sz w:val="24"/>
          <w:szCs w:val="24"/>
        </w:rPr>
        <w:t>Potential Non-Response Bias</w:t>
      </w:r>
      <w:r w:rsidR="003942E5">
        <w:rPr>
          <w:sz w:val="24"/>
          <w:szCs w:val="24"/>
        </w:rPr>
        <w:t>:</w:t>
      </w:r>
    </w:p>
    <w:p w14:paraId="55D539A9" w14:textId="77777777" w:rsidR="00E779F7" w:rsidRDefault="00E779F7" w:rsidP="008D4A90">
      <w:pPr>
        <w:spacing w:after="0"/>
        <w:contextualSpacing/>
        <w:rPr>
          <w:sz w:val="24"/>
          <w:szCs w:val="24"/>
        </w:rPr>
      </w:pPr>
    </w:p>
    <w:p w14:paraId="43EBE610" w14:textId="33783876" w:rsidR="00E5647D" w:rsidRDefault="00E5647D" w:rsidP="00E5647D">
      <w:pPr>
        <w:spacing w:after="0"/>
        <w:contextualSpacing/>
        <w:rPr>
          <w:sz w:val="24"/>
          <w:szCs w:val="24"/>
        </w:rPr>
      </w:pPr>
      <w:r>
        <w:rPr>
          <w:sz w:val="24"/>
          <w:szCs w:val="24"/>
        </w:rPr>
        <w:t xml:space="preserve">We acknowledge that non-response bias in the original sampling frame based on the 2014 Census, and KAP assessment based on this sampling frame.  We will explore a variety of potential sources in an effort to characterize potential for, and the extent of, non-response bias.  If response rates are high, we will </w:t>
      </w:r>
      <w:proofErr w:type="spellStart"/>
      <w:r>
        <w:rPr>
          <w:sz w:val="24"/>
          <w:szCs w:val="24"/>
        </w:rPr>
        <w:t>weight</w:t>
      </w:r>
      <w:proofErr w:type="spellEnd"/>
      <w:r>
        <w:rPr>
          <w:sz w:val="24"/>
          <w:szCs w:val="24"/>
        </w:rPr>
        <w:t xml:space="preserve"> the data for non-response based on information about non-responders from the refusers’ checklist and field notes described above. </w:t>
      </w:r>
    </w:p>
    <w:p w14:paraId="7AD2536B" w14:textId="77777777" w:rsidR="00E779F7" w:rsidRDefault="00E779F7" w:rsidP="008D4A90">
      <w:pPr>
        <w:spacing w:after="0"/>
        <w:contextualSpacing/>
        <w:rPr>
          <w:sz w:val="24"/>
          <w:szCs w:val="24"/>
        </w:rPr>
      </w:pPr>
    </w:p>
    <w:p w14:paraId="0C438283" w14:textId="77777777" w:rsidR="009E28EF" w:rsidRPr="00C54866" w:rsidRDefault="009E28EF" w:rsidP="008D4A90">
      <w:pPr>
        <w:spacing w:after="0"/>
        <w:contextualSpacing/>
        <w:rPr>
          <w:sz w:val="24"/>
          <w:szCs w:val="24"/>
        </w:rPr>
      </w:pPr>
    </w:p>
    <w:p w14:paraId="2A50A5F7" w14:textId="1B5415E3" w:rsidR="00C20BE5" w:rsidRPr="00C54866" w:rsidRDefault="0032534F" w:rsidP="00C54866">
      <w:pPr>
        <w:rPr>
          <w:rFonts w:cs="Calibri"/>
          <w:color w:val="000000"/>
          <w:sz w:val="24"/>
          <w:szCs w:val="24"/>
        </w:rPr>
      </w:pPr>
      <w:r w:rsidRPr="00C54866">
        <w:rPr>
          <w:rFonts w:cs="Calibri"/>
          <w:b/>
          <w:bCs/>
          <w:color w:val="000000"/>
          <w:sz w:val="24"/>
          <w:szCs w:val="24"/>
        </w:rPr>
        <w:t xml:space="preserve">4. </w:t>
      </w:r>
      <w:r w:rsidR="00C20BE5" w:rsidRPr="00C54866">
        <w:rPr>
          <w:rFonts w:cs="Calibri"/>
          <w:b/>
          <w:bCs/>
          <w:color w:val="000000"/>
          <w:sz w:val="24"/>
          <w:szCs w:val="24"/>
        </w:rPr>
        <w:t xml:space="preserve">Tests of Procedures or Methods to be </w:t>
      </w:r>
      <w:proofErr w:type="gramStart"/>
      <w:r w:rsidR="00C20BE5" w:rsidRPr="00C54866">
        <w:rPr>
          <w:rFonts w:cs="Calibri"/>
          <w:b/>
          <w:bCs/>
          <w:color w:val="000000"/>
          <w:sz w:val="24"/>
          <w:szCs w:val="24"/>
        </w:rPr>
        <w:t>Undertaken</w:t>
      </w:r>
      <w:proofErr w:type="gramEnd"/>
    </w:p>
    <w:p w14:paraId="3FE037D8" w14:textId="6FCD0512" w:rsidR="0037203E" w:rsidRPr="00273C2F" w:rsidRDefault="0037203E" w:rsidP="008D4A90">
      <w:pPr>
        <w:autoSpaceDE w:val="0"/>
        <w:autoSpaceDN w:val="0"/>
        <w:adjustRightInd w:val="0"/>
        <w:spacing w:after="0"/>
        <w:rPr>
          <w:rFonts w:cs="Calibri"/>
          <w:color w:val="000000"/>
          <w:sz w:val="24"/>
          <w:szCs w:val="24"/>
        </w:rPr>
      </w:pPr>
      <w:r w:rsidRPr="00C54866">
        <w:rPr>
          <w:sz w:val="24"/>
          <w:szCs w:val="24"/>
        </w:rPr>
        <w:t xml:space="preserve">The hour-burden estimates were obtained by CDC project staff in Guinea who piloted and </w:t>
      </w:r>
      <w:r w:rsidRPr="00BE7DA5">
        <w:rPr>
          <w:sz w:val="24"/>
          <w:szCs w:val="24"/>
        </w:rPr>
        <w:t>refined the surveys among</w:t>
      </w:r>
      <w:r w:rsidR="00F40C0A" w:rsidRPr="00273C2F">
        <w:rPr>
          <w:sz w:val="24"/>
          <w:szCs w:val="24"/>
        </w:rPr>
        <w:t xml:space="preserve"> less than 10 locally employed staff</w:t>
      </w:r>
      <w:r w:rsidRPr="00273C2F">
        <w:rPr>
          <w:sz w:val="24"/>
          <w:szCs w:val="24"/>
        </w:rPr>
        <w:t>.</w:t>
      </w:r>
      <w:r w:rsidR="00B40F44" w:rsidRPr="00273C2F">
        <w:rPr>
          <w:sz w:val="24"/>
          <w:szCs w:val="24"/>
        </w:rPr>
        <w:t xml:space="preserve"> In addition, questions were refined </w:t>
      </w:r>
      <w:r w:rsidR="00F40C0A" w:rsidRPr="00273C2F">
        <w:rPr>
          <w:sz w:val="24"/>
          <w:szCs w:val="24"/>
        </w:rPr>
        <w:t xml:space="preserve">with pretesting </w:t>
      </w:r>
      <w:r w:rsidR="00B40F44" w:rsidRPr="00273C2F">
        <w:rPr>
          <w:sz w:val="24"/>
          <w:szCs w:val="24"/>
        </w:rPr>
        <w:t xml:space="preserve">among less than ten </w:t>
      </w:r>
      <w:r w:rsidR="00F40C0A" w:rsidRPr="00273C2F">
        <w:rPr>
          <w:sz w:val="24"/>
          <w:szCs w:val="24"/>
        </w:rPr>
        <w:t xml:space="preserve">locally employed staff of </w:t>
      </w:r>
      <w:proofErr w:type="spellStart"/>
      <w:r w:rsidR="00F40C0A" w:rsidRPr="00273C2F">
        <w:rPr>
          <w:sz w:val="24"/>
          <w:szCs w:val="24"/>
        </w:rPr>
        <w:t>Sante</w:t>
      </w:r>
      <w:proofErr w:type="spellEnd"/>
      <w:r w:rsidR="00F40C0A" w:rsidRPr="00273C2F">
        <w:rPr>
          <w:sz w:val="24"/>
          <w:szCs w:val="24"/>
        </w:rPr>
        <w:t xml:space="preserve"> Plus and CDC/Guinea office</w:t>
      </w:r>
      <w:r w:rsidR="00946EF4" w:rsidRPr="00273C2F">
        <w:rPr>
          <w:sz w:val="24"/>
          <w:szCs w:val="24"/>
        </w:rPr>
        <w:t>.</w:t>
      </w:r>
    </w:p>
    <w:p w14:paraId="17CB2260" w14:textId="77777777" w:rsidR="009973F2" w:rsidRPr="00273C2F" w:rsidRDefault="009973F2" w:rsidP="008D4A90">
      <w:pPr>
        <w:autoSpaceDE w:val="0"/>
        <w:autoSpaceDN w:val="0"/>
        <w:adjustRightInd w:val="0"/>
        <w:spacing w:after="0"/>
        <w:rPr>
          <w:rFonts w:cs="Calibri"/>
          <w:b/>
          <w:bCs/>
          <w:color w:val="000000"/>
          <w:sz w:val="24"/>
          <w:szCs w:val="24"/>
        </w:rPr>
      </w:pPr>
    </w:p>
    <w:p w14:paraId="03D85B6B" w14:textId="77777777" w:rsidR="00164CE4" w:rsidRPr="00273C2F" w:rsidRDefault="00164CE4" w:rsidP="008D4A90">
      <w:pPr>
        <w:autoSpaceDE w:val="0"/>
        <w:autoSpaceDN w:val="0"/>
        <w:adjustRightInd w:val="0"/>
        <w:spacing w:after="0"/>
        <w:rPr>
          <w:rFonts w:cs="Calibri"/>
          <w:b/>
          <w:bCs/>
          <w:color w:val="000000"/>
          <w:sz w:val="24"/>
          <w:szCs w:val="24"/>
        </w:rPr>
      </w:pPr>
    </w:p>
    <w:p w14:paraId="66F28C99" w14:textId="5814355C" w:rsidR="00C20BE5" w:rsidRPr="00273C2F" w:rsidRDefault="00C20BE5" w:rsidP="008D4A90">
      <w:pPr>
        <w:autoSpaceDE w:val="0"/>
        <w:autoSpaceDN w:val="0"/>
        <w:adjustRightInd w:val="0"/>
        <w:spacing w:after="0"/>
        <w:rPr>
          <w:rFonts w:cs="Calibri"/>
          <w:color w:val="000000"/>
          <w:sz w:val="24"/>
          <w:szCs w:val="24"/>
        </w:rPr>
      </w:pPr>
      <w:r w:rsidRPr="00273C2F">
        <w:rPr>
          <w:rFonts w:cs="Calibri"/>
          <w:b/>
          <w:bCs/>
          <w:color w:val="000000"/>
          <w:sz w:val="24"/>
          <w:szCs w:val="24"/>
        </w:rPr>
        <w:t xml:space="preserve">5. Individuals Consulted on Statistical Aspects and Individuals Collecting and/or Analyzing </w:t>
      </w:r>
      <w:r w:rsidR="004F6D58" w:rsidRPr="00273C2F">
        <w:rPr>
          <w:rFonts w:cs="Calibri"/>
          <w:b/>
          <w:bCs/>
          <w:color w:val="000000"/>
          <w:sz w:val="24"/>
          <w:szCs w:val="24"/>
        </w:rPr>
        <w:t>Collected Information</w:t>
      </w:r>
    </w:p>
    <w:p w14:paraId="0208AD9E" w14:textId="77777777" w:rsidR="009973F2" w:rsidRPr="00273C2F" w:rsidRDefault="009973F2" w:rsidP="008D4A90">
      <w:pPr>
        <w:autoSpaceDE w:val="0"/>
        <w:autoSpaceDN w:val="0"/>
        <w:adjustRightInd w:val="0"/>
        <w:spacing w:after="0"/>
        <w:rPr>
          <w:rFonts w:cs="Calibri"/>
          <w:color w:val="000000"/>
          <w:sz w:val="24"/>
          <w:szCs w:val="24"/>
        </w:rPr>
      </w:pPr>
    </w:p>
    <w:p w14:paraId="21F92652" w14:textId="1A4FF114" w:rsidR="00C156CF" w:rsidRDefault="00C156CF" w:rsidP="008D4A90">
      <w:pPr>
        <w:autoSpaceDE w:val="0"/>
        <w:autoSpaceDN w:val="0"/>
        <w:adjustRightInd w:val="0"/>
        <w:spacing w:after="0"/>
        <w:rPr>
          <w:rFonts w:cs="Calibri"/>
          <w:color w:val="000000"/>
          <w:sz w:val="24"/>
          <w:szCs w:val="24"/>
        </w:rPr>
      </w:pPr>
      <w:r w:rsidRPr="00273C2F">
        <w:rPr>
          <w:rFonts w:cs="Calibri"/>
          <w:color w:val="000000"/>
          <w:sz w:val="24"/>
          <w:szCs w:val="24"/>
        </w:rPr>
        <w:t xml:space="preserve">The proposed methods for multi-stage cluster sampling, random sampling, information collection methods, weighting, and analysis </w:t>
      </w:r>
      <w:r w:rsidR="004F6D58" w:rsidRPr="00273C2F">
        <w:rPr>
          <w:rFonts w:cs="Calibri"/>
          <w:color w:val="000000"/>
          <w:sz w:val="24"/>
          <w:szCs w:val="24"/>
        </w:rPr>
        <w:t xml:space="preserve">of collected information </w:t>
      </w:r>
      <w:r w:rsidRPr="00273C2F">
        <w:rPr>
          <w:rFonts w:cs="Calibri"/>
          <w:color w:val="000000"/>
          <w:sz w:val="24"/>
          <w:szCs w:val="24"/>
        </w:rPr>
        <w:t xml:space="preserve">were based on input from the following experts in household surveys in West Africa: </w:t>
      </w:r>
    </w:p>
    <w:p w14:paraId="5DDE05F2" w14:textId="77777777" w:rsidR="00273C2F" w:rsidRDefault="00273C2F" w:rsidP="008D4A90">
      <w:pPr>
        <w:autoSpaceDE w:val="0"/>
        <w:autoSpaceDN w:val="0"/>
        <w:adjustRightInd w:val="0"/>
        <w:spacing w:after="0"/>
        <w:rPr>
          <w:rFonts w:cs="Calibri"/>
          <w:color w:val="000000"/>
          <w:sz w:val="24"/>
          <w:szCs w:val="24"/>
        </w:rPr>
      </w:pPr>
    </w:p>
    <w:tbl>
      <w:tblPr>
        <w:tblW w:w="0" w:type="auto"/>
        <w:tblCellMar>
          <w:left w:w="0" w:type="dxa"/>
          <w:right w:w="0" w:type="dxa"/>
        </w:tblCellMar>
        <w:tblLook w:val="04A0" w:firstRow="1" w:lastRow="0" w:firstColumn="1" w:lastColumn="0" w:noHBand="0" w:noVBand="1"/>
      </w:tblPr>
      <w:tblGrid>
        <w:gridCol w:w="9340"/>
      </w:tblGrid>
      <w:tr w:rsidR="00273C2F" w14:paraId="6AFDB2E4" w14:textId="77777777" w:rsidTr="00273C2F">
        <w:tc>
          <w:tcPr>
            <w:tcW w:w="9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25FB5B" w14:textId="6528B15E" w:rsidR="00273C2F" w:rsidRDefault="00273C2F" w:rsidP="00273C2F">
            <w:pPr>
              <w:pStyle w:val="NormalWeb"/>
              <w:spacing w:line="276" w:lineRule="auto"/>
              <w:rPr>
                <w:rFonts w:asciiTheme="minorHAnsi" w:hAnsiTheme="minorHAnsi" w:cs="Tahoma"/>
                <w:color w:val="000000"/>
              </w:rPr>
            </w:pPr>
            <w:proofErr w:type="spellStart"/>
            <w:r w:rsidRPr="00CA73FF">
              <w:rPr>
                <w:rFonts w:asciiTheme="minorHAnsi" w:hAnsiTheme="minorHAnsi" w:cs="Tahoma"/>
                <w:color w:val="000000"/>
              </w:rPr>
              <w:t>LaRee</w:t>
            </w:r>
            <w:proofErr w:type="spellEnd"/>
            <w:r w:rsidRPr="00CA73FF">
              <w:rPr>
                <w:rFonts w:asciiTheme="minorHAnsi" w:hAnsiTheme="minorHAnsi" w:cs="Tahoma"/>
                <w:color w:val="000000"/>
              </w:rPr>
              <w:t xml:space="preserve"> Tracy, MA, PhD, CDR, USPH</w:t>
            </w:r>
            <w:r>
              <w:rPr>
                <w:rFonts w:asciiTheme="minorHAnsi" w:hAnsiTheme="minorHAnsi" w:cs="Tahoma"/>
                <w:color w:val="000000"/>
              </w:rPr>
              <w:t>S</w:t>
            </w:r>
          </w:p>
          <w:p w14:paraId="53B5ABDB" w14:textId="04D1513B" w:rsidR="00273C2F" w:rsidRDefault="00273C2F" w:rsidP="00273C2F">
            <w:pPr>
              <w:pStyle w:val="NormalWeb"/>
              <w:spacing w:line="276" w:lineRule="auto"/>
              <w:rPr>
                <w:rFonts w:asciiTheme="minorHAnsi" w:hAnsiTheme="minorHAnsi" w:cs="Tahoma"/>
                <w:color w:val="000000"/>
              </w:rPr>
            </w:pPr>
            <w:r>
              <w:rPr>
                <w:rFonts w:asciiTheme="minorHAnsi" w:hAnsiTheme="minorHAnsi" w:cs="Tahoma"/>
                <w:color w:val="000000"/>
              </w:rPr>
              <w:t>Epidemiologist/Statistician</w:t>
            </w:r>
          </w:p>
          <w:p w14:paraId="2DEFA733" w14:textId="1D18B395" w:rsidR="00273C2F" w:rsidRPr="00CA73FF" w:rsidRDefault="00273C2F" w:rsidP="00273C2F">
            <w:pPr>
              <w:pStyle w:val="NormalWeb"/>
              <w:spacing w:line="276" w:lineRule="auto"/>
              <w:rPr>
                <w:rFonts w:asciiTheme="minorHAnsi" w:hAnsiTheme="minorHAnsi" w:cs="Tahoma"/>
                <w:color w:val="000000"/>
              </w:rPr>
            </w:pPr>
            <w:r w:rsidRPr="00CA73FF">
              <w:rPr>
                <w:rFonts w:asciiTheme="minorHAnsi" w:hAnsiTheme="minorHAnsi" w:cs="Tahoma"/>
                <w:color w:val="000000"/>
              </w:rPr>
              <w:t>US</w:t>
            </w:r>
            <w:r>
              <w:rPr>
                <w:rFonts w:asciiTheme="minorHAnsi" w:hAnsiTheme="minorHAnsi" w:cs="Tahoma"/>
                <w:color w:val="000000"/>
              </w:rPr>
              <w:t xml:space="preserve"> Food and Drug Administration (FDA)</w:t>
            </w:r>
          </w:p>
          <w:p w14:paraId="52C858A6" w14:textId="14C9EBEB" w:rsidR="00273C2F" w:rsidRPr="00273C2F" w:rsidRDefault="00273C2F" w:rsidP="00273C2F">
            <w:pPr>
              <w:pStyle w:val="NormalWeb"/>
              <w:spacing w:line="276" w:lineRule="auto"/>
              <w:rPr>
                <w:rFonts w:asciiTheme="minorHAnsi" w:hAnsiTheme="minorHAnsi" w:cs="Tahoma"/>
                <w:color w:val="000000"/>
              </w:rPr>
            </w:pPr>
            <w:r w:rsidRPr="00CA73FF">
              <w:rPr>
                <w:rFonts w:asciiTheme="minorHAnsi" w:hAnsiTheme="minorHAnsi" w:cs="Tahoma"/>
                <w:color w:val="000000"/>
              </w:rPr>
              <w:t>US Phone:  410-598-0066</w:t>
            </w:r>
          </w:p>
        </w:tc>
      </w:tr>
      <w:tr w:rsidR="00273C2F" w14:paraId="1D880B99" w14:textId="77777777" w:rsidTr="00273C2F">
        <w:tc>
          <w:tcPr>
            <w:tcW w:w="9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5A1F01" w14:textId="01642B3B" w:rsidR="00273C2F" w:rsidRDefault="00273C2F" w:rsidP="00273C2F">
            <w:pPr>
              <w:pStyle w:val="NormalWeb"/>
              <w:spacing w:line="276" w:lineRule="auto"/>
              <w:rPr>
                <w:rFonts w:asciiTheme="minorHAnsi" w:hAnsiTheme="minorHAnsi" w:cs="Tahoma"/>
                <w:color w:val="000000"/>
              </w:rPr>
            </w:pPr>
            <w:r>
              <w:rPr>
                <w:rFonts w:asciiTheme="minorHAnsi" w:hAnsiTheme="minorHAnsi" w:cs="Tahoma"/>
                <w:color w:val="000000"/>
              </w:rPr>
              <w:lastRenderedPageBreak/>
              <w:t xml:space="preserve">Paul </w:t>
            </w:r>
            <w:proofErr w:type="spellStart"/>
            <w:r>
              <w:rPr>
                <w:rFonts w:asciiTheme="minorHAnsi" w:hAnsiTheme="minorHAnsi" w:cs="Tahoma"/>
                <w:color w:val="000000"/>
              </w:rPr>
              <w:t>Sengeh</w:t>
            </w:r>
            <w:proofErr w:type="spellEnd"/>
            <w:r>
              <w:rPr>
                <w:rFonts w:asciiTheme="minorHAnsi" w:hAnsiTheme="minorHAnsi" w:cs="Tahoma"/>
                <w:color w:val="000000"/>
              </w:rPr>
              <w:t xml:space="preserve">, </w:t>
            </w:r>
            <w:proofErr w:type="spellStart"/>
            <w:r>
              <w:rPr>
                <w:rFonts w:asciiTheme="minorHAnsi" w:hAnsiTheme="minorHAnsi" w:cs="Tahoma"/>
                <w:color w:val="000000"/>
              </w:rPr>
              <w:t>MsC</w:t>
            </w:r>
            <w:proofErr w:type="spellEnd"/>
          </w:p>
          <w:p w14:paraId="51C8C05A" w14:textId="5100DE39" w:rsidR="00273C2F" w:rsidRPr="00273C2F" w:rsidRDefault="00273C2F" w:rsidP="00273C2F">
            <w:pPr>
              <w:pStyle w:val="NormalWeb"/>
              <w:spacing w:line="276" w:lineRule="auto"/>
              <w:rPr>
                <w:rFonts w:asciiTheme="minorHAnsi" w:hAnsiTheme="minorHAnsi" w:cs="Tahoma"/>
                <w:color w:val="000000"/>
              </w:rPr>
            </w:pPr>
            <w:r w:rsidRPr="00CA73FF">
              <w:rPr>
                <w:rFonts w:asciiTheme="minorHAnsi" w:hAnsiTheme="minorHAnsi" w:cs="Tahoma"/>
                <w:color w:val="000000"/>
              </w:rPr>
              <w:t>Director of Research and Evaluation, FOCUS 1000</w:t>
            </w:r>
            <w:r w:rsidRPr="00CA73FF">
              <w:rPr>
                <w:rFonts w:asciiTheme="minorHAnsi" w:hAnsiTheme="minorHAnsi" w:cs="Tahoma"/>
                <w:color w:val="000000"/>
              </w:rPr>
              <w:br/>
              <w:t xml:space="preserve">Local Phone: +232 </w:t>
            </w:r>
            <w:r w:rsidRPr="00CA73FF">
              <w:rPr>
                <w:rFonts w:asciiTheme="minorHAnsi" w:hAnsiTheme="minorHAnsi" w:cs="Arial"/>
                <w:color w:val="222222"/>
                <w:shd w:val="clear" w:color="auto" w:fill="FFFFFF"/>
              </w:rPr>
              <w:t>76-626-543</w:t>
            </w:r>
          </w:p>
        </w:tc>
      </w:tr>
      <w:tr w:rsidR="00273C2F" w14:paraId="175FFF68" w14:textId="77777777" w:rsidTr="00273C2F">
        <w:tc>
          <w:tcPr>
            <w:tcW w:w="9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5A847A" w14:textId="4A6D8D2A" w:rsidR="00273C2F" w:rsidRDefault="00273C2F" w:rsidP="00273C2F">
            <w:pPr>
              <w:pStyle w:val="NormalWeb"/>
              <w:spacing w:line="276" w:lineRule="auto"/>
              <w:rPr>
                <w:rFonts w:asciiTheme="minorHAnsi" w:hAnsiTheme="minorHAnsi" w:cs="Tahoma"/>
                <w:color w:val="000000"/>
              </w:rPr>
            </w:pPr>
            <w:r w:rsidRPr="00CA73FF">
              <w:rPr>
                <w:rFonts w:asciiTheme="minorHAnsi" w:hAnsiTheme="minorHAnsi" w:cs="Tahoma"/>
                <w:color w:val="000000"/>
              </w:rPr>
              <w:t xml:space="preserve">Rebecca </w:t>
            </w:r>
            <w:proofErr w:type="spellStart"/>
            <w:r w:rsidRPr="00CA73FF">
              <w:rPr>
                <w:rFonts w:asciiTheme="minorHAnsi" w:hAnsiTheme="minorHAnsi" w:cs="Tahoma"/>
                <w:color w:val="000000"/>
              </w:rPr>
              <w:t>Bunnell</w:t>
            </w:r>
            <w:proofErr w:type="spellEnd"/>
            <w:r>
              <w:rPr>
                <w:rFonts w:asciiTheme="minorHAnsi" w:hAnsiTheme="minorHAnsi" w:cs="Tahoma"/>
                <w:color w:val="000000"/>
              </w:rPr>
              <w:t>, ScD</w:t>
            </w:r>
          </w:p>
          <w:p w14:paraId="43BFF50D" w14:textId="77777777" w:rsidR="00273C2F" w:rsidRDefault="00273C2F" w:rsidP="00273C2F">
            <w:pPr>
              <w:pStyle w:val="NormalWeb"/>
              <w:spacing w:line="276" w:lineRule="auto"/>
              <w:rPr>
                <w:rFonts w:asciiTheme="minorHAnsi" w:hAnsiTheme="minorHAnsi" w:cs="Tahoma"/>
                <w:color w:val="000000"/>
              </w:rPr>
            </w:pPr>
            <w:r>
              <w:rPr>
                <w:rFonts w:asciiTheme="minorHAnsi" w:hAnsiTheme="minorHAnsi" w:cs="Tahoma"/>
                <w:color w:val="000000"/>
              </w:rPr>
              <w:t>Associate Director of Science</w:t>
            </w:r>
          </w:p>
          <w:p w14:paraId="655008C6" w14:textId="77777777" w:rsidR="00273C2F" w:rsidRDefault="00273C2F" w:rsidP="00273C2F">
            <w:pPr>
              <w:pStyle w:val="NormalWeb"/>
              <w:spacing w:line="276" w:lineRule="auto"/>
              <w:rPr>
                <w:rFonts w:asciiTheme="minorHAnsi" w:hAnsiTheme="minorHAnsi" w:cs="Tahoma"/>
                <w:color w:val="000000"/>
              </w:rPr>
            </w:pPr>
            <w:r w:rsidRPr="00CA73FF">
              <w:rPr>
                <w:rFonts w:asciiTheme="minorHAnsi" w:hAnsiTheme="minorHAnsi" w:cs="Tahoma"/>
                <w:color w:val="000000"/>
              </w:rPr>
              <w:t>National Center for Chronic Dise</w:t>
            </w:r>
            <w:r>
              <w:rPr>
                <w:rFonts w:asciiTheme="minorHAnsi" w:hAnsiTheme="minorHAnsi" w:cs="Tahoma"/>
                <w:color w:val="000000"/>
              </w:rPr>
              <w:t>ase and Public Health Promotion</w:t>
            </w:r>
          </w:p>
          <w:p w14:paraId="0731AA54" w14:textId="6624D34E" w:rsidR="00273C2F" w:rsidRPr="00273C2F" w:rsidRDefault="00273C2F" w:rsidP="00273C2F">
            <w:pPr>
              <w:pStyle w:val="NormalWeb"/>
              <w:spacing w:line="276" w:lineRule="auto"/>
              <w:rPr>
                <w:rFonts w:asciiTheme="minorHAnsi" w:hAnsiTheme="minorHAnsi" w:cs="Tahoma"/>
                <w:color w:val="000000"/>
              </w:rPr>
            </w:pPr>
            <w:r w:rsidRPr="00CA73FF">
              <w:rPr>
                <w:rFonts w:asciiTheme="minorHAnsi" w:hAnsiTheme="minorHAnsi" w:cs="Tahoma"/>
                <w:color w:val="000000"/>
              </w:rPr>
              <w:t>US Center for Disease Control</w:t>
            </w:r>
            <w:r w:rsidRPr="00CA73FF">
              <w:rPr>
                <w:rFonts w:asciiTheme="minorHAnsi" w:hAnsiTheme="minorHAnsi" w:cs="Tahoma"/>
                <w:color w:val="000000"/>
              </w:rPr>
              <w:br/>
              <w:t xml:space="preserve">US Phone: +1 </w:t>
            </w:r>
            <w:r w:rsidRPr="00273C2F">
              <w:rPr>
                <w:rFonts w:asciiTheme="minorHAnsi" w:hAnsiTheme="minorHAnsi"/>
                <w:shd w:val="clear" w:color="auto" w:fill="FFFFFF"/>
              </w:rPr>
              <w:t>770-488-2524</w:t>
            </w:r>
          </w:p>
        </w:tc>
      </w:tr>
      <w:tr w:rsidR="00273C2F" w14:paraId="79E18AF4" w14:textId="77777777" w:rsidTr="00273C2F">
        <w:tc>
          <w:tcPr>
            <w:tcW w:w="9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9F5F1B" w14:textId="36104A4D" w:rsidR="00273C2F" w:rsidRDefault="00273C2F" w:rsidP="00CA73FF">
            <w:pPr>
              <w:pStyle w:val="NormalWeb"/>
              <w:spacing w:line="276" w:lineRule="auto"/>
              <w:rPr>
                <w:rFonts w:asciiTheme="minorHAnsi" w:hAnsiTheme="minorHAnsi" w:cs="Tahoma"/>
                <w:color w:val="000000"/>
              </w:rPr>
            </w:pPr>
            <w:r>
              <w:rPr>
                <w:rFonts w:asciiTheme="minorHAnsi" w:hAnsiTheme="minorHAnsi" w:cs="Tahoma"/>
                <w:color w:val="000000"/>
              </w:rPr>
              <w:t xml:space="preserve">Mohamed F. </w:t>
            </w:r>
            <w:proofErr w:type="spellStart"/>
            <w:r>
              <w:rPr>
                <w:rFonts w:asciiTheme="minorHAnsi" w:hAnsiTheme="minorHAnsi" w:cs="Tahoma"/>
                <w:color w:val="000000"/>
              </w:rPr>
              <w:t>Jalloh</w:t>
            </w:r>
            <w:proofErr w:type="spellEnd"/>
            <w:r>
              <w:rPr>
                <w:rFonts w:asciiTheme="minorHAnsi" w:hAnsiTheme="minorHAnsi" w:cs="Tahoma"/>
                <w:color w:val="000000"/>
              </w:rPr>
              <w:t>, MPH</w:t>
            </w:r>
          </w:p>
          <w:p w14:paraId="1AB049AB" w14:textId="55F6931B" w:rsidR="00273C2F" w:rsidRDefault="00273C2F" w:rsidP="00CA73FF">
            <w:pPr>
              <w:pStyle w:val="NormalWeb"/>
              <w:spacing w:line="276" w:lineRule="auto"/>
              <w:rPr>
                <w:rFonts w:asciiTheme="minorHAnsi" w:hAnsiTheme="minorHAnsi" w:cs="Tahoma"/>
                <w:color w:val="000000"/>
              </w:rPr>
            </w:pPr>
            <w:proofErr w:type="spellStart"/>
            <w:r w:rsidRPr="00C54866">
              <w:rPr>
                <w:rFonts w:asciiTheme="minorHAnsi" w:hAnsiTheme="minorHAnsi" w:cs="Tahoma"/>
                <w:color w:val="000000"/>
              </w:rPr>
              <w:t>Programme</w:t>
            </w:r>
            <w:proofErr w:type="spellEnd"/>
            <w:r w:rsidRPr="00C54866">
              <w:rPr>
                <w:rFonts w:asciiTheme="minorHAnsi" w:hAnsiTheme="minorHAnsi" w:cs="Tahoma"/>
                <w:color w:val="000000"/>
              </w:rPr>
              <w:t xml:space="preserve"> </w:t>
            </w:r>
            <w:r>
              <w:rPr>
                <w:rFonts w:asciiTheme="minorHAnsi" w:hAnsiTheme="minorHAnsi" w:cs="Tahoma"/>
                <w:color w:val="000000"/>
              </w:rPr>
              <w:t>Manager</w:t>
            </w:r>
          </w:p>
          <w:p w14:paraId="496D1C3F" w14:textId="4C3B8660" w:rsidR="00273C2F" w:rsidRPr="00CA73FF" w:rsidRDefault="00273C2F" w:rsidP="00CA73FF">
            <w:pPr>
              <w:pStyle w:val="NormalWeb"/>
              <w:spacing w:line="276" w:lineRule="auto"/>
              <w:rPr>
                <w:rFonts w:asciiTheme="minorHAnsi" w:hAnsiTheme="minorHAnsi" w:cs="Tahoma"/>
                <w:color w:val="000000"/>
              </w:rPr>
            </w:pPr>
            <w:r w:rsidRPr="00C54866">
              <w:rPr>
                <w:rFonts w:asciiTheme="minorHAnsi" w:hAnsiTheme="minorHAnsi" w:cs="Tahoma"/>
                <w:color w:val="000000"/>
              </w:rPr>
              <w:t>FOCUS 1000</w:t>
            </w:r>
            <w:r w:rsidRPr="00C54866">
              <w:rPr>
                <w:rFonts w:asciiTheme="minorHAnsi" w:hAnsiTheme="minorHAnsi" w:cs="Tahoma"/>
                <w:color w:val="000000"/>
              </w:rPr>
              <w:br/>
            </w:r>
            <w:r w:rsidRPr="00BE7DA5">
              <w:rPr>
                <w:rFonts w:asciiTheme="minorHAnsi" w:hAnsiTheme="minorHAnsi" w:cs="Tahoma"/>
                <w:color w:val="000000"/>
              </w:rPr>
              <w:t xml:space="preserve">Local Phone: </w:t>
            </w:r>
            <w:r w:rsidRPr="00273C2F">
              <w:rPr>
                <w:rFonts w:asciiTheme="minorHAnsi" w:hAnsiTheme="minorHAnsi" w:cs="Tahoma"/>
                <w:color w:val="000000"/>
              </w:rPr>
              <w:t>+224-232 79947035</w:t>
            </w:r>
          </w:p>
        </w:tc>
      </w:tr>
      <w:tr w:rsidR="00273C2F" w14:paraId="31EC6A59" w14:textId="77777777" w:rsidTr="00273C2F">
        <w:tc>
          <w:tcPr>
            <w:tcW w:w="9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CB5243" w14:textId="611F99CC" w:rsidR="00273C2F" w:rsidRDefault="00273C2F" w:rsidP="00273C2F">
            <w:pPr>
              <w:pStyle w:val="NormalWeb"/>
              <w:spacing w:line="276" w:lineRule="auto"/>
              <w:rPr>
                <w:rFonts w:asciiTheme="minorHAnsi" w:hAnsiTheme="minorHAnsi" w:cs="Tahoma"/>
                <w:color w:val="000000"/>
              </w:rPr>
            </w:pPr>
            <w:r>
              <w:rPr>
                <w:rFonts w:asciiTheme="minorHAnsi" w:hAnsiTheme="minorHAnsi" w:cs="Tahoma"/>
                <w:color w:val="000000"/>
              </w:rPr>
              <w:t>Leigh Willis, PhD</w:t>
            </w:r>
          </w:p>
          <w:p w14:paraId="1B76BFF2" w14:textId="77777777" w:rsidR="00273C2F" w:rsidRDefault="00273C2F" w:rsidP="00273C2F">
            <w:pPr>
              <w:pStyle w:val="NormalWeb"/>
              <w:spacing w:line="276" w:lineRule="auto"/>
              <w:rPr>
                <w:rFonts w:asciiTheme="minorHAnsi" w:hAnsiTheme="minorHAnsi" w:cs="Tahoma"/>
                <w:color w:val="000000"/>
              </w:rPr>
            </w:pPr>
            <w:r w:rsidRPr="00273C2F">
              <w:rPr>
                <w:rFonts w:asciiTheme="minorHAnsi" w:hAnsiTheme="minorHAnsi" w:cs="Tahoma"/>
                <w:color w:val="000000"/>
              </w:rPr>
              <w:t>Behavioral Scientist, Health Communication Science Office</w:t>
            </w:r>
          </w:p>
          <w:p w14:paraId="3DD00CAC" w14:textId="35AE7584" w:rsidR="00273C2F" w:rsidRPr="00273C2F" w:rsidRDefault="00273C2F" w:rsidP="00273C2F">
            <w:pPr>
              <w:pStyle w:val="NormalWeb"/>
              <w:spacing w:line="276" w:lineRule="auto"/>
              <w:rPr>
                <w:rFonts w:asciiTheme="minorHAnsi" w:hAnsiTheme="minorHAnsi" w:cs="Tahoma"/>
                <w:color w:val="000000"/>
              </w:rPr>
            </w:pPr>
            <w:r w:rsidRPr="00273C2F">
              <w:rPr>
                <w:rFonts w:asciiTheme="minorHAnsi" w:hAnsiTheme="minorHAnsi" w:cs="Tahoma"/>
                <w:color w:val="000000"/>
              </w:rPr>
              <w:t>National Center for HIV/AIDS, Viral Hepatitis, STD, and TB Prevention</w:t>
            </w:r>
          </w:p>
          <w:p w14:paraId="675B3AD2" w14:textId="7182EDB6" w:rsidR="00273C2F" w:rsidRPr="00CA73FF" w:rsidRDefault="00273C2F" w:rsidP="00273C2F">
            <w:pPr>
              <w:pStyle w:val="NormalWeb"/>
              <w:spacing w:line="276" w:lineRule="auto"/>
              <w:rPr>
                <w:rFonts w:asciiTheme="minorHAnsi" w:hAnsiTheme="minorHAnsi" w:cs="Tahoma"/>
                <w:color w:val="000000"/>
              </w:rPr>
            </w:pPr>
            <w:r w:rsidRPr="00273C2F">
              <w:rPr>
                <w:rFonts w:asciiTheme="minorHAnsi" w:hAnsiTheme="minorHAnsi" w:cs="Tahoma"/>
                <w:color w:val="000000"/>
              </w:rPr>
              <w:t>Local Phone: +1-404-639-8447</w:t>
            </w:r>
          </w:p>
        </w:tc>
      </w:tr>
    </w:tbl>
    <w:p w14:paraId="21B4A918" w14:textId="77777777" w:rsidR="00C156CF" w:rsidRPr="00273C2F" w:rsidRDefault="00C156CF" w:rsidP="00273C2F">
      <w:pPr>
        <w:autoSpaceDE w:val="0"/>
        <w:autoSpaceDN w:val="0"/>
        <w:adjustRightInd w:val="0"/>
        <w:spacing w:after="0"/>
        <w:rPr>
          <w:rFonts w:cs="Calibri"/>
          <w:color w:val="000000"/>
          <w:sz w:val="24"/>
          <w:szCs w:val="24"/>
        </w:rPr>
      </w:pPr>
    </w:p>
    <w:p w14:paraId="2AC7B072" w14:textId="77777777" w:rsidR="00A150F9" w:rsidRPr="00273C2F" w:rsidRDefault="00A150F9" w:rsidP="00CE017E">
      <w:pPr>
        <w:rPr>
          <w:sz w:val="24"/>
          <w:szCs w:val="24"/>
          <w:highlight w:val="yellow"/>
        </w:rPr>
      </w:pPr>
    </w:p>
    <w:sectPr w:rsidR="00A150F9" w:rsidRPr="00273C2F" w:rsidSect="00257A26">
      <w:headerReference w:type="default"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15169" w14:textId="77777777" w:rsidR="000E2414" w:rsidRDefault="000E2414" w:rsidP="008B5D54">
      <w:pPr>
        <w:spacing w:after="0" w:line="240" w:lineRule="auto"/>
      </w:pPr>
      <w:r>
        <w:separator/>
      </w:r>
    </w:p>
  </w:endnote>
  <w:endnote w:type="continuationSeparator" w:id="0">
    <w:p w14:paraId="5ADDB1CA" w14:textId="77777777" w:rsidR="000E2414" w:rsidRDefault="000E2414" w:rsidP="008B5D54">
      <w:pPr>
        <w:spacing w:after="0" w:line="240" w:lineRule="auto"/>
      </w:pPr>
      <w:r>
        <w:continuationSeparator/>
      </w:r>
    </w:p>
  </w:endnote>
  <w:endnote w:type="continuationNotice" w:id="1">
    <w:p w14:paraId="052F8CC4" w14:textId="77777777" w:rsidR="000E2414" w:rsidRDefault="000E24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C231F" w14:textId="77777777" w:rsidR="000E2414" w:rsidRDefault="000E24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9617F" w14:textId="77777777" w:rsidR="000E2414" w:rsidRDefault="000E2414" w:rsidP="008B5D54">
      <w:pPr>
        <w:spacing w:after="0" w:line="240" w:lineRule="auto"/>
      </w:pPr>
      <w:r>
        <w:separator/>
      </w:r>
    </w:p>
  </w:footnote>
  <w:footnote w:type="continuationSeparator" w:id="0">
    <w:p w14:paraId="483F51BA" w14:textId="77777777" w:rsidR="000E2414" w:rsidRDefault="000E2414" w:rsidP="008B5D54">
      <w:pPr>
        <w:spacing w:after="0" w:line="240" w:lineRule="auto"/>
      </w:pPr>
      <w:r>
        <w:continuationSeparator/>
      </w:r>
    </w:p>
  </w:footnote>
  <w:footnote w:type="continuationNotice" w:id="1">
    <w:p w14:paraId="0B845B1E" w14:textId="77777777" w:rsidR="000E2414" w:rsidRDefault="000E241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5D018" w14:textId="77777777" w:rsidR="000E2414" w:rsidRDefault="000E24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F2374"/>
    <w:multiLevelType w:val="hybridMultilevel"/>
    <w:tmpl w:val="AEA4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22082"/>
    <w:multiLevelType w:val="hybridMultilevel"/>
    <w:tmpl w:val="C9BEFEC6"/>
    <w:lvl w:ilvl="0" w:tplc="912CE3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228EA"/>
    <w:multiLevelType w:val="hybridMultilevel"/>
    <w:tmpl w:val="ACA6F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94D1E"/>
    <w:multiLevelType w:val="hybridMultilevel"/>
    <w:tmpl w:val="DC6E2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63F2E"/>
    <w:multiLevelType w:val="hybridMultilevel"/>
    <w:tmpl w:val="2C94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5F798B"/>
    <w:multiLevelType w:val="hybridMultilevel"/>
    <w:tmpl w:val="5C1C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1A4FD5"/>
    <w:multiLevelType w:val="hybridMultilevel"/>
    <w:tmpl w:val="AC12D0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85A1BD7"/>
    <w:multiLevelType w:val="hybridMultilevel"/>
    <w:tmpl w:val="5C000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DF6244"/>
    <w:multiLevelType w:val="hybridMultilevel"/>
    <w:tmpl w:val="3DE0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857F2"/>
    <w:multiLevelType w:val="hybridMultilevel"/>
    <w:tmpl w:val="70D4D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963368"/>
    <w:multiLevelType w:val="hybridMultilevel"/>
    <w:tmpl w:val="AC08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C61DDC"/>
    <w:multiLevelType w:val="hybridMultilevel"/>
    <w:tmpl w:val="590E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286B44"/>
    <w:multiLevelType w:val="hybridMultilevel"/>
    <w:tmpl w:val="D8025C96"/>
    <w:lvl w:ilvl="0" w:tplc="523E8C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A52F48"/>
    <w:multiLevelType w:val="hybridMultilevel"/>
    <w:tmpl w:val="2DFA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D46324"/>
    <w:multiLevelType w:val="hybridMultilevel"/>
    <w:tmpl w:val="5C86088E"/>
    <w:lvl w:ilvl="0" w:tplc="6B786636">
      <w:start w:val="1"/>
      <w:numFmt w:val="bullet"/>
      <w:lvlText w:val=""/>
      <w:lvlJc w:val="left"/>
      <w:pPr>
        <w:tabs>
          <w:tab w:val="num" w:pos="720"/>
        </w:tabs>
        <w:ind w:left="720" w:hanging="360"/>
      </w:pPr>
      <w:rPr>
        <w:rFonts w:ascii="Wingdings 2" w:hAnsi="Wingdings 2" w:hint="default"/>
      </w:rPr>
    </w:lvl>
    <w:lvl w:ilvl="1" w:tplc="B7F834CA">
      <w:start w:val="553"/>
      <w:numFmt w:val="bullet"/>
      <w:lvlText w:val=""/>
      <w:lvlJc w:val="left"/>
      <w:pPr>
        <w:tabs>
          <w:tab w:val="num" w:pos="1440"/>
        </w:tabs>
        <w:ind w:left="1440" w:hanging="360"/>
      </w:pPr>
      <w:rPr>
        <w:rFonts w:ascii="Wingdings" w:hAnsi="Wingdings" w:hint="default"/>
      </w:rPr>
    </w:lvl>
    <w:lvl w:ilvl="2" w:tplc="89447EEE" w:tentative="1">
      <w:start w:val="1"/>
      <w:numFmt w:val="bullet"/>
      <w:lvlText w:val=""/>
      <w:lvlJc w:val="left"/>
      <w:pPr>
        <w:tabs>
          <w:tab w:val="num" w:pos="2160"/>
        </w:tabs>
        <w:ind w:left="2160" w:hanging="360"/>
      </w:pPr>
      <w:rPr>
        <w:rFonts w:ascii="Wingdings 2" w:hAnsi="Wingdings 2" w:hint="default"/>
      </w:rPr>
    </w:lvl>
    <w:lvl w:ilvl="3" w:tplc="0FA8FF0E" w:tentative="1">
      <w:start w:val="1"/>
      <w:numFmt w:val="bullet"/>
      <w:lvlText w:val=""/>
      <w:lvlJc w:val="left"/>
      <w:pPr>
        <w:tabs>
          <w:tab w:val="num" w:pos="2880"/>
        </w:tabs>
        <w:ind w:left="2880" w:hanging="360"/>
      </w:pPr>
      <w:rPr>
        <w:rFonts w:ascii="Wingdings 2" w:hAnsi="Wingdings 2" w:hint="default"/>
      </w:rPr>
    </w:lvl>
    <w:lvl w:ilvl="4" w:tplc="6D2EEA16" w:tentative="1">
      <w:start w:val="1"/>
      <w:numFmt w:val="bullet"/>
      <w:lvlText w:val=""/>
      <w:lvlJc w:val="left"/>
      <w:pPr>
        <w:tabs>
          <w:tab w:val="num" w:pos="3600"/>
        </w:tabs>
        <w:ind w:left="3600" w:hanging="360"/>
      </w:pPr>
      <w:rPr>
        <w:rFonts w:ascii="Wingdings 2" w:hAnsi="Wingdings 2" w:hint="default"/>
      </w:rPr>
    </w:lvl>
    <w:lvl w:ilvl="5" w:tplc="0E06470A" w:tentative="1">
      <w:start w:val="1"/>
      <w:numFmt w:val="bullet"/>
      <w:lvlText w:val=""/>
      <w:lvlJc w:val="left"/>
      <w:pPr>
        <w:tabs>
          <w:tab w:val="num" w:pos="4320"/>
        </w:tabs>
        <w:ind w:left="4320" w:hanging="360"/>
      </w:pPr>
      <w:rPr>
        <w:rFonts w:ascii="Wingdings 2" w:hAnsi="Wingdings 2" w:hint="default"/>
      </w:rPr>
    </w:lvl>
    <w:lvl w:ilvl="6" w:tplc="ACBA1088" w:tentative="1">
      <w:start w:val="1"/>
      <w:numFmt w:val="bullet"/>
      <w:lvlText w:val=""/>
      <w:lvlJc w:val="left"/>
      <w:pPr>
        <w:tabs>
          <w:tab w:val="num" w:pos="5040"/>
        </w:tabs>
        <w:ind w:left="5040" w:hanging="360"/>
      </w:pPr>
      <w:rPr>
        <w:rFonts w:ascii="Wingdings 2" w:hAnsi="Wingdings 2" w:hint="default"/>
      </w:rPr>
    </w:lvl>
    <w:lvl w:ilvl="7" w:tplc="7EDC4A5E" w:tentative="1">
      <w:start w:val="1"/>
      <w:numFmt w:val="bullet"/>
      <w:lvlText w:val=""/>
      <w:lvlJc w:val="left"/>
      <w:pPr>
        <w:tabs>
          <w:tab w:val="num" w:pos="5760"/>
        </w:tabs>
        <w:ind w:left="5760" w:hanging="360"/>
      </w:pPr>
      <w:rPr>
        <w:rFonts w:ascii="Wingdings 2" w:hAnsi="Wingdings 2" w:hint="default"/>
      </w:rPr>
    </w:lvl>
    <w:lvl w:ilvl="8" w:tplc="7E748CEA" w:tentative="1">
      <w:start w:val="1"/>
      <w:numFmt w:val="bullet"/>
      <w:lvlText w:val=""/>
      <w:lvlJc w:val="left"/>
      <w:pPr>
        <w:tabs>
          <w:tab w:val="num" w:pos="6480"/>
        </w:tabs>
        <w:ind w:left="6480" w:hanging="360"/>
      </w:pPr>
      <w:rPr>
        <w:rFonts w:ascii="Wingdings 2" w:hAnsi="Wingdings 2" w:hint="default"/>
      </w:rPr>
    </w:lvl>
  </w:abstractNum>
  <w:abstractNum w:abstractNumId="16">
    <w:nsid w:val="7450677E"/>
    <w:multiLevelType w:val="hybridMultilevel"/>
    <w:tmpl w:val="2CDC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C311E4"/>
    <w:multiLevelType w:val="hybridMultilevel"/>
    <w:tmpl w:val="EBC45B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DD2CA2"/>
    <w:multiLevelType w:val="hybridMultilevel"/>
    <w:tmpl w:val="152A2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num>
  <w:num w:numId="4">
    <w:abstractNumId w:val="5"/>
  </w:num>
  <w:num w:numId="5">
    <w:abstractNumId w:val="14"/>
  </w:num>
  <w:num w:numId="6">
    <w:abstractNumId w:val="8"/>
  </w:num>
  <w:num w:numId="7">
    <w:abstractNumId w:val="1"/>
  </w:num>
  <w:num w:numId="8">
    <w:abstractNumId w:val="18"/>
  </w:num>
  <w:num w:numId="9">
    <w:abstractNumId w:val="12"/>
  </w:num>
  <w:num w:numId="10">
    <w:abstractNumId w:val="15"/>
  </w:num>
  <w:num w:numId="11">
    <w:abstractNumId w:val="9"/>
  </w:num>
  <w:num w:numId="12">
    <w:abstractNumId w:val="13"/>
  </w:num>
  <w:num w:numId="13">
    <w:abstractNumId w:val="0"/>
  </w:num>
  <w:num w:numId="14">
    <w:abstractNumId w:val="3"/>
  </w:num>
  <w:num w:numId="15">
    <w:abstractNumId w:val="2"/>
  </w:num>
  <w:num w:numId="16">
    <w:abstractNumId w:val="16"/>
  </w:num>
  <w:num w:numId="17">
    <w:abstractNumId w:val="12"/>
  </w:num>
  <w:num w:numId="18">
    <w:abstractNumId w:val="17"/>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E5"/>
    <w:rsid w:val="00002031"/>
    <w:rsid w:val="00004A96"/>
    <w:rsid w:val="00004C0D"/>
    <w:rsid w:val="00013733"/>
    <w:rsid w:val="000146CA"/>
    <w:rsid w:val="00016EAA"/>
    <w:rsid w:val="00017CCA"/>
    <w:rsid w:val="00025230"/>
    <w:rsid w:val="000271F5"/>
    <w:rsid w:val="000517F0"/>
    <w:rsid w:val="000532CA"/>
    <w:rsid w:val="00057D2C"/>
    <w:rsid w:val="000610BD"/>
    <w:rsid w:val="00063508"/>
    <w:rsid w:val="00074569"/>
    <w:rsid w:val="00075922"/>
    <w:rsid w:val="000C14A4"/>
    <w:rsid w:val="000C77A3"/>
    <w:rsid w:val="000D221C"/>
    <w:rsid w:val="000D275C"/>
    <w:rsid w:val="000D34D5"/>
    <w:rsid w:val="000E19DD"/>
    <w:rsid w:val="000E1C02"/>
    <w:rsid w:val="000E2414"/>
    <w:rsid w:val="000E3B0D"/>
    <w:rsid w:val="000E42C7"/>
    <w:rsid w:val="000F42A3"/>
    <w:rsid w:val="000F5D94"/>
    <w:rsid w:val="00102739"/>
    <w:rsid w:val="00104A02"/>
    <w:rsid w:val="00110BC8"/>
    <w:rsid w:val="00113454"/>
    <w:rsid w:val="00114742"/>
    <w:rsid w:val="00115EFA"/>
    <w:rsid w:val="00116F7A"/>
    <w:rsid w:val="00123E7D"/>
    <w:rsid w:val="00126FF4"/>
    <w:rsid w:val="00133D44"/>
    <w:rsid w:val="0014086A"/>
    <w:rsid w:val="00145D20"/>
    <w:rsid w:val="00146CFD"/>
    <w:rsid w:val="00152648"/>
    <w:rsid w:val="001601BE"/>
    <w:rsid w:val="00164CE4"/>
    <w:rsid w:val="001670F7"/>
    <w:rsid w:val="00167763"/>
    <w:rsid w:val="0019217B"/>
    <w:rsid w:val="001A69D0"/>
    <w:rsid w:val="001A6D0B"/>
    <w:rsid w:val="001B4231"/>
    <w:rsid w:val="001B49EE"/>
    <w:rsid w:val="001B776B"/>
    <w:rsid w:val="001C288D"/>
    <w:rsid w:val="001C4C5D"/>
    <w:rsid w:val="001C4E8F"/>
    <w:rsid w:val="001E582A"/>
    <w:rsid w:val="001E6B28"/>
    <w:rsid w:val="001F0EAC"/>
    <w:rsid w:val="001F2AD9"/>
    <w:rsid w:val="00200728"/>
    <w:rsid w:val="00201230"/>
    <w:rsid w:val="002028BA"/>
    <w:rsid w:val="002122BB"/>
    <w:rsid w:val="00232A6E"/>
    <w:rsid w:val="002368DA"/>
    <w:rsid w:val="00237848"/>
    <w:rsid w:val="00245FDB"/>
    <w:rsid w:val="002471E5"/>
    <w:rsid w:val="00257A26"/>
    <w:rsid w:val="00263BC2"/>
    <w:rsid w:val="00267857"/>
    <w:rsid w:val="00273C2F"/>
    <w:rsid w:val="00283297"/>
    <w:rsid w:val="00292E08"/>
    <w:rsid w:val="002A0801"/>
    <w:rsid w:val="002A1D9F"/>
    <w:rsid w:val="002A21CF"/>
    <w:rsid w:val="002A2AA7"/>
    <w:rsid w:val="002A53E7"/>
    <w:rsid w:val="002A54C3"/>
    <w:rsid w:val="002A7191"/>
    <w:rsid w:val="002B06BE"/>
    <w:rsid w:val="002B07B8"/>
    <w:rsid w:val="002C2D8D"/>
    <w:rsid w:val="002D6F57"/>
    <w:rsid w:val="002F2311"/>
    <w:rsid w:val="002F28B3"/>
    <w:rsid w:val="003056B3"/>
    <w:rsid w:val="00320229"/>
    <w:rsid w:val="0032534F"/>
    <w:rsid w:val="00341400"/>
    <w:rsid w:val="00341449"/>
    <w:rsid w:val="003437DC"/>
    <w:rsid w:val="0034457C"/>
    <w:rsid w:val="00347C17"/>
    <w:rsid w:val="00363A2C"/>
    <w:rsid w:val="003719D6"/>
    <w:rsid w:val="0037203E"/>
    <w:rsid w:val="00382CC4"/>
    <w:rsid w:val="00391BED"/>
    <w:rsid w:val="003942E5"/>
    <w:rsid w:val="0039558A"/>
    <w:rsid w:val="003A159E"/>
    <w:rsid w:val="003A17A8"/>
    <w:rsid w:val="003A26CE"/>
    <w:rsid w:val="003A2EDF"/>
    <w:rsid w:val="003A3BB1"/>
    <w:rsid w:val="003B1518"/>
    <w:rsid w:val="003C024C"/>
    <w:rsid w:val="003C09E2"/>
    <w:rsid w:val="003C324C"/>
    <w:rsid w:val="003E0E1E"/>
    <w:rsid w:val="003E5800"/>
    <w:rsid w:val="003E5836"/>
    <w:rsid w:val="003E59CA"/>
    <w:rsid w:val="003F3138"/>
    <w:rsid w:val="00405847"/>
    <w:rsid w:val="00407772"/>
    <w:rsid w:val="00411233"/>
    <w:rsid w:val="004175CF"/>
    <w:rsid w:val="00420CD1"/>
    <w:rsid w:val="00440C29"/>
    <w:rsid w:val="004417C6"/>
    <w:rsid w:val="0044778F"/>
    <w:rsid w:val="004500C6"/>
    <w:rsid w:val="004515B7"/>
    <w:rsid w:val="00464C8F"/>
    <w:rsid w:val="00465536"/>
    <w:rsid w:val="00466562"/>
    <w:rsid w:val="00470B79"/>
    <w:rsid w:val="00471055"/>
    <w:rsid w:val="004725A4"/>
    <w:rsid w:val="00475267"/>
    <w:rsid w:val="00475849"/>
    <w:rsid w:val="00477AB2"/>
    <w:rsid w:val="00486AD1"/>
    <w:rsid w:val="00492962"/>
    <w:rsid w:val="00495A99"/>
    <w:rsid w:val="004961A1"/>
    <w:rsid w:val="004A25CF"/>
    <w:rsid w:val="004A6E9E"/>
    <w:rsid w:val="004B5BB7"/>
    <w:rsid w:val="004B6882"/>
    <w:rsid w:val="004C070D"/>
    <w:rsid w:val="004C640A"/>
    <w:rsid w:val="004C6B98"/>
    <w:rsid w:val="004D228F"/>
    <w:rsid w:val="004D35C8"/>
    <w:rsid w:val="004E0D04"/>
    <w:rsid w:val="004E1091"/>
    <w:rsid w:val="004F13F9"/>
    <w:rsid w:val="004F5588"/>
    <w:rsid w:val="004F6D58"/>
    <w:rsid w:val="004F6E7B"/>
    <w:rsid w:val="005049F5"/>
    <w:rsid w:val="00513C64"/>
    <w:rsid w:val="0051755D"/>
    <w:rsid w:val="00520765"/>
    <w:rsid w:val="00520F82"/>
    <w:rsid w:val="00550EBC"/>
    <w:rsid w:val="00551FAF"/>
    <w:rsid w:val="00552D8B"/>
    <w:rsid w:val="005630D9"/>
    <w:rsid w:val="00564EC4"/>
    <w:rsid w:val="00571913"/>
    <w:rsid w:val="00574DA8"/>
    <w:rsid w:val="00580DD4"/>
    <w:rsid w:val="00585AFD"/>
    <w:rsid w:val="00591203"/>
    <w:rsid w:val="00594B95"/>
    <w:rsid w:val="005A4E23"/>
    <w:rsid w:val="005B0C8B"/>
    <w:rsid w:val="005B3374"/>
    <w:rsid w:val="005B6BC1"/>
    <w:rsid w:val="005B76ED"/>
    <w:rsid w:val="005C2594"/>
    <w:rsid w:val="005C37B8"/>
    <w:rsid w:val="005F42E0"/>
    <w:rsid w:val="00603458"/>
    <w:rsid w:val="00606D8C"/>
    <w:rsid w:val="00614E96"/>
    <w:rsid w:val="00615FBE"/>
    <w:rsid w:val="00616224"/>
    <w:rsid w:val="00626287"/>
    <w:rsid w:val="00633741"/>
    <w:rsid w:val="006372B1"/>
    <w:rsid w:val="00643592"/>
    <w:rsid w:val="006461FD"/>
    <w:rsid w:val="00657F02"/>
    <w:rsid w:val="0066394F"/>
    <w:rsid w:val="00664A8D"/>
    <w:rsid w:val="00665BF3"/>
    <w:rsid w:val="00666CB4"/>
    <w:rsid w:val="00670DE0"/>
    <w:rsid w:val="00673110"/>
    <w:rsid w:val="006763C4"/>
    <w:rsid w:val="006821C4"/>
    <w:rsid w:val="0069070A"/>
    <w:rsid w:val="006911CD"/>
    <w:rsid w:val="0069698C"/>
    <w:rsid w:val="006A06F3"/>
    <w:rsid w:val="006A7C53"/>
    <w:rsid w:val="006B3262"/>
    <w:rsid w:val="006C41B9"/>
    <w:rsid w:val="006C4AC8"/>
    <w:rsid w:val="006C5D91"/>
    <w:rsid w:val="006C6578"/>
    <w:rsid w:val="006C7019"/>
    <w:rsid w:val="006D24F2"/>
    <w:rsid w:val="006D3EB7"/>
    <w:rsid w:val="006D722C"/>
    <w:rsid w:val="006D7FED"/>
    <w:rsid w:val="006E2418"/>
    <w:rsid w:val="006E608F"/>
    <w:rsid w:val="006E6D70"/>
    <w:rsid w:val="006F14E2"/>
    <w:rsid w:val="006F44C0"/>
    <w:rsid w:val="00700033"/>
    <w:rsid w:val="0070247F"/>
    <w:rsid w:val="00707C6C"/>
    <w:rsid w:val="0071138A"/>
    <w:rsid w:val="00712512"/>
    <w:rsid w:val="00714C0A"/>
    <w:rsid w:val="00716FE3"/>
    <w:rsid w:val="007173DF"/>
    <w:rsid w:val="00717532"/>
    <w:rsid w:val="00720A60"/>
    <w:rsid w:val="00723138"/>
    <w:rsid w:val="00725BE5"/>
    <w:rsid w:val="0073081C"/>
    <w:rsid w:val="00732EE9"/>
    <w:rsid w:val="00743E91"/>
    <w:rsid w:val="00744B83"/>
    <w:rsid w:val="0074619D"/>
    <w:rsid w:val="00747434"/>
    <w:rsid w:val="0075381F"/>
    <w:rsid w:val="00763824"/>
    <w:rsid w:val="00770FA6"/>
    <w:rsid w:val="007814A5"/>
    <w:rsid w:val="0079302D"/>
    <w:rsid w:val="007A0BF4"/>
    <w:rsid w:val="007A578C"/>
    <w:rsid w:val="007A5810"/>
    <w:rsid w:val="007B198F"/>
    <w:rsid w:val="007B6966"/>
    <w:rsid w:val="007D4058"/>
    <w:rsid w:val="0080145B"/>
    <w:rsid w:val="00810DF3"/>
    <w:rsid w:val="00813F50"/>
    <w:rsid w:val="00833632"/>
    <w:rsid w:val="00842A33"/>
    <w:rsid w:val="0084427D"/>
    <w:rsid w:val="00851B7C"/>
    <w:rsid w:val="008533CE"/>
    <w:rsid w:val="00860C73"/>
    <w:rsid w:val="00865516"/>
    <w:rsid w:val="008712A9"/>
    <w:rsid w:val="00873692"/>
    <w:rsid w:val="00875E5B"/>
    <w:rsid w:val="00875F48"/>
    <w:rsid w:val="008827B3"/>
    <w:rsid w:val="0088366C"/>
    <w:rsid w:val="008841C9"/>
    <w:rsid w:val="0088447D"/>
    <w:rsid w:val="008A4200"/>
    <w:rsid w:val="008A7F5D"/>
    <w:rsid w:val="008B5D54"/>
    <w:rsid w:val="008B7C84"/>
    <w:rsid w:val="008C28D5"/>
    <w:rsid w:val="008C5714"/>
    <w:rsid w:val="008C5BE2"/>
    <w:rsid w:val="008D008F"/>
    <w:rsid w:val="008D26DB"/>
    <w:rsid w:val="008D41FB"/>
    <w:rsid w:val="008D429D"/>
    <w:rsid w:val="008D4A90"/>
    <w:rsid w:val="008F2554"/>
    <w:rsid w:val="008F3109"/>
    <w:rsid w:val="009245F9"/>
    <w:rsid w:val="009350F6"/>
    <w:rsid w:val="00937F78"/>
    <w:rsid w:val="009406F2"/>
    <w:rsid w:val="00941B61"/>
    <w:rsid w:val="00945F8F"/>
    <w:rsid w:val="00946EF4"/>
    <w:rsid w:val="00950B24"/>
    <w:rsid w:val="00950FCB"/>
    <w:rsid w:val="00953046"/>
    <w:rsid w:val="0097100F"/>
    <w:rsid w:val="009770E3"/>
    <w:rsid w:val="00977162"/>
    <w:rsid w:val="00985FCC"/>
    <w:rsid w:val="00994B3A"/>
    <w:rsid w:val="009973F2"/>
    <w:rsid w:val="009B1CD3"/>
    <w:rsid w:val="009C0216"/>
    <w:rsid w:val="009C0ECF"/>
    <w:rsid w:val="009D12CA"/>
    <w:rsid w:val="009D4D8B"/>
    <w:rsid w:val="009E28EF"/>
    <w:rsid w:val="009F0853"/>
    <w:rsid w:val="009F192F"/>
    <w:rsid w:val="009F6F40"/>
    <w:rsid w:val="00A04E32"/>
    <w:rsid w:val="00A14C5B"/>
    <w:rsid w:val="00A150F9"/>
    <w:rsid w:val="00A236AC"/>
    <w:rsid w:val="00A32A60"/>
    <w:rsid w:val="00A34767"/>
    <w:rsid w:val="00A37BB1"/>
    <w:rsid w:val="00A43F3D"/>
    <w:rsid w:val="00A45C76"/>
    <w:rsid w:val="00A64766"/>
    <w:rsid w:val="00A65A13"/>
    <w:rsid w:val="00A700DD"/>
    <w:rsid w:val="00A71ECD"/>
    <w:rsid w:val="00A7302D"/>
    <w:rsid w:val="00A8294D"/>
    <w:rsid w:val="00A916C7"/>
    <w:rsid w:val="00A92E61"/>
    <w:rsid w:val="00A92EC4"/>
    <w:rsid w:val="00AA03B8"/>
    <w:rsid w:val="00AA3DC3"/>
    <w:rsid w:val="00AA7026"/>
    <w:rsid w:val="00AB7D6D"/>
    <w:rsid w:val="00AC08DD"/>
    <w:rsid w:val="00AC4B75"/>
    <w:rsid w:val="00AC72E3"/>
    <w:rsid w:val="00AE0BA5"/>
    <w:rsid w:val="00AF41DC"/>
    <w:rsid w:val="00AF512F"/>
    <w:rsid w:val="00AF685B"/>
    <w:rsid w:val="00B00DE8"/>
    <w:rsid w:val="00B12549"/>
    <w:rsid w:val="00B12833"/>
    <w:rsid w:val="00B13158"/>
    <w:rsid w:val="00B148A2"/>
    <w:rsid w:val="00B22D2F"/>
    <w:rsid w:val="00B40F44"/>
    <w:rsid w:val="00B44A55"/>
    <w:rsid w:val="00B476BE"/>
    <w:rsid w:val="00B52FB0"/>
    <w:rsid w:val="00B55735"/>
    <w:rsid w:val="00B55FE6"/>
    <w:rsid w:val="00B5678C"/>
    <w:rsid w:val="00B56A6D"/>
    <w:rsid w:val="00B608AC"/>
    <w:rsid w:val="00B749EC"/>
    <w:rsid w:val="00B83289"/>
    <w:rsid w:val="00B85121"/>
    <w:rsid w:val="00BA13AA"/>
    <w:rsid w:val="00BA68DF"/>
    <w:rsid w:val="00BC15BA"/>
    <w:rsid w:val="00BC365F"/>
    <w:rsid w:val="00BC4731"/>
    <w:rsid w:val="00BD44FF"/>
    <w:rsid w:val="00BD6128"/>
    <w:rsid w:val="00BE0E86"/>
    <w:rsid w:val="00BE3D12"/>
    <w:rsid w:val="00BE728E"/>
    <w:rsid w:val="00BE7DA5"/>
    <w:rsid w:val="00BF2559"/>
    <w:rsid w:val="00C03F34"/>
    <w:rsid w:val="00C0634E"/>
    <w:rsid w:val="00C077F6"/>
    <w:rsid w:val="00C156CF"/>
    <w:rsid w:val="00C20ACF"/>
    <w:rsid w:val="00C20BE5"/>
    <w:rsid w:val="00C25BA0"/>
    <w:rsid w:val="00C34127"/>
    <w:rsid w:val="00C37EB6"/>
    <w:rsid w:val="00C4682B"/>
    <w:rsid w:val="00C54866"/>
    <w:rsid w:val="00C549C8"/>
    <w:rsid w:val="00C57992"/>
    <w:rsid w:val="00C6001C"/>
    <w:rsid w:val="00C629AB"/>
    <w:rsid w:val="00C72A00"/>
    <w:rsid w:val="00C95016"/>
    <w:rsid w:val="00C977CB"/>
    <w:rsid w:val="00CA5AE7"/>
    <w:rsid w:val="00CB2A79"/>
    <w:rsid w:val="00CC127D"/>
    <w:rsid w:val="00CC6F45"/>
    <w:rsid w:val="00CD4D18"/>
    <w:rsid w:val="00CE017E"/>
    <w:rsid w:val="00CE6AD7"/>
    <w:rsid w:val="00D027DE"/>
    <w:rsid w:val="00D15AE2"/>
    <w:rsid w:val="00D27D8C"/>
    <w:rsid w:val="00D30528"/>
    <w:rsid w:val="00D32ADF"/>
    <w:rsid w:val="00D36046"/>
    <w:rsid w:val="00D4570B"/>
    <w:rsid w:val="00D47DA6"/>
    <w:rsid w:val="00D55A5D"/>
    <w:rsid w:val="00D6105B"/>
    <w:rsid w:val="00D97216"/>
    <w:rsid w:val="00DA5728"/>
    <w:rsid w:val="00DA5C00"/>
    <w:rsid w:val="00DA7FE5"/>
    <w:rsid w:val="00DC34BD"/>
    <w:rsid w:val="00DC3745"/>
    <w:rsid w:val="00DC3870"/>
    <w:rsid w:val="00DC57CC"/>
    <w:rsid w:val="00DD71DB"/>
    <w:rsid w:val="00DF1D25"/>
    <w:rsid w:val="00E00DD6"/>
    <w:rsid w:val="00E02F6E"/>
    <w:rsid w:val="00E042F3"/>
    <w:rsid w:val="00E048FA"/>
    <w:rsid w:val="00E10891"/>
    <w:rsid w:val="00E1660C"/>
    <w:rsid w:val="00E209AD"/>
    <w:rsid w:val="00E42055"/>
    <w:rsid w:val="00E46179"/>
    <w:rsid w:val="00E51D65"/>
    <w:rsid w:val="00E5647D"/>
    <w:rsid w:val="00E72D3D"/>
    <w:rsid w:val="00E76511"/>
    <w:rsid w:val="00E779F7"/>
    <w:rsid w:val="00E86459"/>
    <w:rsid w:val="00EA03EF"/>
    <w:rsid w:val="00EA12D2"/>
    <w:rsid w:val="00EA2C78"/>
    <w:rsid w:val="00EA32AA"/>
    <w:rsid w:val="00EA453B"/>
    <w:rsid w:val="00EA6536"/>
    <w:rsid w:val="00EB6C93"/>
    <w:rsid w:val="00EC298E"/>
    <w:rsid w:val="00EC6D84"/>
    <w:rsid w:val="00EE4EF2"/>
    <w:rsid w:val="00EF08CE"/>
    <w:rsid w:val="00EF0DFD"/>
    <w:rsid w:val="00EF7964"/>
    <w:rsid w:val="00F05455"/>
    <w:rsid w:val="00F07AA2"/>
    <w:rsid w:val="00F1398B"/>
    <w:rsid w:val="00F203A3"/>
    <w:rsid w:val="00F27578"/>
    <w:rsid w:val="00F3716F"/>
    <w:rsid w:val="00F4077A"/>
    <w:rsid w:val="00F40C0A"/>
    <w:rsid w:val="00F44560"/>
    <w:rsid w:val="00F450F8"/>
    <w:rsid w:val="00F545D5"/>
    <w:rsid w:val="00F55269"/>
    <w:rsid w:val="00F57D32"/>
    <w:rsid w:val="00F63040"/>
    <w:rsid w:val="00F72180"/>
    <w:rsid w:val="00F7490A"/>
    <w:rsid w:val="00F7798D"/>
    <w:rsid w:val="00F80130"/>
    <w:rsid w:val="00F8399C"/>
    <w:rsid w:val="00F93222"/>
    <w:rsid w:val="00F9681F"/>
    <w:rsid w:val="00FA3100"/>
    <w:rsid w:val="00FA5B57"/>
    <w:rsid w:val="00FD2F5F"/>
    <w:rsid w:val="00FD3FBC"/>
    <w:rsid w:val="00FD4D0C"/>
    <w:rsid w:val="00FD747F"/>
    <w:rsid w:val="00FE7408"/>
    <w:rsid w:val="00FF217D"/>
    <w:rsid w:val="00FF35DB"/>
    <w:rsid w:val="00FF7A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55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37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51B7C"/>
    <w:pPr>
      <w:spacing w:before="100" w:beforeAutospacing="1" w:after="100" w:afterAutospacing="1" w:line="240" w:lineRule="auto"/>
      <w:outlineLvl w:val="1"/>
    </w:pPr>
    <w:rPr>
      <w:rFonts w:ascii="Arial Narrow" w:eastAsia="Times New Roman" w:hAnsi="Arial Narrow" w:cs="Times New Roman"/>
      <w:b/>
      <w:bCs/>
      <w:color w:val="4A442A" w:themeColor="background2" w:themeShade="40"/>
      <w:sz w:val="24"/>
      <w:szCs w:val="36"/>
    </w:rPr>
  </w:style>
  <w:style w:type="paragraph" w:styleId="Heading3">
    <w:name w:val="heading 3"/>
    <w:basedOn w:val="Normal"/>
    <w:next w:val="Normal"/>
    <w:link w:val="Heading3Char"/>
    <w:unhideWhenUsed/>
    <w:qFormat/>
    <w:rsid w:val="00851B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C20BE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AF685B"/>
    <w:pPr>
      <w:ind w:left="720"/>
      <w:contextualSpacing/>
    </w:pPr>
  </w:style>
  <w:style w:type="table" w:styleId="TableGrid">
    <w:name w:val="Table Grid"/>
    <w:basedOn w:val="TableNormal"/>
    <w:uiPriority w:val="59"/>
    <w:rsid w:val="00160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3A2C"/>
    <w:rPr>
      <w:sz w:val="16"/>
      <w:szCs w:val="16"/>
    </w:rPr>
  </w:style>
  <w:style w:type="paragraph" w:styleId="CommentText">
    <w:name w:val="annotation text"/>
    <w:basedOn w:val="Normal"/>
    <w:link w:val="CommentTextChar"/>
    <w:uiPriority w:val="99"/>
    <w:unhideWhenUsed/>
    <w:rsid w:val="00363A2C"/>
    <w:pPr>
      <w:tabs>
        <w:tab w:val="right" w:pos="9360"/>
      </w:tabs>
      <w:spacing w:after="0" w:line="240" w:lineRule="auto"/>
      <w:ind w:left="720"/>
    </w:pPr>
    <w:rPr>
      <w:rFonts w:asciiTheme="majorHAnsi" w:eastAsiaTheme="minorEastAsia" w:hAnsiTheme="majorHAnsi"/>
      <w:sz w:val="20"/>
      <w:szCs w:val="20"/>
    </w:rPr>
  </w:style>
  <w:style w:type="character" w:customStyle="1" w:styleId="CommentTextChar">
    <w:name w:val="Comment Text Char"/>
    <w:basedOn w:val="DefaultParagraphFont"/>
    <w:link w:val="CommentText"/>
    <w:uiPriority w:val="99"/>
    <w:rsid w:val="00363A2C"/>
    <w:rPr>
      <w:rFonts w:asciiTheme="majorHAnsi" w:eastAsiaTheme="minorEastAsia" w:hAnsiTheme="majorHAnsi"/>
      <w:sz w:val="20"/>
      <w:szCs w:val="20"/>
    </w:rPr>
  </w:style>
  <w:style w:type="character" w:customStyle="1" w:styleId="ListParagraphChar">
    <w:name w:val="List Paragraph Char"/>
    <w:link w:val="ListParagraph"/>
    <w:uiPriority w:val="34"/>
    <w:rsid w:val="00363A2C"/>
  </w:style>
  <w:style w:type="paragraph" w:styleId="BalloonText">
    <w:name w:val="Balloon Text"/>
    <w:basedOn w:val="Normal"/>
    <w:link w:val="BalloonTextChar"/>
    <w:uiPriority w:val="99"/>
    <w:semiHidden/>
    <w:unhideWhenUsed/>
    <w:rsid w:val="00363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A2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028BA"/>
    <w:pPr>
      <w:tabs>
        <w:tab w:val="clear" w:pos="9360"/>
      </w:tabs>
      <w:spacing w:after="200"/>
      <w:ind w:left="0"/>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2028BA"/>
    <w:rPr>
      <w:rFonts w:asciiTheme="majorHAnsi" w:eastAsiaTheme="minorEastAsia" w:hAnsiTheme="majorHAnsi"/>
      <w:b/>
      <w:bCs/>
      <w:sz w:val="20"/>
      <w:szCs w:val="20"/>
    </w:rPr>
  </w:style>
  <w:style w:type="paragraph" w:styleId="Revision">
    <w:name w:val="Revision"/>
    <w:hidden/>
    <w:uiPriority w:val="99"/>
    <w:semiHidden/>
    <w:rsid w:val="00875F48"/>
    <w:pPr>
      <w:spacing w:after="0" w:line="240" w:lineRule="auto"/>
    </w:pPr>
  </w:style>
  <w:style w:type="character" w:styleId="Strong">
    <w:name w:val="Strong"/>
    <w:basedOn w:val="DefaultParagraphFont"/>
    <w:uiPriority w:val="22"/>
    <w:qFormat/>
    <w:rsid w:val="004725A4"/>
    <w:rPr>
      <w:b/>
      <w:bCs/>
    </w:rPr>
  </w:style>
  <w:style w:type="character" w:styleId="Hyperlink">
    <w:name w:val="Hyperlink"/>
    <w:basedOn w:val="DefaultParagraphFont"/>
    <w:unhideWhenUsed/>
    <w:rsid w:val="004725A4"/>
    <w:rPr>
      <w:color w:val="0000FF" w:themeColor="hyperlink"/>
      <w:u w:val="single"/>
    </w:rPr>
  </w:style>
  <w:style w:type="character" w:styleId="FootnoteReference">
    <w:name w:val="footnote reference"/>
    <w:basedOn w:val="DefaultParagraphFont"/>
    <w:uiPriority w:val="99"/>
    <w:semiHidden/>
    <w:unhideWhenUsed/>
    <w:rsid w:val="004725A4"/>
    <w:rPr>
      <w:vertAlign w:val="superscript"/>
    </w:rPr>
  </w:style>
  <w:style w:type="paragraph" w:styleId="FootnoteText">
    <w:name w:val="footnote text"/>
    <w:basedOn w:val="Normal"/>
    <w:link w:val="FootnoteTextChar"/>
    <w:uiPriority w:val="99"/>
    <w:semiHidden/>
    <w:unhideWhenUsed/>
    <w:rsid w:val="004725A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725A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EC298E"/>
    <w:rPr>
      <w:color w:val="800080" w:themeColor="followedHyperlink"/>
      <w:u w:val="single"/>
    </w:rPr>
  </w:style>
  <w:style w:type="character" w:customStyle="1" w:styleId="Heading2Char">
    <w:name w:val="Heading 2 Char"/>
    <w:basedOn w:val="DefaultParagraphFont"/>
    <w:link w:val="Heading2"/>
    <w:uiPriority w:val="9"/>
    <w:rsid w:val="00851B7C"/>
    <w:rPr>
      <w:rFonts w:ascii="Arial Narrow" w:eastAsia="Times New Roman" w:hAnsi="Arial Narrow" w:cs="Times New Roman"/>
      <w:b/>
      <w:bCs/>
      <w:color w:val="4A442A" w:themeColor="background2" w:themeShade="40"/>
      <w:sz w:val="24"/>
      <w:szCs w:val="36"/>
    </w:rPr>
  </w:style>
  <w:style w:type="character" w:customStyle="1" w:styleId="Heading3Char">
    <w:name w:val="Heading 3 Char"/>
    <w:basedOn w:val="DefaultParagraphFont"/>
    <w:link w:val="Heading3"/>
    <w:rsid w:val="00851B7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DC3745"/>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C156C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82109">
      <w:bodyDiv w:val="1"/>
      <w:marLeft w:val="0"/>
      <w:marRight w:val="0"/>
      <w:marTop w:val="0"/>
      <w:marBottom w:val="0"/>
      <w:divBdr>
        <w:top w:val="none" w:sz="0" w:space="0" w:color="auto"/>
        <w:left w:val="none" w:sz="0" w:space="0" w:color="auto"/>
        <w:bottom w:val="none" w:sz="0" w:space="0" w:color="auto"/>
        <w:right w:val="none" w:sz="0" w:space="0" w:color="auto"/>
      </w:divBdr>
    </w:div>
    <w:div w:id="667250612">
      <w:bodyDiv w:val="1"/>
      <w:marLeft w:val="0"/>
      <w:marRight w:val="0"/>
      <w:marTop w:val="0"/>
      <w:marBottom w:val="0"/>
      <w:divBdr>
        <w:top w:val="none" w:sz="0" w:space="0" w:color="auto"/>
        <w:left w:val="none" w:sz="0" w:space="0" w:color="auto"/>
        <w:bottom w:val="none" w:sz="0" w:space="0" w:color="auto"/>
        <w:right w:val="none" w:sz="0" w:space="0" w:color="auto"/>
      </w:divBdr>
    </w:div>
    <w:div w:id="834616151">
      <w:bodyDiv w:val="1"/>
      <w:marLeft w:val="0"/>
      <w:marRight w:val="0"/>
      <w:marTop w:val="0"/>
      <w:marBottom w:val="0"/>
      <w:divBdr>
        <w:top w:val="none" w:sz="0" w:space="0" w:color="auto"/>
        <w:left w:val="none" w:sz="0" w:space="0" w:color="auto"/>
        <w:bottom w:val="none" w:sz="0" w:space="0" w:color="auto"/>
        <w:right w:val="none" w:sz="0" w:space="0" w:color="auto"/>
      </w:divBdr>
    </w:div>
    <w:div w:id="895046332">
      <w:bodyDiv w:val="1"/>
      <w:marLeft w:val="0"/>
      <w:marRight w:val="0"/>
      <w:marTop w:val="0"/>
      <w:marBottom w:val="0"/>
      <w:divBdr>
        <w:top w:val="none" w:sz="0" w:space="0" w:color="auto"/>
        <w:left w:val="none" w:sz="0" w:space="0" w:color="auto"/>
        <w:bottom w:val="none" w:sz="0" w:space="0" w:color="auto"/>
        <w:right w:val="none" w:sz="0" w:space="0" w:color="auto"/>
      </w:divBdr>
    </w:div>
    <w:div w:id="1008484933">
      <w:bodyDiv w:val="1"/>
      <w:marLeft w:val="0"/>
      <w:marRight w:val="0"/>
      <w:marTop w:val="0"/>
      <w:marBottom w:val="0"/>
      <w:divBdr>
        <w:top w:val="none" w:sz="0" w:space="0" w:color="auto"/>
        <w:left w:val="none" w:sz="0" w:space="0" w:color="auto"/>
        <w:bottom w:val="none" w:sz="0" w:space="0" w:color="auto"/>
        <w:right w:val="none" w:sz="0" w:space="0" w:color="auto"/>
      </w:divBdr>
    </w:div>
    <w:div w:id="1179780121">
      <w:bodyDiv w:val="1"/>
      <w:marLeft w:val="0"/>
      <w:marRight w:val="0"/>
      <w:marTop w:val="0"/>
      <w:marBottom w:val="0"/>
      <w:divBdr>
        <w:top w:val="none" w:sz="0" w:space="0" w:color="auto"/>
        <w:left w:val="none" w:sz="0" w:space="0" w:color="auto"/>
        <w:bottom w:val="none" w:sz="0" w:space="0" w:color="auto"/>
        <w:right w:val="none" w:sz="0" w:space="0" w:color="auto"/>
      </w:divBdr>
    </w:div>
    <w:div w:id="1285384484">
      <w:bodyDiv w:val="1"/>
      <w:marLeft w:val="0"/>
      <w:marRight w:val="0"/>
      <w:marTop w:val="0"/>
      <w:marBottom w:val="0"/>
      <w:divBdr>
        <w:top w:val="none" w:sz="0" w:space="0" w:color="auto"/>
        <w:left w:val="none" w:sz="0" w:space="0" w:color="auto"/>
        <w:bottom w:val="none" w:sz="0" w:space="0" w:color="auto"/>
        <w:right w:val="none" w:sz="0" w:space="0" w:color="auto"/>
      </w:divBdr>
    </w:div>
    <w:div w:id="1380477293">
      <w:bodyDiv w:val="1"/>
      <w:marLeft w:val="0"/>
      <w:marRight w:val="0"/>
      <w:marTop w:val="0"/>
      <w:marBottom w:val="0"/>
      <w:divBdr>
        <w:top w:val="none" w:sz="0" w:space="0" w:color="auto"/>
        <w:left w:val="none" w:sz="0" w:space="0" w:color="auto"/>
        <w:bottom w:val="none" w:sz="0" w:space="0" w:color="auto"/>
        <w:right w:val="none" w:sz="0" w:space="0" w:color="auto"/>
      </w:divBdr>
    </w:div>
    <w:div w:id="1674723699">
      <w:bodyDiv w:val="1"/>
      <w:marLeft w:val="0"/>
      <w:marRight w:val="0"/>
      <w:marTop w:val="0"/>
      <w:marBottom w:val="0"/>
      <w:divBdr>
        <w:top w:val="none" w:sz="0" w:space="0" w:color="auto"/>
        <w:left w:val="none" w:sz="0" w:space="0" w:color="auto"/>
        <w:bottom w:val="none" w:sz="0" w:space="0" w:color="auto"/>
        <w:right w:val="none" w:sz="0" w:space="0" w:color="auto"/>
      </w:divBdr>
    </w:div>
    <w:div w:id="1756051259">
      <w:bodyDiv w:val="1"/>
      <w:marLeft w:val="0"/>
      <w:marRight w:val="0"/>
      <w:marTop w:val="0"/>
      <w:marBottom w:val="0"/>
      <w:divBdr>
        <w:top w:val="none" w:sz="0" w:space="0" w:color="auto"/>
        <w:left w:val="none" w:sz="0" w:space="0" w:color="auto"/>
        <w:bottom w:val="none" w:sz="0" w:space="0" w:color="auto"/>
        <w:right w:val="none" w:sz="0" w:space="0" w:color="auto"/>
      </w:divBdr>
    </w:div>
    <w:div w:id="1820536000">
      <w:bodyDiv w:val="1"/>
      <w:marLeft w:val="0"/>
      <w:marRight w:val="0"/>
      <w:marTop w:val="0"/>
      <w:marBottom w:val="0"/>
      <w:divBdr>
        <w:top w:val="none" w:sz="0" w:space="0" w:color="auto"/>
        <w:left w:val="none" w:sz="0" w:space="0" w:color="auto"/>
        <w:bottom w:val="none" w:sz="0" w:space="0" w:color="auto"/>
        <w:right w:val="none" w:sz="0" w:space="0" w:color="auto"/>
      </w:divBdr>
    </w:div>
    <w:div w:id="193701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28FAD-F234-48BD-A01A-1B51BC4D8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2289</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2015-05-07T13:50:00Z</dcterms:created>
  <dcterms:modified xsi:type="dcterms:W3CDTF">2015-05-07T16:47:00Z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