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9224A">
        <w:rPr>
          <w:sz w:val="28"/>
        </w:rPr>
        <w:t>0920-0953</w:t>
      </w:r>
      <w:r>
        <w:rPr>
          <w:sz w:val="28"/>
        </w:rPr>
        <w:t>)</w:t>
      </w:r>
    </w:p>
    <w:p w:rsidR="00957E40" w:rsidRDefault="005138C1" w:rsidP="00434E33">
      <w:pPr>
        <w:rPr>
          <w:b/>
        </w:rPr>
      </w:pPr>
      <w:r>
        <w:rPr>
          <w:noProof/>
        </w:rPr>
        <mc:AlternateContent>
          <mc:Choice Requires="wps">
            <w:drawing>
              <wp:anchor distT="0" distB="0" distL="114300" distR="114300" simplePos="0" relativeHeight="251658240" behindDoc="0" locked="0" layoutInCell="0" allowOverlap="1" wp14:anchorId="70CA9180" wp14:editId="263CC89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DA23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rsidR="00B46F2C" w:rsidRDefault="00957E40" w:rsidP="00434E33">
      <w:r>
        <w:rPr>
          <w:b/>
        </w:rPr>
        <w:t>T</w:t>
      </w:r>
      <w:r w:rsidR="00B46F2C" w:rsidRPr="00434E33">
        <w:rPr>
          <w:b/>
        </w:rPr>
        <w:t>ITLE OF INFORMATION COLLECTION:</w:t>
      </w:r>
      <w:r w:rsidR="00B46F2C">
        <w:t xml:space="preserve">  </w:t>
      </w:r>
    </w:p>
    <w:p w:rsidR="000B7AE5" w:rsidRPr="009239AA" w:rsidRDefault="00053116" w:rsidP="00434E33">
      <w:pPr>
        <w:rPr>
          <w:b/>
        </w:rPr>
      </w:pPr>
      <w:r w:rsidRPr="005D19F0">
        <w:t>N</w:t>
      </w:r>
      <w:r w:rsidR="00980BFB" w:rsidRPr="005D19F0">
        <w:t xml:space="preserve">ational </w:t>
      </w:r>
      <w:r w:rsidRPr="005D19F0">
        <w:t>O</w:t>
      </w:r>
      <w:r w:rsidR="00980BFB" w:rsidRPr="005D19F0">
        <w:t xml:space="preserve">ccupational </w:t>
      </w:r>
      <w:r w:rsidRPr="005D19F0">
        <w:t>R</w:t>
      </w:r>
      <w:r w:rsidR="00980BFB" w:rsidRPr="005D19F0">
        <w:t xml:space="preserve">esearch </w:t>
      </w:r>
      <w:r w:rsidRPr="005D19F0">
        <w:t>A</w:t>
      </w:r>
      <w:r w:rsidR="00980BFB" w:rsidRPr="005D19F0">
        <w:t>genda (NORA)</w:t>
      </w:r>
      <w:r w:rsidRPr="005D19F0">
        <w:t xml:space="preserve"> A</w:t>
      </w:r>
      <w:r w:rsidR="00980BFB" w:rsidRPr="005D19F0">
        <w:t>griculture, Forestry and Fishing (A</w:t>
      </w:r>
      <w:r w:rsidRPr="005D19F0">
        <w:t>gFF</w:t>
      </w:r>
      <w:r w:rsidR="00980BFB" w:rsidRPr="005D19F0">
        <w:t>)</w:t>
      </w:r>
      <w:r>
        <w:t xml:space="preserve"> Sector Council</w:t>
      </w:r>
      <w:r w:rsidR="000B7AE5">
        <w:t xml:space="preserve"> </w:t>
      </w:r>
      <w:r w:rsidR="00940F02">
        <w:t>Feedback</w:t>
      </w:r>
      <w:r w:rsidR="000B7AE5">
        <w:t xml:space="preserve"> </w:t>
      </w:r>
      <w:r w:rsidR="003604B1">
        <w:t>through a focus group with leaders</w:t>
      </w:r>
    </w:p>
    <w:p w:rsidR="00B46F2C" w:rsidRDefault="00B46F2C"/>
    <w:p w:rsidR="00B46F2C" w:rsidRDefault="00B46F2C">
      <w:r>
        <w:rPr>
          <w:b/>
        </w:rPr>
        <w:t>PURPOSE</w:t>
      </w:r>
      <w:r w:rsidRPr="009239AA">
        <w:rPr>
          <w:b/>
        </w:rPr>
        <w:t xml:space="preserve">:  </w:t>
      </w:r>
    </w:p>
    <w:p w:rsidR="00053116" w:rsidRDefault="00280FA3" w:rsidP="00CA433A">
      <w:r>
        <w:t xml:space="preserve">The Centers for Disease Control and Prevention (CDC), National Institute for Occupational Safety and Health (NIOSH) seeks to obtain Office of Management and Budget (OMB) approval to </w:t>
      </w:r>
      <w:r w:rsidR="00CA433A">
        <w:t xml:space="preserve">collect feedback </w:t>
      </w:r>
      <w:r w:rsidR="00053116">
        <w:t xml:space="preserve">on the preferences and experiences of the NORA AgFF Sector Council members to better meet their needs and strengthen the partnership. </w:t>
      </w:r>
    </w:p>
    <w:p w:rsidR="00D760DA" w:rsidRDefault="00D760DA" w:rsidP="00D760DA"/>
    <w:p w:rsidR="00D760DA" w:rsidRDefault="00053116" w:rsidP="00D760DA">
      <w:r>
        <w:t>The NORA AgFF Sector Cou</w:t>
      </w:r>
      <w:r w:rsidR="00851E09">
        <w:t xml:space="preserve">ncil is a partnership formed in 2007 </w:t>
      </w:r>
      <w:r w:rsidR="00980BFB" w:rsidRPr="00980BFB">
        <w:t>to stimulate innovative research and improved workplace practices</w:t>
      </w:r>
      <w:r>
        <w:t xml:space="preserve"> in agriculture, forestry, and fishing. </w:t>
      </w:r>
      <w:r w:rsidR="003C51CC">
        <w:t>I</w:t>
      </w:r>
      <w:r w:rsidR="00D760DA">
        <w:t xml:space="preserve">t promotes partnerships across different organizations types such as industry, government, labor, nongovernmental </w:t>
      </w:r>
      <w:r w:rsidR="003C51CC">
        <w:t>and academia.</w:t>
      </w:r>
    </w:p>
    <w:p w:rsidR="00FD71F8" w:rsidRDefault="00FD71F8" w:rsidP="00D760DA"/>
    <w:p w:rsidR="007166FD" w:rsidRDefault="00FD71F8" w:rsidP="007166FD">
      <w:r>
        <w:t xml:space="preserve">Since the second decade of NORA is ending, it is important to </w:t>
      </w:r>
      <w:r w:rsidR="00EA0C89">
        <w:t xml:space="preserve">look at </w:t>
      </w:r>
      <w:r>
        <w:t>what work</w:t>
      </w:r>
      <w:r w:rsidR="00F6140E">
        <w:t>ed</w:t>
      </w:r>
      <w:r>
        <w:t xml:space="preserve"> and </w:t>
      </w:r>
      <w:r w:rsidR="006A3CBF">
        <w:t xml:space="preserve">what areas need to be addressed to </w:t>
      </w:r>
      <w:r>
        <w:t>improve and sustain the partnersh</w:t>
      </w:r>
      <w:r w:rsidR="003C51CC">
        <w:t xml:space="preserve">ip in the third decade of NORA. </w:t>
      </w:r>
      <w:r w:rsidR="007166FD">
        <w:t>Feedback on the opinions, perceptions and experiences of the Working Group leaders related to their involvement with the Sector Council will be collected through an in-person focus group. The focus group</w:t>
      </w:r>
      <w:r w:rsidR="007166FD" w:rsidRPr="00B020C1">
        <w:t xml:space="preserve"> will be conducted using a semi-structure guide with questions and probes related to</w:t>
      </w:r>
      <w:r w:rsidR="007166FD">
        <w:t xml:space="preserve"> the satisfaction of the members with leadership, sector council meetings, and structure and process of the council. In addition, the guide also cover questions related to the member’s perspective on their perceived impact of the Sector Council as well as general recommendations for improvement. </w:t>
      </w:r>
    </w:p>
    <w:p w:rsidR="00EA73A8" w:rsidRDefault="00EA73A8" w:rsidP="00D760DA"/>
    <w:p w:rsidR="00053116" w:rsidRDefault="00053116" w:rsidP="00CA433A"/>
    <w:p w:rsidR="00EA73A8" w:rsidRDefault="00B46F2C" w:rsidP="00EA73A8">
      <w:pPr>
        <w:pStyle w:val="Header"/>
        <w:tabs>
          <w:tab w:val="clear" w:pos="4320"/>
          <w:tab w:val="clear" w:pos="8640"/>
        </w:tabs>
      </w:pPr>
      <w:r w:rsidRPr="00434E33">
        <w:rPr>
          <w:b/>
        </w:rPr>
        <w:t>DESCRIPTION OF RESPONDENTS</w:t>
      </w:r>
      <w:r>
        <w:t xml:space="preserve">: </w:t>
      </w:r>
    </w:p>
    <w:p w:rsidR="00EA73A8" w:rsidRDefault="00EA73A8" w:rsidP="00EA73A8">
      <w:pPr>
        <w:pStyle w:val="Header"/>
        <w:tabs>
          <w:tab w:val="clear" w:pos="4320"/>
          <w:tab w:val="clear" w:pos="8640"/>
        </w:tabs>
      </w:pPr>
    </w:p>
    <w:p w:rsidR="00DE4BA9" w:rsidRPr="00EA73A8" w:rsidRDefault="00EA73A8" w:rsidP="00EA73A8">
      <w:pPr>
        <w:pStyle w:val="Header"/>
        <w:tabs>
          <w:tab w:val="clear" w:pos="4320"/>
          <w:tab w:val="clear" w:pos="8640"/>
        </w:tabs>
        <w:rPr>
          <w:i/>
        </w:rPr>
      </w:pPr>
      <w:r>
        <w:t xml:space="preserve">Respondents will be Sector Council </w:t>
      </w:r>
      <w:r w:rsidR="00627601">
        <w:t xml:space="preserve">full and corresponding </w:t>
      </w:r>
      <w:r>
        <w:t xml:space="preserve">members from industry, government, labor, academia and nongovernmental organizations. </w:t>
      </w:r>
      <w:r w:rsidR="00DE4BA9">
        <w:rPr>
          <w:b/>
        </w:rPr>
        <w:br w:type="page"/>
      </w:r>
    </w:p>
    <w:p w:rsidR="00B46F2C" w:rsidRPr="00F06866" w:rsidRDefault="00B46F2C">
      <w:pPr>
        <w:rPr>
          <w:b/>
        </w:rPr>
      </w:pPr>
      <w:r>
        <w:rPr>
          <w:b/>
        </w:rPr>
        <w:lastRenderedPageBreak/>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w:t>
      </w:r>
      <w:r w:rsidR="007166FD">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w:t>
      </w:r>
      <w:r w:rsidR="00053116">
        <w:rPr>
          <w:bCs/>
          <w:sz w:val="24"/>
          <w:u w:val="single"/>
        </w:rPr>
        <w:t>Key Informant Interview</w:t>
      </w:r>
      <w:r w:rsidRPr="00F06866">
        <w:rPr>
          <w:bCs/>
          <w:sz w:val="24"/>
          <w:u w:val="single"/>
        </w:rPr>
        <w:t>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5D19F0" w:rsidP="005D19F0">
      <w:r>
        <w:t>Name: Noemi Avalos</w:t>
      </w: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D07B89">
        <w:t>X</w:t>
      </w:r>
      <w:r>
        <w:t xml:space="preserve">]  No </w:t>
      </w:r>
    </w:p>
    <w:p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 provided to participants?  [  ] Yes [</w:t>
      </w:r>
      <w:r w:rsidR="00D07B89">
        <w:t>X</w:t>
      </w:r>
      <w:r w:rsidR="00AA5EE9">
        <w:t xml:space="preserve"> ] No</w:t>
      </w:r>
    </w:p>
    <w:p w:rsidR="00B46F2C" w:rsidRDefault="00B46F2C">
      <w:pPr>
        <w:rPr>
          <w:b/>
        </w:rPr>
      </w:pPr>
    </w:p>
    <w:p w:rsidR="00B46F2C" w:rsidRDefault="00B46F2C">
      <w:pPr>
        <w:rPr>
          <w:b/>
        </w:rPr>
      </w:pPr>
    </w:p>
    <w:p w:rsidR="00D07B89" w:rsidRDefault="00D07B89" w:rsidP="00D07B89">
      <w:pPr>
        <w:rPr>
          <w:i/>
        </w:rPr>
      </w:pPr>
      <w:r>
        <w:rPr>
          <w:b/>
        </w:rPr>
        <w:t>BURDEN HOURS</w:t>
      </w:r>
      <w: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574"/>
        <w:gridCol w:w="1690"/>
        <w:gridCol w:w="1686"/>
        <w:gridCol w:w="2070"/>
      </w:tblGrid>
      <w:tr w:rsidR="00D07B89" w:rsidRPr="0001027E" w:rsidTr="00D07B89">
        <w:trPr>
          <w:trHeight w:val="827"/>
        </w:trPr>
        <w:tc>
          <w:tcPr>
            <w:tcW w:w="2628" w:type="dxa"/>
          </w:tcPr>
          <w:p w:rsidR="00D07B89" w:rsidRPr="0001027E" w:rsidRDefault="00D07B89" w:rsidP="00DF3AEB">
            <w:pPr>
              <w:rPr>
                <w:b/>
              </w:rPr>
            </w:pPr>
            <w:r w:rsidRPr="0001027E">
              <w:rPr>
                <w:b/>
              </w:rPr>
              <w:t xml:space="preserve">Category of Respondent </w:t>
            </w:r>
          </w:p>
        </w:tc>
        <w:tc>
          <w:tcPr>
            <w:tcW w:w="1574" w:type="dxa"/>
          </w:tcPr>
          <w:p w:rsidR="00D07B89" w:rsidRPr="0001027E" w:rsidRDefault="00D07B89" w:rsidP="00DF3AEB">
            <w:pPr>
              <w:rPr>
                <w:b/>
              </w:rPr>
            </w:pPr>
            <w:r w:rsidRPr="0001027E">
              <w:rPr>
                <w:b/>
              </w:rPr>
              <w:t>No. of Respondents</w:t>
            </w:r>
          </w:p>
        </w:tc>
        <w:tc>
          <w:tcPr>
            <w:tcW w:w="1690" w:type="dxa"/>
          </w:tcPr>
          <w:p w:rsidR="00D07B89" w:rsidRPr="0001027E" w:rsidRDefault="00D07B89" w:rsidP="00DF3AEB">
            <w:pPr>
              <w:rPr>
                <w:b/>
              </w:rPr>
            </w:pPr>
            <w:r>
              <w:rPr>
                <w:b/>
              </w:rPr>
              <w:t>No. of Responses per Respondent</w:t>
            </w:r>
          </w:p>
        </w:tc>
        <w:tc>
          <w:tcPr>
            <w:tcW w:w="1686" w:type="dxa"/>
          </w:tcPr>
          <w:p w:rsidR="00D07B89" w:rsidRPr="0001027E" w:rsidRDefault="002A1A4A" w:rsidP="00DF3AEB">
            <w:pPr>
              <w:rPr>
                <w:b/>
              </w:rPr>
            </w:pPr>
            <w:r>
              <w:rPr>
                <w:b/>
              </w:rPr>
              <w:t>Avg. Burden per Response (in hours)</w:t>
            </w:r>
          </w:p>
        </w:tc>
        <w:tc>
          <w:tcPr>
            <w:tcW w:w="2070" w:type="dxa"/>
          </w:tcPr>
          <w:p w:rsidR="00D07B89" w:rsidRPr="0001027E" w:rsidRDefault="002A1A4A" w:rsidP="00DF3AEB">
            <w:pPr>
              <w:rPr>
                <w:b/>
              </w:rPr>
            </w:pPr>
            <w:r>
              <w:rPr>
                <w:b/>
              </w:rPr>
              <w:t xml:space="preserve">Total </w:t>
            </w:r>
            <w:r w:rsidR="00D07B89" w:rsidRPr="0001027E">
              <w:rPr>
                <w:b/>
              </w:rPr>
              <w:t>Burden</w:t>
            </w:r>
            <w:r w:rsidR="00D07B89">
              <w:rPr>
                <w:b/>
              </w:rPr>
              <w:t xml:space="preserve"> Hours</w:t>
            </w:r>
          </w:p>
        </w:tc>
      </w:tr>
      <w:tr w:rsidR="00D07B89" w:rsidTr="00D07B89">
        <w:trPr>
          <w:trHeight w:val="285"/>
        </w:trPr>
        <w:tc>
          <w:tcPr>
            <w:tcW w:w="2628" w:type="dxa"/>
          </w:tcPr>
          <w:p w:rsidR="00D07B89" w:rsidRDefault="00627601" w:rsidP="00D07B89">
            <w:r>
              <w:t>Private Sector</w:t>
            </w:r>
          </w:p>
        </w:tc>
        <w:tc>
          <w:tcPr>
            <w:tcW w:w="1574" w:type="dxa"/>
          </w:tcPr>
          <w:p w:rsidR="00D07B89" w:rsidRPr="002416EA" w:rsidRDefault="007166FD" w:rsidP="00DE4BA9">
            <w:r>
              <w:t>1</w:t>
            </w:r>
          </w:p>
        </w:tc>
        <w:tc>
          <w:tcPr>
            <w:tcW w:w="1690" w:type="dxa"/>
          </w:tcPr>
          <w:p w:rsidR="00D07B89" w:rsidRPr="002416EA" w:rsidRDefault="00627601" w:rsidP="00DF3AEB">
            <w:r>
              <w:t>1</w:t>
            </w:r>
          </w:p>
        </w:tc>
        <w:tc>
          <w:tcPr>
            <w:tcW w:w="1686" w:type="dxa"/>
          </w:tcPr>
          <w:p w:rsidR="00D07B89" w:rsidRPr="002416EA" w:rsidRDefault="007166FD" w:rsidP="003E31E6">
            <w:r>
              <w:t>2</w:t>
            </w:r>
          </w:p>
        </w:tc>
        <w:tc>
          <w:tcPr>
            <w:tcW w:w="2070" w:type="dxa"/>
          </w:tcPr>
          <w:p w:rsidR="00D07B89" w:rsidRPr="002416EA" w:rsidRDefault="007166FD" w:rsidP="00D07B89">
            <w:r>
              <w:t>2</w:t>
            </w:r>
            <w:r w:rsidR="00F9224A">
              <w:t xml:space="preserve"> </w:t>
            </w:r>
            <w:r w:rsidR="00910313">
              <w:t>hours</w:t>
            </w:r>
          </w:p>
        </w:tc>
      </w:tr>
      <w:tr w:rsidR="00627601" w:rsidTr="00D07B89">
        <w:trPr>
          <w:trHeight w:val="285"/>
        </w:trPr>
        <w:tc>
          <w:tcPr>
            <w:tcW w:w="2628" w:type="dxa"/>
          </w:tcPr>
          <w:p w:rsidR="00627601" w:rsidRDefault="00627601" w:rsidP="00D07B89">
            <w:r>
              <w:t>State, and local government</w:t>
            </w:r>
          </w:p>
        </w:tc>
        <w:tc>
          <w:tcPr>
            <w:tcW w:w="1574" w:type="dxa"/>
          </w:tcPr>
          <w:p w:rsidR="00627601" w:rsidRDefault="007166FD" w:rsidP="00DE4BA9">
            <w:r>
              <w:t>1</w:t>
            </w:r>
          </w:p>
          <w:p w:rsidR="001C653E" w:rsidRDefault="001C653E" w:rsidP="00DE4BA9"/>
        </w:tc>
        <w:tc>
          <w:tcPr>
            <w:tcW w:w="1690" w:type="dxa"/>
          </w:tcPr>
          <w:p w:rsidR="00627601" w:rsidRDefault="00627601" w:rsidP="00DF3AEB">
            <w:r>
              <w:t>1</w:t>
            </w:r>
          </w:p>
        </w:tc>
        <w:tc>
          <w:tcPr>
            <w:tcW w:w="1686" w:type="dxa"/>
          </w:tcPr>
          <w:p w:rsidR="00627601" w:rsidRDefault="007166FD" w:rsidP="003E31E6">
            <w:r>
              <w:t>2</w:t>
            </w:r>
          </w:p>
        </w:tc>
        <w:tc>
          <w:tcPr>
            <w:tcW w:w="2070" w:type="dxa"/>
          </w:tcPr>
          <w:p w:rsidR="00627601" w:rsidRPr="002416EA" w:rsidRDefault="007166FD" w:rsidP="0091251B">
            <w:r>
              <w:t>2</w:t>
            </w:r>
            <w:r w:rsidR="00F9224A">
              <w:t xml:space="preserve"> </w:t>
            </w:r>
            <w:r w:rsidR="00910313">
              <w:t>hours</w:t>
            </w:r>
          </w:p>
        </w:tc>
      </w:tr>
      <w:tr w:rsidR="00627601" w:rsidTr="00D07B89">
        <w:trPr>
          <w:trHeight w:val="285"/>
        </w:trPr>
        <w:tc>
          <w:tcPr>
            <w:tcW w:w="2628" w:type="dxa"/>
          </w:tcPr>
          <w:p w:rsidR="00627601" w:rsidRDefault="0091251B" w:rsidP="00D07B89">
            <w:r>
              <w:t>Non-profits</w:t>
            </w:r>
          </w:p>
        </w:tc>
        <w:tc>
          <w:tcPr>
            <w:tcW w:w="1574" w:type="dxa"/>
          </w:tcPr>
          <w:p w:rsidR="00627601" w:rsidRDefault="007166FD" w:rsidP="00DE4BA9">
            <w:r>
              <w:t>1</w:t>
            </w:r>
          </w:p>
        </w:tc>
        <w:tc>
          <w:tcPr>
            <w:tcW w:w="1690" w:type="dxa"/>
          </w:tcPr>
          <w:p w:rsidR="00627601" w:rsidRDefault="00627601" w:rsidP="00DF3AEB">
            <w:r>
              <w:t>1</w:t>
            </w:r>
          </w:p>
        </w:tc>
        <w:tc>
          <w:tcPr>
            <w:tcW w:w="1686" w:type="dxa"/>
          </w:tcPr>
          <w:p w:rsidR="00627601" w:rsidRDefault="007166FD" w:rsidP="003E31E6">
            <w:r>
              <w:t>2</w:t>
            </w:r>
          </w:p>
        </w:tc>
        <w:tc>
          <w:tcPr>
            <w:tcW w:w="2070" w:type="dxa"/>
          </w:tcPr>
          <w:p w:rsidR="00627601" w:rsidRPr="002416EA" w:rsidRDefault="007166FD" w:rsidP="0091251B">
            <w:r>
              <w:t>2</w:t>
            </w:r>
            <w:r w:rsidR="00F9224A">
              <w:t xml:space="preserve"> </w:t>
            </w:r>
            <w:r w:rsidR="00910313">
              <w:t>hours</w:t>
            </w:r>
          </w:p>
        </w:tc>
      </w:tr>
      <w:tr w:rsidR="000E32FD" w:rsidTr="00D07B89">
        <w:trPr>
          <w:trHeight w:val="285"/>
        </w:trPr>
        <w:tc>
          <w:tcPr>
            <w:tcW w:w="2628" w:type="dxa"/>
          </w:tcPr>
          <w:p w:rsidR="000E32FD" w:rsidDel="0091251B" w:rsidRDefault="000E32FD" w:rsidP="00D07B89">
            <w:r>
              <w:t>Academia</w:t>
            </w:r>
          </w:p>
        </w:tc>
        <w:tc>
          <w:tcPr>
            <w:tcW w:w="1574" w:type="dxa"/>
          </w:tcPr>
          <w:p w:rsidR="000E32FD" w:rsidRDefault="007166FD" w:rsidP="00DE4BA9">
            <w:r>
              <w:t>2</w:t>
            </w:r>
          </w:p>
        </w:tc>
        <w:tc>
          <w:tcPr>
            <w:tcW w:w="1690" w:type="dxa"/>
          </w:tcPr>
          <w:p w:rsidR="000E32FD" w:rsidRDefault="000E32FD" w:rsidP="00DF3AEB">
            <w:r>
              <w:t>1</w:t>
            </w:r>
          </w:p>
        </w:tc>
        <w:tc>
          <w:tcPr>
            <w:tcW w:w="1686" w:type="dxa"/>
          </w:tcPr>
          <w:p w:rsidR="000E32FD" w:rsidDel="00F9224A" w:rsidRDefault="007166FD" w:rsidP="003E31E6">
            <w:r>
              <w:t>2</w:t>
            </w:r>
          </w:p>
        </w:tc>
        <w:tc>
          <w:tcPr>
            <w:tcW w:w="2070" w:type="dxa"/>
          </w:tcPr>
          <w:p w:rsidR="000E32FD" w:rsidDel="00F9224A" w:rsidRDefault="007166FD" w:rsidP="0091251B">
            <w:r>
              <w:t>4</w:t>
            </w:r>
            <w:r w:rsidR="000E32FD">
              <w:t xml:space="preserve"> hours</w:t>
            </w:r>
          </w:p>
        </w:tc>
      </w:tr>
      <w:tr w:rsidR="002A1A4A" w:rsidTr="0091111D">
        <w:trPr>
          <w:trHeight w:val="285"/>
        </w:trPr>
        <w:tc>
          <w:tcPr>
            <w:tcW w:w="9648" w:type="dxa"/>
            <w:gridSpan w:val="5"/>
          </w:tcPr>
          <w:p w:rsidR="002A1A4A" w:rsidRPr="002A1A4A" w:rsidRDefault="002A1A4A" w:rsidP="009002A3">
            <w:r>
              <w:t xml:space="preserve">Total                                                                                                                     </w:t>
            </w:r>
            <w:r w:rsidR="009002A3">
              <w:t>10</w:t>
            </w:r>
            <w:bookmarkStart w:id="0" w:name="_GoBack"/>
            <w:bookmarkEnd w:id="0"/>
            <w:r>
              <w:t xml:space="preserve"> hours</w:t>
            </w:r>
          </w:p>
        </w:tc>
      </w:tr>
    </w:tbl>
    <w:p w:rsidR="00D07B89" w:rsidRPr="006832D9" w:rsidRDefault="00D07B89" w:rsidP="00D07B89">
      <w:pPr>
        <w:keepNext/>
        <w:keepLines/>
        <w:rPr>
          <w:b/>
        </w:rPr>
      </w:pPr>
    </w:p>
    <w:p w:rsidR="00B46F2C" w:rsidRDefault="00B46F2C" w:rsidP="00F3170F"/>
    <w:p w:rsidR="001E2A41" w:rsidRDefault="00B46F2C">
      <w:r>
        <w:rPr>
          <w:b/>
        </w:rPr>
        <w:t xml:space="preserve">FEDERAL COST:  </w:t>
      </w:r>
      <w:r>
        <w:t>The estimated annual c</w:t>
      </w:r>
      <w:r w:rsidR="00957E40">
        <w:t>ost to the Federal government is $</w:t>
      </w:r>
      <w:r w:rsidR="007166FD">
        <w:t>800</w:t>
      </w:r>
      <w:r w:rsidR="006445BB">
        <w:t>.</w:t>
      </w:r>
    </w:p>
    <w:p w:rsidR="0091251B" w:rsidRDefault="00D16263" w:rsidP="0091251B">
      <w:r w:rsidRPr="009D5672">
        <w:t xml:space="preserve"> </w:t>
      </w:r>
      <w:r w:rsidR="0091251B" w:rsidRPr="009D5672">
        <w:t>(</w:t>
      </w:r>
      <w:r w:rsidR="007166FD">
        <w:t>Travel expenses</w:t>
      </w:r>
      <w:r w:rsidR="005076FC">
        <w:t xml:space="preserve"> including flight ticket and lodging)</w:t>
      </w:r>
      <w:r w:rsidR="007166FD">
        <w:t xml:space="preserve">. </w:t>
      </w:r>
    </w:p>
    <w:p w:rsidR="00F53EC1" w:rsidRDefault="00F53EC1">
      <w:pPr>
        <w:rPr>
          <w:b/>
          <w:bCs/>
          <w:u w:val="single"/>
        </w:rPr>
      </w:pPr>
    </w:p>
    <w:p w:rsidR="00B46F2C" w:rsidRDefault="00B46F2C" w:rsidP="00F06866">
      <w:pPr>
        <w:rPr>
          <w:b/>
        </w:rPr>
      </w:pPr>
      <w:r>
        <w:rPr>
          <w:b/>
          <w:bCs/>
          <w:u w:val="single"/>
        </w:rPr>
        <w:lastRenderedPageBreak/>
        <w:t xml:space="preserve">If you are conducting a focus group, survey, or plan to employ statistical methods, </w:t>
      </w:r>
      <w:r w:rsidR="00DE4BA9">
        <w:rPr>
          <w:b/>
          <w:bCs/>
          <w:u w:val="single"/>
        </w:rPr>
        <w:t>please provide</w:t>
      </w:r>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Yes</w:t>
      </w:r>
      <w:r>
        <w:tab/>
        <w:t xml:space="preserve">[ </w:t>
      </w:r>
      <w:r w:rsidR="00627601">
        <w:t>x</w:t>
      </w:r>
      <w:r>
        <w:t>]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3E31E6"/>
    <w:p w:rsidR="00AC378E" w:rsidRDefault="00AC378E" w:rsidP="00940F02"/>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 Web-based or other forms of Social Media </w:t>
      </w:r>
    </w:p>
    <w:p w:rsidR="00B46F2C" w:rsidRDefault="00B46F2C" w:rsidP="001B0AAA">
      <w:pPr>
        <w:ind w:left="720"/>
      </w:pPr>
      <w:r>
        <w:t>[] Telephone</w:t>
      </w:r>
      <w:r>
        <w:tab/>
      </w:r>
    </w:p>
    <w:p w:rsidR="00B46F2C" w:rsidRDefault="00B46F2C" w:rsidP="001B0AAA">
      <w:pPr>
        <w:ind w:left="720"/>
      </w:pPr>
      <w:r>
        <w:t>[</w:t>
      </w:r>
      <w:r w:rsidR="007166FD">
        <w:t>x</w:t>
      </w:r>
      <w:r w:rsidR="00053116">
        <w:t xml:space="preserve"> </w:t>
      </w:r>
      <w:r>
        <w:t>]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 xml:space="preserve">Will interviewers or facilitators be used?  [ </w:t>
      </w:r>
      <w:r w:rsidR="00053116">
        <w:t>x</w:t>
      </w:r>
      <w:r>
        <w:t xml:space="preserve"> ] Yes [</w:t>
      </w:r>
      <w:r w:rsidR="00053116">
        <w:t xml:space="preserve"> </w:t>
      </w:r>
      <w:r>
        <w:t>] No</w:t>
      </w:r>
    </w:p>
    <w:p w:rsidR="005138C1" w:rsidRDefault="005138C1" w:rsidP="005138C1"/>
    <w:p w:rsidR="00D0369D" w:rsidRDefault="00D0369D" w:rsidP="005138C1"/>
    <w:p w:rsidR="00EA435C" w:rsidRDefault="00EA435C" w:rsidP="0024521E">
      <w:pPr>
        <w:rPr>
          <w:b/>
        </w:rPr>
      </w:pPr>
    </w:p>
    <w:p w:rsidR="00B46F2C" w:rsidRDefault="00B46F2C" w:rsidP="0024521E">
      <w:pPr>
        <w:rPr>
          <w:b/>
        </w:rPr>
      </w:pPr>
      <w:r w:rsidRPr="00F24CFC">
        <w:rPr>
          <w:b/>
        </w:rPr>
        <w:t>Please make sure that all instruments, instructions, and scripts are submitted with the request.</w:t>
      </w:r>
    </w:p>
    <w:p w:rsidR="00B46F2C" w:rsidRPr="00957E40" w:rsidRDefault="00B46F2C" w:rsidP="00957E40">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5138C1" w:rsidP="00F24CFC">
      <w:pPr>
        <w:rPr>
          <w:b/>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E3BF0"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lastRenderedPageBreak/>
        <w:t>BURDEN HOURS:</w:t>
      </w:r>
    </w:p>
    <w:p w:rsidR="00B46F2C" w:rsidRDefault="00B46F2C" w:rsidP="00F24CFC">
      <w:r>
        <w:rPr>
          <w:b/>
        </w:rPr>
        <w:t xml:space="preserve">Category of Respondents:  </w:t>
      </w:r>
      <w:r>
        <w:t>Identify who you expect the respondents to be in terms of the following categories: (1) Individuals or Households;</w:t>
      </w:r>
      <w:r w:rsidR="0069253D">
        <w:t xml:space="preserve"> </w:t>
      </w:r>
      <w:r>
        <w:t xml:space="preserve">(2)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rsidR="008C3406">
        <w:t xml:space="preserve">The </w:t>
      </w:r>
      <w:r>
        <w:t>estimate</w:t>
      </w:r>
      <w:r w:rsidR="008C3406">
        <w:t>d</w:t>
      </w:r>
      <w:r>
        <w:t xml:space="preserve"> of the annual cost to the Federal government</w:t>
      </w:r>
      <w:r w:rsidR="008C3406">
        <w:t xml:space="preserve"> is </w:t>
      </w:r>
      <w:r>
        <w:t>.</w:t>
      </w:r>
    </w:p>
    <w:p w:rsidR="00B46F2C" w:rsidRDefault="00B46F2C" w:rsidP="00F24CFC">
      <w:pPr>
        <w:rPr>
          <w:b/>
          <w:bCs/>
          <w:u w:val="single"/>
        </w:rPr>
      </w:pPr>
    </w:p>
    <w:p w:rsidR="00B46F2C" w:rsidRDefault="00B46F2C" w:rsidP="00F24CFC">
      <w:pPr>
        <w:rPr>
          <w:b/>
        </w:rPr>
      </w:pPr>
      <w:r>
        <w:rPr>
          <w:b/>
          <w:bCs/>
          <w:u w:val="single"/>
        </w:rPr>
        <w:t>If you are conducting a focus group, survey, or plan to employ statistical methods, please  provide answers to the following questions:</w:t>
      </w:r>
    </w:p>
    <w:p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2F474E" w:rsidRDefault="00B46F2C" w:rsidP="00E31C56">
      <w:r>
        <w:rPr>
          <w:b/>
        </w:rPr>
        <w:t xml:space="preserve">Administration of the Instrument:  </w:t>
      </w:r>
      <w:r>
        <w:t>Identify how the information will be collected.  More than one box may be checked.  Indicate whether there will be interviewers (e.g. for surveys) or facilitators (e.g., for focus groups) used.</w:t>
      </w:r>
    </w:p>
    <w:p w:rsidR="00CF356C" w:rsidRPr="001177BF" w:rsidRDefault="00B46F2C" w:rsidP="00E31C56">
      <w:pPr>
        <w:rPr>
          <w:b/>
        </w:rPr>
      </w:pPr>
      <w:r w:rsidRPr="00F24CFC">
        <w:rPr>
          <w:b/>
        </w:rPr>
        <w:t>Please make sure that all instruments, instructions, and</w:t>
      </w:r>
      <w:r w:rsidR="0069253D">
        <w:rPr>
          <w:b/>
        </w:rPr>
        <w:t xml:space="preserve"> scripts are submitted with the </w:t>
      </w:r>
      <w:r w:rsidRPr="00F24CFC">
        <w:rPr>
          <w:b/>
        </w:rPr>
        <w:t>request.</w:t>
      </w:r>
    </w:p>
    <w:sectPr w:rsidR="00CF356C" w:rsidRPr="001177BF"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5E3" w:rsidRDefault="008205E3">
      <w:r>
        <w:separator/>
      </w:r>
    </w:p>
  </w:endnote>
  <w:endnote w:type="continuationSeparator" w:id="0">
    <w:p w:rsidR="008205E3" w:rsidRDefault="0082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F2C" w:rsidRDefault="00D71221">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9002A3">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5E3" w:rsidRDefault="008205E3">
      <w:r>
        <w:separator/>
      </w:r>
    </w:p>
  </w:footnote>
  <w:footnote w:type="continuationSeparator" w:id="0">
    <w:p w:rsidR="008205E3" w:rsidRDefault="00820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96183"/>
    <w:multiLevelType w:val="multilevel"/>
    <w:tmpl w:val="40F4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A9A6DAC8"/>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624ACF"/>
    <w:multiLevelType w:val="hybridMultilevel"/>
    <w:tmpl w:val="6DC6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7613CC5"/>
    <w:multiLevelType w:val="hybridMultilevel"/>
    <w:tmpl w:val="883E2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15:restartNumberingAfterBreak="0">
    <w:nsid w:val="79881D1D"/>
    <w:multiLevelType w:val="hybridMultilevel"/>
    <w:tmpl w:val="A9A6DAC8"/>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8"/>
  </w:num>
  <w:num w:numId="4">
    <w:abstractNumId w:val="21"/>
  </w:num>
  <w:num w:numId="5">
    <w:abstractNumId w:val="4"/>
  </w:num>
  <w:num w:numId="6">
    <w:abstractNumId w:val="1"/>
  </w:num>
  <w:num w:numId="7">
    <w:abstractNumId w:val="9"/>
  </w:num>
  <w:num w:numId="8">
    <w:abstractNumId w:val="16"/>
  </w:num>
  <w:num w:numId="9">
    <w:abstractNumId w:val="10"/>
  </w:num>
  <w:num w:numId="10">
    <w:abstractNumId w:val="2"/>
  </w:num>
  <w:num w:numId="11">
    <w:abstractNumId w:val="7"/>
  </w:num>
  <w:num w:numId="12">
    <w:abstractNumId w:val="8"/>
  </w:num>
  <w:num w:numId="13">
    <w:abstractNumId w:val="0"/>
  </w:num>
  <w:num w:numId="14">
    <w:abstractNumId w:val="17"/>
  </w:num>
  <w:num w:numId="15">
    <w:abstractNumId w:val="14"/>
  </w:num>
  <w:num w:numId="16">
    <w:abstractNumId w:val="13"/>
  </w:num>
  <w:num w:numId="17">
    <w:abstractNumId w:val="5"/>
  </w:num>
  <w:num w:numId="18">
    <w:abstractNumId w:val="6"/>
  </w:num>
  <w:num w:numId="19">
    <w:abstractNumId w:val="3"/>
  </w:num>
  <w:num w:numId="20">
    <w:abstractNumId w:val="15"/>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18C2"/>
    <w:rsid w:val="00023A57"/>
    <w:rsid w:val="00047A64"/>
    <w:rsid w:val="00051500"/>
    <w:rsid w:val="00053116"/>
    <w:rsid w:val="00063AA1"/>
    <w:rsid w:val="00067329"/>
    <w:rsid w:val="00073073"/>
    <w:rsid w:val="000823F3"/>
    <w:rsid w:val="00085E32"/>
    <w:rsid w:val="000B2838"/>
    <w:rsid w:val="000B7AE5"/>
    <w:rsid w:val="000D44CA"/>
    <w:rsid w:val="000D4F46"/>
    <w:rsid w:val="000E200B"/>
    <w:rsid w:val="000E32FD"/>
    <w:rsid w:val="000F68BE"/>
    <w:rsid w:val="001177BF"/>
    <w:rsid w:val="00127A95"/>
    <w:rsid w:val="00150C67"/>
    <w:rsid w:val="00180A77"/>
    <w:rsid w:val="00191DE6"/>
    <w:rsid w:val="001927A4"/>
    <w:rsid w:val="00194AC6"/>
    <w:rsid w:val="001A23B0"/>
    <w:rsid w:val="001A25CC"/>
    <w:rsid w:val="001B0AAA"/>
    <w:rsid w:val="001B6AA0"/>
    <w:rsid w:val="001C39F7"/>
    <w:rsid w:val="001C653E"/>
    <w:rsid w:val="001C7969"/>
    <w:rsid w:val="001E2A41"/>
    <w:rsid w:val="001E7D7E"/>
    <w:rsid w:val="0020762B"/>
    <w:rsid w:val="00237B48"/>
    <w:rsid w:val="002420FD"/>
    <w:rsid w:val="0024521E"/>
    <w:rsid w:val="00262AE5"/>
    <w:rsid w:val="00263C3D"/>
    <w:rsid w:val="00274D0B"/>
    <w:rsid w:val="00280FA3"/>
    <w:rsid w:val="002821FF"/>
    <w:rsid w:val="002A1A4A"/>
    <w:rsid w:val="002A22D9"/>
    <w:rsid w:val="002B3C95"/>
    <w:rsid w:val="002D0B92"/>
    <w:rsid w:val="002E7DBB"/>
    <w:rsid w:val="002F474E"/>
    <w:rsid w:val="00337880"/>
    <w:rsid w:val="003604B1"/>
    <w:rsid w:val="00361D9A"/>
    <w:rsid w:val="00367393"/>
    <w:rsid w:val="003675DB"/>
    <w:rsid w:val="00380E2A"/>
    <w:rsid w:val="003C51CC"/>
    <w:rsid w:val="003D5BBE"/>
    <w:rsid w:val="003E31E6"/>
    <w:rsid w:val="003E3C61"/>
    <w:rsid w:val="003F1C5B"/>
    <w:rsid w:val="0041337D"/>
    <w:rsid w:val="00434E33"/>
    <w:rsid w:val="00441434"/>
    <w:rsid w:val="0045264C"/>
    <w:rsid w:val="004876EC"/>
    <w:rsid w:val="00492228"/>
    <w:rsid w:val="004C4672"/>
    <w:rsid w:val="004D6E14"/>
    <w:rsid w:val="004E4D09"/>
    <w:rsid w:val="004E5CEE"/>
    <w:rsid w:val="005009B0"/>
    <w:rsid w:val="005076FC"/>
    <w:rsid w:val="00512CA7"/>
    <w:rsid w:val="005138C1"/>
    <w:rsid w:val="005A1006"/>
    <w:rsid w:val="005B2D8C"/>
    <w:rsid w:val="005D19F0"/>
    <w:rsid w:val="005E714A"/>
    <w:rsid w:val="005E7D5B"/>
    <w:rsid w:val="006140A0"/>
    <w:rsid w:val="00623A4C"/>
    <w:rsid w:val="00627601"/>
    <w:rsid w:val="00636621"/>
    <w:rsid w:val="00642B49"/>
    <w:rsid w:val="006445BB"/>
    <w:rsid w:val="006832D9"/>
    <w:rsid w:val="006840B1"/>
    <w:rsid w:val="00687193"/>
    <w:rsid w:val="0069253D"/>
    <w:rsid w:val="0069403B"/>
    <w:rsid w:val="006A1D17"/>
    <w:rsid w:val="006A3CBF"/>
    <w:rsid w:val="006F3DDE"/>
    <w:rsid w:val="00704678"/>
    <w:rsid w:val="007166FD"/>
    <w:rsid w:val="007425E7"/>
    <w:rsid w:val="00742741"/>
    <w:rsid w:val="00802607"/>
    <w:rsid w:val="008101A5"/>
    <w:rsid w:val="008205E3"/>
    <w:rsid w:val="00822664"/>
    <w:rsid w:val="00843796"/>
    <w:rsid w:val="00851E09"/>
    <w:rsid w:val="00881BC7"/>
    <w:rsid w:val="00895229"/>
    <w:rsid w:val="008C3406"/>
    <w:rsid w:val="008C4FE1"/>
    <w:rsid w:val="008E022B"/>
    <w:rsid w:val="008E14FE"/>
    <w:rsid w:val="008F0203"/>
    <w:rsid w:val="008F50D4"/>
    <w:rsid w:val="009002A3"/>
    <w:rsid w:val="00910313"/>
    <w:rsid w:val="0091251B"/>
    <w:rsid w:val="009239AA"/>
    <w:rsid w:val="00935A5B"/>
    <w:rsid w:val="00935ADA"/>
    <w:rsid w:val="00940F02"/>
    <w:rsid w:val="00946B6C"/>
    <w:rsid w:val="00947615"/>
    <w:rsid w:val="00955A71"/>
    <w:rsid w:val="00957E40"/>
    <w:rsid w:val="0096108F"/>
    <w:rsid w:val="00980BFB"/>
    <w:rsid w:val="009840F7"/>
    <w:rsid w:val="00992E34"/>
    <w:rsid w:val="00997036"/>
    <w:rsid w:val="009C13B9"/>
    <w:rsid w:val="009C32B7"/>
    <w:rsid w:val="009D01A2"/>
    <w:rsid w:val="009D5672"/>
    <w:rsid w:val="009F5923"/>
    <w:rsid w:val="00A24099"/>
    <w:rsid w:val="00A32C25"/>
    <w:rsid w:val="00A403BB"/>
    <w:rsid w:val="00A674DF"/>
    <w:rsid w:val="00A70E37"/>
    <w:rsid w:val="00A83AA6"/>
    <w:rsid w:val="00AA5500"/>
    <w:rsid w:val="00AA5EE9"/>
    <w:rsid w:val="00AB00D0"/>
    <w:rsid w:val="00AC370A"/>
    <w:rsid w:val="00AC378E"/>
    <w:rsid w:val="00AC6DA8"/>
    <w:rsid w:val="00AE1809"/>
    <w:rsid w:val="00AE598A"/>
    <w:rsid w:val="00B02D82"/>
    <w:rsid w:val="00B20A65"/>
    <w:rsid w:val="00B27F27"/>
    <w:rsid w:val="00B37143"/>
    <w:rsid w:val="00B46F2C"/>
    <w:rsid w:val="00B62B60"/>
    <w:rsid w:val="00B80D76"/>
    <w:rsid w:val="00B85DEA"/>
    <w:rsid w:val="00BA09A4"/>
    <w:rsid w:val="00BA2105"/>
    <w:rsid w:val="00BA7E06"/>
    <w:rsid w:val="00BB43B5"/>
    <w:rsid w:val="00BB6219"/>
    <w:rsid w:val="00BD290F"/>
    <w:rsid w:val="00C14CC4"/>
    <w:rsid w:val="00C20FDC"/>
    <w:rsid w:val="00C33C52"/>
    <w:rsid w:val="00C40D8B"/>
    <w:rsid w:val="00C66D3C"/>
    <w:rsid w:val="00C8407A"/>
    <w:rsid w:val="00C8488C"/>
    <w:rsid w:val="00C86E91"/>
    <w:rsid w:val="00C9297E"/>
    <w:rsid w:val="00CA2650"/>
    <w:rsid w:val="00CA433A"/>
    <w:rsid w:val="00CB1078"/>
    <w:rsid w:val="00CC6FAF"/>
    <w:rsid w:val="00CC772D"/>
    <w:rsid w:val="00CE698D"/>
    <w:rsid w:val="00CF356C"/>
    <w:rsid w:val="00D0369D"/>
    <w:rsid w:val="00D07B89"/>
    <w:rsid w:val="00D16263"/>
    <w:rsid w:val="00D24698"/>
    <w:rsid w:val="00D26A4F"/>
    <w:rsid w:val="00D60771"/>
    <w:rsid w:val="00D6383F"/>
    <w:rsid w:val="00D71221"/>
    <w:rsid w:val="00D760DA"/>
    <w:rsid w:val="00D77C81"/>
    <w:rsid w:val="00D9518B"/>
    <w:rsid w:val="00DA0B0D"/>
    <w:rsid w:val="00DB2923"/>
    <w:rsid w:val="00DB59D0"/>
    <w:rsid w:val="00DC33D3"/>
    <w:rsid w:val="00DE4BA9"/>
    <w:rsid w:val="00DF3AEB"/>
    <w:rsid w:val="00E2098F"/>
    <w:rsid w:val="00E26329"/>
    <w:rsid w:val="00E31C56"/>
    <w:rsid w:val="00E40B50"/>
    <w:rsid w:val="00E46A2A"/>
    <w:rsid w:val="00E50293"/>
    <w:rsid w:val="00E65FFC"/>
    <w:rsid w:val="00E80951"/>
    <w:rsid w:val="00E81AB8"/>
    <w:rsid w:val="00E854FE"/>
    <w:rsid w:val="00E86CC6"/>
    <w:rsid w:val="00EA0C89"/>
    <w:rsid w:val="00EA435C"/>
    <w:rsid w:val="00EA6ECB"/>
    <w:rsid w:val="00EA73A8"/>
    <w:rsid w:val="00EB56B3"/>
    <w:rsid w:val="00ED6492"/>
    <w:rsid w:val="00EF1BD9"/>
    <w:rsid w:val="00EF2095"/>
    <w:rsid w:val="00F06866"/>
    <w:rsid w:val="00F15956"/>
    <w:rsid w:val="00F24CFC"/>
    <w:rsid w:val="00F3170F"/>
    <w:rsid w:val="00F4017B"/>
    <w:rsid w:val="00F53EC1"/>
    <w:rsid w:val="00F6140E"/>
    <w:rsid w:val="00F9224A"/>
    <w:rsid w:val="00F976B0"/>
    <w:rsid w:val="00FA1039"/>
    <w:rsid w:val="00FA23BE"/>
    <w:rsid w:val="00FA6DE7"/>
    <w:rsid w:val="00FB4C0E"/>
    <w:rsid w:val="00FC0A8E"/>
    <w:rsid w:val="00FD71F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0FF37FD2-F8FF-444A-B59A-BA32096B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98D"/>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 w:id="1646617965">
      <w:bodyDiv w:val="1"/>
      <w:marLeft w:val="0"/>
      <w:marRight w:val="0"/>
      <w:marTop w:val="0"/>
      <w:marBottom w:val="0"/>
      <w:divBdr>
        <w:top w:val="none" w:sz="0" w:space="0" w:color="auto"/>
        <w:left w:val="none" w:sz="0" w:space="0" w:color="auto"/>
        <w:bottom w:val="none" w:sz="0" w:space="0" w:color="auto"/>
        <w:right w:val="none" w:sz="0" w:space="0" w:color="auto"/>
      </w:divBdr>
      <w:divsChild>
        <w:div w:id="1610089375">
          <w:marLeft w:val="0"/>
          <w:marRight w:val="0"/>
          <w:marTop w:val="0"/>
          <w:marBottom w:val="0"/>
          <w:divBdr>
            <w:top w:val="none" w:sz="0" w:space="0" w:color="auto"/>
            <w:left w:val="none" w:sz="0" w:space="0" w:color="auto"/>
            <w:bottom w:val="none" w:sz="0" w:space="0" w:color="auto"/>
            <w:right w:val="none" w:sz="0" w:space="0" w:color="auto"/>
          </w:divBdr>
          <w:divsChild>
            <w:div w:id="128517513">
              <w:marLeft w:val="0"/>
              <w:marRight w:val="0"/>
              <w:marTop w:val="0"/>
              <w:marBottom w:val="0"/>
              <w:divBdr>
                <w:top w:val="none" w:sz="0" w:space="0" w:color="auto"/>
                <w:left w:val="none" w:sz="0" w:space="0" w:color="auto"/>
                <w:bottom w:val="none" w:sz="0" w:space="0" w:color="auto"/>
                <w:right w:val="none" w:sz="0" w:space="0" w:color="auto"/>
              </w:divBdr>
              <w:divsChild>
                <w:div w:id="1531529742">
                  <w:marLeft w:val="0"/>
                  <w:marRight w:val="0"/>
                  <w:marTop w:val="0"/>
                  <w:marBottom w:val="0"/>
                  <w:divBdr>
                    <w:top w:val="none" w:sz="0" w:space="0" w:color="auto"/>
                    <w:left w:val="none" w:sz="0" w:space="0" w:color="auto"/>
                    <w:bottom w:val="none" w:sz="0" w:space="0" w:color="auto"/>
                    <w:right w:val="none" w:sz="0" w:space="0" w:color="auto"/>
                  </w:divBdr>
                  <w:divsChild>
                    <w:div w:id="860364311">
                      <w:marLeft w:val="0"/>
                      <w:marRight w:val="0"/>
                      <w:marTop w:val="0"/>
                      <w:marBottom w:val="0"/>
                      <w:divBdr>
                        <w:top w:val="none" w:sz="0" w:space="0" w:color="auto"/>
                        <w:left w:val="none" w:sz="0" w:space="0" w:color="auto"/>
                        <w:bottom w:val="none" w:sz="0" w:space="0" w:color="auto"/>
                        <w:right w:val="none" w:sz="0" w:space="0" w:color="auto"/>
                      </w:divBdr>
                      <w:divsChild>
                        <w:div w:id="1221600330">
                          <w:marLeft w:val="0"/>
                          <w:marRight w:val="0"/>
                          <w:marTop w:val="0"/>
                          <w:marBottom w:val="0"/>
                          <w:divBdr>
                            <w:top w:val="none" w:sz="0" w:space="0" w:color="auto"/>
                            <w:left w:val="none" w:sz="0" w:space="0" w:color="auto"/>
                            <w:bottom w:val="none" w:sz="0" w:space="0" w:color="auto"/>
                            <w:right w:val="none" w:sz="0" w:space="0" w:color="auto"/>
                          </w:divBdr>
                          <w:divsChild>
                            <w:div w:id="524564225">
                              <w:marLeft w:val="0"/>
                              <w:marRight w:val="0"/>
                              <w:marTop w:val="0"/>
                              <w:marBottom w:val="0"/>
                              <w:divBdr>
                                <w:top w:val="none" w:sz="0" w:space="0" w:color="auto"/>
                                <w:left w:val="none" w:sz="0" w:space="0" w:color="auto"/>
                                <w:bottom w:val="none" w:sz="0" w:space="0" w:color="auto"/>
                                <w:right w:val="none" w:sz="0" w:space="0" w:color="auto"/>
                              </w:divBdr>
                              <w:divsChild>
                                <w:div w:id="767580290">
                                  <w:marLeft w:val="0"/>
                                  <w:marRight w:val="0"/>
                                  <w:marTop w:val="0"/>
                                  <w:marBottom w:val="0"/>
                                  <w:divBdr>
                                    <w:top w:val="none" w:sz="0" w:space="0" w:color="auto"/>
                                    <w:left w:val="none" w:sz="0" w:space="0" w:color="auto"/>
                                    <w:bottom w:val="none" w:sz="0" w:space="0" w:color="auto"/>
                                    <w:right w:val="none" w:sz="0" w:space="0" w:color="auto"/>
                                  </w:divBdr>
                                  <w:divsChild>
                                    <w:div w:id="1576621974">
                                      <w:marLeft w:val="0"/>
                                      <w:marRight w:val="0"/>
                                      <w:marTop w:val="0"/>
                                      <w:marBottom w:val="0"/>
                                      <w:divBdr>
                                        <w:top w:val="none" w:sz="0" w:space="0" w:color="auto"/>
                                        <w:left w:val="none" w:sz="0" w:space="0" w:color="auto"/>
                                        <w:bottom w:val="none" w:sz="0" w:space="0" w:color="auto"/>
                                        <w:right w:val="none" w:sz="0" w:space="0" w:color="auto"/>
                                      </w:divBdr>
                                      <w:divsChild>
                                        <w:div w:id="839269719">
                                          <w:marLeft w:val="0"/>
                                          <w:marRight w:val="0"/>
                                          <w:marTop w:val="0"/>
                                          <w:marBottom w:val="0"/>
                                          <w:divBdr>
                                            <w:top w:val="none" w:sz="0" w:space="0" w:color="auto"/>
                                            <w:left w:val="none" w:sz="0" w:space="0" w:color="auto"/>
                                            <w:bottom w:val="none" w:sz="0" w:space="0" w:color="auto"/>
                                            <w:right w:val="none" w:sz="0" w:space="0" w:color="auto"/>
                                          </w:divBdr>
                                          <w:divsChild>
                                            <w:div w:id="2110421028">
                                              <w:blockQuote w:val="1"/>
                                              <w:marLeft w:val="900"/>
                                              <w:marRight w:val="720"/>
                                              <w:marTop w:val="0"/>
                                              <w:marBottom w:val="100"/>
                                              <w:divBdr>
                                                <w:top w:val="none" w:sz="0" w:space="0" w:color="auto"/>
                                                <w:left w:val="none" w:sz="0" w:space="0" w:color="auto"/>
                                                <w:bottom w:val="none" w:sz="0" w:space="0" w:color="auto"/>
                                                <w:right w:val="none" w:sz="0" w:space="0" w:color="auto"/>
                                              </w:divBdr>
                                              <w:divsChild>
                                                <w:div w:id="8964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Steinberg, Shari (CDC/OD/OADS)</cp:lastModifiedBy>
  <cp:revision>3</cp:revision>
  <cp:lastPrinted>2010-10-04T16:59:00Z</cp:lastPrinted>
  <dcterms:created xsi:type="dcterms:W3CDTF">2016-03-02T18:49:00Z</dcterms:created>
  <dcterms:modified xsi:type="dcterms:W3CDTF">2016-03-03T16:03:00Z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