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93FB2">
        <w:rPr>
          <w:sz w:val="28"/>
        </w:rPr>
        <w:t>0920-0953</w:t>
      </w:r>
      <w:r>
        <w:rPr>
          <w:sz w:val="28"/>
        </w:rPr>
        <w:t>)</w:t>
      </w:r>
    </w:p>
    <w:p w:rsidR="00B46F2C" w:rsidRPr="009239AA" w:rsidRDefault="003B2BA0" w:rsidP="00434E33">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35D3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FC3DF9">
        <w:t>Total Worker Health Capacity Building Letter</w:t>
      </w:r>
    </w:p>
    <w:p w:rsidR="00B46F2C" w:rsidRDefault="00B46F2C"/>
    <w:p w:rsidR="00B46F2C" w:rsidRDefault="00B46F2C">
      <w:r>
        <w:rPr>
          <w:b/>
        </w:rPr>
        <w:t>PURPOSE</w:t>
      </w:r>
      <w:r w:rsidRPr="009239AA">
        <w:rPr>
          <w:b/>
        </w:rPr>
        <w:t xml:space="preserve">:  </w:t>
      </w:r>
    </w:p>
    <w:p w:rsidR="00B46F2C" w:rsidRDefault="00F36F92">
      <w:r>
        <w:t>The Centers for Disease Control and Prevention (CDC), National Institute for Occupational Safety and Health (NIOSH) seeks approval from the Office of Management and Bud</w:t>
      </w:r>
      <w:r w:rsidR="008F35CA">
        <w:t>get (OMB) to collect feedback from</w:t>
      </w:r>
      <w:r>
        <w:t xml:space="preserve"> a </w:t>
      </w:r>
      <w:r w:rsidR="008F35CA">
        <w:t>customer assessment</w:t>
      </w:r>
      <w:r w:rsidR="00F370BF">
        <w:t xml:space="preserve"> of academic </w:t>
      </w:r>
      <w:r>
        <w:t xml:space="preserve">Centers of Excellence and Affiliates to determine existing training approaches and programs in Total Worker Health </w:t>
      </w:r>
      <w:r w:rsidR="00F370BF">
        <w:t xml:space="preserve">that will help </w:t>
      </w:r>
      <w:r>
        <w:t xml:space="preserve">to identify training needs, required competencies, and future training materials. The attached questions will also be presented to participants of a 2017 training workshop and </w:t>
      </w:r>
      <w:r w:rsidR="00B701B8">
        <w:t>2018 symposium on T</w:t>
      </w:r>
      <w:r>
        <w:t>ot</w:t>
      </w:r>
      <w:r w:rsidR="00B701B8">
        <w:t>al Worker H</w:t>
      </w:r>
      <w:r>
        <w:t>ealth.</w:t>
      </w:r>
    </w:p>
    <w:p w:rsidR="00F36F92" w:rsidRDefault="00F36F92"/>
    <w:p w:rsidR="00B46F2C" w:rsidRDefault="00F36F92">
      <w:r w:rsidRPr="00F36F92">
        <w:t xml:space="preserve">A Total Worker Health approach is defined as policies, programs, and practices that integrate protection from work-related safety and health hazards with promotion of injury and illness prevention efforts to advance worker well-being, </w:t>
      </w:r>
      <w:hyperlink r:id="rId7" w:history="1">
        <w:r w:rsidR="003B2BA0" w:rsidRPr="004A738E">
          <w:rPr>
            <w:rStyle w:val="Hyperlink"/>
          </w:rPr>
          <w:t>http://www.cdc.gov/niosh/TWH/totalhealth.html</w:t>
        </w:r>
      </w:hyperlink>
      <w:r w:rsidR="003B2BA0">
        <w:t xml:space="preserve">. </w:t>
      </w:r>
      <w:r w:rsidRPr="00F36F92">
        <w:t xml:space="preserve"> </w:t>
      </w:r>
      <w:r w:rsidR="003B2BA0">
        <w:t xml:space="preserve"> </w:t>
      </w:r>
      <w:r w:rsidR="00D67DC9" w:rsidRPr="00D67DC9">
        <w:t xml:space="preserve">A Total Worker Health (TWH) approach prioritizes a hazard-free work environment for all workers. It also comprehensively brings together all workplace systems relevant to worker safety, health and well-being. Examples include: control of physical, biological, and psychosocial hazards and exposures; organization of work; compensation and benefits; built environment supports, and work-life integration. </w:t>
      </w:r>
      <w:r w:rsidR="00F370BF">
        <w:t xml:space="preserve"> </w:t>
      </w:r>
      <w:r w:rsidR="00F370BF" w:rsidRPr="00F370BF">
        <w:t>The Total Worker Health (TWH) approach advocates for a holistic understanding of the factors that contribute to worker well-being. Scientific evidence now supports what many safety and health professionals, as well as workers themselves, have long suspected—that risk factors in the workplace can contribute to health problems previously considered unrelated to work</w:t>
      </w:r>
      <w:r w:rsidRPr="00F36F92">
        <w:t xml:space="preserve">.  </w:t>
      </w:r>
    </w:p>
    <w:p w:rsidR="00D67DC9" w:rsidRDefault="00D67DC9"/>
    <w:p w:rsidR="00B46F2C" w:rsidRDefault="00F36F92">
      <w:r w:rsidRPr="00F36F92">
        <w:t>Overcoming these workplace challenges using a Total Worker Health approach will require not only more occupational safety and health professionals but also highly trained professionals with the knowledge, skills and abilities to identify complex issues and to develop and implement multi</w:t>
      </w:r>
      <w:r w:rsidR="00D67DC9">
        <w:t>disciplinary approaches</w:t>
      </w:r>
      <w:r w:rsidRPr="00F36F92">
        <w:t>.</w:t>
      </w:r>
      <w:r>
        <w:t xml:space="preserve">  </w:t>
      </w:r>
      <w:r w:rsidRPr="00F36F92">
        <w:t>A strategic goal of the NIOSH Total Worker Health® Program is to build capacity and equip occupational safety and health professionals with the skills and training to prevent worker injury and illness and to advance health and well-being.</w:t>
      </w:r>
    </w:p>
    <w:p w:rsidR="00410751" w:rsidRDefault="00410751"/>
    <w:p w:rsidR="00B46F2C" w:rsidRPr="003B2BA0" w:rsidRDefault="00410751" w:rsidP="003B2BA0">
      <w:r>
        <w:t xml:space="preserve">To ensure that current and future NIOSH </w:t>
      </w:r>
      <w:r w:rsidR="003B2BA0">
        <w:t xml:space="preserve">training products will satisfy our customers’ needs, NIOSH proposes to collect information on the number and types of TWH training programs currently being offered in an academic setting. </w:t>
      </w:r>
      <w:r>
        <w:t xml:space="preserve">The proposed questions to our academic partners will help to identify educational and training institutions who are currently integrating or planning on integrating TWH concepts into existing training and professional development programs and to facilitate a discussion </w:t>
      </w:r>
      <w:r w:rsidR="003B2BA0">
        <w:t>to identify</w:t>
      </w:r>
      <w:r>
        <w:t xml:space="preserve"> the knowledg</w:t>
      </w:r>
      <w:r w:rsidR="003B2BA0">
        <w:t xml:space="preserve">e, skills and abilities required to prevent </w:t>
      </w:r>
      <w:r w:rsidR="003B2BA0" w:rsidRPr="00F36F92">
        <w:t>work-related</w:t>
      </w:r>
      <w:r w:rsidR="003B2BA0">
        <w:t xml:space="preserve"> safety and health hazards, promote</w:t>
      </w:r>
      <w:r w:rsidR="003B2BA0" w:rsidRPr="00F36F92">
        <w:t xml:space="preserve"> injury and illness prevention efforts </w:t>
      </w:r>
      <w:r w:rsidR="003B2BA0">
        <w:t xml:space="preserve">and </w:t>
      </w:r>
      <w:r w:rsidR="003B2BA0" w:rsidRPr="00F36F92">
        <w:t>to advance worker well-being</w:t>
      </w:r>
      <w:r w:rsidR="00D67DC9">
        <w:t xml:space="preserve"> through training mater</w:t>
      </w:r>
      <w:r w:rsidR="00E53ABA">
        <w:t>ials, workshops, and symposia</w:t>
      </w:r>
      <w:r w:rsidR="00D67DC9">
        <w:t>.</w:t>
      </w:r>
    </w:p>
    <w:p w:rsidR="00B46F2C" w:rsidRDefault="00B46F2C" w:rsidP="00434E33">
      <w:pPr>
        <w:pStyle w:val="Header"/>
        <w:tabs>
          <w:tab w:val="clear" w:pos="4320"/>
          <w:tab w:val="clear" w:pos="8640"/>
        </w:tabs>
        <w:rPr>
          <w:b/>
        </w:rPr>
      </w:pPr>
    </w:p>
    <w:p w:rsidR="00B46F2C" w:rsidRPr="00434E33" w:rsidRDefault="00B46F2C" w:rsidP="00434E33">
      <w:pPr>
        <w:pStyle w:val="Header"/>
        <w:tabs>
          <w:tab w:val="clear" w:pos="4320"/>
          <w:tab w:val="clear" w:pos="8640"/>
        </w:tabs>
        <w:rPr>
          <w:i/>
        </w:rPr>
      </w:pPr>
      <w:r w:rsidRPr="00434E33">
        <w:rPr>
          <w:b/>
        </w:rPr>
        <w:t>DESCRIPTION OF RESPONDENTS</w:t>
      </w:r>
      <w:r>
        <w:t xml:space="preserve">: </w:t>
      </w:r>
    </w:p>
    <w:p w:rsidR="00B46F2C" w:rsidRDefault="00B46F2C"/>
    <w:p w:rsidR="00B46F2C" w:rsidRDefault="00992A5E">
      <w:r>
        <w:t>Respondents will be academic Centers of Excellence, Ed</w:t>
      </w:r>
      <w:r w:rsidR="00CB56C1">
        <w:t>ucational Research Centers,</w:t>
      </w:r>
      <w:r w:rsidR="00B800D8">
        <w:t xml:space="preserve"> </w:t>
      </w:r>
      <w:r w:rsidR="00CB56C1">
        <w:t>Training P</w:t>
      </w:r>
      <w:r>
        <w:t>rograms</w:t>
      </w:r>
      <w:r w:rsidR="00675233">
        <w:t xml:space="preserve">, and Affiliates </w:t>
      </w:r>
      <w:r w:rsidR="00CB56C1">
        <w:t>who are planning and/</w:t>
      </w:r>
      <w:r w:rsidR="00675233">
        <w:t xml:space="preserve">or </w:t>
      </w:r>
      <w:r w:rsidR="0041333B">
        <w:t xml:space="preserve">developing </w:t>
      </w:r>
      <w:r w:rsidR="00675233" w:rsidRPr="00675233">
        <w:t>TWH course</w:t>
      </w:r>
      <w:r w:rsidR="0041333B">
        <w:t>(s)</w:t>
      </w:r>
      <w:r w:rsidR="00675233" w:rsidRPr="00675233">
        <w:t>, certificate program, academic degree program, continuing education program, or incorporating TWH topics in existing courses or</w:t>
      </w:r>
      <w:r w:rsidR="00675233">
        <w:t xml:space="preserve"> seminars.  Responses to the</w:t>
      </w:r>
      <w:r w:rsidR="00675233" w:rsidRPr="00675233">
        <w:t xml:space="preserve"> train</w:t>
      </w:r>
      <w:r w:rsidR="00675233">
        <w:t xml:space="preserve">ing questions will facilitate </w:t>
      </w:r>
      <w:r w:rsidR="00675233" w:rsidRPr="00675233">
        <w:t xml:space="preserve">future </w:t>
      </w:r>
      <w:r w:rsidR="00675233">
        <w:lastRenderedPageBreak/>
        <w:t>workforce development discussions and planning subsequent educational</w:t>
      </w:r>
      <w:r w:rsidR="001B154D">
        <w:t xml:space="preserve"> workshops and symposia</w:t>
      </w:r>
      <w:r w:rsidR="00675233">
        <w:t>.</w:t>
      </w:r>
    </w:p>
    <w:p w:rsidR="00B46F2C" w:rsidRDefault="00B46F2C">
      <w:pPr>
        <w:rPr>
          <w:b/>
        </w:rPr>
      </w:pPr>
    </w:p>
    <w:p w:rsidR="00B46F2C" w:rsidRDefault="00B46F2C">
      <w:pPr>
        <w:rPr>
          <w:b/>
        </w:rPr>
      </w:pPr>
    </w:p>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Pr="00F06866" w:rsidRDefault="00B46F2C"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8D48A2">
        <w:rPr>
          <w:bCs/>
          <w:sz w:val="24"/>
        </w:rPr>
        <w:t>X</w:t>
      </w:r>
      <w:r>
        <w:rPr>
          <w:bCs/>
          <w:sz w:val="24"/>
        </w:rPr>
        <w:t xml:space="preserve"> </w:t>
      </w:r>
      <w:r w:rsidRPr="00F06866">
        <w:rPr>
          <w:bCs/>
          <w:sz w:val="24"/>
        </w:rPr>
        <w:t>]</w:t>
      </w:r>
      <w:r>
        <w:rPr>
          <w:bCs/>
          <w:sz w:val="24"/>
        </w:rPr>
        <w:t xml:space="preserve"> Other</w:t>
      </w:r>
      <w:r w:rsidRPr="008D48A2">
        <w:rPr>
          <w:bCs/>
          <w:sz w:val="24"/>
        </w:rPr>
        <w:t>:</w:t>
      </w:r>
      <w:r w:rsidR="00B17858" w:rsidRPr="008D48A2">
        <w:rPr>
          <w:bCs/>
          <w:sz w:val="24"/>
        </w:rPr>
        <w:t xml:space="preserve"> Customer Training Survey</w:t>
      </w:r>
    </w:p>
    <w:p w:rsidR="00B46F2C" w:rsidRDefault="00B46F2C">
      <w:pPr>
        <w:pStyle w:val="Header"/>
        <w:tabs>
          <w:tab w:val="clear" w:pos="4320"/>
          <w:tab w:val="clear" w:pos="8640"/>
        </w:tabs>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8D48A2" w:rsidP="009C13B9">
      <w:r>
        <w:t>Name: Adele Childress, PhD, MSPH</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Is personally identifiable information (PII) collected?  [  ] Yes  [</w:t>
      </w:r>
      <w:r w:rsidR="00CE3725">
        <w:t>X</w:t>
      </w:r>
      <w:r>
        <w:t xml:space="preserve"> ]  No </w:t>
      </w:r>
    </w:p>
    <w:p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rsidR="00B46F2C" w:rsidRDefault="00B46F2C" w:rsidP="00C86E91">
      <w:pPr>
        <w:pStyle w:val="ListParagraph"/>
        <w:numPr>
          <w:ilvl w:val="0"/>
          <w:numId w:val="18"/>
        </w:numPr>
      </w:pPr>
      <w:r>
        <w:t xml:space="preserve">If Applicable, has a System or Records Notice been published?  [  ] Yes  [ </w:t>
      </w:r>
      <w:r w:rsidR="00CE3725">
        <w:t>X</w:t>
      </w:r>
      <w:r>
        <w:t xml:space="preserve"> ] No</w:t>
      </w:r>
    </w:p>
    <w:p w:rsidR="00B46F2C" w:rsidRPr="00C86E91" w:rsidRDefault="00B46F2C" w:rsidP="00C86E91">
      <w:pPr>
        <w:pStyle w:val="ListParagraph"/>
        <w:ind w:left="0"/>
        <w:rPr>
          <w:b/>
        </w:rPr>
      </w:pPr>
      <w:r>
        <w:rPr>
          <w:b/>
        </w:rPr>
        <w:t>Gifts or Payments:</w:t>
      </w:r>
    </w:p>
    <w:p w:rsidR="00B46F2C" w:rsidRDefault="00B46F2C" w:rsidP="00C86E91">
      <w:r>
        <w:t xml:space="preserve">Is an incentive (e.g., money or reimbursement of expenses, token of appreciation) provided to participants?  [  ] Yes [ </w:t>
      </w:r>
      <w:r w:rsidR="00CE3725">
        <w:t>X</w:t>
      </w:r>
      <w:r>
        <w:t xml:space="preserve"> ] No  </w:t>
      </w:r>
    </w:p>
    <w:p w:rsidR="00B46F2C" w:rsidRDefault="00B46F2C">
      <w:pPr>
        <w:rPr>
          <w:b/>
        </w:rPr>
      </w:pPr>
    </w:p>
    <w:p w:rsidR="00B46F2C" w:rsidRDefault="00B46F2C">
      <w:pPr>
        <w:rPr>
          <w:b/>
        </w:rPr>
      </w:pPr>
    </w:p>
    <w:p w:rsidR="00B46F2C" w:rsidRDefault="00B46F2C" w:rsidP="00C86E91">
      <w:pPr>
        <w:rPr>
          <w:i/>
        </w:rPr>
      </w:pPr>
      <w:r>
        <w:rPr>
          <w:b/>
        </w:rPr>
        <w:t>BURDEN HOURS</w:t>
      </w:r>
      <w:r>
        <w:t xml:space="preserve"> </w:t>
      </w:r>
    </w:p>
    <w:p w:rsidR="00B46F2C" w:rsidRPr="006832D9" w:rsidRDefault="00B46F2C" w:rsidP="00F3170F">
      <w:pPr>
        <w:keepNext/>
        <w:keepLines/>
        <w:rPr>
          <w:b/>
        </w:rPr>
      </w:pPr>
    </w:p>
    <w:tbl>
      <w:tblPr>
        <w:tblW w:w="11371" w:type="dxa"/>
        <w:tblInd w:w="-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710"/>
        <w:gridCol w:w="1003"/>
      </w:tblGrid>
      <w:tr w:rsidR="00375EFB" w:rsidTr="00375EFB">
        <w:trPr>
          <w:trHeight w:val="274"/>
        </w:trPr>
        <w:tc>
          <w:tcPr>
            <w:tcW w:w="5418" w:type="dxa"/>
          </w:tcPr>
          <w:p w:rsidR="00375EFB" w:rsidRPr="00512CA7" w:rsidRDefault="00375EFB" w:rsidP="00C8488C">
            <w:pPr>
              <w:rPr>
                <w:b/>
              </w:rPr>
            </w:pPr>
            <w:r>
              <w:rPr>
                <w:b/>
              </w:rPr>
              <w:t>Type of Respondents</w:t>
            </w:r>
            <w:r w:rsidRPr="00512CA7">
              <w:rPr>
                <w:b/>
              </w:rPr>
              <w:t xml:space="preserve"> </w:t>
            </w:r>
          </w:p>
        </w:tc>
        <w:tc>
          <w:tcPr>
            <w:tcW w:w="1530" w:type="dxa"/>
          </w:tcPr>
          <w:p w:rsidR="00375EFB" w:rsidRPr="00512CA7" w:rsidRDefault="00375EFB" w:rsidP="00843796">
            <w:pPr>
              <w:rPr>
                <w:b/>
              </w:rPr>
            </w:pPr>
            <w:r w:rsidRPr="00512CA7">
              <w:rPr>
                <w:b/>
              </w:rPr>
              <w:t>No. of Respondents</w:t>
            </w:r>
          </w:p>
        </w:tc>
        <w:tc>
          <w:tcPr>
            <w:tcW w:w="1710" w:type="dxa"/>
          </w:tcPr>
          <w:p w:rsidR="00375EFB" w:rsidRDefault="00375EFB" w:rsidP="00843796">
            <w:pPr>
              <w:rPr>
                <w:b/>
              </w:rPr>
            </w:pPr>
            <w:r w:rsidRPr="00375EFB">
              <w:rPr>
                <w:b/>
              </w:rPr>
              <w:t>No. of Respon</w:t>
            </w:r>
            <w:r>
              <w:rPr>
                <w:b/>
              </w:rPr>
              <w:t>ses per Respondent</w:t>
            </w:r>
          </w:p>
        </w:tc>
        <w:tc>
          <w:tcPr>
            <w:tcW w:w="1710" w:type="dxa"/>
          </w:tcPr>
          <w:p w:rsidR="00375EFB" w:rsidRPr="00512CA7" w:rsidRDefault="00375EFB" w:rsidP="00843796">
            <w:pPr>
              <w:rPr>
                <w:b/>
              </w:rPr>
            </w:pPr>
            <w:r>
              <w:rPr>
                <w:b/>
              </w:rPr>
              <w:t>Avg. Burden per Response (in hours)</w:t>
            </w:r>
          </w:p>
        </w:tc>
        <w:tc>
          <w:tcPr>
            <w:tcW w:w="1003" w:type="dxa"/>
          </w:tcPr>
          <w:p w:rsidR="00375EFB" w:rsidRDefault="00375EFB" w:rsidP="00843796">
            <w:pPr>
              <w:rPr>
                <w:b/>
              </w:rPr>
            </w:pPr>
            <w:r>
              <w:rPr>
                <w:b/>
              </w:rPr>
              <w:t xml:space="preserve">Total </w:t>
            </w:r>
            <w:r w:rsidRPr="00512CA7">
              <w:rPr>
                <w:b/>
              </w:rPr>
              <w:t>Burden</w:t>
            </w:r>
          </w:p>
          <w:p w:rsidR="00375EFB" w:rsidRPr="00512CA7" w:rsidRDefault="00375EFB" w:rsidP="00843796">
            <w:pPr>
              <w:rPr>
                <w:b/>
              </w:rPr>
            </w:pPr>
            <w:r>
              <w:rPr>
                <w:b/>
              </w:rPr>
              <w:t>Hours</w:t>
            </w:r>
          </w:p>
        </w:tc>
      </w:tr>
      <w:tr w:rsidR="00375EFB" w:rsidTr="00375EFB">
        <w:trPr>
          <w:trHeight w:val="274"/>
        </w:trPr>
        <w:tc>
          <w:tcPr>
            <w:tcW w:w="5418" w:type="dxa"/>
          </w:tcPr>
          <w:p w:rsidR="00375EFB" w:rsidRDefault="00375EFB" w:rsidP="00843796">
            <w:r>
              <w:t>Professors/Teachers</w:t>
            </w:r>
          </w:p>
        </w:tc>
        <w:tc>
          <w:tcPr>
            <w:tcW w:w="1530" w:type="dxa"/>
          </w:tcPr>
          <w:p w:rsidR="00375EFB" w:rsidRDefault="00375EFB" w:rsidP="00843796">
            <w:r>
              <w:t xml:space="preserve">  55</w:t>
            </w:r>
          </w:p>
        </w:tc>
        <w:tc>
          <w:tcPr>
            <w:tcW w:w="1710" w:type="dxa"/>
          </w:tcPr>
          <w:p w:rsidR="00375EFB" w:rsidRDefault="00375EFB" w:rsidP="00843796">
            <w:r>
              <w:t>1</w:t>
            </w:r>
          </w:p>
        </w:tc>
        <w:tc>
          <w:tcPr>
            <w:tcW w:w="1710" w:type="dxa"/>
          </w:tcPr>
          <w:p w:rsidR="00375EFB" w:rsidRDefault="00375EFB" w:rsidP="00843796">
            <w:r>
              <w:t>5/60</w:t>
            </w:r>
          </w:p>
        </w:tc>
        <w:tc>
          <w:tcPr>
            <w:tcW w:w="1003" w:type="dxa"/>
          </w:tcPr>
          <w:p w:rsidR="00375EFB" w:rsidRDefault="00375EFB" w:rsidP="00843796">
            <w:r>
              <w:t>5</w:t>
            </w:r>
          </w:p>
        </w:tc>
      </w:tr>
      <w:tr w:rsidR="00375EFB" w:rsidTr="00375EFB">
        <w:trPr>
          <w:trHeight w:val="274"/>
        </w:trPr>
        <w:tc>
          <w:tcPr>
            <w:tcW w:w="5418" w:type="dxa"/>
          </w:tcPr>
          <w:p w:rsidR="00375EFB" w:rsidRDefault="00375EFB" w:rsidP="00843796">
            <w:r>
              <w:t xml:space="preserve">TWH Workshop </w:t>
            </w:r>
          </w:p>
        </w:tc>
        <w:tc>
          <w:tcPr>
            <w:tcW w:w="1530" w:type="dxa"/>
          </w:tcPr>
          <w:p w:rsidR="00375EFB" w:rsidRDefault="00375EFB" w:rsidP="00843796">
            <w:r>
              <w:t xml:space="preserve">  60</w:t>
            </w:r>
          </w:p>
        </w:tc>
        <w:tc>
          <w:tcPr>
            <w:tcW w:w="1710" w:type="dxa"/>
          </w:tcPr>
          <w:p w:rsidR="00375EFB" w:rsidRDefault="00375EFB" w:rsidP="00843796">
            <w:r>
              <w:t>1</w:t>
            </w:r>
          </w:p>
        </w:tc>
        <w:tc>
          <w:tcPr>
            <w:tcW w:w="1710" w:type="dxa"/>
          </w:tcPr>
          <w:p w:rsidR="00375EFB" w:rsidRDefault="00375EFB" w:rsidP="00843796">
            <w:r>
              <w:t xml:space="preserve">5/60 </w:t>
            </w:r>
          </w:p>
        </w:tc>
        <w:tc>
          <w:tcPr>
            <w:tcW w:w="1003" w:type="dxa"/>
          </w:tcPr>
          <w:p w:rsidR="00375EFB" w:rsidRDefault="00375EFB" w:rsidP="00843796">
            <w:r>
              <w:t>5</w:t>
            </w:r>
          </w:p>
        </w:tc>
      </w:tr>
      <w:tr w:rsidR="00375EFB" w:rsidTr="00375EFB">
        <w:trPr>
          <w:trHeight w:val="274"/>
        </w:trPr>
        <w:tc>
          <w:tcPr>
            <w:tcW w:w="5418" w:type="dxa"/>
          </w:tcPr>
          <w:p w:rsidR="00375EFB" w:rsidRDefault="00375EFB" w:rsidP="00843796">
            <w:r>
              <w:t>TWH Symposium</w:t>
            </w:r>
          </w:p>
        </w:tc>
        <w:tc>
          <w:tcPr>
            <w:tcW w:w="1530" w:type="dxa"/>
          </w:tcPr>
          <w:p w:rsidR="00375EFB" w:rsidRDefault="00375EFB" w:rsidP="00843796">
            <w:r>
              <w:t>100</w:t>
            </w:r>
          </w:p>
        </w:tc>
        <w:tc>
          <w:tcPr>
            <w:tcW w:w="1710" w:type="dxa"/>
          </w:tcPr>
          <w:p w:rsidR="00375EFB" w:rsidRDefault="00375EFB" w:rsidP="00843796">
            <w:r>
              <w:t>1</w:t>
            </w:r>
          </w:p>
        </w:tc>
        <w:tc>
          <w:tcPr>
            <w:tcW w:w="1710" w:type="dxa"/>
          </w:tcPr>
          <w:p w:rsidR="00375EFB" w:rsidRDefault="00375EFB" w:rsidP="00843796">
            <w:r>
              <w:t xml:space="preserve">5/60 </w:t>
            </w:r>
          </w:p>
        </w:tc>
        <w:tc>
          <w:tcPr>
            <w:tcW w:w="1003" w:type="dxa"/>
          </w:tcPr>
          <w:p w:rsidR="00375EFB" w:rsidRDefault="00375EFB" w:rsidP="00843796">
            <w:r>
              <w:t>8</w:t>
            </w:r>
          </w:p>
        </w:tc>
      </w:tr>
      <w:tr w:rsidR="00375EFB" w:rsidTr="00375EFB">
        <w:trPr>
          <w:trHeight w:val="274"/>
        </w:trPr>
        <w:tc>
          <w:tcPr>
            <w:tcW w:w="5418" w:type="dxa"/>
          </w:tcPr>
          <w:p w:rsidR="00375EFB" w:rsidRDefault="00375EFB" w:rsidP="00843796">
            <w:r>
              <w:t>Professional affiliates</w:t>
            </w:r>
          </w:p>
        </w:tc>
        <w:tc>
          <w:tcPr>
            <w:tcW w:w="1530" w:type="dxa"/>
          </w:tcPr>
          <w:p w:rsidR="00375EFB" w:rsidRDefault="00375EFB" w:rsidP="00843796">
            <w:r>
              <w:t xml:space="preserve">  20</w:t>
            </w:r>
          </w:p>
        </w:tc>
        <w:tc>
          <w:tcPr>
            <w:tcW w:w="1710" w:type="dxa"/>
          </w:tcPr>
          <w:p w:rsidR="00375EFB" w:rsidRDefault="00375EFB" w:rsidP="00843796">
            <w:r>
              <w:t>1</w:t>
            </w:r>
          </w:p>
        </w:tc>
        <w:tc>
          <w:tcPr>
            <w:tcW w:w="1710" w:type="dxa"/>
          </w:tcPr>
          <w:p w:rsidR="00375EFB" w:rsidRDefault="00375EFB" w:rsidP="00843796">
            <w:r>
              <w:t>5/60</w:t>
            </w:r>
          </w:p>
        </w:tc>
        <w:tc>
          <w:tcPr>
            <w:tcW w:w="1003" w:type="dxa"/>
          </w:tcPr>
          <w:p w:rsidR="00375EFB" w:rsidRDefault="00375EFB" w:rsidP="00843796">
            <w:r>
              <w:t>2</w:t>
            </w:r>
          </w:p>
        </w:tc>
      </w:tr>
      <w:tr w:rsidR="00375EFB" w:rsidTr="0028141E">
        <w:trPr>
          <w:trHeight w:val="289"/>
        </w:trPr>
        <w:tc>
          <w:tcPr>
            <w:tcW w:w="11371" w:type="dxa"/>
            <w:gridSpan w:val="5"/>
          </w:tcPr>
          <w:p w:rsidR="00375EFB" w:rsidRPr="00512CA7" w:rsidRDefault="00375EFB" w:rsidP="00843796">
            <w:pPr>
              <w:rPr>
                <w:b/>
              </w:rPr>
            </w:pPr>
            <w:r>
              <w:rPr>
                <w:b/>
              </w:rPr>
              <w:t>Total                                                                                                                                                                   20</w:t>
            </w:r>
          </w:p>
        </w:tc>
      </w:tr>
    </w:tbl>
    <w:p w:rsidR="00B46F2C" w:rsidRDefault="00B46F2C" w:rsidP="00F3170F"/>
    <w:p w:rsidR="00B46F2C" w:rsidRDefault="00B46F2C" w:rsidP="00F3170F"/>
    <w:p w:rsidR="00B46F2C" w:rsidRDefault="00B46F2C">
      <w:pPr>
        <w:rPr>
          <w:b/>
        </w:rPr>
      </w:pPr>
      <w:r>
        <w:rPr>
          <w:b/>
        </w:rPr>
        <w:lastRenderedPageBreak/>
        <w:t xml:space="preserve">FEDERAL COST:  </w:t>
      </w:r>
      <w:r>
        <w:t>The estimated annual cost</w:t>
      </w:r>
      <w:r w:rsidR="00810B8C">
        <w:t xml:space="preserve"> to the Federal government is </w:t>
      </w:r>
      <w:r w:rsidR="00D873B1">
        <w:t>$200.00 (personnel time)</w:t>
      </w:r>
    </w:p>
    <w:p w:rsidR="00B46F2C" w:rsidRDefault="00B46F2C">
      <w:pPr>
        <w:rPr>
          <w:b/>
          <w:bCs/>
          <w:u w:val="single"/>
        </w:rPr>
      </w:pPr>
    </w:p>
    <w:p w:rsidR="00B46F2C" w:rsidRDefault="00B46F2C" w:rsidP="00F06866">
      <w:pPr>
        <w:rPr>
          <w:b/>
        </w:rPr>
      </w:pPr>
      <w:r>
        <w:rPr>
          <w:b/>
          <w:bCs/>
          <w:u w:val="single"/>
        </w:rPr>
        <w:t>If you are conducting a focus group, survey, or plan to employ statistical methods, please  provide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ml:space="preserve">[ </w:t>
      </w:r>
      <w:r w:rsidR="00B800D8">
        <w:t>X</w:t>
      </w:r>
      <w:r>
        <w:t>] Yes</w:t>
      </w:r>
      <w:r>
        <w:tab/>
        <w:t>[ ] No</w:t>
      </w:r>
    </w:p>
    <w:p w:rsidR="00B46F2C" w:rsidRDefault="00B46F2C" w:rsidP="00636621">
      <w:pPr>
        <w:pStyle w:val="ListParagraph"/>
      </w:pPr>
    </w:p>
    <w:p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6314F6" w:rsidRDefault="006314F6" w:rsidP="00A403BB">
      <w:pPr>
        <w:pStyle w:val="ListParagraph"/>
      </w:pPr>
    </w:p>
    <w:p w:rsidR="006314F6" w:rsidRDefault="006314F6" w:rsidP="00A403BB">
      <w:r>
        <w:t>Participation will be completely voluntary and respondents will receive no monetary incentive for participation.</w:t>
      </w:r>
    </w:p>
    <w:p w:rsidR="00B46F2C" w:rsidRDefault="00B800D8" w:rsidP="00A403BB">
      <w:r>
        <w:t>The respondents will be selected from</w:t>
      </w:r>
      <w:r w:rsidRPr="00B800D8">
        <w:t xml:space="preserve"> </w:t>
      </w:r>
      <w:r>
        <w:t xml:space="preserve">academic Centers of Excellence, Educational Research Centers, Training Programs, and Affiliates who currently partner with NIOSH.  Workshop participants will be selected from that list as well. Symposium respondents will be offered the questionnaire and selected from participants of a workshop, colloquium or breakout session devoted to TWH training and professional development. </w:t>
      </w:r>
    </w:p>
    <w:p w:rsidR="00B46F2C" w:rsidRDefault="00B46F2C" w:rsidP="00A403BB"/>
    <w:p w:rsidR="00895266" w:rsidRDefault="00895266" w:rsidP="00A403BB">
      <w:r>
        <w:t xml:space="preserve">Specifically, </w:t>
      </w:r>
    </w:p>
    <w:p w:rsidR="00B46F2C" w:rsidRDefault="00895266" w:rsidP="00895266">
      <w:pPr>
        <w:pStyle w:val="ListParagraph"/>
        <w:numPr>
          <w:ilvl w:val="0"/>
          <w:numId w:val="19"/>
        </w:numPr>
      </w:pPr>
      <w:r>
        <w:t xml:space="preserve">An </w:t>
      </w:r>
      <w:r w:rsidR="006314F6" w:rsidRPr="00895266">
        <w:t xml:space="preserve">introductory letter and </w:t>
      </w:r>
      <w:r>
        <w:t xml:space="preserve">the </w:t>
      </w:r>
      <w:r w:rsidR="006314F6" w:rsidRPr="00895266">
        <w:t xml:space="preserve">questionnaire will be sent to each participant from an email list </w:t>
      </w:r>
      <w:r w:rsidRPr="00895266">
        <w:t xml:space="preserve">available </w:t>
      </w:r>
      <w:r>
        <w:t>at NIOSH or paper copies will be distributed to workshop and symposium participants</w:t>
      </w:r>
    </w:p>
    <w:p w:rsidR="00895266" w:rsidRDefault="00895266" w:rsidP="00895266">
      <w:pPr>
        <w:pStyle w:val="ListParagraph"/>
        <w:numPr>
          <w:ilvl w:val="0"/>
          <w:numId w:val="19"/>
        </w:numPr>
      </w:pPr>
      <w:r>
        <w:t>The questionnaire will take up to 5 minutes to complete</w:t>
      </w:r>
    </w:p>
    <w:p w:rsidR="00895266" w:rsidRPr="00895266" w:rsidRDefault="00895266" w:rsidP="00895266">
      <w:pPr>
        <w:pStyle w:val="ListParagraph"/>
        <w:numPr>
          <w:ilvl w:val="0"/>
          <w:numId w:val="19"/>
        </w:numPr>
      </w:pPr>
      <w:r>
        <w:t>Respondents will email the results to the address provided or provide to the chairperson at the end of the training workshop or symposium.</w:t>
      </w:r>
    </w:p>
    <w:p w:rsidR="00895266" w:rsidRDefault="00895266" w:rsidP="00A403BB">
      <w:pPr>
        <w:rPr>
          <w:b/>
        </w:rPr>
      </w:pPr>
    </w:p>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B46F2C" w:rsidP="001B0AAA">
      <w:pPr>
        <w:ind w:left="720"/>
      </w:pPr>
      <w:r>
        <w:t xml:space="preserve">[  ] Web-based or other forms of Social Media </w:t>
      </w:r>
    </w:p>
    <w:p w:rsidR="00B46F2C" w:rsidRDefault="00B46F2C" w:rsidP="001B0AAA">
      <w:pPr>
        <w:ind w:left="720"/>
      </w:pPr>
      <w:r>
        <w:t>[  ] Telephone</w:t>
      </w:r>
      <w:r>
        <w:tab/>
      </w:r>
    </w:p>
    <w:p w:rsidR="00B46F2C" w:rsidRDefault="008142EC" w:rsidP="001B0AAA">
      <w:pPr>
        <w:ind w:left="720"/>
      </w:pPr>
      <w:r>
        <w:t>[X</w:t>
      </w:r>
      <w:r w:rsidR="00B46F2C">
        <w:t>] In-person</w:t>
      </w:r>
      <w:r w:rsidR="00B46F2C">
        <w:tab/>
      </w:r>
    </w:p>
    <w:p w:rsidR="00B46F2C" w:rsidRDefault="00B46F2C" w:rsidP="001B0AAA">
      <w:pPr>
        <w:ind w:left="720"/>
      </w:pPr>
      <w:r>
        <w:t>[</w:t>
      </w:r>
      <w:r w:rsidR="008142EC">
        <w:t>X</w:t>
      </w:r>
      <w:r>
        <w:t xml:space="preserve">] Mail </w:t>
      </w:r>
      <w:r w:rsidR="008142EC">
        <w:t xml:space="preserve"> E-mail</w:t>
      </w:r>
    </w:p>
    <w:p w:rsidR="00B73C8B" w:rsidRDefault="00B46F2C" w:rsidP="001B0AAA">
      <w:pPr>
        <w:ind w:left="720"/>
      </w:pPr>
      <w:r>
        <w:t>[  ] Other, Explain</w:t>
      </w:r>
      <w:r w:rsidR="00B73C8B">
        <w:t xml:space="preserve"> </w:t>
      </w:r>
    </w:p>
    <w:p w:rsidR="00B46F2C" w:rsidRDefault="00B46F2C" w:rsidP="00F24CFC">
      <w:pPr>
        <w:pStyle w:val="ListParagraph"/>
        <w:numPr>
          <w:ilvl w:val="0"/>
          <w:numId w:val="17"/>
        </w:numPr>
      </w:pPr>
      <w:r>
        <w:t xml:space="preserve">Will interviewers or facilitators be used?  [  ] Yes [ </w:t>
      </w:r>
      <w:r w:rsidR="00B73C8B">
        <w:t>X</w:t>
      </w:r>
      <w:r>
        <w:t xml:space="preserve"> ] No</w:t>
      </w:r>
    </w:p>
    <w:p w:rsidR="00B46F2C" w:rsidRDefault="00B46F2C" w:rsidP="00F24CFC">
      <w:pPr>
        <w:pStyle w:val="ListParagraph"/>
        <w:ind w:left="360"/>
      </w:pPr>
      <w:r>
        <w:t xml:space="preserve"> </w:t>
      </w:r>
    </w:p>
    <w:sectPr w:rsidR="00B46F2C"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B64" w:rsidRDefault="00EB3B64">
      <w:r>
        <w:separator/>
      </w:r>
    </w:p>
  </w:endnote>
  <w:endnote w:type="continuationSeparator" w:id="0">
    <w:p w:rsidR="00EB3B64" w:rsidRDefault="00EB3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F2C" w:rsidRDefault="00D71221">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3C71DB">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B64" w:rsidRDefault="00EB3B64">
      <w:r>
        <w:separator/>
      </w:r>
    </w:p>
  </w:footnote>
  <w:footnote w:type="continuationSeparator" w:id="0">
    <w:p w:rsidR="00EB3B64" w:rsidRDefault="00EB3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EC174E2"/>
    <w:multiLevelType w:val="hybridMultilevel"/>
    <w:tmpl w:val="F8E4E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3D08"/>
    <w:rsid w:val="00023A57"/>
    <w:rsid w:val="00047A64"/>
    <w:rsid w:val="00067329"/>
    <w:rsid w:val="00093FB2"/>
    <w:rsid w:val="000B2838"/>
    <w:rsid w:val="000D44CA"/>
    <w:rsid w:val="000E200B"/>
    <w:rsid w:val="000F68BE"/>
    <w:rsid w:val="001927A4"/>
    <w:rsid w:val="00194AC6"/>
    <w:rsid w:val="001A23B0"/>
    <w:rsid w:val="001A25CC"/>
    <w:rsid w:val="001B0AAA"/>
    <w:rsid w:val="001B154D"/>
    <w:rsid w:val="001C39F7"/>
    <w:rsid w:val="002036C7"/>
    <w:rsid w:val="002052AF"/>
    <w:rsid w:val="00237B48"/>
    <w:rsid w:val="0024521E"/>
    <w:rsid w:val="00263C3D"/>
    <w:rsid w:val="00274D0B"/>
    <w:rsid w:val="002821FF"/>
    <w:rsid w:val="002B3C95"/>
    <w:rsid w:val="002D0B92"/>
    <w:rsid w:val="00300D28"/>
    <w:rsid w:val="003675DB"/>
    <w:rsid w:val="00375EFB"/>
    <w:rsid w:val="003B2BA0"/>
    <w:rsid w:val="003C71DB"/>
    <w:rsid w:val="003D5BBE"/>
    <w:rsid w:val="003E3C61"/>
    <w:rsid w:val="003F1C5B"/>
    <w:rsid w:val="003F3B89"/>
    <w:rsid w:val="00410751"/>
    <w:rsid w:val="0041333B"/>
    <w:rsid w:val="0041337D"/>
    <w:rsid w:val="00434E33"/>
    <w:rsid w:val="00441434"/>
    <w:rsid w:val="0045264C"/>
    <w:rsid w:val="004876EC"/>
    <w:rsid w:val="004B04BA"/>
    <w:rsid w:val="004D6E14"/>
    <w:rsid w:val="005009B0"/>
    <w:rsid w:val="00512CA7"/>
    <w:rsid w:val="005413F9"/>
    <w:rsid w:val="005A1006"/>
    <w:rsid w:val="005E3856"/>
    <w:rsid w:val="005E714A"/>
    <w:rsid w:val="006140A0"/>
    <w:rsid w:val="006314F6"/>
    <w:rsid w:val="00636621"/>
    <w:rsid w:val="00642B49"/>
    <w:rsid w:val="00675233"/>
    <w:rsid w:val="006832D9"/>
    <w:rsid w:val="0069403B"/>
    <w:rsid w:val="006F3DDE"/>
    <w:rsid w:val="00704678"/>
    <w:rsid w:val="007425E7"/>
    <w:rsid w:val="00802607"/>
    <w:rsid w:val="008101A5"/>
    <w:rsid w:val="00810B8C"/>
    <w:rsid w:val="008142EC"/>
    <w:rsid w:val="00822664"/>
    <w:rsid w:val="00843796"/>
    <w:rsid w:val="00895229"/>
    <w:rsid w:val="00895266"/>
    <w:rsid w:val="008D48A2"/>
    <w:rsid w:val="008F0203"/>
    <w:rsid w:val="008F35CA"/>
    <w:rsid w:val="008F50D4"/>
    <w:rsid w:val="009239AA"/>
    <w:rsid w:val="00935ADA"/>
    <w:rsid w:val="00946B6C"/>
    <w:rsid w:val="00955A71"/>
    <w:rsid w:val="0096108F"/>
    <w:rsid w:val="00992A5E"/>
    <w:rsid w:val="009C13B9"/>
    <w:rsid w:val="009D01A2"/>
    <w:rsid w:val="009F5923"/>
    <w:rsid w:val="00A37213"/>
    <w:rsid w:val="00A403BB"/>
    <w:rsid w:val="00A674DF"/>
    <w:rsid w:val="00A83AA6"/>
    <w:rsid w:val="00AE1809"/>
    <w:rsid w:val="00B17858"/>
    <w:rsid w:val="00B46F2C"/>
    <w:rsid w:val="00B701B8"/>
    <w:rsid w:val="00B73C8B"/>
    <w:rsid w:val="00B800D8"/>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B56C1"/>
    <w:rsid w:val="00CC6FAF"/>
    <w:rsid w:val="00CE3725"/>
    <w:rsid w:val="00D24698"/>
    <w:rsid w:val="00D56FFD"/>
    <w:rsid w:val="00D6383F"/>
    <w:rsid w:val="00D67DC9"/>
    <w:rsid w:val="00D71221"/>
    <w:rsid w:val="00D873B1"/>
    <w:rsid w:val="00DB59D0"/>
    <w:rsid w:val="00DC33D3"/>
    <w:rsid w:val="00E26329"/>
    <w:rsid w:val="00E40B50"/>
    <w:rsid w:val="00E50293"/>
    <w:rsid w:val="00E53ABA"/>
    <w:rsid w:val="00E65FFC"/>
    <w:rsid w:val="00E80951"/>
    <w:rsid w:val="00E854FE"/>
    <w:rsid w:val="00E86CC6"/>
    <w:rsid w:val="00EB3B64"/>
    <w:rsid w:val="00EB56B3"/>
    <w:rsid w:val="00ED6492"/>
    <w:rsid w:val="00EF2095"/>
    <w:rsid w:val="00F06866"/>
    <w:rsid w:val="00F15956"/>
    <w:rsid w:val="00F24CFC"/>
    <w:rsid w:val="00F3170F"/>
    <w:rsid w:val="00F318C1"/>
    <w:rsid w:val="00F36F92"/>
    <w:rsid w:val="00F370BF"/>
    <w:rsid w:val="00F4017B"/>
    <w:rsid w:val="00F63677"/>
    <w:rsid w:val="00F976B0"/>
    <w:rsid w:val="00FA6DE7"/>
    <w:rsid w:val="00FC0A8E"/>
    <w:rsid w:val="00FC3DF9"/>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FE765D1-1A62-4A21-BE1E-52650B071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3B2B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dc.gov/niosh/TWH/totalhealth.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Foley, Tamekia (CDC/NIOSH/OD)</cp:lastModifiedBy>
  <cp:revision>2</cp:revision>
  <cp:lastPrinted>2010-10-04T16:59:00Z</cp:lastPrinted>
  <dcterms:created xsi:type="dcterms:W3CDTF">2016-03-31T20:27:00Z</dcterms:created>
  <dcterms:modified xsi:type="dcterms:W3CDTF">2016-03-31T20:27:00Z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