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0E" w:rsidRDefault="00BC3C01" w:rsidP="00F83B0E">
      <w:pPr>
        <w:pStyle w:val="C2-CtrSglSp"/>
        <w:rPr>
          <w:rFonts w:ascii="Franklin Gothic Medium" w:hAnsi="Franklin Gothic Medium"/>
          <w:b/>
          <w:sz w:val="40"/>
          <w:szCs w:val="40"/>
        </w:rPr>
      </w:pPr>
      <w:r w:rsidRPr="00A2734E">
        <w:rPr>
          <w:rFonts w:ascii="Franklin Gothic Medium" w:hAnsi="Franklin Gothic Medium"/>
          <w:b/>
          <w:sz w:val="40"/>
          <w:szCs w:val="40"/>
        </w:rPr>
        <w:t>Supporting Statement A</w:t>
      </w:r>
      <w:r w:rsidRPr="00A2734E">
        <w:rPr>
          <w:rFonts w:ascii="Franklin Gothic Medium" w:hAnsi="Franklin Gothic Medium"/>
          <w:b/>
          <w:sz w:val="40"/>
          <w:szCs w:val="40"/>
        </w:rPr>
        <w:br/>
      </w:r>
      <w:r w:rsidR="00376092" w:rsidRPr="00A2734E">
        <w:rPr>
          <w:rFonts w:ascii="Franklin Gothic Medium" w:hAnsi="Franklin Gothic Medium"/>
          <w:b/>
          <w:sz w:val="40"/>
          <w:szCs w:val="40"/>
        </w:rPr>
        <w:t>for</w:t>
      </w:r>
      <w:r w:rsidRPr="00A2734E">
        <w:rPr>
          <w:rFonts w:ascii="Franklin Gothic Medium" w:hAnsi="Franklin Gothic Medium"/>
          <w:b/>
          <w:sz w:val="40"/>
          <w:szCs w:val="40"/>
        </w:rPr>
        <w:br/>
        <w:t>Population Assessment of</w:t>
      </w:r>
      <w:r w:rsidRPr="00A2734E">
        <w:rPr>
          <w:rFonts w:ascii="Franklin Gothic Medium" w:hAnsi="Franklin Gothic Medium"/>
          <w:b/>
          <w:sz w:val="40"/>
          <w:szCs w:val="40"/>
        </w:rPr>
        <w:br/>
      </w:r>
      <w:r w:rsidR="00027C3F" w:rsidRPr="00A2734E">
        <w:rPr>
          <w:rFonts w:ascii="Franklin Gothic Medium" w:hAnsi="Franklin Gothic Medium"/>
          <w:b/>
          <w:sz w:val="40"/>
          <w:szCs w:val="40"/>
        </w:rPr>
        <w:t>Tobacco and Health</w:t>
      </w:r>
      <w:r w:rsidR="00C80A95" w:rsidRPr="00A2734E">
        <w:rPr>
          <w:rFonts w:ascii="Franklin Gothic Medium" w:hAnsi="Franklin Gothic Medium"/>
          <w:b/>
          <w:sz w:val="40"/>
          <w:szCs w:val="40"/>
        </w:rPr>
        <w:t xml:space="preserve"> (PATH) </w:t>
      </w:r>
      <w:r w:rsidR="00027C3F" w:rsidRPr="00A2734E">
        <w:rPr>
          <w:rFonts w:ascii="Franklin Gothic Medium" w:hAnsi="Franklin Gothic Medium"/>
          <w:b/>
          <w:sz w:val="40"/>
          <w:szCs w:val="40"/>
        </w:rPr>
        <w:t>Study</w:t>
      </w:r>
      <w:r w:rsidR="009E524B" w:rsidRPr="00A2734E">
        <w:rPr>
          <w:rFonts w:ascii="Franklin Gothic Medium" w:hAnsi="Franklin Gothic Medium"/>
          <w:b/>
          <w:sz w:val="40"/>
          <w:szCs w:val="40"/>
        </w:rPr>
        <w:t xml:space="preserve"> </w:t>
      </w:r>
      <w:r w:rsidR="009C4FA4" w:rsidRPr="00A2734E">
        <w:rPr>
          <w:rFonts w:ascii="Franklin Gothic Medium" w:hAnsi="Franklin Gothic Medium"/>
          <w:b/>
          <w:sz w:val="40"/>
          <w:szCs w:val="40"/>
        </w:rPr>
        <w:t>(NIDA)</w:t>
      </w:r>
      <w:r w:rsidR="00F83B0E">
        <w:rPr>
          <w:rFonts w:ascii="Franklin Gothic Medium" w:hAnsi="Franklin Gothic Medium"/>
          <w:b/>
          <w:sz w:val="40"/>
          <w:szCs w:val="40"/>
        </w:rPr>
        <w:t xml:space="preserve"> -</w:t>
      </w:r>
    </w:p>
    <w:p w:rsidR="00376092" w:rsidRPr="00A2734E" w:rsidRDefault="00F83B0E" w:rsidP="00F83B0E">
      <w:pPr>
        <w:pStyle w:val="C2-CtrSglSp"/>
        <w:rPr>
          <w:rFonts w:ascii="Franklin Gothic Medium" w:hAnsi="Franklin Gothic Medium"/>
          <w:b/>
          <w:sz w:val="40"/>
          <w:szCs w:val="40"/>
        </w:rPr>
      </w:pPr>
      <w:r>
        <w:rPr>
          <w:rFonts w:ascii="Franklin Gothic Medium" w:hAnsi="Franklin Gothic Medium"/>
          <w:b/>
          <w:sz w:val="40"/>
          <w:szCs w:val="40"/>
        </w:rPr>
        <w:t xml:space="preserve">Second Wave of </w:t>
      </w:r>
      <w:r w:rsidR="007E0EAB">
        <w:rPr>
          <w:rFonts w:ascii="Franklin Gothic Medium" w:hAnsi="Franklin Gothic Medium"/>
          <w:b/>
          <w:sz w:val="40"/>
          <w:szCs w:val="40"/>
        </w:rPr>
        <w:t>Data Collection</w:t>
      </w:r>
    </w:p>
    <w:p w:rsidR="00376092" w:rsidRPr="00A2734E" w:rsidRDefault="00376092" w:rsidP="00F83B0E">
      <w:pPr>
        <w:pStyle w:val="C2-CtrSglSp"/>
        <w:rPr>
          <w:rFonts w:ascii="Franklin Gothic Medium" w:hAnsi="Franklin Gothic Medium"/>
          <w:sz w:val="40"/>
          <w:szCs w:val="40"/>
        </w:rPr>
      </w:pPr>
    </w:p>
    <w:p w:rsidR="00BC3C01" w:rsidRPr="00A2734E" w:rsidRDefault="00BC3C01" w:rsidP="00BC3C01">
      <w:pPr>
        <w:pStyle w:val="C2-CtrSglSp"/>
        <w:rPr>
          <w:rFonts w:ascii="Franklin Gothic Medium" w:hAnsi="Franklin Gothic Medium"/>
          <w:b/>
          <w:sz w:val="40"/>
          <w:szCs w:val="40"/>
        </w:rPr>
      </w:pPr>
    </w:p>
    <w:p w:rsidR="00BC3C01" w:rsidRPr="00A2734E" w:rsidRDefault="00BC3C01" w:rsidP="00BC3C01">
      <w:pPr>
        <w:pStyle w:val="C2-CtrSglSp"/>
        <w:rPr>
          <w:rFonts w:ascii="Franklin Gothic Medium" w:hAnsi="Franklin Gothic Medium"/>
          <w:b/>
          <w:sz w:val="40"/>
          <w:szCs w:val="40"/>
        </w:rPr>
      </w:pPr>
    </w:p>
    <w:p w:rsidR="00BC3C01" w:rsidRPr="00A2734E" w:rsidRDefault="00BC3C01" w:rsidP="00BC3C01">
      <w:pPr>
        <w:pStyle w:val="C2-CtrSglSp"/>
        <w:rPr>
          <w:rFonts w:ascii="Franklin Gothic Medium" w:hAnsi="Franklin Gothic Medium"/>
          <w:b/>
          <w:sz w:val="40"/>
          <w:szCs w:val="40"/>
        </w:rPr>
      </w:pPr>
    </w:p>
    <w:p w:rsidR="00376092" w:rsidRPr="00F51D8A" w:rsidRDefault="00F51D8A" w:rsidP="00BC3C01">
      <w:pPr>
        <w:pStyle w:val="Heading1"/>
        <w:jc w:val="center"/>
        <w:rPr>
          <w:color w:val="auto"/>
        </w:rPr>
      </w:pPr>
      <w:r>
        <w:rPr>
          <w:color w:val="auto"/>
          <w:lang w:val="en-US"/>
        </w:rPr>
        <w:t>Revised May 7, 2015</w:t>
      </w:r>
    </w:p>
    <w:p w:rsidR="00BC3C01" w:rsidRPr="00A2734E" w:rsidRDefault="00BC3C01" w:rsidP="00BC3C01">
      <w:pPr>
        <w:pStyle w:val="L1-FlLSp12"/>
      </w:pPr>
    </w:p>
    <w:p w:rsidR="00BC3C01" w:rsidRPr="00A2734E" w:rsidRDefault="00BC3C01" w:rsidP="00BC3C01">
      <w:pPr>
        <w:pStyle w:val="L1-FlLSp12"/>
      </w:pPr>
    </w:p>
    <w:p w:rsidR="00BC3C01" w:rsidRPr="00A2734E" w:rsidRDefault="00BC3C01" w:rsidP="00BC3C01">
      <w:pPr>
        <w:pStyle w:val="L1-FlLSp12"/>
      </w:pPr>
    </w:p>
    <w:p w:rsidR="00BC3C01" w:rsidRPr="00A2734E" w:rsidRDefault="00BC3C01" w:rsidP="00BC3C01">
      <w:pPr>
        <w:pStyle w:val="L1-FlLSp12"/>
      </w:pPr>
    </w:p>
    <w:p w:rsidR="00F335C3" w:rsidRPr="00A2734E" w:rsidRDefault="00F335C3" w:rsidP="00BC3C01">
      <w:pPr>
        <w:pStyle w:val="L1-FlLSp12"/>
      </w:pPr>
    </w:p>
    <w:p w:rsidR="00F335C3" w:rsidRPr="00A2734E" w:rsidRDefault="00F335C3" w:rsidP="00BC3C01">
      <w:pPr>
        <w:pStyle w:val="L1-FlLSp12"/>
      </w:pPr>
    </w:p>
    <w:p w:rsidR="00F335C3" w:rsidRPr="00A2734E" w:rsidRDefault="00F335C3" w:rsidP="00BC3C01">
      <w:pPr>
        <w:pStyle w:val="L1-FlLSp12"/>
      </w:pPr>
    </w:p>
    <w:p w:rsidR="00F335C3" w:rsidRPr="00A2734E" w:rsidRDefault="00F335C3" w:rsidP="00BC3C01">
      <w:pPr>
        <w:pStyle w:val="L1-FlLSp12"/>
      </w:pPr>
    </w:p>
    <w:p w:rsidR="00B543B5" w:rsidRPr="00A2734E" w:rsidRDefault="00B543B5" w:rsidP="00BC3C01">
      <w:pPr>
        <w:pStyle w:val="L1-FlLSp12"/>
      </w:pPr>
    </w:p>
    <w:p w:rsidR="00B543B5" w:rsidRPr="00A2734E" w:rsidRDefault="00B543B5" w:rsidP="00BC3C01">
      <w:pPr>
        <w:pStyle w:val="L1-FlLSp12"/>
      </w:pPr>
    </w:p>
    <w:p w:rsidR="00B543B5" w:rsidRPr="00A2734E" w:rsidRDefault="00B543B5" w:rsidP="00BC3C01">
      <w:pPr>
        <w:pStyle w:val="L1-FlLSp12"/>
      </w:pPr>
    </w:p>
    <w:p w:rsidR="00BC3C01" w:rsidRPr="00A2734E" w:rsidRDefault="00BC3C01" w:rsidP="00BC3C01">
      <w:pPr>
        <w:pStyle w:val="L1-FlLSp12"/>
      </w:pPr>
    </w:p>
    <w:p w:rsidR="00BC3C01" w:rsidRPr="00A2734E" w:rsidRDefault="00BC3C01" w:rsidP="00BC3C01">
      <w:pPr>
        <w:pStyle w:val="L1-FlLSp12"/>
      </w:pPr>
    </w:p>
    <w:p w:rsidR="001411D9" w:rsidRPr="00A2734E" w:rsidRDefault="001411D9" w:rsidP="00BC3C01">
      <w:pPr>
        <w:pStyle w:val="SL-FlLftSgl"/>
        <w:rPr>
          <w:rFonts w:ascii="Franklin Gothic Medium" w:hAnsi="Franklin Gothic Medium"/>
          <w:b/>
        </w:rPr>
      </w:pPr>
      <w:r w:rsidRPr="00A2734E">
        <w:rPr>
          <w:rFonts w:ascii="Franklin Gothic Medium" w:hAnsi="Franklin Gothic Medium"/>
          <w:b/>
        </w:rPr>
        <w:t>Submitted by:</w:t>
      </w:r>
    </w:p>
    <w:p w:rsidR="001411D9" w:rsidRPr="00A2734E" w:rsidRDefault="000210B9" w:rsidP="00BC3C01">
      <w:pPr>
        <w:pStyle w:val="SL-FlLftSgl"/>
        <w:rPr>
          <w:rFonts w:ascii="Franklin Gothic Medium" w:hAnsi="Franklin Gothic Medium"/>
        </w:rPr>
      </w:pPr>
      <w:r w:rsidRPr="00A2734E">
        <w:rPr>
          <w:rFonts w:ascii="Franklin Gothic Medium" w:hAnsi="Franklin Gothic Medium"/>
        </w:rPr>
        <w:t>Kevin P. Conway, Ph.D.</w:t>
      </w:r>
    </w:p>
    <w:p w:rsidR="000210B9" w:rsidRPr="00A2734E" w:rsidRDefault="000210B9" w:rsidP="00BC3C01">
      <w:pPr>
        <w:pStyle w:val="SL-FlLftSgl"/>
        <w:rPr>
          <w:rFonts w:ascii="Franklin Gothic Medium" w:hAnsi="Franklin Gothic Medium"/>
        </w:rPr>
      </w:pPr>
      <w:r w:rsidRPr="00A2734E">
        <w:rPr>
          <w:rFonts w:ascii="Franklin Gothic Medium" w:hAnsi="Franklin Gothic Medium"/>
        </w:rPr>
        <w:t>Deputy Director</w:t>
      </w:r>
    </w:p>
    <w:p w:rsidR="000210B9" w:rsidRPr="00A2734E" w:rsidRDefault="000210B9" w:rsidP="00BC3C01">
      <w:pPr>
        <w:pStyle w:val="SL-FlLftSgl"/>
        <w:rPr>
          <w:rFonts w:ascii="Franklin Gothic Medium" w:hAnsi="Franklin Gothic Medium"/>
        </w:rPr>
      </w:pPr>
      <w:r w:rsidRPr="00A2734E">
        <w:rPr>
          <w:rFonts w:ascii="Franklin Gothic Medium" w:hAnsi="Franklin Gothic Medium"/>
        </w:rPr>
        <w:t>Division of Epidemiology, Services, and Prevention Research</w:t>
      </w:r>
    </w:p>
    <w:p w:rsidR="001411D9" w:rsidRPr="00A2734E" w:rsidRDefault="001411D9" w:rsidP="00BC3C01">
      <w:pPr>
        <w:pStyle w:val="SL-FlLftSgl"/>
        <w:rPr>
          <w:rFonts w:ascii="Franklin Gothic Medium" w:hAnsi="Franklin Gothic Medium"/>
        </w:rPr>
      </w:pPr>
      <w:r w:rsidRPr="00A2734E">
        <w:rPr>
          <w:rFonts w:ascii="Franklin Gothic Medium" w:hAnsi="Franklin Gothic Medium"/>
        </w:rPr>
        <w:t>National Institute on Drug Abuse</w:t>
      </w:r>
    </w:p>
    <w:p w:rsidR="000210B9" w:rsidRPr="00A2734E" w:rsidRDefault="000210B9" w:rsidP="00BC3C01">
      <w:pPr>
        <w:pStyle w:val="SL-FlLftSgl"/>
        <w:rPr>
          <w:rFonts w:ascii="Franklin Gothic Medium" w:hAnsi="Franklin Gothic Medium"/>
        </w:rPr>
      </w:pPr>
      <w:r w:rsidRPr="00A2734E">
        <w:rPr>
          <w:rFonts w:ascii="Franklin Gothic Medium" w:hAnsi="Franklin Gothic Medium"/>
        </w:rPr>
        <w:t>6001 Executive Blvd., R</w:t>
      </w:r>
      <w:r w:rsidR="003F578A" w:rsidRPr="00A2734E">
        <w:rPr>
          <w:rFonts w:ascii="Franklin Gothic Medium" w:hAnsi="Franklin Gothic Medium"/>
        </w:rPr>
        <w:t>oo</w:t>
      </w:r>
      <w:r w:rsidRPr="00A2734E">
        <w:rPr>
          <w:rFonts w:ascii="Franklin Gothic Medium" w:hAnsi="Franklin Gothic Medium"/>
        </w:rPr>
        <w:t>m 5185</w:t>
      </w:r>
    </w:p>
    <w:p w:rsidR="003F578A" w:rsidRPr="00A2734E" w:rsidRDefault="003F578A" w:rsidP="00BC3C01">
      <w:pPr>
        <w:pStyle w:val="SL-FlLftSgl"/>
        <w:rPr>
          <w:rFonts w:ascii="Franklin Gothic Medium" w:hAnsi="Franklin Gothic Medium"/>
        </w:rPr>
      </w:pPr>
      <w:r w:rsidRPr="00A2734E">
        <w:rPr>
          <w:rFonts w:ascii="Franklin Gothic Medium" w:hAnsi="Franklin Gothic Medium"/>
        </w:rPr>
        <w:t>Rockville, MD 20852</w:t>
      </w:r>
    </w:p>
    <w:p w:rsidR="001411D9" w:rsidRPr="00A2734E" w:rsidRDefault="00A4594B" w:rsidP="00BC3C01">
      <w:pPr>
        <w:pStyle w:val="SL-FlLftSgl"/>
        <w:rPr>
          <w:rFonts w:ascii="Franklin Gothic Medium" w:hAnsi="Franklin Gothic Medium"/>
        </w:rPr>
      </w:pPr>
      <w:r w:rsidRPr="00A2734E">
        <w:rPr>
          <w:rFonts w:ascii="Franklin Gothic Medium" w:hAnsi="Franklin Gothic Medium"/>
        </w:rPr>
        <w:t xml:space="preserve">Phone: </w:t>
      </w:r>
      <w:r w:rsidR="00D867FE" w:rsidRPr="00A2734E">
        <w:rPr>
          <w:rFonts w:ascii="Franklin Gothic Medium" w:hAnsi="Franklin Gothic Medium"/>
        </w:rPr>
        <w:t>301-443-8755</w:t>
      </w:r>
    </w:p>
    <w:p w:rsidR="00BF28DB" w:rsidRPr="00A2734E" w:rsidRDefault="00A4594B" w:rsidP="00BC3C01">
      <w:pPr>
        <w:pStyle w:val="SL-FlLftSgl"/>
        <w:rPr>
          <w:rFonts w:ascii="Franklin Gothic Medium" w:hAnsi="Franklin Gothic Medium"/>
        </w:rPr>
      </w:pPr>
      <w:r w:rsidRPr="00A2734E">
        <w:rPr>
          <w:rFonts w:ascii="Franklin Gothic Medium" w:hAnsi="Franklin Gothic Medium"/>
        </w:rPr>
        <w:t xml:space="preserve">Email: </w:t>
      </w:r>
      <w:hyperlink r:id="rId20" w:history="1">
        <w:r w:rsidRPr="00A2734E">
          <w:rPr>
            <w:rFonts w:ascii="Franklin Gothic Medium" w:hAnsi="Franklin Gothic Medium"/>
          </w:rPr>
          <w:t>PATHprojectofficer@mail.nih.gov</w:t>
        </w:r>
      </w:hyperlink>
    </w:p>
    <w:p w:rsidR="001411D9" w:rsidRPr="00A2734E" w:rsidRDefault="001411D9" w:rsidP="00BC3C01">
      <w:pPr>
        <w:pStyle w:val="SL-FlLftSgl"/>
      </w:pPr>
    </w:p>
    <w:p w:rsidR="00D56771" w:rsidRDefault="00D56771">
      <w:pPr>
        <w:spacing w:line="240" w:lineRule="auto"/>
        <w:rPr>
          <w:b/>
        </w:rPr>
        <w:sectPr w:rsidR="00D56771" w:rsidSect="00DB6E10">
          <w:pgSz w:w="12240" w:h="15840"/>
          <w:pgMar w:top="1440" w:right="1440" w:bottom="1440" w:left="1440" w:header="720" w:footer="576" w:gutter="0"/>
          <w:pgNumType w:fmt="lowerRoman" w:start="1"/>
          <w:cols w:space="720"/>
          <w:docGrid w:linePitch="360"/>
        </w:sectPr>
      </w:pPr>
    </w:p>
    <w:p w:rsidR="002F7ABC" w:rsidRPr="00A2734E" w:rsidRDefault="006657C8" w:rsidP="00470DCB">
      <w:pPr>
        <w:pStyle w:val="TC-TableofContentsHeading"/>
      </w:pPr>
      <w:r w:rsidRPr="00A2734E">
        <w:lastRenderedPageBreak/>
        <w:t>Table of Contents</w:t>
      </w:r>
    </w:p>
    <w:p w:rsidR="006657C8" w:rsidRPr="00A2734E" w:rsidRDefault="00BC3C01" w:rsidP="00BC3C01">
      <w:pPr>
        <w:pStyle w:val="T0-ChapPgHd"/>
      </w:pPr>
      <w:r w:rsidRPr="00A2734E">
        <w:t>Section</w:t>
      </w:r>
      <w:r w:rsidRPr="00A2734E">
        <w:tab/>
        <w:t>Page</w:t>
      </w:r>
    </w:p>
    <w:p w:rsidR="00BC3C01" w:rsidRPr="00A2734E" w:rsidRDefault="00BC3C01" w:rsidP="00BC3C01">
      <w:pPr>
        <w:pStyle w:val="T0-ChapPgHd"/>
      </w:pPr>
    </w:p>
    <w:p w:rsidR="00C17FE8" w:rsidRPr="00C17FE8" w:rsidRDefault="00C17FE8" w:rsidP="00C17FE8">
      <w:pPr>
        <w:pStyle w:val="TOC1"/>
      </w:pPr>
      <w:r w:rsidRPr="00FA17BC">
        <w:t>A.</w:t>
      </w:r>
      <w:r w:rsidRPr="00C17FE8">
        <w:tab/>
      </w:r>
      <w:r w:rsidRPr="00FA17BC">
        <w:t>Justification</w:t>
      </w:r>
      <w:r w:rsidRPr="00FA17BC">
        <w:tab/>
      </w:r>
      <w:r>
        <w:tab/>
      </w:r>
      <w:r w:rsidRPr="00FA17BC">
        <w:t>1</w:t>
      </w:r>
    </w:p>
    <w:p w:rsidR="00C17FE8" w:rsidRDefault="00C17FE8" w:rsidP="00C17FE8">
      <w:pPr>
        <w:pStyle w:val="TOC2"/>
      </w:pPr>
    </w:p>
    <w:p w:rsidR="00C17FE8" w:rsidRPr="0023016A" w:rsidRDefault="00C17FE8" w:rsidP="00C17FE8">
      <w:pPr>
        <w:pStyle w:val="TOC2"/>
      </w:pPr>
      <w:r w:rsidRPr="0023016A">
        <w:t>A.1</w:t>
      </w:r>
      <w:r w:rsidRPr="0023016A">
        <w:tab/>
        <w:t>Circumstances Making Collection of Information Necessary</w:t>
      </w:r>
      <w:r w:rsidRPr="0023016A">
        <w:tab/>
      </w:r>
      <w:r w:rsidRPr="0023016A">
        <w:tab/>
      </w:r>
      <w:r w:rsidR="00975236">
        <w:t>1</w:t>
      </w:r>
    </w:p>
    <w:p w:rsidR="00C17FE8" w:rsidRPr="0023016A" w:rsidRDefault="00C17FE8" w:rsidP="00C17FE8">
      <w:pPr>
        <w:pStyle w:val="TOC2"/>
      </w:pPr>
      <w:r w:rsidRPr="0023016A">
        <w:t>A.2</w:t>
      </w:r>
      <w:r w:rsidRPr="0023016A">
        <w:tab/>
        <w:t>Purpose and Use of the Information Collection</w:t>
      </w:r>
      <w:r w:rsidRPr="0023016A">
        <w:tab/>
      </w:r>
      <w:r w:rsidRPr="0023016A">
        <w:tab/>
      </w:r>
      <w:r w:rsidR="00975236">
        <w:t>3</w:t>
      </w:r>
    </w:p>
    <w:p w:rsidR="00C17FE8" w:rsidRPr="0023016A" w:rsidRDefault="00C17FE8" w:rsidP="00C17FE8">
      <w:pPr>
        <w:pStyle w:val="TOC2"/>
      </w:pPr>
      <w:r w:rsidRPr="0023016A">
        <w:t>A.3</w:t>
      </w:r>
      <w:r w:rsidRPr="0023016A">
        <w:tab/>
        <w:t>Use of Information Technology and Burden Reduction</w:t>
      </w:r>
      <w:r w:rsidRPr="0023016A">
        <w:tab/>
      </w:r>
      <w:r w:rsidRPr="0023016A">
        <w:tab/>
      </w:r>
      <w:r w:rsidR="00587463">
        <w:t>14</w:t>
      </w:r>
    </w:p>
    <w:p w:rsidR="00C17FE8" w:rsidRPr="0023016A" w:rsidRDefault="00C17FE8" w:rsidP="00C17FE8">
      <w:pPr>
        <w:pStyle w:val="TOC2"/>
      </w:pPr>
      <w:r w:rsidRPr="0023016A">
        <w:t>A.4</w:t>
      </w:r>
      <w:r w:rsidRPr="0023016A">
        <w:tab/>
        <w:t>Efforts to Identify Duplication and Use of Similar</w:t>
      </w:r>
      <w:r w:rsidR="00975236">
        <w:t xml:space="preserve"> </w:t>
      </w:r>
      <w:r w:rsidRPr="0023016A">
        <w:t>Information</w:t>
      </w:r>
      <w:r w:rsidRPr="0023016A">
        <w:tab/>
      </w:r>
      <w:r w:rsidRPr="0023016A">
        <w:tab/>
      </w:r>
      <w:r w:rsidR="00587463">
        <w:t>15</w:t>
      </w:r>
    </w:p>
    <w:p w:rsidR="00C17FE8" w:rsidRPr="0023016A" w:rsidRDefault="00C17FE8" w:rsidP="00C17FE8">
      <w:pPr>
        <w:pStyle w:val="TOC2"/>
      </w:pPr>
      <w:r w:rsidRPr="0023016A">
        <w:t>A.5</w:t>
      </w:r>
      <w:r w:rsidRPr="0023016A">
        <w:tab/>
        <w:t>Impact on Small Businesses or Other Small Entities</w:t>
      </w:r>
      <w:r w:rsidRPr="0023016A">
        <w:tab/>
      </w:r>
      <w:r w:rsidRPr="0023016A">
        <w:tab/>
      </w:r>
      <w:r w:rsidR="00587463">
        <w:t>18</w:t>
      </w:r>
    </w:p>
    <w:p w:rsidR="00C17FE8" w:rsidRPr="0023016A" w:rsidRDefault="00C17FE8" w:rsidP="00C17FE8">
      <w:pPr>
        <w:pStyle w:val="TOC2"/>
      </w:pPr>
      <w:r w:rsidRPr="0023016A">
        <w:t>A.6</w:t>
      </w:r>
      <w:r w:rsidRPr="0023016A">
        <w:tab/>
        <w:t>Consequences of Collecting the Information Less Frequently</w:t>
      </w:r>
      <w:r w:rsidRPr="0023016A">
        <w:tab/>
      </w:r>
      <w:r w:rsidRPr="0023016A">
        <w:tab/>
      </w:r>
      <w:r w:rsidR="00587463">
        <w:t>18</w:t>
      </w:r>
    </w:p>
    <w:p w:rsidR="00C17FE8" w:rsidRPr="0023016A" w:rsidRDefault="00C17FE8" w:rsidP="00C17FE8">
      <w:pPr>
        <w:pStyle w:val="TOC2"/>
      </w:pPr>
      <w:r w:rsidRPr="0023016A">
        <w:t>A.7</w:t>
      </w:r>
      <w:r w:rsidRPr="0023016A">
        <w:tab/>
        <w:t>Special Circumstances Relating to the Guidelines of 5 CFR 1320.5</w:t>
      </w:r>
      <w:r w:rsidRPr="0023016A">
        <w:tab/>
      </w:r>
      <w:r w:rsidRPr="0023016A">
        <w:tab/>
      </w:r>
      <w:r w:rsidR="00587463">
        <w:t>19</w:t>
      </w:r>
    </w:p>
    <w:p w:rsidR="00C17FE8" w:rsidRPr="0023016A" w:rsidRDefault="00C17FE8" w:rsidP="00C17FE8">
      <w:pPr>
        <w:pStyle w:val="TOC2"/>
      </w:pPr>
      <w:r w:rsidRPr="0023016A">
        <w:t>A.8</w:t>
      </w:r>
      <w:r w:rsidRPr="0023016A">
        <w:tab/>
        <w:t>Comments in Response to the Federal Register Notice and Efforts to Consult Outside Agency</w:t>
      </w:r>
      <w:r w:rsidRPr="0023016A">
        <w:tab/>
      </w:r>
      <w:r w:rsidRPr="0023016A">
        <w:tab/>
      </w:r>
      <w:r w:rsidR="00587463">
        <w:t>19</w:t>
      </w:r>
    </w:p>
    <w:p w:rsidR="00C17FE8" w:rsidRPr="0023016A" w:rsidRDefault="00C17FE8" w:rsidP="00C17FE8">
      <w:pPr>
        <w:pStyle w:val="TOC2"/>
      </w:pPr>
      <w:r w:rsidRPr="0023016A">
        <w:t>A.9</w:t>
      </w:r>
      <w:r w:rsidRPr="0023016A">
        <w:tab/>
        <w:t>Explanation of Any Payment or Gift to Respondents</w:t>
      </w:r>
      <w:r w:rsidRPr="0023016A">
        <w:tab/>
      </w:r>
      <w:r w:rsidRPr="0023016A">
        <w:tab/>
      </w:r>
      <w:r w:rsidR="00587463">
        <w:t>20</w:t>
      </w:r>
    </w:p>
    <w:p w:rsidR="00C17FE8" w:rsidRPr="0023016A" w:rsidRDefault="00C17FE8" w:rsidP="00C17FE8">
      <w:pPr>
        <w:pStyle w:val="TOC2"/>
      </w:pPr>
      <w:r w:rsidRPr="0023016A">
        <w:t>A.10</w:t>
      </w:r>
      <w:r w:rsidRPr="0023016A">
        <w:tab/>
        <w:t>Assurances of Confidentiality Provided to Respondents</w:t>
      </w:r>
      <w:r w:rsidRPr="0023016A">
        <w:tab/>
      </w:r>
      <w:r w:rsidRPr="0023016A">
        <w:tab/>
      </w:r>
      <w:r w:rsidR="00975236">
        <w:t>2</w:t>
      </w:r>
      <w:r w:rsidR="00587463">
        <w:t>2</w:t>
      </w:r>
    </w:p>
    <w:p w:rsidR="00C17FE8" w:rsidRPr="0023016A" w:rsidRDefault="00C17FE8" w:rsidP="00C17FE8">
      <w:pPr>
        <w:pStyle w:val="TOC2"/>
      </w:pPr>
      <w:r w:rsidRPr="0023016A">
        <w:t>A.11</w:t>
      </w:r>
      <w:r w:rsidRPr="0023016A">
        <w:tab/>
        <w:t>Justification for Sensitive Questions</w:t>
      </w:r>
      <w:r w:rsidRPr="0023016A">
        <w:tab/>
      </w:r>
      <w:r w:rsidRPr="0023016A">
        <w:tab/>
      </w:r>
      <w:r w:rsidR="00587463">
        <w:t>27</w:t>
      </w:r>
    </w:p>
    <w:p w:rsidR="00C17FE8" w:rsidRPr="0023016A" w:rsidRDefault="00C17FE8" w:rsidP="00C17FE8">
      <w:pPr>
        <w:pStyle w:val="TOC2"/>
      </w:pPr>
      <w:r w:rsidRPr="0023016A">
        <w:t>A.12</w:t>
      </w:r>
      <w:r w:rsidRPr="0023016A">
        <w:tab/>
        <w:t>Estimates of Annualized Burden Hours and Costs</w:t>
      </w:r>
      <w:r w:rsidRPr="0023016A">
        <w:tab/>
      </w:r>
      <w:r w:rsidRPr="0023016A">
        <w:tab/>
      </w:r>
      <w:r w:rsidR="00587463">
        <w:t>31</w:t>
      </w:r>
    </w:p>
    <w:p w:rsidR="00C17FE8" w:rsidRPr="0023016A" w:rsidRDefault="00C17FE8" w:rsidP="00C17FE8">
      <w:pPr>
        <w:pStyle w:val="TOC2"/>
      </w:pPr>
      <w:r w:rsidRPr="0023016A">
        <w:t>A.13</w:t>
      </w:r>
      <w:r w:rsidRPr="0023016A">
        <w:tab/>
        <w:t>Estimate of Other Total Annual Cost Burden to Respondents or Record Keepers</w:t>
      </w:r>
      <w:r w:rsidRPr="0023016A">
        <w:tab/>
      </w:r>
      <w:r w:rsidRPr="0023016A">
        <w:tab/>
      </w:r>
      <w:r w:rsidR="00587463">
        <w:t>34</w:t>
      </w:r>
    </w:p>
    <w:p w:rsidR="00C17FE8" w:rsidRPr="0023016A" w:rsidRDefault="00C17FE8" w:rsidP="00C17FE8">
      <w:pPr>
        <w:pStyle w:val="TOC2"/>
      </w:pPr>
      <w:r w:rsidRPr="0023016A">
        <w:t>A.14</w:t>
      </w:r>
      <w:r w:rsidRPr="0023016A">
        <w:tab/>
        <w:t>Annualized Cost to the Federal Government</w:t>
      </w:r>
      <w:r w:rsidRPr="0023016A">
        <w:tab/>
      </w:r>
      <w:r w:rsidRPr="0023016A">
        <w:tab/>
      </w:r>
      <w:r w:rsidR="00587463">
        <w:t>34</w:t>
      </w:r>
    </w:p>
    <w:p w:rsidR="00C17FE8" w:rsidRPr="0023016A" w:rsidRDefault="00C17FE8" w:rsidP="00C17FE8">
      <w:pPr>
        <w:pStyle w:val="TOC2"/>
      </w:pPr>
      <w:r w:rsidRPr="0023016A">
        <w:t>A.15</w:t>
      </w:r>
      <w:r w:rsidRPr="0023016A">
        <w:tab/>
        <w:t>Explanation for Program Changes or Adjustments</w:t>
      </w:r>
      <w:r w:rsidRPr="0023016A">
        <w:tab/>
      </w:r>
      <w:r w:rsidRPr="0023016A">
        <w:tab/>
      </w:r>
      <w:r w:rsidR="00975236">
        <w:t>3</w:t>
      </w:r>
      <w:r w:rsidR="00466959">
        <w:t>4</w:t>
      </w:r>
    </w:p>
    <w:p w:rsidR="00C17FE8" w:rsidRPr="0023016A" w:rsidRDefault="00C17FE8" w:rsidP="00C17FE8">
      <w:pPr>
        <w:pStyle w:val="TOC2"/>
      </w:pPr>
      <w:r w:rsidRPr="0023016A">
        <w:t>A.16</w:t>
      </w:r>
      <w:r w:rsidRPr="0023016A">
        <w:tab/>
        <w:t>Plans for Tabulation and Publication and Project Time Schedule</w:t>
      </w:r>
      <w:r w:rsidRPr="0023016A">
        <w:tab/>
      </w:r>
      <w:r w:rsidRPr="0023016A">
        <w:tab/>
      </w:r>
      <w:r w:rsidR="00587463">
        <w:t>35</w:t>
      </w:r>
    </w:p>
    <w:p w:rsidR="00C17FE8" w:rsidRPr="0023016A" w:rsidRDefault="00C17FE8" w:rsidP="00C17FE8">
      <w:pPr>
        <w:pStyle w:val="TOC2"/>
      </w:pPr>
      <w:r w:rsidRPr="0023016A">
        <w:t>A.17</w:t>
      </w:r>
      <w:r w:rsidRPr="0023016A">
        <w:tab/>
        <w:t>Reason(s) Display of OMB Expiration Date is Inappropriate</w:t>
      </w:r>
      <w:r w:rsidRPr="0023016A">
        <w:tab/>
      </w:r>
      <w:r w:rsidRPr="0023016A">
        <w:tab/>
      </w:r>
      <w:r w:rsidR="00587463">
        <w:t>37</w:t>
      </w:r>
    </w:p>
    <w:p w:rsidR="00C17FE8" w:rsidRPr="0023016A" w:rsidRDefault="00C17FE8" w:rsidP="00C17FE8">
      <w:pPr>
        <w:pStyle w:val="TOC2"/>
      </w:pPr>
      <w:r w:rsidRPr="0023016A">
        <w:t>A.18</w:t>
      </w:r>
      <w:r w:rsidRPr="0023016A">
        <w:tab/>
        <w:t>Exceptions to Certification for Paperwork Reduction Act Submissions</w:t>
      </w:r>
      <w:r w:rsidRPr="0023016A">
        <w:tab/>
      </w:r>
      <w:r w:rsidRPr="0023016A">
        <w:tab/>
      </w:r>
      <w:r w:rsidR="00975236">
        <w:t>3</w:t>
      </w:r>
      <w:r w:rsidR="00587463">
        <w:t>7</w:t>
      </w:r>
    </w:p>
    <w:p w:rsidR="00C17FE8" w:rsidRPr="0023016A" w:rsidRDefault="00C17FE8" w:rsidP="00C17FE8">
      <w:pPr>
        <w:pStyle w:val="TOC1"/>
      </w:pPr>
    </w:p>
    <w:p w:rsidR="00C17FE8" w:rsidRPr="00C05C8C" w:rsidRDefault="00C17FE8" w:rsidP="00C17FE8">
      <w:pPr>
        <w:pStyle w:val="TOC1"/>
      </w:pPr>
      <w:r w:rsidRPr="0023016A">
        <w:t>References</w:t>
      </w:r>
      <w:r w:rsidRPr="0023016A">
        <w:tab/>
      </w:r>
      <w:r w:rsidRPr="0023016A">
        <w:tab/>
      </w:r>
      <w:r w:rsidRPr="0023016A">
        <w:tab/>
      </w:r>
      <w:r w:rsidR="00975236">
        <w:t>3</w:t>
      </w:r>
      <w:r w:rsidR="00587463">
        <w:t>8</w:t>
      </w:r>
    </w:p>
    <w:p w:rsidR="006657C8" w:rsidRPr="001F1098" w:rsidRDefault="00880BFD" w:rsidP="00D114B4">
      <w:pPr>
        <w:pStyle w:val="C2-CtrSglSp"/>
        <w:rPr>
          <w:b/>
        </w:rPr>
      </w:pPr>
      <w:r w:rsidRPr="001F1098">
        <w:br w:type="page"/>
      </w:r>
      <w:r w:rsidRPr="001F1098">
        <w:rPr>
          <w:b/>
        </w:rPr>
        <w:lastRenderedPageBreak/>
        <w:t>LIST OF ATTACHMENTS</w:t>
      </w:r>
    </w:p>
    <w:p w:rsidR="00397FC4" w:rsidRPr="00E77726" w:rsidRDefault="00397FC4" w:rsidP="00397FC4">
      <w:pPr>
        <w:pStyle w:val="C2-CtrSglSp"/>
        <w:rPr>
          <w:b/>
        </w:rPr>
      </w:pPr>
      <w:r w:rsidRPr="00E77726">
        <w:rPr>
          <w:b/>
        </w:rPr>
        <w:t>(Appearance in Supporting Statement A)</w:t>
      </w:r>
    </w:p>
    <w:p w:rsidR="00880BFD" w:rsidRPr="00793F65" w:rsidRDefault="00880BFD" w:rsidP="003C2AD4">
      <w:pPr>
        <w:pStyle w:val="L1-FlLSp12"/>
      </w:pPr>
    </w:p>
    <w:p w:rsidR="002F457E" w:rsidRPr="0023016A" w:rsidRDefault="00D14F73" w:rsidP="00DB6E10">
      <w:pPr>
        <w:pStyle w:val="TOC5"/>
        <w:spacing w:after="120"/>
      </w:pPr>
      <w:r w:rsidRPr="0023016A">
        <w:t>Attachment 1. NIDA’s Data Collection Authority</w:t>
      </w:r>
      <w:r w:rsidRPr="0023016A">
        <w:tab/>
      </w:r>
      <w:r w:rsidRPr="0023016A">
        <w:tab/>
      </w:r>
      <w:r w:rsidR="00E9039F" w:rsidRPr="0023016A">
        <w:t>1</w:t>
      </w:r>
    </w:p>
    <w:p w:rsidR="00B364A5" w:rsidRPr="0023016A" w:rsidRDefault="00B364A5" w:rsidP="00DB6E10">
      <w:pPr>
        <w:pStyle w:val="TOC5"/>
        <w:spacing w:after="120"/>
      </w:pPr>
      <w:r w:rsidRPr="0023016A">
        <w:t xml:space="preserve">Attachment </w:t>
      </w:r>
      <w:r w:rsidR="001F1098">
        <w:t>2</w:t>
      </w:r>
      <w:r w:rsidRPr="0023016A">
        <w:t>. PATH Study Data Collection Instruments</w:t>
      </w:r>
      <w:r w:rsidRPr="0023016A">
        <w:tab/>
      </w:r>
      <w:r w:rsidR="00D56771" w:rsidRPr="0023016A">
        <w:tab/>
      </w:r>
      <w:r w:rsidR="0046304C">
        <w:t>6</w:t>
      </w:r>
    </w:p>
    <w:p w:rsidR="006F27E1" w:rsidRPr="0023016A" w:rsidRDefault="006F27E1" w:rsidP="00DB6E10">
      <w:pPr>
        <w:pStyle w:val="TOC5"/>
        <w:spacing w:after="120"/>
      </w:pPr>
      <w:r w:rsidRPr="0023016A">
        <w:t xml:space="preserve">Attachment </w:t>
      </w:r>
      <w:r w:rsidR="001F1098">
        <w:t>3</w:t>
      </w:r>
      <w:r w:rsidRPr="0023016A">
        <w:t>. Crosswalk of PATH Study Objectives, Data Sources, Domains</w:t>
      </w:r>
      <w:r w:rsidR="00846D7A">
        <w:t>,</w:t>
      </w:r>
      <w:r w:rsidRPr="0023016A">
        <w:t xml:space="preserve"> and Analysis</w:t>
      </w:r>
      <w:r w:rsidRPr="0023016A">
        <w:tab/>
      </w:r>
      <w:r w:rsidR="005F1709" w:rsidRPr="0023016A">
        <w:tab/>
      </w:r>
      <w:r w:rsidR="0046304C">
        <w:t>6</w:t>
      </w:r>
    </w:p>
    <w:p w:rsidR="00D14F73" w:rsidRPr="0023016A" w:rsidRDefault="00D14F73" w:rsidP="00DB6E10">
      <w:pPr>
        <w:pStyle w:val="TOC5"/>
        <w:spacing w:after="120"/>
      </w:pPr>
      <w:r w:rsidRPr="0023016A">
        <w:t xml:space="preserve">Attachment </w:t>
      </w:r>
      <w:r w:rsidR="001F1098">
        <w:t>4</w:t>
      </w:r>
      <w:r w:rsidRPr="0023016A">
        <w:t>. Sample Conceptual Models</w:t>
      </w:r>
      <w:r w:rsidRPr="0023016A">
        <w:tab/>
      </w:r>
      <w:r w:rsidRPr="0023016A">
        <w:tab/>
      </w:r>
      <w:r w:rsidR="0046304C">
        <w:t>8</w:t>
      </w:r>
    </w:p>
    <w:p w:rsidR="001F1098" w:rsidRDefault="001F1098" w:rsidP="001F1098">
      <w:pPr>
        <w:pStyle w:val="TOC5"/>
        <w:spacing w:after="120"/>
      </w:pPr>
      <w:r w:rsidRPr="0023016A">
        <w:t>Attachment 5. Summary of Changes to Instruments for Wave 2</w:t>
      </w:r>
      <w:r w:rsidR="005A3E11">
        <w:tab/>
      </w:r>
      <w:r w:rsidR="005A3E11">
        <w:tab/>
      </w:r>
      <w:r w:rsidR="0046304C">
        <w:t>9</w:t>
      </w:r>
    </w:p>
    <w:p w:rsidR="00D14F73" w:rsidRPr="0023016A" w:rsidRDefault="00D14F73" w:rsidP="001F1098">
      <w:pPr>
        <w:pStyle w:val="TOC5"/>
        <w:spacing w:after="120"/>
      </w:pPr>
      <w:r w:rsidRPr="0023016A">
        <w:t xml:space="preserve">Attachment </w:t>
      </w:r>
      <w:r w:rsidR="00B364A5" w:rsidRPr="0023016A">
        <w:t>6</w:t>
      </w:r>
      <w:r w:rsidRPr="0023016A">
        <w:t xml:space="preserve">. </w:t>
      </w:r>
      <w:r w:rsidR="008A38E5" w:rsidRPr="0023016A">
        <w:t xml:space="preserve">Additional Information on </w:t>
      </w:r>
      <w:proofErr w:type="spellStart"/>
      <w:r w:rsidRPr="0023016A">
        <w:t>Biospecimens</w:t>
      </w:r>
      <w:proofErr w:type="spellEnd"/>
      <w:r w:rsidRPr="0023016A">
        <w:tab/>
      </w:r>
      <w:r w:rsidRPr="0023016A">
        <w:tab/>
      </w:r>
      <w:r w:rsidR="005A3E11">
        <w:t>1</w:t>
      </w:r>
      <w:r w:rsidR="0046304C">
        <w:t>2</w:t>
      </w:r>
    </w:p>
    <w:p w:rsidR="00E70558" w:rsidRPr="0023016A" w:rsidRDefault="00E70558" w:rsidP="00DB6E10">
      <w:pPr>
        <w:pStyle w:val="TOC5"/>
        <w:spacing w:after="120"/>
      </w:pPr>
      <w:r w:rsidRPr="0023016A">
        <w:t xml:space="preserve">Attachment </w:t>
      </w:r>
      <w:r w:rsidR="00B364A5" w:rsidRPr="0023016A">
        <w:t>7</w:t>
      </w:r>
      <w:r w:rsidRPr="0023016A">
        <w:t xml:space="preserve">. PATH </w:t>
      </w:r>
      <w:r w:rsidR="004A2068" w:rsidRPr="0023016A">
        <w:t>S</w:t>
      </w:r>
      <w:r w:rsidRPr="0023016A">
        <w:t xml:space="preserve">tudy Privacy Impact Assessments (PIA) </w:t>
      </w:r>
      <w:r w:rsidRPr="0023016A">
        <w:tab/>
      </w:r>
      <w:r w:rsidR="00D17D37" w:rsidRPr="0023016A">
        <w:tab/>
      </w:r>
      <w:r w:rsidR="005A3E11">
        <w:t>1</w:t>
      </w:r>
      <w:r w:rsidR="0046304C">
        <w:t>4</w:t>
      </w:r>
    </w:p>
    <w:p w:rsidR="00D14F73" w:rsidRPr="0023016A" w:rsidRDefault="00D14F73" w:rsidP="00DB6E10">
      <w:pPr>
        <w:pStyle w:val="TOC5"/>
        <w:spacing w:after="120"/>
      </w:pPr>
      <w:r w:rsidRPr="0023016A">
        <w:t xml:space="preserve">Attachment </w:t>
      </w:r>
      <w:r w:rsidR="00B364A5" w:rsidRPr="0023016A">
        <w:t>8</w:t>
      </w:r>
      <w:r w:rsidRPr="0023016A">
        <w:t>. Key Design Features of National Tobacco Surveys</w:t>
      </w:r>
      <w:r w:rsidRPr="0023016A">
        <w:tab/>
      </w:r>
      <w:r w:rsidRPr="0023016A">
        <w:tab/>
      </w:r>
      <w:r w:rsidR="005A3E11">
        <w:t>1</w:t>
      </w:r>
      <w:r w:rsidR="0046304C">
        <w:t>6</w:t>
      </w:r>
    </w:p>
    <w:p w:rsidR="00D14F73" w:rsidRPr="0023016A" w:rsidRDefault="00D14F73" w:rsidP="00DB6E10">
      <w:pPr>
        <w:pStyle w:val="TOC5"/>
        <w:spacing w:after="120"/>
      </w:pPr>
      <w:r w:rsidRPr="0023016A">
        <w:t xml:space="preserve">Attachment </w:t>
      </w:r>
      <w:r w:rsidR="00B364A5" w:rsidRPr="0023016A">
        <w:t>9</w:t>
      </w:r>
      <w:r w:rsidRPr="0023016A">
        <w:t xml:space="preserve">. </w:t>
      </w:r>
      <w:r w:rsidR="00311702" w:rsidRPr="0023016A">
        <w:t>Follow-up</w:t>
      </w:r>
      <w:r w:rsidRPr="0023016A">
        <w:t>, Retention, and Tracking Materials</w:t>
      </w:r>
      <w:r w:rsidRPr="0023016A">
        <w:tab/>
      </w:r>
      <w:r w:rsidRPr="0023016A">
        <w:tab/>
      </w:r>
      <w:r w:rsidR="005A3E11">
        <w:t>1</w:t>
      </w:r>
      <w:r w:rsidR="0046304C">
        <w:t>8</w:t>
      </w:r>
    </w:p>
    <w:p w:rsidR="00E12846" w:rsidRPr="00435A18" w:rsidRDefault="00E12846" w:rsidP="00E12846">
      <w:pPr>
        <w:pStyle w:val="TOC5"/>
        <w:spacing w:after="120"/>
      </w:pPr>
      <w:r w:rsidRPr="00435A18">
        <w:t>Attachment 10. Public Comments to 60-Day FRN</w:t>
      </w:r>
      <w:r w:rsidRPr="00435A18">
        <w:tab/>
      </w:r>
      <w:r w:rsidRPr="00435A18">
        <w:tab/>
      </w:r>
      <w:r w:rsidR="007B4E7B">
        <w:t>1</w:t>
      </w:r>
      <w:r w:rsidR="0046304C">
        <w:t>9</w:t>
      </w:r>
    </w:p>
    <w:p w:rsidR="00D14F73" w:rsidRPr="0023016A" w:rsidRDefault="00D14F73" w:rsidP="00DB6E10">
      <w:pPr>
        <w:pStyle w:val="TOC5"/>
        <w:spacing w:after="120"/>
      </w:pPr>
      <w:r w:rsidRPr="0023016A">
        <w:t xml:space="preserve">Attachment </w:t>
      </w:r>
      <w:r w:rsidR="00B364A5" w:rsidRPr="0023016A">
        <w:t>1</w:t>
      </w:r>
      <w:r w:rsidR="00E12846">
        <w:t>1</w:t>
      </w:r>
      <w:r w:rsidRPr="0023016A">
        <w:t>. List of Consultants</w:t>
      </w:r>
      <w:r w:rsidRPr="0023016A">
        <w:tab/>
      </w:r>
      <w:r w:rsidRPr="0023016A">
        <w:tab/>
      </w:r>
      <w:r w:rsidR="0046304C">
        <w:t>20</w:t>
      </w:r>
    </w:p>
    <w:p w:rsidR="00D14F73" w:rsidRPr="0023016A" w:rsidRDefault="00D14F73" w:rsidP="00DB6E10">
      <w:pPr>
        <w:pStyle w:val="TOC5"/>
        <w:spacing w:after="120"/>
      </w:pPr>
      <w:r w:rsidRPr="0023016A">
        <w:t xml:space="preserve">Attachment </w:t>
      </w:r>
      <w:r w:rsidR="00B364A5" w:rsidRPr="0023016A">
        <w:t>1</w:t>
      </w:r>
      <w:r w:rsidR="00E12846">
        <w:t>2</w:t>
      </w:r>
      <w:r w:rsidR="005A3E11">
        <w:t>. Consent Materials</w:t>
      </w:r>
      <w:r w:rsidR="005A3E11">
        <w:tab/>
      </w:r>
      <w:r w:rsidR="005A3E11">
        <w:tab/>
        <w:t>2</w:t>
      </w:r>
      <w:r w:rsidR="0046304C">
        <w:t>1</w:t>
      </w:r>
    </w:p>
    <w:p w:rsidR="004C321F" w:rsidRPr="0023016A" w:rsidRDefault="004C321F" w:rsidP="00DB6E10">
      <w:pPr>
        <w:pStyle w:val="TOC5"/>
        <w:spacing w:after="120"/>
      </w:pPr>
      <w:r w:rsidRPr="0023016A">
        <w:t xml:space="preserve">Attachment </w:t>
      </w:r>
      <w:r w:rsidR="00B364A5" w:rsidRPr="0023016A">
        <w:t>1</w:t>
      </w:r>
      <w:r w:rsidR="00E12846">
        <w:t>3</w:t>
      </w:r>
      <w:r w:rsidRPr="0023016A">
        <w:t>. Certificate of Confidentiality</w:t>
      </w:r>
      <w:r w:rsidRPr="0023016A">
        <w:tab/>
      </w:r>
      <w:r w:rsidRPr="0023016A">
        <w:tab/>
      </w:r>
      <w:r w:rsidR="005A3E11">
        <w:t>2</w:t>
      </w:r>
      <w:r w:rsidR="0046304C">
        <w:t>3</w:t>
      </w:r>
    </w:p>
    <w:p w:rsidR="00D14F73" w:rsidRPr="0023016A" w:rsidRDefault="00D14F73" w:rsidP="00DB6E10">
      <w:pPr>
        <w:pStyle w:val="TOC5"/>
        <w:spacing w:after="120"/>
      </w:pPr>
      <w:r w:rsidRPr="0023016A">
        <w:t>Attachment 1</w:t>
      </w:r>
      <w:r w:rsidR="00E12846">
        <w:t>4</w:t>
      </w:r>
      <w:r w:rsidRPr="0023016A">
        <w:t>. Assurance of Confidentiality</w:t>
      </w:r>
      <w:r w:rsidRPr="0023016A">
        <w:tab/>
      </w:r>
      <w:r w:rsidRPr="0023016A">
        <w:tab/>
      </w:r>
      <w:r w:rsidR="005A3E11">
        <w:t>2</w:t>
      </w:r>
      <w:r w:rsidR="0046304C">
        <w:t>3</w:t>
      </w:r>
    </w:p>
    <w:p w:rsidR="00CA09E3" w:rsidRPr="0023016A" w:rsidRDefault="00CA09E3" w:rsidP="00DB6E10">
      <w:pPr>
        <w:pStyle w:val="TOC5"/>
        <w:spacing w:after="120"/>
      </w:pPr>
      <w:r>
        <w:t>Attachment 15 IRB Approval Memo</w:t>
      </w:r>
      <w:r>
        <w:tab/>
      </w:r>
      <w:r>
        <w:tab/>
        <w:t>2</w:t>
      </w:r>
      <w:r w:rsidR="0046304C">
        <w:t>4</w:t>
      </w:r>
    </w:p>
    <w:p w:rsidR="00D14F73" w:rsidRPr="0023016A" w:rsidRDefault="00D14F73" w:rsidP="00DB6E10">
      <w:pPr>
        <w:pStyle w:val="TOC5"/>
        <w:spacing w:after="120"/>
      </w:pPr>
      <w:r w:rsidRPr="0023016A">
        <w:t xml:space="preserve">Attachment </w:t>
      </w:r>
      <w:r w:rsidR="00B364A5" w:rsidRPr="0023016A">
        <w:t>1</w:t>
      </w:r>
      <w:r w:rsidR="00325687">
        <w:t>6</w:t>
      </w:r>
      <w:r w:rsidRPr="0023016A">
        <w:t xml:space="preserve">. </w:t>
      </w:r>
      <w:r w:rsidR="00F402C3" w:rsidRPr="0023016A">
        <w:t>NIH Privacy Act Systems of Record Notice</w:t>
      </w:r>
      <w:r w:rsidRPr="0023016A">
        <w:tab/>
      </w:r>
      <w:r w:rsidRPr="0023016A">
        <w:tab/>
      </w:r>
      <w:r w:rsidR="005A3E11">
        <w:t>2</w:t>
      </w:r>
      <w:r w:rsidR="0046304C">
        <w:t>4</w:t>
      </w:r>
    </w:p>
    <w:p w:rsidR="00D14F73" w:rsidRPr="0023016A" w:rsidRDefault="00D14F73" w:rsidP="00DB6E10">
      <w:pPr>
        <w:pStyle w:val="TOC5"/>
        <w:spacing w:after="120"/>
      </w:pPr>
      <w:r w:rsidRPr="0023016A">
        <w:t xml:space="preserve">Attachment </w:t>
      </w:r>
      <w:r w:rsidR="00B364A5" w:rsidRPr="0023016A">
        <w:t>1</w:t>
      </w:r>
      <w:r w:rsidR="00325687">
        <w:t>7</w:t>
      </w:r>
      <w:r w:rsidRPr="0023016A">
        <w:t>. Procedures for Keeping Data Confidential</w:t>
      </w:r>
      <w:r w:rsidRPr="0023016A">
        <w:tab/>
      </w:r>
      <w:r w:rsidRPr="0023016A">
        <w:tab/>
      </w:r>
      <w:r w:rsidR="005A3E11">
        <w:t>2</w:t>
      </w:r>
      <w:r w:rsidR="0046304C">
        <w:t>5</w:t>
      </w:r>
    </w:p>
    <w:p w:rsidR="00A90B51" w:rsidRPr="0023016A" w:rsidRDefault="00D14F73" w:rsidP="00DB6E10">
      <w:pPr>
        <w:pStyle w:val="TOC5"/>
        <w:spacing w:after="120"/>
      </w:pPr>
      <w:r w:rsidRPr="0023016A">
        <w:t xml:space="preserve">Attachment </w:t>
      </w:r>
      <w:r w:rsidR="00B364A5" w:rsidRPr="0023016A">
        <w:t>1</w:t>
      </w:r>
      <w:r w:rsidR="00325687">
        <w:t>8</w:t>
      </w:r>
      <w:r w:rsidRPr="0023016A">
        <w:t>. I</w:t>
      </w:r>
      <w:r w:rsidR="001A2910" w:rsidRPr="0023016A">
        <w:t>CPSR Data Use Agreement</w:t>
      </w:r>
      <w:r w:rsidRPr="0023016A">
        <w:tab/>
      </w:r>
      <w:r w:rsidRPr="0023016A">
        <w:tab/>
      </w:r>
      <w:r w:rsidR="005A3E11">
        <w:t>2</w:t>
      </w:r>
      <w:r w:rsidR="0046304C">
        <w:t>7</w:t>
      </w:r>
    </w:p>
    <w:p w:rsidR="00D14F73" w:rsidRPr="0023016A" w:rsidRDefault="00D14F73" w:rsidP="00DB6E10">
      <w:pPr>
        <w:pStyle w:val="TOC5"/>
        <w:spacing w:after="120"/>
      </w:pPr>
      <w:r w:rsidRPr="0023016A">
        <w:t xml:space="preserve">Attachment </w:t>
      </w:r>
      <w:r w:rsidR="00D7088C">
        <w:t>1</w:t>
      </w:r>
      <w:r w:rsidR="00325687">
        <w:t>9</w:t>
      </w:r>
      <w:r w:rsidRPr="0023016A">
        <w:t>. Field Data Collection Materials</w:t>
      </w:r>
      <w:r w:rsidRPr="0023016A">
        <w:tab/>
      </w:r>
      <w:r w:rsidRPr="0023016A">
        <w:tab/>
      </w:r>
      <w:r w:rsidR="005A3E11">
        <w:t>2</w:t>
      </w:r>
      <w:r w:rsidR="0046304C">
        <w:t>9</w:t>
      </w:r>
    </w:p>
    <w:p w:rsidR="00D14F73" w:rsidRDefault="00D14F73" w:rsidP="00DB6E10">
      <w:pPr>
        <w:pStyle w:val="TOC5"/>
        <w:spacing w:after="120"/>
      </w:pPr>
      <w:r w:rsidRPr="0023016A">
        <w:t xml:space="preserve">Attachment </w:t>
      </w:r>
      <w:r w:rsidR="00325687">
        <w:t>20</w:t>
      </w:r>
      <w:r w:rsidRPr="0023016A">
        <w:t>. Sample Analysis Plans</w:t>
      </w:r>
      <w:r w:rsidRPr="0023016A">
        <w:tab/>
      </w:r>
      <w:r w:rsidRPr="0023016A">
        <w:tab/>
      </w:r>
      <w:r w:rsidR="0046304C">
        <w:t>36</w:t>
      </w:r>
    </w:p>
    <w:p w:rsidR="00612BC3" w:rsidRDefault="00612BC3" w:rsidP="00DB6E10">
      <w:pPr>
        <w:pStyle w:val="TOC5"/>
        <w:spacing w:after="120"/>
      </w:pPr>
      <w:r>
        <w:t>Attachment 21. PATH Study Interim Report</w:t>
      </w:r>
      <w:r>
        <w:tab/>
      </w:r>
      <w:r>
        <w:tab/>
        <w:t>2</w:t>
      </w:r>
    </w:p>
    <w:p w:rsidR="00551BAE" w:rsidRDefault="00551BAE" w:rsidP="00551BAE">
      <w:pPr>
        <w:pStyle w:val="TOC5"/>
        <w:spacing w:after="120"/>
      </w:pPr>
      <w:r>
        <w:t>Attachment 22.See Supporting Statement B</w:t>
      </w:r>
    </w:p>
    <w:p w:rsidR="00F3324B" w:rsidRDefault="00F3324B" w:rsidP="00DB6E10">
      <w:pPr>
        <w:pStyle w:val="TOC5"/>
        <w:spacing w:after="120"/>
      </w:pPr>
      <w:r>
        <w:t>Attachment 2</w:t>
      </w:r>
      <w:r w:rsidR="00551BAE">
        <w:t>3</w:t>
      </w:r>
      <w:r>
        <w:t>. PATH Study Verification Form…………</w:t>
      </w:r>
      <w:r>
        <w:tab/>
      </w:r>
      <w:r w:rsidR="00834A05">
        <w:tab/>
        <w:t>7</w:t>
      </w:r>
    </w:p>
    <w:p w:rsidR="00F3324B" w:rsidRPr="00435A18" w:rsidRDefault="00F3324B" w:rsidP="00DB6E10">
      <w:pPr>
        <w:pStyle w:val="TOC5"/>
        <w:spacing w:after="120"/>
      </w:pPr>
      <w:r>
        <w:t>Attachment 2</w:t>
      </w:r>
      <w:r w:rsidR="00551BAE">
        <w:t>4</w:t>
      </w:r>
      <w:r>
        <w:t>. PATH Study Validation Form……………</w:t>
      </w:r>
      <w:r w:rsidR="00834A05">
        <w:tab/>
      </w:r>
      <w:r w:rsidR="00834A05">
        <w:tab/>
        <w:t>7</w:t>
      </w:r>
    </w:p>
    <w:p w:rsidR="00DB6E10" w:rsidRPr="00A2734E" w:rsidRDefault="00DB6E10" w:rsidP="004B72B9">
      <w:pPr>
        <w:pStyle w:val="TOC1"/>
        <w:spacing w:after="120"/>
      </w:pPr>
    </w:p>
    <w:p w:rsidR="00DB6E10" w:rsidRPr="00A2734E" w:rsidRDefault="00DB6E10" w:rsidP="004949CC">
      <w:pPr>
        <w:pStyle w:val="TOC1"/>
        <w:spacing w:after="120"/>
        <w:ind w:left="0" w:firstLine="0"/>
        <w:sectPr w:rsidR="00DB6E10" w:rsidRPr="00A2734E" w:rsidSect="008966D4">
          <w:headerReference w:type="default" r:id="rId21"/>
          <w:footerReference w:type="default" r:id="rId22"/>
          <w:pgSz w:w="12240" w:h="15840"/>
          <w:pgMar w:top="1440" w:right="1440" w:bottom="1440" w:left="1440" w:header="720" w:footer="576" w:gutter="0"/>
          <w:pgNumType w:fmt="lowerRoman" w:start="2"/>
          <w:cols w:space="720"/>
          <w:docGrid w:linePitch="360"/>
        </w:sectPr>
      </w:pPr>
    </w:p>
    <w:p w:rsidR="002F7ABC" w:rsidRPr="00A2734E" w:rsidRDefault="002F7ABC" w:rsidP="00BC3C01">
      <w:pPr>
        <w:pStyle w:val="Heading1"/>
      </w:pPr>
      <w:r w:rsidRPr="00A2734E">
        <w:lastRenderedPageBreak/>
        <w:t>A.</w:t>
      </w:r>
      <w:r w:rsidRPr="00A2734E">
        <w:tab/>
        <w:t>Justification</w:t>
      </w:r>
    </w:p>
    <w:p w:rsidR="00BC3C01" w:rsidRPr="00A2734E" w:rsidRDefault="00BC3C01" w:rsidP="00BC3C01">
      <w:pPr>
        <w:pStyle w:val="Heading2"/>
      </w:pPr>
      <w:r w:rsidRPr="00A2734E">
        <w:t>A.1</w:t>
      </w:r>
      <w:r w:rsidRPr="00A2734E">
        <w:tab/>
        <w:t>Circumstances Making Collection of Information Necessary</w:t>
      </w:r>
    </w:p>
    <w:p w:rsidR="002F7ABC" w:rsidRPr="00A2734E" w:rsidRDefault="00B92901" w:rsidP="00BC3C01">
      <w:pPr>
        <w:pStyle w:val="Heading3"/>
      </w:pPr>
      <w:r w:rsidRPr="00A2734E">
        <w:t>A.1a</w:t>
      </w:r>
      <w:r w:rsidR="003C69E4" w:rsidRPr="00A2734E">
        <w:tab/>
      </w:r>
      <w:r w:rsidR="002F7ABC" w:rsidRPr="00A2734E">
        <w:t>Overview</w:t>
      </w:r>
    </w:p>
    <w:p w:rsidR="00A074C4" w:rsidRDefault="009302F6" w:rsidP="009E6590">
      <w:pPr>
        <w:pStyle w:val="L1-FlLSp12"/>
      </w:pPr>
      <w:r>
        <w:t>Th</w:t>
      </w:r>
      <w:r w:rsidR="00B3404F" w:rsidRPr="00A2734E">
        <w:t>e National Institutes of Health (NIH), through the National Institute on Drug Abuse (NIDA)</w:t>
      </w:r>
      <w:r w:rsidR="00B3404F">
        <w:t xml:space="preserve"> and in</w:t>
      </w:r>
      <w:r w:rsidR="00B3404F" w:rsidRPr="00A2734E">
        <w:t xml:space="preserve"> partnership with the Food and Drug Administration (FDA</w:t>
      </w:r>
      <w:r w:rsidR="00B3404F">
        <w:t>)</w:t>
      </w:r>
      <w:r w:rsidR="009B6B3F">
        <w:t xml:space="preserve">, </w:t>
      </w:r>
      <w:r w:rsidR="009B6B3F" w:rsidRPr="00A2734E">
        <w:t>request</w:t>
      </w:r>
      <w:r w:rsidR="009B6B3F">
        <w:t>s</w:t>
      </w:r>
      <w:r w:rsidR="009B6B3F" w:rsidRPr="00A2734E">
        <w:t xml:space="preserve"> Office of Management and Budget (OMB) </w:t>
      </w:r>
      <w:r w:rsidR="009B6B3F" w:rsidRPr="00C94B3E">
        <w:t>approval of a revision (OMB 0925-0664</w:t>
      </w:r>
      <w:r w:rsidR="009B6B3F" w:rsidRPr="008966D4">
        <w:t>,</w:t>
      </w:r>
      <w:r w:rsidR="009B6B3F">
        <w:t xml:space="preserve"> expir</w:t>
      </w:r>
      <w:r w:rsidR="00ED10BB">
        <w:t>es</w:t>
      </w:r>
      <w:r w:rsidR="009B6B3F">
        <w:t xml:space="preserve"> 11/30/2015)</w:t>
      </w:r>
      <w:r w:rsidR="00ED10BB">
        <w:t xml:space="preserve"> for</w:t>
      </w:r>
      <w:r w:rsidR="009B6B3F">
        <w:t xml:space="preserve"> the </w:t>
      </w:r>
      <w:r w:rsidR="009B6B3F" w:rsidRPr="00A2734E">
        <w:t>Population Assessment of Tobacco and Health (PATH) Study</w:t>
      </w:r>
      <w:r w:rsidR="00ED10BB">
        <w:t xml:space="preserve"> to conduct the second wave of data collection</w:t>
      </w:r>
      <w:r w:rsidR="009B6B3F">
        <w:t>.</w:t>
      </w:r>
    </w:p>
    <w:p w:rsidR="009B6B3F" w:rsidRPr="00470C13" w:rsidRDefault="009B6B3F" w:rsidP="009E6590">
      <w:pPr>
        <w:pStyle w:val="L1-FlLSp12"/>
      </w:pPr>
    </w:p>
    <w:p w:rsidR="00AC2E44" w:rsidRDefault="00A7154E" w:rsidP="009E6590">
      <w:pPr>
        <w:pStyle w:val="L1-FlLSp12"/>
      </w:pPr>
      <w:r w:rsidRPr="00312759">
        <w:t xml:space="preserve">Under data collection authorization of Title 42 USC </w:t>
      </w:r>
      <w:r w:rsidRPr="00E63CFA">
        <w:t>285o (</w:t>
      </w:r>
      <w:r w:rsidRPr="0023016A">
        <w:t>Attachment</w:t>
      </w:r>
      <w:r w:rsidRPr="004121E5">
        <w:t xml:space="preserve"> </w:t>
      </w:r>
      <w:r w:rsidR="00FC5A59" w:rsidRPr="004121E5">
        <w:t>1</w:t>
      </w:r>
      <w:r w:rsidRPr="004121E5">
        <w:t>)</w:t>
      </w:r>
      <w:r w:rsidR="007C7AC3" w:rsidRPr="004121E5">
        <w:t>,</w:t>
      </w:r>
      <w:r w:rsidRPr="004121E5">
        <w:t xml:space="preserve"> NIDA</w:t>
      </w:r>
      <w:r w:rsidR="0052080E" w:rsidRPr="004121E5">
        <w:t xml:space="preserve"> is </w:t>
      </w:r>
      <w:r w:rsidR="009B6B3F">
        <w:t xml:space="preserve">partnering with FDA to </w:t>
      </w:r>
      <w:r w:rsidR="00C80345" w:rsidRPr="004121E5">
        <w:t xml:space="preserve">conduct the </w:t>
      </w:r>
      <w:r w:rsidR="004A2068" w:rsidRPr="004121E5">
        <w:t>PATH Study</w:t>
      </w:r>
      <w:r w:rsidR="00C80345" w:rsidRPr="004121E5">
        <w:t xml:space="preserve"> through </w:t>
      </w:r>
      <w:proofErr w:type="spellStart"/>
      <w:r w:rsidR="00C80345" w:rsidRPr="004121E5">
        <w:t>Westat</w:t>
      </w:r>
      <w:proofErr w:type="spellEnd"/>
      <w:r w:rsidR="004449DE" w:rsidRPr="004121E5">
        <w:t>, the prime contractor.</w:t>
      </w:r>
      <w:r w:rsidR="009E6590" w:rsidRPr="004121E5">
        <w:t xml:space="preserve"> </w:t>
      </w:r>
      <w:r w:rsidR="00E54E85" w:rsidRPr="004121E5">
        <w:t>Using</w:t>
      </w:r>
      <w:r w:rsidR="008356CA" w:rsidRPr="004121E5">
        <w:t xml:space="preserve"> computer-assisted interviews and collection of </w:t>
      </w:r>
      <w:proofErr w:type="spellStart"/>
      <w:r w:rsidR="008356CA" w:rsidRPr="004121E5">
        <w:t>biospecimens</w:t>
      </w:r>
      <w:proofErr w:type="spellEnd"/>
      <w:r w:rsidR="008356CA" w:rsidRPr="004121E5">
        <w:t>, t</w:t>
      </w:r>
      <w:r w:rsidRPr="004121E5">
        <w:t xml:space="preserve">he </w:t>
      </w:r>
      <w:r w:rsidR="004A2068" w:rsidRPr="004121E5">
        <w:t>PATH Study</w:t>
      </w:r>
      <w:r w:rsidRPr="004121E5">
        <w:t xml:space="preserve"> will collect baseline and follow-up information on tobacco-use patterns; trends in risk perceptions and attitudes regarding</w:t>
      </w:r>
      <w:r w:rsidR="00162789" w:rsidRPr="004121E5">
        <w:t xml:space="preserve"> </w:t>
      </w:r>
      <w:r w:rsidR="004E7C4F" w:rsidRPr="004121E5">
        <w:t>harmful constituents</w:t>
      </w:r>
      <w:r w:rsidR="008E7A81" w:rsidRPr="004121E5">
        <w:t>,</w:t>
      </w:r>
      <w:r w:rsidR="00A44B8D" w:rsidRPr="004121E5">
        <w:t xml:space="preserve"> </w:t>
      </w:r>
      <w:r w:rsidR="008E527F" w:rsidRPr="004121E5">
        <w:t xml:space="preserve">and </w:t>
      </w:r>
      <w:r w:rsidR="004E7C4F" w:rsidRPr="004121E5">
        <w:t>ne</w:t>
      </w:r>
      <w:r w:rsidR="008356CA" w:rsidRPr="004121E5">
        <w:t>w and emerging tobacco</w:t>
      </w:r>
      <w:r w:rsidR="00162789" w:rsidRPr="004121E5">
        <w:t xml:space="preserve"> </w:t>
      </w:r>
      <w:r w:rsidRPr="004121E5">
        <w:t>products; tobacco initiation, cessation and relapse behaviors</w:t>
      </w:r>
      <w:r w:rsidR="009F767F" w:rsidRPr="004121E5">
        <w:t xml:space="preserve"> among youth aged 12</w:t>
      </w:r>
      <w:r w:rsidR="008A6180" w:rsidRPr="004121E5">
        <w:t xml:space="preserve"> to </w:t>
      </w:r>
      <w:r w:rsidR="009F767F" w:rsidRPr="004121E5">
        <w:t>17 and adults aged 18 and older.</w:t>
      </w:r>
      <w:r w:rsidR="00547B4F" w:rsidRPr="004121E5">
        <w:t xml:space="preserve"> </w:t>
      </w:r>
      <w:r w:rsidR="00BE43F0" w:rsidRPr="004121E5">
        <w:t>These l</w:t>
      </w:r>
      <w:r w:rsidR="00547B4F" w:rsidRPr="004121E5">
        <w:t>ongitudinal data</w:t>
      </w:r>
      <w:r w:rsidR="00105788" w:rsidRPr="004121E5">
        <w:t xml:space="preserve"> </w:t>
      </w:r>
      <w:r w:rsidR="00547B4F" w:rsidRPr="004121E5">
        <w:t xml:space="preserve">will </w:t>
      </w:r>
      <w:r w:rsidR="00BE43F0" w:rsidRPr="004121E5">
        <w:t xml:space="preserve">allow the PATH Study to generate </w:t>
      </w:r>
      <w:r w:rsidR="00674AA2" w:rsidRPr="004121E5">
        <w:t xml:space="preserve">research </w:t>
      </w:r>
      <w:r w:rsidR="00547B4F" w:rsidRPr="004121E5">
        <w:t>hypothes</w:t>
      </w:r>
      <w:r w:rsidR="00674AA2" w:rsidRPr="004121E5">
        <w:t>e</w:t>
      </w:r>
      <w:r w:rsidR="00547B4F" w:rsidRPr="004121E5">
        <w:t>s regarding relationships between tobacco exposure</w:t>
      </w:r>
      <w:r w:rsidR="005811DD" w:rsidRPr="004121E5">
        <w:t xml:space="preserve"> and use</w:t>
      </w:r>
      <w:r w:rsidR="00547B4F" w:rsidRPr="004121E5">
        <w:t>, health</w:t>
      </w:r>
      <w:r w:rsidR="00E41804" w:rsidRPr="004121E5">
        <w:t xml:space="preserve"> conditions</w:t>
      </w:r>
      <w:r w:rsidR="005811DD" w:rsidRPr="004121E5">
        <w:t xml:space="preserve">, and </w:t>
      </w:r>
      <w:r w:rsidR="00547B4F" w:rsidRPr="004121E5">
        <w:t xml:space="preserve">the onset and progression of </w:t>
      </w:r>
      <w:r w:rsidR="00FC3975" w:rsidRPr="004121E5">
        <w:t>disease processes</w:t>
      </w:r>
      <w:r w:rsidRPr="004121E5">
        <w:t xml:space="preserve">. The </w:t>
      </w:r>
      <w:r w:rsidR="00FC3975" w:rsidRPr="004121E5">
        <w:t>target</w:t>
      </w:r>
      <w:r w:rsidR="00686497" w:rsidRPr="004121E5">
        <w:t xml:space="preserve"> baseline</w:t>
      </w:r>
      <w:r w:rsidRPr="004121E5">
        <w:t xml:space="preserve"> sample size is </w:t>
      </w:r>
      <w:r w:rsidR="00DC3654" w:rsidRPr="004121E5">
        <w:t>approximately</w:t>
      </w:r>
      <w:r w:rsidR="007B5D00" w:rsidRPr="004121E5">
        <w:t xml:space="preserve"> </w:t>
      </w:r>
      <w:r w:rsidR="008F286D">
        <w:t>45,675</w:t>
      </w:r>
      <w:r w:rsidR="00DC3654" w:rsidRPr="004121E5">
        <w:t xml:space="preserve"> </w:t>
      </w:r>
      <w:r w:rsidR="00572149" w:rsidRPr="004121E5">
        <w:t>(</w:t>
      </w:r>
      <w:r w:rsidR="008F286D">
        <w:t>31,625</w:t>
      </w:r>
      <w:r w:rsidR="00572149" w:rsidRPr="004121E5">
        <w:t xml:space="preserve"> adults</w:t>
      </w:r>
      <w:r w:rsidR="000941A2" w:rsidRPr="004121E5">
        <w:t xml:space="preserve"> </w:t>
      </w:r>
      <w:r w:rsidR="00572149" w:rsidRPr="004121E5">
        <w:t xml:space="preserve">and </w:t>
      </w:r>
      <w:r w:rsidR="008F286D">
        <w:t>14,0</w:t>
      </w:r>
      <w:r w:rsidR="000A7784">
        <w:t>5</w:t>
      </w:r>
      <w:r w:rsidR="008F286D">
        <w:t>0</w:t>
      </w:r>
      <w:r w:rsidR="009E6590" w:rsidRPr="004121E5">
        <w:t xml:space="preserve"> </w:t>
      </w:r>
      <w:r w:rsidR="00572149" w:rsidRPr="004121E5">
        <w:t>youth)</w:t>
      </w:r>
      <w:r w:rsidR="007A3D86" w:rsidRPr="004121E5">
        <w:t xml:space="preserve">, and the target </w:t>
      </w:r>
      <w:r w:rsidR="00A90B51" w:rsidRPr="004121E5">
        <w:t>Wave 2</w:t>
      </w:r>
      <w:r w:rsidR="007A3D86" w:rsidRPr="004121E5">
        <w:t xml:space="preserve"> sample size is </w:t>
      </w:r>
      <w:r w:rsidR="00B15250">
        <w:t>41,745</w:t>
      </w:r>
      <w:r w:rsidR="007A3D86" w:rsidRPr="004121E5">
        <w:t xml:space="preserve"> </w:t>
      </w:r>
      <w:r w:rsidR="007A3D86" w:rsidRPr="0023016A">
        <w:t>(</w:t>
      </w:r>
      <w:r w:rsidR="008F286D">
        <w:t>29,103</w:t>
      </w:r>
      <w:r w:rsidR="007A3D86" w:rsidRPr="004121E5">
        <w:t xml:space="preserve"> adults and </w:t>
      </w:r>
      <w:r w:rsidR="00B15250">
        <w:t>12,642</w:t>
      </w:r>
      <w:r w:rsidR="0055595A" w:rsidRPr="004121E5">
        <w:t xml:space="preserve"> </w:t>
      </w:r>
      <w:r w:rsidR="007A3D86" w:rsidRPr="004121E5">
        <w:t>youth)</w:t>
      </w:r>
      <w:r w:rsidRPr="004121E5">
        <w:t>. The population</w:t>
      </w:r>
      <w:r w:rsidR="00FC3975" w:rsidRPr="00781464">
        <w:t xml:space="preserve"> for this study</w:t>
      </w:r>
      <w:r w:rsidRPr="00C744D2">
        <w:t xml:space="preserve"> is the civilian non-institutionalized population in the United States (U.S.)</w:t>
      </w:r>
      <w:r w:rsidR="00036220" w:rsidRPr="00C744D2">
        <w:t>.</w:t>
      </w:r>
      <w:r w:rsidR="00E41804">
        <w:t xml:space="preserve"> </w:t>
      </w:r>
      <w:r w:rsidR="00A0503C" w:rsidRPr="00980724">
        <w:t xml:space="preserve">The PATH Study oversamples </w:t>
      </w:r>
      <w:r w:rsidR="00BE3B43" w:rsidRPr="00980724">
        <w:t xml:space="preserve">tobacco users, young adults, and </w:t>
      </w:r>
      <w:r w:rsidR="00A0503C" w:rsidRPr="00980724">
        <w:t>African American adults</w:t>
      </w:r>
      <w:r w:rsidR="00BE3B43" w:rsidRPr="00110507">
        <w:t>;</w:t>
      </w:r>
      <w:r w:rsidR="00A0503C" w:rsidRPr="00110507">
        <w:t xml:space="preserve"> and </w:t>
      </w:r>
      <w:r w:rsidR="00BE3B43" w:rsidRPr="000536F6">
        <w:t xml:space="preserve">it </w:t>
      </w:r>
      <w:r w:rsidR="00A0503C" w:rsidRPr="00BC3CF7">
        <w:t xml:space="preserve">uses </w:t>
      </w:r>
      <w:r w:rsidR="00A0503C" w:rsidRPr="00204F1C">
        <w:t xml:space="preserve">a </w:t>
      </w:r>
      <w:r w:rsidR="00A0503C" w:rsidRPr="008240ED">
        <w:t>“w</w:t>
      </w:r>
      <w:r w:rsidR="00A0503C" w:rsidRPr="00B26442">
        <w:t xml:space="preserve">ide net” definition </w:t>
      </w:r>
      <w:r w:rsidR="0036179F" w:rsidRPr="009B641C">
        <w:t>(as described in detail in S</w:t>
      </w:r>
      <w:r w:rsidR="001F1098">
        <w:t xml:space="preserve">upporting Statement </w:t>
      </w:r>
      <w:r w:rsidR="0036179F" w:rsidRPr="009B641C">
        <w:t xml:space="preserve">B) </w:t>
      </w:r>
      <w:r w:rsidR="00A0503C" w:rsidRPr="00B83BCC">
        <w:t xml:space="preserve">of a tobacco user </w:t>
      </w:r>
      <w:r w:rsidR="00A0503C" w:rsidRPr="006B6155">
        <w:t xml:space="preserve">to capture adults who have had experience with </w:t>
      </w:r>
      <w:r w:rsidR="00781464">
        <w:t xml:space="preserve">a range of different </w:t>
      </w:r>
      <w:r w:rsidR="00A0503C" w:rsidRPr="00781464">
        <w:t>tobacco products and who may be at risk of progressing to more frequent use</w:t>
      </w:r>
      <w:r w:rsidR="00A0503C" w:rsidRPr="00A0503C">
        <w:t>.</w:t>
      </w:r>
    </w:p>
    <w:p w:rsidR="00722360" w:rsidRDefault="00722360" w:rsidP="009E6590">
      <w:pPr>
        <w:pStyle w:val="L1-FlLSp12"/>
      </w:pPr>
    </w:p>
    <w:p w:rsidR="00AC2E44" w:rsidRDefault="00B57482" w:rsidP="009E6590">
      <w:pPr>
        <w:pStyle w:val="L1-FlLSp12"/>
      </w:pPr>
      <w:r w:rsidRPr="00A2734E">
        <w:t xml:space="preserve">This </w:t>
      </w:r>
      <w:r w:rsidR="00CA7C33" w:rsidRPr="00C94B3E">
        <w:t xml:space="preserve">revision </w:t>
      </w:r>
      <w:r w:rsidR="00ED10BB" w:rsidRPr="00C94B3E">
        <w:t>request</w:t>
      </w:r>
      <w:r w:rsidR="007A3D86">
        <w:t xml:space="preserve"> </w:t>
      </w:r>
      <w:r w:rsidR="008966D4">
        <w:t xml:space="preserve">is for </w:t>
      </w:r>
      <w:r w:rsidR="007A3D86">
        <w:t xml:space="preserve">OMB approval of the </w:t>
      </w:r>
      <w:r w:rsidR="006A661C">
        <w:t>PATH Study’s second wave (</w:t>
      </w:r>
      <w:r w:rsidR="00A90B51">
        <w:t>Wave 2</w:t>
      </w:r>
      <w:r w:rsidR="006A661C">
        <w:t>)</w:t>
      </w:r>
      <w:r w:rsidR="007A3D86">
        <w:t xml:space="preserve"> </w:t>
      </w:r>
      <w:r w:rsidR="00DF3871">
        <w:t xml:space="preserve">of </w:t>
      </w:r>
      <w:r w:rsidR="007A3D86">
        <w:t xml:space="preserve">data and </w:t>
      </w:r>
      <w:proofErr w:type="spellStart"/>
      <w:r w:rsidR="007A3D86">
        <w:t>biospecimen</w:t>
      </w:r>
      <w:proofErr w:type="spellEnd"/>
      <w:r w:rsidR="007A3D86">
        <w:t xml:space="preserve"> collection.</w:t>
      </w:r>
      <w:r w:rsidR="00921EAC">
        <w:t xml:space="preserve"> </w:t>
      </w:r>
      <w:r w:rsidR="0053318C">
        <w:t xml:space="preserve">The current plan is to follow the </w:t>
      </w:r>
      <w:r w:rsidR="005A2734">
        <w:t xml:space="preserve">baseline </w:t>
      </w:r>
      <w:r w:rsidR="0053318C">
        <w:t xml:space="preserve">cohort for </w:t>
      </w:r>
      <w:r w:rsidR="00A0503C">
        <w:t>three years</w:t>
      </w:r>
      <w:r w:rsidR="00DF3871">
        <w:t>,</w:t>
      </w:r>
      <w:r w:rsidR="00A0503C">
        <w:t xml:space="preserve"> </w:t>
      </w:r>
      <w:r w:rsidR="00DA1F40">
        <w:t xml:space="preserve">which is </w:t>
      </w:r>
      <w:r w:rsidR="00A0503C">
        <w:t xml:space="preserve">over the </w:t>
      </w:r>
      <w:r w:rsidR="00722360">
        <w:t>duration of the current PATH Study contract. Additional follow-up waves are under consideration pending the availability of funding.</w:t>
      </w:r>
      <w:r w:rsidR="0053318C">
        <w:t xml:space="preserve"> </w:t>
      </w:r>
      <w:r w:rsidR="005A2734">
        <w:t xml:space="preserve">Each </w:t>
      </w:r>
      <w:r w:rsidR="00697B74">
        <w:t>follow-up</w:t>
      </w:r>
      <w:r w:rsidR="005A2734">
        <w:t xml:space="preserve"> wave is planned for 12 </w:t>
      </w:r>
      <w:r w:rsidR="00A202EB">
        <w:t xml:space="preserve">to 13 </w:t>
      </w:r>
      <w:r w:rsidR="005A2734">
        <w:t>months</w:t>
      </w:r>
      <w:r w:rsidR="00A202EB">
        <w:t xml:space="preserve">, with the possibility of </w:t>
      </w:r>
      <w:r w:rsidR="00C65F1D">
        <w:t xml:space="preserve">1 or more </w:t>
      </w:r>
      <w:r w:rsidR="00A202EB">
        <w:t>month</w:t>
      </w:r>
      <w:r w:rsidR="00C65F1D">
        <w:t>s</w:t>
      </w:r>
      <w:r w:rsidR="00A202EB">
        <w:t xml:space="preserve"> of overlap between the waves. Wave 2</w:t>
      </w:r>
      <w:r w:rsidR="005A2734">
        <w:t xml:space="preserve"> data and </w:t>
      </w:r>
      <w:proofErr w:type="spellStart"/>
      <w:r w:rsidR="005A2734">
        <w:t>biospecimen</w:t>
      </w:r>
      <w:proofErr w:type="spellEnd"/>
      <w:r w:rsidR="005A2734">
        <w:t xml:space="preserve"> collection </w:t>
      </w:r>
      <w:r w:rsidR="00A202EB">
        <w:t xml:space="preserve">is scheduled </w:t>
      </w:r>
      <w:r w:rsidR="005A2734">
        <w:t xml:space="preserve">to begin in the fall of 2014. </w:t>
      </w:r>
      <w:r w:rsidR="0053318C">
        <w:t>NIDA will submit revision</w:t>
      </w:r>
      <w:r w:rsidR="00ED10BB">
        <w:t xml:space="preserve"> requests </w:t>
      </w:r>
      <w:r w:rsidR="0053318C">
        <w:t xml:space="preserve">to OMB </w:t>
      </w:r>
      <w:r w:rsidR="00ED10BB">
        <w:t xml:space="preserve">for </w:t>
      </w:r>
      <w:r w:rsidR="00722360">
        <w:t xml:space="preserve">each </w:t>
      </w:r>
      <w:r w:rsidR="00ED10BB">
        <w:t xml:space="preserve">of the PATH Study’s </w:t>
      </w:r>
      <w:r w:rsidR="00722360">
        <w:t>wave</w:t>
      </w:r>
      <w:r w:rsidR="00ED10BB">
        <w:t>s</w:t>
      </w:r>
      <w:r w:rsidR="00722360">
        <w:t xml:space="preserve"> of data collection</w:t>
      </w:r>
      <w:r w:rsidR="006A661C">
        <w:t>.</w:t>
      </w:r>
      <w:r w:rsidR="00A074C4">
        <w:t xml:space="preserve"> </w:t>
      </w:r>
      <w:r w:rsidR="000F5A82">
        <w:t xml:space="preserve">In addition, NIDA will submit </w:t>
      </w:r>
      <w:r w:rsidR="000F5A82">
        <w:lastRenderedPageBreak/>
        <w:t>requests to conduct sub-studies of potential changes to the PATH Study’s protocol using one of its currently approved generic clearances, such as cognitive testing or methodological studies.</w:t>
      </w:r>
    </w:p>
    <w:p w:rsidR="007C12F8" w:rsidRDefault="007C12F8" w:rsidP="009E6590">
      <w:pPr>
        <w:pStyle w:val="L1-FlLSp12"/>
      </w:pPr>
    </w:p>
    <w:p w:rsidR="00AC2E44" w:rsidRDefault="00344623" w:rsidP="009E6590">
      <w:pPr>
        <w:pStyle w:val="L1-FlLSp12"/>
      </w:pPr>
      <w:r>
        <w:t xml:space="preserve">This revision request addresses the terms of clearance of OMB’s approval of the PATH Study’s baseline (OMB 0925-0664, expires 11/30/2015). </w:t>
      </w:r>
      <w:r w:rsidR="008E115F">
        <w:t xml:space="preserve">The terms of clearance </w:t>
      </w:r>
      <w:r w:rsidR="0023338C">
        <w:t>require</w:t>
      </w:r>
      <w:r w:rsidR="001C706A">
        <w:t xml:space="preserve"> </w:t>
      </w:r>
      <w:r w:rsidR="00DF3871">
        <w:t xml:space="preserve">a </w:t>
      </w:r>
      <w:r w:rsidR="001C706A">
        <w:t xml:space="preserve">full revision for </w:t>
      </w:r>
      <w:r w:rsidR="008E115F">
        <w:t xml:space="preserve">OMB approval of the PATH Study’s second wave of </w:t>
      </w:r>
      <w:r w:rsidR="005345AC">
        <w:t>data collection.</w:t>
      </w:r>
      <w:r w:rsidR="0023338C">
        <w:t xml:space="preserve"> </w:t>
      </w:r>
      <w:r w:rsidR="001C706A">
        <w:t xml:space="preserve">In addition, </w:t>
      </w:r>
      <w:r w:rsidR="005345AC">
        <w:t>prior to</w:t>
      </w:r>
      <w:r w:rsidR="001C706A">
        <w:t xml:space="preserve"> submitting the revision</w:t>
      </w:r>
      <w:r w:rsidR="008E115F">
        <w:t xml:space="preserve"> </w:t>
      </w:r>
      <w:r w:rsidR="00ED10BB">
        <w:t xml:space="preserve">request </w:t>
      </w:r>
      <w:r w:rsidR="008E115F">
        <w:t>to OMB</w:t>
      </w:r>
      <w:r w:rsidR="005345AC">
        <w:t>,</w:t>
      </w:r>
      <w:r w:rsidR="001C706A">
        <w:t xml:space="preserve"> the terms of clearance stipulate that </w:t>
      </w:r>
      <w:r w:rsidR="0023338C">
        <w:t>NIDA</w:t>
      </w:r>
      <w:r w:rsidR="00DF3871">
        <w:t xml:space="preserve"> and </w:t>
      </w:r>
      <w:r w:rsidR="0023338C">
        <w:t>FDA report</w:t>
      </w:r>
      <w:r w:rsidR="001C706A">
        <w:t xml:space="preserve"> to OMB</w:t>
      </w:r>
      <w:r w:rsidR="0023338C">
        <w:t xml:space="preserve"> the response rates associated with the baseline (screening, interview completion, and bio-specimen response), the results of non-response analysis and the statistical approach to address non-response, and the implications </w:t>
      </w:r>
      <w:r w:rsidR="001C706A">
        <w:t>of these analyses for the main study going forward</w:t>
      </w:r>
      <w:r w:rsidR="00A202EB">
        <w:t>.</w:t>
      </w:r>
      <w:r w:rsidR="00836E9C">
        <w:t xml:space="preserve"> (For additional information on the interim report, see Supporting Statement B, Section B.4</w:t>
      </w:r>
      <w:r w:rsidR="00A202EB">
        <w:t xml:space="preserve"> and Attachment 21.</w:t>
      </w:r>
      <w:r w:rsidR="00836E9C">
        <w:t>)</w:t>
      </w:r>
    </w:p>
    <w:p w:rsidR="00B31EAC" w:rsidRDefault="00B31EAC" w:rsidP="009E6590">
      <w:pPr>
        <w:pStyle w:val="L1-FlLSp12"/>
      </w:pPr>
    </w:p>
    <w:p w:rsidR="00AC2E44" w:rsidRPr="00AC2E44" w:rsidRDefault="00AC2E44" w:rsidP="009E6590">
      <w:pPr>
        <w:pStyle w:val="L1-FlLSp12"/>
      </w:pPr>
    </w:p>
    <w:p w:rsidR="00A7154E" w:rsidRPr="00A2734E" w:rsidRDefault="00A7154E" w:rsidP="00BC3C01">
      <w:pPr>
        <w:pStyle w:val="Heading3"/>
      </w:pPr>
      <w:r w:rsidRPr="00A2734E">
        <w:t>A.1b</w:t>
      </w:r>
      <w:r w:rsidRPr="00A2734E">
        <w:tab/>
        <w:t>Critical Need for the PATH Study Data</w:t>
      </w:r>
    </w:p>
    <w:p w:rsidR="00D00A7B" w:rsidRPr="0023016A" w:rsidRDefault="00917C15" w:rsidP="009E6590">
      <w:pPr>
        <w:pStyle w:val="L1-FlLSp12"/>
      </w:pPr>
      <w:r>
        <w:t>According to the 2014 Surgeon General’s report on smoking (U.S. Department of Health and Human Services, 2014), a</w:t>
      </w:r>
      <w:r w:rsidR="00F80DCF" w:rsidRPr="000C2079">
        <w:t>pproximately 4</w:t>
      </w:r>
      <w:r w:rsidR="008F0C7E">
        <w:t>80</w:t>
      </w:r>
      <w:r w:rsidR="00F80DCF" w:rsidRPr="000C2079">
        <w:t>,000 U.S. deaths each year are from cigarette use and second hand smoke exposure</w:t>
      </w:r>
      <w:r w:rsidR="004A1BE6" w:rsidRPr="000C2079">
        <w:t>,</w:t>
      </w:r>
      <w:r w:rsidR="00F80DCF" w:rsidRPr="000C2079">
        <w:t xml:space="preserve"> and an estimated </w:t>
      </w:r>
      <w:r w:rsidR="008F0C7E">
        <w:t xml:space="preserve">16 </w:t>
      </w:r>
      <w:r w:rsidR="00F80DCF" w:rsidRPr="000C2079">
        <w:t>million smokers have at least one serious illness due to smoking.</w:t>
      </w:r>
      <w:r w:rsidR="009E6590">
        <w:t xml:space="preserve"> </w:t>
      </w:r>
      <w:r>
        <w:t>T</w:t>
      </w:r>
      <w:r w:rsidR="00D00A7B" w:rsidRPr="000C2079">
        <w:t xml:space="preserve">he </w:t>
      </w:r>
      <w:r w:rsidR="008F0C7E">
        <w:t xml:space="preserve">2012 </w:t>
      </w:r>
      <w:r w:rsidR="00D00A7B" w:rsidRPr="000C2079">
        <w:t>National Survey on Drug Use and Health (NSDUH)</w:t>
      </w:r>
      <w:r w:rsidR="005E55DB">
        <w:t xml:space="preserve"> reported</w:t>
      </w:r>
      <w:r>
        <w:t xml:space="preserve"> </w:t>
      </w:r>
      <w:r w:rsidR="00D00A7B" w:rsidRPr="000C2079">
        <w:t xml:space="preserve">an estimated </w:t>
      </w:r>
      <w:r w:rsidR="002423A0">
        <w:t xml:space="preserve">69.5 </w:t>
      </w:r>
      <w:r w:rsidR="00D00A7B" w:rsidRPr="000C2079">
        <w:t>million Americans (26.</w:t>
      </w:r>
      <w:r w:rsidR="002423A0">
        <w:t>7</w:t>
      </w:r>
      <w:r w:rsidR="00D00A7B" w:rsidRPr="000C2079">
        <w:t xml:space="preserve">% of the population ages 12 and older) were past month tobacco product users; among current users, approximately </w:t>
      </w:r>
      <w:r w:rsidR="002423A0">
        <w:t xml:space="preserve">57.5 </w:t>
      </w:r>
      <w:r w:rsidR="00D00A7B" w:rsidRPr="000C2079">
        <w:t>million persons (22.1</w:t>
      </w:r>
      <w:r w:rsidR="005E55DB">
        <w:t>%</w:t>
      </w:r>
      <w:r w:rsidR="00D00A7B" w:rsidRPr="000C2079">
        <w:t> of the population) were cigarette smokers; 1</w:t>
      </w:r>
      <w:r w:rsidR="002423A0">
        <w:t>3.4</w:t>
      </w:r>
      <w:r w:rsidR="00A074C4">
        <w:t xml:space="preserve"> </w:t>
      </w:r>
      <w:r w:rsidR="00D00A7B" w:rsidRPr="000C2079">
        <w:t>million (5.</w:t>
      </w:r>
      <w:r w:rsidR="002423A0">
        <w:t>2</w:t>
      </w:r>
      <w:r w:rsidR="005E55DB">
        <w:t>%</w:t>
      </w:r>
      <w:r w:rsidR="00D00A7B" w:rsidRPr="000C2079">
        <w:t xml:space="preserve">) smoked cigars; </w:t>
      </w:r>
      <w:r w:rsidR="002423A0">
        <w:t>9.0</w:t>
      </w:r>
      <w:r w:rsidR="00A074C4">
        <w:t xml:space="preserve"> </w:t>
      </w:r>
      <w:r w:rsidR="00D00A7B" w:rsidRPr="000C2079">
        <w:t>million (3.</w:t>
      </w:r>
      <w:r w:rsidR="002423A0">
        <w:t>5</w:t>
      </w:r>
      <w:r w:rsidR="005E55DB">
        <w:t>%</w:t>
      </w:r>
      <w:r w:rsidR="00D00A7B" w:rsidRPr="000C2079">
        <w:t>) used smokeless tobacco; and 2.</w:t>
      </w:r>
      <w:r w:rsidR="002423A0">
        <w:t>5</w:t>
      </w:r>
      <w:r w:rsidR="00D00A7B" w:rsidRPr="000C2079">
        <w:t> </w:t>
      </w:r>
      <w:r w:rsidR="00D00A7B" w:rsidRPr="004949CC">
        <w:t>million (</w:t>
      </w:r>
      <w:r w:rsidR="002423A0" w:rsidRPr="004949CC">
        <w:t>1.0</w:t>
      </w:r>
      <w:r w:rsidR="005E55DB" w:rsidRPr="004949CC">
        <w:t>%</w:t>
      </w:r>
      <w:r w:rsidR="00D00A7B" w:rsidRPr="004949CC">
        <w:t>) smoked tobacco in pipes (S</w:t>
      </w:r>
      <w:r w:rsidR="00D20F7C" w:rsidRPr="004949CC">
        <w:t xml:space="preserve">ubstance </w:t>
      </w:r>
      <w:r w:rsidR="00D00A7B" w:rsidRPr="004949CC">
        <w:t>A</w:t>
      </w:r>
      <w:r w:rsidR="00D20F7C" w:rsidRPr="004949CC">
        <w:t xml:space="preserve">buse and </w:t>
      </w:r>
      <w:r w:rsidR="00D00A7B" w:rsidRPr="004949CC">
        <w:t>M</w:t>
      </w:r>
      <w:r w:rsidR="00D20F7C" w:rsidRPr="004949CC">
        <w:t xml:space="preserve">ental </w:t>
      </w:r>
      <w:r w:rsidR="0000010B" w:rsidRPr="004949CC">
        <w:t>H</w:t>
      </w:r>
      <w:r w:rsidR="00D20F7C" w:rsidRPr="004949CC">
        <w:t xml:space="preserve">ealth </w:t>
      </w:r>
      <w:r w:rsidR="0000010B" w:rsidRPr="004949CC">
        <w:t>S</w:t>
      </w:r>
      <w:r w:rsidR="00D20F7C" w:rsidRPr="004949CC">
        <w:t xml:space="preserve">ervices </w:t>
      </w:r>
      <w:r w:rsidR="00D00A7B" w:rsidRPr="004949CC">
        <w:t>A</w:t>
      </w:r>
      <w:r w:rsidR="00D20F7C" w:rsidRPr="004949CC">
        <w:t>dministration</w:t>
      </w:r>
      <w:r w:rsidR="00D00A7B" w:rsidRPr="004949CC">
        <w:t>, 2012).</w:t>
      </w:r>
      <w:r w:rsidR="00A074C4">
        <w:t xml:space="preserve"> </w:t>
      </w:r>
      <w:r w:rsidR="007B708F" w:rsidRPr="004949CC">
        <w:rPr>
          <w:lang w:val="en-US"/>
        </w:rPr>
        <w:t xml:space="preserve">The </w:t>
      </w:r>
      <w:r w:rsidR="00D00A7B" w:rsidRPr="004949CC">
        <w:t xml:space="preserve">NSDUH </w:t>
      </w:r>
      <w:r w:rsidR="007B708F" w:rsidRPr="004949CC">
        <w:rPr>
          <w:lang w:val="en-US"/>
        </w:rPr>
        <w:t xml:space="preserve">also </w:t>
      </w:r>
      <w:r w:rsidR="00891131" w:rsidRPr="004949CC">
        <w:rPr>
          <w:lang w:val="en-US"/>
        </w:rPr>
        <w:t xml:space="preserve">estimated </w:t>
      </w:r>
      <w:r w:rsidR="007B708F" w:rsidRPr="004949CC">
        <w:rPr>
          <w:lang w:val="en-US"/>
        </w:rPr>
        <w:t xml:space="preserve">that about 6,400 persons became new </w:t>
      </w:r>
      <w:r w:rsidR="00891131" w:rsidRPr="004949CC">
        <w:rPr>
          <w:lang w:val="en-US"/>
        </w:rPr>
        <w:t xml:space="preserve">cigarette smokers in the U.S. </w:t>
      </w:r>
      <w:r w:rsidR="007B708F" w:rsidRPr="004949CC">
        <w:rPr>
          <w:lang w:val="en-US"/>
        </w:rPr>
        <w:t xml:space="preserve">every day </w:t>
      </w:r>
      <w:r w:rsidR="00891131" w:rsidRPr="004949CC">
        <w:rPr>
          <w:lang w:val="en-US"/>
        </w:rPr>
        <w:t>in 2012</w:t>
      </w:r>
      <w:r w:rsidR="007B708F" w:rsidRPr="004949CC">
        <w:rPr>
          <w:lang w:val="en-US"/>
        </w:rPr>
        <w:t>, and that about</w:t>
      </w:r>
      <w:r w:rsidR="002423A0" w:rsidRPr="004949CC">
        <w:t xml:space="preserve"> half </w:t>
      </w:r>
      <w:r w:rsidR="00FF34DC" w:rsidRPr="004949CC">
        <w:t>(51.4</w:t>
      </w:r>
      <w:r w:rsidR="005E55DB" w:rsidRPr="004949CC">
        <w:t>%</w:t>
      </w:r>
      <w:r w:rsidR="00FF34DC" w:rsidRPr="004949CC">
        <w:t xml:space="preserve">) </w:t>
      </w:r>
      <w:r w:rsidR="007B708F" w:rsidRPr="004949CC">
        <w:rPr>
          <w:lang w:val="en-US"/>
        </w:rPr>
        <w:t xml:space="preserve">of new smokers in 2012 </w:t>
      </w:r>
      <w:r w:rsidR="00D00A7B" w:rsidRPr="004949CC">
        <w:t xml:space="preserve">initiated </w:t>
      </w:r>
      <w:r w:rsidR="007B708F" w:rsidRPr="004949CC">
        <w:rPr>
          <w:lang w:val="en-US"/>
        </w:rPr>
        <w:t>prior to</w:t>
      </w:r>
      <w:r w:rsidR="00D00A7B" w:rsidRPr="004949CC">
        <w:t xml:space="preserve"> age 18.</w:t>
      </w:r>
      <w:r w:rsidR="00F868B2" w:rsidRPr="004949CC">
        <w:t xml:space="preserve"> </w:t>
      </w:r>
      <w:r w:rsidR="004B05A0" w:rsidRPr="004949CC">
        <w:t xml:space="preserve">According to </w:t>
      </w:r>
      <w:r w:rsidR="00E15B40" w:rsidRPr="004949CC">
        <w:t xml:space="preserve">the 2013 </w:t>
      </w:r>
      <w:r w:rsidR="004B05A0" w:rsidRPr="004949CC">
        <w:t>Monitoring the Future</w:t>
      </w:r>
      <w:r w:rsidR="00E15B40" w:rsidRPr="004949CC">
        <w:t xml:space="preserve">, </w:t>
      </w:r>
      <w:r w:rsidR="004B05A0" w:rsidRPr="004949CC">
        <w:t>c</w:t>
      </w:r>
      <w:r w:rsidR="00F868B2" w:rsidRPr="004949CC">
        <w:t>urrent</w:t>
      </w:r>
      <w:r w:rsidR="00F868B2" w:rsidRPr="00286327">
        <w:t xml:space="preserve"> smoking rates (i.e.</w:t>
      </w:r>
      <w:r w:rsidR="00E15B40" w:rsidRPr="00286327">
        <w:t>,</w:t>
      </w:r>
      <w:r w:rsidR="00F868B2" w:rsidRPr="00286327">
        <w:t xml:space="preserve"> any cigarette smoking in the prior 30 days) among 8th, 10th, and 12th</w:t>
      </w:r>
      <w:r w:rsidR="00F868B2">
        <w:t xml:space="preserve"> graders were 4.5</w:t>
      </w:r>
      <w:r w:rsidR="004B05A0">
        <w:t xml:space="preserve"> percent</w:t>
      </w:r>
      <w:r w:rsidR="00F868B2">
        <w:t>, 9.1</w:t>
      </w:r>
      <w:r w:rsidR="004B05A0">
        <w:t xml:space="preserve"> percent</w:t>
      </w:r>
      <w:r w:rsidR="00F868B2">
        <w:t>, and 16.3</w:t>
      </w:r>
      <w:r w:rsidR="004B05A0">
        <w:t xml:space="preserve"> percent</w:t>
      </w:r>
      <w:r w:rsidR="00F868B2">
        <w:t>, respectively (</w:t>
      </w:r>
      <w:r w:rsidR="004121E5">
        <w:t>Johnston</w:t>
      </w:r>
      <w:r w:rsidR="006F5824">
        <w:t xml:space="preserve"> et al.</w:t>
      </w:r>
      <w:r w:rsidR="004121E5">
        <w:t>, 2014)</w:t>
      </w:r>
      <w:r w:rsidR="00921EAC">
        <w:t>.</w:t>
      </w:r>
    </w:p>
    <w:p w:rsidR="00A7154E" w:rsidRPr="00A2734E" w:rsidRDefault="00A7154E" w:rsidP="009E6590">
      <w:pPr>
        <w:pStyle w:val="L1-FlLSp12"/>
      </w:pPr>
    </w:p>
    <w:p w:rsidR="009F08BC" w:rsidRDefault="00A7154E" w:rsidP="009E6590">
      <w:pPr>
        <w:pStyle w:val="L1-FlLSp12"/>
      </w:pPr>
      <w:r w:rsidRPr="00A2734E">
        <w:t>On June 22, 2009, the Family Smoking Prevention and Tobacco Control Act (</w:t>
      </w:r>
      <w:r w:rsidR="000D3949">
        <w:t>referred to herein by TCA)</w:t>
      </w:r>
      <w:r w:rsidR="003404F1">
        <w:t xml:space="preserve"> </w:t>
      </w:r>
      <w:proofErr w:type="gramStart"/>
      <w:r w:rsidRPr="00A2734E">
        <w:t>was</w:t>
      </w:r>
      <w:proofErr w:type="gramEnd"/>
      <w:r w:rsidR="00572149" w:rsidRPr="00A2734E">
        <w:t xml:space="preserve"> s</w:t>
      </w:r>
      <w:r w:rsidRPr="00A2734E">
        <w:t>igned into law.</w:t>
      </w:r>
      <w:r w:rsidR="00BC3C01" w:rsidRPr="00A2734E">
        <w:t xml:space="preserve"> </w:t>
      </w:r>
      <w:r w:rsidRPr="00A2734E">
        <w:t xml:space="preserve">The </w:t>
      </w:r>
      <w:r w:rsidR="000D3949">
        <w:t>TCA</w:t>
      </w:r>
      <w:r w:rsidRPr="00A2734E">
        <w:t xml:space="preserve"> amended Section 201 of the Food, Drug, and Cosmetic Act (FD&amp;C) (21 U.S.C. 321) by inserting Chapter 9 (“Tobacco Products”), Section 901</w:t>
      </w:r>
      <w:r w:rsidR="004F16B7" w:rsidRPr="00A2734E">
        <w:t>,</w:t>
      </w:r>
      <w:r w:rsidRPr="00A2734E">
        <w:t xml:space="preserve"> which authorizes FDA to regulate tobacco-product </w:t>
      </w:r>
      <w:r w:rsidR="005C1181">
        <w:t>standards</w:t>
      </w:r>
      <w:r w:rsidR="004A58E1">
        <w:t>;</w:t>
      </w:r>
      <w:r w:rsidR="005C1181">
        <w:t xml:space="preserve"> </w:t>
      </w:r>
      <w:r w:rsidR="004A58E1">
        <w:t xml:space="preserve">tobacco-product </w:t>
      </w:r>
      <w:r w:rsidRPr="00A2734E">
        <w:t>manufacturing</w:t>
      </w:r>
      <w:r w:rsidR="005C1181">
        <w:t xml:space="preserve"> practices,</w:t>
      </w:r>
      <w:r w:rsidRPr="00A2734E">
        <w:t xml:space="preserve"> distribution</w:t>
      </w:r>
      <w:r w:rsidR="003C10F6" w:rsidRPr="00A2734E">
        <w:t>,</w:t>
      </w:r>
      <w:r w:rsidRPr="00A2734E">
        <w:t xml:space="preserve"> and marketing</w:t>
      </w:r>
      <w:r w:rsidR="00BE0F1B">
        <w:t>;</w:t>
      </w:r>
      <w:r w:rsidRPr="00A2734E">
        <w:t xml:space="preserve"> </w:t>
      </w:r>
      <w:r w:rsidR="004A58E1">
        <w:t xml:space="preserve">the </w:t>
      </w:r>
      <w:r w:rsidRPr="00A2734E">
        <w:t>labeling</w:t>
      </w:r>
      <w:r w:rsidR="004A58E1">
        <w:t xml:space="preserve"> of tobacco products, </w:t>
      </w:r>
      <w:r w:rsidR="005C1181">
        <w:t>including</w:t>
      </w:r>
      <w:r w:rsidRPr="00A2734E">
        <w:t xml:space="preserve"> health warnings</w:t>
      </w:r>
      <w:r w:rsidR="005C1181">
        <w:t xml:space="preserve"> on tobacco-product packages and in ads</w:t>
      </w:r>
      <w:r w:rsidR="003C10F6" w:rsidRPr="00A2734E">
        <w:t>;</w:t>
      </w:r>
      <w:r w:rsidRPr="00A2734E">
        <w:t xml:space="preserve"> </w:t>
      </w:r>
      <w:r w:rsidRPr="00186838">
        <w:t>tobacco</w:t>
      </w:r>
      <w:r w:rsidR="005C1181">
        <w:t>-</w:t>
      </w:r>
      <w:r w:rsidRPr="00186838">
        <w:t>product constituen</w:t>
      </w:r>
      <w:r w:rsidR="002346DA" w:rsidRPr="00686B01">
        <w:t>ts, ingredients</w:t>
      </w:r>
      <w:r w:rsidR="005C1181">
        <w:t>,</w:t>
      </w:r>
      <w:r w:rsidR="002346DA" w:rsidRPr="00686B01">
        <w:t xml:space="preserve"> and additive</w:t>
      </w:r>
      <w:r w:rsidR="005C1181">
        <w:t xml:space="preserve">s, including </w:t>
      </w:r>
      <w:r w:rsidR="004A58E1">
        <w:t>requirements for</w:t>
      </w:r>
      <w:r w:rsidR="005C1181" w:rsidRPr="005C1181">
        <w:t xml:space="preserve"> </w:t>
      </w:r>
      <w:r w:rsidR="005C1181">
        <w:t xml:space="preserve">testing and reporting of harmful </w:t>
      </w:r>
      <w:r w:rsidR="004A58E1">
        <w:t>or</w:t>
      </w:r>
      <w:r w:rsidR="005C1181">
        <w:t xml:space="preserve"> potentially harmful constituents </w:t>
      </w:r>
      <w:r w:rsidR="00A247E0">
        <w:t xml:space="preserve">(HPHC) </w:t>
      </w:r>
      <w:r w:rsidR="005C1181">
        <w:t xml:space="preserve">by </w:t>
      </w:r>
      <w:r w:rsidR="005C1181">
        <w:lastRenderedPageBreak/>
        <w:t xml:space="preserve">brand and sub-brand; and </w:t>
      </w:r>
      <w:r w:rsidR="004A58E1">
        <w:t xml:space="preserve">restrictions on </w:t>
      </w:r>
      <w:r w:rsidR="00BD7E01">
        <w:t>access to tobacco products, advertising</w:t>
      </w:r>
      <w:r w:rsidR="005C1181">
        <w:t>,</w:t>
      </w:r>
      <w:r w:rsidR="00BD7E01">
        <w:t xml:space="preserve"> and promotion</w:t>
      </w:r>
      <w:r w:rsidR="005C1181">
        <w:t>s among youth.</w:t>
      </w:r>
      <w:r w:rsidR="00FF7B95">
        <w:t xml:space="preserve"> </w:t>
      </w:r>
      <w:r w:rsidR="007C5A7D">
        <w:t xml:space="preserve">To </w:t>
      </w:r>
      <w:r w:rsidR="00D662F7">
        <w:t xml:space="preserve">fulfill the mandates of the </w:t>
      </w:r>
      <w:r w:rsidR="000D3949">
        <w:t>TCA</w:t>
      </w:r>
      <w:r w:rsidR="008E7A81">
        <w:t>,</w:t>
      </w:r>
      <w:r w:rsidR="007C5A7D">
        <w:t xml:space="preserve"> the FDA</w:t>
      </w:r>
      <w:r w:rsidR="00D662F7">
        <w:t xml:space="preserve"> require</w:t>
      </w:r>
      <w:r w:rsidR="007C5A7D">
        <w:t>s</w:t>
      </w:r>
      <w:r w:rsidR="00D662F7">
        <w:t xml:space="preserve"> </w:t>
      </w:r>
      <w:r w:rsidR="00095878" w:rsidRPr="00A2734E">
        <w:t>a</w:t>
      </w:r>
      <w:r w:rsidR="003C10F6" w:rsidRPr="00A2734E">
        <w:t xml:space="preserve"> solid evidence base </w:t>
      </w:r>
      <w:r w:rsidR="00D662F7">
        <w:t>t</w:t>
      </w:r>
      <w:r w:rsidR="007C5A7D">
        <w:t xml:space="preserve">o inform </w:t>
      </w:r>
      <w:r w:rsidR="00D662F7">
        <w:t>its regulatory decisions</w:t>
      </w:r>
      <w:r w:rsidR="007C5A7D">
        <w:t xml:space="preserve">, their implementation, and subsequent </w:t>
      </w:r>
      <w:r w:rsidR="00D662F7">
        <w:t xml:space="preserve">assessments of </w:t>
      </w:r>
      <w:r w:rsidR="00095878" w:rsidRPr="00A2734E">
        <w:t>their effectiveness</w:t>
      </w:r>
      <w:r w:rsidR="00D662F7">
        <w:t xml:space="preserve">, as well as </w:t>
      </w:r>
      <w:r w:rsidR="007C5A7D">
        <w:t xml:space="preserve">to support </w:t>
      </w:r>
      <w:r w:rsidR="00D662F7">
        <w:t xml:space="preserve">its future </w:t>
      </w:r>
      <w:r w:rsidR="00095878" w:rsidRPr="00A2734E">
        <w:t xml:space="preserve">regulatory </w:t>
      </w:r>
      <w:r w:rsidR="007C5A7D">
        <w:t xml:space="preserve">decisions and </w:t>
      </w:r>
      <w:r w:rsidR="00095878" w:rsidRPr="00A2734E">
        <w:t>actions</w:t>
      </w:r>
      <w:r w:rsidR="009F08BC">
        <w:t>.</w:t>
      </w:r>
    </w:p>
    <w:p w:rsidR="001C4947" w:rsidRPr="00982C60" w:rsidRDefault="001C4947" w:rsidP="009E6590">
      <w:pPr>
        <w:pStyle w:val="L1-FlLSp12"/>
      </w:pPr>
    </w:p>
    <w:p w:rsidR="009E6590" w:rsidRPr="00036220" w:rsidRDefault="00FF7B95" w:rsidP="009E6590">
      <w:pPr>
        <w:pStyle w:val="L1-FlLSp12"/>
      </w:pPr>
      <w:r w:rsidRPr="00036220">
        <w:t>T</w:t>
      </w:r>
      <w:r w:rsidR="00EE21B7" w:rsidRPr="00036220">
        <w:t>he NIH</w:t>
      </w:r>
      <w:r w:rsidR="004F16B7" w:rsidRPr="00036220">
        <w:t>,</w:t>
      </w:r>
      <w:r w:rsidR="00EE21B7" w:rsidRPr="00036220">
        <w:t xml:space="preserve"> through NIDA</w:t>
      </w:r>
      <w:r w:rsidR="004F16B7" w:rsidRPr="00036220">
        <w:t>,</w:t>
      </w:r>
      <w:r w:rsidR="00EE21B7" w:rsidRPr="00036220">
        <w:t xml:space="preserve"> is partnering with FDA’s Center for Tobacco Products (CTP) </w:t>
      </w:r>
      <w:r w:rsidR="00A14E82" w:rsidRPr="00036220">
        <w:t xml:space="preserve">in a large-scale collaboration </w:t>
      </w:r>
      <w:r w:rsidR="003C10F6" w:rsidRPr="00036220">
        <w:t xml:space="preserve">to conduct the </w:t>
      </w:r>
      <w:r w:rsidR="004A2068" w:rsidRPr="00036220">
        <w:t>PATH Study</w:t>
      </w:r>
      <w:r w:rsidR="003C10F6" w:rsidRPr="00036220">
        <w:t>.</w:t>
      </w:r>
      <w:r w:rsidR="00BC3C01" w:rsidRPr="00036220">
        <w:t xml:space="preserve"> </w:t>
      </w:r>
      <w:r w:rsidR="00A14E82" w:rsidRPr="00036220">
        <w:t xml:space="preserve">This national longitudinal study of tobacco </w:t>
      </w:r>
      <w:r w:rsidR="004E3928" w:rsidRPr="00036220">
        <w:t xml:space="preserve">use </w:t>
      </w:r>
      <w:r w:rsidR="00A14E82" w:rsidRPr="00036220">
        <w:t>and health will</w:t>
      </w:r>
      <w:r w:rsidR="00CF6397" w:rsidRPr="00036220">
        <w:t xml:space="preserve"> enhance </w:t>
      </w:r>
      <w:r w:rsidRPr="00036220">
        <w:t xml:space="preserve">the evidence base </w:t>
      </w:r>
      <w:r w:rsidR="00A763E4">
        <w:t xml:space="preserve">available to </w:t>
      </w:r>
      <w:r w:rsidRPr="00036220">
        <w:t>the FDA by providing in-depth</w:t>
      </w:r>
      <w:r w:rsidR="00A14E82" w:rsidRPr="00036220">
        <w:t xml:space="preserve"> </w:t>
      </w:r>
      <w:r w:rsidR="004E3928" w:rsidRPr="00036220">
        <w:t>epidemiological</w:t>
      </w:r>
      <w:r w:rsidR="00CF6397" w:rsidRPr="00036220">
        <w:t xml:space="preserve">, population-based data on </w:t>
      </w:r>
      <w:r w:rsidR="00822561" w:rsidRPr="00036220">
        <w:t xml:space="preserve">the </w:t>
      </w:r>
      <w:r w:rsidR="00CF6397" w:rsidRPr="00036220">
        <w:t xml:space="preserve">use of </w:t>
      </w:r>
      <w:r w:rsidR="00413FC9" w:rsidRPr="00036220">
        <w:t xml:space="preserve">existing and emerging tobacco products; </w:t>
      </w:r>
      <w:r w:rsidR="005E55DB">
        <w:t>o</w:t>
      </w:r>
      <w:r w:rsidR="00A41D72" w:rsidRPr="00036220">
        <w:t xml:space="preserve">n </w:t>
      </w:r>
      <w:r w:rsidR="004E3928" w:rsidRPr="00036220">
        <w:t>attitudes and perceptions</w:t>
      </w:r>
      <w:r w:rsidR="003C75F4" w:rsidRPr="00036220">
        <w:t xml:space="preserve"> related to the use of </w:t>
      </w:r>
      <w:r w:rsidR="00446B15" w:rsidRPr="00036220">
        <w:t xml:space="preserve">different </w:t>
      </w:r>
      <w:r w:rsidR="009F767F" w:rsidRPr="00036220">
        <w:t xml:space="preserve">existing and emerging </w:t>
      </w:r>
      <w:r w:rsidR="00446B15" w:rsidRPr="00036220">
        <w:t>tobacco products;</w:t>
      </w:r>
      <w:r w:rsidR="001315FB" w:rsidRPr="00036220">
        <w:t xml:space="preserve"> </w:t>
      </w:r>
      <w:r w:rsidR="005E55DB">
        <w:t>o</w:t>
      </w:r>
      <w:r w:rsidR="00A41D72" w:rsidRPr="00036220">
        <w:t xml:space="preserve">n </w:t>
      </w:r>
      <w:r w:rsidR="00446B15" w:rsidRPr="00036220">
        <w:t xml:space="preserve">knowledge </w:t>
      </w:r>
      <w:r w:rsidR="003C75F4" w:rsidRPr="00036220">
        <w:t>of</w:t>
      </w:r>
      <w:r w:rsidR="00446B15" w:rsidRPr="00036220">
        <w:t xml:space="preserve"> the contents of tobacco products and </w:t>
      </w:r>
      <w:r w:rsidR="003C75F4" w:rsidRPr="00036220">
        <w:t xml:space="preserve">of </w:t>
      </w:r>
      <w:r w:rsidR="00446B15" w:rsidRPr="00036220">
        <w:t>the consequences of their use</w:t>
      </w:r>
      <w:r w:rsidR="003C75F4" w:rsidRPr="00036220">
        <w:t>;</w:t>
      </w:r>
      <w:r w:rsidR="00A41D72" w:rsidRPr="00036220">
        <w:t xml:space="preserve"> </w:t>
      </w:r>
      <w:r w:rsidR="005E55DB">
        <w:t>o</w:t>
      </w:r>
      <w:r w:rsidR="00A41D72" w:rsidRPr="00036220">
        <w:t>n tobacco-use cessation attempts</w:t>
      </w:r>
      <w:r w:rsidR="005E55DB">
        <w:t>,</w:t>
      </w:r>
      <w:r w:rsidR="00A41D72" w:rsidRPr="00036220">
        <w:t xml:space="preserve"> rates of relapse, and product switching, such as from one product to another perceived to be less risky; </w:t>
      </w:r>
      <w:r w:rsidR="005E55DB">
        <w:t>o</w:t>
      </w:r>
      <w:r w:rsidR="005C0549" w:rsidRPr="00036220">
        <w:t>n biomarkers of tobacco exposure</w:t>
      </w:r>
      <w:r w:rsidR="00E17400">
        <w:t>;</w:t>
      </w:r>
      <w:r w:rsidR="005C0549" w:rsidRPr="00036220">
        <w:t xml:space="preserve"> </w:t>
      </w:r>
      <w:r w:rsidR="003A7F5A" w:rsidRPr="00036220">
        <w:t xml:space="preserve">and </w:t>
      </w:r>
      <w:r w:rsidR="00E17400">
        <w:t>o</w:t>
      </w:r>
      <w:r w:rsidR="00A41D72" w:rsidRPr="00036220">
        <w:t xml:space="preserve">n </w:t>
      </w:r>
      <w:r w:rsidR="001F7DB7" w:rsidRPr="00036220">
        <w:t xml:space="preserve">indicators of </w:t>
      </w:r>
      <w:r w:rsidR="009F08BC" w:rsidRPr="00036220">
        <w:t xml:space="preserve">tobacco-use related </w:t>
      </w:r>
      <w:r w:rsidR="003C75F4" w:rsidRPr="00036220">
        <w:t xml:space="preserve">health </w:t>
      </w:r>
      <w:r w:rsidR="009F08BC" w:rsidRPr="00036220">
        <w:t>conditions and disease processes.</w:t>
      </w:r>
    </w:p>
    <w:p w:rsidR="00B113E9" w:rsidRPr="00036220" w:rsidRDefault="00B113E9" w:rsidP="009E6590">
      <w:pPr>
        <w:pStyle w:val="L1-FlLSp12"/>
      </w:pPr>
    </w:p>
    <w:p w:rsidR="00BC3C01" w:rsidRPr="00A2734E" w:rsidRDefault="00B113E9" w:rsidP="009E6590">
      <w:pPr>
        <w:pStyle w:val="L1-FlLSp12"/>
      </w:pPr>
      <w:r w:rsidRPr="00036220">
        <w:t xml:space="preserve">By virtue of its longitudinal </w:t>
      </w:r>
      <w:r w:rsidR="00DE2F2E" w:rsidRPr="00036220">
        <w:t xml:space="preserve">cohort </w:t>
      </w:r>
      <w:r w:rsidRPr="00036220">
        <w:t xml:space="preserve">design, the PATH Study provides </w:t>
      </w:r>
      <w:r w:rsidR="00A41D72" w:rsidRPr="00036220">
        <w:t>a</w:t>
      </w:r>
      <w:r w:rsidRPr="00036220">
        <w:t xml:space="preserve"> unique opportunity to monitor and assess behavioral and biological </w:t>
      </w:r>
      <w:r w:rsidR="009F08BC" w:rsidRPr="00036220">
        <w:t xml:space="preserve">between-person differences and </w:t>
      </w:r>
      <w:r w:rsidRPr="00036220">
        <w:t xml:space="preserve">within-person changes over time in tobacco-product use and </w:t>
      </w:r>
      <w:r w:rsidR="007458A0" w:rsidRPr="00036220">
        <w:t xml:space="preserve">potentially </w:t>
      </w:r>
      <w:r w:rsidR="009F08BC" w:rsidRPr="00036220">
        <w:t xml:space="preserve">related </w:t>
      </w:r>
      <w:r w:rsidRPr="00036220">
        <w:t>health</w:t>
      </w:r>
      <w:r w:rsidR="009F08BC" w:rsidRPr="00036220">
        <w:t xml:space="preserve"> conditions</w:t>
      </w:r>
      <w:r w:rsidRPr="00036220">
        <w:t>.</w:t>
      </w:r>
      <w:r w:rsidR="009E6590" w:rsidRPr="00036220">
        <w:t xml:space="preserve"> </w:t>
      </w:r>
      <w:r w:rsidRPr="00036220">
        <w:t xml:space="preserve">Its cumulative </w:t>
      </w:r>
      <w:r w:rsidR="003C75F4" w:rsidRPr="00036220">
        <w:t xml:space="preserve">data </w:t>
      </w:r>
      <w:r w:rsidR="0052743F" w:rsidRPr="00036220">
        <w:t xml:space="preserve">will </w:t>
      </w:r>
      <w:r w:rsidR="00735BCE" w:rsidRPr="00036220">
        <w:t xml:space="preserve">provide </w:t>
      </w:r>
      <w:r w:rsidR="00CF6397" w:rsidRPr="00036220">
        <w:t>p</w:t>
      </w:r>
      <w:r w:rsidR="00735BCE" w:rsidRPr="00036220">
        <w:t xml:space="preserve">opulation-based evidence on </w:t>
      </w:r>
      <w:r w:rsidR="0052743F" w:rsidRPr="00036220">
        <w:t>tobacco use behaviors</w:t>
      </w:r>
      <w:r w:rsidR="00BD7E01" w:rsidRPr="00036220">
        <w:t>, attitudes</w:t>
      </w:r>
      <w:r w:rsidR="009F08BC" w:rsidRPr="00036220">
        <w:t>,</w:t>
      </w:r>
      <w:r w:rsidR="0052743F" w:rsidRPr="00036220">
        <w:t xml:space="preserve"> </w:t>
      </w:r>
      <w:r w:rsidR="00A763E4">
        <w:t>exposures,</w:t>
      </w:r>
      <w:r w:rsidR="00573C23">
        <w:t xml:space="preserve"> </w:t>
      </w:r>
      <w:r w:rsidR="0052743F" w:rsidRPr="00036220">
        <w:t>and health</w:t>
      </w:r>
      <w:r w:rsidR="00735BCE" w:rsidRPr="00036220">
        <w:t xml:space="preserve"> in the United States</w:t>
      </w:r>
      <w:r w:rsidR="008F1CC2" w:rsidRPr="00036220">
        <w:t xml:space="preserve"> to help inform</w:t>
      </w:r>
      <w:r w:rsidRPr="00036220">
        <w:t xml:space="preserve"> </w:t>
      </w:r>
      <w:r w:rsidR="009F08BC" w:rsidRPr="00036220">
        <w:t xml:space="preserve">the evidence base the </w:t>
      </w:r>
      <w:r w:rsidR="00E846A8" w:rsidRPr="00036220">
        <w:t>FDA</w:t>
      </w:r>
      <w:r w:rsidR="009F08BC" w:rsidRPr="00036220">
        <w:t xml:space="preserve"> </w:t>
      </w:r>
      <w:r w:rsidR="00573C23">
        <w:t xml:space="preserve">uses </w:t>
      </w:r>
      <w:r w:rsidR="009F08BC" w:rsidRPr="00036220">
        <w:t xml:space="preserve">to fulfill its regulatory authorities under the TCA and to </w:t>
      </w:r>
      <w:r w:rsidR="008F1CC2" w:rsidRPr="00036220">
        <w:t>reduc</w:t>
      </w:r>
      <w:r w:rsidR="009F08BC" w:rsidRPr="00036220">
        <w:t>e</w:t>
      </w:r>
      <w:r w:rsidR="008F1CC2" w:rsidRPr="00036220">
        <w:t xml:space="preserve"> the Nation’s burden of</w:t>
      </w:r>
      <w:r w:rsidRPr="00036220">
        <w:t xml:space="preserve"> t</w:t>
      </w:r>
      <w:r w:rsidR="000941A2" w:rsidRPr="00036220">
        <w:t>obacco-related disease</w:t>
      </w:r>
      <w:r w:rsidR="00095878" w:rsidRPr="00036220">
        <w:t>s</w:t>
      </w:r>
      <w:r w:rsidR="000941A2" w:rsidRPr="00036220">
        <w:t>, disabilit</w:t>
      </w:r>
      <w:r w:rsidR="00095878" w:rsidRPr="00036220">
        <w:t>ies</w:t>
      </w:r>
      <w:r w:rsidR="000941A2" w:rsidRPr="00036220">
        <w:t>, and death</w:t>
      </w:r>
      <w:r w:rsidR="00095878" w:rsidRPr="00036220">
        <w:t>s</w:t>
      </w:r>
      <w:r w:rsidR="008F1CC2" w:rsidRPr="00036220">
        <w:t>.</w:t>
      </w:r>
    </w:p>
    <w:p w:rsidR="009E6590" w:rsidRDefault="009E6590" w:rsidP="009E6590">
      <w:pPr>
        <w:pStyle w:val="L1-FlLSp12"/>
      </w:pPr>
    </w:p>
    <w:p w:rsidR="00AC2E44" w:rsidRPr="00AC2E44" w:rsidRDefault="00AC2E44" w:rsidP="009E6590">
      <w:pPr>
        <w:pStyle w:val="L1-FlLSp12"/>
      </w:pPr>
    </w:p>
    <w:p w:rsidR="002F7ABC" w:rsidRPr="00A2734E" w:rsidRDefault="002F7ABC" w:rsidP="009E6590">
      <w:pPr>
        <w:pStyle w:val="Heading2"/>
      </w:pPr>
      <w:r w:rsidRPr="00A2734E">
        <w:t>A.2</w:t>
      </w:r>
      <w:r w:rsidRPr="00A2734E">
        <w:tab/>
        <w:t>Purpose and Use of the Information Collection</w:t>
      </w:r>
    </w:p>
    <w:p w:rsidR="002F7ABC" w:rsidRPr="00A2734E" w:rsidRDefault="00B92901" w:rsidP="009E6590">
      <w:pPr>
        <w:pStyle w:val="Heading3"/>
      </w:pPr>
      <w:r w:rsidRPr="00A2734E">
        <w:t>A.2a</w:t>
      </w:r>
      <w:r w:rsidR="003C69E4" w:rsidRPr="00A2734E">
        <w:tab/>
      </w:r>
      <w:r w:rsidR="002F7ABC" w:rsidRPr="00A2734E">
        <w:t>Objectives and Purposes/Uses</w:t>
      </w:r>
    </w:p>
    <w:p w:rsidR="009E6590" w:rsidRPr="00A36ACE" w:rsidRDefault="00440A74" w:rsidP="009E6590">
      <w:pPr>
        <w:pStyle w:val="L1-FlLSp12"/>
      </w:pPr>
      <w:r>
        <w:t xml:space="preserve">In broad terms, the PATH Study’s overarching mission is to gather and </w:t>
      </w:r>
      <w:r w:rsidRPr="005C0549">
        <w:t>analyze epidemiological and</w:t>
      </w:r>
      <w:r>
        <w:t xml:space="preserve"> longitudinal data on </w:t>
      </w:r>
      <w:r w:rsidR="0060343D">
        <w:t xml:space="preserve">the </w:t>
      </w:r>
      <w:r>
        <w:t xml:space="preserve">use of the full range of </w:t>
      </w:r>
      <w:r w:rsidR="00105FD5" w:rsidRPr="004949CC">
        <w:t xml:space="preserve">tobacco products available now and in the future to enhance the scientific basis for FDA’s regulatory decisions and actions, as well as the missions of NIH and other agencies within HHS in service to the Nation's public health. </w:t>
      </w:r>
      <w:r w:rsidR="0053318C">
        <w:t>Components of the study</w:t>
      </w:r>
      <w:r>
        <w:t xml:space="preserve"> </w:t>
      </w:r>
      <w:r w:rsidR="00A30508">
        <w:t>include</w:t>
      </w:r>
      <w:r>
        <w:t xml:space="preserve"> conducting a</w:t>
      </w:r>
      <w:r w:rsidR="00A30508">
        <w:t xml:space="preserve">nnual </w:t>
      </w:r>
      <w:r w:rsidR="00755AB5">
        <w:t>computer-assisted interviews on</w:t>
      </w:r>
      <w:r w:rsidR="00A30508">
        <w:t xml:space="preserve"> </w:t>
      </w:r>
      <w:r>
        <w:t>tobacco-product use behaviors</w:t>
      </w:r>
      <w:r w:rsidR="00755AB5">
        <w:t xml:space="preserve"> from </w:t>
      </w:r>
      <w:r w:rsidR="00A30508">
        <w:t xml:space="preserve">a national </w:t>
      </w:r>
      <w:r w:rsidR="00755AB5">
        <w:t xml:space="preserve">longitudinal </w:t>
      </w:r>
      <w:r w:rsidR="00D07465">
        <w:t xml:space="preserve">baseline </w:t>
      </w:r>
      <w:r w:rsidR="00A30508">
        <w:t xml:space="preserve">cohort of </w:t>
      </w:r>
      <w:r w:rsidR="00836E9C">
        <w:t>45,675</w:t>
      </w:r>
      <w:r w:rsidR="00A30508">
        <w:t xml:space="preserve"> current, former, and never tobacco product users ages 12 years and older</w:t>
      </w:r>
      <w:r w:rsidR="0060343D">
        <w:t>.</w:t>
      </w:r>
      <w:r w:rsidR="00C1130C">
        <w:t xml:space="preserve"> </w:t>
      </w:r>
      <w:r w:rsidR="0060343D">
        <w:t>I</w:t>
      </w:r>
      <w:r w:rsidR="00C1130C">
        <w:t>n addition</w:t>
      </w:r>
      <w:r w:rsidR="002318CE">
        <w:t xml:space="preserve">, in Wave 2, </w:t>
      </w:r>
      <w:proofErr w:type="spellStart"/>
      <w:r w:rsidR="00C1130C">
        <w:t>biospecimens</w:t>
      </w:r>
      <w:proofErr w:type="spellEnd"/>
      <w:r w:rsidR="00C1130C">
        <w:t xml:space="preserve"> </w:t>
      </w:r>
      <w:r w:rsidR="00755AB5">
        <w:t xml:space="preserve">(urine and blood) </w:t>
      </w:r>
      <w:r w:rsidR="002318CE">
        <w:t>are collected from two subgroups of PATH Study respondents</w:t>
      </w:r>
      <w:r w:rsidR="00755AB5">
        <w:t xml:space="preserve"> to </w:t>
      </w:r>
      <w:r w:rsidR="00C1130C">
        <w:t>assess</w:t>
      </w:r>
      <w:r w:rsidR="00755AB5">
        <w:t xml:space="preserve"> </w:t>
      </w:r>
      <w:r w:rsidR="00710CC0">
        <w:t xml:space="preserve">biological indicators of tobacco-related </w:t>
      </w:r>
      <w:r w:rsidR="00755AB5" w:rsidRPr="00A2734E">
        <w:lastRenderedPageBreak/>
        <w:t>exposure</w:t>
      </w:r>
      <w:r w:rsidR="00710CC0">
        <w:t>s</w:t>
      </w:r>
      <w:r w:rsidR="00755AB5" w:rsidRPr="00A2734E">
        <w:t xml:space="preserve"> and </w:t>
      </w:r>
      <w:r w:rsidR="00C1130C">
        <w:t xml:space="preserve">to </w:t>
      </w:r>
      <w:r w:rsidR="00755AB5" w:rsidRPr="00A2734E">
        <w:t xml:space="preserve">monitor </w:t>
      </w:r>
      <w:r w:rsidR="009F08BC">
        <w:t xml:space="preserve">between-person differences and </w:t>
      </w:r>
      <w:r w:rsidR="00755AB5">
        <w:t xml:space="preserve">within-person </w:t>
      </w:r>
      <w:r w:rsidR="00C1130C">
        <w:t>changes</w:t>
      </w:r>
      <w:r w:rsidR="00755AB5" w:rsidRPr="00A2734E">
        <w:t xml:space="preserve"> </w:t>
      </w:r>
      <w:r w:rsidR="00755AB5">
        <w:t xml:space="preserve">over time </w:t>
      </w:r>
      <w:r w:rsidR="00C1130C">
        <w:t>in</w:t>
      </w:r>
      <w:r w:rsidR="00755AB5" w:rsidRPr="00A2734E">
        <w:t xml:space="preserve"> </w:t>
      </w:r>
      <w:r w:rsidR="00710CC0">
        <w:t xml:space="preserve">measures of </w:t>
      </w:r>
      <w:r w:rsidR="00755AB5" w:rsidRPr="00A2734E">
        <w:t>tobacco use-related harm</w:t>
      </w:r>
      <w:r w:rsidR="00755AB5">
        <w:t>.</w:t>
      </w:r>
      <w:r w:rsidR="00836E9C">
        <w:rPr>
          <w:rStyle w:val="FootnoteReference"/>
        </w:rPr>
        <w:footnoteReference w:id="2"/>
      </w:r>
      <w:r w:rsidR="00A074C4">
        <w:t xml:space="preserve"> </w:t>
      </w:r>
      <w:r w:rsidR="00C65F1D">
        <w:t>First, u</w:t>
      </w:r>
      <w:r w:rsidR="002318CE">
        <w:t xml:space="preserve">rine specimens will be collected </w:t>
      </w:r>
      <w:r w:rsidR="00C65F1D">
        <w:t xml:space="preserve">in Wave 2 </w:t>
      </w:r>
      <w:r w:rsidR="002318CE">
        <w:t xml:space="preserve">from a subgroup of 10,000 “core respondents,” adults who completed the </w:t>
      </w:r>
      <w:r w:rsidR="009E596E">
        <w:t xml:space="preserve">Wave 2 </w:t>
      </w:r>
      <w:r w:rsidR="002318CE">
        <w:t>interview and provided urine and blood specimens in the baseline wave.</w:t>
      </w:r>
      <w:r w:rsidR="00A074C4">
        <w:t xml:space="preserve"> </w:t>
      </w:r>
      <w:r w:rsidR="002318CE">
        <w:t>The PATH Study plans to collect urine specimens again in Wave 3 from this subgroup of 10,000 respondents and, in the event that respondents from th</w:t>
      </w:r>
      <w:r w:rsidR="009E596E">
        <w:t>e</w:t>
      </w:r>
      <w:r w:rsidR="002318CE">
        <w:t xml:space="preserve"> group leave the study, to replenish the sample to maintain a target of 10,000 continuing adult respondents who provide an annual urine specimen</w:t>
      </w:r>
      <w:r w:rsidR="009E596E">
        <w:t>.</w:t>
      </w:r>
      <w:r w:rsidR="00A074C4">
        <w:t xml:space="preserve"> </w:t>
      </w:r>
      <w:r w:rsidR="009E596E">
        <w:t xml:space="preserve">Second, </w:t>
      </w:r>
      <w:proofErr w:type="spellStart"/>
      <w:r w:rsidR="00021ADE">
        <w:t>biospecimens</w:t>
      </w:r>
      <w:proofErr w:type="spellEnd"/>
      <w:r w:rsidR="00021ADE">
        <w:t xml:space="preserve"> </w:t>
      </w:r>
      <w:r w:rsidR="00C65F1D">
        <w:t xml:space="preserve">will be </w:t>
      </w:r>
      <w:r w:rsidR="00021ADE">
        <w:t xml:space="preserve">collected in Wave 2 </w:t>
      </w:r>
      <w:r w:rsidR="00C65F1D">
        <w:t xml:space="preserve">from </w:t>
      </w:r>
      <w:r w:rsidR="00021ADE">
        <w:t xml:space="preserve">the </w:t>
      </w:r>
      <w:r w:rsidR="0018652C">
        <w:t xml:space="preserve">subgroup of </w:t>
      </w:r>
      <w:r w:rsidR="00021ADE">
        <w:t>aging-in adults, that is, youth from the baseline wave who turn 18 and continue into the adult cohort. The PATH Study plans to collect urine and blood specimens from these “new baseline” adult respondents.</w:t>
      </w:r>
    </w:p>
    <w:p w:rsidR="00AF051F" w:rsidRPr="00A2734E" w:rsidRDefault="00AF051F" w:rsidP="009E6590">
      <w:pPr>
        <w:pStyle w:val="L1-FlLSp12"/>
      </w:pPr>
    </w:p>
    <w:p w:rsidR="009E6590" w:rsidRDefault="00AF051F" w:rsidP="009E6590">
      <w:pPr>
        <w:pStyle w:val="L1-FlLSp12"/>
      </w:pPr>
      <w:r w:rsidRPr="00A2734E">
        <w:t xml:space="preserve">The </w:t>
      </w:r>
      <w:r w:rsidR="004A2068" w:rsidRPr="00A2734E">
        <w:t>PATH Study</w:t>
      </w:r>
      <w:r w:rsidRPr="00A2734E">
        <w:t xml:space="preserve"> has </w:t>
      </w:r>
      <w:r w:rsidR="0008256D">
        <w:t>eight</w:t>
      </w:r>
      <w:r w:rsidRPr="00A2734E">
        <w:t xml:space="preserve"> overarching objectives rooted in the </w:t>
      </w:r>
      <w:r w:rsidR="001F7DB7">
        <w:t xml:space="preserve">scientific partnership between NIDA and FDA </w:t>
      </w:r>
      <w:r w:rsidR="001F7DB7" w:rsidRPr="00A2734E">
        <w:t xml:space="preserve">to </w:t>
      </w:r>
      <w:r w:rsidR="001F7DB7">
        <w:t xml:space="preserve">enhance the evidence base </w:t>
      </w:r>
      <w:r w:rsidR="0053318C">
        <w:t xml:space="preserve">available to </w:t>
      </w:r>
      <w:r w:rsidR="001F7DB7">
        <w:t xml:space="preserve">FDA </w:t>
      </w:r>
      <w:r w:rsidR="00036220">
        <w:t>to inform its regulatory decisions and</w:t>
      </w:r>
      <w:r w:rsidR="00016337">
        <w:t xml:space="preserve"> </w:t>
      </w:r>
      <w:r w:rsidR="0053318C">
        <w:t>development of</w:t>
      </w:r>
      <w:r w:rsidR="001F7DB7">
        <w:t xml:space="preserve"> regulatory actions under the TCA.</w:t>
      </w:r>
      <w:r w:rsidR="00B04E66" w:rsidRPr="00B04E66">
        <w:t xml:space="preserve"> </w:t>
      </w:r>
      <w:r w:rsidR="00790065">
        <w:t>Its</w:t>
      </w:r>
      <w:r w:rsidR="00B04E66">
        <w:t xml:space="preserve"> longitudinal design</w:t>
      </w:r>
      <w:r w:rsidR="00D656BE">
        <w:t xml:space="preserve"> allows for the recurring and sequential</w:t>
      </w:r>
      <w:r w:rsidR="00790065">
        <w:t xml:space="preserve"> achievement of each objective</w:t>
      </w:r>
      <w:r w:rsidR="00697B74">
        <w:t xml:space="preserve">, </w:t>
      </w:r>
      <w:r w:rsidR="00B04E66">
        <w:t xml:space="preserve">i.e., </w:t>
      </w:r>
      <w:r w:rsidR="00D656BE">
        <w:t xml:space="preserve">data </w:t>
      </w:r>
      <w:r w:rsidR="00790065">
        <w:t>from</w:t>
      </w:r>
      <w:r w:rsidR="00E339AF">
        <w:t xml:space="preserve"> the baseline wave will partially </w:t>
      </w:r>
      <w:r w:rsidR="00790065">
        <w:t>address</w:t>
      </w:r>
      <w:r w:rsidR="00E339AF">
        <w:t xml:space="preserve"> each objective</w:t>
      </w:r>
      <w:r w:rsidR="00790065">
        <w:t xml:space="preserve"> and provide a basis for </w:t>
      </w:r>
      <w:r w:rsidR="00E339AF">
        <w:t xml:space="preserve">comparisons with data collected in </w:t>
      </w:r>
      <w:r w:rsidR="00790065">
        <w:t xml:space="preserve">the </w:t>
      </w:r>
      <w:r w:rsidR="00600EBE">
        <w:t>follow-up</w:t>
      </w:r>
      <w:r w:rsidR="00790065">
        <w:t xml:space="preserve"> wave</w:t>
      </w:r>
      <w:r w:rsidR="002F7034">
        <w:t>s</w:t>
      </w:r>
      <w:r w:rsidR="00790065">
        <w:t>.</w:t>
      </w:r>
      <w:r w:rsidR="009E6590">
        <w:t xml:space="preserve"> </w:t>
      </w:r>
      <w:r w:rsidR="00790065">
        <w:t xml:space="preserve">Similarly, data collected from </w:t>
      </w:r>
      <w:r w:rsidR="008C4D1D">
        <w:t>Wave</w:t>
      </w:r>
      <w:r w:rsidR="00D07465">
        <w:t xml:space="preserve"> 2</w:t>
      </w:r>
      <w:r w:rsidR="00790065">
        <w:t xml:space="preserve"> will be helpful for informing </w:t>
      </w:r>
      <w:r w:rsidR="00D07465">
        <w:t xml:space="preserve">Wave 3 </w:t>
      </w:r>
      <w:r w:rsidR="00A202EB">
        <w:t>(</w:t>
      </w:r>
      <w:r w:rsidR="00D07465">
        <w:t xml:space="preserve">and </w:t>
      </w:r>
      <w:r w:rsidR="00A202EB">
        <w:t>potential future waves)</w:t>
      </w:r>
      <w:r w:rsidR="00790065">
        <w:t xml:space="preserve">, for comparing data between waves, and for examining </w:t>
      </w:r>
      <w:r w:rsidR="001F7DB7">
        <w:t xml:space="preserve">between-person differences and within-person changes </w:t>
      </w:r>
      <w:r w:rsidR="00790065">
        <w:t>over time.</w:t>
      </w:r>
      <w:r w:rsidR="009E6590">
        <w:t xml:space="preserve"> </w:t>
      </w:r>
      <w:r w:rsidR="0092163F">
        <w:t xml:space="preserve">Thus, </w:t>
      </w:r>
      <w:r w:rsidR="00B04E66">
        <w:t xml:space="preserve">the </w:t>
      </w:r>
      <w:r w:rsidR="00EF54FC">
        <w:t xml:space="preserve">PATH Study’s </w:t>
      </w:r>
      <w:r w:rsidR="00B04E66">
        <w:t>objectives</w:t>
      </w:r>
      <w:r w:rsidR="0053318C">
        <w:t xml:space="preserve"> will </w:t>
      </w:r>
      <w:r w:rsidR="000C2079">
        <w:t>be</w:t>
      </w:r>
      <w:r w:rsidR="00EF54FC">
        <w:t xml:space="preserve"> </w:t>
      </w:r>
      <w:r w:rsidR="00B04E66">
        <w:t>achieved iteratively and cumulatively over time</w:t>
      </w:r>
      <w:r w:rsidR="003044F3">
        <w:t xml:space="preserve">; they are numbered </w:t>
      </w:r>
      <w:r w:rsidR="000C2079">
        <w:t xml:space="preserve">here </w:t>
      </w:r>
      <w:r w:rsidR="003044F3">
        <w:t>for convenience</w:t>
      </w:r>
      <w:r w:rsidR="000C2079">
        <w:t xml:space="preserve"> purposes only. </w:t>
      </w:r>
      <w:r w:rsidR="00B04E66">
        <w:t>The objectives are:</w:t>
      </w:r>
    </w:p>
    <w:p w:rsidR="00036220" w:rsidRPr="003569DE" w:rsidRDefault="00036220" w:rsidP="009E6590">
      <w:pPr>
        <w:pStyle w:val="L1-FlLSp12"/>
      </w:pPr>
    </w:p>
    <w:p w:rsidR="00A9353F" w:rsidRPr="004549C1" w:rsidRDefault="00A9353F" w:rsidP="003569DE">
      <w:pPr>
        <w:pStyle w:val="N1-1stBullet"/>
        <w:numPr>
          <w:ilvl w:val="0"/>
          <w:numId w:val="33"/>
        </w:numPr>
        <w:rPr>
          <w:b/>
        </w:rPr>
      </w:pPr>
      <w:r w:rsidRPr="004549C1">
        <w:rPr>
          <w:b/>
        </w:rPr>
        <w:t xml:space="preserve">Objective 1: </w:t>
      </w:r>
      <w:r w:rsidRPr="00BE1BB0">
        <w:rPr>
          <w:color w:val="000000"/>
          <w:szCs w:val="24"/>
        </w:rPr>
        <w:t>Identify and explain between-person differences and within-person changes in tobacco-use patterns, including the rate and length of use by specific product type and brand, product/brand switching over time, uptake of new products, and dual- and poly-use of tobacco products (i.e., use of multiple products within the same time period, and switching between multiple products).</w:t>
      </w:r>
    </w:p>
    <w:p w:rsidR="00A9353F" w:rsidRPr="003569DE" w:rsidRDefault="00A9353F" w:rsidP="003569DE">
      <w:pPr>
        <w:pStyle w:val="N1-1stBullet"/>
        <w:numPr>
          <w:ilvl w:val="0"/>
          <w:numId w:val="33"/>
        </w:numPr>
        <w:rPr>
          <w:b/>
        </w:rPr>
      </w:pPr>
      <w:r w:rsidRPr="003569DE">
        <w:rPr>
          <w:b/>
        </w:rPr>
        <w:t xml:space="preserve">Objective 2: </w:t>
      </w:r>
      <w:r w:rsidRPr="003569DE">
        <w:t xml:space="preserve">Identify between-person differences and within-person changes in risk perceptions regarding harmful </w:t>
      </w:r>
      <w:r w:rsidR="001F7DB7" w:rsidRPr="003569DE">
        <w:t xml:space="preserve">and potentially harmful </w:t>
      </w:r>
      <w:r w:rsidRPr="003569DE">
        <w:t xml:space="preserve">constituents, new and emerging tobacco products, filters and other design features </w:t>
      </w:r>
      <w:r w:rsidR="001F7DB7" w:rsidRPr="003569DE">
        <w:t>of</w:t>
      </w:r>
      <w:r w:rsidRPr="003569DE">
        <w:t xml:space="preserve"> tobacco products, packaging, and labeling; and, identify other factors that may affect use, such as</w:t>
      </w:r>
      <w:r w:rsidR="00091409" w:rsidRPr="003569DE">
        <w:t xml:space="preserve"> social influences</w:t>
      </w:r>
      <w:r w:rsidRPr="003569DE">
        <w:t xml:space="preserve"> and individual preferences.</w:t>
      </w:r>
    </w:p>
    <w:p w:rsidR="00A074C4" w:rsidRDefault="00A9353F" w:rsidP="00681E49">
      <w:pPr>
        <w:pStyle w:val="N1-1stBullet"/>
        <w:numPr>
          <w:ilvl w:val="0"/>
          <w:numId w:val="33"/>
        </w:numPr>
        <w:rPr>
          <w:color w:val="000000"/>
          <w:szCs w:val="24"/>
        </w:rPr>
      </w:pPr>
      <w:r w:rsidRPr="003569DE">
        <w:rPr>
          <w:b/>
        </w:rPr>
        <w:lastRenderedPageBreak/>
        <w:t xml:space="preserve">Objective 3: </w:t>
      </w:r>
      <w:r w:rsidRPr="003569DE">
        <w:rPr>
          <w:color w:val="000000"/>
          <w:szCs w:val="24"/>
        </w:rPr>
        <w:t xml:space="preserve">Characterize the natural history of tobacco </w:t>
      </w:r>
      <w:r w:rsidR="00D03814">
        <w:rPr>
          <w:color w:val="000000"/>
          <w:szCs w:val="24"/>
        </w:rPr>
        <w:t xml:space="preserve">dependence, </w:t>
      </w:r>
      <w:r w:rsidRPr="003569DE">
        <w:rPr>
          <w:color w:val="000000"/>
          <w:szCs w:val="24"/>
        </w:rPr>
        <w:t>cessation</w:t>
      </w:r>
      <w:r w:rsidR="00D03814">
        <w:rPr>
          <w:color w:val="000000"/>
          <w:szCs w:val="24"/>
        </w:rPr>
        <w:t>,</w:t>
      </w:r>
      <w:r w:rsidRPr="003569DE">
        <w:rPr>
          <w:color w:val="000000"/>
          <w:szCs w:val="24"/>
        </w:rPr>
        <w:t xml:space="preserve"> and relapse including readiness and self-efficacy to quit, motivations for quitting, the number and length of quit attempts, </w:t>
      </w:r>
      <w:r w:rsidR="00D03814">
        <w:rPr>
          <w:color w:val="000000"/>
          <w:szCs w:val="24"/>
        </w:rPr>
        <w:t>and</w:t>
      </w:r>
      <w:r w:rsidRPr="003569DE">
        <w:rPr>
          <w:color w:val="000000"/>
          <w:szCs w:val="24"/>
        </w:rPr>
        <w:t xml:space="preserve"> the length of abstinence</w:t>
      </w:r>
      <w:r w:rsidR="00091409" w:rsidRPr="003569DE">
        <w:rPr>
          <w:color w:val="000000"/>
          <w:szCs w:val="24"/>
        </w:rPr>
        <w:t xml:space="preserve"> related to various tobacco products.</w:t>
      </w:r>
    </w:p>
    <w:p w:rsidR="00573C23" w:rsidRDefault="00573C23" w:rsidP="00573C23">
      <w:pPr>
        <w:pStyle w:val="N1-1stBullet"/>
        <w:numPr>
          <w:ilvl w:val="0"/>
          <w:numId w:val="33"/>
        </w:numPr>
        <w:tabs>
          <w:tab w:val="left" w:pos="720"/>
        </w:tabs>
      </w:pPr>
      <w:r w:rsidRPr="009A57F0">
        <w:rPr>
          <w:b/>
        </w:rPr>
        <w:t>Objective 4</w:t>
      </w:r>
      <w:r>
        <w:t xml:space="preserve">: Update the comprehensive baseline on tobacco-use behaviors and related health conditions (including markers of exposure and tobacco-related disease processes identified from the collection and analysis of </w:t>
      </w:r>
      <w:proofErr w:type="spellStart"/>
      <w:r>
        <w:t>biospecimens</w:t>
      </w:r>
      <w:proofErr w:type="spellEnd"/>
      <w:r>
        <w:t>) to assess between-person differences and within-person changes over time in health conditions potentially related to tobacco use, particularly with use of new and different tobacco products, including modified-risk tobacco products. This comprehensive baseline may also facilitate the selection of individuals by disease status, biomarker levels, or tobacco use status for participation in small-scale research studies (see Objective 8).</w:t>
      </w:r>
    </w:p>
    <w:p w:rsidR="00A074C4" w:rsidRDefault="00A9353F" w:rsidP="00145770">
      <w:pPr>
        <w:pStyle w:val="N1-1stBullet"/>
        <w:numPr>
          <w:ilvl w:val="0"/>
          <w:numId w:val="33"/>
        </w:numPr>
      </w:pPr>
      <w:r w:rsidRPr="00737FC6">
        <w:rPr>
          <w:b/>
        </w:rPr>
        <w:t xml:space="preserve">Objective 5: </w:t>
      </w:r>
      <w:r w:rsidRPr="00737FC6">
        <w:t>Assess associations between TCA-specific actions</w:t>
      </w:r>
      <w:r w:rsidR="000C259B">
        <w:t xml:space="preserve"> </w:t>
      </w:r>
      <w:r w:rsidRPr="00737FC6">
        <w:t>and tobacco-product use, risk perceptions and attitudes, use patterns, cessation outcomes, and tobacco-related intermediate endpoints</w:t>
      </w:r>
      <w:r w:rsidR="0031076D">
        <w:t xml:space="preserve"> (e.g., exposure and disease biomarker levels). Analys</w:t>
      </w:r>
      <w:r w:rsidR="0008256D">
        <w:t>e</w:t>
      </w:r>
      <w:r w:rsidR="0031076D">
        <w:t xml:space="preserve">s will attempt to </w:t>
      </w:r>
      <w:r w:rsidRPr="00737FC6">
        <w:t xml:space="preserve">account </w:t>
      </w:r>
      <w:r w:rsidR="00145770">
        <w:t xml:space="preserve">for </w:t>
      </w:r>
      <w:r w:rsidRPr="00737FC6">
        <w:t xml:space="preserve">other </w:t>
      </w:r>
      <w:r w:rsidR="0031076D">
        <w:t>potential factors</w:t>
      </w:r>
      <w:r w:rsidR="00145770">
        <w:t xml:space="preserve">, such as </w:t>
      </w:r>
      <w:r w:rsidR="00145770" w:rsidRPr="00145770">
        <w:t>demographics, local tobacco-control policies</w:t>
      </w:r>
      <w:r w:rsidR="00145770">
        <w:t>,</w:t>
      </w:r>
      <w:r w:rsidR="00145770" w:rsidRPr="00145770">
        <w:t xml:space="preserve"> and </w:t>
      </w:r>
      <w:r w:rsidR="00145770">
        <w:t>social, familial, and ec</w:t>
      </w:r>
      <w:r w:rsidR="00145770" w:rsidRPr="00145770">
        <w:t>onomic factors</w:t>
      </w:r>
      <w:r w:rsidR="00145770">
        <w:t>, that may</w:t>
      </w:r>
      <w:r w:rsidR="0031076D">
        <w:t xml:space="preserve"> influenc</w:t>
      </w:r>
      <w:r w:rsidR="00145770">
        <w:t>e</w:t>
      </w:r>
      <w:r w:rsidR="0031076D">
        <w:t xml:space="preserve"> the observed patterns</w:t>
      </w:r>
      <w:r w:rsidR="00C966E4">
        <w:t>.</w:t>
      </w:r>
    </w:p>
    <w:p w:rsidR="00A9353F" w:rsidRPr="004549C1" w:rsidRDefault="00A9353F" w:rsidP="003569DE">
      <w:pPr>
        <w:pStyle w:val="N1-1stBullet"/>
        <w:numPr>
          <w:ilvl w:val="0"/>
          <w:numId w:val="33"/>
        </w:numPr>
        <w:rPr>
          <w:b/>
        </w:rPr>
      </w:pPr>
      <w:r w:rsidRPr="004549C1">
        <w:rPr>
          <w:b/>
        </w:rPr>
        <w:t xml:space="preserve">Objective 6: </w:t>
      </w:r>
      <w:r w:rsidRPr="00BE1BB0">
        <w:rPr>
          <w:color w:val="000000"/>
          <w:szCs w:val="24"/>
        </w:rPr>
        <w:t xml:space="preserve">Assess between-person differences and within-person changes over time in attitudes, behaviors, </w:t>
      </w:r>
      <w:proofErr w:type="gramStart"/>
      <w:r w:rsidRPr="00BE1BB0">
        <w:rPr>
          <w:color w:val="000000"/>
          <w:szCs w:val="24"/>
        </w:rPr>
        <w:t>exposures</w:t>
      </w:r>
      <w:proofErr w:type="gramEnd"/>
      <w:r w:rsidRPr="00BE1BB0">
        <w:rPr>
          <w:color w:val="000000"/>
          <w:szCs w:val="24"/>
        </w:rPr>
        <w:t xml:space="preserve"> to tobacco products, and </w:t>
      </w:r>
      <w:r w:rsidR="0031076D">
        <w:rPr>
          <w:color w:val="000000"/>
          <w:szCs w:val="24"/>
        </w:rPr>
        <w:t>related biomarkers</w:t>
      </w:r>
      <w:r w:rsidRPr="00BE1BB0">
        <w:rPr>
          <w:color w:val="000000"/>
          <w:szCs w:val="24"/>
        </w:rPr>
        <w:t xml:space="preserve"> </w:t>
      </w:r>
      <w:r w:rsidR="0031076D">
        <w:rPr>
          <w:color w:val="000000"/>
          <w:szCs w:val="24"/>
        </w:rPr>
        <w:t>among</w:t>
      </w:r>
      <w:r w:rsidRPr="00BE1BB0">
        <w:rPr>
          <w:color w:val="000000"/>
          <w:szCs w:val="24"/>
        </w:rPr>
        <w:t xml:space="preserve"> and within </w:t>
      </w:r>
      <w:r w:rsidR="0031076D">
        <w:rPr>
          <w:color w:val="000000"/>
          <w:szCs w:val="24"/>
        </w:rPr>
        <w:t xml:space="preserve">population sub-groups defined by </w:t>
      </w:r>
      <w:r w:rsidRPr="00BE1BB0">
        <w:rPr>
          <w:color w:val="000000"/>
          <w:szCs w:val="24"/>
        </w:rPr>
        <w:t>racial-ethnic, gender, age</w:t>
      </w:r>
      <w:r w:rsidR="0031076D">
        <w:rPr>
          <w:color w:val="000000"/>
          <w:szCs w:val="24"/>
        </w:rPr>
        <w:t>, and</w:t>
      </w:r>
      <w:r w:rsidRPr="00BE1BB0">
        <w:rPr>
          <w:color w:val="000000"/>
          <w:szCs w:val="24"/>
        </w:rPr>
        <w:t xml:space="preserve"> risk </w:t>
      </w:r>
      <w:r w:rsidR="0031076D">
        <w:rPr>
          <w:color w:val="000000"/>
          <w:szCs w:val="24"/>
        </w:rPr>
        <w:t>factors (e.g.,</w:t>
      </w:r>
      <w:r w:rsidRPr="00BE1BB0">
        <w:rPr>
          <w:color w:val="000000"/>
          <w:szCs w:val="24"/>
        </w:rPr>
        <w:t xml:space="preserve"> pregnan</w:t>
      </w:r>
      <w:r w:rsidR="0031076D">
        <w:rPr>
          <w:color w:val="000000"/>
          <w:szCs w:val="24"/>
        </w:rPr>
        <w:t xml:space="preserve">cy </w:t>
      </w:r>
      <w:r w:rsidR="0008256D">
        <w:rPr>
          <w:color w:val="000000"/>
          <w:szCs w:val="24"/>
        </w:rPr>
        <w:t xml:space="preserve">or </w:t>
      </w:r>
      <w:r w:rsidRPr="00BE1BB0">
        <w:rPr>
          <w:color w:val="000000"/>
          <w:szCs w:val="24"/>
        </w:rPr>
        <w:t>co-occurr</w:t>
      </w:r>
      <w:r w:rsidR="0008256D">
        <w:rPr>
          <w:color w:val="000000"/>
          <w:szCs w:val="24"/>
        </w:rPr>
        <w:t>ing</w:t>
      </w:r>
      <w:r w:rsidRPr="00BE1BB0">
        <w:rPr>
          <w:color w:val="000000"/>
          <w:szCs w:val="24"/>
        </w:rPr>
        <w:t xml:space="preserve"> substance use </w:t>
      </w:r>
      <w:r w:rsidR="0008256D">
        <w:rPr>
          <w:color w:val="000000"/>
          <w:szCs w:val="24"/>
        </w:rPr>
        <w:t xml:space="preserve">or </w:t>
      </w:r>
      <w:r w:rsidRPr="00BE1BB0">
        <w:rPr>
          <w:color w:val="000000"/>
          <w:szCs w:val="24"/>
        </w:rPr>
        <w:t>mental</w:t>
      </w:r>
      <w:r w:rsidR="0008256D">
        <w:rPr>
          <w:color w:val="000000"/>
          <w:szCs w:val="24"/>
        </w:rPr>
        <w:t xml:space="preserve"> health disorders</w:t>
      </w:r>
      <w:r w:rsidR="0031076D">
        <w:rPr>
          <w:color w:val="000000"/>
          <w:szCs w:val="24"/>
        </w:rPr>
        <w:t>)</w:t>
      </w:r>
      <w:r w:rsidRPr="00BE1BB0">
        <w:rPr>
          <w:color w:val="000000"/>
          <w:szCs w:val="24"/>
        </w:rPr>
        <w:t>.</w:t>
      </w:r>
    </w:p>
    <w:p w:rsidR="00AC2E44" w:rsidRDefault="00A9353F" w:rsidP="00CC7D26">
      <w:pPr>
        <w:pStyle w:val="N1-1stBullet"/>
        <w:numPr>
          <w:ilvl w:val="0"/>
          <w:numId w:val="32"/>
        </w:numPr>
      </w:pPr>
      <w:r w:rsidRPr="003569DE">
        <w:rPr>
          <w:b/>
        </w:rPr>
        <w:t xml:space="preserve">Objective 7: </w:t>
      </w:r>
      <w:r w:rsidR="0031076D" w:rsidRPr="003569DE">
        <w:t>To the extent to which sample sizes are sufficient,</w:t>
      </w:r>
      <w:r w:rsidR="0031076D" w:rsidRPr="003569DE">
        <w:rPr>
          <w:b/>
        </w:rPr>
        <w:t xml:space="preserve"> </w:t>
      </w:r>
      <w:r w:rsidR="007458A0" w:rsidRPr="003569DE">
        <w:rPr>
          <w:color w:val="000000"/>
          <w:szCs w:val="24"/>
        </w:rPr>
        <w:t>a</w:t>
      </w:r>
      <w:r w:rsidRPr="003569DE">
        <w:rPr>
          <w:color w:val="000000"/>
          <w:szCs w:val="24"/>
        </w:rPr>
        <w:t>ssess and compare samples of former and never users of tobacco products for between-person differences and within-person changes in relapse and uptake, risk perceptions,</w:t>
      </w:r>
      <w:r w:rsidR="006E71C7" w:rsidRPr="003569DE">
        <w:t xml:space="preserve"> </w:t>
      </w:r>
      <w:r w:rsidR="005E6028" w:rsidRPr="003569DE">
        <w:t xml:space="preserve">and </w:t>
      </w:r>
      <w:r w:rsidR="006E71C7" w:rsidRPr="003569DE">
        <w:t>indicators of tobacco</w:t>
      </w:r>
      <w:r w:rsidR="007458A0" w:rsidRPr="003569DE">
        <w:t xml:space="preserve"> exposure</w:t>
      </w:r>
      <w:r w:rsidR="006E71C7" w:rsidRPr="003569DE">
        <w:t xml:space="preserve"> and disease processes</w:t>
      </w:r>
      <w:r w:rsidR="00C966E4">
        <w:t>.</w:t>
      </w:r>
    </w:p>
    <w:p w:rsidR="00562F82" w:rsidRDefault="0008256D" w:rsidP="00573C23">
      <w:pPr>
        <w:pStyle w:val="N1-1stBullet"/>
        <w:numPr>
          <w:ilvl w:val="0"/>
          <w:numId w:val="39"/>
        </w:numPr>
        <w:tabs>
          <w:tab w:val="left" w:pos="900"/>
        </w:tabs>
        <w:ind w:left="720"/>
        <w:rPr>
          <w:szCs w:val="24"/>
        </w:rPr>
      </w:pPr>
      <w:r w:rsidRPr="003A7D96">
        <w:rPr>
          <w:b/>
        </w:rPr>
        <w:t>Objective 8:</w:t>
      </w:r>
      <w:r w:rsidRPr="003569DE">
        <w:t xml:space="preserve"> </w:t>
      </w:r>
      <w:r w:rsidR="00573C23">
        <w:t>Use the PATH Study’s comprehensive baseline and first follow-up wave data on tobacco</w:t>
      </w:r>
      <w:r w:rsidR="00573C23">
        <w:rPr>
          <w:b/>
        </w:rPr>
        <w:t>-</w:t>
      </w:r>
      <w:r w:rsidR="00573C23">
        <w:rPr>
          <w:szCs w:val="24"/>
        </w:rPr>
        <w:t xml:space="preserve">use behaviors, attitudes, related health conditions (including markers of exposure, tobacco use-related disease processes identified from the collection and analysis of </w:t>
      </w:r>
      <w:proofErr w:type="spellStart"/>
      <w:r w:rsidR="00573C23">
        <w:rPr>
          <w:szCs w:val="24"/>
        </w:rPr>
        <w:t>biospecimens</w:t>
      </w:r>
      <w:proofErr w:type="spellEnd"/>
      <w:r w:rsidR="00573C23">
        <w:rPr>
          <w:szCs w:val="24"/>
        </w:rPr>
        <w:t>) as a basis for screening respondents for participation in small-scale research studies</w:t>
      </w:r>
      <w:r w:rsidR="00C54EC2">
        <w:rPr>
          <w:szCs w:val="24"/>
        </w:rPr>
        <w:t xml:space="preserve">. Such studies would be submitted for approval to OMB, for example, through one of </w:t>
      </w:r>
      <w:r w:rsidR="00573C23">
        <w:rPr>
          <w:szCs w:val="24"/>
        </w:rPr>
        <w:t xml:space="preserve">the PATH Study’s </w:t>
      </w:r>
      <w:r w:rsidR="00C54EC2">
        <w:rPr>
          <w:szCs w:val="24"/>
        </w:rPr>
        <w:t xml:space="preserve">two </w:t>
      </w:r>
      <w:r w:rsidR="00573C23">
        <w:rPr>
          <w:szCs w:val="24"/>
        </w:rPr>
        <w:t>generic clearances</w:t>
      </w:r>
      <w:r w:rsidR="00C54EC2">
        <w:rPr>
          <w:szCs w:val="24"/>
        </w:rPr>
        <w:t xml:space="preserve"> for cognitive testing or for methodological studies</w:t>
      </w:r>
      <w:r w:rsidR="002F32AD">
        <w:rPr>
          <w:szCs w:val="24"/>
        </w:rPr>
        <w:t xml:space="preserve">, or as an embedded study within a revision request, such as a request to conduct a </w:t>
      </w:r>
      <w:r w:rsidR="00511786">
        <w:rPr>
          <w:szCs w:val="24"/>
        </w:rPr>
        <w:t xml:space="preserve">small-scale research study </w:t>
      </w:r>
      <w:r w:rsidR="0018652C">
        <w:rPr>
          <w:szCs w:val="24"/>
        </w:rPr>
        <w:t xml:space="preserve">during </w:t>
      </w:r>
      <w:r w:rsidR="009E596E">
        <w:rPr>
          <w:szCs w:val="24"/>
        </w:rPr>
        <w:t xml:space="preserve">a </w:t>
      </w:r>
      <w:r w:rsidR="002F32AD">
        <w:rPr>
          <w:szCs w:val="24"/>
        </w:rPr>
        <w:t xml:space="preserve">follow-up wave of data and </w:t>
      </w:r>
      <w:proofErr w:type="spellStart"/>
      <w:r w:rsidR="002F32AD">
        <w:rPr>
          <w:szCs w:val="24"/>
        </w:rPr>
        <w:t>biospecimen</w:t>
      </w:r>
      <w:proofErr w:type="spellEnd"/>
      <w:r w:rsidR="002F32AD">
        <w:rPr>
          <w:szCs w:val="24"/>
        </w:rPr>
        <w:t xml:space="preserve"> collection.</w:t>
      </w:r>
    </w:p>
    <w:p w:rsidR="00986B73" w:rsidRPr="00A37FBA" w:rsidRDefault="00986B73" w:rsidP="0023016A">
      <w:pPr>
        <w:pStyle w:val="L1-FlLSp12"/>
      </w:pPr>
    </w:p>
    <w:p w:rsidR="00562F82" w:rsidRPr="0023016A" w:rsidRDefault="00562F82">
      <w:pPr>
        <w:pStyle w:val="Heading3"/>
      </w:pPr>
      <w:r w:rsidRPr="00A2734E">
        <w:t>A.2</w:t>
      </w:r>
      <w:r w:rsidR="006E6BBB">
        <w:t>b</w:t>
      </w:r>
      <w:r w:rsidRPr="00A2734E">
        <w:tab/>
      </w:r>
      <w:r>
        <w:t xml:space="preserve">Information to </w:t>
      </w:r>
      <w:r w:rsidR="002E13F2">
        <w:t>B</w:t>
      </w:r>
      <w:r>
        <w:t>e Collected</w:t>
      </w:r>
    </w:p>
    <w:p w:rsidR="00A074C4" w:rsidRDefault="00EA4B9B" w:rsidP="009E6590">
      <w:pPr>
        <w:pStyle w:val="L1-FlLSp12"/>
      </w:pPr>
      <w:r w:rsidRPr="00A2734E">
        <w:t xml:space="preserve">The PATH Study will obtain completed interviews </w:t>
      </w:r>
      <w:r w:rsidR="00146460">
        <w:t>annually</w:t>
      </w:r>
      <w:r w:rsidRPr="00A2734E">
        <w:t xml:space="preserve"> from a nationally representative sample of respondents 12 years of age and older.</w:t>
      </w:r>
      <w:r w:rsidR="00DB6E10" w:rsidRPr="00A2734E">
        <w:t xml:space="preserve"> </w:t>
      </w:r>
      <w:r w:rsidR="00D07465">
        <w:t>A</w:t>
      </w:r>
      <w:r w:rsidRPr="00A2734E">
        <w:t xml:space="preserve">n adult extended interview will be administered to adults age 18 and older, a youth extended interview will be administered to youth ages 12 to 17 years, and a parent </w:t>
      </w:r>
      <w:r w:rsidR="006832DF">
        <w:t>interview</w:t>
      </w:r>
      <w:r w:rsidRPr="00A2734E">
        <w:t xml:space="preserve"> will be administered to parents of youth respondents. </w:t>
      </w:r>
      <w:r w:rsidR="001B3857">
        <w:t xml:space="preserve">These instruments will also </w:t>
      </w:r>
      <w:r w:rsidR="001B3857">
        <w:lastRenderedPageBreak/>
        <w:t xml:space="preserve">be tailored for those adults, youth, and parents of youth who age into the PATH Study cohorts (i.e., a youth who turns 18, a shadow sample youth who turns 12 years old, and the parent of a shadow sample youth who turns 12). </w:t>
      </w:r>
      <w:r w:rsidR="003C15D2">
        <w:t xml:space="preserve">Biospecimen collection at follow-up will include </w:t>
      </w:r>
      <w:r w:rsidR="00705A65">
        <w:t>the collection of approximately 1</w:t>
      </w:r>
      <w:r w:rsidR="00AC466B">
        <w:t>0</w:t>
      </w:r>
      <w:r w:rsidR="00705A65">
        <w:t>,</w:t>
      </w:r>
      <w:r w:rsidR="00AC466B">
        <w:t>0</w:t>
      </w:r>
      <w:r w:rsidR="00705A65">
        <w:t>00 urines from a subsample of adults who provided a urine sample at baseline</w:t>
      </w:r>
      <w:r w:rsidR="001B3857">
        <w:t xml:space="preserve">; </w:t>
      </w:r>
      <w:r w:rsidR="00FF0AD0">
        <w:t xml:space="preserve">and </w:t>
      </w:r>
      <w:r w:rsidR="001B3857" w:rsidRPr="006A0BB0">
        <w:t xml:space="preserve">urine and blood </w:t>
      </w:r>
      <w:r w:rsidR="001B3857">
        <w:t xml:space="preserve">from adults who enrolled as youth at baseline but </w:t>
      </w:r>
      <w:r w:rsidR="001B2273">
        <w:t>have subsequently</w:t>
      </w:r>
      <w:r w:rsidR="001B3857">
        <w:t xml:space="preserve"> aged into the adult cohort</w:t>
      </w:r>
      <w:r w:rsidR="002B5FFF">
        <w:t xml:space="preserve"> and</w:t>
      </w:r>
      <w:r w:rsidR="001B2273">
        <w:t xml:space="preserve"> given</w:t>
      </w:r>
      <w:r w:rsidR="002B5FFF">
        <w:t xml:space="preserve"> consent </w:t>
      </w:r>
      <w:r w:rsidR="001B2273">
        <w:t xml:space="preserve">for collections </w:t>
      </w:r>
      <w:r w:rsidR="002B5FFF">
        <w:t>at Wave 2</w:t>
      </w:r>
      <w:r w:rsidR="00681601">
        <w:t>.</w:t>
      </w:r>
    </w:p>
    <w:p w:rsidR="006B0E8E" w:rsidRDefault="006B0E8E" w:rsidP="009E6590">
      <w:pPr>
        <w:pStyle w:val="L1-FlLSp12"/>
      </w:pPr>
    </w:p>
    <w:p w:rsidR="00A074C4" w:rsidRDefault="00EA4B9B" w:rsidP="009E6590">
      <w:pPr>
        <w:pStyle w:val="L1-FlLSp12"/>
      </w:pPr>
      <w:r w:rsidRPr="00E63CFA">
        <w:t xml:space="preserve">Table </w:t>
      </w:r>
      <w:r w:rsidR="009E6590">
        <w:t>A-</w:t>
      </w:r>
      <w:r w:rsidR="00095514" w:rsidRPr="00E63CFA">
        <w:t>1</w:t>
      </w:r>
      <w:r w:rsidRPr="00312759">
        <w:t xml:space="preserve"> lists the PATH Study </w:t>
      </w:r>
      <w:r w:rsidR="001B3857">
        <w:t>Wave 2</w:t>
      </w:r>
      <w:r w:rsidRPr="00312759">
        <w:t xml:space="preserve"> instruments and briefly describes </w:t>
      </w:r>
      <w:r w:rsidRPr="00A92156">
        <w:t>the pu</w:t>
      </w:r>
      <w:r w:rsidR="002D5E7F" w:rsidRPr="00A92156">
        <w:t>r</w:t>
      </w:r>
      <w:r w:rsidRPr="00A92156">
        <w:t>pose and content of each.</w:t>
      </w:r>
      <w:r w:rsidR="00DB6E10" w:rsidRPr="00A92156">
        <w:t xml:space="preserve"> </w:t>
      </w:r>
      <w:r w:rsidR="006B0E8E">
        <w:t>Attachment 2 includes t</w:t>
      </w:r>
      <w:r w:rsidR="00BD1C54" w:rsidRPr="00A92156">
        <w:t>he instruments</w:t>
      </w:r>
      <w:r w:rsidR="008A2C7E">
        <w:t xml:space="preserve">; </w:t>
      </w:r>
      <w:r w:rsidR="00A3367C" w:rsidRPr="0023016A">
        <w:t xml:space="preserve">Attachment </w:t>
      </w:r>
      <w:r w:rsidR="00275076" w:rsidRPr="00562F82">
        <w:t>3</w:t>
      </w:r>
      <w:r w:rsidR="00A3367C" w:rsidRPr="00562F82">
        <w:t xml:space="preserve"> </w:t>
      </w:r>
      <w:r w:rsidR="003044F3" w:rsidRPr="00562F82">
        <w:t xml:space="preserve">provides </w:t>
      </w:r>
      <w:r w:rsidR="00A3367C" w:rsidRPr="00562F82">
        <w:t>the data sources, domains/questionnaire component</w:t>
      </w:r>
      <w:r w:rsidR="001B2273" w:rsidRPr="00562F82">
        <w:t>s</w:t>
      </w:r>
      <w:r w:rsidR="00A3367C" w:rsidRPr="00562F82">
        <w:t>, and analysis</w:t>
      </w:r>
      <w:r w:rsidR="00A3367C" w:rsidRPr="00312759">
        <w:t xml:space="preserve"> plan</w:t>
      </w:r>
      <w:r w:rsidR="000C7F3D" w:rsidRPr="00312759">
        <w:t xml:space="preserve"> for each PATH Study Objective</w:t>
      </w:r>
      <w:r w:rsidR="00A3367C" w:rsidRPr="00312759">
        <w:t>.</w:t>
      </w:r>
      <w:r w:rsidR="008A2C7E">
        <w:t xml:space="preserve"> Additional information on the instruments is </w:t>
      </w:r>
      <w:r w:rsidR="006B0E8E">
        <w:t xml:space="preserve">summarized </w:t>
      </w:r>
      <w:r w:rsidR="008A2C7E">
        <w:t>in the remainder of this section.</w:t>
      </w:r>
    </w:p>
    <w:p w:rsidR="003A7D96" w:rsidRDefault="003A7D96" w:rsidP="00AC2E44">
      <w:pPr>
        <w:pStyle w:val="L1-FlLSp12"/>
      </w:pPr>
    </w:p>
    <w:p w:rsidR="0055595A" w:rsidRDefault="0055595A">
      <w:pPr>
        <w:spacing w:line="240" w:lineRule="auto"/>
        <w:rPr>
          <w:rFonts w:ascii="Franklin Gothic Medium" w:hAnsi="Franklin Gothic Medium"/>
          <w:sz w:val="22"/>
        </w:rPr>
      </w:pPr>
      <w:r>
        <w:br w:type="page"/>
      </w:r>
    </w:p>
    <w:p w:rsidR="00493207" w:rsidRPr="00493207" w:rsidRDefault="00493207" w:rsidP="00AC2E44">
      <w:pPr>
        <w:pStyle w:val="TT-TableTitle"/>
        <w:rPr>
          <w:color w:val="365F91"/>
        </w:rPr>
      </w:pPr>
      <w:proofErr w:type="gramStart"/>
      <w:r w:rsidRPr="00493207">
        <w:lastRenderedPageBreak/>
        <w:t>Table A-1.</w:t>
      </w:r>
      <w:proofErr w:type="gramEnd"/>
      <w:r w:rsidRPr="00493207">
        <w:tab/>
        <w:t>PATH Study Wave 2 instruments and data collected</w:t>
      </w:r>
    </w:p>
    <w:p w:rsidR="00493207" w:rsidRPr="00493207" w:rsidRDefault="00493207" w:rsidP="00AC2E44">
      <w:pPr>
        <w:pStyle w:val="TT-TableTitle"/>
        <w:rPr>
          <w:color w:val="365F91"/>
        </w:rPr>
      </w:pPr>
    </w:p>
    <w:tbl>
      <w:tblPr>
        <w:tblW w:w="5000" w:type="pct"/>
        <w:tblBorders>
          <w:top w:val="single" w:sz="4" w:space="0" w:color="auto"/>
          <w:bottom w:val="single" w:sz="4" w:space="0" w:color="auto"/>
        </w:tblBorders>
        <w:tblLook w:val="00A0" w:firstRow="1" w:lastRow="0" w:firstColumn="1" w:lastColumn="0" w:noHBand="0" w:noVBand="0"/>
      </w:tblPr>
      <w:tblGrid>
        <w:gridCol w:w="2649"/>
        <w:gridCol w:w="6927"/>
      </w:tblGrid>
      <w:tr w:rsidR="00493207" w:rsidRPr="00493207" w:rsidTr="00F868B2">
        <w:tc>
          <w:tcPr>
            <w:tcW w:w="1383" w:type="pct"/>
            <w:tcBorders>
              <w:top w:val="single" w:sz="4" w:space="0" w:color="auto"/>
              <w:left w:val="single" w:sz="0" w:space="0" w:color="auto"/>
              <w:bottom w:val="single" w:sz="4" w:space="0" w:color="auto"/>
              <w:right w:val="single" w:sz="0" w:space="0" w:color="auto"/>
            </w:tcBorders>
            <w:shd w:val="clear" w:color="auto" w:fill="AFBED7"/>
            <w:vAlign w:val="bottom"/>
          </w:tcPr>
          <w:p w:rsidR="00493207" w:rsidRPr="00493207" w:rsidRDefault="00493207" w:rsidP="0060413D">
            <w:pPr>
              <w:keepNext/>
              <w:tabs>
                <w:tab w:val="left" w:pos="1152"/>
              </w:tabs>
              <w:jc w:val="center"/>
              <w:outlineLvl w:val="0"/>
              <w:rPr>
                <w:rFonts w:ascii="Franklin Gothic Medium" w:hAnsi="Franklin Gothic Medium"/>
                <w:b/>
                <w:color w:val="365F91"/>
                <w:sz w:val="20"/>
              </w:rPr>
            </w:pPr>
            <w:r w:rsidRPr="00493207">
              <w:rPr>
                <w:rFonts w:ascii="Franklin Gothic Medium" w:hAnsi="Franklin Gothic Medium"/>
                <w:b/>
                <w:sz w:val="20"/>
              </w:rPr>
              <w:t xml:space="preserve">PATH Study </w:t>
            </w:r>
            <w:r w:rsidR="0060413D">
              <w:rPr>
                <w:rFonts w:ascii="Franklin Gothic Medium" w:hAnsi="Franklin Gothic Medium"/>
                <w:b/>
                <w:sz w:val="20"/>
              </w:rPr>
              <w:t>i</w:t>
            </w:r>
            <w:r w:rsidRPr="00493207">
              <w:rPr>
                <w:rFonts w:ascii="Franklin Gothic Medium" w:hAnsi="Franklin Gothic Medium"/>
                <w:b/>
                <w:sz w:val="20"/>
              </w:rPr>
              <w:t>nstrument</w:t>
            </w:r>
          </w:p>
        </w:tc>
        <w:tc>
          <w:tcPr>
            <w:tcW w:w="3617" w:type="pct"/>
            <w:tcBorders>
              <w:top w:val="single" w:sz="4" w:space="0" w:color="auto"/>
              <w:left w:val="single" w:sz="0" w:space="0" w:color="auto"/>
              <w:bottom w:val="single" w:sz="4" w:space="0" w:color="auto"/>
              <w:right w:val="single" w:sz="0" w:space="0" w:color="auto"/>
            </w:tcBorders>
            <w:shd w:val="clear" w:color="auto" w:fill="AFBED7"/>
            <w:vAlign w:val="bottom"/>
          </w:tcPr>
          <w:p w:rsidR="00493207" w:rsidRPr="00493207" w:rsidRDefault="00493207" w:rsidP="0060413D">
            <w:pPr>
              <w:keepNext/>
              <w:tabs>
                <w:tab w:val="left" w:pos="1152"/>
              </w:tabs>
              <w:jc w:val="center"/>
              <w:outlineLvl w:val="0"/>
              <w:rPr>
                <w:rFonts w:ascii="Franklin Gothic Medium" w:hAnsi="Franklin Gothic Medium"/>
                <w:b/>
                <w:color w:val="365F91"/>
                <w:sz w:val="20"/>
              </w:rPr>
            </w:pPr>
            <w:r w:rsidRPr="00493207">
              <w:rPr>
                <w:rFonts w:ascii="Franklin Gothic Medium" w:hAnsi="Franklin Gothic Medium"/>
                <w:b/>
                <w:sz w:val="20"/>
              </w:rPr>
              <w:t xml:space="preserve">Data </w:t>
            </w:r>
            <w:r w:rsidR="0060413D">
              <w:rPr>
                <w:rFonts w:ascii="Franklin Gothic Medium" w:hAnsi="Franklin Gothic Medium"/>
                <w:b/>
                <w:sz w:val="20"/>
              </w:rPr>
              <w:t>c</w:t>
            </w:r>
            <w:r w:rsidRPr="00493207">
              <w:rPr>
                <w:rFonts w:ascii="Franklin Gothic Medium" w:hAnsi="Franklin Gothic Medium"/>
                <w:b/>
                <w:sz w:val="20"/>
              </w:rPr>
              <w:t>ollected</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Adult – Extended Interview </w:t>
            </w:r>
          </w:p>
        </w:tc>
        <w:tc>
          <w:tcPr>
            <w:tcW w:w="3617"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Tobacco use history for each tobacco product respondent uses; reasons for using each tobacco product; dependence on nicotine and tobacco products; interest in/experience with quitting; notice of/reactions to tobacco product packaging and health warnings; perceived risk of tobacco products; media awareness and use; secondhand smoke exposure; peer and family influences; health effects; advertising and promotion of tobacco; health promotion campaigns; other substance use; additional demographics; contact information.</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Adult – Age-in Interview</w:t>
            </w:r>
          </w:p>
        </w:tc>
        <w:tc>
          <w:tcPr>
            <w:tcW w:w="3617"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Adult – Extended Interview with additional questions that were removed for rotation from the re-contacted follow-up interview with adults who provided responses to those questions in a previous wave.</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Adult – Biospecimen Collection Forms</w:t>
            </w:r>
          </w:p>
        </w:tc>
        <w:tc>
          <w:tcPr>
            <w:tcW w:w="3617" w:type="pct"/>
            <w:tcBorders>
              <w:top w:val="single" w:sz="4" w:space="0" w:color="auto"/>
              <w:bottom w:val="single" w:sz="4" w:space="0" w:color="auto"/>
            </w:tcBorders>
            <w:vAlign w:val="center"/>
          </w:tcPr>
          <w:p w:rsidR="00493207" w:rsidRPr="00493207" w:rsidRDefault="00493207" w:rsidP="000F5A82">
            <w:pPr>
              <w:rPr>
                <w:rFonts w:ascii="Franklin Gothic Medium" w:hAnsi="Franklin Gothic Medium"/>
                <w:sz w:val="20"/>
              </w:rPr>
            </w:pPr>
            <w:r w:rsidRPr="00493207">
              <w:rPr>
                <w:rFonts w:ascii="Franklin Gothic Medium" w:hAnsi="Franklin Gothic Medium"/>
                <w:sz w:val="20"/>
              </w:rPr>
              <w:t xml:space="preserve">Chemotherapy status, hemophilia or blood-clotting problems, time of </w:t>
            </w:r>
            <w:r w:rsidR="000F5A82">
              <w:rPr>
                <w:rFonts w:ascii="Franklin Gothic Medium" w:hAnsi="Franklin Gothic Medium"/>
                <w:sz w:val="20"/>
              </w:rPr>
              <w:t xml:space="preserve">last </w:t>
            </w:r>
            <w:r w:rsidRPr="00493207">
              <w:rPr>
                <w:rFonts w:ascii="Franklin Gothic Medium" w:hAnsi="Franklin Gothic Medium"/>
                <w:sz w:val="20"/>
              </w:rPr>
              <w:t xml:space="preserve">urination, time of last </w:t>
            </w:r>
            <w:r w:rsidR="000F5A82">
              <w:rPr>
                <w:rFonts w:ascii="Franklin Gothic Medium" w:hAnsi="Franklin Gothic Medium"/>
                <w:sz w:val="20"/>
              </w:rPr>
              <w:t>food intake</w:t>
            </w:r>
            <w:r w:rsidRPr="00493207">
              <w:rPr>
                <w:rFonts w:ascii="Franklin Gothic Medium" w:hAnsi="Franklin Gothic Medium"/>
                <w:sz w:val="20"/>
              </w:rPr>
              <w:t xml:space="preserve">, </w:t>
            </w:r>
            <w:r w:rsidR="005533A4">
              <w:rPr>
                <w:rFonts w:ascii="Franklin Gothic Medium" w:hAnsi="Franklin Gothic Medium"/>
                <w:sz w:val="20"/>
              </w:rPr>
              <w:t xml:space="preserve">and </w:t>
            </w:r>
            <w:r w:rsidR="000F5A82">
              <w:rPr>
                <w:rFonts w:ascii="Franklin Gothic Medium" w:hAnsi="Franklin Gothic Medium"/>
                <w:sz w:val="20"/>
              </w:rPr>
              <w:t xml:space="preserve">time of last </w:t>
            </w:r>
            <w:r w:rsidRPr="00493207">
              <w:rPr>
                <w:rFonts w:ascii="Franklin Gothic Medium" w:hAnsi="Franklin Gothic Medium"/>
                <w:sz w:val="20"/>
              </w:rPr>
              <w:t xml:space="preserve">fluid intake. </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Adult – Tobacco Use Form </w:t>
            </w:r>
          </w:p>
        </w:tc>
        <w:tc>
          <w:tcPr>
            <w:tcW w:w="3617"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Specific time of use and quantity used for 10 different tobacco products, nicotine replacement therapies, or prescription drugs for tobacco cessation.</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Parent Interview – Parent of Youth</w:t>
            </w:r>
          </w:p>
        </w:tc>
        <w:tc>
          <w:tcPr>
            <w:tcW w:w="3617"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Respondent’s relationship to the child, education, and tobacco use status (if not ascertained elsewhere); household rules about tobacco; perception of child’s tobacco use; child’s curfew, school performance, school missed due to illness, health (height, weight, health effects, medications, emergency room visits); parents who live elsewhere; tobacco availability at home; detailed contact information if not ascertained elsewhere. </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Parent – Age-in Interview</w:t>
            </w:r>
          </w:p>
        </w:tc>
        <w:tc>
          <w:tcPr>
            <w:tcW w:w="3617"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Parent – Parent of Youth with additional questions that were removed for rotation from the re-contacted follow-up interview with the parent who provided responses to those questions about their youth participant in a previous wave.</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Youth – Extended Interview </w:t>
            </w:r>
          </w:p>
        </w:tc>
        <w:tc>
          <w:tcPr>
            <w:tcW w:w="3617"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Tobacco use characteristics; tobacco use history for each tobacco product the respondent may use; tobacco susceptibility (non-users); reasons for using tobacco and specific tobacco products; dependence on nicotine and tobacco products; interest in/experience with quitting; notice of/reactions to tobacco product packaging and health warnings; perceived risk of tobacco products; accessibility of tobacco; media awareness and use; secondhand smoke exposure; peer and family influences; health effects; advertising and promotion of tobacco; health promotion campaigns; other substance use; additional demographics. </w:t>
            </w:r>
          </w:p>
        </w:tc>
      </w:tr>
      <w:tr w:rsidR="00493207" w:rsidRPr="00493207" w:rsidTr="00F868B2">
        <w:tc>
          <w:tcPr>
            <w:tcW w:w="1383"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Youth – Age-in Interview</w:t>
            </w:r>
          </w:p>
        </w:tc>
        <w:tc>
          <w:tcPr>
            <w:tcW w:w="3617" w:type="pct"/>
            <w:tcBorders>
              <w:top w:val="single" w:sz="4" w:space="0" w:color="auto"/>
              <w:bottom w:val="single" w:sz="4" w:space="0" w:color="auto"/>
            </w:tcBorders>
            <w:vAlign w:val="center"/>
          </w:tcPr>
          <w:p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Youth – Extended Interview with additional questions that were removed for rotation from the re-contacted follow-up interview with youth who provided responses to those questions in a previous wave.</w:t>
            </w:r>
          </w:p>
        </w:tc>
      </w:tr>
      <w:tr w:rsidR="00834A05" w:rsidRPr="00493207" w:rsidTr="00834A05">
        <w:tc>
          <w:tcPr>
            <w:tcW w:w="1383" w:type="pct"/>
            <w:tcBorders>
              <w:top w:val="single" w:sz="4" w:space="0" w:color="auto"/>
              <w:bottom w:val="single" w:sz="4" w:space="0" w:color="auto"/>
            </w:tcBorders>
            <w:vAlign w:val="center"/>
          </w:tcPr>
          <w:p w:rsidR="00834A05" w:rsidRPr="00493207" w:rsidRDefault="00834A05" w:rsidP="00834A05">
            <w:pPr>
              <w:rPr>
                <w:rFonts w:ascii="Franklin Gothic Medium" w:hAnsi="Franklin Gothic Medium"/>
                <w:sz w:val="20"/>
              </w:rPr>
            </w:pPr>
            <w:r>
              <w:rPr>
                <w:rFonts w:ascii="Franklin Gothic Medium" w:hAnsi="Franklin Gothic Medium"/>
                <w:sz w:val="20"/>
              </w:rPr>
              <w:t>Adult -  Verification Interview</w:t>
            </w:r>
          </w:p>
        </w:tc>
        <w:tc>
          <w:tcPr>
            <w:tcW w:w="3617" w:type="pct"/>
            <w:tcBorders>
              <w:top w:val="single" w:sz="4" w:space="0" w:color="auto"/>
              <w:bottom w:val="single" w:sz="4" w:space="0" w:color="auto"/>
            </w:tcBorders>
            <w:vAlign w:val="center"/>
          </w:tcPr>
          <w:p w:rsidR="00834A05" w:rsidRDefault="00834A05" w:rsidP="00551BAE">
            <w:pPr>
              <w:rPr>
                <w:rFonts w:ascii="Franklin Gothic Medium" w:hAnsi="Franklin Gothic Medium"/>
                <w:sz w:val="20"/>
              </w:rPr>
            </w:pPr>
            <w:r>
              <w:rPr>
                <w:rFonts w:ascii="Franklin Gothic Medium" w:hAnsi="Franklin Gothic Medium"/>
                <w:sz w:val="20"/>
              </w:rPr>
              <w:t xml:space="preserve">Whether </w:t>
            </w:r>
            <w:r w:rsidRPr="00D710EE">
              <w:rPr>
                <w:rFonts w:ascii="Franklin Gothic Medium" w:hAnsi="Franklin Gothic Medium"/>
                <w:sz w:val="20"/>
              </w:rPr>
              <w:t xml:space="preserve">one or all of the </w:t>
            </w:r>
            <w:r>
              <w:rPr>
                <w:rFonts w:ascii="Franklin Gothic Medium" w:hAnsi="Franklin Gothic Medium"/>
                <w:sz w:val="20"/>
              </w:rPr>
              <w:t xml:space="preserve">participants </w:t>
            </w:r>
            <w:r w:rsidRPr="00D710EE">
              <w:rPr>
                <w:rFonts w:ascii="Franklin Gothic Medium" w:hAnsi="Franklin Gothic Medium"/>
                <w:sz w:val="20"/>
              </w:rPr>
              <w:t xml:space="preserve">still live at the </w:t>
            </w:r>
            <w:r>
              <w:rPr>
                <w:rFonts w:ascii="Franklin Gothic Medium" w:hAnsi="Franklin Gothic Medium"/>
                <w:sz w:val="20"/>
              </w:rPr>
              <w:t xml:space="preserve">most current home </w:t>
            </w:r>
            <w:r w:rsidRPr="00D710EE">
              <w:rPr>
                <w:rFonts w:ascii="Franklin Gothic Medium" w:hAnsi="Franklin Gothic Medium"/>
                <w:sz w:val="20"/>
              </w:rPr>
              <w:t xml:space="preserve">address, </w:t>
            </w:r>
            <w:r>
              <w:rPr>
                <w:rFonts w:ascii="Franklin Gothic Medium" w:hAnsi="Franklin Gothic Medium"/>
                <w:sz w:val="20"/>
              </w:rPr>
              <w:t xml:space="preserve">identification of </w:t>
            </w:r>
            <w:r w:rsidRPr="00D710EE">
              <w:rPr>
                <w:rFonts w:ascii="Franklin Gothic Medium" w:hAnsi="Franklin Gothic Medium"/>
                <w:sz w:val="20"/>
              </w:rPr>
              <w:t>another parent if the baseline parent is no longer living with a youth</w:t>
            </w:r>
            <w:r>
              <w:rPr>
                <w:rFonts w:ascii="Franklin Gothic Medium" w:hAnsi="Franklin Gothic Medium"/>
                <w:sz w:val="20"/>
              </w:rPr>
              <w:t xml:space="preserve"> participant</w:t>
            </w:r>
            <w:r w:rsidRPr="00D710EE">
              <w:rPr>
                <w:rFonts w:ascii="Franklin Gothic Medium" w:hAnsi="Franklin Gothic Medium"/>
                <w:sz w:val="20"/>
              </w:rPr>
              <w:t xml:space="preserve">, and </w:t>
            </w:r>
            <w:r>
              <w:rPr>
                <w:rFonts w:ascii="Franklin Gothic Medium" w:hAnsi="Franklin Gothic Medium"/>
                <w:sz w:val="20"/>
              </w:rPr>
              <w:t xml:space="preserve">updated contact information on </w:t>
            </w:r>
            <w:r w:rsidRPr="00D710EE">
              <w:rPr>
                <w:rFonts w:ascii="Franklin Gothic Medium" w:hAnsi="Franklin Gothic Medium"/>
                <w:sz w:val="20"/>
              </w:rPr>
              <w:t xml:space="preserve">adult </w:t>
            </w:r>
            <w:r>
              <w:rPr>
                <w:rFonts w:ascii="Franklin Gothic Medium" w:hAnsi="Franklin Gothic Medium"/>
                <w:sz w:val="20"/>
              </w:rPr>
              <w:t xml:space="preserve">participants </w:t>
            </w:r>
            <w:r w:rsidRPr="00D710EE">
              <w:rPr>
                <w:rFonts w:ascii="Franklin Gothic Medium" w:hAnsi="Franklin Gothic Medium"/>
                <w:sz w:val="20"/>
              </w:rPr>
              <w:t xml:space="preserve">and parents. </w:t>
            </w:r>
            <w:r>
              <w:rPr>
                <w:rFonts w:ascii="Franklin Gothic Medium" w:hAnsi="Franklin Gothic Medium"/>
                <w:sz w:val="20"/>
              </w:rPr>
              <w:t>(See Attachment 2</w:t>
            </w:r>
            <w:r w:rsidR="00551BAE">
              <w:rPr>
                <w:rFonts w:ascii="Franklin Gothic Medium" w:hAnsi="Franklin Gothic Medium"/>
                <w:sz w:val="20"/>
              </w:rPr>
              <w:t>3</w:t>
            </w:r>
            <w:r>
              <w:rPr>
                <w:rFonts w:ascii="Franklin Gothic Medium" w:hAnsi="Franklin Gothic Medium"/>
                <w:sz w:val="20"/>
              </w:rPr>
              <w:t>.)</w:t>
            </w:r>
          </w:p>
        </w:tc>
      </w:tr>
      <w:tr w:rsidR="00834A05" w:rsidRPr="00493207" w:rsidTr="00834A05">
        <w:tc>
          <w:tcPr>
            <w:tcW w:w="1383" w:type="pct"/>
            <w:tcBorders>
              <w:top w:val="single" w:sz="4" w:space="0" w:color="auto"/>
              <w:bottom w:val="single" w:sz="4" w:space="0" w:color="auto"/>
            </w:tcBorders>
            <w:vAlign w:val="center"/>
          </w:tcPr>
          <w:p w:rsidR="00834A05" w:rsidRPr="00493207" w:rsidRDefault="00834A05" w:rsidP="00834A05">
            <w:pPr>
              <w:rPr>
                <w:rFonts w:ascii="Franklin Gothic Medium" w:hAnsi="Franklin Gothic Medium"/>
                <w:sz w:val="20"/>
              </w:rPr>
            </w:pPr>
            <w:r>
              <w:rPr>
                <w:rFonts w:ascii="Franklin Gothic Medium" w:hAnsi="Franklin Gothic Medium"/>
                <w:sz w:val="20"/>
              </w:rPr>
              <w:t>Adult – Validation Interview</w:t>
            </w:r>
          </w:p>
        </w:tc>
        <w:tc>
          <w:tcPr>
            <w:tcW w:w="3617" w:type="pct"/>
            <w:tcBorders>
              <w:top w:val="single" w:sz="4" w:space="0" w:color="auto"/>
              <w:bottom w:val="single" w:sz="4" w:space="0" w:color="auto"/>
            </w:tcBorders>
            <w:vAlign w:val="center"/>
          </w:tcPr>
          <w:p w:rsidR="00834A05" w:rsidRDefault="00834A05" w:rsidP="00551BAE">
            <w:pPr>
              <w:rPr>
                <w:rFonts w:ascii="Franklin Gothic Medium" w:hAnsi="Franklin Gothic Medium"/>
                <w:sz w:val="20"/>
              </w:rPr>
            </w:pPr>
            <w:r>
              <w:rPr>
                <w:rFonts w:ascii="Franklin Gothic Medium" w:hAnsi="Franklin Gothic Medium"/>
                <w:sz w:val="20"/>
              </w:rPr>
              <w:t>For adults who complete extended interviews, information that can be used to confirm the information recorded by field interviewers, and information on other aspects of interviewer performance. (See Attachment 2</w:t>
            </w:r>
            <w:r w:rsidR="00551BAE">
              <w:rPr>
                <w:rFonts w:ascii="Franklin Gothic Medium" w:hAnsi="Franklin Gothic Medium"/>
                <w:sz w:val="20"/>
              </w:rPr>
              <w:t>4</w:t>
            </w:r>
            <w:r>
              <w:rPr>
                <w:rFonts w:ascii="Franklin Gothic Medium" w:hAnsi="Franklin Gothic Medium"/>
                <w:sz w:val="20"/>
              </w:rPr>
              <w:t>.)</w:t>
            </w:r>
          </w:p>
        </w:tc>
      </w:tr>
      <w:tr w:rsidR="008A2C7E" w:rsidRPr="00493207" w:rsidTr="008A2C7E">
        <w:tc>
          <w:tcPr>
            <w:tcW w:w="1383" w:type="pct"/>
            <w:tcBorders>
              <w:top w:val="single" w:sz="4" w:space="0" w:color="auto"/>
              <w:bottom w:val="single" w:sz="4" w:space="0" w:color="auto"/>
            </w:tcBorders>
            <w:vAlign w:val="center"/>
          </w:tcPr>
          <w:p w:rsidR="008A2C7E" w:rsidRPr="00493207" w:rsidRDefault="008A2C7E" w:rsidP="00786F8E">
            <w:pPr>
              <w:rPr>
                <w:rFonts w:ascii="Franklin Gothic Medium" w:hAnsi="Franklin Gothic Medium"/>
                <w:sz w:val="20"/>
              </w:rPr>
            </w:pPr>
            <w:r w:rsidRPr="00493207">
              <w:rPr>
                <w:rFonts w:ascii="Franklin Gothic Medium" w:hAnsi="Franklin Gothic Medium"/>
                <w:sz w:val="20"/>
              </w:rPr>
              <w:t>Adult</w:t>
            </w:r>
            <w:r>
              <w:rPr>
                <w:rFonts w:ascii="Franklin Gothic Medium" w:hAnsi="Franklin Gothic Medium"/>
                <w:sz w:val="20"/>
              </w:rPr>
              <w:t xml:space="preserve">, Youth </w:t>
            </w:r>
            <w:r w:rsidRPr="00493207">
              <w:rPr>
                <w:rFonts w:ascii="Franklin Gothic Medium" w:hAnsi="Franklin Gothic Medium"/>
                <w:sz w:val="20"/>
              </w:rPr>
              <w:t>– Follow-up/Tracking Participant Information Form</w:t>
            </w:r>
            <w:r>
              <w:rPr>
                <w:rFonts w:ascii="Franklin Gothic Medium" w:hAnsi="Franklin Gothic Medium"/>
                <w:sz w:val="20"/>
              </w:rPr>
              <w:t>s</w:t>
            </w:r>
          </w:p>
        </w:tc>
        <w:tc>
          <w:tcPr>
            <w:tcW w:w="3617" w:type="pct"/>
            <w:tcBorders>
              <w:top w:val="single" w:sz="4" w:space="0" w:color="auto"/>
              <w:bottom w:val="single" w:sz="4" w:space="0" w:color="auto"/>
            </w:tcBorders>
            <w:vAlign w:val="center"/>
          </w:tcPr>
          <w:p w:rsidR="008A2C7E" w:rsidRPr="00493207" w:rsidRDefault="008A2C7E" w:rsidP="00407C3F">
            <w:pPr>
              <w:rPr>
                <w:rFonts w:ascii="Franklin Gothic Medium" w:hAnsi="Franklin Gothic Medium"/>
                <w:sz w:val="20"/>
              </w:rPr>
            </w:pPr>
            <w:r>
              <w:rPr>
                <w:rFonts w:ascii="Franklin Gothic Medium" w:hAnsi="Franklin Gothic Medium"/>
                <w:sz w:val="20"/>
              </w:rPr>
              <w:t>For adult and youth participants, d</w:t>
            </w:r>
            <w:r w:rsidRPr="00493207">
              <w:rPr>
                <w:rFonts w:ascii="Franklin Gothic Medium" w:hAnsi="Franklin Gothic Medium"/>
                <w:sz w:val="20"/>
              </w:rPr>
              <w:t xml:space="preserve">etailed contact information for </w:t>
            </w:r>
            <w:r>
              <w:rPr>
                <w:rFonts w:ascii="Franklin Gothic Medium" w:hAnsi="Franklin Gothic Medium"/>
                <w:sz w:val="20"/>
              </w:rPr>
              <w:t xml:space="preserve">those </w:t>
            </w:r>
            <w:r w:rsidRPr="00493207">
              <w:rPr>
                <w:rFonts w:ascii="Franklin Gothic Medium" w:hAnsi="Franklin Gothic Medium"/>
                <w:sz w:val="20"/>
              </w:rPr>
              <w:t>who have moved between waves.</w:t>
            </w:r>
            <w:r>
              <w:rPr>
                <w:rFonts w:ascii="Franklin Gothic Medium" w:hAnsi="Franklin Gothic Medium"/>
                <w:sz w:val="20"/>
              </w:rPr>
              <w:t xml:space="preserve"> For shadow sample youth, detailed contact information for youth ages 9-11 </w:t>
            </w:r>
            <w:proofErr w:type="gramStart"/>
            <w:r>
              <w:rPr>
                <w:rFonts w:ascii="Franklin Gothic Medium" w:hAnsi="Franklin Gothic Medium"/>
                <w:sz w:val="20"/>
              </w:rPr>
              <w:t>who</w:t>
            </w:r>
            <w:proofErr w:type="gramEnd"/>
            <w:r>
              <w:rPr>
                <w:rFonts w:ascii="Franklin Gothic Medium" w:hAnsi="Franklin Gothic Medium"/>
                <w:sz w:val="20"/>
              </w:rPr>
              <w:t xml:space="preserve"> will be followed until age 12 when they will be invited to participate in the PATH Study. Forms for youth and shadow sample youth are completed by parents.</w:t>
            </w:r>
          </w:p>
        </w:tc>
      </w:tr>
    </w:tbl>
    <w:p w:rsidR="006B0E8E" w:rsidRDefault="006B0E8E" w:rsidP="00EC15A1">
      <w:pPr>
        <w:pStyle w:val="L1-FlLSp12"/>
      </w:pPr>
    </w:p>
    <w:p w:rsidR="00262BDA" w:rsidRDefault="00262BDA" w:rsidP="00EA4B9B">
      <w:pPr>
        <w:pStyle w:val="L1-FlLSp12"/>
      </w:pPr>
    </w:p>
    <w:p w:rsidR="00262BDA" w:rsidRPr="00A2734E" w:rsidRDefault="00EC3CD0" w:rsidP="00262BDA">
      <w:pPr>
        <w:pStyle w:val="Heading4"/>
      </w:pPr>
      <w:r w:rsidRPr="00A2734E">
        <w:tab/>
      </w:r>
      <w:r w:rsidR="00262BDA" w:rsidRPr="00A2734E">
        <w:t>Parent Interview</w:t>
      </w:r>
    </w:p>
    <w:p w:rsidR="009657DF" w:rsidRDefault="00262BDA" w:rsidP="0023016A">
      <w:pPr>
        <w:pStyle w:val="L1-FlLSp12"/>
      </w:pPr>
      <w:r>
        <w:t xml:space="preserve">The </w:t>
      </w:r>
      <w:r w:rsidRPr="00A2734E">
        <w:t>parent interview collects personal information about the parent of a sampled youth</w:t>
      </w:r>
      <w:r>
        <w:t>,</w:t>
      </w:r>
      <w:r w:rsidRPr="00A2734E">
        <w:t xml:space="preserve"> some general characteristics of the </w:t>
      </w:r>
      <w:r w:rsidR="00494CB2">
        <w:t xml:space="preserve">youth’s </w:t>
      </w:r>
      <w:r w:rsidRPr="00A2734E">
        <w:t>household</w:t>
      </w:r>
      <w:r>
        <w:t>,</w:t>
      </w:r>
      <w:r w:rsidRPr="00A2734E">
        <w:t xml:space="preserve"> information about the youth that can be obtained more accurately and reliably from </w:t>
      </w:r>
      <w:r w:rsidR="00721AF6">
        <w:t>the</w:t>
      </w:r>
      <w:r w:rsidRPr="00A2734E">
        <w:t xml:space="preserve"> parent</w:t>
      </w:r>
      <w:r w:rsidR="00494CB2">
        <w:t xml:space="preserve"> than from the youth</w:t>
      </w:r>
      <w:r>
        <w:t>,</w:t>
      </w:r>
      <w:r w:rsidRPr="00A2734E">
        <w:t xml:space="preserve"> and contact information to support future data collection activities. Th</w:t>
      </w:r>
      <w:r>
        <w:t xml:space="preserve">is interview </w:t>
      </w:r>
      <w:r w:rsidR="00494CB2">
        <w:t>includes</w:t>
      </w:r>
      <w:r w:rsidRPr="00A2734E">
        <w:t xml:space="preserve"> information about the youth respondent’s life that may be associated with tobacco use, </w:t>
      </w:r>
      <w:r w:rsidR="00494CB2">
        <w:t>such as</w:t>
      </w:r>
      <w:r w:rsidRPr="00A2734E">
        <w:t xml:space="preserve"> parental supervision, </w:t>
      </w:r>
      <w:r w:rsidR="003D27E6">
        <w:t xml:space="preserve">parental risk perceptions of tobacco use, </w:t>
      </w:r>
      <w:r w:rsidRPr="00A2734E">
        <w:t xml:space="preserve">school performance, and tobacco use by youth. </w:t>
      </w:r>
      <w:r>
        <w:t>Additionally, parents of youth who age-in to the youth cohort will be asked to complete the Parent – Age-in Interview</w:t>
      </w:r>
      <w:r w:rsidR="00AC466B">
        <w:t>,</w:t>
      </w:r>
      <w:r>
        <w:t xml:space="preserve"> </w:t>
      </w:r>
      <w:r w:rsidR="003D27E6">
        <w:t>which collects information about</w:t>
      </w:r>
      <w:r>
        <w:t xml:space="preserve"> youth</w:t>
      </w:r>
      <w:r w:rsidR="003D27E6">
        <w:t xml:space="preserve"> who have aged into the youth cohort</w:t>
      </w:r>
      <w:r>
        <w:t xml:space="preserve">. These interviews include new items </w:t>
      </w:r>
      <w:r w:rsidR="00D72039">
        <w:t xml:space="preserve">(e.g., parental risk perceptions) </w:t>
      </w:r>
      <w:r w:rsidR="00494CB2">
        <w:t>and</w:t>
      </w:r>
      <w:r>
        <w:t xml:space="preserve"> items from the </w:t>
      </w:r>
      <w:r w:rsidR="009657DF">
        <w:t>original baseline interview.</w:t>
      </w:r>
    </w:p>
    <w:p w:rsidR="009657DF" w:rsidRDefault="009657DF" w:rsidP="0023016A">
      <w:pPr>
        <w:pStyle w:val="L1-FlLSp12"/>
      </w:pPr>
    </w:p>
    <w:p w:rsidR="000348A2" w:rsidRDefault="000348A2" w:rsidP="0023016A">
      <w:pPr>
        <w:pStyle w:val="L1-FlLSp12"/>
      </w:pPr>
    </w:p>
    <w:p w:rsidR="00EA4B9B" w:rsidRPr="001A17F0" w:rsidRDefault="00262BDA" w:rsidP="00470C13">
      <w:pPr>
        <w:pStyle w:val="Heading4"/>
      </w:pPr>
      <w:r w:rsidRPr="00470C13">
        <w:tab/>
      </w:r>
      <w:r w:rsidR="00EA4B9B" w:rsidRPr="00721AF6">
        <w:t>Adult and Youth Extended Interviews</w:t>
      </w:r>
    </w:p>
    <w:p w:rsidR="00DB6E10" w:rsidRPr="00A2734E" w:rsidRDefault="00EA4B9B" w:rsidP="009E6590">
      <w:pPr>
        <w:pStyle w:val="L1-FlLSp12"/>
      </w:pPr>
      <w:r w:rsidRPr="00A2734E">
        <w:t xml:space="preserve">The core content of the adult and youth extended interviews is based on conceptual models of how and why tobacco regulations exert an influence on proximal and distal behavioral and health </w:t>
      </w:r>
      <w:r w:rsidRPr="00A92156">
        <w:t xml:space="preserve">outcomes (see </w:t>
      </w:r>
      <w:r w:rsidRPr="0023016A">
        <w:t>Attachment</w:t>
      </w:r>
      <w:r w:rsidR="00681E49">
        <w:t xml:space="preserve"> </w:t>
      </w:r>
      <w:r w:rsidR="00275076">
        <w:t>4</w:t>
      </w:r>
      <w:r w:rsidR="00E63CFA" w:rsidRPr="00A92156">
        <w:t>)</w:t>
      </w:r>
      <w:r w:rsidRPr="00A92156">
        <w:t xml:space="preserve">. </w:t>
      </w:r>
      <w:r w:rsidR="00C97BDD" w:rsidRPr="00A92156">
        <w:t>The PATH Study’s</w:t>
      </w:r>
      <w:r w:rsidRPr="00A92156">
        <w:t xml:space="preserve"> adult and youth instruments include questions</w:t>
      </w:r>
      <w:r w:rsidRPr="00A2734E">
        <w:t xml:space="preserve"> related to </w:t>
      </w:r>
      <w:r w:rsidR="00146460">
        <w:t xml:space="preserve">tobacco use history; </w:t>
      </w:r>
      <w:r w:rsidRPr="00A2734E">
        <w:t xml:space="preserve">tobacco warning labels; </w:t>
      </w:r>
      <w:r w:rsidR="000A4E29">
        <w:t xml:space="preserve">exposure to health promotion messaging and FDA and other National campaigns; </w:t>
      </w:r>
      <w:r w:rsidRPr="00A2734E">
        <w:t xml:space="preserve">product </w:t>
      </w:r>
      <w:r w:rsidR="00146460" w:rsidRPr="00A2734E">
        <w:t>regulation; product</w:t>
      </w:r>
      <w:r w:rsidR="00146460">
        <w:t xml:space="preserve"> characteristics (e.g., flavors,</w:t>
      </w:r>
      <w:r w:rsidR="00C105BF">
        <w:t xml:space="preserve"> </w:t>
      </w:r>
      <w:r w:rsidR="00146460">
        <w:t>packaging, design)</w:t>
      </w:r>
      <w:r w:rsidRPr="00A2734E">
        <w:t>;</w:t>
      </w:r>
      <w:r w:rsidR="00480733">
        <w:t xml:space="preserve"> </w:t>
      </w:r>
      <w:r w:rsidRPr="00A2734E">
        <w:t>advertising and promotion</w:t>
      </w:r>
      <w:r w:rsidR="005E6028">
        <w:t>; and tobacco product standards</w:t>
      </w:r>
      <w:r w:rsidRPr="00A2734E">
        <w:t xml:space="preserve">. </w:t>
      </w:r>
      <w:r w:rsidR="000A4E29">
        <w:t xml:space="preserve">Questions are included on the </w:t>
      </w:r>
      <w:r w:rsidRPr="00A2734E">
        <w:t>potential impacts of tobacco regulations on tobacco use behaviors</w:t>
      </w:r>
      <w:r w:rsidR="006A1A4F">
        <w:t>, attitudes, biomarkers,</w:t>
      </w:r>
      <w:r w:rsidRPr="00A2734E">
        <w:t xml:space="preserve"> and health, including tobacco product use, cessation, relapse, and initiation patterns and knowledge, attitudes, beliefs, and risk perceptions toward the use of tobacco products</w:t>
      </w:r>
      <w:r w:rsidR="000A4E29">
        <w:t xml:space="preserve">. Others are included </w:t>
      </w:r>
      <w:r w:rsidRPr="00A2734E">
        <w:t>to characterize the general population, including</w:t>
      </w:r>
      <w:r w:rsidR="00DB6E10" w:rsidRPr="00A2734E">
        <w:t xml:space="preserve"> </w:t>
      </w:r>
      <w:r w:rsidRPr="00A2734E">
        <w:t>demographics; environmental factors and family and peer influences</w:t>
      </w:r>
      <w:r w:rsidR="000A4E29">
        <w:t>;</w:t>
      </w:r>
      <w:r w:rsidRPr="00A2734E">
        <w:t xml:space="preserve"> general health</w:t>
      </w:r>
      <w:r w:rsidR="000A4E29">
        <w:t>;</w:t>
      </w:r>
      <w:r w:rsidRPr="00A2734E">
        <w:t xml:space="preserve"> and health effects that may be </w:t>
      </w:r>
      <w:r w:rsidR="000A4E29">
        <w:t>associated with</w:t>
      </w:r>
      <w:r w:rsidRPr="00A2734E">
        <w:t xml:space="preserve"> </w:t>
      </w:r>
      <w:r w:rsidR="000A4E29">
        <w:t xml:space="preserve">the </w:t>
      </w:r>
      <w:r w:rsidRPr="00A2734E">
        <w:t>use of tobacco products.</w:t>
      </w:r>
    </w:p>
    <w:p w:rsidR="00A3367C" w:rsidRPr="00A2734E" w:rsidRDefault="00A3367C" w:rsidP="009E6590">
      <w:pPr>
        <w:pStyle w:val="L1-FlLSp12"/>
      </w:pPr>
    </w:p>
    <w:p w:rsidR="009E6590" w:rsidRDefault="00486A04" w:rsidP="009E6590">
      <w:pPr>
        <w:pStyle w:val="L1-FlLSp12"/>
      </w:pPr>
      <w:r w:rsidRPr="00A2734E">
        <w:t>Existing national</w:t>
      </w:r>
      <w:r w:rsidR="00056636">
        <w:t>, cross-sectional</w:t>
      </w:r>
      <w:r w:rsidRPr="00A2734E">
        <w:t xml:space="preserve"> </w:t>
      </w:r>
      <w:r w:rsidR="00056636">
        <w:t xml:space="preserve">surveillance </w:t>
      </w:r>
      <w:r w:rsidRPr="00A2734E">
        <w:t xml:space="preserve">surveys </w:t>
      </w:r>
      <w:r w:rsidR="00056636">
        <w:t xml:space="preserve">helped </w:t>
      </w:r>
      <w:r w:rsidRPr="00A2734E">
        <w:t xml:space="preserve">inform the </w:t>
      </w:r>
      <w:r w:rsidR="00EA4B9B" w:rsidRPr="00A2734E">
        <w:t>content</w:t>
      </w:r>
      <w:r w:rsidR="00056636">
        <w:t>s</w:t>
      </w:r>
      <w:r w:rsidR="00D82C04" w:rsidRPr="00A2734E">
        <w:t xml:space="preserve"> </w:t>
      </w:r>
      <w:r w:rsidRPr="00A2734E">
        <w:t xml:space="preserve">of </w:t>
      </w:r>
      <w:r w:rsidR="00EA4B9B" w:rsidRPr="00A2734E">
        <w:t xml:space="preserve">the PATH Study </w:t>
      </w:r>
      <w:r w:rsidRPr="00A2734E">
        <w:t xml:space="preserve">instruments. </w:t>
      </w:r>
      <w:r w:rsidR="00D91B7C">
        <w:t>For example,</w:t>
      </w:r>
      <w:r w:rsidR="00B348DA">
        <w:t xml:space="preserve"> many of the</w:t>
      </w:r>
      <w:r w:rsidR="00467ED1">
        <w:t xml:space="preserve"> </w:t>
      </w:r>
      <w:r w:rsidR="00C97BDD">
        <w:t>tobacco-</w:t>
      </w:r>
      <w:r w:rsidR="00467ED1">
        <w:t>related</w:t>
      </w:r>
      <w:r w:rsidR="00EA4B9B" w:rsidRPr="00A2734E">
        <w:t xml:space="preserve"> questions </w:t>
      </w:r>
      <w:r w:rsidR="00320409" w:rsidRPr="00A2734E">
        <w:t xml:space="preserve">in </w:t>
      </w:r>
      <w:r w:rsidR="00540165">
        <w:t xml:space="preserve">the </w:t>
      </w:r>
      <w:r w:rsidR="00540165" w:rsidRPr="00A2734E">
        <w:t xml:space="preserve">Tobacco Use Supplement </w:t>
      </w:r>
      <w:r w:rsidR="00540165">
        <w:t xml:space="preserve">to the Current Population Survey </w:t>
      </w:r>
      <w:r w:rsidR="00540165" w:rsidRPr="00A2734E">
        <w:t>(</w:t>
      </w:r>
      <w:r w:rsidR="00540165">
        <w:t>TUS-CPS</w:t>
      </w:r>
      <w:r w:rsidR="00540165" w:rsidRPr="00A2734E">
        <w:t>)</w:t>
      </w:r>
      <w:r w:rsidR="00C76F5F">
        <w:t>, in the National Youth Tobacco Survey (NYTS),</w:t>
      </w:r>
      <w:r w:rsidR="00540165">
        <w:t xml:space="preserve"> and </w:t>
      </w:r>
      <w:r w:rsidR="00540165" w:rsidRPr="00A2734E">
        <w:t xml:space="preserve">in the National Health Interview Survey (NHIS) </w:t>
      </w:r>
      <w:r w:rsidR="00540165">
        <w:t xml:space="preserve">were adapted to assess the full array of tobacco products of interest to the PATH Study, including the use of </w:t>
      </w:r>
      <w:r w:rsidR="002E13F2">
        <w:t>electronic nicotine delivery systems (</w:t>
      </w:r>
      <w:r w:rsidR="00B95C5D">
        <w:t>ENDS</w:t>
      </w:r>
      <w:r w:rsidR="002E13F2">
        <w:t>)</w:t>
      </w:r>
      <w:r w:rsidR="00B95C5D">
        <w:t xml:space="preserve">, such as </w:t>
      </w:r>
      <w:r w:rsidR="00540165">
        <w:t>e-cigarettes</w:t>
      </w:r>
      <w:r w:rsidR="002E13F2">
        <w:t>;</w:t>
      </w:r>
      <w:r w:rsidR="00540165">
        <w:t xml:space="preserve"> and dissolvable tobacco.</w:t>
      </w:r>
      <w:r w:rsidR="00540165" w:rsidRPr="00A2734E">
        <w:t xml:space="preserve"> </w:t>
      </w:r>
      <w:r w:rsidR="00540165">
        <w:t xml:space="preserve">For example, </w:t>
      </w:r>
      <w:r w:rsidR="00E46C9F">
        <w:t xml:space="preserve">the </w:t>
      </w:r>
      <w:r w:rsidR="00440252">
        <w:t>TUS-CPS</w:t>
      </w:r>
      <w:r w:rsidR="00D121A1">
        <w:t xml:space="preserve"> question</w:t>
      </w:r>
      <w:r w:rsidR="00540165">
        <w:t>,</w:t>
      </w:r>
      <w:r w:rsidR="00D121A1">
        <w:t xml:space="preserve"> </w:t>
      </w:r>
      <w:r w:rsidR="00D121A1">
        <w:lastRenderedPageBreak/>
        <w:t>“</w:t>
      </w:r>
      <w:r w:rsidR="00FC14F1">
        <w:t xml:space="preserve">Have you ever smoked a cigarette, even one or two puffs?” was the basis for the PATH Study question “Have you ever used an e-cigarette, such as NJOY, </w:t>
      </w:r>
      <w:proofErr w:type="spellStart"/>
      <w:r w:rsidR="00FC14F1">
        <w:t>Blu</w:t>
      </w:r>
      <w:proofErr w:type="spellEnd"/>
      <w:r w:rsidR="00FC14F1">
        <w:t>, or Smoking Everywhere, even one or two times?”</w:t>
      </w:r>
    </w:p>
    <w:p w:rsidR="00FC14F1" w:rsidRDefault="00FC14F1" w:rsidP="009E6590">
      <w:pPr>
        <w:pStyle w:val="L1-FlLSp12"/>
      </w:pPr>
    </w:p>
    <w:p w:rsidR="009E6590" w:rsidRDefault="00D91B7C" w:rsidP="009E6590">
      <w:pPr>
        <w:pStyle w:val="L1-FlLSp12"/>
      </w:pPr>
      <w:r>
        <w:t>N</w:t>
      </w:r>
      <w:r w:rsidR="00120B3D">
        <w:t xml:space="preserve">icotine dependence items in the PATH Study instrument </w:t>
      </w:r>
      <w:r w:rsidR="00525D87">
        <w:t>were</w:t>
      </w:r>
      <w:r w:rsidR="00120B3D">
        <w:t xml:space="preserve"> derived </w:t>
      </w:r>
      <w:r>
        <w:t xml:space="preserve">in part </w:t>
      </w:r>
      <w:r w:rsidR="00120B3D">
        <w:t>from the National Epidemiological Survey on Alcohol and Related Conditions (NESARC)</w:t>
      </w:r>
      <w:r w:rsidR="00525D87">
        <w:t xml:space="preserve"> survey</w:t>
      </w:r>
      <w:r w:rsidR="00120B3D">
        <w:t>.</w:t>
      </w:r>
    </w:p>
    <w:p w:rsidR="00286327" w:rsidRPr="00286327" w:rsidRDefault="00286327" w:rsidP="009E6590">
      <w:pPr>
        <w:pStyle w:val="L1-FlLSp12"/>
      </w:pPr>
    </w:p>
    <w:p w:rsidR="00A074C4" w:rsidRDefault="003B685E" w:rsidP="00E9738D">
      <w:pPr>
        <w:pStyle w:val="L1-FlLSp12"/>
      </w:pPr>
      <w:r>
        <w:t>Questions</w:t>
      </w:r>
      <w:r w:rsidRPr="00A2734E">
        <w:t xml:space="preserve"> </w:t>
      </w:r>
      <w:r>
        <w:t xml:space="preserve">in the PATH Study </w:t>
      </w:r>
      <w:r w:rsidR="00540165">
        <w:t>about</w:t>
      </w:r>
      <w:r w:rsidRPr="00A2734E">
        <w:t xml:space="preserve"> physical health endpoints were drawn </w:t>
      </w:r>
      <w:r>
        <w:t xml:space="preserve">from </w:t>
      </w:r>
      <w:r w:rsidRPr="00A2734E">
        <w:t>the National Health and Nutrition Examination Survey (NHANES)</w:t>
      </w:r>
      <w:r>
        <w:t>, a</w:t>
      </w:r>
      <w:r w:rsidRPr="00A2734E">
        <w:rPr>
          <w:szCs w:val="24"/>
        </w:rPr>
        <w:t xml:space="preserve"> national </w:t>
      </w:r>
      <w:r>
        <w:rPr>
          <w:szCs w:val="24"/>
        </w:rPr>
        <w:t xml:space="preserve">cross-sectional survey that </w:t>
      </w:r>
      <w:r w:rsidRPr="00A2734E">
        <w:rPr>
          <w:szCs w:val="24"/>
        </w:rPr>
        <w:t>includes tobacco</w:t>
      </w:r>
      <w:r>
        <w:rPr>
          <w:szCs w:val="24"/>
        </w:rPr>
        <w:t>-</w:t>
      </w:r>
      <w:r w:rsidRPr="00A2734E">
        <w:rPr>
          <w:szCs w:val="24"/>
        </w:rPr>
        <w:t xml:space="preserve">use </w:t>
      </w:r>
      <w:r>
        <w:rPr>
          <w:szCs w:val="24"/>
        </w:rPr>
        <w:t xml:space="preserve">questions in its instruments and collects </w:t>
      </w:r>
      <w:proofErr w:type="spellStart"/>
      <w:r w:rsidRPr="00A2734E">
        <w:rPr>
          <w:szCs w:val="24"/>
        </w:rPr>
        <w:t>biospecimens</w:t>
      </w:r>
      <w:proofErr w:type="spellEnd"/>
      <w:r w:rsidRPr="00A2734E">
        <w:rPr>
          <w:szCs w:val="24"/>
        </w:rPr>
        <w:t>.</w:t>
      </w:r>
      <w:r>
        <w:rPr>
          <w:szCs w:val="24"/>
        </w:rPr>
        <w:t xml:space="preserve"> Some of these items have been tailored to assess PATH Study-</w:t>
      </w:r>
      <w:r w:rsidRPr="00A2734E">
        <w:rPr>
          <w:szCs w:val="24"/>
        </w:rPr>
        <w:t>specific tobacco-related health conditions.</w:t>
      </w:r>
      <w:r>
        <w:rPr>
          <w:szCs w:val="24"/>
        </w:rPr>
        <w:t xml:space="preserve"> </w:t>
      </w:r>
      <w:r>
        <w:t>For example, the NHANES item “</w:t>
      </w:r>
      <w:r w:rsidR="00242547">
        <w:t>In the past 12 months, have</w:t>
      </w:r>
      <w:r>
        <w:t xml:space="preserve"> you been told by a doctor or other health professional that you had cancer?” has been modified for the PATH Study to “Have you ever been told by a doctor, dentist, or other health professional that you have pre-cancerous oral lesions?” Other health-related items in the PATH Study questionnaire are from standard screeners (i.e.,</w:t>
      </w:r>
      <w:r w:rsidR="005C1A40" w:rsidRPr="005C1A40">
        <w:t xml:space="preserve"> </w:t>
      </w:r>
      <w:r w:rsidR="005C1A40">
        <w:t>the</w:t>
      </w:r>
      <w:r w:rsidR="00E46C9F">
        <w:t xml:space="preserve"> </w:t>
      </w:r>
      <w:r w:rsidR="005C1A40" w:rsidRPr="005C1A40">
        <w:t>Global Appraisal of Individual Needs</w:t>
      </w:r>
      <w:r w:rsidR="005C1A40">
        <w:t xml:space="preserve"> (</w:t>
      </w:r>
      <w:r>
        <w:t>GAIN</w:t>
      </w:r>
      <w:r w:rsidR="005C1A40">
        <w:t>) and the Patient-Oriented Outcomes Measurement Information System (PROMIS)</w:t>
      </w:r>
      <w:r>
        <w:t>.</w:t>
      </w:r>
      <w:r w:rsidR="009D04A9">
        <w:t xml:space="preserve"> For Wave 2,</w:t>
      </w:r>
      <w:r w:rsidR="00E9738D">
        <w:t xml:space="preserve"> </w:t>
      </w:r>
      <w:r w:rsidR="00E9738D" w:rsidRPr="0023016A">
        <w:t xml:space="preserve">the PATH Study </w:t>
      </w:r>
      <w:r w:rsidR="00240E69" w:rsidRPr="0023016A">
        <w:t xml:space="preserve">added </w:t>
      </w:r>
      <w:r w:rsidR="00721AF6" w:rsidRPr="0023016A">
        <w:t xml:space="preserve">some new </w:t>
      </w:r>
      <w:r w:rsidR="002B1808" w:rsidRPr="0023016A">
        <w:t>questions</w:t>
      </w:r>
      <w:r w:rsidR="00940ED6">
        <w:rPr>
          <w:lang w:val="en-US"/>
        </w:rPr>
        <w:t>;</w:t>
      </w:r>
      <w:r w:rsidR="002B1808" w:rsidRPr="0023016A">
        <w:t xml:space="preserve"> for </w:t>
      </w:r>
      <w:r w:rsidR="002B1808" w:rsidRPr="004949CC">
        <w:t>example</w:t>
      </w:r>
      <w:r w:rsidR="00AC466B" w:rsidRPr="004949CC">
        <w:t>,</w:t>
      </w:r>
      <w:r w:rsidR="002B1808" w:rsidRPr="004949CC">
        <w:t xml:space="preserve"> questions on</w:t>
      </w:r>
      <w:r w:rsidR="00AC2E44" w:rsidRPr="004949CC">
        <w:t xml:space="preserve"> </w:t>
      </w:r>
      <w:r w:rsidR="00415E77" w:rsidRPr="004949CC">
        <w:rPr>
          <w:lang w:val="en-US"/>
        </w:rPr>
        <w:t>respiratory health conditions</w:t>
      </w:r>
      <w:r w:rsidR="009D04A9" w:rsidRPr="004949CC">
        <w:t xml:space="preserve"> </w:t>
      </w:r>
      <w:r w:rsidR="00AC466B" w:rsidRPr="004949CC">
        <w:t xml:space="preserve">that </w:t>
      </w:r>
      <w:r w:rsidR="00721AF6" w:rsidRPr="004949CC">
        <w:t xml:space="preserve">were adapted </w:t>
      </w:r>
      <w:r w:rsidR="00E9738D" w:rsidRPr="004949CC">
        <w:t xml:space="preserve">from </w:t>
      </w:r>
      <w:r w:rsidR="00415E77" w:rsidRPr="004949CC">
        <w:rPr>
          <w:lang w:val="en-US"/>
        </w:rPr>
        <w:t>Phase 3 of the</w:t>
      </w:r>
      <w:r w:rsidR="00E9738D" w:rsidRPr="004949CC">
        <w:t xml:space="preserve"> International Study of Asthma and Allergies in Childhood </w:t>
      </w:r>
      <w:r w:rsidR="00415E77" w:rsidRPr="004949CC">
        <w:rPr>
          <w:lang w:val="en-US"/>
        </w:rPr>
        <w:t>(</w:t>
      </w:r>
      <w:r w:rsidR="00940ED6" w:rsidRPr="00515379">
        <w:t>Ellwood</w:t>
      </w:r>
      <w:r w:rsidR="00940ED6">
        <w:rPr>
          <w:lang w:val="en-US"/>
        </w:rPr>
        <w:t xml:space="preserve"> et al.,</w:t>
      </w:r>
      <w:r w:rsidR="00940ED6" w:rsidRPr="004949CC">
        <w:rPr>
          <w:lang w:val="en-US"/>
        </w:rPr>
        <w:t xml:space="preserve"> </w:t>
      </w:r>
      <w:r w:rsidR="00415E77" w:rsidRPr="004949CC">
        <w:rPr>
          <w:lang w:val="en-US"/>
        </w:rPr>
        <w:t>2005)</w:t>
      </w:r>
      <w:r w:rsidR="00940ED6">
        <w:rPr>
          <w:lang w:val="en-US"/>
        </w:rPr>
        <w:t xml:space="preserve"> </w:t>
      </w:r>
      <w:r w:rsidR="009D04A9" w:rsidRPr="004949CC">
        <w:t xml:space="preserve">for the </w:t>
      </w:r>
      <w:r w:rsidR="00E9738D" w:rsidRPr="004949CC">
        <w:t>youth questionnaire and</w:t>
      </w:r>
      <w:r w:rsidR="009D04A9" w:rsidRPr="004949CC">
        <w:t xml:space="preserve"> </w:t>
      </w:r>
      <w:r w:rsidR="00E9738D" w:rsidRPr="004949CC">
        <w:t xml:space="preserve">the Asthma Control Test </w:t>
      </w:r>
      <w:r w:rsidR="00415E77" w:rsidRPr="004949CC">
        <w:rPr>
          <w:lang w:val="en-US"/>
        </w:rPr>
        <w:t>(</w:t>
      </w:r>
      <w:r w:rsidR="00940ED6" w:rsidRPr="00515379">
        <w:t>Nathan</w:t>
      </w:r>
      <w:r w:rsidR="00940ED6">
        <w:rPr>
          <w:lang w:val="en-US"/>
        </w:rPr>
        <w:t xml:space="preserve"> et al.,</w:t>
      </w:r>
      <w:r w:rsidR="00940ED6" w:rsidRPr="004949CC">
        <w:rPr>
          <w:lang w:val="en-US"/>
        </w:rPr>
        <w:t xml:space="preserve"> </w:t>
      </w:r>
      <w:r w:rsidR="00415E77" w:rsidRPr="004949CC">
        <w:rPr>
          <w:lang w:val="en-US"/>
        </w:rPr>
        <w:t xml:space="preserve">2004) </w:t>
      </w:r>
      <w:r w:rsidR="009D04A9" w:rsidRPr="004949CC">
        <w:t xml:space="preserve">for both the </w:t>
      </w:r>
      <w:r w:rsidR="00E9738D" w:rsidRPr="004949CC">
        <w:t>youth and adult questionnaires</w:t>
      </w:r>
      <w:r w:rsidR="00C966E4" w:rsidRPr="004949CC">
        <w:t>.</w:t>
      </w:r>
    </w:p>
    <w:p w:rsidR="00242547" w:rsidRPr="00242547" w:rsidRDefault="00242547" w:rsidP="003B685E">
      <w:pPr>
        <w:pStyle w:val="L1-FlLSp12"/>
      </w:pPr>
    </w:p>
    <w:p w:rsidR="003B685E" w:rsidRPr="00C01677" w:rsidRDefault="003B685E" w:rsidP="003B685E">
      <w:pPr>
        <w:pStyle w:val="L1-FlLSp12"/>
        <w:rPr>
          <w:szCs w:val="24"/>
        </w:rPr>
      </w:pPr>
      <w:r>
        <w:rPr>
          <w:szCs w:val="24"/>
        </w:rPr>
        <w:t xml:space="preserve">The PATH Study questionnaires include items from </w:t>
      </w:r>
      <w:r w:rsidR="00B11C91">
        <w:rPr>
          <w:szCs w:val="24"/>
        </w:rPr>
        <w:t xml:space="preserve">other </w:t>
      </w:r>
      <w:r>
        <w:rPr>
          <w:szCs w:val="24"/>
        </w:rPr>
        <w:t xml:space="preserve">international, state, and privately funded tobacco surveillance surveys, such as </w:t>
      </w:r>
      <w:r w:rsidR="00B11C91">
        <w:rPr>
          <w:szCs w:val="24"/>
        </w:rPr>
        <w:t>questions about</w:t>
      </w:r>
      <w:r>
        <w:rPr>
          <w:szCs w:val="24"/>
        </w:rPr>
        <w:t xml:space="preserve"> tobacco regulation </w:t>
      </w:r>
      <w:r w:rsidR="00B11C91">
        <w:rPr>
          <w:szCs w:val="24"/>
        </w:rPr>
        <w:t xml:space="preserve">which are </w:t>
      </w:r>
      <w:r>
        <w:rPr>
          <w:szCs w:val="24"/>
        </w:rPr>
        <w:t>based on International Tobacco Consortium surveys; the advertising items drawn from the Visual Media Influences on Adolescent and Young Adult Smoking Behavior surveys; the cessation and nicotine replacement items from the Minnesota Adult Tobacco Survey; and the items on secondhand exposure from the Global Adult Tobacco Survey and Massachusetts Tobacco Survey.</w:t>
      </w:r>
    </w:p>
    <w:p w:rsidR="003B685E" w:rsidRPr="00A2734E" w:rsidRDefault="003B685E" w:rsidP="003B685E">
      <w:pPr>
        <w:pStyle w:val="L1-FlLSp12"/>
      </w:pPr>
    </w:p>
    <w:p w:rsidR="00AC2E44" w:rsidRDefault="001B5D74" w:rsidP="003B685E">
      <w:pPr>
        <w:pStyle w:val="L1-FlLSp12"/>
      </w:pPr>
      <w:r w:rsidRPr="00562F82">
        <w:t xml:space="preserve">The PATH Study </w:t>
      </w:r>
      <w:r w:rsidR="00A61431" w:rsidRPr="0023016A">
        <w:t xml:space="preserve">baseline instruments </w:t>
      </w:r>
      <w:r w:rsidRPr="00562F82">
        <w:t xml:space="preserve">were reviewed to ensure </w:t>
      </w:r>
      <w:r w:rsidR="00BB6C3C">
        <w:t xml:space="preserve">that they </w:t>
      </w:r>
      <w:r w:rsidR="00196FA0">
        <w:t>maximize the utility of the data collect</w:t>
      </w:r>
      <w:r w:rsidR="00BB6C3C">
        <w:t>ed</w:t>
      </w:r>
      <w:r w:rsidR="00196FA0">
        <w:t xml:space="preserve"> by </w:t>
      </w:r>
      <w:r w:rsidR="00BD6DD3" w:rsidRPr="00562F82">
        <w:t>captur</w:t>
      </w:r>
      <w:r w:rsidR="00196FA0">
        <w:t>ing</w:t>
      </w:r>
      <w:r w:rsidR="00BD6DD3" w:rsidRPr="00562F82">
        <w:t xml:space="preserve"> changing use patterns and practices in the context of the changing</w:t>
      </w:r>
      <w:r w:rsidR="00674AA2" w:rsidRPr="00562F82">
        <w:t xml:space="preserve"> tobacco-product marketplace</w:t>
      </w:r>
      <w:r w:rsidRPr="00562F82">
        <w:t xml:space="preserve"> and regulatory environment</w:t>
      </w:r>
      <w:r w:rsidR="00A61431" w:rsidRPr="0023016A">
        <w:t xml:space="preserve"> while </w:t>
      </w:r>
      <w:r w:rsidR="00196FA0">
        <w:t xml:space="preserve">also </w:t>
      </w:r>
      <w:r w:rsidR="00A61431" w:rsidRPr="0023016A">
        <w:t xml:space="preserve">minimizing </w:t>
      </w:r>
      <w:r w:rsidR="00196FA0">
        <w:t>burden on respondents, avoiding duplication with existing Federal surveys, and complying with HHS data standards.</w:t>
      </w:r>
      <w:r w:rsidRPr="00562F82">
        <w:t xml:space="preserve"> This review resulted in decisions to add, delete, and rotate various questions. </w:t>
      </w:r>
      <w:r w:rsidR="003B685E" w:rsidRPr="00562F82">
        <w:t>For example,</w:t>
      </w:r>
      <w:r w:rsidR="00E9738D" w:rsidRPr="00562F82" w:rsidDel="00E9738D">
        <w:t xml:space="preserve"> </w:t>
      </w:r>
      <w:r w:rsidR="00E9738D" w:rsidRPr="00562F82">
        <w:t xml:space="preserve">questions have been added </w:t>
      </w:r>
      <w:r w:rsidR="00BB6C3C">
        <w:t xml:space="preserve">to ask </w:t>
      </w:r>
      <w:r w:rsidR="00E9738D" w:rsidRPr="00562F82">
        <w:t xml:space="preserve">about awareness and use of </w:t>
      </w:r>
      <w:r w:rsidR="002E13F2">
        <w:t xml:space="preserve">ENDS </w:t>
      </w:r>
      <w:r w:rsidR="00E9738D" w:rsidRPr="00562F82">
        <w:t>other than e-</w:t>
      </w:r>
      <w:r w:rsidR="00E9738D" w:rsidRPr="00562F82">
        <w:lastRenderedPageBreak/>
        <w:t>cigarettes</w:t>
      </w:r>
      <w:r w:rsidR="002E13F2">
        <w:t>,</w:t>
      </w:r>
      <w:r w:rsidR="00E9738D" w:rsidRPr="00562F82">
        <w:t xml:space="preserve"> such as e-cigars or e-hookah</w:t>
      </w:r>
      <w:r w:rsidR="00562F82">
        <w:t>.</w:t>
      </w:r>
      <w:r w:rsidR="00275076" w:rsidRPr="00562F82">
        <w:t xml:space="preserve"> See Attachment 5 for more details regarding content changes to the instruments from Baseline to Wave 2.</w:t>
      </w:r>
    </w:p>
    <w:p w:rsidR="003B685E" w:rsidRDefault="003B685E" w:rsidP="003B685E">
      <w:pPr>
        <w:pStyle w:val="L1-FlLSp12"/>
      </w:pPr>
    </w:p>
    <w:p w:rsidR="00AC2E44" w:rsidRDefault="00CC26CC" w:rsidP="003B685E">
      <w:pPr>
        <w:pStyle w:val="L1-FlLSp12"/>
      </w:pPr>
      <w:r>
        <w:t xml:space="preserve">Over time, </w:t>
      </w:r>
      <w:r w:rsidR="00DF048B">
        <w:t xml:space="preserve">PATH Study </w:t>
      </w:r>
      <w:r w:rsidR="00A00CD9">
        <w:t xml:space="preserve">longitudinal cohort data </w:t>
      </w:r>
      <w:r w:rsidR="003B685E">
        <w:t>will be used to develop</w:t>
      </w:r>
      <w:r w:rsidR="00A00CD9">
        <w:t xml:space="preserve"> </w:t>
      </w:r>
      <w:r>
        <w:t>and refine</w:t>
      </w:r>
      <w:r w:rsidR="003B685E" w:rsidRPr="00EB7C39">
        <w:t xml:space="preserve"> taxonomies of tobacco</w:t>
      </w:r>
      <w:r w:rsidR="003B685E" w:rsidRPr="00302345">
        <w:t xml:space="preserve"> user</w:t>
      </w:r>
      <w:r w:rsidR="003B685E" w:rsidRPr="00FF7B95">
        <w:t xml:space="preserve"> subgroups, such as </w:t>
      </w:r>
      <w:r w:rsidR="00DF048B">
        <w:t xml:space="preserve">those </w:t>
      </w:r>
      <w:r w:rsidR="003B685E">
        <w:t xml:space="preserve">who </w:t>
      </w:r>
      <w:r w:rsidR="00DF048B">
        <w:t xml:space="preserve">begin </w:t>
      </w:r>
      <w:r w:rsidR="003B685E" w:rsidRPr="00FF7B95">
        <w:t>tobacco</w:t>
      </w:r>
      <w:r w:rsidR="003B685E">
        <w:t xml:space="preserve"> use by first using smokeless tobacco; </w:t>
      </w:r>
      <w:r w:rsidR="00DF048B">
        <w:t>those</w:t>
      </w:r>
      <w:r w:rsidR="003B685E" w:rsidRPr="00A2734E">
        <w:t xml:space="preserve"> who switch </w:t>
      </w:r>
      <w:r w:rsidR="003B685E">
        <w:t xml:space="preserve">among types of </w:t>
      </w:r>
      <w:r w:rsidR="003B685E" w:rsidRPr="00A2734E">
        <w:t>products</w:t>
      </w:r>
      <w:r w:rsidR="003B685E">
        <w:t xml:space="preserve">, including new and emerging products </w:t>
      </w:r>
      <w:r w:rsidR="003B685E" w:rsidRPr="00A2734E">
        <w:t xml:space="preserve">such as </w:t>
      </w:r>
      <w:r w:rsidR="003B685E">
        <w:t>s</w:t>
      </w:r>
      <w:r w:rsidR="003B685E" w:rsidRPr="00A2734E">
        <w:t>nus</w:t>
      </w:r>
      <w:r w:rsidR="003B685E">
        <w:t>;</w:t>
      </w:r>
      <w:r w:rsidR="003B685E" w:rsidRPr="00A2734E">
        <w:t xml:space="preserve"> </w:t>
      </w:r>
      <w:r w:rsidR="003B685E">
        <w:t xml:space="preserve">those </w:t>
      </w:r>
      <w:r w:rsidR="003B685E" w:rsidRPr="00A2734E">
        <w:t>who use multiple types of tobacco products</w:t>
      </w:r>
      <w:r w:rsidR="003B685E">
        <w:t xml:space="preserve"> (e.g., combustible and smokeless); </w:t>
      </w:r>
      <w:r>
        <w:t xml:space="preserve">and </w:t>
      </w:r>
      <w:r w:rsidR="00DF048B">
        <w:t>those</w:t>
      </w:r>
      <w:r w:rsidR="003B685E">
        <w:t xml:space="preserve"> </w:t>
      </w:r>
      <w:r w:rsidR="003B685E" w:rsidRPr="00A2734E">
        <w:t xml:space="preserve">who </w:t>
      </w:r>
      <w:r w:rsidR="003B685E" w:rsidRPr="00286327">
        <w:t>seek to reduce their health risks while continuing to use</w:t>
      </w:r>
      <w:r w:rsidR="00DF048B" w:rsidRPr="00286327">
        <w:t xml:space="preserve"> tobacco by, for example, sw</w:t>
      </w:r>
      <w:r w:rsidR="003B685E" w:rsidRPr="00286327">
        <w:t>itching to</w:t>
      </w:r>
      <w:r w:rsidR="003B685E" w:rsidRPr="00A2734E">
        <w:t xml:space="preserve"> </w:t>
      </w:r>
      <w:r w:rsidR="003B685E">
        <w:t>products perceived to be less risky (</w:t>
      </w:r>
      <w:r w:rsidR="00A702D9">
        <w:t>e.g.</w:t>
      </w:r>
      <w:r w:rsidR="00DF048B">
        <w:t>,</w:t>
      </w:r>
      <w:r w:rsidR="003B685E">
        <w:t xml:space="preserve"> </w:t>
      </w:r>
      <w:r w:rsidR="003B685E" w:rsidRPr="00A2734E">
        <w:t>e-cigarettes</w:t>
      </w:r>
      <w:r w:rsidR="003B685E">
        <w:t>)</w:t>
      </w:r>
      <w:r>
        <w:t>.</w:t>
      </w:r>
      <w:r w:rsidR="003B685E">
        <w:t xml:space="preserve"> The PATH Study includes </w:t>
      </w:r>
      <w:r w:rsidR="003B685E" w:rsidRPr="00A2734E">
        <w:t xml:space="preserve">items </w:t>
      </w:r>
      <w:r w:rsidR="003B685E">
        <w:t>on</w:t>
      </w:r>
      <w:r w:rsidR="003B685E" w:rsidRPr="00A2734E">
        <w:t xml:space="preserve"> </w:t>
      </w:r>
      <w:r w:rsidR="003B685E">
        <w:t>perceptions of health risks from</w:t>
      </w:r>
      <w:r w:rsidR="003B685E" w:rsidRPr="00A2734E">
        <w:t xml:space="preserve"> smoking</w:t>
      </w:r>
      <w:r w:rsidR="00955A31">
        <w:t xml:space="preserve"> and use of other tobacco products</w:t>
      </w:r>
      <w:r w:rsidR="003B685E">
        <w:t>. It</w:t>
      </w:r>
      <w:r w:rsidR="003B685E" w:rsidRPr="009D05AF">
        <w:t xml:space="preserve"> </w:t>
      </w:r>
      <w:r w:rsidR="003B685E" w:rsidRPr="00A2734E">
        <w:t xml:space="preserve">also </w:t>
      </w:r>
      <w:r w:rsidR="003B685E">
        <w:t xml:space="preserve">has items in the health outcomes section to assess </w:t>
      </w:r>
      <w:r w:rsidR="007C1359">
        <w:t xml:space="preserve">current and </w:t>
      </w:r>
      <w:r w:rsidR="003B685E">
        <w:t>former tobacco-product use among women reporting to be pregnant.</w:t>
      </w:r>
    </w:p>
    <w:p w:rsidR="007C1359" w:rsidRDefault="007C1359" w:rsidP="00D8525C">
      <w:pPr>
        <w:pStyle w:val="L1-FlLSp12"/>
      </w:pPr>
    </w:p>
    <w:p w:rsidR="00AC2E44" w:rsidRDefault="003B685E" w:rsidP="00D8525C">
      <w:pPr>
        <w:pStyle w:val="L1-FlLSp12"/>
      </w:pPr>
      <w:r>
        <w:t xml:space="preserve">Some </w:t>
      </w:r>
      <w:r w:rsidR="00D26319">
        <w:t xml:space="preserve">questions </w:t>
      </w:r>
      <w:r w:rsidR="007C1359">
        <w:t xml:space="preserve">in </w:t>
      </w:r>
      <w:r w:rsidR="00CC26CC">
        <w:t xml:space="preserve">the baseline questionnaire </w:t>
      </w:r>
      <w:r w:rsidR="007C1359">
        <w:t>have been deleted from</w:t>
      </w:r>
      <w:r w:rsidR="00D26319">
        <w:t xml:space="preserve"> the Wave 2 instruments</w:t>
      </w:r>
      <w:r w:rsidR="00DD57B6">
        <w:t xml:space="preserve"> because they</w:t>
      </w:r>
      <w:r w:rsidR="00B348DA">
        <w:t xml:space="preserve"> </w:t>
      </w:r>
      <w:r w:rsidR="007C1359">
        <w:t>refer to</w:t>
      </w:r>
      <w:r w:rsidR="00CC26CC">
        <w:t xml:space="preserve"> </w:t>
      </w:r>
      <w:r w:rsidR="00D20F7C">
        <w:t>experiences</w:t>
      </w:r>
      <w:r w:rsidR="006A62A9">
        <w:t xml:space="preserve"> that are unlikely to change </w:t>
      </w:r>
      <w:r w:rsidR="007C1359">
        <w:t xml:space="preserve">from </w:t>
      </w:r>
      <w:r w:rsidR="006A62A9">
        <w:t xml:space="preserve">wave to wave. </w:t>
      </w:r>
      <w:r w:rsidR="00CC26CC">
        <w:t xml:space="preserve">These items </w:t>
      </w:r>
      <w:r w:rsidR="00B348DA">
        <w:t xml:space="preserve">will be asked </w:t>
      </w:r>
      <w:r w:rsidR="00CC26CC">
        <w:t>i</w:t>
      </w:r>
      <w:r w:rsidR="00B348DA">
        <w:t xml:space="preserve">n alternating </w:t>
      </w:r>
      <w:r w:rsidR="00B70176">
        <w:t xml:space="preserve">year </w:t>
      </w:r>
      <w:r w:rsidR="00B348DA">
        <w:t>waves</w:t>
      </w:r>
      <w:r w:rsidR="00CC26CC">
        <w:t xml:space="preserve"> (</w:t>
      </w:r>
      <w:r w:rsidR="00DD57B6">
        <w:t>e.g.,</w:t>
      </w:r>
      <w:r w:rsidR="00B348DA">
        <w:t xml:space="preserve"> at baseline</w:t>
      </w:r>
      <w:r w:rsidR="00DD57B6">
        <w:t xml:space="preserve">, </w:t>
      </w:r>
      <w:r w:rsidR="00B348DA">
        <w:t>at Wave 3</w:t>
      </w:r>
      <w:r w:rsidR="00DD57B6">
        <w:t>, and so on</w:t>
      </w:r>
      <w:r w:rsidR="00B348DA">
        <w:t xml:space="preserve">). This </w:t>
      </w:r>
      <w:r w:rsidR="00DD57B6">
        <w:t xml:space="preserve">rotational approach is also </w:t>
      </w:r>
      <w:r w:rsidR="00EB1A56">
        <w:t>used</w:t>
      </w:r>
      <w:r w:rsidR="00B348DA">
        <w:t xml:space="preserve"> for </w:t>
      </w:r>
      <w:r w:rsidR="006A62A9">
        <w:t xml:space="preserve">items </w:t>
      </w:r>
      <w:r w:rsidR="007C1359">
        <w:t>such as</w:t>
      </w:r>
      <w:r w:rsidR="006A62A9">
        <w:t xml:space="preserve"> </w:t>
      </w:r>
      <w:r w:rsidR="006A62A9" w:rsidRPr="00CC26CC">
        <w:t>warning labels on cigarette packs</w:t>
      </w:r>
      <w:r w:rsidR="006A62A9">
        <w:t xml:space="preserve"> </w:t>
      </w:r>
      <w:r w:rsidR="00020EF6">
        <w:t>(</w:t>
      </w:r>
      <w:r w:rsidR="006A62A9">
        <w:t xml:space="preserve">given that </w:t>
      </w:r>
      <w:r w:rsidR="006A62A9" w:rsidRPr="00CC26CC">
        <w:t xml:space="preserve">policies on warning labels have been stable </w:t>
      </w:r>
      <w:r w:rsidR="006A62A9">
        <w:t>in recent years and are unlikely to change between waves</w:t>
      </w:r>
      <w:r w:rsidR="00020EF6">
        <w:t>)</w:t>
      </w:r>
      <w:r w:rsidR="006A62A9">
        <w:t>.</w:t>
      </w:r>
      <w:r w:rsidR="00B348DA">
        <w:t xml:space="preserve"> </w:t>
      </w:r>
      <w:r w:rsidR="00D20F7C">
        <w:t xml:space="preserve">Should these policies change, </w:t>
      </w:r>
      <w:r w:rsidR="00B70176">
        <w:t xml:space="preserve">items will be added to questionnaires in </w:t>
      </w:r>
      <w:r w:rsidR="00D20F7C">
        <w:t>future wave</w:t>
      </w:r>
      <w:r w:rsidR="007C1359">
        <w:t>s</w:t>
      </w:r>
      <w:r w:rsidR="00D20F7C">
        <w:t xml:space="preserve"> </w:t>
      </w:r>
      <w:r w:rsidR="00B70176">
        <w:t>to capture respondents’ perceptions about the changes</w:t>
      </w:r>
      <w:r w:rsidR="00D20F7C">
        <w:t xml:space="preserve">. </w:t>
      </w:r>
      <w:r w:rsidR="00EB1A56">
        <w:t xml:space="preserve">However, respondents </w:t>
      </w:r>
      <w:r w:rsidR="007C1359">
        <w:t xml:space="preserve">who age into a </w:t>
      </w:r>
      <w:r w:rsidR="00EB1A56">
        <w:t xml:space="preserve">new </w:t>
      </w:r>
      <w:r w:rsidR="007C1359">
        <w:t>cohort</w:t>
      </w:r>
      <w:r w:rsidR="00EB1A56">
        <w:t xml:space="preserve"> (e.g., shadow youth </w:t>
      </w:r>
      <w:r w:rsidR="009B4877">
        <w:t>who</w:t>
      </w:r>
      <w:r w:rsidR="00EB1A56">
        <w:t xml:space="preserve"> age into the </w:t>
      </w:r>
      <w:r w:rsidR="009B4877">
        <w:t xml:space="preserve">youth cohort </w:t>
      </w:r>
      <w:r w:rsidR="00B70176">
        <w:t xml:space="preserve">(12 year olds) </w:t>
      </w:r>
      <w:r w:rsidR="009B4877">
        <w:t xml:space="preserve">and </w:t>
      </w:r>
      <w:r w:rsidR="00EB1A56">
        <w:t>youth who age into the adult cohort</w:t>
      </w:r>
      <w:r w:rsidR="00B70176">
        <w:t xml:space="preserve"> (18 year olds</w:t>
      </w:r>
      <w:r w:rsidR="00EB1A56">
        <w:t xml:space="preserve">) </w:t>
      </w:r>
      <w:r w:rsidR="00B348DA">
        <w:t xml:space="preserve">will </w:t>
      </w:r>
      <w:r w:rsidR="006A62A9">
        <w:t>receive</w:t>
      </w:r>
      <w:r w:rsidR="009B4877">
        <w:t xml:space="preserve"> </w:t>
      </w:r>
      <w:r w:rsidR="007C1359">
        <w:t>the</w:t>
      </w:r>
      <w:r w:rsidR="00B348DA">
        <w:t xml:space="preserve"> </w:t>
      </w:r>
      <w:r w:rsidR="00007EF3">
        <w:t xml:space="preserve">baseline </w:t>
      </w:r>
      <w:r w:rsidR="00B348DA">
        <w:t xml:space="preserve">version of the </w:t>
      </w:r>
      <w:r w:rsidR="009B4877">
        <w:t xml:space="preserve">questionnaire </w:t>
      </w:r>
      <w:r w:rsidR="00B70176">
        <w:t>in order to capture responses from the same questions initially asked of all participants in that age group.</w:t>
      </w:r>
      <w:r w:rsidR="00007EF3">
        <w:t xml:space="preserve"> </w:t>
      </w:r>
      <w:r w:rsidR="008B61C1">
        <w:t xml:space="preserve">Respondents who completed their respective (youth or adult) questionnaire at baseline will complete the </w:t>
      </w:r>
      <w:r w:rsidR="006A62A9">
        <w:t>Wave 2 instruments</w:t>
      </w:r>
      <w:r w:rsidR="008B61C1">
        <w:t xml:space="preserve"> at their next follow-up visit.</w:t>
      </w:r>
    </w:p>
    <w:p w:rsidR="00146460" w:rsidRDefault="00146460" w:rsidP="00A073E3">
      <w:pPr>
        <w:pStyle w:val="L1-FlLSp12"/>
      </w:pPr>
    </w:p>
    <w:p w:rsidR="00AC2E44" w:rsidRPr="00286327" w:rsidRDefault="00146460" w:rsidP="00A073E3">
      <w:pPr>
        <w:pStyle w:val="L1-FlLSp12"/>
      </w:pPr>
      <w:r w:rsidRPr="00286327">
        <w:t>While</w:t>
      </w:r>
      <w:r w:rsidR="00A073E3" w:rsidRPr="00286327">
        <w:t xml:space="preserve"> it is expected that </w:t>
      </w:r>
      <w:r w:rsidR="003B685E" w:rsidRPr="00286327">
        <w:t xml:space="preserve">PATH Study </w:t>
      </w:r>
      <w:r w:rsidR="00A073E3" w:rsidRPr="00286327">
        <w:t>data will allow the generation of cross-sectional prevalence estimates of health conditions by tobacco use sub</w:t>
      </w:r>
      <w:r w:rsidR="008B61C1" w:rsidRPr="00286327">
        <w:t>-</w:t>
      </w:r>
      <w:r w:rsidR="007061E5" w:rsidRPr="00286327">
        <w:t>g</w:t>
      </w:r>
      <w:r w:rsidR="00A073E3" w:rsidRPr="00286327">
        <w:t xml:space="preserve">roups, this study is not specifically designed </w:t>
      </w:r>
      <w:r w:rsidR="008B61C1" w:rsidRPr="00286327">
        <w:t xml:space="preserve">to </w:t>
      </w:r>
      <w:r w:rsidR="00A073E3" w:rsidRPr="00286327">
        <w:t>provid</w:t>
      </w:r>
      <w:r w:rsidR="008B61C1" w:rsidRPr="00286327">
        <w:t>e</w:t>
      </w:r>
      <w:r w:rsidR="00A073E3" w:rsidRPr="00286327">
        <w:t xml:space="preserve"> such nationally</w:t>
      </w:r>
      <w:r w:rsidR="007061E5" w:rsidRPr="00286327">
        <w:t>-</w:t>
      </w:r>
      <w:r w:rsidR="00A073E3" w:rsidRPr="00286327">
        <w:t xml:space="preserve">representative estimates of prevalence. </w:t>
      </w:r>
      <w:r w:rsidR="007061E5" w:rsidRPr="00286327">
        <w:t xml:space="preserve">In general, </w:t>
      </w:r>
      <w:r w:rsidR="00B32D7D" w:rsidRPr="00286327">
        <w:t xml:space="preserve">longitudinal </w:t>
      </w:r>
      <w:r w:rsidR="00A073E3" w:rsidRPr="00286327">
        <w:t>studies</w:t>
      </w:r>
      <w:r w:rsidR="007061E5" w:rsidRPr="00286327">
        <w:t xml:space="preserve"> </w:t>
      </w:r>
      <w:r w:rsidR="00A073E3" w:rsidRPr="00286327">
        <w:t>tend to lose some of the</w:t>
      </w:r>
      <w:r w:rsidR="007061E5" w:rsidRPr="00286327">
        <w:t>ir</w:t>
      </w:r>
      <w:r w:rsidR="00A073E3" w:rsidRPr="00286327">
        <w:t xml:space="preserve"> representativeness over time</w:t>
      </w:r>
      <w:r w:rsidR="007061E5" w:rsidRPr="00286327">
        <w:t>, especially in the absence of cohort refreshment.</w:t>
      </w:r>
      <w:r w:rsidR="00A073E3" w:rsidRPr="00286327">
        <w:t xml:space="preserve"> As such, FDA and NIDA will present such cross-sectional prevalence estimates in conjunction with estimates from HHS’ signature nationally</w:t>
      </w:r>
      <w:r w:rsidR="007061E5" w:rsidRPr="00286327">
        <w:t>-</w:t>
      </w:r>
      <w:r w:rsidR="00A073E3" w:rsidRPr="00286327">
        <w:t xml:space="preserve"> representative studies</w:t>
      </w:r>
      <w:r w:rsidR="007061E5" w:rsidRPr="00286327">
        <w:t xml:space="preserve">, including </w:t>
      </w:r>
      <w:r w:rsidR="00A073E3" w:rsidRPr="00286327">
        <w:t xml:space="preserve">the National Cancer </w:t>
      </w:r>
      <w:r w:rsidR="00A073E3" w:rsidRPr="004949CC">
        <w:t xml:space="preserve">Institute’s </w:t>
      </w:r>
      <w:r w:rsidR="00197E24" w:rsidRPr="004949CC">
        <w:rPr>
          <w:lang w:val="en-US"/>
        </w:rPr>
        <w:t xml:space="preserve">(NCI) </w:t>
      </w:r>
      <w:r w:rsidR="007061E5" w:rsidRPr="004949CC">
        <w:t>TUS-CPS</w:t>
      </w:r>
      <w:r w:rsidR="00A073E3" w:rsidRPr="004949CC">
        <w:t xml:space="preserve">, </w:t>
      </w:r>
      <w:r w:rsidR="00197E24" w:rsidRPr="004949CC">
        <w:rPr>
          <w:lang w:val="en-US"/>
        </w:rPr>
        <w:t xml:space="preserve">the </w:t>
      </w:r>
      <w:r w:rsidR="00B41BB3" w:rsidRPr="004949CC">
        <w:t>Substance Abuse and Mental Health Services Administration’s (</w:t>
      </w:r>
      <w:r w:rsidR="00073A80" w:rsidRPr="004949CC">
        <w:t>SAMHSA</w:t>
      </w:r>
      <w:r w:rsidR="00B41BB3" w:rsidRPr="004949CC">
        <w:t>)</w:t>
      </w:r>
      <w:r w:rsidR="00073A80" w:rsidRPr="004949CC">
        <w:t xml:space="preserve"> NSDUH</w:t>
      </w:r>
      <w:r w:rsidR="00A073E3" w:rsidRPr="004949CC">
        <w:t xml:space="preserve">, the </w:t>
      </w:r>
      <w:r w:rsidR="002E13F2" w:rsidRPr="004949CC">
        <w:t xml:space="preserve">Centers for Disease Control and Prevention’s (CDC) </w:t>
      </w:r>
      <w:r w:rsidR="00A073E3" w:rsidRPr="004949CC">
        <w:t>N</w:t>
      </w:r>
      <w:r w:rsidR="00440252" w:rsidRPr="004949CC">
        <w:t>HIS</w:t>
      </w:r>
      <w:r w:rsidR="00A073E3" w:rsidRPr="004949CC">
        <w:t xml:space="preserve">, and the </w:t>
      </w:r>
      <w:r w:rsidR="002E13F2" w:rsidRPr="004949CC">
        <w:t xml:space="preserve">CDC and FDA’s </w:t>
      </w:r>
      <w:r w:rsidR="00A073E3" w:rsidRPr="004949CC">
        <w:t xml:space="preserve">National Adult Tobacco Study </w:t>
      </w:r>
      <w:r w:rsidR="00440252" w:rsidRPr="004949CC">
        <w:t>(NATS)</w:t>
      </w:r>
      <w:r w:rsidR="008B61C1" w:rsidRPr="004949CC">
        <w:t>.</w:t>
      </w:r>
      <w:r w:rsidR="00440252" w:rsidRPr="004949CC">
        <w:t xml:space="preserve"> </w:t>
      </w:r>
      <w:r w:rsidR="008B61C1" w:rsidRPr="004949CC">
        <w:t xml:space="preserve">These studies </w:t>
      </w:r>
      <w:r w:rsidR="00197E24" w:rsidRPr="004949CC">
        <w:rPr>
          <w:lang w:val="en-US"/>
        </w:rPr>
        <w:t xml:space="preserve">serve as </w:t>
      </w:r>
      <w:r w:rsidR="00A073E3" w:rsidRPr="004949CC">
        <w:t xml:space="preserve">the </w:t>
      </w:r>
      <w:r w:rsidR="00440252" w:rsidRPr="004949CC">
        <w:t xml:space="preserve">Nation’s </w:t>
      </w:r>
      <w:r w:rsidR="00A073E3" w:rsidRPr="004949CC">
        <w:t xml:space="preserve">primary </w:t>
      </w:r>
      <w:r w:rsidR="00A073E3" w:rsidRPr="004949CC">
        <w:lastRenderedPageBreak/>
        <w:t>sources of nationally</w:t>
      </w:r>
      <w:r w:rsidR="00440252" w:rsidRPr="004949CC">
        <w:t>-</w:t>
      </w:r>
      <w:r w:rsidR="00A073E3" w:rsidRPr="004949CC">
        <w:t xml:space="preserve">representative prevalence estimates </w:t>
      </w:r>
      <w:r w:rsidR="008B61C1" w:rsidRPr="004949CC">
        <w:t xml:space="preserve">that are </w:t>
      </w:r>
      <w:r w:rsidR="00440252" w:rsidRPr="004949CC">
        <w:t>used in</w:t>
      </w:r>
      <w:r w:rsidR="00A073E3" w:rsidRPr="004949CC">
        <w:t xml:space="preserve"> generating</w:t>
      </w:r>
      <w:r w:rsidR="00A073E3" w:rsidRPr="00286327">
        <w:t xml:space="preserve"> analyses </w:t>
      </w:r>
      <w:r w:rsidR="00440252" w:rsidRPr="00286327">
        <w:t xml:space="preserve">on associations between </w:t>
      </w:r>
      <w:r w:rsidR="00A073E3" w:rsidRPr="00286327">
        <w:t>tobacco use and physical and mental health outcomes</w:t>
      </w:r>
      <w:r w:rsidR="00C966E4" w:rsidRPr="00286327">
        <w:t>.</w:t>
      </w:r>
    </w:p>
    <w:p w:rsidR="00440252" w:rsidRDefault="00440252" w:rsidP="009E6590">
      <w:pPr>
        <w:pStyle w:val="L1-FlLSp12"/>
      </w:pPr>
    </w:p>
    <w:p w:rsidR="00EC15A1" w:rsidRDefault="00EC15A1" w:rsidP="009E6590">
      <w:pPr>
        <w:pStyle w:val="L1-FlLSp12"/>
      </w:pPr>
    </w:p>
    <w:p w:rsidR="00EA4B9B" w:rsidRPr="00A2734E" w:rsidRDefault="00EC3CD0" w:rsidP="00DB6E10">
      <w:pPr>
        <w:pStyle w:val="Heading4"/>
      </w:pPr>
      <w:r w:rsidRPr="00A2734E">
        <w:tab/>
      </w:r>
      <w:proofErr w:type="spellStart"/>
      <w:r w:rsidR="00EA4B9B" w:rsidRPr="00A2734E">
        <w:t>Biospecimens</w:t>
      </w:r>
      <w:proofErr w:type="spellEnd"/>
    </w:p>
    <w:p w:rsidR="00AC2E44" w:rsidRDefault="00AA014C" w:rsidP="009E6590">
      <w:pPr>
        <w:pStyle w:val="L1-FlLSp12"/>
        <w:rPr>
          <w:szCs w:val="24"/>
        </w:rPr>
      </w:pPr>
      <w:r>
        <w:t xml:space="preserve">The </w:t>
      </w:r>
      <w:r w:rsidR="00A465D0">
        <w:t>PATH Study</w:t>
      </w:r>
      <w:r w:rsidR="007B6831">
        <w:t xml:space="preserve"> is planning to </w:t>
      </w:r>
      <w:r>
        <w:t xml:space="preserve">collect </w:t>
      </w:r>
      <w:proofErr w:type="spellStart"/>
      <w:r>
        <w:t>b</w:t>
      </w:r>
      <w:r w:rsidR="00EA4B9B" w:rsidRPr="00A2734E">
        <w:t>iospecimens</w:t>
      </w:r>
      <w:proofErr w:type="spellEnd"/>
      <w:r w:rsidR="00EA4B9B" w:rsidRPr="00A2734E">
        <w:t xml:space="preserve"> from consenting adult respondents (age 18 and older) </w:t>
      </w:r>
      <w:r w:rsidR="007B6831">
        <w:t xml:space="preserve">over multiple waves of data collection to </w:t>
      </w:r>
      <w:r w:rsidR="00EA4B9B" w:rsidRPr="00A2734E">
        <w:t xml:space="preserve">assess </w:t>
      </w:r>
      <w:r w:rsidR="006E0C25">
        <w:t xml:space="preserve">between-person differences and </w:t>
      </w:r>
      <w:r w:rsidR="00A465D0">
        <w:t xml:space="preserve">within-person changes in </w:t>
      </w:r>
      <w:r w:rsidR="00EA4B9B" w:rsidRPr="00A2734E">
        <w:t xml:space="preserve">markers of </w:t>
      </w:r>
      <w:r w:rsidR="00813ED2">
        <w:t>tobacco</w:t>
      </w:r>
      <w:r w:rsidR="00EA4B9B" w:rsidRPr="00A2734E">
        <w:t xml:space="preserve"> exposure</w:t>
      </w:r>
      <w:r w:rsidR="00565B03">
        <w:t>,</w:t>
      </w:r>
      <w:r w:rsidR="00EA4B9B" w:rsidRPr="00A2734E">
        <w:t xml:space="preserve"> and to detect and compare </w:t>
      </w:r>
      <w:r w:rsidR="007B6831">
        <w:t xml:space="preserve">indicators of </w:t>
      </w:r>
      <w:r w:rsidR="00BF115B">
        <w:t xml:space="preserve">health status </w:t>
      </w:r>
      <w:r w:rsidR="007B6831">
        <w:t xml:space="preserve">and disease processes </w:t>
      </w:r>
      <w:r w:rsidR="00EA4B9B" w:rsidRPr="00A2734E">
        <w:t>ass</w:t>
      </w:r>
      <w:r w:rsidR="006A6B58">
        <w:t>ociated with the use of tobacco products</w:t>
      </w:r>
      <w:r w:rsidR="00EA4B9B" w:rsidRPr="00A2734E">
        <w:t>.</w:t>
      </w:r>
      <w:r w:rsidR="006A6B58">
        <w:t xml:space="preserve"> These</w:t>
      </w:r>
      <w:r w:rsidR="008B61C1">
        <w:t xml:space="preserve"> data</w:t>
      </w:r>
      <w:r w:rsidR="00832800">
        <w:t xml:space="preserve"> </w:t>
      </w:r>
      <w:r w:rsidR="007B6831">
        <w:t>will</w:t>
      </w:r>
      <w:r w:rsidR="00C020C3">
        <w:t xml:space="preserve"> </w:t>
      </w:r>
      <w:r w:rsidR="008B61C1">
        <w:t>allow</w:t>
      </w:r>
      <w:r w:rsidR="007B6831">
        <w:t xml:space="preserve"> the PATH Study to </w:t>
      </w:r>
      <w:r w:rsidR="00BF115B">
        <w:t>identify and assess changes in the biomarkers that potentially correspond to changes in</w:t>
      </w:r>
      <w:r w:rsidR="00A465D0">
        <w:t xml:space="preserve"> </w:t>
      </w:r>
      <w:r>
        <w:t>tobacco</w:t>
      </w:r>
      <w:r w:rsidR="00A465D0">
        <w:t xml:space="preserve"> </w:t>
      </w:r>
      <w:r>
        <w:t>product</w:t>
      </w:r>
      <w:r w:rsidR="00A465D0">
        <w:t xml:space="preserve">s </w:t>
      </w:r>
      <w:r w:rsidR="00E9738D">
        <w:t>by manufacturers</w:t>
      </w:r>
      <w:r w:rsidR="0077688C">
        <w:t xml:space="preserve">, </w:t>
      </w:r>
      <w:r w:rsidR="00E9738D">
        <w:t xml:space="preserve">including </w:t>
      </w:r>
      <w:r w:rsidR="0077688C">
        <w:t>changes resulting</w:t>
      </w:r>
      <w:r w:rsidR="00BF115B">
        <w:t xml:space="preserve"> from </w:t>
      </w:r>
      <w:r w:rsidR="004E3A1B">
        <w:t xml:space="preserve">a manufacturer’s </w:t>
      </w:r>
      <w:r w:rsidR="00832800" w:rsidRPr="00D8097D">
        <w:rPr>
          <w:szCs w:val="24"/>
        </w:rPr>
        <w:t xml:space="preserve">response to </w:t>
      </w:r>
      <w:r w:rsidR="004E3A1B">
        <w:rPr>
          <w:szCs w:val="24"/>
        </w:rPr>
        <w:t>new</w:t>
      </w:r>
      <w:r w:rsidR="00BF115B">
        <w:rPr>
          <w:szCs w:val="24"/>
        </w:rPr>
        <w:t xml:space="preserve"> product standards or </w:t>
      </w:r>
      <w:r w:rsidRPr="00D8097D">
        <w:rPr>
          <w:szCs w:val="24"/>
        </w:rPr>
        <w:t>regulation</w:t>
      </w:r>
      <w:r w:rsidR="00832800" w:rsidRPr="00D8097D">
        <w:rPr>
          <w:szCs w:val="24"/>
        </w:rPr>
        <w:t>s</w:t>
      </w:r>
      <w:r w:rsidRPr="00D8097D">
        <w:rPr>
          <w:szCs w:val="24"/>
        </w:rPr>
        <w:t xml:space="preserve"> </w:t>
      </w:r>
      <w:r w:rsidR="00A465D0" w:rsidRPr="00D8097D">
        <w:rPr>
          <w:szCs w:val="24"/>
        </w:rPr>
        <w:t xml:space="preserve">enacted by FDA. </w:t>
      </w:r>
      <w:r w:rsidR="00832800" w:rsidRPr="00D8097D">
        <w:rPr>
          <w:szCs w:val="24"/>
        </w:rPr>
        <w:t xml:space="preserve">The PATH Study’s longitudinal </w:t>
      </w:r>
      <w:r w:rsidR="007B6831">
        <w:rPr>
          <w:szCs w:val="24"/>
        </w:rPr>
        <w:t xml:space="preserve">research </w:t>
      </w:r>
      <w:r w:rsidR="00832800" w:rsidRPr="00D8097D">
        <w:rPr>
          <w:szCs w:val="24"/>
        </w:rPr>
        <w:t xml:space="preserve">design, combined with its detailed questionnaire and collection of </w:t>
      </w:r>
      <w:proofErr w:type="spellStart"/>
      <w:r w:rsidR="00832800" w:rsidRPr="00D8097D">
        <w:rPr>
          <w:szCs w:val="24"/>
        </w:rPr>
        <w:t>biospecimens</w:t>
      </w:r>
      <w:proofErr w:type="spellEnd"/>
      <w:r w:rsidR="00832800" w:rsidRPr="00D8097D">
        <w:rPr>
          <w:szCs w:val="24"/>
        </w:rPr>
        <w:t xml:space="preserve">, </w:t>
      </w:r>
      <w:r w:rsidR="006E4C47">
        <w:rPr>
          <w:szCs w:val="24"/>
        </w:rPr>
        <w:t xml:space="preserve">is </w:t>
      </w:r>
      <w:r w:rsidR="0077688C">
        <w:rPr>
          <w:szCs w:val="24"/>
        </w:rPr>
        <w:t xml:space="preserve">thus </w:t>
      </w:r>
      <w:r w:rsidR="006E4C47">
        <w:rPr>
          <w:szCs w:val="24"/>
        </w:rPr>
        <w:t xml:space="preserve">positioned </w:t>
      </w:r>
      <w:r w:rsidR="00BF115B">
        <w:rPr>
          <w:szCs w:val="24"/>
        </w:rPr>
        <w:t xml:space="preserve">to identify and </w:t>
      </w:r>
      <w:r w:rsidR="004F064B">
        <w:rPr>
          <w:szCs w:val="24"/>
        </w:rPr>
        <w:t xml:space="preserve">assess changes in tobacco-use patterns, risk perceptions, attitudes, and exposures </w:t>
      </w:r>
      <w:r w:rsidR="006E4C47">
        <w:rPr>
          <w:szCs w:val="24"/>
        </w:rPr>
        <w:t xml:space="preserve">that </w:t>
      </w:r>
      <w:r w:rsidR="004F064B">
        <w:rPr>
          <w:szCs w:val="24"/>
        </w:rPr>
        <w:t xml:space="preserve">inform, and potentially reflect, the tobacco-regulatory decisions and actions of </w:t>
      </w:r>
      <w:r w:rsidR="006E4C47">
        <w:rPr>
          <w:szCs w:val="24"/>
        </w:rPr>
        <w:t xml:space="preserve">the </w:t>
      </w:r>
      <w:r w:rsidR="004F064B">
        <w:rPr>
          <w:szCs w:val="24"/>
        </w:rPr>
        <w:t>FDA under the TCA.</w:t>
      </w:r>
    </w:p>
    <w:p w:rsidR="006E4C47" w:rsidRDefault="006E4C47" w:rsidP="009E6590">
      <w:pPr>
        <w:pStyle w:val="L1-FlLSp12"/>
      </w:pPr>
    </w:p>
    <w:p w:rsidR="00AC2E44" w:rsidRDefault="00C37CCA" w:rsidP="009E6590">
      <w:pPr>
        <w:pStyle w:val="L1-FlLSp12"/>
      </w:pPr>
      <w:r>
        <w:t xml:space="preserve">The rotational approach used for items in the PATH Study questionnaire </w:t>
      </w:r>
      <w:r w:rsidR="0013234F">
        <w:t>is similarly applied to</w:t>
      </w:r>
      <w:r>
        <w:t xml:space="preserve"> </w:t>
      </w:r>
      <w:proofErr w:type="spellStart"/>
      <w:r>
        <w:t>biospecimen</w:t>
      </w:r>
      <w:proofErr w:type="spellEnd"/>
      <w:r>
        <w:t xml:space="preserve"> collection</w:t>
      </w:r>
      <w:r w:rsidR="006E4C47">
        <w:t>.</w:t>
      </w:r>
      <w:r>
        <w:t xml:space="preserve"> </w:t>
      </w:r>
      <w:r w:rsidR="00B87D4B">
        <w:t>This approach allows the PATH Study t</w:t>
      </w:r>
      <w:r w:rsidR="00681E49">
        <w:t>o</w:t>
      </w:r>
      <w:r w:rsidR="00C70B5A">
        <w:t xml:space="preserve"> </w:t>
      </w:r>
      <w:r w:rsidR="00B87D4B">
        <w:t>contain costs and minimiz</w:t>
      </w:r>
      <w:r w:rsidR="00C70B5A">
        <w:t>e</w:t>
      </w:r>
      <w:r w:rsidR="00AC2E44">
        <w:t xml:space="preserve"> </w:t>
      </w:r>
      <w:r w:rsidR="00B87D4B">
        <w:t xml:space="preserve">participant burden. Specifically, </w:t>
      </w:r>
      <w:r w:rsidR="00262BDA">
        <w:t xml:space="preserve">a </w:t>
      </w:r>
      <w:r w:rsidR="0013234F">
        <w:t>subsample of</w:t>
      </w:r>
      <w:r w:rsidR="00262BDA">
        <w:t xml:space="preserve"> the</w:t>
      </w:r>
      <w:r w:rsidR="0013234F">
        <w:t xml:space="preserve"> </w:t>
      </w:r>
      <w:r w:rsidR="00267427">
        <w:t xml:space="preserve">adult </w:t>
      </w:r>
      <w:r w:rsidR="0013234F">
        <w:t>respondents who provided urine at baseline will be asked to provide a urine sample</w:t>
      </w:r>
      <w:r w:rsidR="006E4C47">
        <w:t xml:space="preserve"> at Wave 2</w:t>
      </w:r>
      <w:r w:rsidR="0013234F">
        <w:t xml:space="preserve">. </w:t>
      </w:r>
      <w:r w:rsidR="00267427">
        <w:t>Also, a</w:t>
      </w:r>
      <w:r w:rsidR="006E4C47">
        <w:t xml:space="preserve">dult </w:t>
      </w:r>
      <w:r w:rsidR="00EA4B9B" w:rsidRPr="0007499D">
        <w:t>respondents</w:t>
      </w:r>
      <w:r w:rsidR="00A90B51">
        <w:t xml:space="preserve"> </w:t>
      </w:r>
      <w:r w:rsidR="006E4C47">
        <w:t xml:space="preserve">who </w:t>
      </w:r>
      <w:r w:rsidR="00267427">
        <w:t>aged into the adult cohort (i.e., completed a youth interview at baseline but are 18 years old</w:t>
      </w:r>
      <w:r w:rsidR="007A7A35">
        <w:t xml:space="preserve"> at Wave 2</w:t>
      </w:r>
      <w:r w:rsidR="00267427">
        <w:t xml:space="preserve">) will be asked </w:t>
      </w:r>
      <w:r w:rsidR="00A01B15">
        <w:t xml:space="preserve">to </w:t>
      </w:r>
      <w:r w:rsidR="00267427">
        <w:t xml:space="preserve">provide </w:t>
      </w:r>
      <w:r w:rsidR="00AC466B">
        <w:t>urine</w:t>
      </w:r>
      <w:r w:rsidR="00A03058">
        <w:t xml:space="preserve"> </w:t>
      </w:r>
      <w:r w:rsidR="00AC466B">
        <w:t>and blood</w:t>
      </w:r>
      <w:r w:rsidR="00267427">
        <w:t xml:space="preserve"> at Wave 2</w:t>
      </w:r>
      <w:r w:rsidR="0013234F">
        <w:t>.</w:t>
      </w:r>
      <w:r w:rsidR="00A90B51">
        <w:t xml:space="preserve"> </w:t>
      </w:r>
      <w:proofErr w:type="spellStart"/>
      <w:r w:rsidR="00EA4B9B" w:rsidRPr="0007499D">
        <w:t>Biospecimens</w:t>
      </w:r>
      <w:proofErr w:type="spellEnd"/>
      <w:r w:rsidR="00EA4B9B" w:rsidRPr="0007499D">
        <w:t xml:space="preserve"> will be coded, de-identified, shipped, preserved, analyzed, and shared in accordance with rigorous provisions promulgated by the NIH on data access and security within the context of the privacy laws under which it operates (see Section A.10).</w:t>
      </w:r>
    </w:p>
    <w:p w:rsidR="007146BB" w:rsidRDefault="007146BB" w:rsidP="009E6590">
      <w:pPr>
        <w:pStyle w:val="L1-FlLSp12"/>
      </w:pPr>
    </w:p>
    <w:p w:rsidR="009E6590" w:rsidRPr="00286327" w:rsidRDefault="00A03058" w:rsidP="009E6590">
      <w:pPr>
        <w:pStyle w:val="L1-FlLSp12"/>
      </w:pPr>
      <w:r>
        <w:rPr>
          <w:szCs w:val="24"/>
        </w:rPr>
        <w:t xml:space="preserve">Both </w:t>
      </w:r>
      <w:r w:rsidR="00EA4B9B" w:rsidRPr="00C36018">
        <w:rPr>
          <w:szCs w:val="24"/>
        </w:rPr>
        <w:t xml:space="preserve">types of </w:t>
      </w:r>
      <w:r w:rsidR="00EA4B9B" w:rsidRPr="00C36018">
        <w:rPr>
          <w:rFonts w:cs="Arial"/>
          <w:szCs w:val="24"/>
        </w:rPr>
        <w:t xml:space="preserve">biologic samples </w:t>
      </w:r>
      <w:r w:rsidR="004E3A1B" w:rsidRPr="00C36018">
        <w:rPr>
          <w:rFonts w:cs="Arial"/>
          <w:szCs w:val="24"/>
        </w:rPr>
        <w:t>collected by</w:t>
      </w:r>
      <w:r w:rsidR="00D8097D" w:rsidRPr="00C36018">
        <w:rPr>
          <w:rFonts w:cs="Arial"/>
          <w:szCs w:val="24"/>
        </w:rPr>
        <w:t xml:space="preserve"> the PATH Study </w:t>
      </w:r>
      <w:r w:rsidR="00DE2FA9" w:rsidRPr="00C36018">
        <w:rPr>
          <w:rFonts w:cs="Arial"/>
          <w:szCs w:val="24"/>
        </w:rPr>
        <w:t>yields</w:t>
      </w:r>
      <w:r w:rsidR="00EA4B9B" w:rsidRPr="00C36018">
        <w:rPr>
          <w:rFonts w:cs="Arial"/>
          <w:szCs w:val="24"/>
        </w:rPr>
        <w:t xml:space="preserve"> information that other sample media</w:t>
      </w:r>
      <w:r w:rsidR="000A7C64">
        <w:rPr>
          <w:rFonts w:cs="Arial"/>
          <w:szCs w:val="24"/>
        </w:rPr>
        <w:t xml:space="preserve"> </w:t>
      </w:r>
      <w:r w:rsidR="00C36018">
        <w:rPr>
          <w:rFonts w:cs="Arial"/>
          <w:szCs w:val="24"/>
        </w:rPr>
        <w:t>cannot</w:t>
      </w:r>
      <w:r w:rsidR="00D9240E" w:rsidRPr="00C36018">
        <w:rPr>
          <w:rFonts w:cs="Arial"/>
          <w:szCs w:val="24"/>
        </w:rPr>
        <w:t xml:space="preserve">. </w:t>
      </w:r>
      <w:r w:rsidR="00D8097D" w:rsidRPr="00C36018">
        <w:rPr>
          <w:rFonts w:cs="Arial"/>
          <w:szCs w:val="24"/>
        </w:rPr>
        <w:t>C</w:t>
      </w:r>
      <w:r w:rsidR="00DE2FA9" w:rsidRPr="00C36018">
        <w:rPr>
          <w:rFonts w:cs="Arial"/>
          <w:szCs w:val="24"/>
        </w:rPr>
        <w:t>ollectively,</w:t>
      </w:r>
      <w:r w:rsidR="00D9240E" w:rsidRPr="00C36018">
        <w:rPr>
          <w:rFonts w:cs="Arial"/>
          <w:szCs w:val="24"/>
        </w:rPr>
        <w:t xml:space="preserve"> they </w:t>
      </w:r>
      <w:r w:rsidR="00D8097D" w:rsidRPr="00C36018">
        <w:rPr>
          <w:rFonts w:cs="Arial"/>
          <w:szCs w:val="24"/>
        </w:rPr>
        <w:t>constitute</w:t>
      </w:r>
      <w:r w:rsidR="00D9240E" w:rsidRPr="00C36018">
        <w:rPr>
          <w:rFonts w:cs="Arial"/>
          <w:szCs w:val="24"/>
        </w:rPr>
        <w:t xml:space="preserve"> a panel of biomarkers of exposure and susceptibility to disease associated with the use of tobacco products</w:t>
      </w:r>
      <w:r w:rsidR="00D918EE" w:rsidRPr="00C36018">
        <w:rPr>
          <w:rFonts w:cs="Arial"/>
          <w:szCs w:val="24"/>
        </w:rPr>
        <w:t xml:space="preserve">. </w:t>
      </w:r>
      <w:r w:rsidR="000150FE" w:rsidRPr="00C36018">
        <w:rPr>
          <w:rFonts w:cs="Arial"/>
          <w:szCs w:val="24"/>
        </w:rPr>
        <w:t>Urine provides the matrix by which many tobacco</w:t>
      </w:r>
      <w:r w:rsidR="00C36018">
        <w:rPr>
          <w:rFonts w:cs="Arial"/>
          <w:szCs w:val="24"/>
        </w:rPr>
        <w:t>-</w:t>
      </w:r>
      <w:r w:rsidR="000150FE" w:rsidRPr="00C36018">
        <w:rPr>
          <w:rFonts w:cs="Arial"/>
          <w:szCs w:val="24"/>
        </w:rPr>
        <w:t>exposure biomarkers are measured, including nicotine and</w:t>
      </w:r>
      <w:r w:rsidR="000150FE">
        <w:rPr>
          <w:rFonts w:cs="Arial"/>
          <w:szCs w:val="24"/>
        </w:rPr>
        <w:t xml:space="preserve"> nicotine metabolites, tobacco specific nitrosamines, metals, and volatile organic compounds (VOCs). Blood collection will allow for the measurement of biomarkers </w:t>
      </w:r>
      <w:r w:rsidR="002F7034">
        <w:rPr>
          <w:rFonts w:cs="Arial"/>
          <w:szCs w:val="24"/>
        </w:rPr>
        <w:t xml:space="preserve">that cannot be detected </w:t>
      </w:r>
      <w:r w:rsidR="000150FE">
        <w:rPr>
          <w:rFonts w:cs="Arial"/>
          <w:szCs w:val="24"/>
        </w:rPr>
        <w:t xml:space="preserve">(or accurately measured) in urine samples. For example, </w:t>
      </w:r>
      <w:r w:rsidR="000150FE">
        <w:rPr>
          <w:szCs w:val="24"/>
        </w:rPr>
        <w:t>t</w:t>
      </w:r>
      <w:r w:rsidR="000150FE" w:rsidRPr="00525D87">
        <w:rPr>
          <w:szCs w:val="24"/>
        </w:rPr>
        <w:t xml:space="preserve">he </w:t>
      </w:r>
      <w:r w:rsidR="00D918EE" w:rsidRPr="00525D87">
        <w:rPr>
          <w:szCs w:val="24"/>
        </w:rPr>
        <w:t xml:space="preserve">gold standard for measurement of cotinine in </w:t>
      </w:r>
      <w:r w:rsidR="00E17400">
        <w:rPr>
          <w:szCs w:val="24"/>
        </w:rPr>
        <w:t xml:space="preserve">tobacco </w:t>
      </w:r>
      <w:r w:rsidR="00390F04">
        <w:rPr>
          <w:szCs w:val="24"/>
        </w:rPr>
        <w:t xml:space="preserve">users </w:t>
      </w:r>
      <w:r w:rsidR="00A75FEC">
        <w:rPr>
          <w:szCs w:val="24"/>
        </w:rPr>
        <w:t xml:space="preserve">and </w:t>
      </w:r>
      <w:r w:rsidR="00D918EE" w:rsidRPr="00525D87">
        <w:rPr>
          <w:szCs w:val="24"/>
        </w:rPr>
        <w:t>non-users is in serum. Serum provides a matrix in which low levels of cotinine (i.e., outside the limits of detection in urine) can be accurately measured</w:t>
      </w:r>
      <w:r w:rsidR="000150FE">
        <w:rPr>
          <w:szCs w:val="24"/>
        </w:rPr>
        <w:t xml:space="preserve">. This lower limit of detection </w:t>
      </w:r>
      <w:r w:rsidR="00D10493" w:rsidRPr="00525D87">
        <w:rPr>
          <w:szCs w:val="24"/>
        </w:rPr>
        <w:t xml:space="preserve">may </w:t>
      </w:r>
      <w:r w:rsidR="000150FE">
        <w:rPr>
          <w:szCs w:val="24"/>
        </w:rPr>
        <w:t xml:space="preserve">also </w:t>
      </w:r>
      <w:r w:rsidR="00D10493" w:rsidRPr="00525D87">
        <w:rPr>
          <w:szCs w:val="24"/>
        </w:rPr>
        <w:t xml:space="preserve">be important </w:t>
      </w:r>
      <w:r w:rsidR="00D10493" w:rsidRPr="00525D87">
        <w:rPr>
          <w:szCs w:val="24"/>
        </w:rPr>
        <w:lastRenderedPageBreak/>
        <w:t>for assessing nicotine</w:t>
      </w:r>
      <w:r w:rsidR="00534B9B" w:rsidRPr="00525D87">
        <w:rPr>
          <w:szCs w:val="24"/>
        </w:rPr>
        <w:t xml:space="preserve"> </w:t>
      </w:r>
      <w:r w:rsidR="00D10493" w:rsidRPr="00525D87">
        <w:rPr>
          <w:szCs w:val="24"/>
        </w:rPr>
        <w:t xml:space="preserve">exposure related to use </w:t>
      </w:r>
      <w:r w:rsidR="000150FE" w:rsidRPr="00525D87">
        <w:rPr>
          <w:szCs w:val="24"/>
        </w:rPr>
        <w:t>of</w:t>
      </w:r>
      <w:r w:rsidR="000150FE">
        <w:rPr>
          <w:szCs w:val="24"/>
        </w:rPr>
        <w:t xml:space="preserve"> smokeless tobacco, </w:t>
      </w:r>
      <w:r w:rsidR="00D918EE" w:rsidRPr="00525D87">
        <w:rPr>
          <w:szCs w:val="24"/>
        </w:rPr>
        <w:t xml:space="preserve">new and emerging </w:t>
      </w:r>
      <w:r w:rsidR="000150FE">
        <w:rPr>
          <w:szCs w:val="24"/>
        </w:rPr>
        <w:t xml:space="preserve">tobacco </w:t>
      </w:r>
      <w:r w:rsidR="00D918EE" w:rsidRPr="00525D87">
        <w:rPr>
          <w:szCs w:val="24"/>
        </w:rPr>
        <w:t>products,</w:t>
      </w:r>
      <w:r w:rsidR="000150FE">
        <w:rPr>
          <w:szCs w:val="24"/>
        </w:rPr>
        <w:t xml:space="preserve"> and comparison of </w:t>
      </w:r>
      <w:r w:rsidR="00D10493" w:rsidRPr="00525D87">
        <w:rPr>
          <w:szCs w:val="24"/>
        </w:rPr>
        <w:t xml:space="preserve">products that may claim </w:t>
      </w:r>
      <w:r w:rsidR="00D918EE" w:rsidRPr="00525D87">
        <w:rPr>
          <w:szCs w:val="24"/>
        </w:rPr>
        <w:t>modified risk compared to traditional combustible tobacco products</w:t>
      </w:r>
      <w:r w:rsidR="00D10493" w:rsidRPr="00525D87">
        <w:rPr>
          <w:szCs w:val="24"/>
        </w:rPr>
        <w:t xml:space="preserve">. </w:t>
      </w:r>
      <w:r w:rsidR="000150FE">
        <w:rPr>
          <w:szCs w:val="24"/>
        </w:rPr>
        <w:t>Biomarkers of harm such as C-reactive protein (CRP) and interleukin 6 (IL-6) will be measured in serum and plasma (respectively) isolated from blood samples. In addition to serum and plasma, blood samples will allow for nucleic acid isolations (DNA and RNA) for genetic and epigenetic analysis from the buffy coat and hemoglobin adducts (4-ABP hemoglobin) from red blood cells</w:t>
      </w:r>
      <w:r w:rsidR="006B0FEC" w:rsidRPr="00562F82">
        <w:rPr>
          <w:szCs w:val="24"/>
        </w:rPr>
        <w:t>.</w:t>
      </w:r>
      <w:r>
        <w:rPr>
          <w:szCs w:val="24"/>
        </w:rPr>
        <w:t xml:space="preserve"> </w:t>
      </w:r>
      <w:r>
        <w:t>(</w:t>
      </w:r>
      <w:r w:rsidR="00EA4B9B" w:rsidRPr="00286327">
        <w:t xml:space="preserve">Attachment </w:t>
      </w:r>
      <w:r w:rsidR="00E63CFA" w:rsidRPr="00286327">
        <w:t>6</w:t>
      </w:r>
      <w:r w:rsidR="00EA4B9B" w:rsidRPr="00286327">
        <w:t xml:space="preserve"> provides a list of specific </w:t>
      </w:r>
      <w:proofErr w:type="spellStart"/>
      <w:r w:rsidR="00EA4B9B" w:rsidRPr="00286327">
        <w:t>analytes</w:t>
      </w:r>
      <w:proofErr w:type="spellEnd"/>
      <w:r w:rsidR="00EA4B9B" w:rsidRPr="00286327">
        <w:t xml:space="preserve"> </w:t>
      </w:r>
      <w:r w:rsidR="000150FE" w:rsidRPr="00286327">
        <w:t>and their preferred matrix</w:t>
      </w:r>
      <w:r w:rsidR="00ED0C4B" w:rsidRPr="00286327">
        <w:t>.)</w:t>
      </w:r>
    </w:p>
    <w:p w:rsidR="00FD2915" w:rsidRPr="00A92156" w:rsidRDefault="00FD2915" w:rsidP="009E6590">
      <w:pPr>
        <w:pStyle w:val="L1-FlLSp12"/>
        <w:rPr>
          <w:rFonts w:cs="Arial"/>
          <w:szCs w:val="24"/>
        </w:rPr>
      </w:pPr>
    </w:p>
    <w:p w:rsidR="00EC15A1" w:rsidRPr="00EC15A1" w:rsidRDefault="00EC15A1" w:rsidP="009E6590">
      <w:pPr>
        <w:pStyle w:val="L1-FlLSp12"/>
      </w:pPr>
    </w:p>
    <w:p w:rsidR="00EA4B9B" w:rsidRPr="00A2734E" w:rsidRDefault="00EA4B9B" w:rsidP="00DB6E10">
      <w:pPr>
        <w:pStyle w:val="Heading4"/>
      </w:pPr>
      <w:r w:rsidRPr="00A2734E">
        <w:tab/>
        <w:t>Tobacco Use Form</w:t>
      </w:r>
    </w:p>
    <w:p w:rsidR="00AC2E44" w:rsidRDefault="00156B5E" w:rsidP="009E6590">
      <w:pPr>
        <w:pStyle w:val="L1-FlLSp12"/>
      </w:pPr>
      <w:r w:rsidRPr="009A3032">
        <w:t>The T</w:t>
      </w:r>
      <w:r>
        <w:t xml:space="preserve">obacco Use Form is administered at each follow-up </w:t>
      </w:r>
      <w:r w:rsidRPr="009A3032">
        <w:t xml:space="preserve">visit in which </w:t>
      </w:r>
      <w:proofErr w:type="spellStart"/>
      <w:r w:rsidRPr="009A3032">
        <w:t>biospecimens</w:t>
      </w:r>
      <w:proofErr w:type="spellEnd"/>
      <w:r w:rsidRPr="009A3032">
        <w:t xml:space="preserve"> are collected, unless the adult extended interview is administered during the </w:t>
      </w:r>
      <w:r w:rsidRPr="00562F82">
        <w:t>visit</w:t>
      </w:r>
      <w:r w:rsidR="00C70B5A" w:rsidRPr="00562F82">
        <w:t xml:space="preserve"> or the </w:t>
      </w:r>
      <w:proofErr w:type="spellStart"/>
      <w:r w:rsidR="00C70B5A" w:rsidRPr="00562F82">
        <w:t>biospecimen</w:t>
      </w:r>
      <w:proofErr w:type="spellEnd"/>
      <w:r w:rsidR="00C70B5A" w:rsidRPr="00562F82">
        <w:t xml:space="preserve"> collection occurs more than four hours after the completion of the adult extended interview</w:t>
      </w:r>
      <w:r w:rsidRPr="009A3032">
        <w:t>. (The adult extended interview incorporates all of the questions from the Tobacco Use Form.)</w:t>
      </w:r>
      <w:r w:rsidR="00C95FA8">
        <w:t xml:space="preserve"> </w:t>
      </w:r>
      <w:r w:rsidR="00B14CAE" w:rsidRPr="009A3032">
        <w:t xml:space="preserve">This form </w:t>
      </w:r>
      <w:r w:rsidR="00EA4B9B" w:rsidRPr="009A3032">
        <w:t xml:space="preserve">collects </w:t>
      </w:r>
      <w:r w:rsidR="00930F3F" w:rsidRPr="009A3032">
        <w:t xml:space="preserve">the time </w:t>
      </w:r>
      <w:r>
        <w:t>that the respondent last used any</w:t>
      </w:r>
      <w:r w:rsidR="00EA4B9B" w:rsidRPr="009A3032">
        <w:t xml:space="preserve"> type of tobacco products</w:t>
      </w:r>
      <w:r>
        <w:t>, including</w:t>
      </w:r>
      <w:r w:rsidR="00EA4B9B" w:rsidRPr="009A3032">
        <w:t xml:space="preserve"> other sources of nicotine, such as pharmaceutical smoking cessation medication</w:t>
      </w:r>
      <w:r w:rsidR="00930F3F" w:rsidRPr="009A3032">
        <w:t>s</w:t>
      </w:r>
      <w:r w:rsidR="00EA4B9B" w:rsidRPr="009A3032">
        <w:t>.</w:t>
      </w:r>
      <w:r w:rsidR="00DB6E10" w:rsidRPr="009A3032">
        <w:t xml:space="preserve"> </w:t>
      </w:r>
      <w:r w:rsidR="00EA4B9B" w:rsidRPr="009A3032">
        <w:t xml:space="preserve">Its purpose is to inform and qualify the laboratory analyses of the </w:t>
      </w:r>
      <w:proofErr w:type="spellStart"/>
      <w:r w:rsidR="00EA4B9B" w:rsidRPr="009A3032">
        <w:t>biospecimens</w:t>
      </w:r>
      <w:proofErr w:type="spellEnd"/>
      <w:r w:rsidR="00EA4B9B" w:rsidRPr="009A3032">
        <w:t>, which are sensitive to recent use of various tobacco and nicotine-containing products</w:t>
      </w:r>
      <w:r w:rsidR="00AF2502">
        <w:t>.</w:t>
      </w:r>
    </w:p>
    <w:p w:rsidR="00602308" w:rsidRDefault="00602308" w:rsidP="00EC15A1">
      <w:pPr>
        <w:pStyle w:val="L1-FlLSp12"/>
      </w:pPr>
    </w:p>
    <w:p w:rsidR="00EC15A1" w:rsidRPr="00EC15A1" w:rsidRDefault="00EC15A1" w:rsidP="00EC15A1">
      <w:pPr>
        <w:pStyle w:val="L1-FlLSp12"/>
      </w:pPr>
    </w:p>
    <w:p w:rsidR="00AC2E44" w:rsidRDefault="00B92901" w:rsidP="00BC3C01">
      <w:pPr>
        <w:pStyle w:val="Heading3"/>
      </w:pPr>
      <w:r w:rsidRPr="00A2734E">
        <w:t>A.2</w:t>
      </w:r>
      <w:r w:rsidR="001D62A0">
        <w:t>c</w:t>
      </w:r>
      <w:r w:rsidR="003C69E4" w:rsidRPr="00A2734E">
        <w:tab/>
      </w:r>
      <w:r w:rsidR="002F7ABC" w:rsidRPr="00A2734E">
        <w:t xml:space="preserve">Uses of Information by </w:t>
      </w:r>
      <w:r w:rsidR="001752D4" w:rsidRPr="00A2734E">
        <w:t>NIDA</w:t>
      </w:r>
    </w:p>
    <w:p w:rsidR="00AC2E44" w:rsidRDefault="00865057" w:rsidP="00BC3C01">
      <w:pPr>
        <w:pStyle w:val="L1-FlLSp12"/>
      </w:pPr>
      <w:r w:rsidRPr="00521161">
        <w:t xml:space="preserve">NIDA will use data collected by the </w:t>
      </w:r>
      <w:r w:rsidR="004A2068" w:rsidRPr="00521161">
        <w:t>PATH Study</w:t>
      </w:r>
      <w:r w:rsidR="00F2079D" w:rsidRPr="00521161">
        <w:t xml:space="preserve"> in conjunction with the existing scientific </w:t>
      </w:r>
      <w:r w:rsidR="00250631" w:rsidRPr="00521161">
        <w:t>literature</w:t>
      </w:r>
      <w:r w:rsidR="00F2079D" w:rsidRPr="00521161">
        <w:t>,</w:t>
      </w:r>
      <w:r w:rsidRPr="00521161">
        <w:t xml:space="preserve"> to </w:t>
      </w:r>
      <w:r w:rsidR="002A14C4" w:rsidRPr="00521161">
        <w:t xml:space="preserve">enhance </w:t>
      </w:r>
      <w:r w:rsidR="000D3CB8" w:rsidRPr="00521161">
        <w:t>the evidence base</w:t>
      </w:r>
      <w:r w:rsidR="00250631" w:rsidRPr="00521161">
        <w:t xml:space="preserve"> available to the U.S. </w:t>
      </w:r>
      <w:r w:rsidR="00B5242F">
        <w:t>government</w:t>
      </w:r>
      <w:r w:rsidR="00C966E4">
        <w:t>.</w:t>
      </w:r>
    </w:p>
    <w:p w:rsidR="001E2009" w:rsidRPr="00236D34" w:rsidRDefault="001E2009" w:rsidP="00BC3C01">
      <w:pPr>
        <w:pStyle w:val="L1-FlLSp12"/>
      </w:pPr>
    </w:p>
    <w:p w:rsidR="00865057" w:rsidRPr="00A2734E" w:rsidRDefault="00C020C3" w:rsidP="002F12A6">
      <w:pPr>
        <w:pStyle w:val="L1-FlLSp12"/>
      </w:pPr>
      <w:r w:rsidRPr="00236D34">
        <w:t>As a research study, t</w:t>
      </w:r>
      <w:r w:rsidR="001E2009" w:rsidRPr="00236D34">
        <w:t xml:space="preserve">he PATH Study </w:t>
      </w:r>
      <w:r w:rsidRPr="00236D34">
        <w:t xml:space="preserve">will </w:t>
      </w:r>
      <w:r w:rsidR="00B64971" w:rsidRPr="00236D34">
        <w:t xml:space="preserve">collect and analyze population-based data </w:t>
      </w:r>
      <w:r w:rsidRPr="00236D34">
        <w:t>over time to enhance</w:t>
      </w:r>
      <w:r w:rsidR="00DC5A63" w:rsidRPr="00236D34">
        <w:t xml:space="preserve"> </w:t>
      </w:r>
      <w:r w:rsidR="001E2009" w:rsidRPr="00236D34">
        <w:t>the</w:t>
      </w:r>
      <w:r w:rsidR="00865057" w:rsidRPr="00236D34">
        <w:t xml:space="preserve"> evidence-based framework</w:t>
      </w:r>
      <w:r w:rsidR="00C95FA8">
        <w:t xml:space="preserve"> that</w:t>
      </w:r>
      <w:r w:rsidR="00865057" w:rsidRPr="00236D34">
        <w:t xml:space="preserve"> </w:t>
      </w:r>
      <w:r w:rsidR="001E2009" w:rsidRPr="00236D34">
        <w:t>FDA</w:t>
      </w:r>
      <w:r w:rsidR="00F2079D" w:rsidRPr="00236D34">
        <w:t xml:space="preserve"> uses</w:t>
      </w:r>
      <w:r w:rsidR="001E2009" w:rsidRPr="00236D34">
        <w:t xml:space="preserve"> </w:t>
      </w:r>
      <w:r w:rsidRPr="00236D34">
        <w:t>in meeting</w:t>
      </w:r>
      <w:r w:rsidR="001E2009" w:rsidRPr="00236D34">
        <w:t xml:space="preserve"> </w:t>
      </w:r>
      <w:r w:rsidR="00865057" w:rsidRPr="00236D34">
        <w:t>its regulatory mandate</w:t>
      </w:r>
      <w:r w:rsidR="001E2009" w:rsidRPr="00236D34">
        <w:t>s</w:t>
      </w:r>
      <w:r w:rsidR="00865057" w:rsidRPr="00236D34">
        <w:t xml:space="preserve"> under the </w:t>
      </w:r>
      <w:r w:rsidR="000D3949" w:rsidRPr="00236D34">
        <w:t>TCA</w:t>
      </w:r>
      <w:r w:rsidR="00865057" w:rsidRPr="00236D34">
        <w:t>.</w:t>
      </w:r>
      <w:r w:rsidR="00B64971" w:rsidRPr="00236D34">
        <w:t xml:space="preserve"> </w:t>
      </w:r>
      <w:r w:rsidR="00F2079D" w:rsidRPr="00236D34">
        <w:t xml:space="preserve">The </w:t>
      </w:r>
      <w:r w:rsidRPr="00236D34">
        <w:t xml:space="preserve">PATH Study’s </w:t>
      </w:r>
      <w:r w:rsidR="00521161">
        <w:t xml:space="preserve">baseline </w:t>
      </w:r>
      <w:r w:rsidR="000A57D6">
        <w:t xml:space="preserve">and Wave 2 </w:t>
      </w:r>
      <w:r w:rsidRPr="00236D34">
        <w:t>data</w:t>
      </w:r>
      <w:r w:rsidR="00521161">
        <w:t xml:space="preserve"> support this </w:t>
      </w:r>
      <w:r w:rsidR="00B64971" w:rsidRPr="00236D34">
        <w:t>framework</w:t>
      </w:r>
      <w:r w:rsidR="00521161">
        <w:t xml:space="preserve">, first through the </w:t>
      </w:r>
      <w:r w:rsidR="001762C2" w:rsidRPr="00236D34">
        <w:t>analy</w:t>
      </w:r>
      <w:r w:rsidR="00521161">
        <w:t>ses of</w:t>
      </w:r>
      <w:r w:rsidR="001E2009" w:rsidRPr="00236D34">
        <w:t xml:space="preserve"> between-person differences </w:t>
      </w:r>
      <w:r w:rsidR="00521161" w:rsidRPr="00F45A26">
        <w:t>in tobacco use behaviors and health</w:t>
      </w:r>
      <w:r w:rsidR="00521161" w:rsidRPr="00521161">
        <w:t xml:space="preserve"> </w:t>
      </w:r>
      <w:r w:rsidR="001E2009" w:rsidRPr="00236D34">
        <w:t>and</w:t>
      </w:r>
      <w:r w:rsidR="00521161">
        <w:t>, over time, by analyzing</w:t>
      </w:r>
      <w:r w:rsidR="001E2009" w:rsidRPr="00236D34">
        <w:t xml:space="preserve"> within-person changes</w:t>
      </w:r>
      <w:r w:rsidR="00DA5E46" w:rsidRPr="00236D34">
        <w:t xml:space="preserve">, </w:t>
      </w:r>
      <w:r w:rsidR="00521161">
        <w:t>both</w:t>
      </w:r>
      <w:r w:rsidR="001E2009" w:rsidRPr="00236D34">
        <w:t xml:space="preserve"> in parallel with </w:t>
      </w:r>
      <w:r w:rsidR="001D5554" w:rsidRPr="00236D34">
        <w:t xml:space="preserve">FDA’s </w:t>
      </w:r>
      <w:r w:rsidR="009F7181">
        <w:t xml:space="preserve">regulatory </w:t>
      </w:r>
      <w:r w:rsidR="001D5554" w:rsidRPr="00236D34">
        <w:t>decisions and a</w:t>
      </w:r>
      <w:r w:rsidR="001E2009" w:rsidRPr="00236D34">
        <w:t>ctions</w:t>
      </w:r>
      <w:r w:rsidR="00C966E4">
        <w:t xml:space="preserve">. </w:t>
      </w:r>
      <w:r w:rsidR="001D5554" w:rsidRPr="00236D34">
        <w:t>Analyses include but are not limited to i</w:t>
      </w:r>
      <w:r w:rsidR="00DA5E46" w:rsidRPr="00236D34">
        <w:t xml:space="preserve">dentifying </w:t>
      </w:r>
      <w:r w:rsidR="00865057" w:rsidRPr="00236D34">
        <w:t xml:space="preserve">key transitions in the course of nicotine dependence </w:t>
      </w:r>
      <w:r w:rsidR="005D3AA7" w:rsidRPr="00236D34">
        <w:t>(</w:t>
      </w:r>
      <w:r w:rsidR="00865057" w:rsidRPr="00236D34">
        <w:t>from the earliest experiences of initiation, to daily use, poly-tobacco use, cessation attempts, and relapse</w:t>
      </w:r>
      <w:r w:rsidR="005D3AA7" w:rsidRPr="00236D34">
        <w:t>)</w:t>
      </w:r>
      <w:r w:rsidR="00865057" w:rsidRPr="00236D34">
        <w:t xml:space="preserve"> and</w:t>
      </w:r>
      <w:r w:rsidR="001D5554" w:rsidRPr="00236D34">
        <w:t xml:space="preserve"> assessing </w:t>
      </w:r>
      <w:r w:rsidR="00605F5D" w:rsidRPr="00236D34">
        <w:t xml:space="preserve">how these transitions are associated with </w:t>
      </w:r>
      <w:r w:rsidR="00865057" w:rsidRPr="00236D34">
        <w:t xml:space="preserve">tobacco use-related </w:t>
      </w:r>
      <w:r w:rsidR="00865057" w:rsidRPr="00236D34">
        <w:lastRenderedPageBreak/>
        <w:t xml:space="preserve">health </w:t>
      </w:r>
      <w:r w:rsidR="00DA5E46" w:rsidRPr="00236D34">
        <w:t>conditions</w:t>
      </w:r>
      <w:r w:rsidR="00164911" w:rsidRPr="00236D34">
        <w:t>,</w:t>
      </w:r>
      <w:r w:rsidR="001D5554" w:rsidRPr="00236D34">
        <w:t xml:space="preserve"> </w:t>
      </w:r>
      <w:r w:rsidR="00A4341B" w:rsidRPr="00236D34">
        <w:t xml:space="preserve">the implementation of specific </w:t>
      </w:r>
      <w:r w:rsidR="005C2B67" w:rsidRPr="00236D34">
        <w:t>tobacco</w:t>
      </w:r>
      <w:r w:rsidR="001D5554" w:rsidRPr="00236D34">
        <w:t>-</w:t>
      </w:r>
      <w:r w:rsidR="005C2B67" w:rsidRPr="00236D34">
        <w:t>related policies and programs</w:t>
      </w:r>
      <w:r w:rsidR="00164911" w:rsidRPr="00236D34">
        <w:t>, or changes in the</w:t>
      </w:r>
      <w:r w:rsidR="00865057" w:rsidRPr="00236D34">
        <w:t xml:space="preserve"> tobacco product marketplace.</w:t>
      </w:r>
    </w:p>
    <w:p w:rsidR="00865057" w:rsidRPr="00A2734E" w:rsidRDefault="00865057" w:rsidP="00BC3C01">
      <w:pPr>
        <w:pStyle w:val="L1-FlLSp12"/>
      </w:pPr>
    </w:p>
    <w:p w:rsidR="00BC3C01" w:rsidRDefault="00164911" w:rsidP="00BC3C01">
      <w:pPr>
        <w:pStyle w:val="L1-FlLSp12"/>
      </w:pPr>
      <w:r>
        <w:t>NIDA</w:t>
      </w:r>
      <w:r w:rsidR="00F2079D">
        <w:t xml:space="preserve"> and FDA </w:t>
      </w:r>
      <w:r>
        <w:t xml:space="preserve">will </w:t>
      </w:r>
      <w:r w:rsidR="00EB3947">
        <w:t xml:space="preserve">also </w:t>
      </w:r>
      <w:r>
        <w:t xml:space="preserve">use data from the </w:t>
      </w:r>
      <w:r w:rsidR="004A2068" w:rsidRPr="00A2734E">
        <w:t>PATH Study</w:t>
      </w:r>
      <w:r w:rsidR="00865057" w:rsidRPr="00A2734E">
        <w:t xml:space="preserve"> </w:t>
      </w:r>
      <w:r>
        <w:t xml:space="preserve">to </w:t>
      </w:r>
      <w:r w:rsidR="00F763E3">
        <w:t xml:space="preserve">help </w:t>
      </w:r>
      <w:r w:rsidR="00865057" w:rsidRPr="00A2734E">
        <w:t>elucidate</w:t>
      </w:r>
      <w:r>
        <w:t xml:space="preserve"> f</w:t>
      </w:r>
      <w:r w:rsidR="00865057" w:rsidRPr="00A2734E">
        <w:t xml:space="preserve">actors </w:t>
      </w:r>
      <w:r>
        <w:t xml:space="preserve">that </w:t>
      </w:r>
      <w:r w:rsidR="00865057" w:rsidRPr="00A2734E">
        <w:t>influence tobacco use behaviors among youth and adults</w:t>
      </w:r>
      <w:r w:rsidR="005D3AA7" w:rsidRPr="00A2734E">
        <w:t>;</w:t>
      </w:r>
      <w:r w:rsidR="00865057" w:rsidRPr="00A2734E">
        <w:t xml:space="preserve"> that shape beliefs, attitudes, and perceptions regarding new tobacco products (e.g., dissolvable tobacco products</w:t>
      </w:r>
      <w:r w:rsidR="006C70A3">
        <w:t>;</w:t>
      </w:r>
      <w:r w:rsidR="00865057" w:rsidRPr="00A2734E">
        <w:t xml:space="preserve"> </w:t>
      </w:r>
      <w:r w:rsidR="00901CD3" w:rsidRPr="00A2734E">
        <w:t>s</w:t>
      </w:r>
      <w:r w:rsidR="00865057" w:rsidRPr="00A2734E">
        <w:t>nus</w:t>
      </w:r>
      <w:r w:rsidR="006C70A3">
        <w:t>; and ENDS, including e</w:t>
      </w:r>
      <w:r w:rsidR="006C70A3" w:rsidRPr="00A2734E">
        <w:t>-cigarettes</w:t>
      </w:r>
      <w:r w:rsidR="00865057" w:rsidRPr="00A2734E">
        <w:t>)</w:t>
      </w:r>
      <w:r w:rsidR="005D3AA7" w:rsidRPr="00A2734E">
        <w:t>;</w:t>
      </w:r>
      <w:r w:rsidR="00865057" w:rsidRPr="00A2734E">
        <w:t xml:space="preserve"> that impact tobacco use-related health outcomes among key population subgroups</w:t>
      </w:r>
      <w:r w:rsidR="005D3AA7" w:rsidRPr="00A2734E">
        <w:t>;</w:t>
      </w:r>
      <w:r w:rsidR="00865057" w:rsidRPr="00A2734E">
        <w:t xml:space="preserve"> and that enhance knowledge of physiological changes </w:t>
      </w:r>
      <w:r w:rsidR="00B8032A">
        <w:t xml:space="preserve">associated with tobacco use and </w:t>
      </w:r>
      <w:r w:rsidR="00865057" w:rsidRPr="00A2734E">
        <w:t xml:space="preserve">the natural course of nicotine dependence </w:t>
      </w:r>
      <w:r w:rsidR="00EB3947">
        <w:t>by examining</w:t>
      </w:r>
      <w:r w:rsidR="00865057" w:rsidRPr="00A2734E">
        <w:t xml:space="preserve"> </w:t>
      </w:r>
      <w:r w:rsidR="00B8032A">
        <w:t>biomarkers</w:t>
      </w:r>
      <w:r w:rsidR="00DA5E46">
        <w:t xml:space="preserve"> of </w:t>
      </w:r>
      <w:r w:rsidR="00B8032A">
        <w:t xml:space="preserve">exposure to tobacco products and of tobacco-use related </w:t>
      </w:r>
      <w:r w:rsidR="00865057" w:rsidRPr="00A2734E">
        <w:t>disease processes</w:t>
      </w:r>
      <w:r w:rsidR="00B8032A">
        <w:t>.</w:t>
      </w:r>
    </w:p>
    <w:p w:rsidR="00EA79A8" w:rsidRDefault="00EA79A8" w:rsidP="00BC3C01">
      <w:pPr>
        <w:pStyle w:val="L1-FlLSp12"/>
      </w:pPr>
    </w:p>
    <w:p w:rsidR="00EC15A1" w:rsidRPr="0023016A" w:rsidRDefault="00EC15A1" w:rsidP="00BC3C01">
      <w:pPr>
        <w:pStyle w:val="L1-FlLSp12"/>
      </w:pPr>
    </w:p>
    <w:p w:rsidR="002F7ABC" w:rsidRPr="00A2734E" w:rsidRDefault="00B92901" w:rsidP="00BC3C01">
      <w:pPr>
        <w:pStyle w:val="Heading3"/>
      </w:pPr>
      <w:r w:rsidRPr="00A2734E">
        <w:t>A.2</w:t>
      </w:r>
      <w:r w:rsidR="001D62A0">
        <w:t>d</w:t>
      </w:r>
      <w:r w:rsidR="003C69E4" w:rsidRPr="00A2734E">
        <w:tab/>
      </w:r>
      <w:r w:rsidR="002F7ABC" w:rsidRPr="00A2734E">
        <w:t>Use of Information by Other Agencies and Organizations</w:t>
      </w:r>
    </w:p>
    <w:p w:rsidR="00AC2E44" w:rsidRDefault="00816E88" w:rsidP="009E6590">
      <w:pPr>
        <w:pStyle w:val="L1-FlLSp12"/>
      </w:pPr>
      <w:r w:rsidRPr="00A2734E">
        <w:t xml:space="preserve">As NIDA’s principal partner in conducting the </w:t>
      </w:r>
      <w:r w:rsidR="004A2068" w:rsidRPr="00A2734E">
        <w:t>PATH Study</w:t>
      </w:r>
      <w:r w:rsidRPr="00A2734E">
        <w:t xml:space="preserve">, </w:t>
      </w:r>
      <w:r w:rsidR="00344C26" w:rsidRPr="00A2734E">
        <w:t>FDA</w:t>
      </w:r>
      <w:r w:rsidRPr="00A2734E">
        <w:t xml:space="preserve"> </w:t>
      </w:r>
      <w:r w:rsidR="00E9738D">
        <w:t xml:space="preserve">plans to use the </w:t>
      </w:r>
      <w:r w:rsidRPr="00A2734E">
        <w:t xml:space="preserve">data to </w:t>
      </w:r>
      <w:r w:rsidR="009657DF">
        <w:t xml:space="preserve">help </w:t>
      </w:r>
      <w:r w:rsidR="00E9738D" w:rsidRPr="00286327">
        <w:t>inform</w:t>
      </w:r>
      <w:r w:rsidRPr="00286327">
        <w:t xml:space="preserve"> its </w:t>
      </w:r>
      <w:r w:rsidR="009657DF" w:rsidRPr="00286327">
        <w:t xml:space="preserve">regulatory decisions and actions under the </w:t>
      </w:r>
      <w:r w:rsidR="000D3949" w:rsidRPr="00286327">
        <w:t>TCA</w:t>
      </w:r>
      <w:r w:rsidR="009657DF" w:rsidRPr="00286327">
        <w:t>.</w:t>
      </w:r>
      <w:r w:rsidR="00C66F5D" w:rsidRPr="00286327">
        <w:t xml:space="preserve"> </w:t>
      </w:r>
      <w:r w:rsidR="009657DF" w:rsidRPr="00286327">
        <w:t>T</w:t>
      </w:r>
      <w:r w:rsidRPr="00286327">
        <w:t xml:space="preserve">he </w:t>
      </w:r>
      <w:r w:rsidR="000D3949" w:rsidRPr="00286327">
        <w:t>TCA</w:t>
      </w:r>
      <w:r w:rsidRPr="00286327">
        <w:t xml:space="preserve"> authorizes FDA to regulate</w:t>
      </w:r>
      <w:r w:rsidRPr="00A2734E">
        <w:t xml:space="preserve"> tobacco-product advertising, labeling, marketing, constituents, ingredients and additives</w:t>
      </w:r>
      <w:r w:rsidR="00625ED0">
        <w:t>.</w:t>
      </w:r>
      <w:r w:rsidRPr="00A2734E">
        <w:t xml:space="preserve"> </w:t>
      </w:r>
      <w:r w:rsidR="008B2F72" w:rsidRPr="000E0414">
        <w:t xml:space="preserve">The </w:t>
      </w:r>
      <w:r w:rsidR="000D3949">
        <w:t>TCA</w:t>
      </w:r>
      <w:r w:rsidR="008B2F72" w:rsidRPr="000E0414">
        <w:t xml:space="preserve"> mandates the regulation of tobacco products using a population health standard including users and non-users of tobacco products</w:t>
      </w:r>
      <w:r w:rsidR="00EA68AE">
        <w:t xml:space="preserve">. </w:t>
      </w:r>
      <w:r w:rsidR="00E9738D" w:rsidRPr="0023016A">
        <w:rPr>
          <w:bCs/>
          <w:szCs w:val="24"/>
        </w:rPr>
        <w:t xml:space="preserve">FDA’s Center for Tobacco Products (CTP) </w:t>
      </w:r>
      <w:r w:rsidR="00CC5517" w:rsidRPr="0023016A">
        <w:rPr>
          <w:bCs/>
          <w:szCs w:val="24"/>
        </w:rPr>
        <w:t>aims to</w:t>
      </w:r>
      <w:r w:rsidR="0056013B" w:rsidRPr="0023016A">
        <w:rPr>
          <w:bCs/>
          <w:szCs w:val="24"/>
        </w:rPr>
        <w:t xml:space="preserve"> </w:t>
      </w:r>
      <w:r w:rsidR="00E9738D" w:rsidRPr="0023016A">
        <w:rPr>
          <w:bCs/>
          <w:szCs w:val="24"/>
        </w:rPr>
        <w:t xml:space="preserve">prevent Americans from starting to use tobacco, </w:t>
      </w:r>
      <w:r w:rsidR="00C66F5D" w:rsidRPr="0023016A">
        <w:rPr>
          <w:bCs/>
          <w:szCs w:val="24"/>
        </w:rPr>
        <w:t xml:space="preserve">to </w:t>
      </w:r>
      <w:r w:rsidR="00E9738D" w:rsidRPr="0023016A">
        <w:rPr>
          <w:bCs/>
          <w:szCs w:val="24"/>
        </w:rPr>
        <w:t>encourag</w:t>
      </w:r>
      <w:r w:rsidR="00C66F5D" w:rsidRPr="0023016A">
        <w:rPr>
          <w:bCs/>
          <w:szCs w:val="24"/>
        </w:rPr>
        <w:t>e</w:t>
      </w:r>
      <w:r w:rsidR="00E9738D" w:rsidRPr="0023016A">
        <w:rPr>
          <w:bCs/>
          <w:szCs w:val="24"/>
        </w:rPr>
        <w:t xml:space="preserve"> current users to quit, and </w:t>
      </w:r>
      <w:r w:rsidR="00C66F5D" w:rsidRPr="0023016A">
        <w:rPr>
          <w:bCs/>
          <w:szCs w:val="24"/>
        </w:rPr>
        <w:t xml:space="preserve">to </w:t>
      </w:r>
      <w:r w:rsidR="00E9738D" w:rsidRPr="0023016A">
        <w:rPr>
          <w:bCs/>
          <w:szCs w:val="24"/>
        </w:rPr>
        <w:t>decreas</w:t>
      </w:r>
      <w:r w:rsidR="00C66F5D" w:rsidRPr="0023016A">
        <w:rPr>
          <w:bCs/>
          <w:szCs w:val="24"/>
        </w:rPr>
        <w:t>e</w:t>
      </w:r>
      <w:r w:rsidR="00E9738D" w:rsidRPr="0023016A">
        <w:rPr>
          <w:bCs/>
          <w:szCs w:val="24"/>
        </w:rPr>
        <w:t xml:space="preserve"> the harms of tobacco product use</w:t>
      </w:r>
      <w:r w:rsidR="00C66F5D" w:rsidRPr="0023016A">
        <w:rPr>
          <w:bCs/>
          <w:szCs w:val="24"/>
        </w:rPr>
        <w:t>.</w:t>
      </w:r>
      <w:r w:rsidR="00E9738D" w:rsidRPr="0023016A">
        <w:rPr>
          <w:bCs/>
          <w:szCs w:val="24"/>
        </w:rPr>
        <w:t xml:space="preserve"> </w:t>
      </w:r>
      <w:r w:rsidR="008876E9" w:rsidRPr="00EA79A8">
        <w:rPr>
          <w:bCs/>
          <w:szCs w:val="24"/>
        </w:rPr>
        <w:t>Information from the</w:t>
      </w:r>
      <w:r w:rsidR="00602668" w:rsidRPr="00EA79A8">
        <w:t xml:space="preserve"> PATH</w:t>
      </w:r>
      <w:r w:rsidR="00602668" w:rsidRPr="00A2734E">
        <w:t xml:space="preserve"> Study is critical to facilitating this </w:t>
      </w:r>
      <w:r w:rsidR="0056013B">
        <w:t xml:space="preserve">mission. </w:t>
      </w:r>
      <w:r w:rsidR="00B517AF">
        <w:t xml:space="preserve">Its </w:t>
      </w:r>
      <w:r w:rsidR="008B2F72">
        <w:t>nationally representative longitudinal cohort design</w:t>
      </w:r>
      <w:r w:rsidR="008B2F72" w:rsidRPr="00E51106">
        <w:t xml:space="preserve"> </w:t>
      </w:r>
      <w:r w:rsidR="00602668" w:rsidRPr="00E51106">
        <w:t>will provide</w:t>
      </w:r>
      <w:r w:rsidR="008B2F72">
        <w:t xml:space="preserve"> </w:t>
      </w:r>
      <w:r w:rsidR="00602668" w:rsidRPr="00E51106">
        <w:t>epidemiological</w:t>
      </w:r>
      <w:r w:rsidR="00810B93">
        <w:t>, population-based</w:t>
      </w:r>
      <w:r w:rsidR="00602668" w:rsidRPr="00E51106">
        <w:t xml:space="preserve"> data on tobacco use behaviors</w:t>
      </w:r>
      <w:r w:rsidR="00016323" w:rsidRPr="00E51106">
        <w:t>,</w:t>
      </w:r>
      <w:r w:rsidR="00C97BDD" w:rsidRPr="00E51106">
        <w:t xml:space="preserve"> </w:t>
      </w:r>
      <w:r w:rsidR="00016323" w:rsidRPr="00E51106">
        <w:t>attitudes,</w:t>
      </w:r>
      <w:r w:rsidR="00602668" w:rsidRPr="00E51106">
        <w:t xml:space="preserve"> </w:t>
      </w:r>
      <w:r w:rsidR="008B2F72">
        <w:t xml:space="preserve">exposures, </w:t>
      </w:r>
      <w:r w:rsidR="00602668" w:rsidRPr="00E51106">
        <w:t>and health</w:t>
      </w:r>
      <w:r w:rsidR="008B2F72">
        <w:t xml:space="preserve"> to </w:t>
      </w:r>
      <w:r w:rsidR="00810B93">
        <w:t xml:space="preserve">help </w:t>
      </w:r>
      <w:r w:rsidR="008B2F72">
        <w:t xml:space="preserve">inform FDA’s regulatory </w:t>
      </w:r>
      <w:r w:rsidR="003751CC">
        <w:t>decisions and actions</w:t>
      </w:r>
      <w:r w:rsidR="00810B93">
        <w:t xml:space="preserve"> under the </w:t>
      </w:r>
      <w:r w:rsidR="000D3949">
        <w:t>TCA</w:t>
      </w:r>
      <w:r w:rsidR="00C966E4">
        <w:t>.</w:t>
      </w:r>
    </w:p>
    <w:p w:rsidR="00D8525C" w:rsidRPr="007C16F0" w:rsidRDefault="00D8525C" w:rsidP="009E6590">
      <w:pPr>
        <w:pStyle w:val="L1-FlLSp12"/>
      </w:pPr>
    </w:p>
    <w:p w:rsidR="00DB6E10" w:rsidRPr="00A2734E" w:rsidRDefault="003C7BB4" w:rsidP="009E6590">
      <w:pPr>
        <w:pStyle w:val="L1-FlLSp12"/>
      </w:pPr>
      <w:r w:rsidRPr="00A2734E">
        <w:t xml:space="preserve">An important component of the </w:t>
      </w:r>
      <w:r w:rsidR="004A2068" w:rsidRPr="00A2734E">
        <w:t>PATH Study</w:t>
      </w:r>
      <w:r w:rsidRPr="00A2734E">
        <w:t xml:space="preserve"> is the collection of </w:t>
      </w:r>
      <w:proofErr w:type="spellStart"/>
      <w:r w:rsidRPr="00A2734E">
        <w:t>biospecimens</w:t>
      </w:r>
      <w:proofErr w:type="spellEnd"/>
      <w:r w:rsidRPr="00A2734E">
        <w:t xml:space="preserve"> from respondents.</w:t>
      </w:r>
      <w:r w:rsidR="00BC3C01" w:rsidRPr="00A2734E">
        <w:t xml:space="preserve"> </w:t>
      </w:r>
      <w:r w:rsidR="00A81C3A" w:rsidRPr="00A2734E">
        <w:t xml:space="preserve">NIDA supports FDA’s approach for analyzing </w:t>
      </w:r>
      <w:r w:rsidR="00AE16E7">
        <w:t xml:space="preserve">some of the </w:t>
      </w:r>
      <w:proofErr w:type="spellStart"/>
      <w:r w:rsidR="00A81C3A" w:rsidRPr="00A2734E">
        <w:t>biospecimens</w:t>
      </w:r>
      <w:proofErr w:type="spellEnd"/>
      <w:r w:rsidR="00A81C3A" w:rsidRPr="00A2734E">
        <w:t>, which is through an inter-agency agreement with the Centers for Disease Control and Prevention (CDC). Th</w:t>
      </w:r>
      <w:r w:rsidR="00F0077D">
        <w:t>rough this</w:t>
      </w:r>
      <w:r w:rsidR="00A81C3A" w:rsidRPr="00A2734E">
        <w:t xml:space="preserve"> agreement</w:t>
      </w:r>
      <w:r w:rsidR="00F0077D">
        <w:t xml:space="preserve">, CDC’s Division of Laboratory Sciences will </w:t>
      </w:r>
      <w:r w:rsidR="00A81C3A" w:rsidRPr="00A2734E">
        <w:t>analy</w:t>
      </w:r>
      <w:r w:rsidR="00F0077D">
        <w:t>ze</w:t>
      </w:r>
      <w:r w:rsidR="00A81C3A" w:rsidRPr="00A2734E">
        <w:t xml:space="preserve"> </w:t>
      </w:r>
      <w:r w:rsidR="00E9738D">
        <w:t xml:space="preserve">a subset </w:t>
      </w:r>
      <w:r w:rsidR="00A6411F">
        <w:t xml:space="preserve">of the </w:t>
      </w:r>
      <w:proofErr w:type="spellStart"/>
      <w:r w:rsidR="00A81C3A" w:rsidRPr="00A2734E">
        <w:t>biospecimens</w:t>
      </w:r>
      <w:proofErr w:type="spellEnd"/>
      <w:r w:rsidR="00A81C3A" w:rsidRPr="00A2734E">
        <w:t xml:space="preserve"> collected in the </w:t>
      </w:r>
      <w:r w:rsidR="004A2068" w:rsidRPr="00A2734E">
        <w:t>PATH Stud</w:t>
      </w:r>
      <w:r w:rsidR="00F0077D">
        <w:t>y</w:t>
      </w:r>
      <w:r w:rsidR="006A6B58">
        <w:t xml:space="preserve">. </w:t>
      </w:r>
      <w:r w:rsidR="0030722A">
        <w:t>NIH and FDA</w:t>
      </w:r>
      <w:r w:rsidR="002432A6">
        <w:t xml:space="preserve"> may consider making arrangements with other Federal as well as non-Federal laboratories for other</w:t>
      </w:r>
      <w:r w:rsidR="00E9738D">
        <w:t xml:space="preserve"> </w:t>
      </w:r>
      <w:proofErr w:type="spellStart"/>
      <w:r w:rsidR="002432A6">
        <w:t>biospecimen</w:t>
      </w:r>
      <w:proofErr w:type="spellEnd"/>
      <w:r w:rsidR="002432A6">
        <w:t xml:space="preserve"> analyses.</w:t>
      </w:r>
      <w:r w:rsidR="009E6590">
        <w:t xml:space="preserve"> </w:t>
      </w:r>
      <w:r w:rsidR="00A81C3A" w:rsidRPr="00A2734E">
        <w:t xml:space="preserve">Examples of specific </w:t>
      </w:r>
      <w:proofErr w:type="spellStart"/>
      <w:r w:rsidR="00A81C3A" w:rsidRPr="00A2734E">
        <w:t>analytes</w:t>
      </w:r>
      <w:proofErr w:type="spellEnd"/>
      <w:r w:rsidR="00A81C3A" w:rsidRPr="00A2734E">
        <w:t xml:space="preserve"> that </w:t>
      </w:r>
      <w:proofErr w:type="spellStart"/>
      <w:r w:rsidR="00A81C3A" w:rsidRPr="00A92156">
        <w:t>biospecimens</w:t>
      </w:r>
      <w:proofErr w:type="spellEnd"/>
      <w:r w:rsidR="00A81C3A" w:rsidRPr="00A92156">
        <w:t xml:space="preserve"> collected in the study</w:t>
      </w:r>
      <w:r w:rsidR="008A38E5" w:rsidRPr="00A92156">
        <w:t xml:space="preserve"> will be tested for</w:t>
      </w:r>
      <w:r w:rsidR="00A81C3A" w:rsidRPr="00A92156">
        <w:t xml:space="preserve"> are included in </w:t>
      </w:r>
      <w:r w:rsidR="00A81C3A" w:rsidRPr="0023016A">
        <w:t>Attachment</w:t>
      </w:r>
      <w:r w:rsidR="00095514" w:rsidRPr="00EA79A8">
        <w:t xml:space="preserve"> </w:t>
      </w:r>
      <w:r w:rsidR="00E63CFA" w:rsidRPr="00EA79A8">
        <w:t>6</w:t>
      </w:r>
      <w:r w:rsidR="00A81C3A" w:rsidRPr="00EA79A8">
        <w:t>.</w:t>
      </w:r>
    </w:p>
    <w:p w:rsidR="003C7BB4" w:rsidRPr="00A2734E" w:rsidRDefault="003C7BB4" w:rsidP="009E6590">
      <w:pPr>
        <w:pStyle w:val="L1-FlLSp12"/>
      </w:pPr>
    </w:p>
    <w:p w:rsidR="00A074C4" w:rsidRDefault="002F5B0C" w:rsidP="002F5B0C">
      <w:pPr>
        <w:pStyle w:val="L1-FlLSp12"/>
      </w:pPr>
      <w:r w:rsidRPr="004949CC">
        <w:t xml:space="preserve">Because the PATH Study data are an invaluable research resource, they will be shared with the scientific community as well as with other agencies within HHS whose missions are in service to the Nation’s health, such as the CDC. NIDA and FDA will create a public use dataset from each wave’s </w:t>
      </w:r>
      <w:r w:rsidRPr="004949CC">
        <w:lastRenderedPageBreak/>
        <w:t>data, making it available to the public on-line, consistent with OMB’s Memorandum 13-13 (March 2013). The time period from completion of a wave to availability of a public use dataset is anticipated to be within 18 months. Data underlying all government-funded scientific publications 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rsidR="00250631" w:rsidRDefault="00250631" w:rsidP="009E6590">
      <w:pPr>
        <w:pStyle w:val="L1-FlLSp12"/>
      </w:pPr>
    </w:p>
    <w:p w:rsidR="00BC3C01" w:rsidRPr="00A2734E" w:rsidRDefault="00B65387" w:rsidP="009E6590">
      <w:pPr>
        <w:pStyle w:val="L1-FlLSp12"/>
      </w:pPr>
      <w:r>
        <w:t xml:space="preserve">Restricted use datasets </w:t>
      </w:r>
      <w:r w:rsidR="00250631">
        <w:t xml:space="preserve">not suitable </w:t>
      </w:r>
      <w:r>
        <w:t>as</w:t>
      </w:r>
      <w:r w:rsidR="00250631">
        <w:t xml:space="preserve"> public use file</w:t>
      </w:r>
      <w:r>
        <w:t>s</w:t>
      </w:r>
      <w:r w:rsidR="00250631">
        <w:t xml:space="preserve"> </w:t>
      </w:r>
      <w:r w:rsidR="003769D7" w:rsidRPr="00A2734E">
        <w:t xml:space="preserve">will be deposited into a repository for data sharing purposes with qualified researchers who apply to the </w:t>
      </w:r>
      <w:r w:rsidR="004A2068" w:rsidRPr="00A2734E">
        <w:t>PATH Study</w:t>
      </w:r>
      <w:r w:rsidR="003769D7" w:rsidRPr="00A2734E">
        <w:t xml:space="preserve"> Data Access Committee and obtain a Data Use Certification (DUC).</w:t>
      </w:r>
      <w:r w:rsidR="00BC3C01" w:rsidRPr="00A2734E">
        <w:t xml:space="preserve"> </w:t>
      </w:r>
      <w:r w:rsidR="003769D7" w:rsidRPr="00A2734E">
        <w:t xml:space="preserve">NIDA and FDA will collaborate in developing plans for the repository for the </w:t>
      </w:r>
      <w:r w:rsidR="004A2068" w:rsidRPr="00A2734E">
        <w:t>PATH Study</w:t>
      </w:r>
      <w:r w:rsidR="003769D7" w:rsidRPr="00A2734E">
        <w:t xml:space="preserve"> data</w:t>
      </w:r>
      <w:r w:rsidR="001315FB" w:rsidRPr="00A2734E">
        <w:t xml:space="preserve"> and </w:t>
      </w:r>
      <w:proofErr w:type="spellStart"/>
      <w:r w:rsidR="001315FB" w:rsidRPr="00A2734E">
        <w:t>biospecimens</w:t>
      </w:r>
      <w:proofErr w:type="spellEnd"/>
      <w:r w:rsidR="001315FB" w:rsidRPr="00A2734E">
        <w:t>,</w:t>
      </w:r>
      <w:r w:rsidR="003769D7" w:rsidRPr="00A2734E">
        <w:t xml:space="preserve"> as well as plans for data disclosure, sharing, and confidentiality for qualified researchers with interests in analyzing the </w:t>
      </w:r>
      <w:r w:rsidR="004A2068" w:rsidRPr="00A2734E">
        <w:t>PATH Study</w:t>
      </w:r>
      <w:r w:rsidR="003769D7" w:rsidRPr="00A2734E">
        <w:t xml:space="preserve"> data.</w:t>
      </w:r>
    </w:p>
    <w:p w:rsidR="003769D7" w:rsidRPr="00A2734E" w:rsidRDefault="003769D7" w:rsidP="009E6590">
      <w:pPr>
        <w:pStyle w:val="L1-FlLSp12"/>
      </w:pPr>
    </w:p>
    <w:p w:rsidR="00BC3C01" w:rsidRPr="00A2734E" w:rsidRDefault="00865057" w:rsidP="009E6590">
      <w:pPr>
        <w:pStyle w:val="L1-FlLSp12"/>
      </w:pPr>
      <w:r w:rsidRPr="00A2734E">
        <w:t>Data sharing plans promulgated by the NIH dictate dissemination of appropriately de-identified data.</w:t>
      </w:r>
      <w:r w:rsidR="00BC3C01" w:rsidRPr="00A2734E">
        <w:t xml:space="preserve"> </w:t>
      </w:r>
      <w:r w:rsidRPr="00A2734E">
        <w:t xml:space="preserve">After </w:t>
      </w:r>
      <w:r w:rsidR="0064389D">
        <w:t xml:space="preserve">PATH Study </w:t>
      </w:r>
      <w:r w:rsidRPr="00A2734E">
        <w:t>data are stripped of personally identifiable information</w:t>
      </w:r>
      <w:r w:rsidR="002A1FA0" w:rsidRPr="00A2734E">
        <w:t xml:space="preserve"> (PII)</w:t>
      </w:r>
      <w:r w:rsidRPr="00A2734E">
        <w:t xml:space="preserve"> and subjected to disclosure limitation procedures, the</w:t>
      </w:r>
      <w:r w:rsidR="0064389D">
        <w:t xml:space="preserve"> data sets</w:t>
      </w:r>
      <w:r w:rsidRPr="00A2734E">
        <w:t xml:space="preserve"> </w:t>
      </w:r>
      <w:r w:rsidR="0064389D">
        <w:t>will</w:t>
      </w:r>
      <w:r w:rsidRPr="00A2734E">
        <w:t xml:space="preserve"> be deposited in </w:t>
      </w:r>
      <w:r w:rsidR="00E431B2" w:rsidRPr="00A2734E">
        <w:t xml:space="preserve">a </w:t>
      </w:r>
      <w:r w:rsidR="005D3AA7" w:rsidRPr="00A2734E">
        <w:t>repository</w:t>
      </w:r>
      <w:r w:rsidR="0064389D">
        <w:t>,</w:t>
      </w:r>
      <w:r w:rsidR="00E431B2" w:rsidRPr="00A2734E">
        <w:t xml:space="preserve"> such a</w:t>
      </w:r>
      <w:r w:rsidR="00CE05DD" w:rsidRPr="00A2734E">
        <w:t>s</w:t>
      </w:r>
      <w:r w:rsidR="00E431B2" w:rsidRPr="00A2734E">
        <w:t xml:space="preserve"> the National Addiction </w:t>
      </w:r>
      <w:r w:rsidR="005D3AA7" w:rsidRPr="00A2734E">
        <w:t>and</w:t>
      </w:r>
      <w:r w:rsidR="00E431B2" w:rsidRPr="00A2734E">
        <w:t xml:space="preserve"> HIV Data Archive Program (NAHDAP) </w:t>
      </w:r>
      <w:r w:rsidRPr="00A2734E">
        <w:t xml:space="preserve">at the University of Michigan’s </w:t>
      </w:r>
      <w:r w:rsidRPr="00286327">
        <w:t>Inter-University Consortium for Politi</w:t>
      </w:r>
      <w:r w:rsidR="005D3AA7" w:rsidRPr="00286327">
        <w:t>cal and Social Research (ICPSR)</w:t>
      </w:r>
      <w:r w:rsidR="0064389D" w:rsidRPr="00286327">
        <w:t>. D</w:t>
      </w:r>
      <w:r w:rsidRPr="00286327">
        <w:t>ata from other NIDA-</w:t>
      </w:r>
      <w:r w:rsidRPr="00A2734E">
        <w:t xml:space="preserve">funded research projects, including </w:t>
      </w:r>
      <w:r w:rsidR="006832DF">
        <w:t xml:space="preserve">research studies and </w:t>
      </w:r>
      <w:r w:rsidRPr="00A2734E">
        <w:t>surveys, are routinely deposited</w:t>
      </w:r>
      <w:r w:rsidR="005D3AA7" w:rsidRPr="00A2734E">
        <w:t xml:space="preserve"> in NAHDAP</w:t>
      </w:r>
      <w:r w:rsidRPr="00A2734E">
        <w:t xml:space="preserve"> for public or restricted use.</w:t>
      </w:r>
    </w:p>
    <w:p w:rsidR="00BC3C01" w:rsidRDefault="00BC3C01" w:rsidP="009E6590">
      <w:pPr>
        <w:pStyle w:val="L1-FlLSp12"/>
      </w:pPr>
    </w:p>
    <w:p w:rsidR="00EA79A8" w:rsidRPr="0023016A" w:rsidRDefault="00EA79A8" w:rsidP="009E6590">
      <w:pPr>
        <w:pStyle w:val="L1-FlLSp12"/>
      </w:pPr>
    </w:p>
    <w:p w:rsidR="002F7ABC" w:rsidRPr="00A2734E" w:rsidRDefault="002F7ABC" w:rsidP="009E6590">
      <w:pPr>
        <w:pStyle w:val="Heading2"/>
      </w:pPr>
      <w:r w:rsidRPr="00A2734E">
        <w:t>A.3</w:t>
      </w:r>
      <w:r w:rsidRPr="00A2734E">
        <w:tab/>
        <w:t>Use of Information Technology and Burden Reduction</w:t>
      </w:r>
    </w:p>
    <w:p w:rsidR="002A1FA0" w:rsidRPr="006A6B58" w:rsidRDefault="0064389D" w:rsidP="009E6590">
      <w:pPr>
        <w:pStyle w:val="L1-FlLSp12"/>
      </w:pPr>
      <w:r w:rsidRPr="00286327">
        <w:t>T</w:t>
      </w:r>
      <w:r w:rsidR="00C7136C" w:rsidRPr="00286327">
        <w:t xml:space="preserve">he </w:t>
      </w:r>
      <w:r w:rsidR="002A1FA0" w:rsidRPr="00286327">
        <w:t>Privacy Impact Assessment</w:t>
      </w:r>
      <w:r w:rsidR="00C92E94" w:rsidRPr="00286327">
        <w:t>s</w:t>
      </w:r>
      <w:r w:rsidR="002A1FA0" w:rsidRPr="00286327">
        <w:t xml:space="preserve"> (PIA) for the </w:t>
      </w:r>
      <w:r w:rsidR="004A2068" w:rsidRPr="00286327">
        <w:t>PATH Study</w:t>
      </w:r>
      <w:r w:rsidR="002A1FA0" w:rsidRPr="00286327">
        <w:t xml:space="preserve"> Management System </w:t>
      </w:r>
      <w:proofErr w:type="gramStart"/>
      <w:r w:rsidR="002A1FA0" w:rsidRPr="00286327">
        <w:t>w</w:t>
      </w:r>
      <w:r w:rsidR="00C92E94" w:rsidRPr="00286327">
        <w:t>ere</w:t>
      </w:r>
      <w:proofErr w:type="gramEnd"/>
      <w:r w:rsidR="002A1FA0" w:rsidRPr="00286327">
        <w:t xml:space="preserve"> promoted</w:t>
      </w:r>
      <w:r w:rsidR="002A1FA0" w:rsidRPr="00A2734E">
        <w:t xml:space="preserve"> </w:t>
      </w:r>
      <w:r w:rsidR="00252C0E" w:rsidRPr="00A2734E">
        <w:t>o</w:t>
      </w:r>
      <w:r w:rsidR="002A1FA0" w:rsidRPr="00A2734E">
        <w:t xml:space="preserve">n July </w:t>
      </w:r>
      <w:r w:rsidR="00C92E94" w:rsidRPr="00A2734E">
        <w:t xml:space="preserve">6, </w:t>
      </w:r>
      <w:r w:rsidR="002A1FA0" w:rsidRPr="00A2734E">
        <w:t>2012</w:t>
      </w:r>
      <w:r w:rsidR="00252C0E" w:rsidRPr="00A2734E">
        <w:t xml:space="preserve"> </w:t>
      </w:r>
      <w:r w:rsidR="00252C0E" w:rsidRPr="00A92156">
        <w:t xml:space="preserve">(see </w:t>
      </w:r>
      <w:r w:rsidR="00252C0E" w:rsidRPr="0023016A">
        <w:t>Attachment</w:t>
      </w:r>
      <w:r w:rsidR="00252C0E" w:rsidRPr="00A92156">
        <w:t xml:space="preserve"> </w:t>
      </w:r>
      <w:r w:rsidR="00E63CFA" w:rsidRPr="00A92156">
        <w:t>7</w:t>
      </w:r>
      <w:r w:rsidR="00252C0E" w:rsidRPr="00A92156">
        <w:t>)</w:t>
      </w:r>
      <w:r w:rsidR="002A1FA0" w:rsidRPr="00A92156">
        <w:t>.</w:t>
      </w:r>
      <w:r>
        <w:t xml:space="preserve"> </w:t>
      </w:r>
      <w:r w:rsidRPr="00A2734E">
        <w:t>Appropriate technology will be used to keep respondent burden to a minimum</w:t>
      </w:r>
      <w:r>
        <w:t>.</w:t>
      </w:r>
    </w:p>
    <w:p w:rsidR="002A1FA0" w:rsidRPr="00A2734E" w:rsidRDefault="002A1FA0" w:rsidP="009E6590">
      <w:pPr>
        <w:pStyle w:val="L1-FlLSp12"/>
      </w:pPr>
    </w:p>
    <w:p w:rsidR="002F7ABC" w:rsidRPr="00A2734E" w:rsidRDefault="002F7ABC" w:rsidP="00EC15A1">
      <w:pPr>
        <w:pStyle w:val="L1-FlLSp12"/>
        <w:keepNext/>
      </w:pPr>
      <w:r w:rsidRPr="00A2734E">
        <w:t>Examples of information technology approaches to be used to minimize burden during</w:t>
      </w:r>
      <w:r w:rsidR="00AF4421" w:rsidRPr="00A2734E">
        <w:t xml:space="preserve"> the</w:t>
      </w:r>
      <w:r w:rsidRPr="00A2734E">
        <w:t xml:space="preserve"> </w:t>
      </w:r>
      <w:r w:rsidR="004A2068" w:rsidRPr="00A2734E">
        <w:t>PATH Study</w:t>
      </w:r>
      <w:r w:rsidRPr="00A2734E">
        <w:t xml:space="preserve"> </w:t>
      </w:r>
      <w:r w:rsidR="00AF4421" w:rsidRPr="00A2734E">
        <w:t>data collection</w:t>
      </w:r>
      <w:r w:rsidRPr="00A2734E">
        <w:t xml:space="preserve"> include:</w:t>
      </w:r>
    </w:p>
    <w:p w:rsidR="002F7ABC" w:rsidRPr="00A2734E" w:rsidRDefault="002F7ABC" w:rsidP="00EC15A1">
      <w:pPr>
        <w:pStyle w:val="L1-FlLSp12"/>
        <w:keepNext/>
      </w:pPr>
    </w:p>
    <w:p w:rsidR="00C71FEF" w:rsidRPr="00C5505E" w:rsidRDefault="00C71FEF" w:rsidP="00470C13">
      <w:pPr>
        <w:pStyle w:val="N1-1stBullet"/>
        <w:numPr>
          <w:ilvl w:val="0"/>
          <w:numId w:val="33"/>
        </w:numPr>
      </w:pPr>
      <w:r w:rsidRPr="002B11E8">
        <w:t xml:space="preserve">Use of automated </w:t>
      </w:r>
      <w:r w:rsidR="00901CD3" w:rsidRPr="00C5505E">
        <w:t>audio computer-assisted self-interviewing (</w:t>
      </w:r>
      <w:r w:rsidRPr="00C5505E">
        <w:t>ACASI</w:t>
      </w:r>
      <w:r w:rsidR="00901CD3" w:rsidRPr="00C5505E">
        <w:t>)</w:t>
      </w:r>
      <w:r w:rsidRPr="00C5505E">
        <w:t xml:space="preserve"> extended instruments (separate instruments for youth and adults) and an automated CAPI parent instrument to collect </w:t>
      </w:r>
      <w:r w:rsidR="004A2068" w:rsidRPr="00C5505E">
        <w:t>PATH Study</w:t>
      </w:r>
      <w:r w:rsidRPr="00C5505E">
        <w:t xml:space="preserve"> data;</w:t>
      </w:r>
    </w:p>
    <w:p w:rsidR="002F7ABC" w:rsidRPr="00C5505E" w:rsidRDefault="002F7ABC" w:rsidP="00470C13">
      <w:pPr>
        <w:pStyle w:val="N1-1stBullet"/>
        <w:numPr>
          <w:ilvl w:val="0"/>
          <w:numId w:val="33"/>
        </w:numPr>
      </w:pPr>
      <w:r w:rsidRPr="00C5505E">
        <w:lastRenderedPageBreak/>
        <w:t xml:space="preserve">Use of </w:t>
      </w:r>
      <w:r w:rsidR="000E28E6" w:rsidRPr="00C5505E">
        <w:t>flashcards</w:t>
      </w:r>
      <w:r w:rsidRPr="00C5505E">
        <w:t xml:space="preserve"> </w:t>
      </w:r>
      <w:r w:rsidR="001315FB" w:rsidRPr="00C5505E">
        <w:t xml:space="preserve">or on-screen displays of lists and images </w:t>
      </w:r>
      <w:r w:rsidRPr="00C5505E">
        <w:t xml:space="preserve">to aid </w:t>
      </w:r>
      <w:r w:rsidR="00D52104" w:rsidRPr="00C5505E">
        <w:t>respondents</w:t>
      </w:r>
      <w:r w:rsidRPr="00C5505E">
        <w:t xml:space="preserve"> with multiple response categories;</w:t>
      </w:r>
    </w:p>
    <w:p w:rsidR="002F7ABC" w:rsidRPr="00C5505E" w:rsidRDefault="00131B70" w:rsidP="00470C13">
      <w:pPr>
        <w:pStyle w:val="N1-1stBullet"/>
        <w:numPr>
          <w:ilvl w:val="0"/>
          <w:numId w:val="33"/>
        </w:numPr>
      </w:pPr>
      <w:r w:rsidRPr="00C5505E">
        <w:t>A</w:t>
      </w:r>
      <w:r w:rsidR="002F7ABC" w:rsidRPr="00C5505E">
        <w:t>rrangement of sectio</w:t>
      </w:r>
      <w:r w:rsidR="00384399" w:rsidRPr="00C5505E">
        <w:t xml:space="preserve">ns and questions in the </w:t>
      </w:r>
      <w:r w:rsidR="004A2068" w:rsidRPr="00C5505E">
        <w:t>PATH Study</w:t>
      </w:r>
      <w:r w:rsidR="00475C98" w:rsidRPr="00C5505E">
        <w:t xml:space="preserve"> </w:t>
      </w:r>
      <w:r w:rsidR="00C430F5" w:rsidRPr="00C5505E">
        <w:t>extended</w:t>
      </w:r>
      <w:r w:rsidR="002F7ABC" w:rsidRPr="00C5505E">
        <w:t xml:space="preserve"> interviews that will make sense to the </w:t>
      </w:r>
      <w:r w:rsidR="00D52104" w:rsidRPr="00C5505E">
        <w:t>respondents</w:t>
      </w:r>
      <w:r w:rsidR="002F7ABC" w:rsidRPr="00C5505E">
        <w:t xml:space="preserve"> and will facilitate the flow of administration from one topic area to another;</w:t>
      </w:r>
    </w:p>
    <w:p w:rsidR="002F7ABC" w:rsidRPr="00C5505E" w:rsidRDefault="002F7ABC" w:rsidP="00470C13">
      <w:pPr>
        <w:pStyle w:val="N1-1stBullet"/>
        <w:numPr>
          <w:ilvl w:val="0"/>
          <w:numId w:val="33"/>
        </w:numPr>
      </w:pPr>
      <w:r w:rsidRPr="00C5505E">
        <w:t>Use of data collectors who are bilingual in English and Spanish</w:t>
      </w:r>
      <w:r w:rsidR="00AE03A7" w:rsidRPr="00C5505E">
        <w:t xml:space="preserve">; </w:t>
      </w:r>
      <w:r w:rsidRPr="00C5505E">
        <w:t>and</w:t>
      </w:r>
    </w:p>
    <w:p w:rsidR="00BC3C01" w:rsidRPr="00C5505E" w:rsidRDefault="002F7ABC" w:rsidP="00470C13">
      <w:pPr>
        <w:pStyle w:val="N1-1stBullet"/>
        <w:numPr>
          <w:ilvl w:val="0"/>
          <w:numId w:val="33"/>
        </w:numPr>
      </w:pPr>
      <w:r w:rsidRPr="00C5505E">
        <w:t>Use of all instruments</w:t>
      </w:r>
      <w:r w:rsidR="000E28E6" w:rsidRPr="00C5505E">
        <w:t>, consent forms</w:t>
      </w:r>
      <w:r w:rsidR="004C0510">
        <w:t>,</w:t>
      </w:r>
      <w:r w:rsidR="000E28E6" w:rsidRPr="00C5505E">
        <w:t xml:space="preserve"> and other </w:t>
      </w:r>
      <w:r w:rsidR="006832DF" w:rsidRPr="00C5505E">
        <w:t xml:space="preserve">study </w:t>
      </w:r>
      <w:r w:rsidR="000E28E6" w:rsidRPr="00C5505E">
        <w:t>documents</w:t>
      </w:r>
      <w:r w:rsidRPr="00C5505E">
        <w:t xml:space="preserve"> </w:t>
      </w:r>
      <w:r w:rsidR="00EA1DB5" w:rsidRPr="00C5505E">
        <w:t xml:space="preserve">in Spanish </w:t>
      </w:r>
      <w:r w:rsidRPr="00C5505E">
        <w:t xml:space="preserve">where </w:t>
      </w:r>
      <w:r w:rsidR="00EA1DB5" w:rsidRPr="00C5505E">
        <w:t xml:space="preserve">English is not spoken </w:t>
      </w:r>
      <w:r w:rsidRPr="00C5505E">
        <w:t>or</w:t>
      </w:r>
      <w:r w:rsidR="009E6590" w:rsidRPr="00C5505E">
        <w:t xml:space="preserve"> </w:t>
      </w:r>
      <w:r w:rsidR="00C35540" w:rsidRPr="00C5505E">
        <w:t>it</w:t>
      </w:r>
      <w:r w:rsidR="009F6648" w:rsidRPr="00C5505E">
        <w:t xml:space="preserve"> is the </w:t>
      </w:r>
      <w:r w:rsidRPr="00C5505E">
        <w:t>respondent’s prefe</w:t>
      </w:r>
      <w:r w:rsidR="009F6648" w:rsidRPr="00C5505E">
        <w:t>rred language for the interview.</w:t>
      </w:r>
    </w:p>
    <w:p w:rsidR="00BC3C01" w:rsidRPr="0023016A" w:rsidRDefault="0039240A" w:rsidP="009E6590">
      <w:pPr>
        <w:pStyle w:val="L1-FlLSp12"/>
      </w:pPr>
      <w:r w:rsidRPr="00A2734E">
        <w:t xml:space="preserve">The majority of </w:t>
      </w:r>
      <w:r w:rsidR="002F7ABC" w:rsidRPr="00A2734E">
        <w:t xml:space="preserve">the </w:t>
      </w:r>
      <w:r w:rsidR="004A2068" w:rsidRPr="00A2734E">
        <w:t>PATH Study</w:t>
      </w:r>
      <w:r w:rsidR="00C430F5" w:rsidRPr="00A2734E">
        <w:t xml:space="preserve"> </w:t>
      </w:r>
      <w:r w:rsidRPr="00A2734E">
        <w:t xml:space="preserve">data will be gathered via </w:t>
      </w:r>
      <w:r w:rsidR="002F7ABC" w:rsidRPr="00A2734E">
        <w:t xml:space="preserve">computer-assisted </w:t>
      </w:r>
      <w:r w:rsidRPr="00A2734E">
        <w:t>questionnaires (i.e., CAPI or ACASI).</w:t>
      </w:r>
      <w:r w:rsidR="00BC3C01" w:rsidRPr="00A2734E">
        <w:t xml:space="preserve"> </w:t>
      </w:r>
      <w:r w:rsidR="002F7ABC" w:rsidRPr="00A2734E">
        <w:t xml:space="preserve">The </w:t>
      </w:r>
      <w:r w:rsidRPr="00A2734E">
        <w:t>adult and youth questionnaires are</w:t>
      </w:r>
      <w:r w:rsidR="002F7ABC" w:rsidRPr="00A2734E">
        <w:t xml:space="preserve"> designed </w:t>
      </w:r>
      <w:r w:rsidRPr="00A2734E">
        <w:t xml:space="preserve">with </w:t>
      </w:r>
      <w:r w:rsidR="002F7ABC" w:rsidRPr="00A2734E">
        <w:t>separate modules</w:t>
      </w:r>
      <w:r w:rsidRPr="00A2734E">
        <w:t>,</w:t>
      </w:r>
      <w:r w:rsidR="002F7ABC" w:rsidRPr="00A2734E">
        <w:t xml:space="preserve"> and all but a few sections </w:t>
      </w:r>
      <w:r w:rsidR="00F66AA5" w:rsidRPr="00A2734E">
        <w:t>have</w:t>
      </w:r>
      <w:r w:rsidR="002F7ABC" w:rsidRPr="00A2734E">
        <w:t xml:space="preserve"> lead-in questions that </w:t>
      </w:r>
      <w:r w:rsidRPr="00A2734E">
        <w:t xml:space="preserve">respondents </w:t>
      </w:r>
      <w:r w:rsidR="00F66AA5" w:rsidRPr="00A2734E">
        <w:t>can</w:t>
      </w:r>
      <w:r w:rsidR="00BC3C01" w:rsidRPr="00A2734E">
        <w:t xml:space="preserve"> </w:t>
      </w:r>
      <w:r w:rsidR="002F7ABC" w:rsidRPr="00A2734E">
        <w:t xml:space="preserve">check for relevance in order to quickly skip out of non-relevant </w:t>
      </w:r>
      <w:r w:rsidR="00352EFF" w:rsidRPr="00A2734E">
        <w:t>modules</w:t>
      </w:r>
      <w:r w:rsidR="002F7ABC" w:rsidRPr="00A2734E">
        <w:t xml:space="preserve">. This design was successfully used in </w:t>
      </w:r>
      <w:r w:rsidR="00C430F5" w:rsidRPr="00A2734E">
        <w:t>the</w:t>
      </w:r>
      <w:r w:rsidR="002F7ABC" w:rsidRPr="00A2734E">
        <w:t xml:space="preserve"> </w:t>
      </w:r>
      <w:r w:rsidR="00901CD3" w:rsidRPr="00A2734E">
        <w:t>National Epidemiologic Survey on Alcohol and Related Conditions-III (</w:t>
      </w:r>
      <w:r w:rsidR="002F7ABC" w:rsidRPr="00A2734E">
        <w:t>NESARC</w:t>
      </w:r>
      <w:r w:rsidR="00901CD3" w:rsidRPr="00A2734E">
        <w:t>)</w:t>
      </w:r>
      <w:r w:rsidR="00C430F5" w:rsidRPr="00A2734E">
        <w:t xml:space="preserve"> study (OMB #</w:t>
      </w:r>
      <w:r w:rsidR="00C5505E">
        <w:t xml:space="preserve"> </w:t>
      </w:r>
      <w:r w:rsidR="00C430F5" w:rsidRPr="00A2734E">
        <w:t>0925-0628</w:t>
      </w:r>
      <w:r w:rsidR="006B1E3A" w:rsidRPr="00A2734E">
        <w:t xml:space="preserve">, </w:t>
      </w:r>
      <w:r w:rsidR="004449DE" w:rsidRPr="00A2734E">
        <w:t>e</w:t>
      </w:r>
      <w:r w:rsidR="006B1E3A" w:rsidRPr="00A2734E">
        <w:t>xpiration date 4/30/2014</w:t>
      </w:r>
      <w:r w:rsidR="00C430F5" w:rsidRPr="00A2734E">
        <w:t>)</w:t>
      </w:r>
      <w:r w:rsidR="002F7ABC" w:rsidRPr="00A2734E">
        <w:t>. B</w:t>
      </w:r>
      <w:r w:rsidR="00C430F5" w:rsidRPr="00A2734E">
        <w:t>rief test</w:t>
      </w:r>
      <w:r w:rsidR="00F66AA5" w:rsidRPr="00A2734E">
        <w:t xml:space="preserve">s </w:t>
      </w:r>
      <w:r w:rsidR="00901CD3" w:rsidRPr="00A2734E">
        <w:t xml:space="preserve">of the </w:t>
      </w:r>
      <w:r w:rsidR="004A2068" w:rsidRPr="00A2734E">
        <w:t>PATH Study</w:t>
      </w:r>
      <w:r w:rsidR="00901CD3" w:rsidRPr="00A2734E">
        <w:t xml:space="preserve"> </w:t>
      </w:r>
      <w:r w:rsidR="006832DF">
        <w:t>instruments</w:t>
      </w:r>
      <w:r w:rsidR="00901CD3" w:rsidRPr="00A2734E">
        <w:t xml:space="preserve"> </w:t>
      </w:r>
      <w:r w:rsidR="00F66AA5" w:rsidRPr="00A2734E">
        <w:t>with</w:t>
      </w:r>
      <w:r w:rsidR="00C430F5" w:rsidRPr="00A2734E">
        <w:t xml:space="preserve"> </w:t>
      </w:r>
      <w:r w:rsidR="00F173D3" w:rsidRPr="00A2734E">
        <w:t>fewer</w:t>
      </w:r>
      <w:r w:rsidR="00C430F5" w:rsidRPr="00A2734E">
        <w:t xml:space="preserve"> than 9 individuals</w:t>
      </w:r>
      <w:r w:rsidR="00E91080">
        <w:t xml:space="preserve"> indicated that the average </w:t>
      </w:r>
      <w:r w:rsidR="00F173D3" w:rsidRPr="00A2734E">
        <w:t xml:space="preserve">adult </w:t>
      </w:r>
      <w:r w:rsidR="00E91080">
        <w:t>or</w:t>
      </w:r>
      <w:r w:rsidR="00F173D3" w:rsidRPr="00A2734E">
        <w:t xml:space="preserve"> youth respondent </w:t>
      </w:r>
      <w:r w:rsidR="00E91080">
        <w:t xml:space="preserve">answered </w:t>
      </w:r>
      <w:r w:rsidR="00F83A41" w:rsidRPr="00A2734E">
        <w:t>questions in about</w:t>
      </w:r>
      <w:r w:rsidR="002F7ABC" w:rsidRPr="00A2734E">
        <w:t xml:space="preserve"> one-third of the total number of </w:t>
      </w:r>
      <w:r w:rsidR="00F83A41" w:rsidRPr="00A2734E">
        <w:t>sections</w:t>
      </w:r>
      <w:r w:rsidR="00F173D3" w:rsidRPr="00A2734E">
        <w:t xml:space="preserve"> in </w:t>
      </w:r>
      <w:r w:rsidR="00E91080">
        <w:t xml:space="preserve">the adult or youth instrument, respectively. </w:t>
      </w:r>
      <w:r w:rsidR="002F7ABC" w:rsidRPr="00A2734E">
        <w:t>Further, within each</w:t>
      </w:r>
      <w:r w:rsidR="00F7015D" w:rsidRPr="00A2734E">
        <w:t xml:space="preserve"> </w:t>
      </w:r>
      <w:r w:rsidR="00E91080">
        <w:t>instrument</w:t>
      </w:r>
      <w:r w:rsidR="002F7ABC" w:rsidRPr="00A2734E">
        <w:t xml:space="preserve">, </w:t>
      </w:r>
      <w:r w:rsidR="00F66AA5" w:rsidRPr="00A2734E">
        <w:t>about</w:t>
      </w:r>
      <w:r w:rsidR="002F7ABC" w:rsidRPr="00A2734E">
        <w:t xml:space="preserve"> one-third of the associated questions </w:t>
      </w:r>
      <w:r w:rsidR="00F173D3" w:rsidRPr="00A2734E">
        <w:t>were</w:t>
      </w:r>
      <w:r w:rsidR="002F7ABC" w:rsidRPr="00A2734E">
        <w:t xml:space="preserve"> applicable to any particular respondent, leaving two-thirds inapplicable and</w:t>
      </w:r>
      <w:r w:rsidR="00CE05DD" w:rsidRPr="00A2734E">
        <w:t>,</w:t>
      </w:r>
      <w:r w:rsidR="002F7ABC" w:rsidRPr="00A2734E">
        <w:t xml:space="preserve"> therefore</w:t>
      </w:r>
      <w:r w:rsidR="00CE05DD" w:rsidRPr="00A2734E">
        <w:t>,</w:t>
      </w:r>
      <w:r w:rsidR="002F7ABC" w:rsidRPr="00A2734E">
        <w:t xml:space="preserve"> </w:t>
      </w:r>
      <w:r w:rsidR="00F66AA5" w:rsidRPr="00A2734E">
        <w:t>requiring no answer from</w:t>
      </w:r>
      <w:r w:rsidR="00F7015D" w:rsidRPr="00A2734E">
        <w:t xml:space="preserve"> either </w:t>
      </w:r>
      <w:r w:rsidR="00F66AA5" w:rsidRPr="00A2734E">
        <w:t>the</w:t>
      </w:r>
      <w:r w:rsidR="00F7015D" w:rsidRPr="00A2734E">
        <w:t xml:space="preserve"> adult or youth respondent</w:t>
      </w:r>
      <w:r w:rsidR="00F66AA5" w:rsidRPr="00A2734E">
        <w:t xml:space="preserve"> </w:t>
      </w:r>
      <w:r w:rsidR="00E91080">
        <w:t>taking the respective interview.</w:t>
      </w:r>
    </w:p>
    <w:p w:rsidR="00814F40" w:rsidRDefault="00814F40" w:rsidP="00EC15A1">
      <w:pPr>
        <w:pStyle w:val="L1-FlLSp12"/>
      </w:pPr>
    </w:p>
    <w:p w:rsidR="00EC15A1" w:rsidRPr="00EC15A1" w:rsidRDefault="00EC15A1" w:rsidP="00EC15A1">
      <w:pPr>
        <w:pStyle w:val="L1-FlLSp12"/>
      </w:pPr>
    </w:p>
    <w:p w:rsidR="002F7ABC" w:rsidRPr="00A2734E" w:rsidRDefault="002F7ABC" w:rsidP="009E6590">
      <w:pPr>
        <w:pStyle w:val="Heading2"/>
      </w:pPr>
      <w:r w:rsidRPr="00A2734E">
        <w:t>A.4</w:t>
      </w:r>
      <w:r w:rsidRPr="00A2734E">
        <w:tab/>
        <w:t>Efforts to Identify Duplication and Use of Similar Information</w:t>
      </w:r>
    </w:p>
    <w:p w:rsidR="00A074C4" w:rsidRDefault="000E0414" w:rsidP="004949CC">
      <w:pPr>
        <w:pStyle w:val="L1-FlLSp12"/>
      </w:pPr>
      <w:r w:rsidRPr="00236D34">
        <w:t xml:space="preserve">Tobacco-related data collections supported by the Federal government and </w:t>
      </w:r>
      <w:r w:rsidR="00280B09">
        <w:t>reviewed by</w:t>
      </w:r>
      <w:r w:rsidRPr="00236D34">
        <w:t xml:space="preserve"> OMB </w:t>
      </w:r>
      <w:r w:rsidR="00280B09">
        <w:t xml:space="preserve">seek to harmonize their efforts </w:t>
      </w:r>
      <w:r w:rsidRPr="00236D34">
        <w:t xml:space="preserve">to assure they maximize the utility of data collected, minimize burden on participants, and comply with HHS standards. NIH and FDA </w:t>
      </w:r>
      <w:r w:rsidR="00280B09">
        <w:t xml:space="preserve">coordinate </w:t>
      </w:r>
      <w:r w:rsidR="00F763E3" w:rsidRPr="00236D34">
        <w:t xml:space="preserve">with the Assistant Secretary for Planning and Evaluation (ASPE) at HHS </w:t>
      </w:r>
      <w:r w:rsidR="00280B09">
        <w:t xml:space="preserve">in an effort </w:t>
      </w:r>
      <w:r w:rsidR="00F763E3" w:rsidRPr="00236D34">
        <w:t xml:space="preserve">to facilitate </w:t>
      </w:r>
      <w:r w:rsidR="00280B09">
        <w:t>the harmonization of existing questions and the reduction of any redundancy that may exist across</w:t>
      </w:r>
      <w:r w:rsidR="00F42B6E" w:rsidRPr="00236D34">
        <w:t xml:space="preserve"> </w:t>
      </w:r>
      <w:r w:rsidRPr="00236D34">
        <w:t>tobacco-related data-collection efforts.</w:t>
      </w:r>
      <w:r w:rsidR="009E6590" w:rsidRPr="00236D34">
        <w:t xml:space="preserve"> </w:t>
      </w:r>
      <w:r w:rsidRPr="00236D34">
        <w:t xml:space="preserve">From a feasibility perspective, </w:t>
      </w:r>
      <w:r w:rsidR="004D008E">
        <w:t xml:space="preserve">requirements of the TCA give priority to the PATH Study </w:t>
      </w:r>
      <w:r w:rsidR="000348A2">
        <w:t>for</w:t>
      </w:r>
      <w:r w:rsidR="004D008E">
        <w:t xml:space="preserve"> ensuring its collected research data are relevant to FDA’s </w:t>
      </w:r>
      <w:r w:rsidRPr="00236D34">
        <w:t xml:space="preserve">regulatory </w:t>
      </w:r>
      <w:r w:rsidR="004D008E">
        <w:t>mission regarding</w:t>
      </w:r>
      <w:r w:rsidRPr="00236D34">
        <w:t xml:space="preserve"> the manufacture, marketing, and distribution of tobacco products. </w:t>
      </w:r>
      <w:r w:rsidR="00F26355" w:rsidRPr="004949CC">
        <w:t xml:space="preserve">Consequently, within the limits and authorities of the TCA, the PATH Study has flexibility to integrate the data-collection needs of other HHS </w:t>
      </w:r>
      <w:proofErr w:type="gramStart"/>
      <w:r w:rsidR="00F26355" w:rsidRPr="004949CC">
        <w:t>agencies ,</w:t>
      </w:r>
      <w:proofErr w:type="gramEnd"/>
      <w:r w:rsidR="00F26355" w:rsidRPr="004949CC">
        <w:t xml:space="preserve"> such as the CDC, by including questionnaire items and priority measures of shared interest.</w:t>
      </w:r>
    </w:p>
    <w:p w:rsidR="00F42B6E" w:rsidRPr="0013111F" w:rsidRDefault="00F42B6E" w:rsidP="0090540D">
      <w:pPr>
        <w:pStyle w:val="L1-FlLSp12"/>
      </w:pPr>
    </w:p>
    <w:p w:rsidR="0090540D" w:rsidRPr="00236D34" w:rsidRDefault="0090540D" w:rsidP="0090540D">
      <w:pPr>
        <w:pStyle w:val="L1-FlLSp12"/>
      </w:pPr>
      <w:r w:rsidRPr="00236D34">
        <w:lastRenderedPageBreak/>
        <w:t xml:space="preserve">The PATH Study </w:t>
      </w:r>
      <w:r w:rsidR="00604C49" w:rsidRPr="00236D34">
        <w:t xml:space="preserve">design </w:t>
      </w:r>
      <w:r w:rsidR="00F42B6E" w:rsidRPr="00236D34">
        <w:t>is intended for</w:t>
      </w:r>
      <w:r w:rsidR="00604C49" w:rsidRPr="00236D34">
        <w:t xml:space="preserve"> </w:t>
      </w:r>
      <w:r w:rsidR="00B502D0" w:rsidRPr="00236D34">
        <w:t xml:space="preserve">examining </w:t>
      </w:r>
      <w:r w:rsidR="00A52B9F" w:rsidRPr="00236D34">
        <w:t xml:space="preserve">between-person differences and within-person changes in </w:t>
      </w:r>
      <w:r w:rsidR="00F74015" w:rsidRPr="00236D34">
        <w:t>tobacco use behavior</w:t>
      </w:r>
      <w:r w:rsidR="006A0A29" w:rsidRPr="00236D34">
        <w:t>, exposure,</w:t>
      </w:r>
      <w:r w:rsidR="00F74015" w:rsidRPr="00236D34">
        <w:t xml:space="preserve"> and</w:t>
      </w:r>
      <w:r w:rsidR="006A0A29" w:rsidRPr="00236D34">
        <w:t xml:space="preserve"> disease processes</w:t>
      </w:r>
      <w:r w:rsidR="00F74015" w:rsidRPr="00236D34">
        <w:t xml:space="preserve"> for a full range of new and emerging tobacco products</w:t>
      </w:r>
      <w:r w:rsidR="00A52B9F" w:rsidRPr="00236D34">
        <w:t>.</w:t>
      </w:r>
      <w:r w:rsidRPr="00236D34">
        <w:t xml:space="preserve"> </w:t>
      </w:r>
      <w:r w:rsidR="00A52B9F" w:rsidRPr="00236D34">
        <w:t>Its</w:t>
      </w:r>
      <w:r w:rsidR="00F74015" w:rsidRPr="00236D34">
        <w:t xml:space="preserve"> </w:t>
      </w:r>
      <w:r w:rsidRPr="00236D34">
        <w:t xml:space="preserve">nationally representative prospective-cohort </w:t>
      </w:r>
      <w:r w:rsidR="00F74015" w:rsidRPr="00236D34">
        <w:t xml:space="preserve">design was </w:t>
      </w:r>
      <w:r w:rsidR="0095447B" w:rsidRPr="00236D34">
        <w:t xml:space="preserve">chosen for </w:t>
      </w:r>
      <w:r w:rsidR="00604C49" w:rsidRPr="00236D34">
        <w:t>this purpose</w:t>
      </w:r>
      <w:r w:rsidR="00A52B9F" w:rsidRPr="00236D34">
        <w:t xml:space="preserve"> because it is</w:t>
      </w:r>
      <w:r w:rsidR="00604C49" w:rsidRPr="00236D34">
        <w:t xml:space="preserve"> </w:t>
      </w:r>
      <w:r w:rsidR="0095447B" w:rsidRPr="00236D34">
        <w:t xml:space="preserve">the gold standard for </w:t>
      </w:r>
      <w:r w:rsidRPr="00236D34">
        <w:t>generat</w:t>
      </w:r>
      <w:r w:rsidR="0095447B" w:rsidRPr="00236D34">
        <w:t>ing</w:t>
      </w:r>
      <w:r w:rsidRPr="00236D34">
        <w:t xml:space="preserve"> </w:t>
      </w:r>
      <w:r w:rsidR="00604C49" w:rsidRPr="00236D34">
        <w:t xml:space="preserve">epidemiological data </w:t>
      </w:r>
      <w:r w:rsidRPr="00236D34">
        <w:t>on population trends and within-person changes</w:t>
      </w:r>
      <w:r w:rsidR="00604C49" w:rsidRPr="00236D34">
        <w:t xml:space="preserve"> </w:t>
      </w:r>
      <w:r w:rsidRPr="00236D34">
        <w:t>in tobacco-use behaviors</w:t>
      </w:r>
      <w:r w:rsidR="00604C49" w:rsidRPr="00236D34">
        <w:t xml:space="preserve"> and tobacco-related</w:t>
      </w:r>
      <w:r w:rsidRPr="00236D34">
        <w:t xml:space="preserve"> knowledge, attitudes, perceptions, biomarkers of exposure and harm, and </w:t>
      </w:r>
      <w:r w:rsidR="00A52B9F" w:rsidRPr="00236D34">
        <w:t xml:space="preserve">tobacco-related </w:t>
      </w:r>
      <w:r w:rsidRPr="00236D34">
        <w:t>health conditions.</w:t>
      </w:r>
    </w:p>
    <w:p w:rsidR="00081883" w:rsidRPr="001752D4" w:rsidRDefault="00081883" w:rsidP="0090540D">
      <w:pPr>
        <w:pStyle w:val="L1-FlLSp12"/>
        <w:rPr>
          <w:highlight w:val="yellow"/>
        </w:rPr>
      </w:pPr>
    </w:p>
    <w:p w:rsidR="00AC2E44" w:rsidRDefault="00081883" w:rsidP="0090540D">
      <w:pPr>
        <w:pStyle w:val="L1-FlLSp12"/>
      </w:pPr>
      <w:r w:rsidRPr="00236D34">
        <w:t>There are national surveillance surveys on tobacco use in the U.S. (</w:t>
      </w:r>
      <w:r w:rsidRPr="00A3143D">
        <w:t xml:space="preserve">see </w:t>
      </w:r>
      <w:r w:rsidRPr="0023016A">
        <w:t>Attachment</w:t>
      </w:r>
      <w:r w:rsidRPr="00236D34">
        <w:t xml:space="preserve"> 8). Key features of the PATH Study distinguish it from tobacco-specific surveillance surveys, as described below.</w:t>
      </w:r>
    </w:p>
    <w:p w:rsidR="0090540D" w:rsidRDefault="0090540D" w:rsidP="00BC3C01">
      <w:pPr>
        <w:pStyle w:val="L1-FlLSp12"/>
      </w:pPr>
    </w:p>
    <w:p w:rsidR="00B65387" w:rsidRPr="00236D34" w:rsidRDefault="00BF2E1F" w:rsidP="00B65387">
      <w:pPr>
        <w:pStyle w:val="L1-FlLSp12"/>
      </w:pPr>
      <w:proofErr w:type="gramStart"/>
      <w:r w:rsidRPr="00236D34">
        <w:rPr>
          <w:b/>
        </w:rPr>
        <w:t>Tobacco Surveys and the PATH Study.</w:t>
      </w:r>
      <w:proofErr w:type="gramEnd"/>
      <w:r w:rsidRPr="00236D34">
        <w:rPr>
          <w:b/>
        </w:rPr>
        <w:t xml:space="preserve"> </w:t>
      </w:r>
      <w:r w:rsidR="00B65387" w:rsidRPr="00236D34">
        <w:t xml:space="preserve">The PATH Study's unique features distinguish it from tobacco surveillance surveys, such as the </w:t>
      </w:r>
      <w:r w:rsidR="00952F5F">
        <w:t>TUS-CPS</w:t>
      </w:r>
      <w:r w:rsidR="00B65387" w:rsidRPr="00236D34">
        <w:t xml:space="preserve">, NYTS, and NATS. For example, the PATH Study, as a longitudinal cohort study, is designed for research purposes rather than to provide cross-sectional prevalence and incidence estimates. Its population-based behavioral and </w:t>
      </w:r>
      <w:proofErr w:type="spellStart"/>
      <w:r w:rsidR="00B65387" w:rsidRPr="00236D34">
        <w:t>biospecimen</w:t>
      </w:r>
      <w:proofErr w:type="spellEnd"/>
      <w:r w:rsidR="00B65387" w:rsidRPr="00236D34">
        <w:t xml:space="preserve"> data collection will support the generation and testing of research hypotheses over time, such as relationships between tobacco use-related risk perceptions, attitudes, behaviors, and associated markers of tobacco exposure and potential disease processes. As such, the PATH Study will provide a rich source of contemporary research data that, in conjunction with data from existing surveillance surveys, will help inform FDA's regulatory decision making and actions. For additional information on the PATH Study and on </w:t>
      </w:r>
      <w:r w:rsidR="00B65387">
        <w:t xml:space="preserve">cross-sectional </w:t>
      </w:r>
      <w:r w:rsidR="00B65387" w:rsidRPr="00236D34">
        <w:t>surveillance surveys on tobacco use,</w:t>
      </w:r>
      <w:r w:rsidR="00B65387">
        <w:t xml:space="preserve"> </w:t>
      </w:r>
      <w:r w:rsidR="00B65387" w:rsidRPr="00236D34">
        <w:t xml:space="preserve">see </w:t>
      </w:r>
      <w:r w:rsidR="00B65387" w:rsidRPr="0023016A">
        <w:t>Attachment</w:t>
      </w:r>
      <w:r w:rsidR="00B65387" w:rsidRPr="00236D34">
        <w:t xml:space="preserve"> 8.</w:t>
      </w:r>
    </w:p>
    <w:p w:rsidR="00D62470" w:rsidRPr="00236D34" w:rsidRDefault="00D62470" w:rsidP="00BF2E1F">
      <w:pPr>
        <w:pStyle w:val="L1-FlLSp12"/>
      </w:pPr>
    </w:p>
    <w:p w:rsidR="00BF2E1F" w:rsidRPr="00236D34" w:rsidRDefault="00D62470" w:rsidP="00BF2E1F">
      <w:pPr>
        <w:pStyle w:val="L1-FlLSp12"/>
      </w:pPr>
      <w:r>
        <w:t>In addition, as</w:t>
      </w:r>
      <w:r w:rsidR="00BF2E1F" w:rsidRPr="00236D34">
        <w:t xml:space="preserve"> pointed out in A.2b, some items in the PATH Study questionnaires were selected because they harmonize with items in national surveys of tobacco use. For example, items for commonly-used tobacco products in the PATH Study have been adapted from the </w:t>
      </w:r>
      <w:r w:rsidR="00440252" w:rsidRPr="00236D34">
        <w:t>TUS-CPS</w:t>
      </w:r>
      <w:r w:rsidR="00BF2E1F" w:rsidRPr="00236D34">
        <w:t xml:space="preserve">. Some items in the PATH Study Youth Questionnaire have been adapted from the NYTS. A major difference between these studies and the PATH Study, however, is the PATH Study’s capacity to replace questionnaire items between data waves to collect time-sensitive data about new and emerging product-use behaviors; this is one of the priority objectives of the PATH Study, i.e., to identify </w:t>
      </w:r>
      <w:r w:rsidR="00277CA4" w:rsidRPr="00236D34">
        <w:t xml:space="preserve">and examine between-person differences and </w:t>
      </w:r>
      <w:r w:rsidR="00BF2E1F" w:rsidRPr="00236D34">
        <w:t xml:space="preserve">within-person changes </w:t>
      </w:r>
      <w:r w:rsidR="00277CA4" w:rsidRPr="00236D34">
        <w:t>over time relative to the use of n</w:t>
      </w:r>
      <w:r w:rsidR="00BF2E1F" w:rsidRPr="00236D34">
        <w:t>ew and emerging types and brands of tobacco products.</w:t>
      </w:r>
    </w:p>
    <w:p w:rsidR="00BF2E1F" w:rsidRPr="00236D34" w:rsidRDefault="00BF2E1F" w:rsidP="00BF2E1F">
      <w:pPr>
        <w:pStyle w:val="L1-FlLSp12"/>
      </w:pPr>
    </w:p>
    <w:p w:rsidR="00A074C4" w:rsidRDefault="00901CD3" w:rsidP="00BC3C01">
      <w:pPr>
        <w:pStyle w:val="L1-FlLSp12"/>
        <w:rPr>
          <w:color w:val="000000"/>
          <w:szCs w:val="24"/>
        </w:rPr>
      </w:pPr>
      <w:proofErr w:type="gramStart"/>
      <w:r w:rsidRPr="00236D34">
        <w:rPr>
          <w:b/>
          <w:szCs w:val="24"/>
        </w:rPr>
        <w:t>Longitudinal Design.</w:t>
      </w:r>
      <w:proofErr w:type="gramEnd"/>
      <w:r w:rsidR="00BC3C01" w:rsidRPr="00236D34">
        <w:rPr>
          <w:b/>
          <w:szCs w:val="24"/>
        </w:rPr>
        <w:t xml:space="preserve"> </w:t>
      </w:r>
      <w:r w:rsidRPr="00236D34">
        <w:rPr>
          <w:szCs w:val="24"/>
        </w:rPr>
        <w:t>The</w:t>
      </w:r>
      <w:r w:rsidRPr="00236D34">
        <w:rPr>
          <w:b/>
          <w:szCs w:val="24"/>
        </w:rPr>
        <w:t xml:space="preserve"> </w:t>
      </w:r>
      <w:r w:rsidR="004A2068" w:rsidRPr="00236D34">
        <w:rPr>
          <w:szCs w:val="24"/>
        </w:rPr>
        <w:t>PATH Study</w:t>
      </w:r>
      <w:r w:rsidRPr="00236D34">
        <w:rPr>
          <w:szCs w:val="24"/>
        </w:rPr>
        <w:t>’s longitudinal design</w:t>
      </w:r>
      <w:r w:rsidR="00E1168A" w:rsidRPr="00236D34">
        <w:rPr>
          <w:szCs w:val="24"/>
        </w:rPr>
        <w:t xml:space="preserve"> gives it the capacity to generate data on between-person differences and within-person changes in tobacco-use behaviors, attitudes and risk perceptions, biomarkers of harm associated with tobacco use, and related health outcomes over the lifespan. This is important for understanding factors associated with the uptake of new products, in product switching, in poly tobacco use, and in cessation and relapse</w:t>
      </w:r>
      <w:r w:rsidR="00420CFB">
        <w:rPr>
          <w:szCs w:val="24"/>
        </w:rPr>
        <w:t xml:space="preserve"> among the same individuals </w:t>
      </w:r>
      <w:r w:rsidR="00420CFB">
        <w:rPr>
          <w:szCs w:val="24"/>
        </w:rPr>
        <w:lastRenderedPageBreak/>
        <w:t>followed over time</w:t>
      </w:r>
      <w:r w:rsidR="00E1168A" w:rsidRPr="00236D34">
        <w:rPr>
          <w:szCs w:val="24"/>
        </w:rPr>
        <w:t>. By contrast, c</w:t>
      </w:r>
      <w:r w:rsidR="00E1168A" w:rsidRPr="00236D34">
        <w:rPr>
          <w:color w:val="000000"/>
          <w:szCs w:val="24"/>
        </w:rPr>
        <w:t xml:space="preserve">ross-sectional surveillance surveys such as NYTS, NATS, and TUS-CPS are </w:t>
      </w:r>
      <w:r w:rsidR="008568CA">
        <w:rPr>
          <w:color w:val="000000"/>
          <w:szCs w:val="24"/>
        </w:rPr>
        <w:t xml:space="preserve">primarily </w:t>
      </w:r>
      <w:r w:rsidR="00E1168A" w:rsidRPr="00236D34">
        <w:rPr>
          <w:color w:val="000000"/>
          <w:szCs w:val="24"/>
        </w:rPr>
        <w:t>designed</w:t>
      </w:r>
      <w:r w:rsidR="00A074C4">
        <w:rPr>
          <w:color w:val="000000"/>
          <w:szCs w:val="24"/>
        </w:rPr>
        <w:t xml:space="preserve"> </w:t>
      </w:r>
      <w:r w:rsidR="00E1168A" w:rsidRPr="00236D34">
        <w:rPr>
          <w:color w:val="000000"/>
          <w:szCs w:val="24"/>
        </w:rPr>
        <w:t xml:space="preserve">to generate representative “snapshots” of the </w:t>
      </w:r>
      <w:r w:rsidR="00420CFB">
        <w:rPr>
          <w:color w:val="000000"/>
          <w:szCs w:val="24"/>
        </w:rPr>
        <w:t xml:space="preserve">prevalence of given behaviors or conditions in the </w:t>
      </w:r>
      <w:r w:rsidR="00E1168A" w:rsidRPr="00236D34">
        <w:rPr>
          <w:color w:val="000000"/>
          <w:szCs w:val="24"/>
        </w:rPr>
        <w:t xml:space="preserve">U.S. population at a </w:t>
      </w:r>
      <w:r w:rsidR="00420CFB">
        <w:rPr>
          <w:color w:val="000000"/>
          <w:szCs w:val="24"/>
        </w:rPr>
        <w:t xml:space="preserve">specific </w:t>
      </w:r>
      <w:r w:rsidR="00E1168A" w:rsidRPr="00236D34">
        <w:rPr>
          <w:color w:val="000000"/>
          <w:szCs w:val="24"/>
        </w:rPr>
        <w:t>point in time</w:t>
      </w:r>
      <w:r w:rsidR="008568CA">
        <w:rPr>
          <w:color w:val="000000"/>
          <w:szCs w:val="24"/>
        </w:rPr>
        <w:t>.</w:t>
      </w:r>
    </w:p>
    <w:p w:rsidR="00C75979" w:rsidRPr="00236D34" w:rsidRDefault="00901CD3" w:rsidP="00C75979">
      <w:pPr>
        <w:pStyle w:val="L1-FlLSp12"/>
        <w:rPr>
          <w:szCs w:val="24"/>
        </w:rPr>
      </w:pPr>
      <w:r w:rsidRPr="00236D34">
        <w:t xml:space="preserve">The </w:t>
      </w:r>
      <w:r w:rsidR="004A2068" w:rsidRPr="00236D34">
        <w:t>PATH Study</w:t>
      </w:r>
      <w:r w:rsidR="00C13C93" w:rsidRPr="00236D34">
        <w:t xml:space="preserve">’s </w:t>
      </w:r>
      <w:r w:rsidR="00C75979" w:rsidRPr="00236D34">
        <w:rPr>
          <w:szCs w:val="24"/>
        </w:rPr>
        <w:t xml:space="preserve">probability-based </w:t>
      </w:r>
      <w:r w:rsidR="009F0DD0">
        <w:rPr>
          <w:szCs w:val="24"/>
        </w:rPr>
        <w:t xml:space="preserve">baseline </w:t>
      </w:r>
      <w:r w:rsidR="00C75979" w:rsidRPr="00236D34" w:rsidDel="00C87797">
        <w:rPr>
          <w:szCs w:val="24"/>
        </w:rPr>
        <w:t>sample (</w:t>
      </w:r>
      <w:r w:rsidR="00C75979" w:rsidRPr="00236D34">
        <w:rPr>
          <w:i/>
          <w:szCs w:val="24"/>
        </w:rPr>
        <w:t>n</w:t>
      </w:r>
      <w:r w:rsidR="00C75979" w:rsidRPr="00236D34" w:rsidDel="00C87797">
        <w:rPr>
          <w:szCs w:val="24"/>
        </w:rPr>
        <w:t>=</w:t>
      </w:r>
      <w:r w:rsidR="009D5239">
        <w:rPr>
          <w:szCs w:val="24"/>
        </w:rPr>
        <w:t>45,675</w:t>
      </w:r>
      <w:r w:rsidR="00C75979" w:rsidRPr="00236D34" w:rsidDel="00C87797">
        <w:rPr>
          <w:szCs w:val="24"/>
        </w:rPr>
        <w:t xml:space="preserve">) </w:t>
      </w:r>
      <w:r w:rsidR="00C75979" w:rsidRPr="00236D34">
        <w:rPr>
          <w:szCs w:val="24"/>
        </w:rPr>
        <w:t xml:space="preserve">is sufficiently large to generate data on between-person differences and within-person changes in use of the full-range of </w:t>
      </w:r>
      <w:r w:rsidR="00C75979" w:rsidRPr="00236D34" w:rsidDel="00C87797">
        <w:rPr>
          <w:szCs w:val="24"/>
        </w:rPr>
        <w:t>tobacco</w:t>
      </w:r>
      <w:r w:rsidR="00C75979" w:rsidRPr="00236D34">
        <w:rPr>
          <w:szCs w:val="24"/>
        </w:rPr>
        <w:t xml:space="preserve"> products</w:t>
      </w:r>
      <w:r w:rsidR="00C75979" w:rsidRPr="00236D34" w:rsidDel="00C87797">
        <w:rPr>
          <w:szCs w:val="24"/>
        </w:rPr>
        <w:t xml:space="preserve"> (especially of</w:t>
      </w:r>
      <w:r w:rsidR="00C75979" w:rsidRPr="00236D34">
        <w:rPr>
          <w:szCs w:val="24"/>
        </w:rPr>
        <w:t xml:space="preserve"> </w:t>
      </w:r>
      <w:r w:rsidR="00C75979" w:rsidRPr="00236D34" w:rsidDel="00C87797">
        <w:rPr>
          <w:szCs w:val="24"/>
        </w:rPr>
        <w:t>emerging products)</w:t>
      </w:r>
      <w:r w:rsidR="00FA3CBE">
        <w:rPr>
          <w:szCs w:val="24"/>
        </w:rPr>
        <w:t xml:space="preserve">. Although as a </w:t>
      </w:r>
      <w:r w:rsidR="00001425" w:rsidRPr="00420CFB">
        <w:rPr>
          <w:szCs w:val="24"/>
        </w:rPr>
        <w:t>longitudinal stud</w:t>
      </w:r>
      <w:r w:rsidR="00FA3CBE">
        <w:rPr>
          <w:szCs w:val="24"/>
        </w:rPr>
        <w:t>y</w:t>
      </w:r>
      <w:r w:rsidR="00001425">
        <w:rPr>
          <w:szCs w:val="24"/>
        </w:rPr>
        <w:t xml:space="preserve"> the PATH Study </w:t>
      </w:r>
      <w:r w:rsidR="00FA3CBE">
        <w:rPr>
          <w:szCs w:val="24"/>
        </w:rPr>
        <w:t>may become less</w:t>
      </w:r>
      <w:r w:rsidR="00001425" w:rsidRPr="00420CFB">
        <w:rPr>
          <w:szCs w:val="24"/>
        </w:rPr>
        <w:t xml:space="preserve"> representative</w:t>
      </w:r>
      <w:r w:rsidR="00FA3CBE">
        <w:rPr>
          <w:szCs w:val="24"/>
        </w:rPr>
        <w:t xml:space="preserve"> with time, </w:t>
      </w:r>
      <w:r w:rsidR="00001425" w:rsidRPr="00420CFB">
        <w:rPr>
          <w:szCs w:val="24"/>
        </w:rPr>
        <w:t>especially in the absence of cohort refreshment</w:t>
      </w:r>
      <w:r w:rsidR="00FA3CBE">
        <w:rPr>
          <w:szCs w:val="24"/>
        </w:rPr>
        <w:t xml:space="preserve">, its data will provide an important resources for understanding </w:t>
      </w:r>
      <w:r w:rsidR="00C75979" w:rsidRPr="00236D34">
        <w:rPr>
          <w:szCs w:val="24"/>
        </w:rPr>
        <w:t xml:space="preserve">attitudes and risk perceptions, biomarkers of </w:t>
      </w:r>
      <w:r w:rsidR="00E9738D">
        <w:rPr>
          <w:szCs w:val="24"/>
        </w:rPr>
        <w:t xml:space="preserve">exposure and </w:t>
      </w:r>
      <w:r w:rsidR="00C75979" w:rsidRPr="00236D34">
        <w:rPr>
          <w:szCs w:val="24"/>
        </w:rPr>
        <w:t>harm associated with tobacco use, tobacco dependence, and tobacco use-related health outcomes over the lifespan</w:t>
      </w:r>
      <w:r w:rsidR="00FA3CBE">
        <w:rPr>
          <w:szCs w:val="24"/>
        </w:rPr>
        <w:t xml:space="preserve"> of the cohort</w:t>
      </w:r>
      <w:r w:rsidR="00C75979" w:rsidRPr="00236D34">
        <w:rPr>
          <w:szCs w:val="24"/>
        </w:rPr>
        <w:t>. It will also permit estimates for given subgroups, such as non-cigarette tobacco users, or by subgroup characteristics, such as by race, ethnicity, gender, pregnancy status, or co-occurring health disorder</w:t>
      </w:r>
      <w:r w:rsidR="000E786C">
        <w:rPr>
          <w:szCs w:val="24"/>
        </w:rPr>
        <w:t xml:space="preserve">. </w:t>
      </w:r>
      <w:r w:rsidR="00AC64CA">
        <w:rPr>
          <w:szCs w:val="24"/>
        </w:rPr>
        <w:t>Additionally</w:t>
      </w:r>
      <w:r w:rsidR="00C75979" w:rsidRPr="00236D34">
        <w:rPr>
          <w:szCs w:val="24"/>
        </w:rPr>
        <w:t>, the PATH Study will oversample</w:t>
      </w:r>
      <w:r w:rsidR="00C75979" w:rsidRPr="00236D34" w:rsidDel="00C87797">
        <w:rPr>
          <w:szCs w:val="24"/>
        </w:rPr>
        <w:t xml:space="preserve"> Blacks</w:t>
      </w:r>
      <w:r w:rsidR="00C75979" w:rsidRPr="00236D34">
        <w:rPr>
          <w:szCs w:val="24"/>
        </w:rPr>
        <w:t xml:space="preserve">/African Americans to </w:t>
      </w:r>
      <w:r w:rsidR="004C57EF">
        <w:rPr>
          <w:szCs w:val="24"/>
        </w:rPr>
        <w:t>increase the sample size</w:t>
      </w:r>
      <w:r w:rsidR="00C75979" w:rsidRPr="00236D34">
        <w:rPr>
          <w:szCs w:val="24"/>
        </w:rPr>
        <w:t xml:space="preserve"> of </w:t>
      </w:r>
      <w:r w:rsidR="00D0413D">
        <w:rPr>
          <w:szCs w:val="24"/>
        </w:rPr>
        <w:t>menthol smokers</w:t>
      </w:r>
      <w:r w:rsidR="00C40EE5">
        <w:rPr>
          <w:rStyle w:val="FootnoteReference"/>
          <w:szCs w:val="24"/>
        </w:rPr>
        <w:footnoteReference w:id="3"/>
      </w:r>
      <w:r w:rsidR="00C75979" w:rsidRPr="00236D34">
        <w:rPr>
          <w:szCs w:val="24"/>
        </w:rPr>
        <w:t xml:space="preserve"> for </w:t>
      </w:r>
      <w:r w:rsidR="00C75979" w:rsidRPr="00236D34" w:rsidDel="00C87797">
        <w:rPr>
          <w:szCs w:val="24"/>
        </w:rPr>
        <w:t>statistical analyses.</w:t>
      </w:r>
    </w:p>
    <w:p w:rsidR="00A01C08" w:rsidRDefault="00A01C08" w:rsidP="00BC3C01">
      <w:pPr>
        <w:pStyle w:val="L1-FlLSp12"/>
      </w:pPr>
    </w:p>
    <w:p w:rsidR="00901CD3" w:rsidRDefault="00C75979" w:rsidP="00BC3C01">
      <w:pPr>
        <w:pStyle w:val="L1-FlLSp12"/>
      </w:pPr>
      <w:r w:rsidRPr="00236D34">
        <w:t xml:space="preserve">As a longitudinal cohort study, </w:t>
      </w:r>
      <w:r w:rsidR="00435646" w:rsidRPr="00236D34">
        <w:t xml:space="preserve">the PATH Study has </w:t>
      </w:r>
      <w:r w:rsidR="00901CD3" w:rsidRPr="00236D34">
        <w:t>the capability to follow youth as they age into young adulthood.</w:t>
      </w:r>
      <w:r w:rsidR="00BC3C01" w:rsidRPr="00236D34">
        <w:t xml:space="preserve"> </w:t>
      </w:r>
      <w:r w:rsidR="00901CD3" w:rsidRPr="00236D34">
        <w:t>Th</w:t>
      </w:r>
      <w:r w:rsidR="00D82284" w:rsidRPr="00236D34">
        <w:t xml:space="preserve">is places the PATH Study </w:t>
      </w:r>
      <w:r w:rsidR="000B28F6" w:rsidRPr="00236D34">
        <w:t xml:space="preserve">in </w:t>
      </w:r>
      <w:r w:rsidR="00647BAE">
        <w:t xml:space="preserve">a </w:t>
      </w:r>
      <w:r w:rsidR="000B28F6" w:rsidRPr="00236D34">
        <w:t xml:space="preserve">position to assess </w:t>
      </w:r>
      <w:r w:rsidR="00435646" w:rsidRPr="00236D34">
        <w:t xml:space="preserve">between-person differences and </w:t>
      </w:r>
      <w:r w:rsidR="000B28F6" w:rsidRPr="00236D34">
        <w:t>within-person changes over the life course, from youth to adolescence</w:t>
      </w:r>
      <w:r w:rsidR="00757F87" w:rsidRPr="00236D34">
        <w:t>, y</w:t>
      </w:r>
      <w:r w:rsidR="000B28F6" w:rsidRPr="00236D34">
        <w:t>oung adulthood</w:t>
      </w:r>
      <w:r w:rsidR="00757F87" w:rsidRPr="00236D34">
        <w:t>, and</w:t>
      </w:r>
      <w:r w:rsidR="000B28F6" w:rsidRPr="00236D34">
        <w:t xml:space="preserve"> adulthood, to </w:t>
      </w:r>
      <w:r w:rsidR="00DC55BB" w:rsidRPr="00236D34">
        <w:t xml:space="preserve">understand </w:t>
      </w:r>
      <w:r w:rsidR="00757F87" w:rsidRPr="00236D34">
        <w:t xml:space="preserve">contemporary </w:t>
      </w:r>
      <w:r w:rsidR="000B28F6" w:rsidRPr="00236D34">
        <w:t xml:space="preserve">trends in tobacco-use patterns, including onset and progression, cessation </w:t>
      </w:r>
      <w:r w:rsidR="00757F87" w:rsidRPr="00236D34">
        <w:t xml:space="preserve">efforts </w:t>
      </w:r>
      <w:r w:rsidR="000B28F6" w:rsidRPr="00236D34">
        <w:t>and relapse, and successful cessation</w:t>
      </w:r>
      <w:r w:rsidR="00757F87" w:rsidRPr="00236D34">
        <w:t xml:space="preserve">, all in the context of </w:t>
      </w:r>
      <w:r w:rsidR="00435646" w:rsidRPr="00236D34">
        <w:t xml:space="preserve">changes in </w:t>
      </w:r>
      <w:r w:rsidR="00757F87" w:rsidRPr="00236D34">
        <w:t xml:space="preserve">the </w:t>
      </w:r>
      <w:r w:rsidR="00DC55BB" w:rsidRPr="00236D34">
        <w:t>tobacco product marketplace</w:t>
      </w:r>
      <w:r w:rsidR="00C13C93" w:rsidRPr="00236D34">
        <w:t>,</w:t>
      </w:r>
      <w:r w:rsidR="00435646" w:rsidRPr="00236D34">
        <w:t xml:space="preserve"> in</w:t>
      </w:r>
      <w:r w:rsidR="00757F87" w:rsidRPr="00236D34">
        <w:t xml:space="preserve"> marketing techniques and messages on </w:t>
      </w:r>
      <w:r w:rsidR="00C13C93" w:rsidRPr="00236D34">
        <w:t>different</w:t>
      </w:r>
      <w:r w:rsidR="00901CD3" w:rsidRPr="00236D34">
        <w:t xml:space="preserve"> </w:t>
      </w:r>
      <w:r w:rsidR="00757F87" w:rsidRPr="00236D34">
        <w:t xml:space="preserve">types and brands of </w:t>
      </w:r>
      <w:r w:rsidR="00901CD3" w:rsidRPr="00236D34">
        <w:t>tobacco products</w:t>
      </w:r>
      <w:r w:rsidR="00C13C93" w:rsidRPr="00236D34">
        <w:t>, and in FDA’s regulatory decisions and activities</w:t>
      </w:r>
      <w:r w:rsidR="00901CD3" w:rsidRPr="00236D34">
        <w:t>.</w:t>
      </w:r>
    </w:p>
    <w:p w:rsidR="00420CFB" w:rsidRPr="000A7C64" w:rsidRDefault="00420CFB" w:rsidP="00BC3C01">
      <w:pPr>
        <w:pStyle w:val="L1-FlLSp12"/>
      </w:pPr>
    </w:p>
    <w:p w:rsidR="00AC2E44" w:rsidRDefault="00901CD3" w:rsidP="00BC3C01">
      <w:pPr>
        <w:pStyle w:val="L1-FlLSp12"/>
      </w:pPr>
      <w:r w:rsidRPr="00236D34">
        <w:rPr>
          <w:b/>
        </w:rPr>
        <w:t>Focus on FDA Regulatory Issues.</w:t>
      </w:r>
      <w:r w:rsidR="00BC3C01" w:rsidRPr="00236D34">
        <w:rPr>
          <w:b/>
        </w:rPr>
        <w:t xml:space="preserve"> </w:t>
      </w:r>
      <w:r w:rsidRPr="00236D34">
        <w:t>The</w:t>
      </w:r>
      <w:r w:rsidRPr="00236D34">
        <w:rPr>
          <w:b/>
        </w:rPr>
        <w:t xml:space="preserve"> </w:t>
      </w:r>
      <w:r w:rsidR="004A2068" w:rsidRPr="00236D34">
        <w:t>PATH Study</w:t>
      </w:r>
      <w:r w:rsidRPr="00236D34">
        <w:t xml:space="preserve"> will take </w:t>
      </w:r>
      <w:r w:rsidR="00CE05DD" w:rsidRPr="00236D34">
        <w:t>place in parallel with the roll</w:t>
      </w:r>
      <w:r w:rsidRPr="00236D34">
        <w:t xml:space="preserve">out of tobacco product regulations by FDA as authorized by the </w:t>
      </w:r>
      <w:r w:rsidR="000D3949" w:rsidRPr="00236D34">
        <w:t>TCA</w:t>
      </w:r>
      <w:r w:rsidRPr="00236D34">
        <w:t>.</w:t>
      </w:r>
      <w:r w:rsidR="00C63A3F" w:rsidRPr="00236D34">
        <w:t xml:space="preserve"> Timely population-based data </w:t>
      </w:r>
      <w:r w:rsidR="008653C1" w:rsidRPr="00236D34">
        <w:t>on between-person differences and within-person changes in tobacco-product use behaviors and health from</w:t>
      </w:r>
      <w:r w:rsidR="00C63A3F" w:rsidRPr="00236D34">
        <w:t xml:space="preserve"> the PATH Study will </w:t>
      </w:r>
      <w:r w:rsidR="00A6411F" w:rsidRPr="00236D34">
        <w:t xml:space="preserve">help </w:t>
      </w:r>
      <w:r w:rsidR="008653C1" w:rsidRPr="00236D34">
        <w:t xml:space="preserve">to </w:t>
      </w:r>
      <w:r w:rsidR="00A6411F" w:rsidRPr="00236D34">
        <w:t>inform</w:t>
      </w:r>
      <w:r w:rsidR="00DA238D" w:rsidRPr="00236D34">
        <w:t xml:space="preserve"> FDA’s </w:t>
      </w:r>
      <w:r w:rsidR="008653C1" w:rsidRPr="00236D34">
        <w:t xml:space="preserve">regulatory </w:t>
      </w:r>
      <w:r w:rsidR="00DA238D" w:rsidRPr="00236D34">
        <w:t>decisions and actions</w:t>
      </w:r>
      <w:r w:rsidR="008653C1" w:rsidRPr="00236D34">
        <w:t xml:space="preserve">, such as those related to </w:t>
      </w:r>
      <w:r w:rsidR="00C63A3F" w:rsidRPr="00236D34">
        <w:t xml:space="preserve">requirements for </w:t>
      </w:r>
      <w:r w:rsidRPr="00236D34">
        <w:t>warning labels</w:t>
      </w:r>
      <w:r w:rsidR="008653C1" w:rsidRPr="00236D34">
        <w:t xml:space="preserve">, </w:t>
      </w:r>
      <w:r w:rsidR="00C63A3F" w:rsidRPr="00236D34">
        <w:t>regulations on misleading brand descriptors</w:t>
      </w:r>
      <w:r w:rsidR="008653C1" w:rsidRPr="00236D34">
        <w:t>,</w:t>
      </w:r>
      <w:r w:rsidR="00C63A3F" w:rsidRPr="00236D34">
        <w:t xml:space="preserve"> marketing</w:t>
      </w:r>
      <w:r w:rsidR="008653C1" w:rsidRPr="00236D34">
        <w:t xml:space="preserve">, </w:t>
      </w:r>
      <w:r w:rsidR="00215E86" w:rsidRPr="00215E86">
        <w:t xml:space="preserve">health promotion messaging and </w:t>
      </w:r>
      <w:r w:rsidR="00215E86">
        <w:t xml:space="preserve">public education </w:t>
      </w:r>
      <w:r w:rsidR="00AC64CA">
        <w:t>campaigns</w:t>
      </w:r>
      <w:r w:rsidR="00AE4DCD">
        <w:t>,</w:t>
      </w:r>
      <w:r w:rsidR="00AC64CA">
        <w:t xml:space="preserve"> </w:t>
      </w:r>
      <w:r w:rsidR="008653C1" w:rsidRPr="00236D34">
        <w:t>and</w:t>
      </w:r>
      <w:r w:rsidR="00441A2A" w:rsidRPr="00236D34">
        <w:t xml:space="preserve"> tobacco product standards.</w:t>
      </w:r>
    </w:p>
    <w:p w:rsidR="00A01C08" w:rsidRPr="00AC64CA" w:rsidRDefault="00A01C08" w:rsidP="00BC3C01">
      <w:pPr>
        <w:pStyle w:val="L1-FlLSp12"/>
        <w:rPr>
          <w:b/>
          <w:highlight w:val="yellow"/>
        </w:rPr>
      </w:pPr>
    </w:p>
    <w:p w:rsidR="00D62470" w:rsidRPr="00236D34" w:rsidRDefault="00A01C08" w:rsidP="00AC64CA">
      <w:pPr>
        <w:pStyle w:val="L1-FlLSp12"/>
        <w:tabs>
          <w:tab w:val="left" w:pos="900"/>
        </w:tabs>
      </w:pPr>
      <w:proofErr w:type="gramStart"/>
      <w:r w:rsidRPr="00236D34">
        <w:rPr>
          <w:b/>
        </w:rPr>
        <w:t>Scope of Data Collection</w:t>
      </w:r>
      <w:r w:rsidRPr="000D4B6D">
        <w:rPr>
          <w:b/>
        </w:rPr>
        <w:t>.</w:t>
      </w:r>
      <w:proofErr w:type="gramEnd"/>
      <w:r w:rsidRPr="000D4B6D">
        <w:rPr>
          <w:b/>
        </w:rPr>
        <w:t xml:space="preserve"> </w:t>
      </w:r>
      <w:r w:rsidRPr="00236D34">
        <w:rPr>
          <w:szCs w:val="24"/>
        </w:rPr>
        <w:t>The PATH Study is distinguished by the breadth and depth of its coverage of tobacco use</w:t>
      </w:r>
      <w:r w:rsidR="00D62470" w:rsidRPr="00236D34">
        <w:rPr>
          <w:szCs w:val="24"/>
        </w:rPr>
        <w:t>,</w:t>
      </w:r>
      <w:r w:rsidR="00D62470" w:rsidRPr="00236D34">
        <w:t xml:space="preserve"> tobacco products (e.g., cigarettes</w:t>
      </w:r>
      <w:r w:rsidR="00494357">
        <w:t>;</w:t>
      </w:r>
      <w:r w:rsidR="00D62470" w:rsidRPr="00236D34">
        <w:t xml:space="preserve"> cigars</w:t>
      </w:r>
      <w:r w:rsidR="00494357">
        <w:t>;</w:t>
      </w:r>
      <w:r w:rsidR="00D62470" w:rsidRPr="00236D34">
        <w:t xml:space="preserve"> pipes</w:t>
      </w:r>
      <w:r w:rsidR="00494357">
        <w:t>;</w:t>
      </w:r>
      <w:r w:rsidR="00D62470" w:rsidRPr="00236D34">
        <w:t xml:space="preserve"> smokeless</w:t>
      </w:r>
      <w:r w:rsidR="00494357">
        <w:t>;</w:t>
      </w:r>
      <w:r w:rsidR="00D62470" w:rsidRPr="00236D34">
        <w:t xml:space="preserve"> and new and emerging products such as </w:t>
      </w:r>
      <w:r w:rsidR="00E5755A">
        <w:t>s</w:t>
      </w:r>
      <w:r w:rsidR="00D62470" w:rsidRPr="00236D34">
        <w:t xml:space="preserve">nus, hookah, </w:t>
      </w:r>
      <w:r w:rsidR="00494357">
        <w:t xml:space="preserve">and </w:t>
      </w:r>
      <w:r w:rsidR="00B95C5D">
        <w:t>ENDS</w:t>
      </w:r>
      <w:r w:rsidR="00D62470" w:rsidRPr="00236D34">
        <w:t xml:space="preserve">), and tobacco product brands and sub-brands. </w:t>
      </w:r>
      <w:r w:rsidR="00D62470" w:rsidRPr="00236D34">
        <w:lastRenderedPageBreak/>
        <w:t>Data</w:t>
      </w:r>
      <w:r w:rsidR="00F842CA">
        <w:t>-</w:t>
      </w:r>
      <w:r w:rsidR="00D62470" w:rsidRPr="00236D34">
        <w:t>collection methods, which include an image database of tobacco products, brands, and sub-brands, will enhance the specificity of the tobacco</w:t>
      </w:r>
      <w:r w:rsidR="00F842CA">
        <w:t>-</w:t>
      </w:r>
      <w:r w:rsidR="00D62470" w:rsidRPr="00236D34">
        <w:t xml:space="preserve">use data, for example, by allowing the differentiation of traditional cigars, little filtered cigars, and cigarillos. It also provides </w:t>
      </w:r>
      <w:r w:rsidR="009E3B7A" w:rsidRPr="00236D34">
        <w:t xml:space="preserve">for the assessment of </w:t>
      </w:r>
      <w:r w:rsidR="00D62470" w:rsidRPr="00236D34">
        <w:t xml:space="preserve">respondents’ recognition, exposure, and receptivity to tobacco marketing. In addition to respondent interview data, the PATH Study is collecting </w:t>
      </w:r>
      <w:r w:rsidR="006F5D28">
        <w:t xml:space="preserve">two </w:t>
      </w:r>
      <w:proofErr w:type="spellStart"/>
      <w:r w:rsidR="00D62470" w:rsidRPr="00236D34">
        <w:t>biospecimens</w:t>
      </w:r>
      <w:proofErr w:type="spellEnd"/>
      <w:r w:rsidR="00D62470" w:rsidRPr="00236D34">
        <w:t xml:space="preserve"> from consenting adults (i.e., urine</w:t>
      </w:r>
      <w:r w:rsidR="006F5D28">
        <w:t xml:space="preserve"> </w:t>
      </w:r>
      <w:r w:rsidR="00D62470" w:rsidRPr="00236D34">
        <w:t>and blood)</w:t>
      </w:r>
      <w:r w:rsidR="00215E86">
        <w:t xml:space="preserve"> at baseline</w:t>
      </w:r>
      <w:r w:rsidR="00215E86" w:rsidRPr="00215E86">
        <w:t xml:space="preserve"> to serve as the basis for examining and comparing biomarkers of exposure, including exposure to tobacco products, tobacco brands and sub-brands. </w:t>
      </w:r>
      <w:r w:rsidR="00215E86">
        <w:t xml:space="preserve">For Wave 2, a subsample of adult respondents who provided </w:t>
      </w:r>
      <w:r w:rsidR="005B27FA">
        <w:t xml:space="preserve">a urine specimen </w:t>
      </w:r>
      <w:r w:rsidR="00215E86">
        <w:t xml:space="preserve">at baseline will be asked to provide a urine sample </w:t>
      </w:r>
      <w:r w:rsidR="005B27FA">
        <w:t>at Wave 2</w:t>
      </w:r>
      <w:r w:rsidR="00215E86">
        <w:t xml:space="preserve">. </w:t>
      </w:r>
      <w:r w:rsidR="00F87DD5">
        <w:t xml:space="preserve">Also, adult </w:t>
      </w:r>
      <w:r w:rsidR="00F87DD5" w:rsidRPr="0007499D">
        <w:t>respondents</w:t>
      </w:r>
      <w:r w:rsidR="00F87DD5">
        <w:t xml:space="preserve"> who aged into the adult cohort (i.e., completed a youth interview at baseline but are 18 years old at Wave 2) will be asked </w:t>
      </w:r>
      <w:r w:rsidR="000F5A82">
        <w:t xml:space="preserve">to </w:t>
      </w:r>
      <w:r w:rsidR="00F87DD5">
        <w:t>provide urine and blood at Wave 2</w:t>
      </w:r>
      <w:r w:rsidR="00215E86">
        <w:t xml:space="preserve">. </w:t>
      </w:r>
      <w:r w:rsidR="00D62470" w:rsidRPr="00236D34">
        <w:t>This multi-component data</w:t>
      </w:r>
      <w:r w:rsidR="00F842CA">
        <w:t>-</w:t>
      </w:r>
      <w:r w:rsidR="00D62470" w:rsidRPr="00236D34">
        <w:t xml:space="preserve">collection protocol </w:t>
      </w:r>
      <w:r w:rsidR="009E3B7A" w:rsidRPr="00236D34">
        <w:t xml:space="preserve">distinguishes the PATH Study’s capacity to enhance the evidence base FDA needs for its tobacco-related regulatory activities with </w:t>
      </w:r>
      <w:r w:rsidR="00D62470" w:rsidRPr="00236D34">
        <w:t>timely</w:t>
      </w:r>
      <w:r w:rsidR="009E3B7A" w:rsidRPr="00236D34">
        <w:t>,</w:t>
      </w:r>
      <w:r w:rsidR="00D62470" w:rsidRPr="00236D34">
        <w:t xml:space="preserve"> </w:t>
      </w:r>
      <w:r w:rsidR="009E3B7A" w:rsidRPr="00236D34">
        <w:t>specific, population-based</w:t>
      </w:r>
      <w:r w:rsidR="00D62470" w:rsidRPr="00236D34">
        <w:t xml:space="preserve"> data</w:t>
      </w:r>
      <w:r w:rsidR="009E3B7A" w:rsidRPr="00236D34">
        <w:t>.</w:t>
      </w:r>
    </w:p>
    <w:p w:rsidR="00AC2E44" w:rsidRDefault="00AC2E44" w:rsidP="00BC3C01">
      <w:pPr>
        <w:pStyle w:val="L1-FlLSp12"/>
        <w:rPr>
          <w:color w:val="000000"/>
          <w:szCs w:val="24"/>
        </w:rPr>
      </w:pPr>
    </w:p>
    <w:p w:rsidR="00EA79A8" w:rsidRPr="0023016A" w:rsidRDefault="00EA79A8" w:rsidP="00BC3C01">
      <w:pPr>
        <w:pStyle w:val="L1-FlLSp12"/>
        <w:rPr>
          <w:b/>
          <w:highlight w:val="yellow"/>
        </w:rPr>
      </w:pPr>
    </w:p>
    <w:p w:rsidR="002F7ABC" w:rsidRPr="00A2734E" w:rsidRDefault="002F7ABC" w:rsidP="00BC3C01">
      <w:pPr>
        <w:pStyle w:val="Heading2"/>
      </w:pPr>
      <w:r w:rsidRPr="00A2734E">
        <w:t>A.5</w:t>
      </w:r>
      <w:r w:rsidRPr="00A2734E">
        <w:tab/>
        <w:t xml:space="preserve">Impact on Small Businesses </w:t>
      </w:r>
      <w:r w:rsidR="00DE245D" w:rsidRPr="00A2734E">
        <w:t>or</w:t>
      </w:r>
      <w:r w:rsidRPr="00A2734E">
        <w:t xml:space="preserve"> Other Small Entities</w:t>
      </w:r>
    </w:p>
    <w:p w:rsidR="002F7ABC" w:rsidRPr="00A2734E" w:rsidRDefault="002F7ABC" w:rsidP="00BC3C01">
      <w:pPr>
        <w:pStyle w:val="L1-FlLSp12"/>
      </w:pPr>
      <w:r w:rsidRPr="00A2734E">
        <w:t xml:space="preserve">No small businesses or other small entities will be involved in the </w:t>
      </w:r>
      <w:r w:rsidR="004A2068" w:rsidRPr="00A2734E">
        <w:t>PATH Study</w:t>
      </w:r>
      <w:r w:rsidRPr="00A2734E">
        <w:t>.</w:t>
      </w:r>
    </w:p>
    <w:p w:rsidR="00501665" w:rsidRDefault="00501665" w:rsidP="00BC3C01">
      <w:pPr>
        <w:pStyle w:val="L1-FlLSp12"/>
      </w:pPr>
    </w:p>
    <w:p w:rsidR="00EA79A8" w:rsidRPr="0023016A" w:rsidRDefault="00EA79A8" w:rsidP="00BC3C01">
      <w:pPr>
        <w:pStyle w:val="L1-FlLSp12"/>
      </w:pPr>
    </w:p>
    <w:p w:rsidR="00046BDD" w:rsidRPr="00A2734E" w:rsidRDefault="002F7ABC" w:rsidP="00236D34">
      <w:pPr>
        <w:pStyle w:val="Heading2"/>
      </w:pPr>
      <w:r w:rsidRPr="00A2734E">
        <w:t>A.6</w:t>
      </w:r>
      <w:r w:rsidRPr="00A2734E">
        <w:tab/>
        <w:t>Consequences of Collecting the Information Less Frequently</w:t>
      </w:r>
    </w:p>
    <w:p w:rsidR="00025AC1" w:rsidRPr="00A2734E" w:rsidRDefault="00F06D1F" w:rsidP="00025AC1">
      <w:pPr>
        <w:pStyle w:val="L1-FlLSp12"/>
      </w:pPr>
      <w:r w:rsidRPr="00A2734E">
        <w:t xml:space="preserve">The longitudinal design of the </w:t>
      </w:r>
      <w:r w:rsidR="004A2068" w:rsidRPr="00A2734E">
        <w:t>PATH Study</w:t>
      </w:r>
      <w:r w:rsidRPr="00A2734E">
        <w:t xml:space="preserve"> underscores the importance of maintaining its schedule of regular, annual waves of data collection with the same study </w:t>
      </w:r>
      <w:r w:rsidR="00475C98" w:rsidRPr="00A2734E">
        <w:t>respondent</w:t>
      </w:r>
      <w:r w:rsidRPr="00A2734E">
        <w:t xml:space="preserve">s. </w:t>
      </w:r>
      <w:r w:rsidR="00A71EA7" w:rsidRPr="00A2734E">
        <w:t>The</w:t>
      </w:r>
      <w:r w:rsidR="00BB2E6C" w:rsidRPr="00A2734E">
        <w:t xml:space="preserve"> </w:t>
      </w:r>
      <w:r w:rsidR="004A2068" w:rsidRPr="00A2734E">
        <w:t>PATH Study</w:t>
      </w:r>
      <w:r w:rsidR="00BB2E6C" w:rsidRPr="00A2734E">
        <w:t xml:space="preserve"> will </w:t>
      </w:r>
      <w:r w:rsidR="00BB2E6C" w:rsidRPr="00A92156">
        <w:t xml:space="preserve">use </w:t>
      </w:r>
      <w:r w:rsidR="00311702" w:rsidRPr="00A92156">
        <w:t>follow-up</w:t>
      </w:r>
      <w:r w:rsidR="00BB2E6C" w:rsidRPr="00A92156">
        <w:t>, retention, and tracking materials (</w:t>
      </w:r>
      <w:r w:rsidR="00BB2E6C" w:rsidRPr="0023016A">
        <w:t>Attachment</w:t>
      </w:r>
      <w:r w:rsidR="00BB2E6C" w:rsidRPr="00A92156">
        <w:t xml:space="preserve"> </w:t>
      </w:r>
      <w:r w:rsidR="00E63CFA" w:rsidRPr="00A92156">
        <w:t>9</w:t>
      </w:r>
      <w:r w:rsidR="00BB2E6C" w:rsidRPr="00A92156">
        <w:t xml:space="preserve">) </w:t>
      </w:r>
      <w:r w:rsidRPr="00A92156">
        <w:t>to maintain contact with each</w:t>
      </w:r>
      <w:r w:rsidRPr="00A2734E">
        <w:t xml:space="preserve"> </w:t>
      </w:r>
      <w:r w:rsidR="00475C98" w:rsidRPr="00A2734E">
        <w:t>respondent</w:t>
      </w:r>
      <w:r w:rsidRPr="00A2734E">
        <w:t xml:space="preserve"> and to schedule regular, annual appointments with each </w:t>
      </w:r>
      <w:r w:rsidR="00475C98" w:rsidRPr="00A2734E">
        <w:t>respondent</w:t>
      </w:r>
      <w:r w:rsidRPr="00A2734E">
        <w:t xml:space="preserve"> for their annual </w:t>
      </w:r>
      <w:r w:rsidR="00311702" w:rsidRPr="00A2734E">
        <w:t>follow-up</w:t>
      </w:r>
      <w:r w:rsidRPr="00A2734E">
        <w:t xml:space="preserve"> interviews. Less frequent data collection would impact the study’s ability to retain cohort </w:t>
      </w:r>
      <w:r w:rsidR="00475C98" w:rsidRPr="00A2734E">
        <w:t>respondents</w:t>
      </w:r>
      <w:r w:rsidRPr="00A2734E">
        <w:t xml:space="preserve"> and achieve its annual and overall target response rates. </w:t>
      </w:r>
      <w:r w:rsidR="00025AC1" w:rsidRPr="00A2734E">
        <w:t xml:space="preserve">This would have implications for the scientific quality and utility of study data, particularly data that would inform the development of new </w:t>
      </w:r>
      <w:r w:rsidR="000D3949">
        <w:t>TCA</w:t>
      </w:r>
      <w:r w:rsidR="00025AC1" w:rsidRPr="00A2734E">
        <w:t>-related policies and programs.</w:t>
      </w:r>
    </w:p>
    <w:p w:rsidR="00DB6E10" w:rsidRPr="00A2734E" w:rsidRDefault="00DB6E10" w:rsidP="00BC3C01">
      <w:pPr>
        <w:pStyle w:val="L1-FlLSp12"/>
      </w:pPr>
    </w:p>
    <w:p w:rsidR="00F06D1F" w:rsidRDefault="00F06D1F" w:rsidP="00BC3C01">
      <w:pPr>
        <w:pStyle w:val="L1-FlLSp12"/>
      </w:pPr>
      <w:r w:rsidRPr="00A2734E">
        <w:t xml:space="preserve">Not conducting the </w:t>
      </w:r>
      <w:r w:rsidR="004A2068" w:rsidRPr="00A2734E">
        <w:t>PATH Study</w:t>
      </w:r>
      <w:r w:rsidRPr="00A2734E">
        <w:t xml:space="preserve"> as scheduled </w:t>
      </w:r>
      <w:r w:rsidR="00046BDD" w:rsidRPr="00A2734E">
        <w:t>(</w:t>
      </w:r>
      <w:r w:rsidRPr="00A2734E">
        <w:t xml:space="preserve">or delaying its annual </w:t>
      </w:r>
      <w:r w:rsidR="00311702" w:rsidRPr="00A2734E">
        <w:t>follow-up</w:t>
      </w:r>
      <w:r w:rsidRPr="00A2734E">
        <w:t xml:space="preserve"> interviews of each cohort</w:t>
      </w:r>
      <w:r w:rsidR="00475C98" w:rsidRPr="00A2734E">
        <w:t xml:space="preserve"> respondent</w:t>
      </w:r>
      <w:r w:rsidR="00046BDD" w:rsidRPr="00A2734E">
        <w:t xml:space="preserve">) would </w:t>
      </w:r>
      <w:r w:rsidRPr="00A2734E">
        <w:t xml:space="preserve">significantly reduce </w:t>
      </w:r>
      <w:r w:rsidR="00344C26" w:rsidRPr="00A2734E">
        <w:t>FDA</w:t>
      </w:r>
      <w:r w:rsidR="00046BDD" w:rsidRPr="00A2734E">
        <w:t>’</w:t>
      </w:r>
      <w:r w:rsidRPr="00A2734E">
        <w:t>s ability to capitalize on the streng</w:t>
      </w:r>
      <w:r w:rsidR="00046BDD" w:rsidRPr="00A2734E">
        <w:t xml:space="preserve">ths of the cohort study design to examine </w:t>
      </w:r>
      <w:r w:rsidR="00017695">
        <w:t xml:space="preserve">associations between </w:t>
      </w:r>
      <w:r w:rsidRPr="00A2734E">
        <w:t xml:space="preserve">enacted policies </w:t>
      </w:r>
      <w:r w:rsidR="00017695">
        <w:t>and</w:t>
      </w:r>
      <w:r w:rsidRPr="00A2734E">
        <w:t xml:space="preserve"> tobacco use uptake, cessation, and relapse in the population.</w:t>
      </w:r>
      <w:r w:rsidR="00BC3C01" w:rsidRPr="00A2734E">
        <w:t xml:space="preserve"> </w:t>
      </w:r>
      <w:r w:rsidR="00BB2E6C" w:rsidRPr="00A2734E">
        <w:t>The dynamic environment</w:t>
      </w:r>
      <w:r w:rsidR="00721A49" w:rsidRPr="00A2734E">
        <w:t xml:space="preserve"> of ever</w:t>
      </w:r>
      <w:r w:rsidR="00CE05DD" w:rsidRPr="00A2734E">
        <w:t>-</w:t>
      </w:r>
      <w:r w:rsidR="00721A49" w:rsidRPr="00A2734E">
        <w:t xml:space="preserve">changing policies and tobacco industry efforts requires annual data </w:t>
      </w:r>
      <w:r w:rsidR="00C464E6" w:rsidRPr="00A2734E">
        <w:t xml:space="preserve">and </w:t>
      </w:r>
      <w:proofErr w:type="spellStart"/>
      <w:r w:rsidR="00C464E6" w:rsidRPr="00A2734E">
        <w:t>biospecimen</w:t>
      </w:r>
      <w:proofErr w:type="spellEnd"/>
      <w:r w:rsidR="00C464E6" w:rsidRPr="00A2734E">
        <w:t xml:space="preserve"> </w:t>
      </w:r>
      <w:r w:rsidR="00721A49" w:rsidRPr="00A2734E">
        <w:t>collection.</w:t>
      </w:r>
      <w:r w:rsidR="00BC3C01" w:rsidRPr="00A2734E">
        <w:t xml:space="preserve"> </w:t>
      </w:r>
      <w:r w:rsidR="005B27FA">
        <w:t xml:space="preserve">For example, the PATH </w:t>
      </w:r>
      <w:r w:rsidR="005B27FA">
        <w:lastRenderedPageBreak/>
        <w:t xml:space="preserve">Study will subsample adults who gave a urine sample at baseline to provide a urine sample again at Wave 2. </w:t>
      </w:r>
      <w:r w:rsidR="00564058">
        <w:t>This will allow</w:t>
      </w:r>
      <w:r w:rsidR="005B27FA">
        <w:t xml:space="preserve"> the PATH Study to characterize and compare </w:t>
      </w:r>
      <w:r w:rsidR="00564058">
        <w:t xml:space="preserve">within-person changes and between-person differences in the </w:t>
      </w:r>
      <w:r w:rsidR="005B27FA">
        <w:t xml:space="preserve">urine </w:t>
      </w:r>
      <w:proofErr w:type="spellStart"/>
      <w:r w:rsidR="005B27FA">
        <w:t>analyte</w:t>
      </w:r>
      <w:proofErr w:type="spellEnd"/>
      <w:r w:rsidR="005B27FA">
        <w:t xml:space="preserve"> signatures of tobacco users and non-users at two points in time.</w:t>
      </w:r>
      <w:r w:rsidR="00752365">
        <w:t xml:space="preserve"> </w:t>
      </w:r>
      <w:r w:rsidR="00752365" w:rsidRPr="00A3143D">
        <w:t xml:space="preserve">Urine collection at Wave 2 will also allow </w:t>
      </w:r>
      <w:r w:rsidR="002D30E5">
        <w:t xml:space="preserve">for the examination of </w:t>
      </w:r>
      <w:r w:rsidR="00752365" w:rsidRPr="00A3143D">
        <w:t xml:space="preserve">tobacco exposure biomarkers in new and emerging </w:t>
      </w:r>
      <w:r w:rsidR="00752365" w:rsidRPr="004121E5">
        <w:t>products that may not have been on the market at the time of baseline data collection.</w:t>
      </w:r>
      <w:r w:rsidR="005B27FA">
        <w:t xml:space="preserve"> </w:t>
      </w:r>
      <w:r w:rsidR="00721A49" w:rsidRPr="00A2734E">
        <w:t xml:space="preserve">Data collected less frequently </w:t>
      </w:r>
      <w:r w:rsidR="00046BDD" w:rsidRPr="00A2734E">
        <w:t xml:space="preserve">would </w:t>
      </w:r>
      <w:r w:rsidR="00017695">
        <w:t xml:space="preserve">be considerably less precise, and would </w:t>
      </w:r>
      <w:r w:rsidR="00046BDD" w:rsidRPr="00A2734E">
        <w:t xml:space="preserve">significantly </w:t>
      </w:r>
      <w:r w:rsidR="00F03B72" w:rsidRPr="00A2734E">
        <w:t>decrease</w:t>
      </w:r>
      <w:r w:rsidR="00046BDD" w:rsidRPr="00A2734E">
        <w:t xml:space="preserve"> the capacity of the study to meet the scientific needs of NIDA and </w:t>
      </w:r>
      <w:r w:rsidR="00344C26" w:rsidRPr="00A2734E">
        <w:t>FDA</w:t>
      </w:r>
      <w:r w:rsidR="00046BDD" w:rsidRPr="00A2734E">
        <w:t xml:space="preserve"> to establish a science framework that informs </w:t>
      </w:r>
      <w:r w:rsidR="00344C26" w:rsidRPr="00A2734E">
        <w:t>FDA</w:t>
      </w:r>
      <w:r w:rsidR="00046BDD" w:rsidRPr="00A2734E">
        <w:t xml:space="preserve">’s </w:t>
      </w:r>
      <w:r w:rsidR="005A59E7" w:rsidRPr="00A2734E">
        <w:t>efforts to</w:t>
      </w:r>
      <w:r w:rsidR="00046BDD" w:rsidRPr="00A2734E">
        <w:t xml:space="preserve"> protect the Nation’s public health</w:t>
      </w:r>
      <w:r w:rsidR="00BB2E6C" w:rsidRPr="00A2734E">
        <w:t>.</w:t>
      </w:r>
    </w:p>
    <w:p w:rsidR="00AE4DCD" w:rsidRDefault="00AE4DCD" w:rsidP="00BC3C01">
      <w:pPr>
        <w:pStyle w:val="L1-FlLSp12"/>
      </w:pPr>
    </w:p>
    <w:p w:rsidR="00EA79A8" w:rsidRPr="0023016A" w:rsidRDefault="00EA79A8" w:rsidP="00BC3C01">
      <w:pPr>
        <w:pStyle w:val="L1-FlLSp12"/>
      </w:pPr>
    </w:p>
    <w:p w:rsidR="002F7ABC" w:rsidRPr="00A2734E" w:rsidRDefault="002F7ABC" w:rsidP="00BC3C01">
      <w:pPr>
        <w:pStyle w:val="Heading2"/>
        <w:rPr>
          <w:rFonts w:ascii="Garamond" w:hAnsi="Garamond"/>
        </w:rPr>
      </w:pPr>
      <w:r w:rsidRPr="00A2734E">
        <w:t>A.7</w:t>
      </w:r>
      <w:r w:rsidRPr="00A2734E">
        <w:tab/>
        <w:t>Special Circumstances Relating to the Guidelines of 5 CFR 1320.5</w:t>
      </w:r>
    </w:p>
    <w:p w:rsidR="002F7ABC" w:rsidRDefault="002F7ABC" w:rsidP="00BC3C01">
      <w:pPr>
        <w:pStyle w:val="L1-FlLSp12"/>
      </w:pPr>
      <w:r w:rsidRPr="00A2734E">
        <w:t>This project fully complies with the guidelines of 5 C</w:t>
      </w:r>
      <w:r w:rsidR="00831C63" w:rsidRPr="00A2734E">
        <w:t>F</w:t>
      </w:r>
      <w:r w:rsidRPr="00A2734E">
        <w:t>R 1320.5.</w:t>
      </w:r>
    </w:p>
    <w:p w:rsidR="00602308" w:rsidRDefault="00602308" w:rsidP="00BC3C01">
      <w:pPr>
        <w:pStyle w:val="L1-FlLSp12"/>
      </w:pPr>
    </w:p>
    <w:p w:rsidR="00EA79A8" w:rsidRPr="00602308" w:rsidRDefault="00EA79A8" w:rsidP="00BC3C01">
      <w:pPr>
        <w:pStyle w:val="L1-FlLSp12"/>
      </w:pPr>
    </w:p>
    <w:p w:rsidR="002F7ABC" w:rsidRPr="00A2734E" w:rsidRDefault="002F7ABC" w:rsidP="00BC3C01">
      <w:pPr>
        <w:pStyle w:val="Heading2"/>
      </w:pPr>
      <w:r w:rsidRPr="00A2734E">
        <w:t>A.8</w:t>
      </w:r>
      <w:r w:rsidRPr="00A2734E">
        <w:tab/>
        <w:t>Comments in Response to the Federal Register Notice and Efforts to Consult Outside Agency</w:t>
      </w:r>
    </w:p>
    <w:p w:rsidR="002F7ABC" w:rsidRPr="00A2734E" w:rsidRDefault="00B92901" w:rsidP="00BC3C01">
      <w:pPr>
        <w:pStyle w:val="Heading3"/>
      </w:pPr>
      <w:r w:rsidRPr="00A2734E">
        <w:t>A.8a</w:t>
      </w:r>
      <w:r w:rsidR="00111A25" w:rsidRPr="00A2734E">
        <w:tab/>
      </w:r>
      <w:r w:rsidR="002F7ABC" w:rsidRPr="00A2734E">
        <w:t>Federal Register Notice</w:t>
      </w:r>
    </w:p>
    <w:p w:rsidR="004B5068" w:rsidRDefault="00A71EA7" w:rsidP="00BC3C01">
      <w:pPr>
        <w:pStyle w:val="L1-FlLSp12"/>
      </w:pPr>
      <w:r w:rsidRPr="007146BB">
        <w:t>T</w:t>
      </w:r>
      <w:r w:rsidR="002F7ABC" w:rsidRPr="007146BB">
        <w:t xml:space="preserve">he </w:t>
      </w:r>
      <w:r w:rsidR="00831C63" w:rsidRPr="007146BB">
        <w:t xml:space="preserve">60-day </w:t>
      </w:r>
      <w:r w:rsidR="002F7ABC" w:rsidRPr="007146BB">
        <w:t>Federal Register Notice, required by 5 CFR 1320.8 (d)</w:t>
      </w:r>
      <w:r w:rsidR="00080DF2" w:rsidRPr="007146BB">
        <w:t xml:space="preserve"> to</w:t>
      </w:r>
      <w:r w:rsidR="002F7ABC" w:rsidRPr="007146BB">
        <w:t xml:space="preserve"> solicit comments on the information collection prior to submission to the OMB</w:t>
      </w:r>
      <w:r w:rsidR="00444CAE" w:rsidRPr="007146BB">
        <w:t>,</w:t>
      </w:r>
      <w:r w:rsidR="002F7ABC" w:rsidRPr="007146BB">
        <w:t xml:space="preserve"> was published on </w:t>
      </w:r>
      <w:r w:rsidR="001C2ED1" w:rsidRPr="00D957FC">
        <w:t xml:space="preserve">February </w:t>
      </w:r>
      <w:r w:rsidR="001C2ED1">
        <w:t>6</w:t>
      </w:r>
      <w:r w:rsidR="009F0DD0" w:rsidRPr="0023016A">
        <w:t>,</w:t>
      </w:r>
      <w:r w:rsidR="009F0DD0" w:rsidRPr="007146BB">
        <w:t xml:space="preserve"> 2014</w:t>
      </w:r>
      <w:r w:rsidR="00252C0E" w:rsidRPr="007146BB">
        <w:t xml:space="preserve"> </w:t>
      </w:r>
      <w:r w:rsidR="002F7ABC" w:rsidRPr="007146BB">
        <w:t>in the Federal Register (</w:t>
      </w:r>
      <w:r w:rsidR="005215AA" w:rsidRPr="007146BB">
        <w:t xml:space="preserve">Vol. </w:t>
      </w:r>
      <w:r w:rsidR="008F505B">
        <w:t>79</w:t>
      </w:r>
      <w:r w:rsidR="005215AA" w:rsidRPr="0023016A">
        <w:t xml:space="preserve">, No. </w:t>
      </w:r>
      <w:r w:rsidR="008F505B">
        <w:t>25,</w:t>
      </w:r>
      <w:r w:rsidR="009F0DD0" w:rsidRPr="0023016A">
        <w:t xml:space="preserve"> </w:t>
      </w:r>
      <w:r w:rsidR="005215AA" w:rsidRPr="0023016A">
        <w:t>p</w:t>
      </w:r>
      <w:r w:rsidR="00252C0E" w:rsidRPr="0023016A">
        <w:t>gs</w:t>
      </w:r>
      <w:r w:rsidR="005215AA" w:rsidRPr="0023016A">
        <w:t>.</w:t>
      </w:r>
      <w:r w:rsidR="00252C0E" w:rsidRPr="0023016A">
        <w:t xml:space="preserve"> </w:t>
      </w:r>
      <w:r w:rsidR="008F505B">
        <w:t>7206</w:t>
      </w:r>
      <w:r w:rsidR="009F0DD0" w:rsidRPr="0023016A">
        <w:t xml:space="preserve"> </w:t>
      </w:r>
      <w:r w:rsidR="008F505B">
        <w:t>–</w:t>
      </w:r>
      <w:r w:rsidR="00252C0E" w:rsidRPr="0023016A">
        <w:t xml:space="preserve"> </w:t>
      </w:r>
      <w:r w:rsidR="008F505B">
        <w:t>7207</w:t>
      </w:r>
      <w:r w:rsidR="002F7ABC" w:rsidRPr="0023016A">
        <w:t>).</w:t>
      </w:r>
      <w:r w:rsidR="00C854F1" w:rsidRPr="0023016A">
        <w:t xml:space="preserve"> </w:t>
      </w:r>
      <w:r w:rsidR="00222346">
        <w:t>One</w:t>
      </w:r>
      <w:r w:rsidR="00C854F1" w:rsidRPr="007146BB">
        <w:t xml:space="preserve"> </w:t>
      </w:r>
      <w:r w:rsidR="008C4D1D" w:rsidRPr="007146BB">
        <w:t xml:space="preserve">comment </w:t>
      </w:r>
      <w:r w:rsidR="00222346">
        <w:t>was</w:t>
      </w:r>
      <w:r w:rsidR="00C854F1" w:rsidRPr="007146BB">
        <w:t xml:space="preserve"> received</w:t>
      </w:r>
      <w:r w:rsidR="00222346">
        <w:t xml:space="preserve">, which </w:t>
      </w:r>
      <w:r w:rsidR="00222346" w:rsidRPr="00A2734E">
        <w:t xml:space="preserve">was a letter in support of the collection of data for the PATH Study. </w:t>
      </w:r>
      <w:r w:rsidR="00222346" w:rsidRPr="00A92156">
        <w:t xml:space="preserve">The comment and NIDA’s response to </w:t>
      </w:r>
      <w:r w:rsidR="00222346">
        <w:t xml:space="preserve">it </w:t>
      </w:r>
      <w:r w:rsidR="00222346" w:rsidRPr="00A92156">
        <w:t>are included in Attachment 10.</w:t>
      </w:r>
      <w:r w:rsidR="00695C90">
        <w:rPr>
          <w:lang w:val="en-US"/>
        </w:rPr>
        <w:t xml:space="preserve"> </w:t>
      </w:r>
      <w:r w:rsidR="009F0DD0" w:rsidRPr="007146BB">
        <w:t>The 30-day Federal Register Notice</w:t>
      </w:r>
      <w:r w:rsidR="00695C90">
        <w:rPr>
          <w:lang w:val="en-US"/>
        </w:rPr>
        <w:t xml:space="preserve">, submitted through the </w:t>
      </w:r>
      <w:r w:rsidR="009F0DD0" w:rsidRPr="007146BB">
        <w:t>NIH Office of Management Assessment</w:t>
      </w:r>
      <w:r w:rsidR="00695C90">
        <w:rPr>
          <w:lang w:val="en-US"/>
        </w:rPr>
        <w:t>, was published on July 2, 2014</w:t>
      </w:r>
      <w:r w:rsidR="00EA79A8">
        <w:t>.</w:t>
      </w:r>
    </w:p>
    <w:p w:rsidR="00EA79A8" w:rsidRDefault="00EA79A8" w:rsidP="00BC3C01">
      <w:pPr>
        <w:pStyle w:val="L1-FlLSp12"/>
      </w:pPr>
    </w:p>
    <w:p w:rsidR="00EC15A1" w:rsidRPr="0023016A" w:rsidRDefault="00EC15A1" w:rsidP="00BC3C01">
      <w:pPr>
        <w:pStyle w:val="L1-FlLSp12"/>
      </w:pPr>
    </w:p>
    <w:p w:rsidR="002F7ABC" w:rsidRPr="00A2734E" w:rsidRDefault="00B92901" w:rsidP="00BC3C01">
      <w:pPr>
        <w:pStyle w:val="Heading3"/>
      </w:pPr>
      <w:r w:rsidRPr="00A2734E">
        <w:t>A.8b</w:t>
      </w:r>
      <w:r w:rsidR="00111A25" w:rsidRPr="00A2734E">
        <w:tab/>
      </w:r>
      <w:r w:rsidR="002F7ABC" w:rsidRPr="00A2734E">
        <w:t>Efforts to Consult Outside Agency</w:t>
      </w:r>
    </w:p>
    <w:p w:rsidR="00DA02FE" w:rsidRPr="00312759" w:rsidRDefault="00395AEE" w:rsidP="00BC3C01">
      <w:pPr>
        <w:pStyle w:val="L1-FlLSp12"/>
      </w:pPr>
      <w:r w:rsidRPr="00A2734E">
        <w:t>Individuals from within NIH</w:t>
      </w:r>
      <w:r w:rsidR="00CB50EA" w:rsidRPr="00A2734E">
        <w:t>, FDA,</w:t>
      </w:r>
      <w:r w:rsidR="002F7ABC" w:rsidRPr="00A2734E">
        <w:t xml:space="preserve"> and</w:t>
      </w:r>
      <w:r w:rsidR="00F03B72" w:rsidRPr="00A2734E">
        <w:t xml:space="preserve"> other units within</w:t>
      </w:r>
      <w:r w:rsidR="002F7ABC" w:rsidRPr="00A2734E">
        <w:t xml:space="preserve"> DHHS and numerous outside agencies</w:t>
      </w:r>
      <w:r w:rsidR="00B74A75" w:rsidRPr="00A2734E">
        <w:t>,</w:t>
      </w:r>
      <w:r w:rsidR="002F7ABC" w:rsidRPr="00A2734E">
        <w:t xml:space="preserve"> </w:t>
      </w:r>
      <w:r w:rsidR="00B74A75" w:rsidRPr="00A2734E">
        <w:t xml:space="preserve">institutions, and universities </w:t>
      </w:r>
      <w:r w:rsidR="002F7ABC" w:rsidRPr="00A2734E">
        <w:t xml:space="preserve">were consulted from </w:t>
      </w:r>
      <w:r w:rsidR="004A09D7" w:rsidRPr="00A2734E">
        <w:t>October</w:t>
      </w:r>
      <w:r w:rsidR="002F7ABC" w:rsidRPr="00A2734E">
        <w:t xml:space="preserve"> 20</w:t>
      </w:r>
      <w:r w:rsidR="004A09D7" w:rsidRPr="00A2734E">
        <w:t>11</w:t>
      </w:r>
      <w:r w:rsidR="002F7ABC" w:rsidRPr="00A2734E">
        <w:t xml:space="preserve"> to the present, and these consultations are ongoing</w:t>
      </w:r>
      <w:r w:rsidR="008C1B38" w:rsidRPr="00A2734E">
        <w:t xml:space="preserve">. </w:t>
      </w:r>
      <w:r w:rsidR="002F7ABC" w:rsidRPr="00A2734E">
        <w:t>The individuals consulted include</w:t>
      </w:r>
      <w:r w:rsidRPr="00A2734E">
        <w:t xml:space="preserve"> </w:t>
      </w:r>
      <w:r w:rsidR="00DC3654" w:rsidRPr="00A2734E">
        <w:t xml:space="preserve">the </w:t>
      </w:r>
      <w:r w:rsidR="004A2068" w:rsidRPr="00A2734E">
        <w:t>PATH Study</w:t>
      </w:r>
      <w:r w:rsidRPr="00A2734E">
        <w:t xml:space="preserve"> </w:t>
      </w:r>
      <w:r w:rsidR="005C1A40">
        <w:t xml:space="preserve">biological workgroup, the </w:t>
      </w:r>
      <w:r w:rsidRPr="00A2734E">
        <w:t>questionnaire workgroup</w:t>
      </w:r>
      <w:r w:rsidR="005C1A40">
        <w:t xml:space="preserve">, </w:t>
      </w:r>
      <w:r w:rsidR="00804C86">
        <w:t xml:space="preserve">the ad hoc study workgroup, </w:t>
      </w:r>
      <w:r w:rsidRPr="00A2734E">
        <w:t>and</w:t>
      </w:r>
      <w:r w:rsidR="005C1A40">
        <w:t xml:space="preserve"> the</w:t>
      </w:r>
      <w:r w:rsidRPr="00A2734E">
        <w:t xml:space="preserve"> sampling workgroup</w:t>
      </w:r>
      <w:r w:rsidR="00F03B72" w:rsidRPr="00A2734E">
        <w:t>,</w:t>
      </w:r>
      <w:r w:rsidR="00B74A75" w:rsidRPr="00A2734E">
        <w:t xml:space="preserve"> which include individuals from Roswell Park Cancer Institute, Legacy/The Schroeder Institute for Tobacco, University of California San Diego </w:t>
      </w:r>
      <w:proofErr w:type="spellStart"/>
      <w:r w:rsidR="00B74A75" w:rsidRPr="00A2734E">
        <w:t>Moores</w:t>
      </w:r>
      <w:proofErr w:type="spellEnd"/>
      <w:r w:rsidR="00B74A75" w:rsidRPr="00A2734E">
        <w:t xml:space="preserve"> Cancer Center, University of Waterloo, </w:t>
      </w:r>
      <w:r w:rsidR="00B74A75" w:rsidRPr="00A2734E">
        <w:lastRenderedPageBreak/>
        <w:t xml:space="preserve">Dartmouth College, </w:t>
      </w:r>
      <w:r w:rsidR="00116950">
        <w:t xml:space="preserve">The Medical University of South Carolina, </w:t>
      </w:r>
      <w:proofErr w:type="spellStart"/>
      <w:r w:rsidR="00B74A75" w:rsidRPr="00A2734E">
        <w:t>Westat</w:t>
      </w:r>
      <w:proofErr w:type="spellEnd"/>
      <w:r w:rsidR="00B74A75" w:rsidRPr="00A2734E">
        <w:t xml:space="preserve">, </w:t>
      </w:r>
      <w:r w:rsidR="00296DE4">
        <w:t xml:space="preserve">CDC, </w:t>
      </w:r>
      <w:r w:rsidR="00B74A75" w:rsidRPr="00A2734E">
        <w:t xml:space="preserve">and FDA. </w:t>
      </w:r>
      <w:r w:rsidRPr="00A2734E">
        <w:t>These workgroup members represent experts in the field</w:t>
      </w:r>
      <w:r w:rsidR="00F03B72" w:rsidRPr="00A2734E">
        <w:t>s</w:t>
      </w:r>
      <w:r w:rsidRPr="00A2734E">
        <w:t xml:space="preserve"> of tobacco research and survey methodology, and </w:t>
      </w:r>
      <w:r w:rsidR="002F7ABC" w:rsidRPr="00A2734E">
        <w:t xml:space="preserve">provide significant input on </w:t>
      </w:r>
      <w:r w:rsidRPr="00A2734E">
        <w:t xml:space="preserve">questionnaire content, </w:t>
      </w:r>
      <w:r w:rsidR="002F7ABC" w:rsidRPr="00A2734E">
        <w:t>sampling</w:t>
      </w:r>
      <w:r w:rsidR="00831C63" w:rsidRPr="00A2734E">
        <w:t xml:space="preserve"> design</w:t>
      </w:r>
      <w:r w:rsidRPr="00A2734E">
        <w:t>,</w:t>
      </w:r>
      <w:r w:rsidR="00831C63" w:rsidRPr="00A2734E">
        <w:t xml:space="preserve"> and</w:t>
      </w:r>
      <w:r w:rsidR="002F7ABC" w:rsidRPr="00A2734E">
        <w:t xml:space="preserve"> methodology</w:t>
      </w:r>
      <w:r w:rsidR="008C1B38" w:rsidRPr="00A2734E">
        <w:t>.</w:t>
      </w:r>
      <w:r w:rsidR="00BC3C01" w:rsidRPr="00A2734E">
        <w:t xml:space="preserve"> </w:t>
      </w:r>
      <w:r w:rsidR="008F5FA1" w:rsidRPr="00A2734E">
        <w:t>Numerous other individuals</w:t>
      </w:r>
      <w:r w:rsidRPr="00A2734E">
        <w:t xml:space="preserve"> also</w:t>
      </w:r>
      <w:r w:rsidR="008F5FA1" w:rsidRPr="00A2734E">
        <w:t xml:space="preserve"> contribute their expertise regarding sample design</w:t>
      </w:r>
      <w:r w:rsidR="00831C63" w:rsidRPr="00A2734E">
        <w:t xml:space="preserve"> and methodology</w:t>
      </w:r>
      <w:r w:rsidR="008F5FA1" w:rsidRPr="00A2734E">
        <w:t xml:space="preserve">, questionnaire </w:t>
      </w:r>
      <w:proofErr w:type="gramStart"/>
      <w:r w:rsidR="008F5FA1" w:rsidRPr="00A2734E">
        <w:t>content,</w:t>
      </w:r>
      <w:proofErr w:type="gramEnd"/>
      <w:r w:rsidR="008F5FA1" w:rsidRPr="00A2734E">
        <w:t xml:space="preserve"> and related issues. </w:t>
      </w:r>
      <w:r w:rsidRPr="00A2734E">
        <w:t xml:space="preserve">The names, </w:t>
      </w:r>
      <w:r w:rsidRPr="00A92156">
        <w:t>affiliations, and phone numbers of all individual consult</w:t>
      </w:r>
      <w:r w:rsidR="005E7B37">
        <w:t>ants</w:t>
      </w:r>
      <w:r w:rsidRPr="00A92156">
        <w:t xml:space="preserve"> </w:t>
      </w:r>
      <w:r w:rsidR="00DC12AB" w:rsidRPr="00A92156">
        <w:t>are presented</w:t>
      </w:r>
      <w:r w:rsidRPr="00A92156">
        <w:t xml:space="preserve"> </w:t>
      </w:r>
      <w:r w:rsidRPr="00EA79A8">
        <w:t xml:space="preserve">in </w:t>
      </w:r>
      <w:r w:rsidRPr="0023016A">
        <w:t>Attachment</w:t>
      </w:r>
      <w:r w:rsidRPr="00A92156">
        <w:t xml:space="preserve"> </w:t>
      </w:r>
      <w:r w:rsidR="00095514" w:rsidRPr="00A92156">
        <w:t>1</w:t>
      </w:r>
      <w:r w:rsidR="004127AB">
        <w:t>1</w:t>
      </w:r>
      <w:r w:rsidRPr="00A92156">
        <w:t xml:space="preserve">. </w:t>
      </w:r>
      <w:r w:rsidR="00FA5034" w:rsidRPr="00A92156">
        <w:t>During</w:t>
      </w:r>
      <w:r w:rsidR="00FA5034" w:rsidRPr="00312759">
        <w:t xml:space="preserve"> the aforementioned consultations, all </w:t>
      </w:r>
      <w:r w:rsidR="0054315E" w:rsidRPr="00312759">
        <w:t>issues raised</w:t>
      </w:r>
      <w:r w:rsidR="00FA5034" w:rsidRPr="00312759">
        <w:t xml:space="preserve"> were satisfactorily resolved</w:t>
      </w:r>
      <w:r w:rsidR="0054315E" w:rsidRPr="00312759">
        <w:t>.</w:t>
      </w:r>
    </w:p>
    <w:p w:rsidR="008F5FA1" w:rsidRPr="00312759" w:rsidRDefault="008F5FA1" w:rsidP="00BC3C01">
      <w:pPr>
        <w:pStyle w:val="L1-FlLSp12"/>
      </w:pPr>
    </w:p>
    <w:p w:rsidR="00161E8E" w:rsidRPr="00312759" w:rsidRDefault="00161E8E" w:rsidP="00BC3C01">
      <w:pPr>
        <w:pStyle w:val="L1-FlLSp12"/>
      </w:pPr>
    </w:p>
    <w:p w:rsidR="008F5FA1" w:rsidRPr="00312759" w:rsidRDefault="008F5FA1" w:rsidP="00BC3C01">
      <w:pPr>
        <w:pStyle w:val="Heading2"/>
      </w:pPr>
      <w:r w:rsidRPr="00312759">
        <w:t>A.9</w:t>
      </w:r>
      <w:r w:rsidRPr="00312759">
        <w:tab/>
        <w:t>Explanation of Any Payment or Gift to Respondents</w:t>
      </w:r>
    </w:p>
    <w:p w:rsidR="002300C3" w:rsidRDefault="006A5AB8" w:rsidP="00AC3EDE">
      <w:pPr>
        <w:pStyle w:val="L1-FlLSp12"/>
        <w:rPr>
          <w:szCs w:val="24"/>
        </w:rPr>
      </w:pPr>
      <w:r>
        <w:rPr>
          <w:szCs w:val="24"/>
        </w:rPr>
        <w:t xml:space="preserve">The design of the PATH study involves significant burden to respondents, both in terms of interview time, multiple visits, and the provision of </w:t>
      </w:r>
      <w:proofErr w:type="spellStart"/>
      <w:r>
        <w:rPr>
          <w:szCs w:val="24"/>
        </w:rPr>
        <w:t>biospecimens</w:t>
      </w:r>
      <w:proofErr w:type="spellEnd"/>
      <w:r>
        <w:rPr>
          <w:szCs w:val="24"/>
        </w:rPr>
        <w:t xml:space="preserve">. </w:t>
      </w:r>
      <w:r w:rsidR="00F61ACC" w:rsidRPr="00A2734E">
        <w:rPr>
          <w:szCs w:val="24"/>
        </w:rPr>
        <w:t xml:space="preserve">To assist in meeting the response rate goals of the </w:t>
      </w:r>
      <w:r w:rsidR="004A2068" w:rsidRPr="00A2734E">
        <w:rPr>
          <w:szCs w:val="24"/>
        </w:rPr>
        <w:t>PATH Study</w:t>
      </w:r>
      <w:r w:rsidR="00F61ACC" w:rsidRPr="00A2734E">
        <w:rPr>
          <w:szCs w:val="24"/>
        </w:rPr>
        <w:t xml:space="preserve">, multiple incentives </w:t>
      </w:r>
      <w:r w:rsidR="00FC3289">
        <w:rPr>
          <w:szCs w:val="24"/>
        </w:rPr>
        <w:t>were offered to respondents during baseline data collection.</w:t>
      </w:r>
      <w:r w:rsidR="008945FD" w:rsidRPr="00A2734E">
        <w:rPr>
          <w:szCs w:val="24"/>
        </w:rPr>
        <w:t xml:space="preserve"> </w:t>
      </w:r>
      <w:r w:rsidR="00FC3289">
        <w:rPr>
          <w:szCs w:val="24"/>
        </w:rPr>
        <w:t xml:space="preserve">Similar incentives are proposed to be offered </w:t>
      </w:r>
      <w:r w:rsidR="00CF288E">
        <w:rPr>
          <w:szCs w:val="24"/>
        </w:rPr>
        <w:t xml:space="preserve">as compensation for time and effort </w:t>
      </w:r>
      <w:r w:rsidR="00FC3289">
        <w:rPr>
          <w:szCs w:val="24"/>
        </w:rPr>
        <w:t xml:space="preserve">during Wave 2 </w:t>
      </w:r>
      <w:r w:rsidR="008945FD" w:rsidRPr="00E63CFA">
        <w:rPr>
          <w:szCs w:val="24"/>
        </w:rPr>
        <w:t xml:space="preserve">(see Table </w:t>
      </w:r>
      <w:r w:rsidR="009E6590">
        <w:rPr>
          <w:szCs w:val="24"/>
        </w:rPr>
        <w:t>A-</w:t>
      </w:r>
      <w:r w:rsidR="00A2649D">
        <w:rPr>
          <w:szCs w:val="24"/>
        </w:rPr>
        <w:t>2</w:t>
      </w:r>
      <w:r w:rsidR="008945FD" w:rsidRPr="00E63CFA">
        <w:rPr>
          <w:szCs w:val="24"/>
        </w:rPr>
        <w:t>)</w:t>
      </w:r>
      <w:r w:rsidR="00F61ACC" w:rsidRPr="00E63CFA">
        <w:rPr>
          <w:szCs w:val="24"/>
        </w:rPr>
        <w:t>.</w:t>
      </w:r>
      <w:r w:rsidR="002D30E5">
        <w:rPr>
          <w:szCs w:val="24"/>
        </w:rPr>
        <w:t xml:space="preserve"> </w:t>
      </w:r>
      <w:r w:rsidR="00986B73">
        <w:rPr>
          <w:szCs w:val="24"/>
        </w:rPr>
        <w:t xml:space="preserve">Additional information on </w:t>
      </w:r>
      <w:r w:rsidR="002300C3">
        <w:rPr>
          <w:szCs w:val="24"/>
        </w:rPr>
        <w:t>ince</w:t>
      </w:r>
      <w:r w:rsidR="00986B73">
        <w:rPr>
          <w:szCs w:val="24"/>
        </w:rPr>
        <w:t xml:space="preserve">ntives </w:t>
      </w:r>
      <w:r w:rsidR="002D30E5">
        <w:rPr>
          <w:szCs w:val="24"/>
        </w:rPr>
        <w:t>in the PATH Study follows below.</w:t>
      </w:r>
    </w:p>
    <w:p w:rsidR="002300C3" w:rsidRDefault="002300C3" w:rsidP="00AC3EDE">
      <w:pPr>
        <w:pStyle w:val="L1-FlLSp12"/>
        <w:rPr>
          <w:szCs w:val="24"/>
        </w:rPr>
      </w:pPr>
    </w:p>
    <w:p w:rsidR="00AC2E44" w:rsidRDefault="004941B2" w:rsidP="00470C13">
      <w:pPr>
        <w:pStyle w:val="N1-1stBullet"/>
        <w:numPr>
          <w:ilvl w:val="0"/>
          <w:numId w:val="33"/>
        </w:numPr>
      </w:pPr>
      <w:r w:rsidRPr="00A2734E">
        <w:t>An incentive of</w:t>
      </w:r>
      <w:r w:rsidR="00F61ACC" w:rsidRPr="00A2734E">
        <w:t xml:space="preserve"> $</w:t>
      </w:r>
      <w:r w:rsidR="00A50205" w:rsidRPr="00A2734E">
        <w:t>3</w:t>
      </w:r>
      <w:r w:rsidR="00175348" w:rsidRPr="00A2734E">
        <w:t>5</w:t>
      </w:r>
      <w:r w:rsidR="00F61ACC" w:rsidRPr="00A2734E">
        <w:t xml:space="preserve"> </w:t>
      </w:r>
      <w:r w:rsidR="002D30E5">
        <w:t>will be offered to</w:t>
      </w:r>
      <w:r w:rsidR="00F61ACC" w:rsidRPr="00A2734E">
        <w:t xml:space="preserve"> </w:t>
      </w:r>
      <w:r w:rsidR="00B03976" w:rsidRPr="00A2734E">
        <w:t xml:space="preserve">adult </w:t>
      </w:r>
      <w:r w:rsidR="00F61ACC" w:rsidRPr="00A2734E">
        <w:t xml:space="preserve">respondents who complete </w:t>
      </w:r>
      <w:r w:rsidR="00A50205" w:rsidRPr="00A2734E">
        <w:t>the</w:t>
      </w:r>
      <w:r w:rsidR="00A50205" w:rsidRPr="00793F65">
        <w:t xml:space="preserve"> </w:t>
      </w:r>
      <w:r w:rsidR="00A50205" w:rsidRPr="00A2734E">
        <w:t xml:space="preserve">adult </w:t>
      </w:r>
      <w:r w:rsidR="00C97BDD">
        <w:t>extended</w:t>
      </w:r>
      <w:r w:rsidR="00A50205" w:rsidRPr="00A2734E">
        <w:t xml:space="preserve"> interview </w:t>
      </w:r>
      <w:r w:rsidR="00D00748" w:rsidRPr="00A2734E">
        <w:t xml:space="preserve">at </w:t>
      </w:r>
      <w:r w:rsidR="009B1578" w:rsidRPr="00A2734E">
        <w:t xml:space="preserve">the </w:t>
      </w:r>
      <w:r w:rsidR="00E62301">
        <w:t xml:space="preserve">Wave 2 </w:t>
      </w:r>
      <w:r w:rsidR="009B1578" w:rsidRPr="00A2734E">
        <w:t>home visit</w:t>
      </w:r>
      <w:r w:rsidR="00A50205" w:rsidRPr="00A2734E">
        <w:t>.</w:t>
      </w:r>
      <w:r w:rsidR="00DB6E10" w:rsidRPr="00A2734E">
        <w:t xml:space="preserve"> </w:t>
      </w:r>
      <w:r w:rsidR="00D00748" w:rsidRPr="00A2734E">
        <w:t>This $3</w:t>
      </w:r>
      <w:r w:rsidR="00175348" w:rsidRPr="00A2734E">
        <w:t>5</w:t>
      </w:r>
      <w:r w:rsidR="00D00748" w:rsidRPr="00A2734E">
        <w:t xml:space="preserve"> incentive payment is solely tied to a respondent’s participation in the extended interview</w:t>
      </w:r>
      <w:r w:rsidR="00D00748" w:rsidRPr="00793F65">
        <w:t xml:space="preserve">, </w:t>
      </w:r>
      <w:r w:rsidR="00D00748" w:rsidRPr="00A2734E">
        <w:t>regardless of whether he or she consents</w:t>
      </w:r>
      <w:r w:rsidR="00D00748" w:rsidRPr="00793F65">
        <w:t xml:space="preserve"> to provide </w:t>
      </w:r>
      <w:proofErr w:type="spellStart"/>
      <w:r w:rsidR="00D00748" w:rsidRPr="00793F65">
        <w:t>biospecimen</w:t>
      </w:r>
      <w:r w:rsidR="00D00748" w:rsidRPr="00A2734E">
        <w:t>s</w:t>
      </w:r>
      <w:proofErr w:type="spellEnd"/>
      <w:r w:rsidR="00D00748" w:rsidRPr="00793F65">
        <w:t>.</w:t>
      </w:r>
    </w:p>
    <w:p w:rsidR="00A074C4" w:rsidRDefault="002300C3" w:rsidP="00470C13">
      <w:pPr>
        <w:pStyle w:val="N1-1stBullet"/>
        <w:numPr>
          <w:ilvl w:val="0"/>
          <w:numId w:val="33"/>
        </w:numPr>
      </w:pPr>
      <w:r>
        <w:t>A</w:t>
      </w:r>
      <w:r w:rsidRPr="00A2734E">
        <w:t xml:space="preserve">t the </w:t>
      </w:r>
      <w:r>
        <w:t xml:space="preserve">Wave 2 </w:t>
      </w:r>
      <w:r w:rsidRPr="00A2734E">
        <w:t>home visit, an incentive of $</w:t>
      </w:r>
      <w:r>
        <w:t>25</w:t>
      </w:r>
      <w:r w:rsidRPr="00A2734E">
        <w:t xml:space="preserve"> </w:t>
      </w:r>
      <w:r w:rsidR="002D30E5">
        <w:t>will be offered to</w:t>
      </w:r>
      <w:r>
        <w:t xml:space="preserve"> newly aged-in </w:t>
      </w:r>
      <w:r w:rsidRPr="00A2734E">
        <w:t>adult respondents</w:t>
      </w:r>
      <w:r>
        <w:t xml:space="preserve"> (i.e., youth from the baseline who have turned 18 years old and have consented to participate in the PATH Study as an adult)</w:t>
      </w:r>
      <w:r w:rsidR="002D30E5">
        <w:t xml:space="preserve"> who consent to provide </w:t>
      </w:r>
      <w:r w:rsidR="00F87DD5">
        <w:t xml:space="preserve">a </w:t>
      </w:r>
      <w:r w:rsidR="002D30E5">
        <w:t xml:space="preserve">urine </w:t>
      </w:r>
      <w:r w:rsidR="00F87DD5">
        <w:t>sample</w:t>
      </w:r>
      <w:r w:rsidR="00A8713C">
        <w:t>.</w:t>
      </w:r>
    </w:p>
    <w:p w:rsidR="00786F8E" w:rsidRDefault="00786F8E" w:rsidP="00786F8E">
      <w:pPr>
        <w:pStyle w:val="N1-1stBullet"/>
        <w:numPr>
          <w:ilvl w:val="0"/>
          <w:numId w:val="33"/>
        </w:numPr>
      </w:pPr>
      <w:r w:rsidRPr="00793F65">
        <w:t>An incentive of $25 will be offered to an adult respondent who provided a urine sample at the baseline and who,</w:t>
      </w:r>
      <w:r w:rsidRPr="00224D80">
        <w:t xml:space="preserve"> after completing the Wave 2 extended interview, is s</w:t>
      </w:r>
      <w:r w:rsidRPr="00D7088C">
        <w:t>ubsampled</w:t>
      </w:r>
      <w:r w:rsidRPr="00A37FBA">
        <w:t xml:space="preserve"> </w:t>
      </w:r>
      <w:r w:rsidRPr="00E15B40">
        <w:t>by an algorithm to provide another uri</w:t>
      </w:r>
      <w:r w:rsidRPr="00A763E4">
        <w:t>ne sample at Wave 2.</w:t>
      </w:r>
    </w:p>
    <w:p w:rsidR="00786F8E" w:rsidRDefault="00786F8E" w:rsidP="00786F8E">
      <w:pPr>
        <w:pStyle w:val="N1-1stBullet"/>
        <w:numPr>
          <w:ilvl w:val="0"/>
          <w:numId w:val="33"/>
        </w:numPr>
      </w:pPr>
      <w:r>
        <w:t>A</w:t>
      </w:r>
      <w:r w:rsidRPr="00A2734E">
        <w:t>n incentive of $</w:t>
      </w:r>
      <w:r>
        <w:t>25</w:t>
      </w:r>
      <w:r w:rsidRPr="00A2734E">
        <w:t xml:space="preserve"> </w:t>
      </w:r>
      <w:r>
        <w:t xml:space="preserve">will be offered to newly aged-in </w:t>
      </w:r>
      <w:r w:rsidRPr="00A2734E">
        <w:t>adult respondents</w:t>
      </w:r>
      <w:r>
        <w:t xml:space="preserve"> (i.e., youth from the baseline who have turned 18 years old and have consented to participate in the PATH Study as an adult)</w:t>
      </w:r>
      <w:r w:rsidRPr="00AA61F7">
        <w:t xml:space="preserve"> </w:t>
      </w:r>
      <w:r>
        <w:t>who consent to provide a blood sample</w:t>
      </w:r>
      <w:r w:rsidRPr="00241FF4">
        <w:t>.</w:t>
      </w:r>
    </w:p>
    <w:p w:rsidR="00786F8E" w:rsidRDefault="00786F8E" w:rsidP="00786F8E">
      <w:pPr>
        <w:pStyle w:val="N1-1stBullet"/>
        <w:numPr>
          <w:ilvl w:val="0"/>
          <w:numId w:val="33"/>
        </w:numPr>
      </w:pPr>
      <w:r w:rsidRPr="00A2734E">
        <w:t>An incentive of $10 is planned for parents who complete a parent interview.</w:t>
      </w:r>
    </w:p>
    <w:p w:rsidR="00786F8E" w:rsidRDefault="00786F8E" w:rsidP="00786F8E">
      <w:pPr>
        <w:pStyle w:val="N1-1stBullet"/>
        <w:numPr>
          <w:ilvl w:val="0"/>
          <w:numId w:val="33"/>
        </w:numPr>
      </w:pPr>
      <w:r w:rsidRPr="00A2734E">
        <w:t>An incentive of $25 is planned for youth who complete the youth extended interview.</w:t>
      </w:r>
    </w:p>
    <w:p w:rsidR="007B4E7B" w:rsidRDefault="007B4E7B">
      <w:pPr>
        <w:spacing w:line="240" w:lineRule="auto"/>
      </w:pPr>
      <w:r>
        <w:br w:type="page"/>
      </w:r>
    </w:p>
    <w:p w:rsidR="00B66E95" w:rsidRPr="00B66E95" w:rsidRDefault="00B66E95" w:rsidP="00470C13">
      <w:pPr>
        <w:pStyle w:val="TT-TableTitle"/>
        <w:tabs>
          <w:tab w:val="clear" w:pos="1440"/>
          <w:tab w:val="left" w:pos="720"/>
        </w:tabs>
        <w:ind w:left="0" w:firstLine="0"/>
      </w:pPr>
      <w:proofErr w:type="gramStart"/>
      <w:r>
        <w:lastRenderedPageBreak/>
        <w:t>Table A-2</w:t>
      </w:r>
      <w:r w:rsidRPr="00E63CFA">
        <w:t>.</w:t>
      </w:r>
      <w:proofErr w:type="gramEnd"/>
      <w:r w:rsidRPr="00E63CFA">
        <w:t xml:space="preserve"> </w:t>
      </w:r>
      <w:r w:rsidRPr="00E63CFA">
        <w:tab/>
        <w:t>PATH planned incentives</w:t>
      </w:r>
      <w:r>
        <w:t xml:space="preserve"> for Wave 2</w:t>
      </w:r>
    </w:p>
    <w:p w:rsidR="00B66E95" w:rsidRPr="00A2734E" w:rsidRDefault="00B66E95" w:rsidP="00B66E95">
      <w:pPr>
        <w:pStyle w:val="TT-TableTitle"/>
        <w:tabs>
          <w:tab w:val="left" w:pos="7105"/>
        </w:tabs>
      </w:pPr>
    </w:p>
    <w:tbl>
      <w:tblPr>
        <w:tblW w:w="8568" w:type="dxa"/>
        <w:tblBorders>
          <w:top w:val="single" w:sz="4" w:space="0" w:color="auto"/>
          <w:bottom w:val="single" w:sz="4" w:space="0" w:color="auto"/>
        </w:tblBorders>
        <w:tblLayout w:type="fixed"/>
        <w:tblLook w:val="04A0" w:firstRow="1" w:lastRow="0" w:firstColumn="1" w:lastColumn="0" w:noHBand="0" w:noVBand="1"/>
      </w:tblPr>
      <w:tblGrid>
        <w:gridCol w:w="6991"/>
        <w:gridCol w:w="47"/>
        <w:gridCol w:w="1482"/>
        <w:gridCol w:w="48"/>
      </w:tblGrid>
      <w:tr w:rsidR="00B66E95" w:rsidRPr="00A2734E" w:rsidTr="003776E6">
        <w:trPr>
          <w:gridAfter w:val="1"/>
          <w:wAfter w:w="48" w:type="dxa"/>
          <w:trHeight w:val="341"/>
        </w:trPr>
        <w:tc>
          <w:tcPr>
            <w:tcW w:w="6991" w:type="dxa"/>
            <w:tcBorders>
              <w:top w:val="single" w:sz="4" w:space="0" w:color="auto"/>
              <w:left w:val="nil"/>
              <w:bottom w:val="single" w:sz="4" w:space="0" w:color="auto"/>
              <w:right w:val="nil"/>
              <w:tl2br w:val="nil"/>
              <w:tr2bl w:val="nil"/>
            </w:tcBorders>
            <w:shd w:val="clear" w:color="auto" w:fill="AFBED7"/>
            <w:vAlign w:val="bottom"/>
          </w:tcPr>
          <w:p w:rsidR="00B66E95" w:rsidRPr="009C1BE4" w:rsidRDefault="00B66E95" w:rsidP="003776E6">
            <w:pPr>
              <w:pStyle w:val="TH-TableHeading"/>
              <w:jc w:val="left"/>
            </w:pPr>
            <w:r>
              <w:t>Activity</w:t>
            </w:r>
          </w:p>
        </w:tc>
        <w:tc>
          <w:tcPr>
            <w:tcW w:w="1529" w:type="dxa"/>
            <w:gridSpan w:val="2"/>
            <w:tcBorders>
              <w:top w:val="single" w:sz="4" w:space="0" w:color="auto"/>
              <w:left w:val="nil"/>
              <w:bottom w:val="single" w:sz="4" w:space="0" w:color="auto"/>
              <w:right w:val="nil"/>
              <w:tl2br w:val="nil"/>
              <w:tr2bl w:val="nil"/>
            </w:tcBorders>
            <w:shd w:val="clear" w:color="auto" w:fill="AFBED7"/>
            <w:vAlign w:val="bottom"/>
            <w:hideMark/>
          </w:tcPr>
          <w:p w:rsidR="00B66E95" w:rsidRPr="009C1BE4" w:rsidRDefault="00B66E95" w:rsidP="003776E6">
            <w:pPr>
              <w:pStyle w:val="TH-TableHeading"/>
              <w:ind w:left="72" w:hanging="72"/>
            </w:pPr>
            <w:r w:rsidRPr="009C1BE4">
              <w:t>Incentive</w:t>
            </w:r>
          </w:p>
        </w:tc>
      </w:tr>
      <w:tr w:rsidR="00B66E95" w:rsidRPr="00A2734E" w:rsidTr="003776E6">
        <w:tc>
          <w:tcPr>
            <w:tcW w:w="7038" w:type="dxa"/>
            <w:gridSpan w:val="2"/>
            <w:hideMark/>
          </w:tcPr>
          <w:p w:rsidR="00B66E95" w:rsidRPr="00A2734E" w:rsidRDefault="00B66E95" w:rsidP="003776E6">
            <w:pPr>
              <w:pStyle w:val="TX-TableText"/>
              <w:ind w:left="360" w:hanging="360"/>
            </w:pPr>
            <w:r>
              <w:t xml:space="preserve">Adult </w:t>
            </w:r>
            <w:r w:rsidR="008966D4">
              <w:t>Interview and Biospecimen Collection</w:t>
            </w:r>
          </w:p>
          <w:p w:rsidR="00B66E95" w:rsidRPr="00A2734E" w:rsidRDefault="00B66E95" w:rsidP="003776E6">
            <w:pPr>
              <w:pStyle w:val="TX-TableText"/>
              <w:ind w:left="360"/>
            </w:pPr>
            <w:r>
              <w:t>A</w:t>
            </w:r>
            <w:r w:rsidRPr="00A2734E">
              <w:t xml:space="preserve">dult Extended Interview </w:t>
            </w:r>
          </w:p>
        </w:tc>
        <w:tc>
          <w:tcPr>
            <w:tcW w:w="1530" w:type="dxa"/>
            <w:gridSpan w:val="2"/>
            <w:vAlign w:val="center"/>
            <w:hideMark/>
          </w:tcPr>
          <w:p w:rsidR="00B66E95" w:rsidRPr="00A2734E" w:rsidRDefault="00B66E95" w:rsidP="003776E6">
            <w:pPr>
              <w:pStyle w:val="TX-TableText"/>
              <w:jc w:val="center"/>
            </w:pPr>
          </w:p>
          <w:p w:rsidR="008966D4" w:rsidRPr="00A2734E" w:rsidRDefault="00B66E95" w:rsidP="008966D4">
            <w:pPr>
              <w:pStyle w:val="TX-TableText"/>
              <w:jc w:val="center"/>
            </w:pPr>
            <w:r w:rsidRPr="00A2734E">
              <w:t>$35</w:t>
            </w:r>
          </w:p>
        </w:tc>
      </w:tr>
      <w:tr w:rsidR="00B66E95" w:rsidRPr="00A2734E" w:rsidTr="00C94B3E">
        <w:trPr>
          <w:gridAfter w:val="1"/>
          <w:wAfter w:w="48" w:type="dxa"/>
        </w:trPr>
        <w:tc>
          <w:tcPr>
            <w:tcW w:w="7038" w:type="dxa"/>
            <w:gridSpan w:val="2"/>
          </w:tcPr>
          <w:p w:rsidR="00B66E95" w:rsidRDefault="00B66E95" w:rsidP="00C94B3E">
            <w:pPr>
              <w:pStyle w:val="TX-TableText"/>
              <w:tabs>
                <w:tab w:val="left" w:pos="360"/>
              </w:tabs>
              <w:ind w:left="360"/>
              <w:rPr>
                <w:szCs w:val="16"/>
              </w:rPr>
            </w:pPr>
            <w:r w:rsidRPr="00A2734E">
              <w:t>Biospecimen collection</w:t>
            </w:r>
            <w:r>
              <w:t xml:space="preserve"> Visit #1 (urine</w:t>
            </w:r>
            <w:r w:rsidR="00E56C9D">
              <w:t xml:space="preserve"> </w:t>
            </w:r>
            <w:r w:rsidR="008966D4">
              <w:t>– conducted by interviewer</w:t>
            </w:r>
            <w:r>
              <w:t>)</w:t>
            </w:r>
          </w:p>
          <w:p w:rsidR="00E56C9D" w:rsidRPr="007B4E7B" w:rsidRDefault="00B66E95" w:rsidP="00D5355F">
            <w:pPr>
              <w:pStyle w:val="TX-TableText"/>
              <w:numPr>
                <w:ilvl w:val="0"/>
                <w:numId w:val="41"/>
              </w:numPr>
              <w:tabs>
                <w:tab w:val="left" w:pos="720"/>
              </w:tabs>
              <w:rPr>
                <w:szCs w:val="16"/>
              </w:rPr>
            </w:pPr>
            <w:r>
              <w:t>Youth aging into adult cohort</w:t>
            </w:r>
          </w:p>
          <w:p w:rsidR="00B66E95" w:rsidRPr="00A2734E" w:rsidRDefault="00B66E95">
            <w:pPr>
              <w:pStyle w:val="TX-TableText"/>
              <w:numPr>
                <w:ilvl w:val="0"/>
                <w:numId w:val="41"/>
              </w:numPr>
              <w:tabs>
                <w:tab w:val="left" w:pos="720"/>
              </w:tabs>
              <w:rPr>
                <w:szCs w:val="16"/>
              </w:rPr>
            </w:pPr>
            <w:r>
              <w:t xml:space="preserve">Subsample of eligible adults </w:t>
            </w:r>
          </w:p>
        </w:tc>
        <w:tc>
          <w:tcPr>
            <w:tcW w:w="1482" w:type="dxa"/>
          </w:tcPr>
          <w:p w:rsidR="00B66E95" w:rsidRPr="00A2734E" w:rsidRDefault="008966D4" w:rsidP="008966D4">
            <w:pPr>
              <w:pStyle w:val="TX-TableText"/>
              <w:jc w:val="center"/>
            </w:pPr>
            <w:r>
              <w:t xml:space="preserve"> </w:t>
            </w:r>
            <w:r w:rsidR="00B66E95" w:rsidRPr="00A2734E">
              <w:t>$</w:t>
            </w:r>
            <w:r w:rsidR="00B66E95">
              <w:t>25</w:t>
            </w:r>
          </w:p>
        </w:tc>
      </w:tr>
      <w:tr w:rsidR="00B66E95" w:rsidRPr="00A2734E" w:rsidTr="00C94B3E">
        <w:trPr>
          <w:gridAfter w:val="1"/>
          <w:wAfter w:w="48" w:type="dxa"/>
        </w:trPr>
        <w:tc>
          <w:tcPr>
            <w:tcW w:w="7038" w:type="dxa"/>
            <w:gridSpan w:val="2"/>
            <w:hideMark/>
          </w:tcPr>
          <w:p w:rsidR="00B66E95" w:rsidRDefault="00B66E95" w:rsidP="003776E6">
            <w:pPr>
              <w:pStyle w:val="TX-TableText"/>
              <w:ind w:left="360" w:hanging="360"/>
            </w:pPr>
            <w:r>
              <w:tab/>
              <w:t>Biospecimen collection Visit #2 (blood - conducted by health professional)</w:t>
            </w:r>
          </w:p>
          <w:p w:rsidR="00B66E95" w:rsidRPr="00A2734E" w:rsidRDefault="00B66E95" w:rsidP="00FF0AD0">
            <w:pPr>
              <w:pStyle w:val="TX-TableText"/>
              <w:numPr>
                <w:ilvl w:val="0"/>
                <w:numId w:val="42"/>
              </w:numPr>
              <w:tabs>
                <w:tab w:val="left" w:pos="720"/>
              </w:tabs>
              <w:rPr>
                <w:szCs w:val="16"/>
              </w:rPr>
            </w:pPr>
            <w:r>
              <w:t xml:space="preserve">Youth aging into adult cohort </w:t>
            </w:r>
          </w:p>
        </w:tc>
        <w:tc>
          <w:tcPr>
            <w:tcW w:w="1482" w:type="dxa"/>
            <w:hideMark/>
          </w:tcPr>
          <w:p w:rsidR="00B66E95" w:rsidRPr="00A2734E" w:rsidRDefault="008966D4" w:rsidP="008966D4">
            <w:pPr>
              <w:pStyle w:val="TX-TableText"/>
              <w:jc w:val="center"/>
            </w:pPr>
            <w:r>
              <w:t xml:space="preserve"> </w:t>
            </w:r>
            <w:r w:rsidR="00B66E95" w:rsidRPr="00241FF4">
              <w:t>$25</w:t>
            </w:r>
          </w:p>
        </w:tc>
      </w:tr>
      <w:tr w:rsidR="00B66E95" w:rsidRPr="00A2734E" w:rsidTr="003776E6">
        <w:trPr>
          <w:gridAfter w:val="1"/>
          <w:wAfter w:w="48" w:type="dxa"/>
        </w:trPr>
        <w:tc>
          <w:tcPr>
            <w:tcW w:w="7038" w:type="dxa"/>
            <w:gridSpan w:val="2"/>
          </w:tcPr>
          <w:p w:rsidR="00B66E95" w:rsidRPr="00A2734E" w:rsidRDefault="00B66E95" w:rsidP="003776E6">
            <w:pPr>
              <w:pStyle w:val="TX-TableText"/>
              <w:ind w:left="360" w:hanging="360"/>
            </w:pPr>
            <w:r>
              <w:t>Youth Interview</w:t>
            </w:r>
          </w:p>
        </w:tc>
        <w:tc>
          <w:tcPr>
            <w:tcW w:w="1482" w:type="dxa"/>
            <w:vAlign w:val="center"/>
          </w:tcPr>
          <w:p w:rsidR="00B66E95" w:rsidRPr="00A2734E" w:rsidRDefault="008966D4" w:rsidP="003776E6">
            <w:pPr>
              <w:pStyle w:val="TX-TableText"/>
              <w:jc w:val="center"/>
            </w:pPr>
            <w:r>
              <w:t xml:space="preserve"> </w:t>
            </w:r>
            <w:r w:rsidR="00B66E95">
              <w:t>$25</w:t>
            </w:r>
          </w:p>
        </w:tc>
      </w:tr>
      <w:tr w:rsidR="00B66E95" w:rsidRPr="00A2734E" w:rsidTr="003776E6">
        <w:trPr>
          <w:gridAfter w:val="1"/>
          <w:wAfter w:w="48" w:type="dxa"/>
        </w:trPr>
        <w:tc>
          <w:tcPr>
            <w:tcW w:w="7038" w:type="dxa"/>
            <w:gridSpan w:val="2"/>
            <w:hideMark/>
          </w:tcPr>
          <w:p w:rsidR="00B66E95" w:rsidRPr="00A2734E" w:rsidRDefault="00B66E95" w:rsidP="003776E6">
            <w:pPr>
              <w:pStyle w:val="TX-TableText"/>
              <w:ind w:left="360" w:hanging="360"/>
            </w:pPr>
            <w:r w:rsidRPr="00A2734E">
              <w:t xml:space="preserve">Parent Interview* </w:t>
            </w:r>
          </w:p>
        </w:tc>
        <w:tc>
          <w:tcPr>
            <w:tcW w:w="1482" w:type="dxa"/>
            <w:vAlign w:val="center"/>
            <w:hideMark/>
          </w:tcPr>
          <w:p w:rsidR="00B66E95" w:rsidRPr="00A2734E" w:rsidRDefault="008966D4" w:rsidP="003776E6">
            <w:pPr>
              <w:pStyle w:val="TX-TableText"/>
              <w:jc w:val="center"/>
            </w:pPr>
            <w:r>
              <w:t xml:space="preserve"> </w:t>
            </w:r>
            <w:r w:rsidR="00B66E95" w:rsidRPr="00A2734E">
              <w:t>$10</w:t>
            </w:r>
          </w:p>
        </w:tc>
      </w:tr>
      <w:tr w:rsidR="00B66E95" w:rsidRPr="00A2734E" w:rsidTr="003776E6">
        <w:trPr>
          <w:gridAfter w:val="1"/>
          <w:wAfter w:w="48" w:type="dxa"/>
        </w:trPr>
        <w:tc>
          <w:tcPr>
            <w:tcW w:w="7038" w:type="dxa"/>
            <w:gridSpan w:val="2"/>
            <w:hideMark/>
          </w:tcPr>
          <w:p w:rsidR="00B66E95" w:rsidRPr="00A2734E" w:rsidRDefault="00B66E95" w:rsidP="003776E6">
            <w:pPr>
              <w:pStyle w:val="TX-TableText"/>
              <w:ind w:left="360" w:hanging="360"/>
            </w:pPr>
            <w:r w:rsidRPr="00A2734E">
              <w:t xml:space="preserve">Contact Information Update** </w:t>
            </w:r>
          </w:p>
        </w:tc>
        <w:tc>
          <w:tcPr>
            <w:tcW w:w="1482" w:type="dxa"/>
            <w:vAlign w:val="center"/>
            <w:hideMark/>
          </w:tcPr>
          <w:p w:rsidR="00B66E95" w:rsidRPr="00A2734E" w:rsidRDefault="008966D4" w:rsidP="003776E6">
            <w:pPr>
              <w:pStyle w:val="TX-TableText"/>
              <w:jc w:val="center"/>
            </w:pPr>
            <w:r>
              <w:t xml:space="preserve"> </w:t>
            </w:r>
            <w:r w:rsidR="00B66E95" w:rsidRPr="00A2734E">
              <w:t>$10</w:t>
            </w:r>
          </w:p>
        </w:tc>
      </w:tr>
    </w:tbl>
    <w:p w:rsidR="00B66E95" w:rsidRPr="00A2734E" w:rsidRDefault="00B66E95" w:rsidP="00B66E95">
      <w:pPr>
        <w:pStyle w:val="TF-TblFN"/>
      </w:pPr>
      <w:r w:rsidRPr="00A2734E">
        <w:t xml:space="preserve">* Parents receive $10 for each interview they complete for a youth, and may complete a total of </w:t>
      </w:r>
      <w:r>
        <w:t xml:space="preserve">2 </w:t>
      </w:r>
      <w:r w:rsidRPr="00A2734E">
        <w:t xml:space="preserve">interviews for </w:t>
      </w:r>
      <w:r>
        <w:t>2</w:t>
      </w:r>
      <w:r w:rsidRPr="00A2734E">
        <w:t xml:space="preserve"> youth to receive a maximum of $</w:t>
      </w:r>
      <w:r>
        <w:t>2</w:t>
      </w:r>
      <w:r w:rsidRPr="00A2734E">
        <w:t>0</w:t>
      </w:r>
      <w:r>
        <w:t>. In households with multiple births, parents may complete a total of 4 interviews for 4 youth to receive a maximum of $40</w:t>
      </w:r>
    </w:p>
    <w:p w:rsidR="00B66E95" w:rsidRPr="00A2734E" w:rsidRDefault="00B66E95" w:rsidP="00B66E95">
      <w:pPr>
        <w:pStyle w:val="TF-TblFN"/>
      </w:pPr>
      <w:r w:rsidRPr="00A2734E">
        <w:t>** An adult respondent will receive $5 for updating his/her contact information up to two times between data collection waves, for a total of $10. A youth respondent will receive $5 each time, up to two times, their parent updates the youth’s contact information, for a total of $10.</w:t>
      </w:r>
    </w:p>
    <w:p w:rsidR="00B66E95" w:rsidRPr="0023016A" w:rsidRDefault="00B66E95" w:rsidP="00B66E95">
      <w:pPr>
        <w:pStyle w:val="L1-FlLSp12"/>
        <w:spacing w:line="240" w:lineRule="auto"/>
        <w:rPr>
          <w:sz w:val="22"/>
          <w:szCs w:val="22"/>
        </w:rPr>
      </w:pPr>
    </w:p>
    <w:p w:rsidR="00BC3C01" w:rsidRPr="00A2734E" w:rsidRDefault="00311702" w:rsidP="00793F65">
      <w:pPr>
        <w:pStyle w:val="L1-FlLSp12"/>
      </w:pPr>
      <w:r w:rsidRPr="00A2734E">
        <w:rPr>
          <w:szCs w:val="24"/>
        </w:rPr>
        <w:t>U</w:t>
      </w:r>
      <w:r w:rsidR="001E418D" w:rsidRPr="00A2734E">
        <w:rPr>
          <w:szCs w:val="24"/>
        </w:rPr>
        <w:t xml:space="preserve">se of separate incentives for completion of different components of a study </w:t>
      </w:r>
      <w:r w:rsidR="008E4BBB">
        <w:rPr>
          <w:szCs w:val="24"/>
        </w:rPr>
        <w:t xml:space="preserve">was used in the baseline wave of the PATH Study and </w:t>
      </w:r>
      <w:r w:rsidR="001E418D" w:rsidRPr="00A2734E">
        <w:rPr>
          <w:szCs w:val="24"/>
        </w:rPr>
        <w:t>has been used by other studies approved by OMB (e.g., National Children’s Study OMB #s 0925-0661</w:t>
      </w:r>
      <w:r w:rsidR="00C5505E">
        <w:rPr>
          <w:szCs w:val="24"/>
        </w:rPr>
        <w:t>,</w:t>
      </w:r>
      <w:r w:rsidR="001E418D" w:rsidRPr="00A2734E">
        <w:rPr>
          <w:szCs w:val="24"/>
        </w:rPr>
        <w:t xml:space="preserve"> expiration date 6/30/2015</w:t>
      </w:r>
      <w:r w:rsidR="00C5505E">
        <w:rPr>
          <w:szCs w:val="24"/>
        </w:rPr>
        <w:t>;</w:t>
      </w:r>
      <w:r w:rsidR="001E418D" w:rsidRPr="00A2734E">
        <w:rPr>
          <w:szCs w:val="24"/>
        </w:rPr>
        <w:t xml:space="preserve"> and 0925-0647</w:t>
      </w:r>
      <w:r w:rsidR="00C5505E">
        <w:rPr>
          <w:szCs w:val="24"/>
        </w:rPr>
        <w:t>,</w:t>
      </w:r>
      <w:r w:rsidR="001E418D" w:rsidRPr="00A2734E">
        <w:rPr>
          <w:szCs w:val="24"/>
        </w:rPr>
        <w:t xml:space="preserve"> expiration date 1/31/2015).</w:t>
      </w:r>
    </w:p>
    <w:p w:rsidR="00CA729A" w:rsidRPr="00A2734E" w:rsidRDefault="00CA729A" w:rsidP="00AC3EDE">
      <w:pPr>
        <w:pStyle w:val="L1-FlLSp12"/>
      </w:pPr>
    </w:p>
    <w:p w:rsidR="00DB6E10" w:rsidRPr="00A2734E" w:rsidRDefault="00F61ACC" w:rsidP="006D28A6">
      <w:pPr>
        <w:pStyle w:val="L1-FlLSp12"/>
        <w:rPr>
          <w:szCs w:val="24"/>
        </w:rPr>
      </w:pPr>
      <w:r w:rsidRPr="00A2734E">
        <w:rPr>
          <w:szCs w:val="24"/>
        </w:rPr>
        <w:t>To en</w:t>
      </w:r>
      <w:r w:rsidR="006A5AB8">
        <w:rPr>
          <w:szCs w:val="24"/>
        </w:rPr>
        <w:t>courage</w:t>
      </w:r>
      <w:r w:rsidRPr="00A2734E">
        <w:rPr>
          <w:szCs w:val="24"/>
        </w:rPr>
        <w:t xml:space="preserve"> retention of </w:t>
      </w:r>
      <w:r w:rsidR="004A2068" w:rsidRPr="00A2734E">
        <w:rPr>
          <w:szCs w:val="24"/>
        </w:rPr>
        <w:t>PATH Study</w:t>
      </w:r>
      <w:r w:rsidRPr="00A2734E">
        <w:rPr>
          <w:szCs w:val="24"/>
        </w:rPr>
        <w:t xml:space="preserve"> respondents over time, a</w:t>
      </w:r>
      <w:r w:rsidR="004237BB" w:rsidRPr="00A2734E">
        <w:rPr>
          <w:szCs w:val="24"/>
        </w:rPr>
        <w:t>n</w:t>
      </w:r>
      <w:r w:rsidRPr="00A2734E">
        <w:rPr>
          <w:szCs w:val="24"/>
        </w:rPr>
        <w:t xml:space="preserve"> </w:t>
      </w:r>
      <w:r w:rsidR="004237BB" w:rsidRPr="00A2734E">
        <w:rPr>
          <w:szCs w:val="24"/>
        </w:rPr>
        <w:t xml:space="preserve">incentive </w:t>
      </w:r>
      <w:r w:rsidR="008E4BBB">
        <w:rPr>
          <w:szCs w:val="24"/>
        </w:rPr>
        <w:t>will be offered to</w:t>
      </w:r>
      <w:r w:rsidRPr="00A2734E">
        <w:rPr>
          <w:szCs w:val="24"/>
        </w:rPr>
        <w:t xml:space="preserve"> </w:t>
      </w:r>
      <w:r w:rsidR="00CA729A" w:rsidRPr="00A2734E">
        <w:rPr>
          <w:szCs w:val="24"/>
        </w:rPr>
        <w:t xml:space="preserve">adult </w:t>
      </w:r>
      <w:r w:rsidR="00CA729A" w:rsidRPr="00A2734E">
        <w:t>respondents who provide updates to their contact information in between data collection waves.</w:t>
      </w:r>
      <w:r w:rsidR="00DB6E10" w:rsidRPr="00A2734E">
        <w:t xml:space="preserve"> </w:t>
      </w:r>
      <w:r w:rsidR="00CA729A" w:rsidRPr="00B70173">
        <w:rPr>
          <w:szCs w:val="24"/>
        </w:rPr>
        <w:t>Adults</w:t>
      </w:r>
      <w:r w:rsidR="00CA729A" w:rsidRPr="00B70173">
        <w:t xml:space="preserve"> will receive $5 each time they update their contact information up to a total of $10 per year.</w:t>
      </w:r>
      <w:r w:rsidR="00DB6E10" w:rsidRPr="00B70173">
        <w:rPr>
          <w:szCs w:val="24"/>
        </w:rPr>
        <w:t xml:space="preserve"> </w:t>
      </w:r>
      <w:r w:rsidR="00CA729A" w:rsidRPr="00B70173">
        <w:rPr>
          <w:szCs w:val="24"/>
        </w:rPr>
        <w:t>Youth respondents will</w:t>
      </w:r>
      <w:r w:rsidR="00F85964" w:rsidRPr="00B70173">
        <w:rPr>
          <w:szCs w:val="24"/>
        </w:rPr>
        <w:t xml:space="preserve"> receive $5 each time the</w:t>
      </w:r>
      <w:r w:rsidR="001E7625" w:rsidRPr="00B70173">
        <w:rPr>
          <w:szCs w:val="24"/>
        </w:rPr>
        <w:t>ir parent</w:t>
      </w:r>
      <w:r w:rsidR="00F85964" w:rsidRPr="00B70173">
        <w:rPr>
          <w:szCs w:val="24"/>
        </w:rPr>
        <w:t xml:space="preserve"> update</w:t>
      </w:r>
      <w:r w:rsidR="001E7625" w:rsidRPr="00B70173">
        <w:rPr>
          <w:szCs w:val="24"/>
        </w:rPr>
        <w:t>s</w:t>
      </w:r>
      <w:r w:rsidR="00F85964" w:rsidRPr="00B70173">
        <w:rPr>
          <w:szCs w:val="24"/>
        </w:rPr>
        <w:t xml:space="preserve"> their contact information</w:t>
      </w:r>
      <w:r w:rsidR="00C2261C" w:rsidRPr="00B70173">
        <w:rPr>
          <w:szCs w:val="24"/>
        </w:rPr>
        <w:t xml:space="preserve"> </w:t>
      </w:r>
      <w:r w:rsidR="004F15DB" w:rsidRPr="00B70173">
        <w:rPr>
          <w:szCs w:val="24"/>
        </w:rPr>
        <w:t>up to a total of $10 per year</w:t>
      </w:r>
      <w:r w:rsidR="00E70558" w:rsidRPr="00B70173">
        <w:rPr>
          <w:szCs w:val="24"/>
        </w:rPr>
        <w:t>.</w:t>
      </w:r>
      <w:r w:rsidR="00DB6E10" w:rsidRPr="00B70173">
        <w:rPr>
          <w:szCs w:val="24"/>
        </w:rPr>
        <w:t xml:space="preserve"> </w:t>
      </w:r>
      <w:r w:rsidR="005C33FB" w:rsidRPr="00B70173">
        <w:rPr>
          <w:szCs w:val="24"/>
        </w:rPr>
        <w:t>Research supports the use of incentives</w:t>
      </w:r>
      <w:r w:rsidR="00CB265E" w:rsidRPr="00B70173">
        <w:rPr>
          <w:szCs w:val="24"/>
        </w:rPr>
        <w:t xml:space="preserve"> </w:t>
      </w:r>
      <w:r w:rsidR="008E4BBB">
        <w:rPr>
          <w:szCs w:val="24"/>
        </w:rPr>
        <w:t xml:space="preserve">such as this </w:t>
      </w:r>
      <w:r w:rsidR="0006181F">
        <w:rPr>
          <w:szCs w:val="24"/>
        </w:rPr>
        <w:t>(</w:t>
      </w:r>
      <w:r w:rsidR="006F3190">
        <w:rPr>
          <w:szCs w:val="24"/>
        </w:rPr>
        <w:t xml:space="preserve">i.e., </w:t>
      </w:r>
      <w:r w:rsidR="00CB265E" w:rsidRPr="00B70173">
        <w:rPr>
          <w:szCs w:val="24"/>
        </w:rPr>
        <w:t>between data collection waves</w:t>
      </w:r>
      <w:r w:rsidR="0006181F">
        <w:rPr>
          <w:szCs w:val="24"/>
        </w:rPr>
        <w:t>)</w:t>
      </w:r>
      <w:r w:rsidR="008E4BBB">
        <w:rPr>
          <w:szCs w:val="24"/>
        </w:rPr>
        <w:t>,</w:t>
      </w:r>
      <w:r w:rsidR="00CB265E" w:rsidRPr="00B70173">
        <w:rPr>
          <w:szCs w:val="24"/>
        </w:rPr>
        <w:t xml:space="preserve"> as they </w:t>
      </w:r>
      <w:r w:rsidR="006F3190">
        <w:rPr>
          <w:szCs w:val="24"/>
        </w:rPr>
        <w:t xml:space="preserve">help to increase </w:t>
      </w:r>
      <w:r w:rsidR="005C33FB" w:rsidRPr="00B70173">
        <w:rPr>
          <w:szCs w:val="24"/>
        </w:rPr>
        <w:t xml:space="preserve">response rates and </w:t>
      </w:r>
      <w:r w:rsidR="005C33FB" w:rsidRPr="00A2734E">
        <w:rPr>
          <w:szCs w:val="24"/>
        </w:rPr>
        <w:t>the amount of updated locator information received from respondents (</w:t>
      </w:r>
      <w:proofErr w:type="spellStart"/>
      <w:r w:rsidR="00AB0216" w:rsidRPr="00A2734E">
        <w:rPr>
          <w:szCs w:val="24"/>
        </w:rPr>
        <w:t>McGonagle</w:t>
      </w:r>
      <w:proofErr w:type="spellEnd"/>
      <w:r w:rsidR="006F5824">
        <w:rPr>
          <w:szCs w:val="24"/>
        </w:rPr>
        <w:t xml:space="preserve"> et al.</w:t>
      </w:r>
      <w:r w:rsidR="00412FC6" w:rsidRPr="00A2734E">
        <w:rPr>
          <w:szCs w:val="24"/>
        </w:rPr>
        <w:t>,</w:t>
      </w:r>
      <w:r w:rsidR="005C33FB" w:rsidRPr="00A2734E">
        <w:rPr>
          <w:szCs w:val="24"/>
        </w:rPr>
        <w:t xml:space="preserve"> </w:t>
      </w:r>
      <w:r w:rsidRPr="00A2734E">
        <w:rPr>
          <w:szCs w:val="24"/>
        </w:rPr>
        <w:t>2011</w:t>
      </w:r>
      <w:r w:rsidR="00943D08" w:rsidRPr="00A2734E">
        <w:rPr>
          <w:szCs w:val="24"/>
        </w:rPr>
        <w:t xml:space="preserve">; </w:t>
      </w:r>
      <w:proofErr w:type="spellStart"/>
      <w:r w:rsidR="00943D08" w:rsidRPr="00A2734E">
        <w:rPr>
          <w:szCs w:val="24"/>
        </w:rPr>
        <w:t>Castiglioni</w:t>
      </w:r>
      <w:proofErr w:type="spellEnd"/>
      <w:r w:rsidR="006F5824">
        <w:rPr>
          <w:szCs w:val="24"/>
        </w:rPr>
        <w:t xml:space="preserve"> et al.</w:t>
      </w:r>
      <w:r w:rsidR="00412FC6" w:rsidRPr="00A2734E">
        <w:rPr>
          <w:szCs w:val="24"/>
        </w:rPr>
        <w:t>,</w:t>
      </w:r>
      <w:r w:rsidR="00943D08" w:rsidRPr="00A2734E">
        <w:rPr>
          <w:szCs w:val="24"/>
        </w:rPr>
        <w:t xml:space="preserve"> 2008</w:t>
      </w:r>
      <w:r w:rsidRPr="00A2734E">
        <w:rPr>
          <w:szCs w:val="24"/>
        </w:rPr>
        <w:t>)</w:t>
      </w:r>
      <w:r w:rsidR="005C33FB" w:rsidRPr="00A2734E">
        <w:rPr>
          <w:szCs w:val="24"/>
        </w:rPr>
        <w:t>.</w:t>
      </w:r>
    </w:p>
    <w:p w:rsidR="008945FD" w:rsidRPr="00A2734E" w:rsidRDefault="008945FD" w:rsidP="00AC3EDE">
      <w:pPr>
        <w:pStyle w:val="L1-FlLSp12"/>
      </w:pPr>
    </w:p>
    <w:p w:rsidR="009E6590" w:rsidRDefault="006F3190" w:rsidP="00AC3EDE">
      <w:pPr>
        <w:pStyle w:val="L1-FlLSp12"/>
        <w:rPr>
          <w:szCs w:val="24"/>
        </w:rPr>
      </w:pPr>
      <w:r>
        <w:rPr>
          <w:szCs w:val="24"/>
        </w:rPr>
        <w:t>I</w:t>
      </w:r>
      <w:r w:rsidR="00F61ACC" w:rsidRPr="00A2734E">
        <w:rPr>
          <w:szCs w:val="24"/>
        </w:rPr>
        <w:t>ncentive</w:t>
      </w:r>
      <w:r w:rsidR="006A5AB8">
        <w:rPr>
          <w:szCs w:val="24"/>
        </w:rPr>
        <w:t>s</w:t>
      </w:r>
      <w:r w:rsidR="00F61ACC" w:rsidRPr="00A2734E">
        <w:rPr>
          <w:szCs w:val="24"/>
        </w:rPr>
        <w:t xml:space="preserve"> will be </w:t>
      </w:r>
      <w:r>
        <w:rPr>
          <w:szCs w:val="24"/>
        </w:rPr>
        <w:t>described</w:t>
      </w:r>
      <w:r w:rsidR="00F61ACC" w:rsidRPr="00A2734E">
        <w:rPr>
          <w:szCs w:val="24"/>
        </w:rPr>
        <w:t xml:space="preserve"> in </w:t>
      </w:r>
      <w:r>
        <w:rPr>
          <w:szCs w:val="24"/>
        </w:rPr>
        <w:t xml:space="preserve">PATH Study </w:t>
      </w:r>
      <w:r w:rsidR="00394D87">
        <w:rPr>
          <w:szCs w:val="24"/>
        </w:rPr>
        <w:t>materials</w:t>
      </w:r>
      <w:r w:rsidR="00515209">
        <w:rPr>
          <w:szCs w:val="24"/>
        </w:rPr>
        <w:t>,</w:t>
      </w:r>
      <w:r w:rsidR="005C52C5" w:rsidRPr="00A2734E">
        <w:rPr>
          <w:szCs w:val="24"/>
        </w:rPr>
        <w:t xml:space="preserve"> </w:t>
      </w:r>
      <w:r w:rsidR="00E62301">
        <w:rPr>
          <w:szCs w:val="24"/>
        </w:rPr>
        <w:t>including</w:t>
      </w:r>
      <w:r w:rsidR="005C52C5" w:rsidRPr="00A2734E">
        <w:rPr>
          <w:szCs w:val="24"/>
        </w:rPr>
        <w:t xml:space="preserve"> </w:t>
      </w:r>
      <w:r w:rsidR="00F61ACC" w:rsidRPr="00A2734E">
        <w:rPr>
          <w:szCs w:val="24"/>
        </w:rPr>
        <w:t xml:space="preserve">the study consent document provided to each </w:t>
      </w:r>
      <w:r w:rsidR="00366FFA">
        <w:rPr>
          <w:szCs w:val="24"/>
        </w:rPr>
        <w:t xml:space="preserve">“new” </w:t>
      </w:r>
      <w:r w:rsidR="00F61ACC" w:rsidRPr="00A2734E">
        <w:rPr>
          <w:szCs w:val="24"/>
        </w:rPr>
        <w:t xml:space="preserve">respondent prior to the start of the </w:t>
      </w:r>
      <w:r w:rsidR="004A2068" w:rsidRPr="00A2734E">
        <w:rPr>
          <w:szCs w:val="24"/>
        </w:rPr>
        <w:t>PATH Study</w:t>
      </w:r>
      <w:r w:rsidR="00475C98" w:rsidRPr="00A2734E">
        <w:rPr>
          <w:szCs w:val="24"/>
        </w:rPr>
        <w:t xml:space="preserve"> </w:t>
      </w:r>
      <w:r w:rsidR="00F61ACC" w:rsidRPr="00A2734E">
        <w:rPr>
          <w:szCs w:val="24"/>
        </w:rPr>
        <w:t xml:space="preserve">extended </w:t>
      </w:r>
      <w:r w:rsidR="00F61ACC" w:rsidRPr="00A92156">
        <w:rPr>
          <w:szCs w:val="24"/>
        </w:rPr>
        <w:t>interview (</w:t>
      </w:r>
      <w:r w:rsidR="00FC5A59" w:rsidRPr="00B343AC">
        <w:rPr>
          <w:szCs w:val="24"/>
        </w:rPr>
        <w:t xml:space="preserve">see </w:t>
      </w:r>
      <w:r w:rsidR="00FC5A59" w:rsidRPr="0023016A">
        <w:rPr>
          <w:szCs w:val="24"/>
        </w:rPr>
        <w:t>Attachment</w:t>
      </w:r>
      <w:r w:rsidR="00F6743F" w:rsidRPr="0023016A">
        <w:rPr>
          <w:szCs w:val="24"/>
        </w:rPr>
        <w:t xml:space="preserve"> 1</w:t>
      </w:r>
      <w:r w:rsidR="004127AB">
        <w:rPr>
          <w:szCs w:val="24"/>
        </w:rPr>
        <w:t>2</w:t>
      </w:r>
      <w:r w:rsidR="00F61ACC" w:rsidRPr="00B343AC">
        <w:rPr>
          <w:szCs w:val="24"/>
        </w:rPr>
        <w:t>).</w:t>
      </w:r>
      <w:r w:rsidR="00BC3C01" w:rsidRPr="00A92156">
        <w:rPr>
          <w:szCs w:val="24"/>
        </w:rPr>
        <w:t xml:space="preserve"> </w:t>
      </w:r>
      <w:r w:rsidR="00930E2C" w:rsidRPr="00A92156">
        <w:rPr>
          <w:szCs w:val="24"/>
        </w:rPr>
        <w:t>Th</w:t>
      </w:r>
      <w:r w:rsidR="00F61ACC" w:rsidRPr="00A92156">
        <w:rPr>
          <w:szCs w:val="24"/>
        </w:rPr>
        <w:t xml:space="preserve">ese materials </w:t>
      </w:r>
      <w:r w:rsidR="00930E2C" w:rsidRPr="00A92156">
        <w:rPr>
          <w:szCs w:val="24"/>
        </w:rPr>
        <w:t xml:space="preserve">will clearly state </w:t>
      </w:r>
      <w:r w:rsidR="00F61ACC" w:rsidRPr="00A92156">
        <w:rPr>
          <w:szCs w:val="24"/>
        </w:rPr>
        <w:t>that</w:t>
      </w:r>
      <w:r w:rsidR="005C52C5" w:rsidRPr="00A2734E">
        <w:rPr>
          <w:szCs w:val="24"/>
        </w:rPr>
        <w:t xml:space="preserve"> </w:t>
      </w:r>
      <w:r w:rsidR="00F61ACC" w:rsidRPr="00A2734E">
        <w:rPr>
          <w:szCs w:val="24"/>
        </w:rPr>
        <w:t xml:space="preserve">incentives </w:t>
      </w:r>
      <w:r w:rsidR="00F03B72" w:rsidRPr="00A2734E">
        <w:rPr>
          <w:szCs w:val="24"/>
        </w:rPr>
        <w:t xml:space="preserve">will be </w:t>
      </w:r>
      <w:r>
        <w:rPr>
          <w:szCs w:val="24"/>
        </w:rPr>
        <w:t>offered</w:t>
      </w:r>
      <w:r w:rsidR="00F03B72" w:rsidRPr="00A2734E">
        <w:rPr>
          <w:szCs w:val="24"/>
        </w:rPr>
        <w:t xml:space="preserve"> </w:t>
      </w:r>
      <w:r w:rsidR="005C52C5" w:rsidRPr="00A2734E">
        <w:rPr>
          <w:szCs w:val="24"/>
        </w:rPr>
        <w:t xml:space="preserve">as a thank you </w:t>
      </w:r>
      <w:r w:rsidR="00F61ACC" w:rsidRPr="00A2734E">
        <w:rPr>
          <w:szCs w:val="24"/>
        </w:rPr>
        <w:t>for completing</w:t>
      </w:r>
      <w:r w:rsidR="0074075E" w:rsidRPr="00A2734E">
        <w:t xml:space="preserve"> </w:t>
      </w:r>
      <w:r w:rsidR="0074075E" w:rsidRPr="00A2734E">
        <w:rPr>
          <w:szCs w:val="24"/>
        </w:rPr>
        <w:t>each</w:t>
      </w:r>
      <w:r w:rsidR="00D87802" w:rsidRPr="00A2734E">
        <w:rPr>
          <w:szCs w:val="24"/>
        </w:rPr>
        <w:t xml:space="preserve"> visit</w:t>
      </w:r>
      <w:r w:rsidR="0074075E" w:rsidRPr="00A2734E">
        <w:rPr>
          <w:szCs w:val="24"/>
        </w:rPr>
        <w:t xml:space="preserve"> and associated tasks</w:t>
      </w:r>
      <w:r w:rsidR="00D87802" w:rsidRPr="00A2734E">
        <w:rPr>
          <w:szCs w:val="24"/>
        </w:rPr>
        <w:t xml:space="preserve"> (</w:t>
      </w:r>
      <w:r w:rsidR="0074075E" w:rsidRPr="00A2734E">
        <w:rPr>
          <w:szCs w:val="24"/>
        </w:rPr>
        <w:t>the first adult visit</w:t>
      </w:r>
      <w:r w:rsidR="00C1699B" w:rsidRPr="00A2734E">
        <w:rPr>
          <w:szCs w:val="24"/>
        </w:rPr>
        <w:t xml:space="preserve"> </w:t>
      </w:r>
      <w:r w:rsidR="006B0465" w:rsidRPr="00A2734E">
        <w:rPr>
          <w:szCs w:val="24"/>
        </w:rPr>
        <w:t xml:space="preserve">for completing </w:t>
      </w:r>
      <w:r w:rsidR="00D87802" w:rsidRPr="00A2734E">
        <w:rPr>
          <w:szCs w:val="24"/>
        </w:rPr>
        <w:t>the adult</w:t>
      </w:r>
      <w:r w:rsidR="00F61ACC" w:rsidRPr="00A2734E">
        <w:rPr>
          <w:szCs w:val="24"/>
        </w:rPr>
        <w:t xml:space="preserve"> extended interview</w:t>
      </w:r>
      <w:r w:rsidR="009103BE" w:rsidRPr="00A2734E">
        <w:rPr>
          <w:szCs w:val="24"/>
        </w:rPr>
        <w:t xml:space="preserve"> and </w:t>
      </w:r>
      <w:r w:rsidR="006B0465" w:rsidRPr="00A2734E">
        <w:rPr>
          <w:szCs w:val="24"/>
        </w:rPr>
        <w:t>separately</w:t>
      </w:r>
      <w:r w:rsidR="009103BE" w:rsidRPr="00A2734E">
        <w:rPr>
          <w:szCs w:val="24"/>
        </w:rPr>
        <w:t xml:space="preserve">, </w:t>
      </w:r>
      <w:r w:rsidR="006B0465" w:rsidRPr="00A2734E">
        <w:rPr>
          <w:szCs w:val="24"/>
        </w:rPr>
        <w:t xml:space="preserve">for consenting </w:t>
      </w:r>
      <w:r w:rsidR="009103BE" w:rsidRPr="00A2734E">
        <w:rPr>
          <w:szCs w:val="24"/>
        </w:rPr>
        <w:t xml:space="preserve">to </w:t>
      </w:r>
      <w:r w:rsidR="007C2A12" w:rsidRPr="00A2734E">
        <w:rPr>
          <w:szCs w:val="24"/>
        </w:rPr>
        <w:t xml:space="preserve">and providing </w:t>
      </w:r>
      <w:proofErr w:type="spellStart"/>
      <w:r w:rsidR="009103BE" w:rsidRPr="00A2734E">
        <w:rPr>
          <w:szCs w:val="24"/>
        </w:rPr>
        <w:t>biospecimens</w:t>
      </w:r>
      <w:proofErr w:type="spellEnd"/>
      <w:r w:rsidR="009103BE" w:rsidRPr="00A2734E">
        <w:rPr>
          <w:szCs w:val="24"/>
        </w:rPr>
        <w:t xml:space="preserve">; </w:t>
      </w:r>
      <w:r w:rsidR="00D87802" w:rsidRPr="00A2734E">
        <w:rPr>
          <w:szCs w:val="24"/>
        </w:rPr>
        <w:t>a second</w:t>
      </w:r>
      <w:r w:rsidR="0074075E" w:rsidRPr="00A2734E">
        <w:rPr>
          <w:szCs w:val="24"/>
        </w:rPr>
        <w:t xml:space="preserve"> adult</w:t>
      </w:r>
      <w:r w:rsidR="00D87802" w:rsidRPr="00A2734E">
        <w:rPr>
          <w:szCs w:val="24"/>
        </w:rPr>
        <w:t xml:space="preserve"> visit</w:t>
      </w:r>
      <w:r w:rsidR="009103BE" w:rsidRPr="00A2734E">
        <w:rPr>
          <w:szCs w:val="24"/>
        </w:rPr>
        <w:t xml:space="preserve"> </w:t>
      </w:r>
      <w:r w:rsidR="006B0465" w:rsidRPr="00A2734E">
        <w:rPr>
          <w:szCs w:val="24"/>
        </w:rPr>
        <w:t xml:space="preserve">for consenting </w:t>
      </w:r>
      <w:r w:rsidR="009103BE" w:rsidRPr="00A2734E">
        <w:rPr>
          <w:szCs w:val="24"/>
        </w:rPr>
        <w:t xml:space="preserve">to </w:t>
      </w:r>
      <w:r w:rsidR="007C2A12" w:rsidRPr="00A2734E">
        <w:rPr>
          <w:szCs w:val="24"/>
        </w:rPr>
        <w:t>and providing</w:t>
      </w:r>
      <w:r w:rsidR="006B0465" w:rsidRPr="00A2734E">
        <w:rPr>
          <w:szCs w:val="24"/>
        </w:rPr>
        <w:t xml:space="preserve"> </w:t>
      </w:r>
      <w:r w:rsidR="009103BE" w:rsidRPr="00A2734E">
        <w:rPr>
          <w:szCs w:val="24"/>
        </w:rPr>
        <w:t xml:space="preserve">additional </w:t>
      </w:r>
      <w:proofErr w:type="spellStart"/>
      <w:r w:rsidR="009103BE" w:rsidRPr="00A2734E">
        <w:rPr>
          <w:szCs w:val="24"/>
        </w:rPr>
        <w:t>biospecimens</w:t>
      </w:r>
      <w:proofErr w:type="spellEnd"/>
      <w:r w:rsidR="006B0465" w:rsidRPr="00A2734E">
        <w:rPr>
          <w:szCs w:val="24"/>
        </w:rPr>
        <w:t>;</w:t>
      </w:r>
      <w:r w:rsidR="00D87802" w:rsidRPr="00A2734E">
        <w:rPr>
          <w:szCs w:val="24"/>
        </w:rPr>
        <w:t xml:space="preserve"> the parent interview</w:t>
      </w:r>
      <w:r w:rsidR="006B0465" w:rsidRPr="00A2734E">
        <w:rPr>
          <w:szCs w:val="24"/>
        </w:rPr>
        <w:t>;</w:t>
      </w:r>
      <w:r w:rsidR="00D87802" w:rsidRPr="00A2734E">
        <w:rPr>
          <w:szCs w:val="24"/>
        </w:rPr>
        <w:t xml:space="preserve"> the extended youth interview</w:t>
      </w:r>
      <w:r w:rsidR="006B0465" w:rsidRPr="00A2734E">
        <w:rPr>
          <w:szCs w:val="24"/>
        </w:rPr>
        <w:t>;</w:t>
      </w:r>
      <w:r w:rsidR="00D87802" w:rsidRPr="00A2734E">
        <w:rPr>
          <w:szCs w:val="24"/>
        </w:rPr>
        <w:t xml:space="preserve"> and </w:t>
      </w:r>
      <w:r w:rsidR="00FF3149" w:rsidRPr="00A2734E">
        <w:rPr>
          <w:szCs w:val="24"/>
        </w:rPr>
        <w:t xml:space="preserve">for providing </w:t>
      </w:r>
      <w:r w:rsidR="00D87802" w:rsidRPr="00A2734E">
        <w:rPr>
          <w:szCs w:val="24"/>
        </w:rPr>
        <w:t>contact</w:t>
      </w:r>
      <w:r w:rsidR="00DB6E10" w:rsidRPr="00A2734E">
        <w:rPr>
          <w:szCs w:val="24"/>
        </w:rPr>
        <w:t xml:space="preserve"> </w:t>
      </w:r>
      <w:r w:rsidR="00FF3149" w:rsidRPr="00A2734E">
        <w:rPr>
          <w:szCs w:val="24"/>
        </w:rPr>
        <w:t xml:space="preserve">information </w:t>
      </w:r>
      <w:r w:rsidR="00D87802" w:rsidRPr="00A2734E">
        <w:rPr>
          <w:szCs w:val="24"/>
        </w:rPr>
        <w:t xml:space="preserve">for future </w:t>
      </w:r>
      <w:r w:rsidR="00311702" w:rsidRPr="00A2734E">
        <w:rPr>
          <w:szCs w:val="24"/>
        </w:rPr>
        <w:t>follow-up</w:t>
      </w:r>
      <w:r w:rsidR="00D87802" w:rsidRPr="00A2734E">
        <w:rPr>
          <w:szCs w:val="24"/>
        </w:rPr>
        <w:t xml:space="preserve"> by the PATH Study</w:t>
      </w:r>
      <w:r w:rsidR="0074075E" w:rsidRPr="00A2734E">
        <w:rPr>
          <w:szCs w:val="24"/>
        </w:rPr>
        <w:t>)</w:t>
      </w:r>
      <w:r w:rsidR="00D87802" w:rsidRPr="00A2734E">
        <w:rPr>
          <w:szCs w:val="24"/>
        </w:rPr>
        <w:t>.</w:t>
      </w:r>
      <w:r w:rsidR="00507172">
        <w:rPr>
          <w:szCs w:val="24"/>
        </w:rPr>
        <w:t xml:space="preserve"> </w:t>
      </w:r>
      <w:proofErr w:type="spellStart"/>
      <w:r w:rsidR="00F61ACC" w:rsidRPr="00A2734E">
        <w:rPr>
          <w:szCs w:val="24"/>
        </w:rPr>
        <w:t>Biospecimens</w:t>
      </w:r>
      <w:proofErr w:type="spellEnd"/>
      <w:r w:rsidR="00F61ACC" w:rsidRPr="00A2734E">
        <w:rPr>
          <w:szCs w:val="24"/>
        </w:rPr>
        <w:t xml:space="preserve"> will only be collected from adults who complete the </w:t>
      </w:r>
      <w:r w:rsidR="004A2068" w:rsidRPr="00A2734E">
        <w:rPr>
          <w:szCs w:val="24"/>
        </w:rPr>
        <w:t>PATH Study</w:t>
      </w:r>
      <w:r w:rsidR="00F61ACC" w:rsidRPr="00A2734E">
        <w:rPr>
          <w:szCs w:val="24"/>
        </w:rPr>
        <w:t xml:space="preserve"> extended interview</w:t>
      </w:r>
      <w:r w:rsidR="00FF3149" w:rsidRPr="00A2734E">
        <w:rPr>
          <w:szCs w:val="24"/>
        </w:rPr>
        <w:t>.</w:t>
      </w:r>
    </w:p>
    <w:p w:rsidR="00CA729A" w:rsidRPr="00A2734E" w:rsidRDefault="00CA729A" w:rsidP="00AC3EDE">
      <w:pPr>
        <w:pStyle w:val="L1-FlLSp12"/>
        <w:rPr>
          <w:szCs w:val="24"/>
        </w:rPr>
      </w:pPr>
    </w:p>
    <w:p w:rsidR="00DB6E10" w:rsidRPr="00A2734E" w:rsidRDefault="00F61ACC" w:rsidP="00BD1C54">
      <w:pPr>
        <w:pStyle w:val="L1-FlLSp12"/>
        <w:rPr>
          <w:szCs w:val="24"/>
        </w:rPr>
      </w:pPr>
      <w:r w:rsidRPr="00A2734E">
        <w:rPr>
          <w:szCs w:val="24"/>
        </w:rPr>
        <w:lastRenderedPageBreak/>
        <w:t xml:space="preserve">Thus, </w:t>
      </w:r>
      <w:r w:rsidR="005C52C5" w:rsidRPr="00A2734E">
        <w:rPr>
          <w:szCs w:val="24"/>
        </w:rPr>
        <w:t>a</w:t>
      </w:r>
      <w:r w:rsidR="00986379">
        <w:rPr>
          <w:szCs w:val="24"/>
        </w:rPr>
        <w:t xml:space="preserve"> new</w:t>
      </w:r>
      <w:r w:rsidRPr="00A2734E">
        <w:rPr>
          <w:szCs w:val="24"/>
        </w:rPr>
        <w:t xml:space="preserve"> adult respondent</w:t>
      </w:r>
      <w:r w:rsidR="00986379">
        <w:rPr>
          <w:szCs w:val="24"/>
        </w:rPr>
        <w:t xml:space="preserve"> at Wave 2</w:t>
      </w:r>
      <w:r w:rsidRPr="00A2734E">
        <w:rPr>
          <w:szCs w:val="24"/>
        </w:rPr>
        <w:t xml:space="preserve"> may receive up to $</w:t>
      </w:r>
      <w:r w:rsidR="00BD1C54" w:rsidRPr="00A2734E">
        <w:rPr>
          <w:szCs w:val="24"/>
        </w:rPr>
        <w:t>9</w:t>
      </w:r>
      <w:r w:rsidR="009F0DD0">
        <w:rPr>
          <w:szCs w:val="24"/>
        </w:rPr>
        <w:t>5</w:t>
      </w:r>
      <w:r w:rsidR="00CA729A" w:rsidRPr="00A2734E">
        <w:t xml:space="preserve"> </w:t>
      </w:r>
      <w:r w:rsidR="00CE05DD" w:rsidRPr="00A2734E">
        <w:rPr>
          <w:szCs w:val="24"/>
        </w:rPr>
        <w:t xml:space="preserve">as a thank you </w:t>
      </w:r>
      <w:r w:rsidRPr="00A2734E">
        <w:rPr>
          <w:szCs w:val="24"/>
        </w:rPr>
        <w:t xml:space="preserve">for participating in the </w:t>
      </w:r>
      <w:r w:rsidR="004A2068" w:rsidRPr="00A2734E">
        <w:rPr>
          <w:szCs w:val="24"/>
        </w:rPr>
        <w:t>PATH Study</w:t>
      </w:r>
      <w:r w:rsidR="000A6A65" w:rsidRPr="00A2734E">
        <w:rPr>
          <w:szCs w:val="24"/>
        </w:rPr>
        <w:t>:</w:t>
      </w:r>
      <w:r w:rsidR="004237BB" w:rsidRPr="00166C27">
        <w:rPr>
          <w:szCs w:val="24"/>
        </w:rPr>
        <w:t xml:space="preserve"> </w:t>
      </w:r>
      <w:r w:rsidR="004237BB" w:rsidRPr="00A2734E">
        <w:rPr>
          <w:szCs w:val="24"/>
        </w:rPr>
        <w:t>$</w:t>
      </w:r>
      <w:r w:rsidR="006B0465" w:rsidRPr="00A2734E">
        <w:rPr>
          <w:szCs w:val="24"/>
        </w:rPr>
        <w:t>3</w:t>
      </w:r>
      <w:r w:rsidR="00F542E7" w:rsidRPr="00A2734E">
        <w:rPr>
          <w:szCs w:val="24"/>
        </w:rPr>
        <w:t>5</w:t>
      </w:r>
      <w:r w:rsidR="004237BB" w:rsidRPr="00A2734E">
        <w:rPr>
          <w:szCs w:val="24"/>
        </w:rPr>
        <w:t xml:space="preserve"> for the </w:t>
      </w:r>
      <w:r w:rsidR="00E62301">
        <w:rPr>
          <w:szCs w:val="24"/>
        </w:rPr>
        <w:t xml:space="preserve">Wave 2 </w:t>
      </w:r>
      <w:r w:rsidR="004237BB" w:rsidRPr="00A2734E">
        <w:rPr>
          <w:szCs w:val="24"/>
        </w:rPr>
        <w:t>extended interview</w:t>
      </w:r>
      <w:r w:rsidR="00EA68AE">
        <w:rPr>
          <w:szCs w:val="24"/>
        </w:rPr>
        <w:t xml:space="preserve">, </w:t>
      </w:r>
      <w:r w:rsidR="006B0465" w:rsidRPr="00A2734E">
        <w:rPr>
          <w:szCs w:val="24"/>
        </w:rPr>
        <w:t>$</w:t>
      </w:r>
      <w:r w:rsidR="00C97D39">
        <w:rPr>
          <w:szCs w:val="24"/>
        </w:rPr>
        <w:t>25</w:t>
      </w:r>
      <w:r w:rsidR="006B0465" w:rsidRPr="00A2734E">
        <w:rPr>
          <w:szCs w:val="24"/>
        </w:rPr>
        <w:t xml:space="preserve"> for </w:t>
      </w:r>
      <w:r w:rsidR="000F5A82">
        <w:rPr>
          <w:szCs w:val="24"/>
        </w:rPr>
        <w:t xml:space="preserve">urine </w:t>
      </w:r>
      <w:r w:rsidR="00986379">
        <w:rPr>
          <w:szCs w:val="24"/>
        </w:rPr>
        <w:t xml:space="preserve">collection </w:t>
      </w:r>
      <w:r w:rsidR="003E4897">
        <w:rPr>
          <w:szCs w:val="24"/>
        </w:rPr>
        <w:t xml:space="preserve">at the </w:t>
      </w:r>
      <w:r w:rsidR="00E62301">
        <w:rPr>
          <w:szCs w:val="24"/>
        </w:rPr>
        <w:t xml:space="preserve">first Wave 2 </w:t>
      </w:r>
      <w:r w:rsidR="003E4897">
        <w:rPr>
          <w:szCs w:val="24"/>
        </w:rPr>
        <w:t xml:space="preserve">home visit, $25 for </w:t>
      </w:r>
      <w:r w:rsidR="000F5A82">
        <w:rPr>
          <w:szCs w:val="24"/>
        </w:rPr>
        <w:t xml:space="preserve">blood </w:t>
      </w:r>
      <w:r w:rsidR="003E4897">
        <w:rPr>
          <w:szCs w:val="24"/>
        </w:rPr>
        <w:t xml:space="preserve">collection at the second </w:t>
      </w:r>
      <w:r w:rsidR="00E62301">
        <w:rPr>
          <w:szCs w:val="24"/>
        </w:rPr>
        <w:t xml:space="preserve">Wave 2 </w:t>
      </w:r>
      <w:r w:rsidR="003E4897">
        <w:rPr>
          <w:szCs w:val="24"/>
        </w:rPr>
        <w:t xml:space="preserve">home visit, </w:t>
      </w:r>
      <w:r w:rsidR="00986379">
        <w:rPr>
          <w:szCs w:val="24"/>
        </w:rPr>
        <w:t xml:space="preserve">and an annual maximum of $10 for updating contact information. </w:t>
      </w:r>
      <w:r w:rsidR="006B70D1">
        <w:rPr>
          <w:szCs w:val="24"/>
        </w:rPr>
        <w:t xml:space="preserve">An </w:t>
      </w:r>
      <w:proofErr w:type="gramStart"/>
      <w:r w:rsidR="00E62301">
        <w:rPr>
          <w:szCs w:val="24"/>
        </w:rPr>
        <w:t>adult</w:t>
      </w:r>
      <w:proofErr w:type="gramEnd"/>
      <w:r w:rsidR="006B70D1">
        <w:rPr>
          <w:szCs w:val="24"/>
        </w:rPr>
        <w:t xml:space="preserve"> who participated at baseline, including providing urine, may receive up to $70 as a thank you: $35 for the extended Wave 2 interview at the home visit, $25 if selected by algorithm to provide another urine sample, and an annual maximum of $10 for updating contact information. </w:t>
      </w:r>
      <w:r w:rsidR="000A6A65" w:rsidRPr="00A2734E">
        <w:rPr>
          <w:szCs w:val="24"/>
        </w:rPr>
        <w:t>Parents</w:t>
      </w:r>
      <w:r w:rsidR="00FB72BA" w:rsidRPr="00A2734E">
        <w:rPr>
          <w:szCs w:val="24"/>
        </w:rPr>
        <w:t xml:space="preserve"> may receive</w:t>
      </w:r>
      <w:r w:rsidR="00CA729A" w:rsidRPr="00A2734E">
        <w:rPr>
          <w:szCs w:val="24"/>
        </w:rPr>
        <w:t xml:space="preserve"> up to</w:t>
      </w:r>
      <w:r w:rsidR="00FB72BA" w:rsidRPr="00A2734E">
        <w:rPr>
          <w:szCs w:val="24"/>
        </w:rPr>
        <w:t xml:space="preserve"> $</w:t>
      </w:r>
      <w:r w:rsidR="00535327">
        <w:rPr>
          <w:szCs w:val="24"/>
        </w:rPr>
        <w:t>2</w:t>
      </w:r>
      <w:r w:rsidR="00FB72BA" w:rsidRPr="00A2734E">
        <w:rPr>
          <w:szCs w:val="24"/>
        </w:rPr>
        <w:t>0 for completing parent interview</w:t>
      </w:r>
      <w:r w:rsidR="00E93381" w:rsidRPr="00A2734E">
        <w:rPr>
          <w:szCs w:val="24"/>
        </w:rPr>
        <w:t xml:space="preserve">s </w:t>
      </w:r>
      <w:r w:rsidR="00CA729A" w:rsidRPr="00A2734E">
        <w:rPr>
          <w:szCs w:val="24"/>
        </w:rPr>
        <w:t xml:space="preserve">for </w:t>
      </w:r>
      <w:r w:rsidR="00E93381" w:rsidRPr="00A2734E">
        <w:rPr>
          <w:szCs w:val="24"/>
        </w:rPr>
        <w:t xml:space="preserve">a maximum of </w:t>
      </w:r>
      <w:r w:rsidR="00535327">
        <w:rPr>
          <w:szCs w:val="24"/>
        </w:rPr>
        <w:t>two</w:t>
      </w:r>
      <w:r w:rsidR="00E93381" w:rsidRPr="00A2734E">
        <w:rPr>
          <w:szCs w:val="24"/>
        </w:rPr>
        <w:t xml:space="preserve"> youth</w:t>
      </w:r>
      <w:r w:rsidR="00CA729A" w:rsidRPr="00A2734E">
        <w:rPr>
          <w:szCs w:val="24"/>
        </w:rPr>
        <w:t xml:space="preserve"> ($10 as a thank you for completing each parent interview)</w:t>
      </w:r>
      <w:r w:rsidR="00F87DD5">
        <w:rPr>
          <w:szCs w:val="24"/>
        </w:rPr>
        <w:t>.</w:t>
      </w:r>
      <w:r w:rsidR="00535327">
        <w:rPr>
          <w:rStyle w:val="FootnoteReference"/>
          <w:szCs w:val="24"/>
        </w:rPr>
        <w:footnoteReference w:id="4"/>
      </w:r>
      <w:r w:rsidR="00DB6E10" w:rsidRPr="00A2734E">
        <w:rPr>
          <w:szCs w:val="24"/>
        </w:rPr>
        <w:t xml:space="preserve"> </w:t>
      </w:r>
      <w:r w:rsidR="00FB72BA" w:rsidRPr="00A2734E">
        <w:rPr>
          <w:szCs w:val="24"/>
        </w:rPr>
        <w:t xml:space="preserve">A </w:t>
      </w:r>
      <w:r w:rsidRPr="00A2734E">
        <w:rPr>
          <w:szCs w:val="24"/>
        </w:rPr>
        <w:t>youth respondent</w:t>
      </w:r>
      <w:r w:rsidR="00BD1C54" w:rsidRPr="00A2734E">
        <w:rPr>
          <w:szCs w:val="24"/>
        </w:rPr>
        <w:t xml:space="preserve"> </w:t>
      </w:r>
      <w:r w:rsidRPr="00A2734E">
        <w:rPr>
          <w:szCs w:val="24"/>
        </w:rPr>
        <w:t>may r</w:t>
      </w:r>
      <w:r w:rsidR="00C2261C" w:rsidRPr="00A2734E">
        <w:rPr>
          <w:szCs w:val="24"/>
        </w:rPr>
        <w:t>eceive up</w:t>
      </w:r>
      <w:r w:rsidR="00507172">
        <w:rPr>
          <w:szCs w:val="24"/>
        </w:rPr>
        <w:t xml:space="preserve"> to</w:t>
      </w:r>
      <w:r w:rsidR="00C2261C" w:rsidRPr="00A2734E">
        <w:rPr>
          <w:szCs w:val="24"/>
        </w:rPr>
        <w:t xml:space="preserve"> </w:t>
      </w:r>
      <w:r w:rsidR="00FB72BA" w:rsidRPr="00A2734E">
        <w:rPr>
          <w:szCs w:val="24"/>
        </w:rPr>
        <w:t>$</w:t>
      </w:r>
      <w:r w:rsidR="00BD1C54" w:rsidRPr="00A2734E">
        <w:rPr>
          <w:szCs w:val="24"/>
        </w:rPr>
        <w:t>3</w:t>
      </w:r>
      <w:r w:rsidR="00276CA6" w:rsidRPr="00A2734E">
        <w:rPr>
          <w:szCs w:val="24"/>
        </w:rPr>
        <w:t>5</w:t>
      </w:r>
      <w:r w:rsidR="00CE05DD" w:rsidRPr="00A2734E">
        <w:rPr>
          <w:szCs w:val="24"/>
        </w:rPr>
        <w:t xml:space="preserve"> </w:t>
      </w:r>
      <w:r w:rsidRPr="00A2734E">
        <w:rPr>
          <w:szCs w:val="24"/>
        </w:rPr>
        <w:t xml:space="preserve">for participating in </w:t>
      </w:r>
      <w:r w:rsidR="00E93381" w:rsidRPr="00A2734E">
        <w:rPr>
          <w:szCs w:val="24"/>
        </w:rPr>
        <w:t>the PATH Study: $</w:t>
      </w:r>
      <w:r w:rsidR="00BD1C54" w:rsidRPr="00A2734E">
        <w:rPr>
          <w:szCs w:val="24"/>
        </w:rPr>
        <w:t>2</w:t>
      </w:r>
      <w:r w:rsidR="00276CA6" w:rsidRPr="00A2734E">
        <w:rPr>
          <w:szCs w:val="24"/>
        </w:rPr>
        <w:t>5</w:t>
      </w:r>
      <w:r w:rsidR="00E93381" w:rsidRPr="00A2734E">
        <w:rPr>
          <w:szCs w:val="24"/>
        </w:rPr>
        <w:t xml:space="preserve"> for completing </w:t>
      </w:r>
      <w:r w:rsidRPr="00A2734E">
        <w:rPr>
          <w:szCs w:val="24"/>
        </w:rPr>
        <w:t xml:space="preserve">the </w:t>
      </w:r>
      <w:r w:rsidR="00FB72BA" w:rsidRPr="00A2734E">
        <w:rPr>
          <w:szCs w:val="24"/>
        </w:rPr>
        <w:t>youth</w:t>
      </w:r>
      <w:r w:rsidR="004237BB" w:rsidRPr="00A2734E">
        <w:rPr>
          <w:szCs w:val="24"/>
        </w:rPr>
        <w:t xml:space="preserve"> extended interview</w:t>
      </w:r>
      <w:r w:rsidR="00E93381" w:rsidRPr="00A2734E">
        <w:rPr>
          <w:szCs w:val="24"/>
        </w:rPr>
        <w:t xml:space="preserve">, and a </w:t>
      </w:r>
      <w:r w:rsidR="00CA729A" w:rsidRPr="00A2734E">
        <w:rPr>
          <w:szCs w:val="24"/>
        </w:rPr>
        <w:t>maximum</w:t>
      </w:r>
      <w:r w:rsidR="00E93381" w:rsidRPr="00A2734E">
        <w:rPr>
          <w:szCs w:val="24"/>
        </w:rPr>
        <w:t xml:space="preserve"> of $10 for having their parent provide updated contact information.</w:t>
      </w:r>
    </w:p>
    <w:p w:rsidR="00BD1C54" w:rsidRPr="00A2734E" w:rsidRDefault="00BD1C54" w:rsidP="00BD1C54">
      <w:pPr>
        <w:pStyle w:val="L1-FlLSp12"/>
      </w:pPr>
    </w:p>
    <w:p w:rsidR="00B66E95" w:rsidRDefault="003609A3" w:rsidP="00B66E95">
      <w:pPr>
        <w:pStyle w:val="L1-FlLSp12"/>
      </w:pPr>
      <w:r w:rsidRPr="00A2734E">
        <w:rPr>
          <w:szCs w:val="24"/>
        </w:rPr>
        <w:t xml:space="preserve">The </w:t>
      </w:r>
      <w:r w:rsidR="004A2068" w:rsidRPr="00A2734E">
        <w:rPr>
          <w:szCs w:val="24"/>
        </w:rPr>
        <w:t>PATH Study</w:t>
      </w:r>
      <w:r w:rsidRPr="00A2734E">
        <w:rPr>
          <w:szCs w:val="24"/>
        </w:rPr>
        <w:t xml:space="preserve"> </w:t>
      </w:r>
      <w:r w:rsidR="00AC7832" w:rsidRPr="00A2734E">
        <w:rPr>
          <w:szCs w:val="24"/>
        </w:rPr>
        <w:t xml:space="preserve">proposes </w:t>
      </w:r>
      <w:r w:rsidRPr="00A2734E">
        <w:rPr>
          <w:szCs w:val="24"/>
        </w:rPr>
        <w:t xml:space="preserve">to pay some of the incentives by means of cash or check, and others </w:t>
      </w:r>
      <w:r w:rsidR="00C436A5" w:rsidRPr="00A2734E">
        <w:rPr>
          <w:szCs w:val="24"/>
        </w:rPr>
        <w:t xml:space="preserve">by means of </w:t>
      </w:r>
      <w:r w:rsidRPr="00A2734E">
        <w:rPr>
          <w:szCs w:val="24"/>
        </w:rPr>
        <w:t>debit cards.</w:t>
      </w:r>
      <w:r w:rsidR="00DB6E10" w:rsidRPr="00A2734E">
        <w:rPr>
          <w:szCs w:val="24"/>
        </w:rPr>
        <w:t xml:space="preserve"> </w:t>
      </w:r>
      <w:r w:rsidR="00AC7832" w:rsidRPr="00A2734E">
        <w:rPr>
          <w:szCs w:val="24"/>
        </w:rPr>
        <w:t xml:space="preserve">For </w:t>
      </w:r>
      <w:r w:rsidR="006B70D1">
        <w:rPr>
          <w:szCs w:val="24"/>
        </w:rPr>
        <w:t xml:space="preserve">the group of identified 9 to 11 year olds, who are not yet enrolled in the </w:t>
      </w:r>
      <w:r w:rsidR="00D3137C">
        <w:rPr>
          <w:szCs w:val="24"/>
        </w:rPr>
        <w:t xml:space="preserve">PATH </w:t>
      </w:r>
      <w:r w:rsidR="006B70D1">
        <w:rPr>
          <w:szCs w:val="24"/>
        </w:rPr>
        <w:t xml:space="preserve">Study, </w:t>
      </w:r>
      <w:r w:rsidR="00AC7832" w:rsidRPr="00A2734E">
        <w:rPr>
          <w:szCs w:val="24"/>
        </w:rPr>
        <w:t>the study</w:t>
      </w:r>
      <w:r w:rsidR="000A6A65" w:rsidRPr="00A2734E">
        <w:t xml:space="preserve"> </w:t>
      </w:r>
      <w:r w:rsidR="000A6A65" w:rsidRPr="00A2734E">
        <w:rPr>
          <w:szCs w:val="24"/>
        </w:rPr>
        <w:t>will</w:t>
      </w:r>
      <w:r w:rsidR="000A6A65" w:rsidRPr="00A2734E">
        <w:t xml:space="preserve"> </w:t>
      </w:r>
      <w:r w:rsidR="006B70D1">
        <w:t>send</w:t>
      </w:r>
      <w:r w:rsidR="00AC7832" w:rsidRPr="00A2734E">
        <w:rPr>
          <w:szCs w:val="24"/>
        </w:rPr>
        <w:t xml:space="preserve"> cash </w:t>
      </w:r>
      <w:r w:rsidR="006B70D1">
        <w:rPr>
          <w:szCs w:val="24"/>
        </w:rPr>
        <w:t>when contact information is updated</w:t>
      </w:r>
      <w:r w:rsidR="00AC7832" w:rsidRPr="00A2734E">
        <w:rPr>
          <w:szCs w:val="24"/>
        </w:rPr>
        <w:t>.</w:t>
      </w:r>
      <w:r w:rsidR="00DB6E10" w:rsidRPr="00A2734E">
        <w:rPr>
          <w:szCs w:val="24"/>
        </w:rPr>
        <w:t xml:space="preserve"> </w:t>
      </w:r>
      <w:r w:rsidR="00E62301">
        <w:rPr>
          <w:szCs w:val="24"/>
        </w:rPr>
        <w:t xml:space="preserve">Once an adult or youth participant is enrolled in the PATH Study, he/she receives a debit card. This debit card is then </w:t>
      </w:r>
      <w:r w:rsidR="006B70D1">
        <w:rPr>
          <w:szCs w:val="24"/>
        </w:rPr>
        <w:t xml:space="preserve">electronically loaded with the appropriate incentive amount, depending on the </w:t>
      </w:r>
      <w:r w:rsidR="006B3D37">
        <w:rPr>
          <w:szCs w:val="24"/>
        </w:rPr>
        <w:t>eligible activity.</w:t>
      </w:r>
      <w:r w:rsidR="00DB6E10" w:rsidRPr="00A2734E">
        <w:rPr>
          <w:szCs w:val="24"/>
        </w:rPr>
        <w:t xml:space="preserve"> </w:t>
      </w:r>
      <w:r w:rsidR="00E62301">
        <w:rPr>
          <w:szCs w:val="24"/>
        </w:rPr>
        <w:t>So, e</w:t>
      </w:r>
      <w:r w:rsidR="006B3D37">
        <w:rPr>
          <w:szCs w:val="24"/>
        </w:rPr>
        <w:t xml:space="preserve">ach time the respondent completes an eligible activity (e.g., updates contact information) the PATH Study will </w:t>
      </w:r>
      <w:r w:rsidR="000A6A65" w:rsidRPr="00A2734E">
        <w:rPr>
          <w:szCs w:val="24"/>
        </w:rPr>
        <w:t>transfer the correct funds to the debit card within approximately</w:t>
      </w:r>
      <w:r w:rsidR="00FC6D35">
        <w:rPr>
          <w:szCs w:val="24"/>
        </w:rPr>
        <w:t xml:space="preserve"> 3 business days</w:t>
      </w:r>
      <w:r w:rsidR="00D436FD" w:rsidRPr="00A2734E">
        <w:t>.</w:t>
      </w:r>
    </w:p>
    <w:p w:rsidR="00786F8E" w:rsidRDefault="00786F8E" w:rsidP="00B66E95">
      <w:pPr>
        <w:pStyle w:val="L1-FlLSp12"/>
      </w:pPr>
    </w:p>
    <w:p w:rsidR="00786F8E" w:rsidRPr="00470C13" w:rsidRDefault="00786F8E" w:rsidP="00B66E95">
      <w:pPr>
        <w:pStyle w:val="L1-FlLSp12"/>
        <w:rPr>
          <w:szCs w:val="24"/>
        </w:rPr>
      </w:pPr>
    </w:p>
    <w:p w:rsidR="008F5FA1" w:rsidRPr="00A2734E" w:rsidRDefault="008F5FA1" w:rsidP="00AC3EDE">
      <w:pPr>
        <w:pStyle w:val="Heading2"/>
      </w:pPr>
      <w:r w:rsidRPr="00A2734E">
        <w:t>A.10</w:t>
      </w:r>
      <w:r w:rsidRPr="00A2734E">
        <w:tab/>
        <w:t>Assurances of Confidentiality Provided to Respondents</w:t>
      </w:r>
    </w:p>
    <w:p w:rsidR="0059194E" w:rsidRPr="00A2734E" w:rsidRDefault="0059194E" w:rsidP="00AC3EDE">
      <w:pPr>
        <w:pStyle w:val="Heading3"/>
      </w:pPr>
      <w:r w:rsidRPr="00A2734E">
        <w:t>A.</w:t>
      </w:r>
      <w:r w:rsidR="00B92901" w:rsidRPr="00A2734E">
        <w:t>10a</w:t>
      </w:r>
      <w:r w:rsidRPr="00A2734E">
        <w:tab/>
        <w:t>Overview</w:t>
      </w:r>
    </w:p>
    <w:p w:rsidR="009E6590" w:rsidRPr="00A92156" w:rsidRDefault="008F5FA1" w:rsidP="00AC3EDE">
      <w:pPr>
        <w:pStyle w:val="L1-FlLSp12"/>
      </w:pPr>
      <w:r w:rsidRPr="00A2734E">
        <w:t xml:space="preserve">Concern for privacy plays a central role in the implementation of the </w:t>
      </w:r>
      <w:r w:rsidR="004A2068" w:rsidRPr="00A2734E">
        <w:t>PATH Study</w:t>
      </w:r>
      <w:r w:rsidRPr="00A2734E">
        <w:t xml:space="preserve">. Such protection is provided to respondents </w:t>
      </w:r>
      <w:r w:rsidR="003A4FBE" w:rsidRPr="00A2734E">
        <w:t xml:space="preserve">under the authority of </w:t>
      </w:r>
      <w:r w:rsidR="0059194E" w:rsidRPr="00A2734E">
        <w:t xml:space="preserve">42 </w:t>
      </w:r>
      <w:r w:rsidR="003A4FBE" w:rsidRPr="00A2734E">
        <w:t>U.S.C.</w:t>
      </w:r>
      <w:r w:rsidR="0059194E" w:rsidRPr="00A2734E">
        <w:t xml:space="preserve"> </w:t>
      </w:r>
      <w:r w:rsidR="003A4FBE" w:rsidRPr="00A2734E">
        <w:t>241(d)</w:t>
      </w:r>
      <w:r w:rsidR="001B3FC7" w:rsidRPr="00A2734E">
        <w:t>.</w:t>
      </w:r>
      <w:r w:rsidR="00B343AC">
        <w:t xml:space="preserve"> </w:t>
      </w:r>
      <w:r w:rsidR="008D065A" w:rsidRPr="00A2734E">
        <w:t xml:space="preserve">The authority of </w:t>
      </w:r>
      <w:r w:rsidR="001B3FC7" w:rsidRPr="00A2734E">
        <w:t>42</w:t>
      </w:r>
      <w:r w:rsidR="008D065A" w:rsidRPr="00A2734E">
        <w:t xml:space="preserve"> U.S.C. 241(d) has been delegated by the Secretary of Health and Human Services to </w:t>
      </w:r>
      <w:r w:rsidR="00B669D3" w:rsidRPr="00A2734E">
        <w:t>NIH</w:t>
      </w:r>
      <w:r w:rsidR="008D065A" w:rsidRPr="00A2734E">
        <w:t xml:space="preserve"> of which </w:t>
      </w:r>
      <w:r w:rsidR="001B53C1" w:rsidRPr="00A2734E">
        <w:t>NI</w:t>
      </w:r>
      <w:r w:rsidR="00281851" w:rsidRPr="00A2734E">
        <w:t>D</w:t>
      </w:r>
      <w:r w:rsidR="001B53C1" w:rsidRPr="00A2734E">
        <w:t>A</w:t>
      </w:r>
      <w:r w:rsidR="008D065A" w:rsidRPr="00A2734E">
        <w:t xml:space="preserve"> is a part. Any person engaged in the research to which this </w:t>
      </w:r>
      <w:r w:rsidR="00762114" w:rsidRPr="00A2734E">
        <w:t>section</w:t>
      </w:r>
      <w:r w:rsidR="00DB6E10" w:rsidRPr="00A2734E">
        <w:t xml:space="preserve"> </w:t>
      </w:r>
      <w:r w:rsidR="00F03B72" w:rsidRPr="00A2734E">
        <w:t>applies</w:t>
      </w:r>
      <w:r w:rsidR="000A4450">
        <w:t>,</w:t>
      </w:r>
      <w:r w:rsidR="00F03B72" w:rsidRPr="00A2734E">
        <w:t xml:space="preserve"> </w:t>
      </w:r>
      <w:r w:rsidR="000A4450">
        <w:t xml:space="preserve">who desires </w:t>
      </w:r>
      <w:r w:rsidR="008D065A" w:rsidRPr="00A2734E">
        <w:t>authorization to withhold names and other identifying characteristics of individuals who are subject to such research from any person or authority not connected with the conduct of such research</w:t>
      </w:r>
      <w:r w:rsidR="000A4450">
        <w:t>,</w:t>
      </w:r>
      <w:r w:rsidR="008D065A" w:rsidRPr="00A2734E">
        <w:t xml:space="preserve"> may apply to the Office of the Director, </w:t>
      </w:r>
      <w:r w:rsidR="00C71872" w:rsidRPr="00A2734E">
        <w:t xml:space="preserve">NIDA </w:t>
      </w:r>
      <w:r w:rsidR="008D065A" w:rsidRPr="00A2734E">
        <w:t xml:space="preserve">for an authorization of confidentiality (also called a </w:t>
      </w:r>
      <w:r w:rsidR="001B53C1" w:rsidRPr="00A2734E">
        <w:t>C</w:t>
      </w:r>
      <w:r w:rsidR="008D065A" w:rsidRPr="00A2734E">
        <w:t xml:space="preserve">ertificate of </w:t>
      </w:r>
      <w:r w:rsidR="001B53C1" w:rsidRPr="00A2734E">
        <w:t>C</w:t>
      </w:r>
      <w:r w:rsidR="008D065A" w:rsidRPr="00A2734E">
        <w:t>onfidentiality</w:t>
      </w:r>
      <w:r w:rsidR="00987254" w:rsidRPr="00A2734E">
        <w:t xml:space="preserve"> or COC</w:t>
      </w:r>
      <w:r w:rsidR="008D065A" w:rsidRPr="00A2734E">
        <w:t xml:space="preserve">). Persons authorized by NIH to protect the </w:t>
      </w:r>
      <w:r w:rsidR="00F11E92" w:rsidRPr="00A2734E">
        <w:t>privacy</w:t>
      </w:r>
      <w:r w:rsidR="008D065A" w:rsidRPr="00A2734E">
        <w:t xml:space="preserve"> of research subjects </w:t>
      </w:r>
      <w:r w:rsidR="008D065A" w:rsidRPr="00A2734E">
        <w:lastRenderedPageBreak/>
        <w:t>may not be</w:t>
      </w:r>
      <w:r w:rsidR="00F11E92" w:rsidRPr="00A2734E">
        <w:t xml:space="preserve"> compelled in any </w:t>
      </w:r>
      <w:r w:rsidR="00930E2C" w:rsidRPr="00A2734E">
        <w:t>federal</w:t>
      </w:r>
      <w:r w:rsidR="00F11E92" w:rsidRPr="00A2734E">
        <w:t xml:space="preserve">, </w:t>
      </w:r>
      <w:r w:rsidR="00930E2C" w:rsidRPr="00A2734E">
        <w:t>s</w:t>
      </w:r>
      <w:r w:rsidR="00F11E92" w:rsidRPr="00A2734E">
        <w:t>tate, or local civil, criminal, administrative, legislative, or other proceedings to identify them by name or other identifying characteristic.</w:t>
      </w:r>
      <w:r w:rsidR="00DB6E10" w:rsidRPr="00A2734E">
        <w:t xml:space="preserve"> </w:t>
      </w:r>
      <w:r w:rsidR="00281851" w:rsidRPr="00A2734E">
        <w:t xml:space="preserve">Because </w:t>
      </w:r>
      <w:proofErr w:type="spellStart"/>
      <w:r w:rsidR="00281851" w:rsidRPr="00A2734E">
        <w:t>biospecimens</w:t>
      </w:r>
      <w:proofErr w:type="spellEnd"/>
      <w:r w:rsidR="00281851" w:rsidRPr="00A2734E">
        <w:t xml:space="preserve"> will be collected and some questions may be of a sensitive nature, the COC will</w:t>
      </w:r>
      <w:r w:rsidR="00D31BE8">
        <w:t xml:space="preserve"> help researchers avoid involuntary disclosure that could expose </w:t>
      </w:r>
      <w:r w:rsidR="009E5DEF">
        <w:t>participants</w:t>
      </w:r>
      <w:r w:rsidR="00D31BE8">
        <w:t xml:space="preserve"> or their families to adverse economic, legal, </w:t>
      </w:r>
      <w:r w:rsidR="00D31BE8" w:rsidRPr="00A92156">
        <w:t>psychological, and social consequences.</w:t>
      </w:r>
      <w:r w:rsidR="009E6590" w:rsidRPr="00A92156">
        <w:t xml:space="preserve"> </w:t>
      </w:r>
      <w:r w:rsidR="00D31BE8" w:rsidRPr="00A92156">
        <w:t>The COC issued to the PATH Study on August 31, 2012</w:t>
      </w:r>
      <w:r w:rsidR="000A4450">
        <w:t>,</w:t>
      </w:r>
      <w:r w:rsidR="00D050DA" w:rsidRPr="00A92156">
        <w:t xml:space="preserve"> and amended on June 6, 2013</w:t>
      </w:r>
      <w:r w:rsidR="000A4450">
        <w:t>,</w:t>
      </w:r>
      <w:r w:rsidR="00D31BE8" w:rsidRPr="00A92156">
        <w:t xml:space="preserve"> is included </w:t>
      </w:r>
      <w:r w:rsidR="00D31BE8" w:rsidRPr="00B343AC">
        <w:t xml:space="preserve">in </w:t>
      </w:r>
      <w:r w:rsidR="00D31BE8" w:rsidRPr="0023016A">
        <w:t>Attachment</w:t>
      </w:r>
      <w:r w:rsidR="00D31BE8" w:rsidRPr="00A92156">
        <w:t xml:space="preserve"> </w:t>
      </w:r>
      <w:r w:rsidR="0090777A" w:rsidRPr="00A92156">
        <w:t>1</w:t>
      </w:r>
      <w:r w:rsidR="004127AB">
        <w:t>3</w:t>
      </w:r>
      <w:r w:rsidR="00D31BE8" w:rsidRPr="00A92156">
        <w:t>.</w:t>
      </w:r>
    </w:p>
    <w:p w:rsidR="00921692" w:rsidRPr="00A92156" w:rsidRDefault="00921692" w:rsidP="00AC3EDE">
      <w:pPr>
        <w:pStyle w:val="L1-FlLSp12"/>
      </w:pPr>
    </w:p>
    <w:p w:rsidR="009E6590" w:rsidRPr="00A92156" w:rsidRDefault="00D33A70" w:rsidP="00AC3EDE">
      <w:pPr>
        <w:pStyle w:val="L1-FlLSp12"/>
      </w:pPr>
      <w:r w:rsidRPr="00A92156">
        <w:t>L</w:t>
      </w:r>
      <w:r w:rsidR="009419B7" w:rsidRPr="00A92156">
        <w:t xml:space="preserve">aw governing Federal </w:t>
      </w:r>
      <w:r w:rsidRPr="00A92156">
        <w:t>employees conducti</w:t>
      </w:r>
      <w:r w:rsidR="000E28E6" w:rsidRPr="00A92156">
        <w:t>ng</w:t>
      </w:r>
      <w:r w:rsidRPr="00A92156">
        <w:t xml:space="preserve"> this </w:t>
      </w:r>
      <w:r w:rsidR="0085150E">
        <w:t>research study</w:t>
      </w:r>
      <w:r w:rsidR="009419B7" w:rsidRPr="00A92156">
        <w:t xml:space="preserve">, 18 U.S.C. 1905, </w:t>
      </w:r>
      <w:r w:rsidR="00D31BE8" w:rsidRPr="00A92156">
        <w:t xml:space="preserve">(which </w:t>
      </w:r>
      <w:r w:rsidR="001B53C1" w:rsidRPr="00A92156">
        <w:t>prohibits disclosure of individuals</w:t>
      </w:r>
      <w:r w:rsidRPr="00A92156">
        <w:t>’</w:t>
      </w:r>
      <w:r w:rsidR="001B53C1" w:rsidRPr="00A92156">
        <w:t xml:space="preserve"> identifying information or confidential statistical data by Federal employees</w:t>
      </w:r>
      <w:r w:rsidR="00D31BE8" w:rsidRPr="00A92156">
        <w:t>) is also relevant to the maintenance of confidentiality of data</w:t>
      </w:r>
      <w:r w:rsidR="001B53C1" w:rsidRPr="00A92156">
        <w:t>.</w:t>
      </w:r>
      <w:r w:rsidR="00D31BE8" w:rsidRPr="00A92156">
        <w:t xml:space="preserve"> </w:t>
      </w:r>
      <w:r w:rsidR="003251D3" w:rsidRPr="00A92156">
        <w:t xml:space="preserve">In addition, </w:t>
      </w:r>
      <w:r w:rsidR="00C83029" w:rsidRPr="00A92156">
        <w:t>all study activities under this contract will be conducted in compliance with 45 CFR Part 46, Protection of Human Subjects, HHSAR 352.270-</w:t>
      </w:r>
      <w:r w:rsidR="00B12BF1">
        <w:t>4</w:t>
      </w:r>
      <w:r w:rsidR="00C83029" w:rsidRPr="00A92156">
        <w:t>(</w:t>
      </w:r>
      <w:r w:rsidR="00B12BF1">
        <w:t>b</w:t>
      </w:r>
      <w:r w:rsidR="00C83029" w:rsidRPr="00A92156">
        <w:t>) (January 2006),</w:t>
      </w:r>
      <w:r w:rsidR="00350003" w:rsidRPr="00A92156">
        <w:t xml:space="preserve"> </w:t>
      </w:r>
      <w:r w:rsidR="00C83029" w:rsidRPr="00A92156">
        <w:t>the Privacy Act of 1974, and the Systems of Records Notice 09-25-0200 (regulations pertaining to confidentiality of data).</w:t>
      </w:r>
    </w:p>
    <w:p w:rsidR="00035036" w:rsidRPr="00A92156" w:rsidRDefault="00035036" w:rsidP="00AC3EDE">
      <w:pPr>
        <w:pStyle w:val="L1-FlLSp12"/>
      </w:pPr>
    </w:p>
    <w:p w:rsidR="00DB6E10" w:rsidRPr="00A2734E" w:rsidRDefault="00035036" w:rsidP="00AC3EDE">
      <w:pPr>
        <w:pStyle w:val="L1-FlLSp12"/>
        <w:rPr>
          <w:snapToGrid w:val="0"/>
        </w:rPr>
      </w:pPr>
      <w:r w:rsidRPr="00A92156">
        <w:t xml:space="preserve">The </w:t>
      </w:r>
      <w:r w:rsidR="004A2068" w:rsidRPr="00A92156">
        <w:t>PATH Study</w:t>
      </w:r>
      <w:r w:rsidRPr="00A92156">
        <w:t xml:space="preserve"> will implement a</w:t>
      </w:r>
      <w:r w:rsidR="00281851" w:rsidRPr="00A92156">
        <w:t xml:space="preserve"> range of procedures to protect </w:t>
      </w:r>
      <w:r w:rsidR="00475C98" w:rsidRPr="00A92156">
        <w:t>respondent</w:t>
      </w:r>
      <w:r w:rsidR="00281851" w:rsidRPr="00A92156">
        <w:t xml:space="preserve">s’ </w:t>
      </w:r>
      <w:r w:rsidR="00394D87">
        <w:t>Personally Identifiable Information (PII)</w:t>
      </w:r>
      <w:r w:rsidR="00D314F6" w:rsidRPr="00A92156">
        <w:t xml:space="preserve"> a</w:t>
      </w:r>
      <w:r w:rsidR="00281851" w:rsidRPr="00A92156">
        <w:t xml:space="preserve">nd the confidentiality of all data. </w:t>
      </w:r>
      <w:r w:rsidR="00281851" w:rsidRPr="00A92156">
        <w:rPr>
          <w:snapToGrid w:val="0"/>
        </w:rPr>
        <w:t xml:space="preserve">All data collection staff will be </w:t>
      </w:r>
      <w:r w:rsidR="00C40A98" w:rsidRPr="00A92156">
        <w:rPr>
          <w:snapToGrid w:val="0"/>
        </w:rPr>
        <w:t xml:space="preserve">proficient </w:t>
      </w:r>
      <w:r w:rsidR="00281851" w:rsidRPr="00A92156">
        <w:rPr>
          <w:snapToGrid w:val="0"/>
        </w:rPr>
        <w:t>in data security</w:t>
      </w:r>
      <w:r w:rsidR="00762114" w:rsidRPr="00A92156">
        <w:rPr>
          <w:snapToGrid w:val="0"/>
        </w:rPr>
        <w:t>,</w:t>
      </w:r>
      <w:r w:rsidR="00CE05DD" w:rsidRPr="00A92156">
        <w:rPr>
          <w:snapToGrid w:val="0"/>
        </w:rPr>
        <w:t xml:space="preserve"> </w:t>
      </w:r>
      <w:r w:rsidR="00281851" w:rsidRPr="00A92156">
        <w:rPr>
          <w:snapToGrid w:val="0"/>
        </w:rPr>
        <w:t>confidentiality</w:t>
      </w:r>
      <w:r w:rsidR="00762114" w:rsidRPr="00A92156">
        <w:rPr>
          <w:snapToGrid w:val="0"/>
        </w:rPr>
        <w:t>,</w:t>
      </w:r>
      <w:r w:rsidR="00281851" w:rsidRPr="00A92156">
        <w:rPr>
          <w:snapToGrid w:val="0"/>
        </w:rPr>
        <w:t xml:space="preserve"> and privacy issues and procedures. </w:t>
      </w:r>
      <w:r w:rsidR="004A2068" w:rsidRPr="00A92156">
        <w:rPr>
          <w:snapToGrid w:val="0"/>
        </w:rPr>
        <w:t>PATH Study</w:t>
      </w:r>
      <w:r w:rsidR="00FF075A" w:rsidRPr="00A92156">
        <w:rPr>
          <w:snapToGrid w:val="0"/>
        </w:rPr>
        <w:t xml:space="preserve"> </w:t>
      </w:r>
      <w:r w:rsidR="00281851" w:rsidRPr="00A92156">
        <w:rPr>
          <w:snapToGrid w:val="0"/>
        </w:rPr>
        <w:t>field interviewers will be required to sign a pledge of confidentiality</w:t>
      </w:r>
      <w:r w:rsidR="002721D0" w:rsidRPr="00A92156">
        <w:rPr>
          <w:snapToGrid w:val="0"/>
        </w:rPr>
        <w:t xml:space="preserve"> (see </w:t>
      </w:r>
      <w:r w:rsidR="002721D0" w:rsidRPr="0023016A">
        <w:rPr>
          <w:snapToGrid w:val="0"/>
        </w:rPr>
        <w:t>Attachment</w:t>
      </w:r>
      <w:r w:rsidR="002721D0" w:rsidRPr="00B343AC">
        <w:rPr>
          <w:snapToGrid w:val="0"/>
        </w:rPr>
        <w:t xml:space="preserve"> </w:t>
      </w:r>
      <w:r w:rsidR="00FC5A59" w:rsidRPr="00B343AC">
        <w:rPr>
          <w:snapToGrid w:val="0"/>
        </w:rPr>
        <w:t>1</w:t>
      </w:r>
      <w:r w:rsidR="004127AB">
        <w:rPr>
          <w:snapToGrid w:val="0"/>
        </w:rPr>
        <w:t>4</w:t>
      </w:r>
      <w:r w:rsidR="002721D0" w:rsidRPr="00A92156">
        <w:rPr>
          <w:snapToGrid w:val="0"/>
        </w:rPr>
        <w:t>)</w:t>
      </w:r>
      <w:r w:rsidR="00281851" w:rsidRPr="00A92156">
        <w:rPr>
          <w:snapToGrid w:val="0"/>
        </w:rPr>
        <w:t xml:space="preserve"> and to complete training on standards and ethics in research</w:t>
      </w:r>
      <w:r w:rsidR="00CF446D">
        <w:rPr>
          <w:snapToGrid w:val="0"/>
        </w:rPr>
        <w:t>, including</w:t>
      </w:r>
      <w:r w:rsidR="00281851" w:rsidRPr="00A92156">
        <w:rPr>
          <w:snapToGrid w:val="0"/>
        </w:rPr>
        <w:t xml:space="preserve"> detailed content on topics such as confidentiality and informed consent.</w:t>
      </w:r>
    </w:p>
    <w:p w:rsidR="00F03B72" w:rsidRPr="00A2734E" w:rsidRDefault="00F03B72" w:rsidP="00AC3EDE">
      <w:pPr>
        <w:pStyle w:val="L1-FlLSp12"/>
      </w:pPr>
    </w:p>
    <w:p w:rsidR="00DB6E10" w:rsidRPr="00A2734E" w:rsidRDefault="00475C98" w:rsidP="00AC3EDE">
      <w:pPr>
        <w:pStyle w:val="L1-FlLSp12"/>
      </w:pPr>
      <w:r w:rsidRPr="00A2734E">
        <w:t>The privacy of study respondents</w:t>
      </w:r>
      <w:r w:rsidR="00281851" w:rsidRPr="00A2734E">
        <w:t xml:space="preserve"> will be protected through field procedures </w:t>
      </w:r>
      <w:r w:rsidR="00CF446D">
        <w:t xml:space="preserve">that </w:t>
      </w:r>
      <w:r w:rsidR="00281851" w:rsidRPr="00A2734E">
        <w:t>ensur</w:t>
      </w:r>
      <w:r w:rsidR="00CF446D">
        <w:t>e</w:t>
      </w:r>
      <w:r w:rsidR="00281851" w:rsidRPr="00A2734E">
        <w:t xml:space="preserve"> interviews are not overheard by others in the home</w:t>
      </w:r>
      <w:r w:rsidR="00CF446D">
        <w:t>,</w:t>
      </w:r>
      <w:r w:rsidR="00281851" w:rsidRPr="00A2734E">
        <w:t xml:space="preserve"> and the use of ACASI (</w:t>
      </w:r>
      <w:r w:rsidR="00CE05DD" w:rsidRPr="00A2734E">
        <w:t>Audio Computer-</w:t>
      </w:r>
      <w:r w:rsidR="00762114" w:rsidRPr="00A2734E">
        <w:t>Assisted Self</w:t>
      </w:r>
      <w:r w:rsidR="00CE05DD" w:rsidRPr="00A2734E">
        <w:t>-</w:t>
      </w:r>
      <w:r w:rsidR="00762114" w:rsidRPr="00A2734E">
        <w:t xml:space="preserve"> Interview</w:t>
      </w:r>
      <w:r w:rsidR="00535327">
        <w:t>ing</w:t>
      </w:r>
      <w:r w:rsidR="00762114" w:rsidRPr="00A2734E">
        <w:t xml:space="preserve"> technology), </w:t>
      </w:r>
      <w:r w:rsidR="00281851" w:rsidRPr="00A2734E">
        <w:t>which uses headphones to</w:t>
      </w:r>
      <w:r w:rsidR="00DB6E10" w:rsidRPr="00A2734E">
        <w:t xml:space="preserve"> </w:t>
      </w:r>
      <w:r w:rsidR="00281851" w:rsidRPr="00A2734E">
        <w:t xml:space="preserve">increase comfort levels and encourage </w:t>
      </w:r>
      <w:r w:rsidR="00762114" w:rsidRPr="00A2734E">
        <w:t>honesty</w:t>
      </w:r>
      <w:r w:rsidR="00DB6E10" w:rsidRPr="00A2734E">
        <w:t xml:space="preserve"> </w:t>
      </w:r>
      <w:r w:rsidR="00281851" w:rsidRPr="00A2734E">
        <w:t>in answering sensitive questions. In the field, data will be collected on laptop computers that use advanced data encryption to protect confidentiality of data. Data from the laptops will be transmitted securely and directly to the research data warehouse</w:t>
      </w:r>
      <w:r w:rsidR="00E53689" w:rsidRPr="00A2734E">
        <w:t xml:space="preserve"> maintained by </w:t>
      </w:r>
      <w:r w:rsidR="004449DE" w:rsidRPr="00A2734E">
        <w:t>the prime contractor</w:t>
      </w:r>
      <w:r w:rsidR="00281851" w:rsidRPr="00A2734E">
        <w:t>, reducing risks associated with unsecured electronic data collected on laptops or transported on removable media.</w:t>
      </w:r>
    </w:p>
    <w:p w:rsidR="00311730" w:rsidRPr="00A2734E" w:rsidRDefault="00311730" w:rsidP="00AC3EDE">
      <w:pPr>
        <w:pStyle w:val="L1-FlLSp12"/>
      </w:pPr>
    </w:p>
    <w:p w:rsidR="00C83029" w:rsidRPr="00A2734E" w:rsidRDefault="00C40A98" w:rsidP="00AC3EDE">
      <w:pPr>
        <w:pStyle w:val="L1-FlLSp12"/>
      </w:pPr>
      <w:r w:rsidRPr="00A2734E">
        <w:t>D</w:t>
      </w:r>
      <w:r w:rsidR="00281851" w:rsidRPr="00A2734E">
        <w:t xml:space="preserve">ata will be identified </w:t>
      </w:r>
      <w:r w:rsidRPr="00A2734E">
        <w:t xml:space="preserve">by </w:t>
      </w:r>
      <w:r w:rsidR="00281851" w:rsidRPr="00A2734E">
        <w:t>unique identification numbers</w:t>
      </w:r>
      <w:r w:rsidR="00C83029" w:rsidRPr="00A2734E">
        <w:t xml:space="preserve"> assigned to each respondent</w:t>
      </w:r>
      <w:r w:rsidRPr="00A2734E">
        <w:t>. The</w:t>
      </w:r>
      <w:r w:rsidR="00D32EC3">
        <w:t xml:space="preserve"> ID numbers will link</w:t>
      </w:r>
      <w:r w:rsidR="007A190E" w:rsidRPr="00A2734E">
        <w:t xml:space="preserve"> </w:t>
      </w:r>
      <w:r w:rsidR="003E4897">
        <w:t xml:space="preserve">the respondent’s </w:t>
      </w:r>
      <w:r w:rsidR="00C83029" w:rsidRPr="00A2734E">
        <w:t xml:space="preserve">extended interview </w:t>
      </w:r>
      <w:r w:rsidR="00D32EC3">
        <w:t xml:space="preserve">responses with </w:t>
      </w:r>
      <w:r w:rsidR="00E62301">
        <w:t>his or her own</w:t>
      </w:r>
      <w:r w:rsidR="00C83029" w:rsidRPr="00A2734E">
        <w:t xml:space="preserve"> </w:t>
      </w:r>
      <w:proofErr w:type="spellStart"/>
      <w:r w:rsidR="00C83029" w:rsidRPr="00A2734E">
        <w:t>biospecimen</w:t>
      </w:r>
      <w:r w:rsidR="00D32EC3">
        <w:t>s</w:t>
      </w:r>
      <w:proofErr w:type="spellEnd"/>
      <w:r w:rsidR="00D32EC3">
        <w:t>.</w:t>
      </w:r>
      <w:r w:rsidR="00C83029" w:rsidRPr="00A2734E">
        <w:t xml:space="preserve"> Crosswalks that match these numbers to </w:t>
      </w:r>
      <w:r w:rsidR="002721D0" w:rsidRPr="00A2734E">
        <w:t xml:space="preserve">PII </w:t>
      </w:r>
      <w:r w:rsidR="00C83029" w:rsidRPr="00A2734E">
        <w:t>will be stored in secure, encrypted files accessible only to authorized staff whose roles on the study necessitate access. NIDA will not have access to identifying information</w:t>
      </w:r>
      <w:r w:rsidR="007A190E" w:rsidRPr="00A2734E">
        <w:t xml:space="preserve">, and </w:t>
      </w:r>
      <w:r w:rsidR="00DB5721" w:rsidRPr="00A2734E">
        <w:t>personal</w:t>
      </w:r>
      <w:r w:rsidR="00C83029" w:rsidRPr="00A2734E">
        <w:t xml:space="preserve"> identifiers will not be included in the data received by NIDA</w:t>
      </w:r>
      <w:r w:rsidR="007A190E" w:rsidRPr="00A2734E">
        <w:t>.</w:t>
      </w:r>
      <w:r w:rsidR="00C83029" w:rsidRPr="00A2734E">
        <w:t xml:space="preserve"> </w:t>
      </w:r>
      <w:r w:rsidR="004449DE" w:rsidRPr="00A2734E">
        <w:t xml:space="preserve">The prime contractor </w:t>
      </w:r>
      <w:r w:rsidR="00C83029" w:rsidRPr="00A2734E">
        <w:t>will transfer</w:t>
      </w:r>
      <w:r w:rsidR="00762114" w:rsidRPr="00A2734E">
        <w:t xml:space="preserve"> </w:t>
      </w:r>
      <w:r w:rsidR="00C83029" w:rsidRPr="00A2734E">
        <w:t xml:space="preserve">all </w:t>
      </w:r>
      <w:r w:rsidR="007A190E" w:rsidRPr="00A2734E">
        <w:t xml:space="preserve">data for the </w:t>
      </w:r>
      <w:r w:rsidR="004A2068" w:rsidRPr="00A2734E">
        <w:t>PATH Study</w:t>
      </w:r>
      <w:r w:rsidR="00471D2D" w:rsidRPr="00A2734E">
        <w:t xml:space="preserve"> </w:t>
      </w:r>
      <w:r w:rsidR="00C83029" w:rsidRPr="00A2734E">
        <w:t xml:space="preserve">and associated products and </w:t>
      </w:r>
      <w:r w:rsidR="00C83029" w:rsidRPr="00A2734E">
        <w:lastRenderedPageBreak/>
        <w:t>documents to NIDA at the time of compiling final data files</w:t>
      </w:r>
      <w:r w:rsidR="00F03B72" w:rsidRPr="00A2734E">
        <w:t>,</w:t>
      </w:r>
      <w:r w:rsidR="00C83029" w:rsidRPr="00A2734E">
        <w:t xml:space="preserve"> and will not retain </w:t>
      </w:r>
      <w:r w:rsidR="005C52C5" w:rsidRPr="00A2734E">
        <w:t>any</w:t>
      </w:r>
      <w:r w:rsidR="00C83029" w:rsidRPr="00A2734E">
        <w:t xml:space="preserve"> records of the data.</w:t>
      </w:r>
      <w:r w:rsidR="00EC79FB" w:rsidRPr="00A2734E">
        <w:t xml:space="preserve"> Procedures for the storage and disposition of data collected as part of the </w:t>
      </w:r>
      <w:r w:rsidR="004A2068" w:rsidRPr="00A2734E">
        <w:t>PATH Study</w:t>
      </w:r>
      <w:r w:rsidR="00EC79FB" w:rsidRPr="00A2734E">
        <w:t xml:space="preserve"> </w:t>
      </w:r>
      <w:r w:rsidR="00311730" w:rsidRPr="00A2734E">
        <w:t>are</w:t>
      </w:r>
      <w:r w:rsidR="00EC79FB" w:rsidRPr="00A2734E">
        <w:t xml:space="preserve"> described in </w:t>
      </w:r>
      <w:r w:rsidR="00B54479" w:rsidRPr="00A2734E">
        <w:t>Section</w:t>
      </w:r>
      <w:r w:rsidR="00EC79FB" w:rsidRPr="00A2734E">
        <w:t xml:space="preserve"> A.10b.</w:t>
      </w:r>
    </w:p>
    <w:p w:rsidR="00EC79FB" w:rsidRPr="00A2734E" w:rsidRDefault="00EC79FB" w:rsidP="00AC3EDE">
      <w:pPr>
        <w:pStyle w:val="L1-FlLSp12"/>
        <w:rPr>
          <w:b/>
        </w:rPr>
      </w:pPr>
    </w:p>
    <w:p w:rsidR="00BC3C01" w:rsidRPr="00D3642C" w:rsidRDefault="00281851" w:rsidP="00AC3EDE">
      <w:pPr>
        <w:pStyle w:val="L1-FlLSp12"/>
      </w:pPr>
      <w:r w:rsidRPr="00E705A0">
        <w:t xml:space="preserve">All </w:t>
      </w:r>
      <w:r w:rsidR="004A2068" w:rsidRPr="00E705A0">
        <w:t>PATH Study</w:t>
      </w:r>
      <w:r w:rsidR="003251D3" w:rsidRPr="00E705A0">
        <w:t xml:space="preserve"> </w:t>
      </w:r>
      <w:r w:rsidRPr="00E705A0">
        <w:t xml:space="preserve">respondents will be informed of the sponsor, the nature, purpose and uses of the </w:t>
      </w:r>
      <w:r w:rsidR="0085150E" w:rsidRPr="00E705A0">
        <w:t>study</w:t>
      </w:r>
      <w:r w:rsidRPr="00E705A0">
        <w:t xml:space="preserve"> data, legal authorities, </w:t>
      </w:r>
      <w:proofErr w:type="gramStart"/>
      <w:r w:rsidRPr="00E705A0">
        <w:t>the</w:t>
      </w:r>
      <w:proofErr w:type="gramEnd"/>
      <w:r w:rsidRPr="00E705A0">
        <w:t xml:space="preserve"> voluntary nature of the </w:t>
      </w:r>
      <w:r w:rsidR="0085150E" w:rsidRPr="00E705A0">
        <w:t>PATH Study</w:t>
      </w:r>
      <w:r w:rsidR="000021C4" w:rsidRPr="00E705A0">
        <w:t xml:space="preserve"> by data collectors prior to the collection of </w:t>
      </w:r>
      <w:r w:rsidR="000A57D6">
        <w:t>Wave 2</w:t>
      </w:r>
      <w:r w:rsidR="000021C4" w:rsidRPr="00E705A0">
        <w:t xml:space="preserve"> data.</w:t>
      </w:r>
      <w:r w:rsidR="000021C4">
        <w:t xml:space="preserve"> </w:t>
      </w:r>
      <w:r w:rsidR="003E4897">
        <w:t>“</w:t>
      </w:r>
      <w:r w:rsidR="00E705A0">
        <w:t>New</w:t>
      </w:r>
      <w:r w:rsidR="003E4897">
        <w:t>”</w:t>
      </w:r>
      <w:r w:rsidR="00E705A0" w:rsidRPr="00A92156">
        <w:t xml:space="preserve"> </w:t>
      </w:r>
      <w:r w:rsidR="00C83029" w:rsidRPr="00A92156">
        <w:t>respondents</w:t>
      </w:r>
      <w:r w:rsidR="00E705A0">
        <w:t xml:space="preserve">, (i.e., </w:t>
      </w:r>
      <w:r w:rsidR="00525A05">
        <w:t>respondents</w:t>
      </w:r>
      <w:r w:rsidR="00E705A0">
        <w:t xml:space="preserve"> who have aged into </w:t>
      </w:r>
      <w:r w:rsidR="00D32EC3">
        <w:t>the youth or adult</w:t>
      </w:r>
      <w:r w:rsidR="00E705A0">
        <w:t xml:space="preserve"> </w:t>
      </w:r>
      <w:r w:rsidR="00D32EC3">
        <w:t>cohorts</w:t>
      </w:r>
      <w:r w:rsidR="00E705A0">
        <w:t>)</w:t>
      </w:r>
      <w:r w:rsidR="00C83029" w:rsidRPr="00A92156">
        <w:t xml:space="preserve"> will be </w:t>
      </w:r>
      <w:r w:rsidR="00987254" w:rsidRPr="00A92156">
        <w:t>informed</w:t>
      </w:r>
      <w:r w:rsidR="00C83029" w:rsidRPr="00A92156">
        <w:t xml:space="preserve"> in writing that the information they provide will be kept private</w:t>
      </w:r>
      <w:r w:rsidR="006A5AB8">
        <w:t xml:space="preserve"> to the extent permitted by law</w:t>
      </w:r>
      <w:r w:rsidR="00C83029" w:rsidRPr="00A92156">
        <w:t xml:space="preserve"> under the Privacy Act.</w:t>
      </w:r>
      <w:r w:rsidR="00BC3C01" w:rsidRPr="00A92156">
        <w:t xml:space="preserve"> </w:t>
      </w:r>
      <w:r w:rsidR="006A5AB8">
        <w:t xml:space="preserve">Participation is voluntary; </w:t>
      </w:r>
      <w:r w:rsidR="00475C98" w:rsidRPr="00A92156">
        <w:t>respondents</w:t>
      </w:r>
      <w:r w:rsidR="006A5AB8">
        <w:t xml:space="preserve"> may decline </w:t>
      </w:r>
      <w:r w:rsidR="00EA68AE">
        <w:t xml:space="preserve">to </w:t>
      </w:r>
      <w:r w:rsidR="00C83029" w:rsidRPr="00A92156">
        <w:t>answer particular questions without any consequence.</w:t>
      </w:r>
      <w:r w:rsidR="00BC3C01" w:rsidRPr="00A92156">
        <w:t xml:space="preserve"> </w:t>
      </w:r>
      <w:r w:rsidR="00C83029" w:rsidRPr="00E705A0">
        <w:t xml:space="preserve">An informed consent form, which includes descriptions of risks, benefits, and privacy protections, will be reviewed with each potential </w:t>
      </w:r>
      <w:r w:rsidR="004A2068" w:rsidRPr="00E705A0">
        <w:t>PATH Study</w:t>
      </w:r>
      <w:r w:rsidR="00475C98" w:rsidRPr="00E705A0">
        <w:t xml:space="preserve"> respondent</w:t>
      </w:r>
      <w:r w:rsidR="00C83029" w:rsidRPr="00E705A0">
        <w:t xml:space="preserve"> and will be signed by all those choosing to participate in the study.</w:t>
      </w:r>
      <w:r w:rsidR="00BC3C01" w:rsidRPr="00E705A0">
        <w:t xml:space="preserve"> </w:t>
      </w:r>
      <w:r w:rsidR="004F1706" w:rsidRPr="00E705A0">
        <w:t>Separate consent forms</w:t>
      </w:r>
      <w:r w:rsidR="00F75D96" w:rsidRPr="00E705A0">
        <w:t xml:space="preserve"> </w:t>
      </w:r>
      <w:r w:rsidR="00F75D96" w:rsidRPr="00B573F5">
        <w:t xml:space="preserve">(see Attachment </w:t>
      </w:r>
      <w:r w:rsidR="00B57B25" w:rsidRPr="00B573F5">
        <w:t>1</w:t>
      </w:r>
      <w:r w:rsidR="004127AB">
        <w:t>2</w:t>
      </w:r>
      <w:r w:rsidR="00F75D96" w:rsidRPr="00B573F5">
        <w:t>)</w:t>
      </w:r>
      <w:r w:rsidR="004F1706" w:rsidRPr="00B573F5">
        <w:t xml:space="preserve"> and</w:t>
      </w:r>
      <w:r w:rsidR="004F1706" w:rsidRPr="00E705A0">
        <w:t xml:space="preserve"> procedures have been developed for adults and youth.</w:t>
      </w:r>
      <w:r w:rsidR="00BC3C01" w:rsidRPr="00E705A0">
        <w:t xml:space="preserve"> </w:t>
      </w:r>
      <w:r w:rsidR="004F1706" w:rsidRPr="00E705A0">
        <w:t>For youth, parental permissi</w:t>
      </w:r>
      <w:r w:rsidR="00F75D96" w:rsidRPr="00E705A0">
        <w:t xml:space="preserve">on will be obtained in writing </w:t>
      </w:r>
      <w:r w:rsidR="004F1706" w:rsidRPr="00E705A0">
        <w:t xml:space="preserve">prior to seeking youth assent to participate in the </w:t>
      </w:r>
      <w:r w:rsidR="004A2068" w:rsidRPr="00E705A0">
        <w:t>PATH Study</w:t>
      </w:r>
      <w:r w:rsidR="004F1706" w:rsidRPr="00E705A0">
        <w:t>.</w:t>
      </w:r>
      <w:r w:rsidR="00BC3C01" w:rsidRPr="00E705A0">
        <w:t xml:space="preserve"> </w:t>
      </w:r>
      <w:r w:rsidR="00CE5BE6" w:rsidRPr="00E705A0">
        <w:t xml:space="preserve">There is also a separate consent form for adult </w:t>
      </w:r>
      <w:proofErr w:type="spellStart"/>
      <w:r w:rsidR="00CE5BE6" w:rsidRPr="00E705A0">
        <w:t>biospecimen</w:t>
      </w:r>
      <w:proofErr w:type="spellEnd"/>
      <w:r w:rsidR="00CE5BE6" w:rsidRPr="00E705A0">
        <w:t xml:space="preserve"> collection. </w:t>
      </w:r>
      <w:r w:rsidR="0011301C" w:rsidRPr="00E705A0">
        <w:t xml:space="preserve">Information in the consent documents is presented in language that is easily understood and covers many topics, including the (1) voluntary nature of the data collection; (2) purposes and uses of the data; (3) storage and use of the </w:t>
      </w:r>
      <w:proofErr w:type="spellStart"/>
      <w:r w:rsidR="0011301C" w:rsidRPr="00E705A0">
        <w:t>biospecimen</w:t>
      </w:r>
      <w:proofErr w:type="spellEnd"/>
      <w:r w:rsidR="0011301C" w:rsidRPr="00E705A0">
        <w:t xml:space="preserve"> samples; (4) privacy of the information; (5) whether study results or information are available to the respondent; (6) benefits/risks; and (7) contact information regardi</w:t>
      </w:r>
      <w:r w:rsidR="002721D0" w:rsidRPr="00E705A0">
        <w:t xml:space="preserve">ng questions about the </w:t>
      </w:r>
      <w:r w:rsidR="0085150E" w:rsidRPr="00E705A0">
        <w:t>PATH Study</w:t>
      </w:r>
      <w:r w:rsidR="002721D0" w:rsidRPr="00E705A0">
        <w:t>.</w:t>
      </w:r>
    </w:p>
    <w:p w:rsidR="00C83029" w:rsidRPr="00D3642C" w:rsidRDefault="00C83029" w:rsidP="00AC3EDE">
      <w:pPr>
        <w:pStyle w:val="L1-FlLSp12"/>
      </w:pPr>
    </w:p>
    <w:p w:rsidR="00B66E95" w:rsidRDefault="0095353F" w:rsidP="00B66E95">
      <w:pPr>
        <w:pStyle w:val="L1-FlLSp12"/>
        <w:rPr>
          <w:b/>
        </w:rPr>
      </w:pPr>
      <w:r w:rsidRPr="00D3642C">
        <w:t>As noted previously</w:t>
      </w:r>
      <w:r w:rsidR="009C0087" w:rsidRPr="00D3642C">
        <w:t xml:space="preserve"> in A.3</w:t>
      </w:r>
      <w:r w:rsidR="00A73010" w:rsidRPr="00D3642C">
        <w:t>,</w:t>
      </w:r>
      <w:r w:rsidRPr="00D3642C">
        <w:t xml:space="preserve"> </w:t>
      </w:r>
      <w:r w:rsidR="004902B6" w:rsidRPr="00D3642C">
        <w:t xml:space="preserve">two </w:t>
      </w:r>
      <w:r w:rsidR="005C6BF1" w:rsidRPr="00D3642C">
        <w:t>PIA</w:t>
      </w:r>
      <w:r w:rsidR="00A73010" w:rsidRPr="00D3642C">
        <w:t xml:space="preserve">s </w:t>
      </w:r>
      <w:r w:rsidR="00AA6151" w:rsidRPr="00D3642C">
        <w:t xml:space="preserve">for the </w:t>
      </w:r>
      <w:r w:rsidR="004A2068" w:rsidRPr="00D3642C">
        <w:t>PATH Study</w:t>
      </w:r>
      <w:r w:rsidR="002721D0" w:rsidRPr="00D3642C">
        <w:t xml:space="preserve"> </w:t>
      </w:r>
      <w:r w:rsidR="00A73010" w:rsidRPr="00D3642C">
        <w:t xml:space="preserve">were promoted on </w:t>
      </w:r>
      <w:r w:rsidR="002721D0" w:rsidRPr="00D3642C">
        <w:t>July</w:t>
      </w:r>
      <w:r w:rsidR="00A73010" w:rsidRPr="00D3642C">
        <w:t xml:space="preserve"> </w:t>
      </w:r>
      <w:r w:rsidR="00C92E94" w:rsidRPr="00D3642C">
        <w:t>6</w:t>
      </w:r>
      <w:r w:rsidR="00A73010" w:rsidRPr="00D3642C">
        <w:t>,</w:t>
      </w:r>
      <w:r w:rsidR="002721D0" w:rsidRPr="00D3642C">
        <w:t xml:space="preserve"> 2012</w:t>
      </w:r>
      <w:r w:rsidR="00A73010" w:rsidRPr="00D3642C">
        <w:t xml:space="preserve"> (see </w:t>
      </w:r>
      <w:r w:rsidR="00A73010" w:rsidRPr="0023016A">
        <w:t>Attachment</w:t>
      </w:r>
      <w:r w:rsidR="00A73010" w:rsidRPr="00B343AC">
        <w:t xml:space="preserve"> </w:t>
      </w:r>
      <w:r w:rsidR="00D050DA" w:rsidRPr="00B343AC">
        <w:t>7</w:t>
      </w:r>
      <w:r w:rsidR="00A73010" w:rsidRPr="00B343AC">
        <w:t>)</w:t>
      </w:r>
      <w:r w:rsidR="00C66C50" w:rsidRPr="00B343AC">
        <w:t>.</w:t>
      </w:r>
      <w:r w:rsidR="00DB6E10" w:rsidRPr="00B343AC">
        <w:t xml:space="preserve"> </w:t>
      </w:r>
      <w:r w:rsidR="00CA09E3" w:rsidRPr="00A92156">
        <w:t>The PATH Study also received approval from the prime contractor’s Institutional Review Board (IRB) (</w:t>
      </w:r>
      <w:r w:rsidR="00CA09E3" w:rsidRPr="00CA09E3">
        <w:t>Attachment 15</w:t>
      </w:r>
      <w:r w:rsidR="00CA09E3" w:rsidRPr="00A92156">
        <w:t>).</w:t>
      </w:r>
    </w:p>
    <w:p w:rsidR="00786F8E" w:rsidRDefault="00786F8E" w:rsidP="00B66E95">
      <w:pPr>
        <w:pStyle w:val="L1-FlLSp12"/>
        <w:rPr>
          <w:b/>
        </w:rPr>
      </w:pPr>
    </w:p>
    <w:p w:rsidR="00786F8E" w:rsidRPr="00B66E95" w:rsidRDefault="00786F8E" w:rsidP="00B66E95">
      <w:pPr>
        <w:pStyle w:val="L1-FlLSp12"/>
      </w:pPr>
    </w:p>
    <w:p w:rsidR="00DA4FD5" w:rsidRPr="00A92156" w:rsidRDefault="00DA4FD5" w:rsidP="00AC3EDE">
      <w:pPr>
        <w:pStyle w:val="Heading3"/>
      </w:pPr>
      <w:r w:rsidRPr="00A92156">
        <w:t>A.10b</w:t>
      </w:r>
      <w:r w:rsidRPr="00A92156">
        <w:tab/>
        <w:t>Storage and Disposition of the Information</w:t>
      </w:r>
    </w:p>
    <w:p w:rsidR="0005113B" w:rsidRPr="00A2734E" w:rsidRDefault="001C214A" w:rsidP="00AC3EDE">
      <w:pPr>
        <w:pStyle w:val="L1-FlLSp12"/>
      </w:pPr>
      <w:r w:rsidRPr="00A92156">
        <w:t>I</w:t>
      </w:r>
      <w:r w:rsidR="0005113B" w:rsidRPr="00A92156">
        <w:t xml:space="preserve">nformation collected in the </w:t>
      </w:r>
      <w:r w:rsidR="004A2068" w:rsidRPr="00A92156">
        <w:t>PATH Study</w:t>
      </w:r>
      <w:r w:rsidR="0005113B" w:rsidRPr="00A92156">
        <w:t xml:space="preserve"> is covered by NIH Privacy Act S</w:t>
      </w:r>
      <w:r w:rsidR="00B734E7" w:rsidRPr="00A92156">
        <w:t>ORN</w:t>
      </w:r>
      <w:r w:rsidR="0005113B" w:rsidRPr="00A92156">
        <w:t xml:space="preserve"> 09-25-0200, “Clinical, Basic, and Population-based Research Studies of the National Institutes of Health (NIH), HHS/NIH/OD” published in the Federal Register on </w:t>
      </w:r>
      <w:r w:rsidR="00752757" w:rsidRPr="00A92156">
        <w:t xml:space="preserve">September 26, </w:t>
      </w:r>
      <w:r w:rsidR="0005113B" w:rsidRPr="00A92156">
        <w:t>2002 (67 FR 60776)</w:t>
      </w:r>
      <w:r w:rsidR="00BC3C01" w:rsidRPr="00A92156">
        <w:t xml:space="preserve"> </w:t>
      </w:r>
      <w:r w:rsidR="0005113B" w:rsidRPr="00B573F5">
        <w:t xml:space="preserve">(Attachment </w:t>
      </w:r>
      <w:r w:rsidR="00FC5A59" w:rsidRPr="00B573F5">
        <w:t>1</w:t>
      </w:r>
      <w:r w:rsidR="00CA09E3">
        <w:t>6</w:t>
      </w:r>
      <w:r w:rsidR="0005113B" w:rsidRPr="00B573F5">
        <w:t>).</w:t>
      </w:r>
      <w:r w:rsidR="00350003" w:rsidRPr="00B573F5">
        <w:t xml:space="preserve"> The NIH Privacy Act Officer </w:t>
      </w:r>
      <w:r w:rsidR="004F0461" w:rsidRPr="00B573F5">
        <w:t xml:space="preserve">has also </w:t>
      </w:r>
      <w:r w:rsidR="00350003" w:rsidRPr="00B573F5">
        <w:t xml:space="preserve">reviewed </w:t>
      </w:r>
      <w:r w:rsidR="004F0461" w:rsidRPr="00B573F5">
        <w:t>the information contained herein</w:t>
      </w:r>
      <w:r w:rsidR="004F0461" w:rsidRPr="00A92156">
        <w:t xml:space="preserve"> and determined that the Privacy Act applies to the </w:t>
      </w:r>
      <w:r w:rsidR="004A2068" w:rsidRPr="00A92156">
        <w:t>PATH Study</w:t>
      </w:r>
      <w:r w:rsidR="00350003" w:rsidRPr="00A92156">
        <w:t xml:space="preserve"> data collection</w:t>
      </w:r>
      <w:r w:rsidR="00921692" w:rsidRPr="00A92156">
        <w:t>.</w:t>
      </w:r>
    </w:p>
    <w:p w:rsidR="00921692" w:rsidRPr="00A2734E" w:rsidRDefault="00921692" w:rsidP="00AC3EDE">
      <w:pPr>
        <w:pStyle w:val="L1-FlLSp12"/>
      </w:pPr>
    </w:p>
    <w:p w:rsidR="00BC3C01" w:rsidRPr="00A2734E" w:rsidRDefault="00EC108F" w:rsidP="00AC3EDE">
      <w:pPr>
        <w:pStyle w:val="L1-FlLSp12"/>
      </w:pPr>
      <w:r w:rsidRPr="00A2734E">
        <w:t xml:space="preserve">Compliance with the Privacy Act includes protections on identifying information residing in computer files. Data will be maintained in separate, encrypted tables, with password protection and </w:t>
      </w:r>
      <w:r w:rsidRPr="00A2734E">
        <w:lastRenderedPageBreak/>
        <w:t xml:space="preserve">access limited to authorized personnel. The </w:t>
      </w:r>
      <w:r w:rsidR="004A2068" w:rsidRPr="00A2734E">
        <w:t>PATH Study</w:t>
      </w:r>
      <w:r w:rsidRPr="00A2734E">
        <w:t xml:space="preserve"> will comply with the Federal Information Processing Standards (FIPS PUB 41) and Computer Security Guidelines for Implementation of the Privacy Act of 1974, and FIPS PUB 73 (“Guidelines for Security of Computer Applications”). All staff members will complete regular trainings on information security, including the NIH training on data security. Authorized users will have access to research data </w:t>
      </w:r>
      <w:r w:rsidR="00CE5BE6" w:rsidRPr="00A2734E">
        <w:t xml:space="preserve">free of PII </w:t>
      </w:r>
      <w:r w:rsidRPr="00A2734E">
        <w:t>only behind a secure data firewall that will not permit downloading or printing of data. In addition, no individual names or other identifiers will ever be repo</w:t>
      </w:r>
      <w:r w:rsidR="00326984" w:rsidRPr="00A2734E">
        <w:t>rted to NIDA</w:t>
      </w:r>
      <w:r w:rsidR="009B7E63" w:rsidRPr="00A2734E">
        <w:t xml:space="preserve">, </w:t>
      </w:r>
      <w:r w:rsidR="00344C26" w:rsidRPr="00A2734E">
        <w:t>FDA</w:t>
      </w:r>
      <w:r w:rsidR="00994D04" w:rsidRPr="00A2734E">
        <w:t xml:space="preserve">, </w:t>
      </w:r>
      <w:r w:rsidR="00326984" w:rsidRPr="00A2734E">
        <w:t xml:space="preserve">or to </w:t>
      </w:r>
      <w:r w:rsidR="00994D04" w:rsidRPr="00A2734E">
        <w:t>any other government agency</w:t>
      </w:r>
      <w:r w:rsidRPr="00A2734E">
        <w:t>.</w:t>
      </w:r>
    </w:p>
    <w:p w:rsidR="00EC108F" w:rsidRPr="00A2734E" w:rsidRDefault="00EC108F" w:rsidP="00AC3EDE">
      <w:pPr>
        <w:pStyle w:val="L1-FlLSp12"/>
      </w:pPr>
    </w:p>
    <w:p w:rsidR="00465969" w:rsidRPr="00A2734E" w:rsidRDefault="00465969" w:rsidP="00AC3EDE">
      <w:pPr>
        <w:pStyle w:val="L1-FlLSp12"/>
      </w:pPr>
      <w:r w:rsidRPr="00A2734E">
        <w:t>Study data will be identified and retrieved by a study number only.</w:t>
      </w:r>
      <w:r w:rsidR="00BC3C01" w:rsidRPr="00A2734E">
        <w:t xml:space="preserve"> </w:t>
      </w:r>
      <w:r w:rsidRPr="00A2734E">
        <w:t>Investigators will not have access to PII.</w:t>
      </w:r>
      <w:r w:rsidR="00BC3C01" w:rsidRPr="00A2734E">
        <w:t xml:space="preserve"> </w:t>
      </w:r>
      <w:r w:rsidRPr="00A2734E">
        <w:t>The majority of data collected in this study will be captured electronically, avoiding concerns of hard-copy storage of materials that contain PII.</w:t>
      </w:r>
      <w:r w:rsidR="00BC3C01" w:rsidRPr="00A2734E">
        <w:t xml:space="preserve"> </w:t>
      </w:r>
      <w:r w:rsidRPr="00A2734E">
        <w:t>Hard-copy data forms will be identified only by a study identification number and will be stored in locked files at the contractor’s facilities.</w:t>
      </w:r>
      <w:r w:rsidR="00BC3C01" w:rsidRPr="00A2734E">
        <w:t xml:space="preserve"> </w:t>
      </w:r>
      <w:r w:rsidRPr="00A2734E">
        <w:t xml:space="preserve">The datasets collected will be maintained until the completion of the study or until </w:t>
      </w:r>
      <w:r w:rsidR="005C52C5" w:rsidRPr="00A2734E">
        <w:t>they are</w:t>
      </w:r>
      <w:r w:rsidRPr="00A2734E">
        <w:t xml:space="preserve"> no longer required for research purposes.</w:t>
      </w:r>
    </w:p>
    <w:p w:rsidR="008843FD" w:rsidRPr="00A2734E" w:rsidRDefault="008843FD" w:rsidP="00AC3EDE">
      <w:pPr>
        <w:pStyle w:val="L1-FlLSp12"/>
      </w:pPr>
    </w:p>
    <w:p w:rsidR="00BC3C01" w:rsidRPr="00A92156" w:rsidRDefault="009F5C63" w:rsidP="00AC3EDE">
      <w:pPr>
        <w:pStyle w:val="L1-FlLSp12"/>
      </w:pPr>
      <w:r w:rsidRPr="00A2734E">
        <w:t xml:space="preserve">The prime contractor for the </w:t>
      </w:r>
      <w:r w:rsidR="004A2068" w:rsidRPr="00A2734E">
        <w:t>PATH Study</w:t>
      </w:r>
      <w:r w:rsidRPr="00A2734E">
        <w:t xml:space="preserve"> is responsible for storing identifiers in a secure, database environment in accordance with the security guidelines defined by the Federal Information Security Management Act (FISMA) and NIST Special Publication 800-53 for Moderate information system security. </w:t>
      </w:r>
      <w:r w:rsidR="00465969" w:rsidRPr="00A2734E">
        <w:t>All systems and databases handling or storing PII and/or PHI</w:t>
      </w:r>
      <w:r w:rsidR="00752757" w:rsidRPr="00A2734E">
        <w:t xml:space="preserve"> (protected health information)</w:t>
      </w:r>
      <w:r w:rsidR="00465969" w:rsidRPr="00A2734E">
        <w:t xml:space="preserve"> will be reviewed for FISMA compliance by the NIDA Chief Information Officer (CIO) and Information Systems Security Officer (ISSO), and will not be operated in production mode until granted an Authority To Operate (ATO) by NIDA. All computerized data </w:t>
      </w:r>
      <w:r w:rsidR="005C52C5" w:rsidRPr="00A2734E">
        <w:t>will be</w:t>
      </w:r>
      <w:r w:rsidR="00465969" w:rsidRPr="00A2734E">
        <w:t xml:space="preserve"> maintained in a manner that is consistent with the FISMA Moderate requirements.</w:t>
      </w:r>
      <w:r w:rsidR="00BC3C01" w:rsidRPr="00A2734E">
        <w:t xml:space="preserve"> </w:t>
      </w:r>
      <w:r w:rsidR="00465969" w:rsidRPr="00A2734E">
        <w:t xml:space="preserve">No reports or </w:t>
      </w:r>
      <w:r w:rsidR="00465969" w:rsidRPr="00A92156">
        <w:t>analysis files will contain PII.</w:t>
      </w:r>
      <w:r w:rsidR="00BC3C01" w:rsidRPr="00A92156">
        <w:t xml:space="preserve"> </w:t>
      </w:r>
      <w:r w:rsidR="00465969" w:rsidRPr="00A92156">
        <w:t xml:space="preserve">A complete list of the procedures </w:t>
      </w:r>
      <w:r w:rsidR="00ED5258" w:rsidRPr="00A92156">
        <w:t>the contractor</w:t>
      </w:r>
      <w:r w:rsidR="00465969" w:rsidRPr="00A92156">
        <w:t xml:space="preserve"> will take to keep the study data private </w:t>
      </w:r>
      <w:r w:rsidR="00F40A45">
        <w:t xml:space="preserve">is </w:t>
      </w:r>
      <w:r w:rsidR="00465969" w:rsidRPr="00A92156">
        <w:t xml:space="preserve">found in </w:t>
      </w:r>
      <w:r w:rsidR="00465969" w:rsidRPr="0023016A">
        <w:t xml:space="preserve">Attachment </w:t>
      </w:r>
      <w:r w:rsidR="00FC5A59" w:rsidRPr="00B573F5">
        <w:t>1</w:t>
      </w:r>
      <w:r w:rsidR="00CA09E3">
        <w:t>7</w:t>
      </w:r>
      <w:r w:rsidR="00465969" w:rsidRPr="00B573F5">
        <w:t>.</w:t>
      </w:r>
    </w:p>
    <w:p w:rsidR="00465969" w:rsidRPr="00A92156" w:rsidRDefault="00465969" w:rsidP="00AC3EDE">
      <w:pPr>
        <w:pStyle w:val="L1-FlLSp12"/>
      </w:pPr>
    </w:p>
    <w:p w:rsidR="00465969" w:rsidRPr="00A92156" w:rsidRDefault="00465969" w:rsidP="00AC3EDE">
      <w:pPr>
        <w:pStyle w:val="L1-FlLSp12"/>
      </w:pPr>
      <w:r w:rsidRPr="00A92156">
        <w:t xml:space="preserve">Access to </w:t>
      </w:r>
      <w:r w:rsidR="006A5AB8">
        <w:t>the PII</w:t>
      </w:r>
      <w:r w:rsidRPr="00A92156">
        <w:t xml:space="preserve"> is limited to </w:t>
      </w:r>
      <w:r w:rsidR="00A01C08">
        <w:t>a small number of immediate</w:t>
      </w:r>
      <w:r w:rsidRPr="00A92156">
        <w:t xml:space="preserve"> staff working on the study</w:t>
      </w:r>
      <w:r w:rsidR="00752757" w:rsidRPr="00A92156">
        <w:t>,</w:t>
      </w:r>
      <w:r w:rsidR="00263ECE" w:rsidRPr="00A92156">
        <w:t xml:space="preserve"> and all staff members will sign a pledge of confidentiality prior to </w:t>
      </w:r>
      <w:r w:rsidR="00CE5BE6" w:rsidRPr="00A92156">
        <w:t xml:space="preserve">beginning </w:t>
      </w:r>
      <w:r w:rsidR="00263ECE" w:rsidRPr="00A92156">
        <w:t xml:space="preserve">work </w:t>
      </w:r>
      <w:r w:rsidR="00E55E45" w:rsidRPr="00A92156">
        <w:t>(</w:t>
      </w:r>
      <w:r w:rsidR="001C2ED1">
        <w:t xml:space="preserve">see </w:t>
      </w:r>
      <w:r w:rsidR="00E55E45" w:rsidRPr="0023016A">
        <w:t>Attachment</w:t>
      </w:r>
      <w:r w:rsidR="00E55E45" w:rsidRPr="00A92156">
        <w:t xml:space="preserve"> </w:t>
      </w:r>
      <w:r w:rsidR="00B57B25" w:rsidRPr="00A92156">
        <w:t>1</w:t>
      </w:r>
      <w:r w:rsidR="004127AB">
        <w:t>4</w:t>
      </w:r>
      <w:r w:rsidR="00B57B25" w:rsidRPr="00A92156">
        <w:t>)</w:t>
      </w:r>
      <w:r w:rsidRPr="00A92156">
        <w:t>.</w:t>
      </w:r>
      <w:r w:rsidR="00BC3C01" w:rsidRPr="00A92156">
        <w:t xml:space="preserve"> </w:t>
      </w:r>
      <w:r w:rsidRPr="00A92156">
        <w:t>In addition, all contract staff members are required to undergo background screening commensurate with their role on the project and their access to study data, and are required to complete NIH Computer Security Awareness Training as well as Privacy Awareness Training.</w:t>
      </w:r>
    </w:p>
    <w:p w:rsidR="00465969" w:rsidRPr="00A92156" w:rsidRDefault="00465969" w:rsidP="00AC3EDE">
      <w:pPr>
        <w:pStyle w:val="L1-FlLSp12"/>
      </w:pPr>
    </w:p>
    <w:p w:rsidR="00934F6E" w:rsidRPr="00A92156" w:rsidRDefault="004449DE" w:rsidP="00AC3EDE">
      <w:pPr>
        <w:pStyle w:val="L1-FlLSp12"/>
      </w:pPr>
      <w:r w:rsidRPr="00A92156">
        <w:t xml:space="preserve">The prime contractor </w:t>
      </w:r>
      <w:r w:rsidR="00934F6E" w:rsidRPr="00A92156">
        <w:t xml:space="preserve">will share PII </w:t>
      </w:r>
      <w:r w:rsidR="00854895" w:rsidRPr="00A92156">
        <w:t xml:space="preserve">only </w:t>
      </w:r>
      <w:r w:rsidR="00350003" w:rsidRPr="00A92156">
        <w:t>with a</w:t>
      </w:r>
      <w:r w:rsidRPr="00A92156">
        <w:t xml:space="preserve"> single </w:t>
      </w:r>
      <w:r w:rsidR="00934F6E" w:rsidRPr="00A92156">
        <w:t xml:space="preserve">subcontractor responsible for collecting blood </w:t>
      </w:r>
      <w:proofErr w:type="spellStart"/>
      <w:r w:rsidR="00934F6E" w:rsidRPr="00A92156">
        <w:t>biospecimens</w:t>
      </w:r>
      <w:proofErr w:type="spellEnd"/>
      <w:r w:rsidR="00934F6E" w:rsidRPr="00A92156">
        <w:t xml:space="preserve"> from consenting adult respondents.</w:t>
      </w:r>
      <w:r w:rsidR="00BC3C01" w:rsidRPr="00A92156">
        <w:t xml:space="preserve"> </w:t>
      </w:r>
      <w:r w:rsidRPr="00A92156">
        <w:t>This subcontractor</w:t>
      </w:r>
      <w:r w:rsidR="00932DAA">
        <w:t>’s</w:t>
      </w:r>
      <w:r w:rsidRPr="00A92156">
        <w:t xml:space="preserve"> </w:t>
      </w:r>
      <w:r w:rsidR="00934F6E" w:rsidRPr="00A92156">
        <w:t xml:space="preserve">staff phlebotomists will receive PII because they will need to visit adult respondents who consent to provide </w:t>
      </w:r>
      <w:proofErr w:type="spellStart"/>
      <w:r w:rsidR="00934F6E" w:rsidRPr="00A92156">
        <w:t>biospecimens</w:t>
      </w:r>
      <w:proofErr w:type="spellEnd"/>
      <w:r w:rsidR="00934F6E" w:rsidRPr="00A92156">
        <w:t xml:space="preserve"> to obtain samples of their blood. </w:t>
      </w:r>
      <w:r w:rsidR="002721D0" w:rsidRPr="00A92156">
        <w:t>As with</w:t>
      </w:r>
      <w:r w:rsidRPr="00A92156">
        <w:t xml:space="preserve"> the prime contractor</w:t>
      </w:r>
      <w:r w:rsidR="002721D0" w:rsidRPr="00A92156">
        <w:t xml:space="preserve">, </w:t>
      </w:r>
      <w:r w:rsidRPr="00A92156">
        <w:t>this subcontractor</w:t>
      </w:r>
      <w:r w:rsidR="00DB6E10" w:rsidRPr="00A92156">
        <w:t xml:space="preserve"> </w:t>
      </w:r>
      <w:r w:rsidR="002721D0" w:rsidRPr="00A92156">
        <w:t xml:space="preserve">will not receive </w:t>
      </w:r>
      <w:r w:rsidR="002721D0" w:rsidRPr="00A92156">
        <w:lastRenderedPageBreak/>
        <w:t>any PII until their</w:t>
      </w:r>
      <w:r w:rsidR="00934F6E" w:rsidRPr="00A92156">
        <w:t xml:space="preserve"> </w:t>
      </w:r>
      <w:r w:rsidR="002721D0" w:rsidRPr="00A92156">
        <w:t>secure database environment is in accordance with the security guidelines for FISMA Moderate information system security, and is reviewed for FISMA compliance by the NIDA CIO and ISSO and given ATO by NIDA.</w:t>
      </w:r>
    </w:p>
    <w:p w:rsidR="00D916BC" w:rsidRPr="00A92156" w:rsidRDefault="00D916BC" w:rsidP="00D916BC">
      <w:pPr>
        <w:pStyle w:val="L1-FlLSp12"/>
      </w:pPr>
    </w:p>
    <w:p w:rsidR="00DB6E10" w:rsidRDefault="00D916BC" w:rsidP="00D916BC">
      <w:pPr>
        <w:pStyle w:val="L1-FlLSp12"/>
      </w:pPr>
      <w:r w:rsidRPr="00A92156">
        <w:t xml:space="preserve">A detailed inventory of all files, including hard copy consent forms, which include respondent names, and all other PII, will be secured separately from research data and accessible only to </w:t>
      </w:r>
      <w:bookmarkStart w:id="0" w:name="_GoBack"/>
      <w:bookmarkEnd w:id="0"/>
      <w:r w:rsidRPr="00A92156">
        <w:t>authorized staff.</w:t>
      </w:r>
      <w:r w:rsidR="00DB6E10" w:rsidRPr="00A92156">
        <w:t xml:space="preserve"> </w:t>
      </w:r>
      <w:r w:rsidRPr="00A92156">
        <w:t>All records, including hard copies of informed consent and other documentation, will be retained and disposed of under authority of the NIH Records Control Schedule contained in NIH Manual Chapter 1743, Appendix 1B “Keeping and Destroying Records” (HHS Records Management Manual, Appendix B-361)</w:t>
      </w:r>
      <w:r w:rsidR="00E80AD2" w:rsidRPr="00A92156">
        <w:t xml:space="preserve"> (</w:t>
      </w:r>
      <w:r w:rsidR="00E80AD2" w:rsidRPr="00B343AC">
        <w:t xml:space="preserve">see </w:t>
      </w:r>
      <w:r w:rsidR="00E80AD2" w:rsidRPr="0023016A">
        <w:t xml:space="preserve">Attachment </w:t>
      </w:r>
      <w:r w:rsidR="00B57B25" w:rsidRPr="007146BB">
        <w:t>1</w:t>
      </w:r>
      <w:r w:rsidR="002F5027">
        <w:t>6</w:t>
      </w:r>
      <w:r w:rsidR="00E80AD2" w:rsidRPr="007146BB">
        <w:t>).</w:t>
      </w:r>
    </w:p>
    <w:p w:rsidR="00C1060E" w:rsidRDefault="00C1060E" w:rsidP="00D916BC">
      <w:pPr>
        <w:pStyle w:val="L1-FlLSp12"/>
      </w:pPr>
    </w:p>
    <w:p w:rsidR="003450F8" w:rsidRPr="003450F8" w:rsidRDefault="003450F8" w:rsidP="00D916BC">
      <w:pPr>
        <w:pStyle w:val="L1-FlLSp12"/>
      </w:pPr>
    </w:p>
    <w:p w:rsidR="00BC3C01" w:rsidRPr="00D3642C" w:rsidRDefault="00473ECD" w:rsidP="00AC3EDE">
      <w:pPr>
        <w:pStyle w:val="Heading3"/>
      </w:pPr>
      <w:r w:rsidRPr="00D3642C">
        <w:t>A.10c</w:t>
      </w:r>
      <w:r w:rsidRPr="00D3642C">
        <w:tab/>
        <w:t>Plans for Data Sharing</w:t>
      </w:r>
    </w:p>
    <w:p w:rsidR="002F5B0C" w:rsidRDefault="002F5B0C" w:rsidP="002F5B0C">
      <w:pPr>
        <w:pStyle w:val="L1-FlLSp12"/>
      </w:pPr>
      <w:r>
        <w:t>NIDA will work with FDA and the prime contractor to create a public use dataset from each wave’s data and make it available to the public online, consistent with OMB’s Memorandum 13-13 (March 2013). The time period from completion of a wave to availability of a public use dataset is anticipated to be within 18 months. Data underlying all government-funded scientific publication 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rsidR="002F5B0C" w:rsidRDefault="002F5B0C" w:rsidP="002F5B0C">
      <w:pPr>
        <w:pStyle w:val="L1-FlLSp12"/>
      </w:pPr>
    </w:p>
    <w:p w:rsidR="00BC3C01" w:rsidRPr="00D3642C" w:rsidRDefault="006A5AB8" w:rsidP="00AC3EDE">
      <w:pPr>
        <w:pStyle w:val="L1-FlLSp12"/>
      </w:pPr>
      <w:r>
        <w:t xml:space="preserve">Another version of the </w:t>
      </w:r>
      <w:r w:rsidRPr="00A2734E">
        <w:t>PATH Study data</w:t>
      </w:r>
      <w:r w:rsidR="00C43CF1">
        <w:t>,</w:t>
      </w:r>
      <w:r w:rsidRPr="00A2734E">
        <w:t xml:space="preserve"> </w:t>
      </w:r>
      <w:r w:rsidR="00A01C08">
        <w:t>un</w:t>
      </w:r>
      <w:r>
        <w:t>suitable for a public use file</w:t>
      </w:r>
      <w:r w:rsidR="00C43CF1">
        <w:t>,</w:t>
      </w:r>
      <w:r>
        <w:t xml:space="preserve"> </w:t>
      </w:r>
      <w:r w:rsidR="00A01C08">
        <w:t xml:space="preserve">will </w:t>
      </w:r>
      <w:r>
        <w:t xml:space="preserve">be stored in a repository. </w:t>
      </w:r>
      <w:r w:rsidR="005306B7" w:rsidRPr="00D3642C">
        <w:t xml:space="preserve">NIDA </w:t>
      </w:r>
      <w:r w:rsidR="004C5E3F">
        <w:t xml:space="preserve">and </w:t>
      </w:r>
      <w:r w:rsidR="005306B7" w:rsidRPr="00D3642C">
        <w:t xml:space="preserve">FDA </w:t>
      </w:r>
      <w:r w:rsidR="004C5E3F">
        <w:t xml:space="preserve">will develop plans for a </w:t>
      </w:r>
      <w:r w:rsidR="005306B7" w:rsidRPr="00D3642C">
        <w:t xml:space="preserve">repository for the </w:t>
      </w:r>
      <w:r w:rsidR="004A2068" w:rsidRPr="00D3642C">
        <w:t>PATH Study</w:t>
      </w:r>
      <w:r w:rsidR="005306B7" w:rsidRPr="00D3642C">
        <w:t xml:space="preserve"> data, including plans for data disclosure, sharing</w:t>
      </w:r>
      <w:r w:rsidR="004C5E3F">
        <w:t xml:space="preserve"> of data between NIDA and FDA and with researchers</w:t>
      </w:r>
      <w:r w:rsidR="00452554" w:rsidRPr="00D3642C">
        <w:t>,</w:t>
      </w:r>
      <w:r w:rsidR="005306B7" w:rsidRPr="00D3642C">
        <w:t xml:space="preserve"> and confidentiality </w:t>
      </w:r>
      <w:r w:rsidR="004C5E3F">
        <w:t xml:space="preserve">requirements </w:t>
      </w:r>
      <w:r w:rsidR="005306B7" w:rsidRPr="00D3642C">
        <w:t xml:space="preserve">for qualified researchers interested in working directly with NIDA and FDA to analyze the </w:t>
      </w:r>
      <w:r w:rsidR="004A2068" w:rsidRPr="00D3642C">
        <w:t>PATH Study</w:t>
      </w:r>
      <w:r w:rsidR="005306B7" w:rsidRPr="00D3642C">
        <w:t xml:space="preserve"> data</w:t>
      </w:r>
      <w:r w:rsidR="00452554" w:rsidRPr="00D3642C">
        <w:t xml:space="preserve"> and </w:t>
      </w:r>
      <w:proofErr w:type="spellStart"/>
      <w:r w:rsidR="00452554" w:rsidRPr="00D3642C">
        <w:t>biospecimens</w:t>
      </w:r>
      <w:proofErr w:type="spellEnd"/>
      <w:r w:rsidR="005306B7" w:rsidRPr="00D3642C">
        <w:t>.</w:t>
      </w:r>
      <w:r w:rsidR="00BC3C01" w:rsidRPr="00D3642C">
        <w:t xml:space="preserve"> </w:t>
      </w:r>
      <w:r w:rsidR="005306B7" w:rsidRPr="00D3642C">
        <w:t>Data sharing plans promulgated by the NIH dictate dissemination of appropriately de-identified data; and</w:t>
      </w:r>
      <w:r w:rsidR="00CF6BEA" w:rsidRPr="00D3642C">
        <w:t>,</w:t>
      </w:r>
      <w:r w:rsidR="005306B7" w:rsidRPr="00D3642C">
        <w:t xml:space="preserve"> a</w:t>
      </w:r>
      <w:r w:rsidR="00C71872" w:rsidRPr="00D3642C">
        <w:t xml:space="preserve">s explained in </w:t>
      </w:r>
      <w:r w:rsidR="00B54479" w:rsidRPr="00D3642C">
        <w:t>Section</w:t>
      </w:r>
      <w:r w:rsidR="00C71872" w:rsidRPr="00D3642C">
        <w:t xml:space="preserve"> A.2d, </w:t>
      </w:r>
      <w:r w:rsidR="004A2068" w:rsidRPr="00D3642C">
        <w:t>PATH Study</w:t>
      </w:r>
      <w:r w:rsidR="005306B7" w:rsidRPr="00D3642C">
        <w:t xml:space="preserve"> d</w:t>
      </w:r>
      <w:r w:rsidR="00C71872" w:rsidRPr="00D3642C">
        <w:t>ata</w:t>
      </w:r>
      <w:r w:rsidR="005306B7" w:rsidRPr="00D3642C">
        <w:t xml:space="preserve"> that have been</w:t>
      </w:r>
      <w:r w:rsidR="00C71872" w:rsidRPr="00D3642C">
        <w:t xml:space="preserve"> stripped of PII and subjected to disclosure limitation procedures may be deposited in a </w:t>
      </w:r>
      <w:r w:rsidR="00CF6BEA" w:rsidRPr="00D3642C">
        <w:t>repository</w:t>
      </w:r>
      <w:r w:rsidR="00C71872" w:rsidRPr="00D3642C">
        <w:t xml:space="preserve"> such as the ICPSR</w:t>
      </w:r>
      <w:r w:rsidR="00AA3349" w:rsidRPr="00D3642C">
        <w:t>’s NAHDAP</w:t>
      </w:r>
      <w:r w:rsidR="00C71872" w:rsidRPr="00D3642C">
        <w:t>, where data from</w:t>
      </w:r>
      <w:r w:rsidR="00DB6E10" w:rsidRPr="00D3642C">
        <w:t xml:space="preserve"> </w:t>
      </w:r>
      <w:r w:rsidR="00C71872" w:rsidRPr="00D3642C">
        <w:t>NIDA-funded research projects are routinely deposited for public or restricted use.</w:t>
      </w:r>
    </w:p>
    <w:p w:rsidR="001201CC" w:rsidRPr="00D3642C" w:rsidRDefault="001201CC" w:rsidP="00AC3EDE">
      <w:pPr>
        <w:pStyle w:val="L1-FlLSp12"/>
      </w:pPr>
    </w:p>
    <w:p w:rsidR="00DB6E10" w:rsidRPr="00D3642C" w:rsidRDefault="00AA3349" w:rsidP="00AA3349">
      <w:pPr>
        <w:pStyle w:val="L1-FlLSp12"/>
      </w:pPr>
      <w:r w:rsidRPr="00D3642C">
        <w:t xml:space="preserve">Researchers interested in accessing </w:t>
      </w:r>
      <w:r w:rsidR="004A2068" w:rsidRPr="00D3642C">
        <w:t>PATH Study</w:t>
      </w:r>
      <w:r w:rsidRPr="00D3642C">
        <w:t xml:space="preserve"> </w:t>
      </w:r>
      <w:r w:rsidR="000249A8" w:rsidRPr="00D3642C">
        <w:t xml:space="preserve">data </w:t>
      </w:r>
      <w:r w:rsidRPr="00D3642C">
        <w:t xml:space="preserve">will be required to apply to the </w:t>
      </w:r>
      <w:r w:rsidR="004A2068" w:rsidRPr="00D3642C">
        <w:t>PATH Study</w:t>
      </w:r>
      <w:r w:rsidRPr="00D3642C">
        <w:t xml:space="preserve"> Data Access Committee (DAC)</w:t>
      </w:r>
      <w:r w:rsidR="000249A8" w:rsidRPr="00D3642C">
        <w:t>, to be established by NIDA and the FDA.</w:t>
      </w:r>
      <w:r w:rsidR="00DB6E10" w:rsidRPr="00D3642C">
        <w:t xml:space="preserve"> </w:t>
      </w:r>
      <w:r w:rsidR="000249A8" w:rsidRPr="00D3642C">
        <w:t>This</w:t>
      </w:r>
      <w:r w:rsidRPr="00D3642C">
        <w:t xml:space="preserve"> committee will </w:t>
      </w:r>
      <w:r w:rsidR="000249A8" w:rsidRPr="00D3642C">
        <w:t xml:space="preserve">work with </w:t>
      </w:r>
      <w:r w:rsidR="001201CC" w:rsidRPr="00D3642C">
        <w:t xml:space="preserve">the data repository, such as </w:t>
      </w:r>
      <w:r w:rsidR="000249A8" w:rsidRPr="00D3642C">
        <w:t>ICPSR’s NAHDAP</w:t>
      </w:r>
      <w:r w:rsidR="001201CC" w:rsidRPr="00D3642C">
        <w:t xml:space="preserve">, </w:t>
      </w:r>
      <w:r w:rsidR="000249A8" w:rsidRPr="00D3642C">
        <w:t xml:space="preserve">to </w:t>
      </w:r>
      <w:r w:rsidRPr="00D3642C">
        <w:t>manage access to the data repository</w:t>
      </w:r>
      <w:r w:rsidR="000249A8" w:rsidRPr="00D3642C">
        <w:t xml:space="preserve"> </w:t>
      </w:r>
      <w:r w:rsidRPr="00D3642C">
        <w:t>and track the progress of researchers who receive approval.</w:t>
      </w:r>
    </w:p>
    <w:p w:rsidR="000249A8" w:rsidRPr="00D3642C" w:rsidRDefault="000249A8" w:rsidP="00AA3349">
      <w:pPr>
        <w:pStyle w:val="L1-FlLSp12"/>
      </w:pPr>
    </w:p>
    <w:p w:rsidR="00AA3349" w:rsidRPr="00A2734E" w:rsidRDefault="00A81C3A" w:rsidP="00A81C3A">
      <w:pPr>
        <w:spacing w:line="360" w:lineRule="auto"/>
      </w:pPr>
      <w:r w:rsidRPr="00D3642C">
        <w:rPr>
          <w:szCs w:val="24"/>
        </w:rPr>
        <w:t xml:space="preserve">Upon receiving DAC approval, researchers will be required to submit a Data Use Agreement to the </w:t>
      </w:r>
      <w:r w:rsidRPr="00A92156">
        <w:rPr>
          <w:szCs w:val="24"/>
        </w:rPr>
        <w:t xml:space="preserve">data repository, such as NAHDAP/ICPSR (see </w:t>
      </w:r>
      <w:r w:rsidRPr="0023016A">
        <w:rPr>
          <w:szCs w:val="24"/>
        </w:rPr>
        <w:t>Attachment</w:t>
      </w:r>
      <w:r w:rsidRPr="00A92156">
        <w:rPr>
          <w:szCs w:val="24"/>
        </w:rPr>
        <w:t xml:space="preserve"> 1</w:t>
      </w:r>
      <w:r w:rsidR="00CA09E3">
        <w:rPr>
          <w:szCs w:val="24"/>
        </w:rPr>
        <w:t>8</w:t>
      </w:r>
      <w:r w:rsidRPr="00A92156">
        <w:rPr>
          <w:szCs w:val="24"/>
        </w:rPr>
        <w:t>)</w:t>
      </w:r>
      <w:r w:rsidR="00CE34EB">
        <w:rPr>
          <w:szCs w:val="24"/>
        </w:rPr>
        <w:t>,</w:t>
      </w:r>
      <w:r w:rsidRPr="00A92156">
        <w:rPr>
          <w:szCs w:val="24"/>
        </w:rPr>
        <w:t xml:space="preserve"> to gain access to the restricted data</w:t>
      </w:r>
      <w:r w:rsidRPr="00A2734E">
        <w:rPr>
          <w:szCs w:val="24"/>
        </w:rPr>
        <w:t xml:space="preserve"> files. These data files will include </w:t>
      </w:r>
      <w:r w:rsidR="004A2068" w:rsidRPr="00A2734E">
        <w:rPr>
          <w:szCs w:val="24"/>
        </w:rPr>
        <w:t>PATH Study</w:t>
      </w:r>
      <w:r w:rsidRPr="00A2734E">
        <w:rPr>
          <w:szCs w:val="24"/>
        </w:rPr>
        <w:t xml:space="preserve"> </w:t>
      </w:r>
      <w:r w:rsidR="0085150E">
        <w:rPr>
          <w:szCs w:val="24"/>
        </w:rPr>
        <w:t>questionnaire</w:t>
      </w:r>
      <w:r w:rsidRPr="00A2734E">
        <w:rPr>
          <w:szCs w:val="24"/>
        </w:rPr>
        <w:t xml:space="preserve"> data and may include data from </w:t>
      </w:r>
      <w:proofErr w:type="spellStart"/>
      <w:r w:rsidRPr="00A2734E">
        <w:rPr>
          <w:szCs w:val="24"/>
        </w:rPr>
        <w:t>biospecimens</w:t>
      </w:r>
      <w:proofErr w:type="spellEnd"/>
      <w:r w:rsidR="00EE3115">
        <w:rPr>
          <w:szCs w:val="24"/>
        </w:rPr>
        <w:t>;</w:t>
      </w:r>
      <w:r w:rsidRPr="00A2734E">
        <w:rPr>
          <w:szCs w:val="24"/>
        </w:rPr>
        <w:t xml:space="preserve"> however, qualified researchers interested in accessing </w:t>
      </w:r>
      <w:r w:rsidR="004A2068" w:rsidRPr="00A2734E">
        <w:rPr>
          <w:szCs w:val="24"/>
        </w:rPr>
        <w:t>PATH Study</w:t>
      </w:r>
      <w:r w:rsidRPr="00A2734E">
        <w:rPr>
          <w:szCs w:val="24"/>
        </w:rPr>
        <w:t xml:space="preserve"> </w:t>
      </w:r>
      <w:proofErr w:type="spellStart"/>
      <w:r w:rsidRPr="00A2734E">
        <w:rPr>
          <w:szCs w:val="24"/>
        </w:rPr>
        <w:t>biospecimens</w:t>
      </w:r>
      <w:proofErr w:type="spellEnd"/>
      <w:r w:rsidRPr="00A2734E">
        <w:rPr>
          <w:szCs w:val="24"/>
        </w:rPr>
        <w:t xml:space="preserve"> to conduct analyses will be required to apply to the </w:t>
      </w:r>
      <w:r w:rsidR="004A2068" w:rsidRPr="00A2734E">
        <w:rPr>
          <w:szCs w:val="24"/>
        </w:rPr>
        <w:t>PATH Study</w:t>
      </w:r>
      <w:r w:rsidRPr="00A2734E">
        <w:rPr>
          <w:szCs w:val="24"/>
        </w:rPr>
        <w:t xml:space="preserve"> Biospecimen Access Committee (BAC).</w:t>
      </w:r>
      <w:r w:rsidR="00DB6E10" w:rsidRPr="00A2734E">
        <w:rPr>
          <w:szCs w:val="24"/>
        </w:rPr>
        <w:t xml:space="preserve"> </w:t>
      </w:r>
      <w:r w:rsidR="00AA3349" w:rsidRPr="00A2734E">
        <w:t xml:space="preserve">This committee will manage the sharing of </w:t>
      </w:r>
      <w:proofErr w:type="spellStart"/>
      <w:r w:rsidR="00AA3349" w:rsidRPr="00A2734E">
        <w:t>biospecimens</w:t>
      </w:r>
      <w:proofErr w:type="spellEnd"/>
      <w:r w:rsidR="00AA3349" w:rsidRPr="00A2734E">
        <w:t xml:space="preserve">; instruct the </w:t>
      </w:r>
      <w:r w:rsidR="004A2068" w:rsidRPr="00A2734E">
        <w:t>PATH Study</w:t>
      </w:r>
      <w:r w:rsidR="00AA3349" w:rsidRPr="00A2734E">
        <w:t xml:space="preserve"> </w:t>
      </w:r>
      <w:proofErr w:type="spellStart"/>
      <w:r w:rsidR="00AA3349" w:rsidRPr="00A2734E">
        <w:t>biospecimen</w:t>
      </w:r>
      <w:proofErr w:type="spellEnd"/>
      <w:r w:rsidR="00AA3349" w:rsidRPr="00A2734E">
        <w:t xml:space="preserve"> repository </w:t>
      </w:r>
      <w:r w:rsidR="006918A6" w:rsidRPr="00A2734E">
        <w:t>sub</w:t>
      </w:r>
      <w:r w:rsidR="009F5C63" w:rsidRPr="00A2734E">
        <w:t xml:space="preserve">contractor </w:t>
      </w:r>
      <w:r w:rsidR="00AA3349" w:rsidRPr="00A2734E">
        <w:t xml:space="preserve">to ship specimens to approved labs/researchers; track the progress of researchers; and if necessary recall </w:t>
      </w:r>
      <w:proofErr w:type="spellStart"/>
      <w:r w:rsidR="00AA3349" w:rsidRPr="00A2734E">
        <w:t>biospecimens</w:t>
      </w:r>
      <w:proofErr w:type="spellEnd"/>
      <w:r w:rsidR="00AA3349" w:rsidRPr="00A2734E">
        <w:t>.</w:t>
      </w:r>
    </w:p>
    <w:p w:rsidR="00B41BB3" w:rsidRDefault="00B41BB3" w:rsidP="00B41BB3">
      <w:pPr>
        <w:pStyle w:val="L1-FlLSp12"/>
      </w:pPr>
    </w:p>
    <w:p w:rsidR="00B343AC" w:rsidRPr="00B41BB3" w:rsidRDefault="00B343AC" w:rsidP="00B41BB3">
      <w:pPr>
        <w:pStyle w:val="L1-FlLSp12"/>
      </w:pPr>
    </w:p>
    <w:p w:rsidR="008F5FA1" w:rsidRPr="00A2734E" w:rsidRDefault="008F5FA1" w:rsidP="00AC3EDE">
      <w:pPr>
        <w:pStyle w:val="Heading2"/>
      </w:pPr>
      <w:r w:rsidRPr="00A2734E">
        <w:t>A.11</w:t>
      </w:r>
      <w:r w:rsidRPr="00A2734E">
        <w:tab/>
        <w:t>Justification for Sensitive Questions</w:t>
      </w:r>
    </w:p>
    <w:p w:rsidR="00BC3C01" w:rsidRPr="00A2734E" w:rsidRDefault="00985756" w:rsidP="00AC3EDE">
      <w:pPr>
        <w:pStyle w:val="L1-FlLSp12"/>
      </w:pPr>
      <w:r w:rsidRPr="00526239">
        <w:t xml:space="preserve">As mentioned in Section A.1, data from the </w:t>
      </w:r>
      <w:r w:rsidR="004A2068" w:rsidRPr="00526239">
        <w:t>PATH Study</w:t>
      </w:r>
      <w:r w:rsidRPr="00526239">
        <w:t xml:space="preserve"> will</w:t>
      </w:r>
      <w:r w:rsidR="00526239" w:rsidRPr="00535327">
        <w:t xml:space="preserve"> </w:t>
      </w:r>
      <w:r w:rsidR="0005104D">
        <w:t xml:space="preserve">serve as a scientific framework to help inform Federal programs that aim to improve public health and reduce tobacco-related diseases, disabilities, and deaths in the U.S. population. To </w:t>
      </w:r>
      <w:r w:rsidRPr="00A2734E">
        <w:t xml:space="preserve">meet this purpose, the </w:t>
      </w:r>
      <w:r w:rsidR="004A2068" w:rsidRPr="00A2734E">
        <w:t>PATH Study</w:t>
      </w:r>
      <w:r w:rsidRPr="00A2734E">
        <w:t xml:space="preserve"> ask</w:t>
      </w:r>
      <w:r w:rsidR="0029509F" w:rsidRPr="00A2734E">
        <w:t>s</w:t>
      </w:r>
      <w:r w:rsidRPr="00A2734E">
        <w:t xml:space="preserve"> questions about tobacco use.</w:t>
      </w:r>
      <w:r w:rsidR="00BC3C01" w:rsidRPr="00A2734E">
        <w:t xml:space="preserve"> </w:t>
      </w:r>
      <w:r w:rsidRPr="00A2734E">
        <w:t xml:space="preserve">Additionally, as described in Section A.2, the </w:t>
      </w:r>
      <w:r w:rsidR="004A2068" w:rsidRPr="00A2734E">
        <w:t>PATH Study</w:t>
      </w:r>
      <w:r w:rsidRPr="00A2734E">
        <w:t xml:space="preserve"> has </w:t>
      </w:r>
      <w:r w:rsidR="00CE34EB">
        <w:t>eight</w:t>
      </w:r>
      <w:r w:rsidR="00CE34EB" w:rsidRPr="00A2734E">
        <w:t xml:space="preserve"> </w:t>
      </w:r>
      <w:r w:rsidRPr="00A2734E">
        <w:t>objectives rooted in the</w:t>
      </w:r>
      <w:r w:rsidR="0029509F" w:rsidRPr="00A2734E">
        <w:t xml:space="preserve"> shared scientific needs of NIDA, in service to its research mission, and of FDA to its mandate under the </w:t>
      </w:r>
      <w:r w:rsidR="000D3949">
        <w:t>TCA</w:t>
      </w:r>
      <w:r w:rsidRPr="00A2734E">
        <w:t>.</w:t>
      </w:r>
      <w:r w:rsidR="00BC3C01" w:rsidRPr="00A2734E">
        <w:t xml:space="preserve"> </w:t>
      </w:r>
      <w:r w:rsidRPr="00A2734E">
        <w:t xml:space="preserve">To meet these objectives, the </w:t>
      </w:r>
      <w:r w:rsidR="004A2068" w:rsidRPr="00A2734E">
        <w:t>PATH Study</w:t>
      </w:r>
      <w:r w:rsidRPr="00A2734E">
        <w:t xml:space="preserve"> </w:t>
      </w:r>
      <w:r w:rsidR="0085150E">
        <w:t>instruments</w:t>
      </w:r>
      <w:r w:rsidRPr="00A2734E">
        <w:t xml:space="preserve"> include questions </w:t>
      </w:r>
      <w:r w:rsidR="0029509F" w:rsidRPr="00A2734E">
        <w:t>on</w:t>
      </w:r>
      <w:r w:rsidR="00DB6E10" w:rsidRPr="00A2734E">
        <w:t xml:space="preserve"> </w:t>
      </w:r>
      <w:r w:rsidRPr="00A2734E">
        <w:t>other sensitive topics including:</w:t>
      </w:r>
      <w:r w:rsidR="00A03BCC" w:rsidRPr="00A2734E">
        <w:t xml:space="preserve"> psychological problems</w:t>
      </w:r>
      <w:r w:rsidR="00F75D96" w:rsidRPr="00A2734E">
        <w:t xml:space="preserve"> and conditions</w:t>
      </w:r>
      <w:r w:rsidR="00A03BCC" w:rsidRPr="00A2734E">
        <w:t xml:space="preserve">; </w:t>
      </w:r>
      <w:r w:rsidR="00F75D96" w:rsidRPr="00A2734E">
        <w:t xml:space="preserve">substance abuse; </w:t>
      </w:r>
      <w:r w:rsidR="00A03BCC" w:rsidRPr="00A2734E">
        <w:t xml:space="preserve">income; </w:t>
      </w:r>
      <w:r w:rsidR="00F75D96" w:rsidRPr="00A2734E">
        <w:t>and s</w:t>
      </w:r>
      <w:r w:rsidR="00A03BCC" w:rsidRPr="00A2734E">
        <w:t xml:space="preserve">exual </w:t>
      </w:r>
      <w:r w:rsidR="00F75D96" w:rsidRPr="00A2734E">
        <w:t xml:space="preserve">identity, </w:t>
      </w:r>
      <w:r w:rsidR="00A03BCC" w:rsidRPr="00A2734E">
        <w:t xml:space="preserve">orientation, </w:t>
      </w:r>
      <w:r w:rsidR="00F75D96" w:rsidRPr="00A2734E">
        <w:t xml:space="preserve">and </w:t>
      </w:r>
      <w:r w:rsidR="00A03BCC" w:rsidRPr="00A2734E">
        <w:t>attraction.</w:t>
      </w:r>
      <w:r w:rsidR="00BC3C01" w:rsidRPr="00A2734E">
        <w:t xml:space="preserve"> </w:t>
      </w:r>
      <w:r w:rsidR="00A03BCC" w:rsidRPr="00A2734E">
        <w:t>These questions relate directly to</w:t>
      </w:r>
      <w:r w:rsidR="009714D6" w:rsidRPr="00A2734E">
        <w:t xml:space="preserve"> </w:t>
      </w:r>
      <w:r w:rsidR="00A03BCC" w:rsidRPr="00A2734E">
        <w:t>key outcomes or ma</w:t>
      </w:r>
      <w:r w:rsidR="0025287A" w:rsidRPr="00A2734E">
        <w:t xml:space="preserve">jor correlates of tobacco use </w:t>
      </w:r>
      <w:r w:rsidR="0029509F" w:rsidRPr="00A2734E">
        <w:t xml:space="preserve">and health </w:t>
      </w:r>
      <w:r w:rsidR="0025287A" w:rsidRPr="00A2734E">
        <w:t>and are included in both t</w:t>
      </w:r>
      <w:r w:rsidR="00A03BCC" w:rsidRPr="00A2734E">
        <w:t xml:space="preserve">he adult and youth </w:t>
      </w:r>
      <w:r w:rsidR="0085150E">
        <w:t>instruments</w:t>
      </w:r>
      <w:r w:rsidR="0025287A" w:rsidRPr="00A2734E">
        <w:t>.</w:t>
      </w:r>
    </w:p>
    <w:p w:rsidR="00B343AC" w:rsidRDefault="00B343AC" w:rsidP="00AC3EDE">
      <w:pPr>
        <w:pStyle w:val="L1-FlLSp12"/>
      </w:pPr>
    </w:p>
    <w:p w:rsidR="003450F8" w:rsidRPr="0023016A" w:rsidRDefault="003450F8" w:rsidP="00AC3EDE">
      <w:pPr>
        <w:pStyle w:val="L1-FlLSp12"/>
      </w:pPr>
    </w:p>
    <w:p w:rsidR="00BC3C01" w:rsidRPr="00A2734E" w:rsidRDefault="000053BE" w:rsidP="00AC3EDE">
      <w:pPr>
        <w:pStyle w:val="Heading3"/>
      </w:pPr>
      <w:r w:rsidRPr="00A2734E">
        <w:t>A.11a</w:t>
      </w:r>
      <w:r w:rsidRPr="00A2734E">
        <w:tab/>
        <w:t>Tobacco</w:t>
      </w:r>
    </w:p>
    <w:p w:rsidR="000053BE" w:rsidRPr="00A2734E" w:rsidRDefault="006D0F02" w:rsidP="00AC3EDE">
      <w:pPr>
        <w:pStyle w:val="L1-FlLSp12"/>
      </w:pPr>
      <w:r w:rsidRPr="00A2734E">
        <w:t>The</w:t>
      </w:r>
      <w:r w:rsidR="000053BE" w:rsidRPr="00A2734E">
        <w:t xml:space="preserve"> mission of C</w:t>
      </w:r>
      <w:r w:rsidRPr="00A2734E">
        <w:t>T</w:t>
      </w:r>
      <w:r w:rsidR="000053BE" w:rsidRPr="00A2734E">
        <w:t>P at FDA is to protect Americans from tobacco-related death and disease by regulating the manufacture, distribution, and marketing of tobacco products</w:t>
      </w:r>
      <w:r w:rsidR="00CF6BEA" w:rsidRPr="00A2734E">
        <w:t>;</w:t>
      </w:r>
      <w:r w:rsidR="000053BE" w:rsidRPr="00A2734E">
        <w:t xml:space="preserve"> and </w:t>
      </w:r>
      <w:r w:rsidR="000053BE" w:rsidRPr="00CB38A5">
        <w:t>by educating the public, especially young people, about tobacco products and the dangers their use pose to themselves and others.</w:t>
      </w:r>
      <w:r w:rsidR="00BC3C01" w:rsidRPr="00C130EC">
        <w:t xml:space="preserve"> </w:t>
      </w:r>
      <w:r w:rsidR="00FF075A" w:rsidRPr="00C130EC">
        <w:t xml:space="preserve">The </w:t>
      </w:r>
      <w:r w:rsidR="004A2068" w:rsidRPr="00C130EC">
        <w:t>PATH Study</w:t>
      </w:r>
      <w:r w:rsidR="00FF075A" w:rsidRPr="00C130EC">
        <w:t xml:space="preserve"> </w:t>
      </w:r>
      <w:r w:rsidR="000053BE" w:rsidRPr="00C130EC">
        <w:t>is central to this mission and will provide</w:t>
      </w:r>
      <w:r w:rsidR="000053BE" w:rsidRPr="00A2734E">
        <w:t xml:space="preserve"> population-based scientific evidence to inform FDA’s</w:t>
      </w:r>
      <w:r w:rsidR="00535327">
        <w:t xml:space="preserve"> regulatory activities</w:t>
      </w:r>
      <w:r w:rsidR="0005104D">
        <w:t>.</w:t>
      </w:r>
      <w:r w:rsidR="0005104D" w:rsidRPr="00A2734E">
        <w:t xml:space="preserve"> </w:t>
      </w:r>
      <w:r w:rsidR="0005104D">
        <w:t>T</w:t>
      </w:r>
      <w:r w:rsidR="000053BE" w:rsidRPr="00A2734E">
        <w:t xml:space="preserve">obacco use questions are the critical core </w:t>
      </w:r>
      <w:r w:rsidR="000053BE" w:rsidRPr="00286327">
        <w:t xml:space="preserve">of the </w:t>
      </w:r>
      <w:r w:rsidR="004A2068" w:rsidRPr="00286327">
        <w:t>PATH Study</w:t>
      </w:r>
      <w:r w:rsidR="00CE34EB" w:rsidRPr="00286327">
        <w:t>.</w:t>
      </w:r>
      <w:r w:rsidR="000053BE" w:rsidRPr="00286327">
        <w:t xml:space="preserve"> </w:t>
      </w:r>
      <w:r w:rsidR="00CE34EB" w:rsidRPr="00286327">
        <w:t>W</w:t>
      </w:r>
      <w:r w:rsidR="000053BE" w:rsidRPr="00286327">
        <w:t xml:space="preserve">ithout these questions, </w:t>
      </w:r>
      <w:r w:rsidR="00FF075A" w:rsidRPr="00286327">
        <w:t>FDA</w:t>
      </w:r>
      <w:r w:rsidR="000053BE" w:rsidRPr="00286327">
        <w:t>’s ability to achieve its mandated mission</w:t>
      </w:r>
      <w:r w:rsidR="0005104D" w:rsidRPr="00286327">
        <w:t xml:space="preserve"> under</w:t>
      </w:r>
      <w:r w:rsidR="0005104D">
        <w:t xml:space="preserve"> the </w:t>
      </w:r>
      <w:r w:rsidR="000D3949">
        <w:t>TCA</w:t>
      </w:r>
      <w:r w:rsidR="0005104D">
        <w:t xml:space="preserve"> </w:t>
      </w:r>
      <w:r w:rsidR="000053BE" w:rsidRPr="00A2734E">
        <w:t>would be significantly impaired.</w:t>
      </w:r>
    </w:p>
    <w:p w:rsidR="000053BE" w:rsidRPr="00A2734E" w:rsidRDefault="000053BE" w:rsidP="00AC3EDE">
      <w:pPr>
        <w:pStyle w:val="L1-FlLSp12"/>
      </w:pPr>
    </w:p>
    <w:p w:rsidR="00BC3C01" w:rsidRPr="00A2734E" w:rsidRDefault="006D0F02" w:rsidP="00AC3EDE">
      <w:pPr>
        <w:pStyle w:val="L1-FlLSp12"/>
      </w:pPr>
      <w:r w:rsidRPr="00A2734E">
        <w:lastRenderedPageBreak/>
        <w:t xml:space="preserve">The </w:t>
      </w:r>
      <w:r w:rsidR="004A2068" w:rsidRPr="00A2734E">
        <w:t>PATH Study</w:t>
      </w:r>
      <w:r w:rsidR="009215C7">
        <w:t xml:space="preserve">’s focus is on </w:t>
      </w:r>
      <w:r w:rsidR="000053BE" w:rsidRPr="00A2734E">
        <w:t>tobacco use.</w:t>
      </w:r>
      <w:r w:rsidR="00BC3C01" w:rsidRPr="00A2734E">
        <w:t xml:space="preserve"> </w:t>
      </w:r>
      <w:r w:rsidR="000053BE" w:rsidRPr="00A2734E">
        <w:t>Most of the items</w:t>
      </w:r>
      <w:r w:rsidR="009215C7">
        <w:t xml:space="preserve"> i</w:t>
      </w:r>
      <w:r w:rsidR="0085150E">
        <w:t>n</w:t>
      </w:r>
      <w:r w:rsidR="009215C7">
        <w:t xml:space="preserve"> its instruments </w:t>
      </w:r>
      <w:r w:rsidR="000053BE" w:rsidRPr="00A2734E">
        <w:t xml:space="preserve">are </w:t>
      </w:r>
      <w:r w:rsidRPr="00A2734E">
        <w:t xml:space="preserve">similar to or slight variations of items </w:t>
      </w:r>
      <w:r w:rsidR="000053BE" w:rsidRPr="00A2734E">
        <w:t>common</w:t>
      </w:r>
      <w:r w:rsidRPr="00A2734E">
        <w:t xml:space="preserve"> to widely</w:t>
      </w:r>
      <w:r w:rsidR="00074C23">
        <w:t>-</w:t>
      </w:r>
      <w:r w:rsidRPr="00A2734E">
        <w:t>used</w:t>
      </w:r>
      <w:r w:rsidR="000053BE" w:rsidRPr="00A2734E">
        <w:t xml:space="preserve"> surveys o</w:t>
      </w:r>
      <w:r w:rsidR="00074C23">
        <w:t>n</w:t>
      </w:r>
      <w:r w:rsidR="000053BE" w:rsidRPr="00A2734E">
        <w:t xml:space="preserve"> tobacco that have been approved by OMB.</w:t>
      </w:r>
      <w:r w:rsidR="00BC3C01" w:rsidRPr="00A2734E">
        <w:t xml:space="preserve"> </w:t>
      </w:r>
      <w:r w:rsidR="000053BE" w:rsidRPr="00A2734E">
        <w:t xml:space="preserve">The </w:t>
      </w:r>
      <w:r w:rsidR="004A2068" w:rsidRPr="00A2734E">
        <w:t>PATH Study</w:t>
      </w:r>
      <w:r w:rsidRPr="00A2734E">
        <w:t xml:space="preserve"> </w:t>
      </w:r>
      <w:r w:rsidR="000053BE" w:rsidRPr="00A2734E">
        <w:t xml:space="preserve">adult </w:t>
      </w:r>
      <w:r w:rsidR="0085150E">
        <w:t>instrument</w:t>
      </w:r>
      <w:r w:rsidR="000053BE" w:rsidRPr="00A2734E">
        <w:t xml:space="preserve"> contains questions that assess tobacco use in great</w:t>
      </w:r>
      <w:r w:rsidRPr="00A2734E">
        <w:t xml:space="preserve"> detail</w:t>
      </w:r>
      <w:r w:rsidR="000053BE" w:rsidRPr="00A2734E">
        <w:t xml:space="preserve"> and breadth</w:t>
      </w:r>
      <w:r w:rsidRPr="00A2734E">
        <w:t>.</w:t>
      </w:r>
      <w:r w:rsidR="00BC3C01" w:rsidRPr="00A2734E">
        <w:t xml:space="preserve"> </w:t>
      </w:r>
      <w:r w:rsidRPr="00A2734E">
        <w:t xml:space="preserve">Answers to these questions will provide a resource to NIDA and FDA to understand risk factors associated with </w:t>
      </w:r>
      <w:r w:rsidR="000053BE" w:rsidRPr="00A2734E">
        <w:t>tobacco use</w:t>
      </w:r>
      <w:r w:rsidRPr="00A2734E">
        <w:t xml:space="preserve"> initiation</w:t>
      </w:r>
      <w:r w:rsidR="000053BE" w:rsidRPr="00A2734E">
        <w:t xml:space="preserve">, </w:t>
      </w:r>
      <w:r w:rsidRPr="00A2734E">
        <w:t xml:space="preserve">as well as motivations for </w:t>
      </w:r>
      <w:r w:rsidR="000053BE" w:rsidRPr="00A2734E">
        <w:t>product-switching,</w:t>
      </w:r>
      <w:r w:rsidRPr="00A2734E">
        <w:t xml:space="preserve"> use of multiple tobacco products,</w:t>
      </w:r>
      <w:r w:rsidR="000053BE" w:rsidRPr="00A2734E">
        <w:t xml:space="preserve"> and quitting.</w:t>
      </w:r>
      <w:r w:rsidR="00BC3C01" w:rsidRPr="00A2734E">
        <w:t xml:space="preserve"> </w:t>
      </w:r>
      <w:r w:rsidRPr="00A2734E">
        <w:t>Such</w:t>
      </w:r>
      <w:r w:rsidR="000053BE" w:rsidRPr="00A2734E">
        <w:t xml:space="preserve"> questions are not generally considered sensitive when administered to adults.</w:t>
      </w:r>
    </w:p>
    <w:p w:rsidR="00723E38" w:rsidRPr="00A2734E" w:rsidRDefault="00723E38" w:rsidP="00AC3EDE">
      <w:pPr>
        <w:pStyle w:val="L1-FlLSp12"/>
      </w:pPr>
    </w:p>
    <w:p w:rsidR="00DB6E10" w:rsidRPr="00A2734E" w:rsidRDefault="00723E38" w:rsidP="00AC3EDE">
      <w:pPr>
        <w:pStyle w:val="L1-FlLSp12"/>
      </w:pPr>
      <w:r w:rsidRPr="00A2734E">
        <w:t xml:space="preserve">Similar to the adult </w:t>
      </w:r>
      <w:r w:rsidR="00074C23">
        <w:t>interview</w:t>
      </w:r>
      <w:r w:rsidRPr="00A2734E">
        <w:t xml:space="preserve">, the </w:t>
      </w:r>
      <w:r w:rsidR="004A2068" w:rsidRPr="00A2734E">
        <w:t>PATH Study</w:t>
      </w:r>
      <w:r w:rsidRPr="00A2734E">
        <w:t xml:space="preserve"> youth </w:t>
      </w:r>
      <w:r w:rsidR="00074C23">
        <w:t>interview</w:t>
      </w:r>
      <w:r w:rsidRPr="00A2734E">
        <w:t xml:space="preserve"> contains questions that assess attitudes toward tobacco, and tobacco use in great detail and breadth.</w:t>
      </w:r>
      <w:r w:rsidR="00BC3C01" w:rsidRPr="00A2734E">
        <w:t xml:space="preserve"> </w:t>
      </w:r>
      <w:r w:rsidRPr="00A2734E">
        <w:t>These questions, especially when asked of underage children, may be considered sensitive by at least a portion of parents or youth.</w:t>
      </w:r>
      <w:r w:rsidR="00BC3C01" w:rsidRPr="00A2734E">
        <w:t xml:space="preserve"> </w:t>
      </w:r>
      <w:r w:rsidR="00AE2EA0" w:rsidRPr="00A2734E">
        <w:t xml:space="preserve">(As described in </w:t>
      </w:r>
      <w:r w:rsidR="00B54479" w:rsidRPr="00A2734E">
        <w:t>Section</w:t>
      </w:r>
      <w:r w:rsidR="00AE2EA0" w:rsidRPr="00A2734E">
        <w:t xml:space="preserve"> A.10 several procedures will be implemented in the field to protect youth’s privacy and ensure that he/she feels comfortable in answering the questions). </w:t>
      </w:r>
      <w:r w:rsidRPr="00A2734E">
        <w:t>The youth tobacco use questions are modeled on the Center</w:t>
      </w:r>
      <w:r w:rsidR="00C130EC">
        <w:t>s</w:t>
      </w:r>
      <w:r w:rsidRPr="00A2734E">
        <w:t xml:space="preserve"> for Disease Control</w:t>
      </w:r>
      <w:r w:rsidR="00C130EC">
        <w:t xml:space="preserve"> and Prevention</w:t>
      </w:r>
      <w:r w:rsidRPr="00A2734E">
        <w:t xml:space="preserve">’s </w:t>
      </w:r>
      <w:r w:rsidR="00CE34EB">
        <w:t>NYTS</w:t>
      </w:r>
      <w:r w:rsidRPr="00A2734E">
        <w:t xml:space="preserve"> (OMB</w:t>
      </w:r>
      <w:r w:rsidR="00AE2EA0" w:rsidRPr="00A2734E">
        <w:t xml:space="preserve"> </w:t>
      </w:r>
      <w:r w:rsidRPr="00A2734E">
        <w:t># 0920-0621</w:t>
      </w:r>
      <w:r w:rsidR="00C5505E">
        <w:t>,</w:t>
      </w:r>
      <w:r w:rsidR="006B1E3A" w:rsidRPr="00A2734E">
        <w:t xml:space="preserve"> </w:t>
      </w:r>
      <w:r w:rsidR="004449DE" w:rsidRPr="00A2734E">
        <w:t>e</w:t>
      </w:r>
      <w:r w:rsidR="006B1E3A" w:rsidRPr="00A2734E">
        <w:t>xpiration date 1/31/2015</w:t>
      </w:r>
      <w:r w:rsidRPr="00A2734E">
        <w:t>)</w:t>
      </w:r>
      <w:r w:rsidR="00EE3115">
        <w:t>;</w:t>
      </w:r>
      <w:r w:rsidRPr="00A2734E">
        <w:t xml:space="preserve"> however, they have been expanded to cover a more diverse and specific array of tobacco products.</w:t>
      </w:r>
    </w:p>
    <w:p w:rsidR="00723E38" w:rsidRPr="00A2734E" w:rsidRDefault="00723E38" w:rsidP="00AC3EDE">
      <w:pPr>
        <w:pStyle w:val="L1-FlLSp12"/>
      </w:pPr>
    </w:p>
    <w:p w:rsidR="00BC3C01" w:rsidRPr="00A2734E" w:rsidRDefault="000053BE" w:rsidP="00AC3EDE">
      <w:pPr>
        <w:pStyle w:val="L1-FlLSp12"/>
      </w:pPr>
      <w:r w:rsidRPr="00A2734E">
        <w:t xml:space="preserve">The </w:t>
      </w:r>
      <w:r w:rsidR="004A2068" w:rsidRPr="00A2734E">
        <w:t>PATH Study</w:t>
      </w:r>
      <w:r w:rsidR="00723E38" w:rsidRPr="00A2734E">
        <w:t xml:space="preserve"> </w:t>
      </w:r>
      <w:r w:rsidRPr="00A2734E">
        <w:t xml:space="preserve">parent </w:t>
      </w:r>
      <w:r w:rsidR="00074C23">
        <w:t>interview</w:t>
      </w:r>
      <w:r w:rsidRPr="00A2734E">
        <w:t xml:space="preserve"> includes questions about the youth’s tobacco use and future tobacco use.</w:t>
      </w:r>
      <w:r w:rsidR="00BC3C01" w:rsidRPr="00A2734E">
        <w:t xml:space="preserve"> </w:t>
      </w:r>
      <w:r w:rsidRPr="00A2734E">
        <w:t xml:space="preserve">These are intended to provide context for the youth responses, and will be critical for future waves of data collection, </w:t>
      </w:r>
      <w:r w:rsidR="00723E38" w:rsidRPr="00A2734E">
        <w:t xml:space="preserve">particularly data </w:t>
      </w:r>
      <w:r w:rsidRPr="00A2734E">
        <w:t>on the youth’s tobacco-use trajectory.</w:t>
      </w:r>
      <w:r w:rsidR="00BC3C01" w:rsidRPr="00A2734E">
        <w:t xml:space="preserve"> </w:t>
      </w:r>
      <w:r w:rsidRPr="00A2734E">
        <w:t>Understanding th</w:t>
      </w:r>
      <w:r w:rsidR="00723E38" w:rsidRPr="00A2734E">
        <w:t>e</w:t>
      </w:r>
      <w:r w:rsidRPr="00A2734E">
        <w:t xml:space="preserve"> trajector</w:t>
      </w:r>
      <w:r w:rsidR="00723E38" w:rsidRPr="00A2734E">
        <w:t xml:space="preserve">ies and transitions in tobacco use behaviors (e.g., onset, daily use, multiple product use, quitting attempts, relapse, and cessation) are essential to communicate effectively about tobacco products and the consequences of their use, as FDA is mandated by the </w:t>
      </w:r>
      <w:r w:rsidR="000D3949">
        <w:t>TCA</w:t>
      </w:r>
      <w:r w:rsidR="00723E38" w:rsidRPr="00A2734E">
        <w:t xml:space="preserve"> to do by e</w:t>
      </w:r>
      <w:r w:rsidRPr="00A2734E">
        <w:t>ducating young people.</w:t>
      </w:r>
    </w:p>
    <w:p w:rsidR="009545E6" w:rsidRDefault="009545E6" w:rsidP="00AC3EDE">
      <w:pPr>
        <w:pStyle w:val="L1-FlLSp12"/>
      </w:pPr>
    </w:p>
    <w:p w:rsidR="003450F8" w:rsidRPr="0023016A" w:rsidRDefault="003450F8" w:rsidP="00AC3EDE">
      <w:pPr>
        <w:pStyle w:val="L1-FlLSp12"/>
      </w:pPr>
    </w:p>
    <w:p w:rsidR="00BC3C01" w:rsidRPr="00A2734E" w:rsidRDefault="000053BE" w:rsidP="00AC3EDE">
      <w:pPr>
        <w:pStyle w:val="Heading3"/>
      </w:pPr>
      <w:r w:rsidRPr="00A2734E">
        <w:t>A.11b</w:t>
      </w:r>
      <w:r w:rsidRPr="00A2734E">
        <w:tab/>
        <w:t>Psychological Problems and Conditions</w:t>
      </w:r>
    </w:p>
    <w:p w:rsidR="00BC3C01" w:rsidRPr="00A2734E" w:rsidRDefault="0064698F" w:rsidP="00AC3EDE">
      <w:pPr>
        <w:pStyle w:val="L1-FlLSp12"/>
      </w:pPr>
      <w:r w:rsidRPr="00A2734E">
        <w:t>Tobacco use is highly associated with an array of psychological problems and conditions, including depression and anxiety.</w:t>
      </w:r>
      <w:r w:rsidR="00BC3C01" w:rsidRPr="00A2734E">
        <w:t xml:space="preserve"> </w:t>
      </w:r>
      <w:r w:rsidR="00526EBD" w:rsidRPr="00A2734E">
        <w:t>Adults (John</w:t>
      </w:r>
      <w:r w:rsidR="006F5824">
        <w:t xml:space="preserve"> et al.</w:t>
      </w:r>
      <w:r w:rsidR="004F6929" w:rsidRPr="00A2734E">
        <w:t>,</w:t>
      </w:r>
      <w:r w:rsidR="00526EBD" w:rsidRPr="00A2734E">
        <w:t xml:space="preserve"> 2004) and youth (</w:t>
      </w:r>
      <w:proofErr w:type="spellStart"/>
      <w:r w:rsidR="00526EBD" w:rsidRPr="00A2734E">
        <w:t>Udaphyaya</w:t>
      </w:r>
      <w:proofErr w:type="spellEnd"/>
      <w:r w:rsidR="006F5824">
        <w:t xml:space="preserve"> et al.</w:t>
      </w:r>
      <w:r w:rsidR="004F6929" w:rsidRPr="00A2734E">
        <w:t>,</w:t>
      </w:r>
      <w:r w:rsidR="00526EBD" w:rsidRPr="00A2734E">
        <w:t xml:space="preserve"> 2002) with mental health concerns use tobacco at higher rates and find it more difficult to quit tobacco</w:t>
      </w:r>
      <w:r w:rsidR="00EE3115">
        <w:t xml:space="preserve"> use</w:t>
      </w:r>
      <w:r w:rsidR="00526EBD" w:rsidRPr="00A2734E">
        <w:t xml:space="preserve"> (Snyder</w:t>
      </w:r>
      <w:r w:rsidR="004F6929" w:rsidRPr="00A2734E">
        <w:t>,</w:t>
      </w:r>
      <w:r w:rsidR="00526EBD" w:rsidRPr="00A2734E">
        <w:t xml:space="preserve"> 2006).</w:t>
      </w:r>
      <w:r w:rsidR="00BC3C01" w:rsidRPr="00A2734E">
        <w:t xml:space="preserve"> </w:t>
      </w:r>
      <w:r w:rsidRPr="00A2734E">
        <w:t xml:space="preserve">Epidemiologic and clinical studies have shown that psychiatric disorders are important moderators of nicotine dependency severity (as measured by </w:t>
      </w:r>
      <w:proofErr w:type="spellStart"/>
      <w:r w:rsidRPr="00A2734E">
        <w:t>Fagerstrom</w:t>
      </w:r>
      <w:proofErr w:type="spellEnd"/>
      <w:r w:rsidRPr="00A2734E">
        <w:t xml:space="preserve"> Test of Nicotine Dependen</w:t>
      </w:r>
      <w:r w:rsidR="00526EBD" w:rsidRPr="00A2734E">
        <w:t>cy or FTND scores, for example), withdrawal,</w:t>
      </w:r>
      <w:r w:rsidRPr="00A2734E">
        <w:t xml:space="preserve"> craving</w:t>
      </w:r>
      <w:r w:rsidR="00526EBD" w:rsidRPr="00A2734E">
        <w:t>,</w:t>
      </w:r>
      <w:r w:rsidRPr="00A2734E">
        <w:t xml:space="preserve"> quitting</w:t>
      </w:r>
      <w:r w:rsidR="00526EBD" w:rsidRPr="00A2734E">
        <w:t>,</w:t>
      </w:r>
      <w:r w:rsidRPr="00A2734E">
        <w:t xml:space="preserve"> and responses to changes in cigarette pricing.</w:t>
      </w:r>
      <w:r w:rsidR="00BC3C01" w:rsidRPr="00A2734E">
        <w:t xml:space="preserve"> </w:t>
      </w:r>
      <w:r w:rsidRPr="00A2734E">
        <w:t>As reported by Legacy (201</w:t>
      </w:r>
      <w:r w:rsidR="00934A41">
        <w:t>2</w:t>
      </w:r>
      <w:r w:rsidRPr="00A2734E">
        <w:t>)</w:t>
      </w:r>
      <w:r w:rsidR="00C20477">
        <w:t>,</w:t>
      </w:r>
      <w:r w:rsidRPr="00A2734E">
        <w:t xml:space="preserve"> “People with mental illnesses smoke at rates almost twice as high as the general population (41 percent versus 22.5 percent, respectively).</w:t>
      </w:r>
      <w:r w:rsidR="009545E6">
        <w:t xml:space="preserve"> </w:t>
      </w:r>
      <w:r w:rsidRPr="00A2734E">
        <w:t xml:space="preserve">Nearly </w:t>
      </w:r>
      <w:r w:rsidRPr="00A2734E">
        <w:lastRenderedPageBreak/>
        <w:t>half the cigarettes smoked in the United States (44-46 percent) are consumed by people with co-occurring psychiatric or addictive disorders.</w:t>
      </w:r>
      <w:r w:rsidR="0005104D">
        <w:t>”</w:t>
      </w:r>
      <w:r w:rsidRPr="00A2734E">
        <w:t xml:space="preserve"> Moreover, remission from nicotine was moderated by comorbid psychiatric disorders and substance use disorders, findings that have been replicated in cross-sectional and longitudinal analyses.</w:t>
      </w:r>
      <w:r w:rsidR="00BC3C01" w:rsidRPr="00A2734E">
        <w:t xml:space="preserve"> </w:t>
      </w:r>
      <w:r w:rsidRPr="00A2734E">
        <w:t xml:space="preserve">In summary, including these constructs in </w:t>
      </w:r>
      <w:r w:rsidR="004A2068" w:rsidRPr="00A2734E">
        <w:t>PATH Study</w:t>
      </w:r>
      <w:r w:rsidRPr="00A2734E">
        <w:t xml:space="preserve"> </w:t>
      </w:r>
      <w:r w:rsidR="00074C23">
        <w:t>instruments</w:t>
      </w:r>
      <w:r w:rsidRPr="00A2734E">
        <w:t xml:space="preserve"> </w:t>
      </w:r>
      <w:r w:rsidR="00074C23">
        <w:t>will facilitate understanding of how</w:t>
      </w:r>
      <w:r w:rsidRPr="00A2734E">
        <w:t xml:space="preserve"> </w:t>
      </w:r>
      <w:r w:rsidR="005A59E7" w:rsidRPr="00A2734E">
        <w:t xml:space="preserve">various program and policy </w:t>
      </w:r>
      <w:r w:rsidRPr="00A2734E">
        <w:t xml:space="preserve">changes </w:t>
      </w:r>
      <w:r w:rsidR="005A59E7" w:rsidRPr="00A2734E">
        <w:t xml:space="preserve">may </w:t>
      </w:r>
      <w:r w:rsidRPr="00A2734E">
        <w:t>affect tobacco use behaviors in the population.</w:t>
      </w:r>
    </w:p>
    <w:p w:rsidR="0064698F" w:rsidRPr="00A2734E" w:rsidRDefault="0064698F" w:rsidP="00AC3EDE">
      <w:pPr>
        <w:pStyle w:val="L1-FlLSp12"/>
      </w:pPr>
    </w:p>
    <w:p w:rsidR="00BC3C01" w:rsidRPr="00A2734E" w:rsidRDefault="000053BE" w:rsidP="00AC3EDE">
      <w:pPr>
        <w:pStyle w:val="L1-FlLSp12"/>
      </w:pPr>
      <w:r w:rsidRPr="00A2734E">
        <w:t>Questions dealing with depression, anxiety and personality traits and disorders have appeared frequently in national surveys of the general population since the early 1980s. These include the National Institute of Mental Health’s Epidemiological Catchment Area Survey (ECA), fielded between 1981 and 1985 and its 1990-1992 and 2001-2002 National Comorbidity Surveys (NCSs)</w:t>
      </w:r>
      <w:r w:rsidR="004F6929" w:rsidRPr="00A2734E">
        <w:t>;</w:t>
      </w:r>
      <w:r w:rsidRPr="00A2734E">
        <w:t xml:space="preserve"> supplements to</w:t>
      </w:r>
      <w:r w:rsidR="00F50FF1" w:rsidRPr="00A2734E">
        <w:t xml:space="preserve"> the </w:t>
      </w:r>
      <w:r w:rsidRPr="00A2734E">
        <w:t>NCHS</w:t>
      </w:r>
      <w:r w:rsidR="00C20477">
        <w:t xml:space="preserve"> NHIS</w:t>
      </w:r>
      <w:r w:rsidRPr="00A2734E">
        <w:t xml:space="preserve"> in 1983, 1988, and 1991</w:t>
      </w:r>
      <w:r w:rsidR="004F6929" w:rsidRPr="00A2734E">
        <w:t>;</w:t>
      </w:r>
      <w:r w:rsidRPr="00A2734E">
        <w:t xml:space="preserve"> CDC’s Behavioral Risk Factor Surveillance S</w:t>
      </w:r>
      <w:r w:rsidR="00C42E2D">
        <w:t>ystem</w:t>
      </w:r>
      <w:r w:rsidRPr="00A2734E">
        <w:t xml:space="preserve"> since 1980</w:t>
      </w:r>
      <w:r w:rsidR="004F6929" w:rsidRPr="00A2734E">
        <w:t>;</w:t>
      </w:r>
      <w:r w:rsidRPr="00A2734E">
        <w:t xml:space="preserve"> and in 15 N</w:t>
      </w:r>
      <w:r w:rsidR="00F50FF1" w:rsidRPr="00A2734E">
        <w:t>ational Institute on Alcohol Abuse and Alcoholism (NI</w:t>
      </w:r>
      <w:r w:rsidRPr="00A2734E">
        <w:t>AAA</w:t>
      </w:r>
      <w:r w:rsidR="00F50FF1" w:rsidRPr="00A2734E">
        <w:t xml:space="preserve">) </w:t>
      </w:r>
      <w:r w:rsidRPr="00A2734E">
        <w:t>supported national surveys conducted by the Alcohol Research Group since 1991. An analysis of all these surveys indicat</w:t>
      </w:r>
      <w:r w:rsidR="00526EBD" w:rsidRPr="00A2734E">
        <w:t>es</w:t>
      </w:r>
      <w:r w:rsidRPr="00A2734E">
        <w:t xml:space="preserve"> that questions </w:t>
      </w:r>
      <w:r w:rsidR="00526EBD" w:rsidRPr="00A2734E">
        <w:t xml:space="preserve">about </w:t>
      </w:r>
      <w:r w:rsidRPr="00A2734E">
        <w:t>psychological problems and conditions were not considered sensitive by respondents. Nonresponse for these questions was extremely low (i.e., less than 4.0 percent), comparable to questions not normally regarded as sensitive.</w:t>
      </w:r>
    </w:p>
    <w:p w:rsidR="00526EBD" w:rsidRPr="00A2734E" w:rsidRDefault="00526EBD" w:rsidP="00AC3EDE">
      <w:pPr>
        <w:pStyle w:val="L1-FlLSp12"/>
      </w:pPr>
    </w:p>
    <w:p w:rsidR="00BC3C01" w:rsidRDefault="00526EBD" w:rsidP="00AC3EDE">
      <w:pPr>
        <w:pStyle w:val="L1-FlLSp12"/>
      </w:pPr>
      <w:r w:rsidRPr="00A92156">
        <w:t xml:space="preserve">The </w:t>
      </w:r>
      <w:r w:rsidR="004A2068" w:rsidRPr="00A92156">
        <w:t>PATH Study</w:t>
      </w:r>
      <w:r w:rsidRPr="00A92156">
        <w:t xml:space="preserve"> </w:t>
      </w:r>
      <w:r w:rsidR="000053BE" w:rsidRPr="00A92156">
        <w:t>has developed a handout (</w:t>
      </w:r>
      <w:r w:rsidR="001C2ED1">
        <w:t xml:space="preserve">see </w:t>
      </w:r>
      <w:r w:rsidR="000053BE" w:rsidRPr="0023016A">
        <w:t>Attachment</w:t>
      </w:r>
      <w:r w:rsidR="000053BE" w:rsidRPr="009545E6">
        <w:t xml:space="preserve"> </w:t>
      </w:r>
      <w:r w:rsidR="004324B7" w:rsidRPr="009545E6">
        <w:t>1</w:t>
      </w:r>
      <w:r w:rsidR="00CA09E3">
        <w:t>9</w:t>
      </w:r>
      <w:r w:rsidR="000053BE" w:rsidRPr="00A92156">
        <w:t>) that provides respondents with national</w:t>
      </w:r>
      <w:r w:rsidR="000053BE" w:rsidRPr="00D3642C">
        <w:t xml:space="preserve"> help lines for problems with tobacco, alcohol, drug</w:t>
      </w:r>
      <w:r w:rsidR="00F03945" w:rsidRPr="00D3642C">
        <w:t>,</w:t>
      </w:r>
      <w:r w:rsidR="000053BE" w:rsidRPr="00D3642C">
        <w:t xml:space="preserve"> and mental health issues. This handout will be</w:t>
      </w:r>
      <w:r w:rsidR="000053BE" w:rsidRPr="00A2734E">
        <w:t xml:space="preserve"> provided to all interviewed persons who express an interest in getting help with one of these problems.</w:t>
      </w:r>
    </w:p>
    <w:p w:rsidR="00AE4DCD" w:rsidRPr="0023016A" w:rsidRDefault="00AE4DCD" w:rsidP="00AC3EDE">
      <w:pPr>
        <w:pStyle w:val="L1-FlLSp12"/>
      </w:pPr>
    </w:p>
    <w:p w:rsidR="000053BE" w:rsidRDefault="00F03945" w:rsidP="00AC3EDE">
      <w:pPr>
        <w:pStyle w:val="L1-FlLSp12"/>
      </w:pPr>
      <w:r w:rsidRPr="00A2734E">
        <w:t xml:space="preserve">To assess </w:t>
      </w:r>
      <w:r w:rsidR="00DD3D10">
        <w:t xml:space="preserve">potential </w:t>
      </w:r>
      <w:r w:rsidR="00D7490B">
        <w:t>associations between tobacco use and</w:t>
      </w:r>
      <w:r w:rsidR="00AC2E44">
        <w:t xml:space="preserve"> </w:t>
      </w:r>
      <w:r w:rsidRPr="00A2734E">
        <w:t xml:space="preserve">psychological problems and conditions, the </w:t>
      </w:r>
      <w:r w:rsidR="004A2068" w:rsidRPr="00A2734E">
        <w:t>PATH Study</w:t>
      </w:r>
      <w:r w:rsidRPr="00A2734E">
        <w:t xml:space="preserve"> adult and youth </w:t>
      </w:r>
      <w:r w:rsidR="00074C23">
        <w:t>interviews</w:t>
      </w:r>
      <w:r w:rsidRPr="00A2734E">
        <w:t xml:space="preserve"> include items from the</w:t>
      </w:r>
      <w:r w:rsidR="00B41BB3">
        <w:t xml:space="preserve"> </w:t>
      </w:r>
      <w:r w:rsidRPr="00A2734E">
        <w:t>GAIN SS.</w:t>
      </w:r>
      <w:r w:rsidR="00BC3C01" w:rsidRPr="00A2734E">
        <w:t xml:space="preserve"> </w:t>
      </w:r>
      <w:r w:rsidRPr="00A2734E">
        <w:t>These are a series of questions designed to identify respondents who have one or more behavior health disorder</w:t>
      </w:r>
      <w:r w:rsidR="0005104D">
        <w:t>s</w:t>
      </w:r>
      <w:r w:rsidRPr="00A2734E">
        <w:t>, including internalizing or externalizing psychiatric disorders</w:t>
      </w:r>
      <w:r w:rsidR="009867B2" w:rsidRPr="00A2734E">
        <w:t xml:space="preserve"> and</w:t>
      </w:r>
      <w:r w:rsidR="004F6929" w:rsidRPr="00A2734E">
        <w:t xml:space="preserve"> substance use disorders.</w:t>
      </w:r>
    </w:p>
    <w:p w:rsidR="00A37FBA" w:rsidRDefault="00A37FBA" w:rsidP="00AC3EDE">
      <w:pPr>
        <w:pStyle w:val="L1-FlLSp12"/>
      </w:pPr>
    </w:p>
    <w:p w:rsidR="003450F8" w:rsidRPr="0023016A" w:rsidRDefault="003450F8" w:rsidP="00AC3EDE">
      <w:pPr>
        <w:pStyle w:val="L1-FlLSp12"/>
      </w:pPr>
    </w:p>
    <w:p w:rsidR="00A074C4" w:rsidRDefault="000053BE" w:rsidP="00AC3EDE">
      <w:pPr>
        <w:pStyle w:val="Heading3"/>
      </w:pPr>
      <w:r w:rsidRPr="00A2734E">
        <w:t>A.11c</w:t>
      </w:r>
      <w:r w:rsidR="00AC3EDE" w:rsidRPr="00A2734E">
        <w:tab/>
      </w:r>
      <w:r w:rsidRPr="00A2734E">
        <w:t xml:space="preserve">Substance </w:t>
      </w:r>
      <w:r w:rsidR="00A344D9">
        <w:t>Use</w:t>
      </w:r>
    </w:p>
    <w:p w:rsidR="000053BE" w:rsidRPr="00265C65" w:rsidRDefault="00E10596" w:rsidP="00AC3EDE">
      <w:pPr>
        <w:pStyle w:val="L1-FlLSp12"/>
      </w:pPr>
      <w:r>
        <w:t xml:space="preserve">Use of substances, </w:t>
      </w:r>
      <w:r w:rsidR="00A344D9">
        <w:t xml:space="preserve">including </w:t>
      </w:r>
      <w:r>
        <w:t xml:space="preserve">the </w:t>
      </w:r>
      <w:r w:rsidR="00A344D9">
        <w:t xml:space="preserve">use of </w:t>
      </w:r>
      <w:r w:rsidR="00265C65">
        <w:t xml:space="preserve">alcohol </w:t>
      </w:r>
      <w:r w:rsidR="000053BE" w:rsidRPr="00A2734E">
        <w:t>and tobacco</w:t>
      </w:r>
      <w:r w:rsidR="00A344D9">
        <w:t>,</w:t>
      </w:r>
      <w:r w:rsidR="000053BE" w:rsidRPr="00A2734E">
        <w:t xml:space="preserve"> frequently </w:t>
      </w:r>
      <w:r w:rsidR="00A344D9">
        <w:t>co-occur</w:t>
      </w:r>
      <w:r>
        <w:t>s; substance abuse and substance use disorders are often found to be comorbid conditions</w:t>
      </w:r>
      <w:r w:rsidR="000053BE" w:rsidRPr="00A2734E">
        <w:t>.</w:t>
      </w:r>
      <w:r w:rsidR="00BC3C01" w:rsidRPr="00A2734E">
        <w:t xml:space="preserve"> </w:t>
      </w:r>
      <w:r w:rsidR="000053BE" w:rsidRPr="00A2734E">
        <w:t>In numerous household surveys conducted since 1960 in the U.S.</w:t>
      </w:r>
      <w:r w:rsidR="004F6929" w:rsidRPr="00A2734E">
        <w:t xml:space="preserve">, results indicate </w:t>
      </w:r>
      <w:r w:rsidR="000053BE" w:rsidRPr="00A2734E">
        <w:t xml:space="preserve">that questions </w:t>
      </w:r>
      <w:r w:rsidR="00A344D9">
        <w:t xml:space="preserve">on substance use are </w:t>
      </w:r>
      <w:r w:rsidR="000053BE" w:rsidRPr="00A2734E">
        <w:t xml:space="preserve">not considered </w:t>
      </w:r>
      <w:r w:rsidR="00A344D9">
        <w:t xml:space="preserve">to be </w:t>
      </w:r>
      <w:r w:rsidR="000053BE" w:rsidRPr="00A2734E">
        <w:t>sensitive by respondents. Item nonresponse</w:t>
      </w:r>
      <w:r w:rsidR="00A344D9">
        <w:t xml:space="preserve"> </w:t>
      </w:r>
      <w:r w:rsidR="000053BE" w:rsidRPr="00A2734E">
        <w:t xml:space="preserve">for such questions </w:t>
      </w:r>
      <w:r w:rsidR="00A344D9">
        <w:t xml:space="preserve">tend to be </w:t>
      </w:r>
      <w:r w:rsidR="000053BE" w:rsidRPr="00A2734E">
        <w:t xml:space="preserve">low (generally </w:t>
      </w:r>
      <w:r w:rsidR="00A344D9">
        <w:t>below</w:t>
      </w:r>
      <w:r w:rsidR="000053BE" w:rsidRPr="00A2734E">
        <w:t xml:space="preserve"> 5.0 percent), and interview break-offs and refusals to these questions </w:t>
      </w:r>
      <w:r w:rsidR="00A344D9">
        <w:t>are generally</w:t>
      </w:r>
      <w:r w:rsidR="000053BE" w:rsidRPr="00A2734E">
        <w:t xml:space="preserve"> </w:t>
      </w:r>
      <w:r w:rsidR="000053BE" w:rsidRPr="00A2734E">
        <w:lastRenderedPageBreak/>
        <w:t>negligible (</w:t>
      </w:r>
      <w:r w:rsidR="00A344D9">
        <w:t>below</w:t>
      </w:r>
      <w:r w:rsidR="000053BE" w:rsidRPr="00A2734E">
        <w:t xml:space="preserve"> 1.0 percent). </w:t>
      </w:r>
      <w:r w:rsidR="001C49D7" w:rsidRPr="00A2734E">
        <w:t>Examples of these surveys</w:t>
      </w:r>
      <w:r w:rsidR="000053BE" w:rsidRPr="00A2734E">
        <w:t>, all of which obtained OMB approval, include</w:t>
      </w:r>
      <w:r w:rsidR="001C49D7" w:rsidRPr="00A2734E">
        <w:t>:</w:t>
      </w:r>
      <w:r w:rsidR="000053BE" w:rsidRPr="00A2734E">
        <w:t xml:space="preserve"> </w:t>
      </w:r>
      <w:r w:rsidR="00564C3B">
        <w:t>SAMHSA</w:t>
      </w:r>
      <w:r w:rsidR="00B41BB3">
        <w:t>’s</w:t>
      </w:r>
      <w:r w:rsidR="00564C3B">
        <w:t xml:space="preserve"> NSDUH</w:t>
      </w:r>
      <w:r w:rsidR="00A344D9">
        <w:t>,</w:t>
      </w:r>
      <w:r w:rsidR="00564C3B">
        <w:t xml:space="preserve"> </w:t>
      </w:r>
      <w:r w:rsidR="000053BE" w:rsidRPr="00A2734E">
        <w:t>conducted since the early 1980s</w:t>
      </w:r>
      <w:r w:rsidR="001C49D7" w:rsidRPr="00A2734E">
        <w:t xml:space="preserve"> (OMB #</w:t>
      </w:r>
      <w:r w:rsidR="00C5505E">
        <w:t xml:space="preserve"> </w:t>
      </w:r>
      <w:r w:rsidR="001C49D7" w:rsidRPr="00A2734E">
        <w:t>0930-0110, expiration</w:t>
      </w:r>
      <w:r w:rsidR="001D345B" w:rsidRPr="00A2734E">
        <w:t xml:space="preserve"> date</w:t>
      </w:r>
      <w:r w:rsidR="001C49D7" w:rsidRPr="00A2734E">
        <w:t xml:space="preserve"> 8/31/2014</w:t>
      </w:r>
      <w:r w:rsidR="000053BE" w:rsidRPr="00A2734E">
        <w:t>)</w:t>
      </w:r>
      <w:r w:rsidR="001C49D7" w:rsidRPr="00A2734E">
        <w:t>;</w:t>
      </w:r>
      <w:r w:rsidR="000053BE" w:rsidRPr="00A2734E">
        <w:t xml:space="preserve"> the Bureau of Labor Statistics’ National Longitudinal Survey of Youth (</w:t>
      </w:r>
      <w:r w:rsidR="001C49D7" w:rsidRPr="00A2734E">
        <w:t>NLSY)</w:t>
      </w:r>
      <w:r w:rsidR="00A344D9">
        <w:t>,</w:t>
      </w:r>
      <w:r w:rsidR="001C49D7" w:rsidRPr="00A2734E">
        <w:t xml:space="preserve"> </w:t>
      </w:r>
      <w:r w:rsidR="000053BE" w:rsidRPr="00A2734E">
        <w:t>conducted periodically since 1973</w:t>
      </w:r>
      <w:r w:rsidR="001C49D7" w:rsidRPr="00A2734E">
        <w:t xml:space="preserve"> (OMB</w:t>
      </w:r>
      <w:r w:rsidR="00FF3BBB">
        <w:t xml:space="preserve"> </w:t>
      </w:r>
      <w:r w:rsidR="001C49D7" w:rsidRPr="00A2734E">
        <w:t>#</w:t>
      </w:r>
      <w:r w:rsidR="00C5505E">
        <w:t xml:space="preserve"> </w:t>
      </w:r>
      <w:r w:rsidR="001D345B" w:rsidRPr="00A2734E">
        <w:t>1220-0109</w:t>
      </w:r>
      <w:r w:rsidR="002021AA" w:rsidRPr="00A2734E">
        <w:t>,</w:t>
      </w:r>
      <w:r w:rsidR="001D345B" w:rsidRPr="00A2734E">
        <w:t xml:space="preserve"> expiration date 12/31/2013</w:t>
      </w:r>
      <w:r w:rsidR="001C49D7" w:rsidRPr="00A2734E">
        <w:t>);</w:t>
      </w:r>
      <w:r w:rsidR="001D345B" w:rsidRPr="00A2734E">
        <w:t xml:space="preserve"> and CDC’s NHANES</w:t>
      </w:r>
      <w:r w:rsidR="000A6F60" w:rsidRPr="00A2734E">
        <w:t xml:space="preserve"> (OMB #</w:t>
      </w:r>
      <w:r w:rsidR="00C5505E">
        <w:t xml:space="preserve"> </w:t>
      </w:r>
      <w:r w:rsidR="000A6F60" w:rsidRPr="00A2734E">
        <w:t>0920-0</w:t>
      </w:r>
      <w:r w:rsidR="00442F2A">
        <w:t>950</w:t>
      </w:r>
      <w:r w:rsidR="001D345B" w:rsidRPr="00A2734E">
        <w:t>, expiration date 11/30/1</w:t>
      </w:r>
      <w:r w:rsidR="00442F2A">
        <w:t>5</w:t>
      </w:r>
      <w:r w:rsidR="001D345B" w:rsidRPr="00A2734E">
        <w:t>)</w:t>
      </w:r>
      <w:r w:rsidR="00C966E4">
        <w:t xml:space="preserve">. </w:t>
      </w:r>
      <w:r w:rsidR="00265C65">
        <w:t xml:space="preserve">The PATH Study adult and youth interviews include questions </w:t>
      </w:r>
      <w:r w:rsidR="00A344D9">
        <w:t xml:space="preserve">on </w:t>
      </w:r>
      <w:r w:rsidR="00265C65">
        <w:t>substance use</w:t>
      </w:r>
      <w:r w:rsidR="00A344D9">
        <w:t>, including</w:t>
      </w:r>
      <w:r w:rsidR="00A37FBA">
        <w:t xml:space="preserve"> </w:t>
      </w:r>
      <w:r w:rsidR="00265C65">
        <w:t>alcohol</w:t>
      </w:r>
      <w:r w:rsidR="00C966E4">
        <w:t xml:space="preserve">. </w:t>
      </w:r>
      <w:r w:rsidR="00265C65">
        <w:t xml:space="preserve">The adult interview includes questions </w:t>
      </w:r>
      <w:r w:rsidR="00A344D9">
        <w:t>on</w:t>
      </w:r>
      <w:r w:rsidR="00265C65">
        <w:t xml:space="preserve"> </w:t>
      </w:r>
      <w:r w:rsidR="00A344D9">
        <w:t xml:space="preserve">use of </w:t>
      </w:r>
      <w:r w:rsidR="00265C65">
        <w:t>substance</w:t>
      </w:r>
      <w:r w:rsidR="00A344D9">
        <w:t>s</w:t>
      </w:r>
      <w:r w:rsidR="00265C65">
        <w:t xml:space="preserve"> during pregnancy.</w:t>
      </w:r>
    </w:p>
    <w:p w:rsidR="009545E6" w:rsidRDefault="009545E6" w:rsidP="00AC3EDE">
      <w:pPr>
        <w:pStyle w:val="L1-FlLSp12"/>
      </w:pPr>
    </w:p>
    <w:p w:rsidR="003450F8" w:rsidRPr="0023016A" w:rsidRDefault="003450F8" w:rsidP="00AC3EDE">
      <w:pPr>
        <w:pStyle w:val="L1-FlLSp12"/>
      </w:pPr>
    </w:p>
    <w:p w:rsidR="000053BE" w:rsidRPr="00A2734E" w:rsidRDefault="006D0F02" w:rsidP="00AC3EDE">
      <w:pPr>
        <w:pStyle w:val="Heading3"/>
      </w:pPr>
      <w:r w:rsidRPr="00A2734E">
        <w:t>A.11d</w:t>
      </w:r>
      <w:r w:rsidR="000053BE" w:rsidRPr="00A2734E">
        <w:tab/>
        <w:t>Income</w:t>
      </w:r>
    </w:p>
    <w:p w:rsidR="00BC3C01" w:rsidRDefault="000053BE" w:rsidP="00AC3EDE">
      <w:pPr>
        <w:pStyle w:val="L1-FlLSp12"/>
      </w:pPr>
      <w:r w:rsidRPr="00166C27">
        <w:t xml:space="preserve">The </w:t>
      </w:r>
      <w:r w:rsidR="004A2068" w:rsidRPr="00166C27">
        <w:t>PATH Study</w:t>
      </w:r>
      <w:r w:rsidRPr="00166C27">
        <w:t xml:space="preserve"> </w:t>
      </w:r>
      <w:r w:rsidR="00074C23">
        <w:t>does not ask</w:t>
      </w:r>
      <w:r w:rsidRPr="00166C27">
        <w:t xml:space="preserve"> questions about salary, which is considered by many people to be sensitive.</w:t>
      </w:r>
      <w:r w:rsidR="00BC3C01" w:rsidRPr="00166C27">
        <w:t xml:space="preserve"> </w:t>
      </w:r>
      <w:r w:rsidRPr="00166C27">
        <w:t>Instead</w:t>
      </w:r>
      <w:r w:rsidR="004F6929" w:rsidRPr="00166C27">
        <w:t>,</w:t>
      </w:r>
      <w:r w:rsidRPr="00166C27">
        <w:t xml:space="preserve"> </w:t>
      </w:r>
      <w:r w:rsidR="00F03945" w:rsidRPr="00166C27">
        <w:t xml:space="preserve">the adult and parent </w:t>
      </w:r>
      <w:r w:rsidR="00074C23">
        <w:t xml:space="preserve">interviews </w:t>
      </w:r>
      <w:r w:rsidR="00F03945" w:rsidRPr="00166C27">
        <w:t>include</w:t>
      </w:r>
      <w:r w:rsidR="00166C27">
        <w:t xml:space="preserve"> one</w:t>
      </w:r>
      <w:r w:rsidR="00F03945" w:rsidRPr="00166C27">
        <w:t xml:space="preserve"> item a</w:t>
      </w:r>
      <w:r w:rsidRPr="00166C27">
        <w:t>bout household income.</w:t>
      </w:r>
      <w:r w:rsidR="00BC3C01" w:rsidRPr="00166C27">
        <w:t xml:space="preserve"> </w:t>
      </w:r>
      <w:r w:rsidR="00DD3D10">
        <w:t xml:space="preserve">Collecting </w:t>
      </w:r>
      <w:r w:rsidR="00F03945" w:rsidRPr="00166C27">
        <w:t xml:space="preserve">information about </w:t>
      </w:r>
      <w:r w:rsidRPr="00166C27">
        <w:t>household income is importan</w:t>
      </w:r>
      <w:r w:rsidR="00074C23">
        <w:t>t</w:t>
      </w:r>
      <w:r w:rsidRPr="00166C27">
        <w:t xml:space="preserve"> for </w:t>
      </w:r>
      <w:r w:rsidR="006C1A03">
        <w:t xml:space="preserve">analysis of </w:t>
      </w:r>
      <w:r w:rsidRPr="00166C27">
        <w:t xml:space="preserve">nonresponse </w:t>
      </w:r>
      <w:r w:rsidR="00DD3D10">
        <w:t xml:space="preserve">and </w:t>
      </w:r>
      <w:r w:rsidR="00D7490B">
        <w:t xml:space="preserve">potential </w:t>
      </w:r>
      <w:r w:rsidR="00DD3D10">
        <w:t xml:space="preserve">cofactors. </w:t>
      </w:r>
      <w:r w:rsidR="00166C27">
        <w:t>The wording of this item was adapted from NHANES so that it could be a self-administered item (rather than an interviewer-administered item)</w:t>
      </w:r>
      <w:r w:rsidR="0082468A">
        <w:t>;</w:t>
      </w:r>
      <w:r w:rsidR="00166C27">
        <w:t xml:space="preserve"> </w:t>
      </w:r>
      <w:r w:rsidR="0082468A">
        <w:t xml:space="preserve">it </w:t>
      </w:r>
      <w:r w:rsidR="00166C27">
        <w:t>includes household income categories that a respondent selects.</w:t>
      </w:r>
    </w:p>
    <w:p w:rsidR="009545E6" w:rsidRDefault="009545E6" w:rsidP="00AC3EDE">
      <w:pPr>
        <w:pStyle w:val="L1-FlLSp12"/>
      </w:pPr>
    </w:p>
    <w:p w:rsidR="003450F8" w:rsidRPr="0023016A" w:rsidRDefault="003450F8" w:rsidP="00AC3EDE">
      <w:pPr>
        <w:pStyle w:val="L1-FlLSp12"/>
      </w:pPr>
    </w:p>
    <w:p w:rsidR="000053BE" w:rsidRPr="00A2734E" w:rsidRDefault="006D0F02" w:rsidP="00AC3EDE">
      <w:pPr>
        <w:pStyle w:val="Heading3"/>
      </w:pPr>
      <w:r w:rsidRPr="00A2734E">
        <w:t>A.11e</w:t>
      </w:r>
      <w:r w:rsidR="000053BE" w:rsidRPr="00A2734E">
        <w:tab/>
      </w:r>
      <w:r w:rsidR="007A5E14">
        <w:rPr>
          <w:lang w:val="en-US"/>
        </w:rPr>
        <w:t>Gender</w:t>
      </w:r>
      <w:r w:rsidRPr="00A2734E">
        <w:t xml:space="preserve"> Identity, Orientation, and</w:t>
      </w:r>
      <w:r w:rsidR="000053BE" w:rsidRPr="00A2734E">
        <w:t xml:space="preserve"> Attraction</w:t>
      </w:r>
    </w:p>
    <w:p w:rsidR="00110660" w:rsidRDefault="00110660" w:rsidP="00110660">
      <w:pPr>
        <w:pStyle w:val="L1-FlLSp12"/>
        <w:rPr>
          <w:szCs w:val="24"/>
        </w:rPr>
      </w:pPr>
      <w:r>
        <w:t xml:space="preserve">A growing research base indicates that the prevalence of tobacco use among gay, lesbian and bisexual and transgender (LGBT) individuals in the U.S. is higher compared with persons who are heterosexual (King et al., 2012). Pollard et al. (2011) found that, for females, a change from self-reported heterosexual attraction to lesbian or bisexual attraction was more predictive of higher smoking trajectories and differences in smoking patterns when compared with females who reported no change in sexual attraction. </w:t>
      </w:r>
      <w:r>
        <w:rPr>
          <w:szCs w:val="24"/>
        </w:rPr>
        <w:t>These differences point to the need for careful analyses of the PATH Study to account for these potential co-factors.</w:t>
      </w:r>
    </w:p>
    <w:p w:rsidR="00110660" w:rsidRDefault="00110660" w:rsidP="00110660">
      <w:pPr>
        <w:pStyle w:val="L1-FlLSp12"/>
        <w:rPr>
          <w:szCs w:val="24"/>
        </w:rPr>
      </w:pPr>
    </w:p>
    <w:p w:rsidR="00110660" w:rsidRDefault="00110660" w:rsidP="00110660">
      <w:pPr>
        <w:pStyle w:val="L1-FlLSp12"/>
        <w:rPr>
          <w:szCs w:val="24"/>
        </w:rPr>
      </w:pPr>
      <w:r>
        <w:rPr>
          <w:szCs w:val="24"/>
        </w:rPr>
        <w:t xml:space="preserve">The PATH Study adult interview includes </w:t>
      </w:r>
      <w:r>
        <w:rPr>
          <w:szCs w:val="24"/>
          <w:lang w:val="en-US"/>
        </w:rPr>
        <w:t>two questions</w:t>
      </w:r>
      <w:r>
        <w:rPr>
          <w:szCs w:val="24"/>
        </w:rPr>
        <w:t xml:space="preserve"> that ask about </w:t>
      </w:r>
      <w:r>
        <w:rPr>
          <w:szCs w:val="24"/>
          <w:lang w:val="en-US"/>
        </w:rPr>
        <w:t xml:space="preserve">gender </w:t>
      </w:r>
      <w:r>
        <w:rPr>
          <w:szCs w:val="24"/>
        </w:rPr>
        <w:t>identity/</w:t>
      </w:r>
      <w:r>
        <w:rPr>
          <w:szCs w:val="24"/>
          <w:lang w:val="en-US"/>
        </w:rPr>
        <w:t xml:space="preserve">sexual </w:t>
      </w:r>
      <w:r>
        <w:rPr>
          <w:szCs w:val="24"/>
        </w:rPr>
        <w:t xml:space="preserve">orientation. </w:t>
      </w:r>
      <w:r>
        <w:rPr>
          <w:szCs w:val="24"/>
          <w:lang w:val="en-US"/>
        </w:rPr>
        <w:t xml:space="preserve">The sexual orientation question is similar to the question asked in the baseline </w:t>
      </w:r>
      <w:r>
        <w:rPr>
          <w:szCs w:val="24"/>
        </w:rPr>
        <w:t>from the NHIS 2013 (Miller, et al, 2011)</w:t>
      </w:r>
      <w:r>
        <w:rPr>
          <w:szCs w:val="24"/>
          <w:lang w:val="en-US"/>
        </w:rPr>
        <w:t>, except it omits a follow-up question to the “something else” response option. The gender identity question is based on the Massachusetts State Optional Module for the 2014 Behavioral Risk Factor Surveillance System (MA-BRFSS, 2014); it includes a follow up question for respondents who identify as transgender.</w:t>
      </w:r>
      <w:r>
        <w:rPr>
          <w:szCs w:val="24"/>
        </w:rPr>
        <w:t xml:space="preserve"> The PATH Study youth interview includes the same </w:t>
      </w:r>
      <w:r>
        <w:rPr>
          <w:szCs w:val="24"/>
          <w:lang w:val="en-US"/>
        </w:rPr>
        <w:t>two questions</w:t>
      </w:r>
      <w:r>
        <w:rPr>
          <w:szCs w:val="24"/>
        </w:rPr>
        <w:t xml:space="preserve"> for youth ages 14 to 17 years of age. Items similar to these have been tested </w:t>
      </w:r>
      <w:r>
        <w:rPr>
          <w:szCs w:val="24"/>
        </w:rPr>
        <w:lastRenderedPageBreak/>
        <w:t>and used in the 2001 to 2009 school-based survey, the Youth Risk Behavior Surveillance System (YRBS), conducted among students in the same age group (14 to 17 years) in grades 9 to 12 (CDC, 2011).</w:t>
      </w:r>
    </w:p>
    <w:p w:rsidR="0055585C" w:rsidRPr="00A2734E" w:rsidRDefault="0055585C" w:rsidP="0055585C">
      <w:pPr>
        <w:pStyle w:val="L1-FlLSp12"/>
        <w:rPr>
          <w:szCs w:val="24"/>
        </w:rPr>
      </w:pPr>
    </w:p>
    <w:p w:rsidR="00DB6E10" w:rsidRPr="00A2734E" w:rsidRDefault="0055585C" w:rsidP="0055585C">
      <w:pPr>
        <w:pStyle w:val="L1-FlLSp12"/>
      </w:pPr>
      <w:r w:rsidRPr="00A2734E">
        <w:rPr>
          <w:szCs w:val="24"/>
        </w:rPr>
        <w:t>The PATH Study includes one item on the respondent’s level of attraction to both sexes, asked of adults (#AM0021 in the adult</w:t>
      </w:r>
      <w:r w:rsidR="006C1A03">
        <w:rPr>
          <w:szCs w:val="24"/>
        </w:rPr>
        <w:t xml:space="preserve"> interview</w:t>
      </w:r>
      <w:r w:rsidRPr="00A2734E">
        <w:rPr>
          <w:szCs w:val="24"/>
        </w:rPr>
        <w:t xml:space="preserve">) and of youth ages 12 to 17 years (#YM0021 in the youth </w:t>
      </w:r>
      <w:r w:rsidR="006C1A03">
        <w:rPr>
          <w:szCs w:val="24"/>
        </w:rPr>
        <w:t>interview</w:t>
      </w:r>
      <w:r w:rsidRPr="00A2734E">
        <w:rPr>
          <w:szCs w:val="24"/>
        </w:rPr>
        <w:t>).</w:t>
      </w:r>
      <w:r w:rsidR="00DB6E10" w:rsidRPr="00A2734E">
        <w:rPr>
          <w:szCs w:val="24"/>
        </w:rPr>
        <w:t xml:space="preserve"> </w:t>
      </w:r>
      <w:r w:rsidRPr="00A2734E">
        <w:rPr>
          <w:szCs w:val="24"/>
        </w:rPr>
        <w:t>This item is from the National STD and Behavior Measurement Experiment (NSBME), as modified from the National Survey of Sexual Attitudes and Lifestyles (NATSAL); (</w:t>
      </w:r>
      <w:proofErr w:type="spellStart"/>
      <w:r w:rsidRPr="00A2734E">
        <w:rPr>
          <w:szCs w:val="24"/>
        </w:rPr>
        <w:t>Villarroel</w:t>
      </w:r>
      <w:proofErr w:type="spellEnd"/>
      <w:r w:rsidR="006F5824">
        <w:rPr>
          <w:szCs w:val="24"/>
        </w:rPr>
        <w:t xml:space="preserve"> et al.</w:t>
      </w:r>
      <w:r w:rsidRPr="00A2734E">
        <w:rPr>
          <w:szCs w:val="24"/>
        </w:rPr>
        <w:t>, 2008).</w:t>
      </w:r>
      <w:r w:rsidR="00DB6E10" w:rsidRPr="00A2734E">
        <w:rPr>
          <w:szCs w:val="24"/>
        </w:rPr>
        <w:t xml:space="preserve"> </w:t>
      </w:r>
      <w:r w:rsidRPr="00A2734E">
        <w:rPr>
          <w:szCs w:val="24"/>
        </w:rPr>
        <w:t xml:space="preserve">It </w:t>
      </w:r>
      <w:r w:rsidRPr="00A2734E">
        <w:t xml:space="preserve">was selected and recommended for inclusion in the </w:t>
      </w:r>
      <w:proofErr w:type="spellStart"/>
      <w:r w:rsidRPr="00A2734E">
        <w:t>PhenX</w:t>
      </w:r>
      <w:proofErr w:type="spellEnd"/>
      <w:r w:rsidRPr="00A2734E">
        <w:t xml:space="preserve"> Toolkit by an NIH panel of experts for use in all studies that measure sexual attraction (Hamilton</w:t>
      </w:r>
      <w:r w:rsidR="006F5824">
        <w:t xml:space="preserve"> et al.</w:t>
      </w:r>
      <w:r w:rsidRPr="00A2734E">
        <w:t>, 2011).</w:t>
      </w:r>
    </w:p>
    <w:p w:rsidR="004E3D64" w:rsidRDefault="004E3D64" w:rsidP="004E3D64">
      <w:pPr>
        <w:pStyle w:val="L1-FlLSp12"/>
      </w:pPr>
    </w:p>
    <w:p w:rsidR="00E268CD" w:rsidRPr="00265C65" w:rsidRDefault="00E268CD" w:rsidP="004E3D64">
      <w:pPr>
        <w:pStyle w:val="L1-FlLSp12"/>
      </w:pPr>
    </w:p>
    <w:p w:rsidR="002E59EB" w:rsidRPr="00A2734E" w:rsidRDefault="002E59EB" w:rsidP="00AC3EDE">
      <w:pPr>
        <w:pStyle w:val="Heading2"/>
      </w:pPr>
      <w:r w:rsidRPr="00A2734E">
        <w:t>A.1</w:t>
      </w:r>
      <w:r w:rsidR="00F97985" w:rsidRPr="00A2734E">
        <w:t>2</w:t>
      </w:r>
      <w:r w:rsidRPr="00A2734E">
        <w:tab/>
      </w:r>
      <w:r w:rsidR="00F97985" w:rsidRPr="00A2734E">
        <w:t xml:space="preserve">Estimates of </w:t>
      </w:r>
      <w:r w:rsidR="002D6DC4" w:rsidRPr="00A2734E">
        <w:t xml:space="preserve">Annualized </w:t>
      </w:r>
      <w:r w:rsidR="00F97985" w:rsidRPr="00A2734E">
        <w:t xml:space="preserve">Burden </w:t>
      </w:r>
      <w:r w:rsidR="002D6DC4" w:rsidRPr="00A2734E">
        <w:t xml:space="preserve">Hours and </w:t>
      </w:r>
      <w:r w:rsidR="00F97985" w:rsidRPr="00A2734E">
        <w:t>Costs</w:t>
      </w:r>
    </w:p>
    <w:p w:rsidR="00A074C4" w:rsidRDefault="00D72EB1" w:rsidP="00B22548">
      <w:pPr>
        <w:spacing w:line="360" w:lineRule="atLeast"/>
      </w:pPr>
      <w:r>
        <w:t>Table A-3 presents the</w:t>
      </w:r>
      <w:r w:rsidR="00CE31BF" w:rsidRPr="00D3642C">
        <w:t xml:space="preserve"> </w:t>
      </w:r>
      <w:r>
        <w:t xml:space="preserve">estimated annualized </w:t>
      </w:r>
      <w:r w:rsidRPr="007F1684">
        <w:t xml:space="preserve">burden hours </w:t>
      </w:r>
      <w:r w:rsidR="00CE31BF" w:rsidRPr="00D3642C">
        <w:t xml:space="preserve">for the </w:t>
      </w:r>
      <w:r w:rsidR="000A57D6">
        <w:t>Wave 2</w:t>
      </w:r>
      <w:r w:rsidR="000021C4">
        <w:t xml:space="preserve"> data collection</w:t>
      </w:r>
      <w:r>
        <w:t xml:space="preserve">, the total of which is 56,939. </w:t>
      </w:r>
      <w:r w:rsidR="00F97985" w:rsidRPr="00D050DA">
        <w:t xml:space="preserve">Annualized cost to respondents </w:t>
      </w:r>
      <w:r w:rsidR="00CE31BF" w:rsidRPr="00D050DA">
        <w:t xml:space="preserve">associated with the </w:t>
      </w:r>
      <w:r w:rsidR="004A2068" w:rsidRPr="00D050DA">
        <w:t>PATH Study</w:t>
      </w:r>
      <w:r w:rsidR="007A185C" w:rsidRPr="00D050DA">
        <w:t xml:space="preserve"> </w:t>
      </w:r>
      <w:r w:rsidR="00D8525C">
        <w:t>for the Wave 2</w:t>
      </w:r>
      <w:r w:rsidR="00CE31BF" w:rsidRPr="00D050DA">
        <w:t xml:space="preserve"> </w:t>
      </w:r>
      <w:r w:rsidR="00D8525C">
        <w:t xml:space="preserve">date collection </w:t>
      </w:r>
      <w:r w:rsidR="00CE31BF" w:rsidRPr="00D050DA">
        <w:t xml:space="preserve">is presented in </w:t>
      </w:r>
      <w:r w:rsidR="009E6590">
        <w:t>Table A-</w:t>
      </w:r>
      <w:r w:rsidR="00A2649D">
        <w:t>4</w:t>
      </w:r>
      <w:r w:rsidR="00AC3EDE" w:rsidRPr="00D050DA">
        <w:t>.</w:t>
      </w:r>
      <w:r w:rsidR="00714131" w:rsidRPr="00D3642C">
        <w:t xml:space="preserve"> </w:t>
      </w:r>
      <w:r w:rsidR="00076AC5" w:rsidRPr="00D3642C">
        <w:rPr>
          <w:szCs w:val="24"/>
        </w:rPr>
        <w:t xml:space="preserve">Burden estimates </w:t>
      </w:r>
      <w:r w:rsidR="00FC3289">
        <w:rPr>
          <w:szCs w:val="24"/>
        </w:rPr>
        <w:t>are</w:t>
      </w:r>
      <w:r w:rsidR="00076AC5" w:rsidRPr="00D3642C">
        <w:rPr>
          <w:szCs w:val="24"/>
        </w:rPr>
        <w:t xml:space="preserve"> based on the</w:t>
      </w:r>
      <w:r w:rsidR="00E870EB" w:rsidRPr="00D3642C">
        <w:rPr>
          <w:szCs w:val="24"/>
        </w:rPr>
        <w:t xml:space="preserve"> results from the </w:t>
      </w:r>
      <w:r w:rsidR="00D8525C">
        <w:rPr>
          <w:szCs w:val="24"/>
        </w:rPr>
        <w:t>baseline</w:t>
      </w:r>
      <w:r w:rsidR="000021C4">
        <w:rPr>
          <w:szCs w:val="24"/>
        </w:rPr>
        <w:t xml:space="preserve"> data collection</w:t>
      </w:r>
      <w:r w:rsidR="00E870EB" w:rsidRPr="00D3642C">
        <w:rPr>
          <w:szCs w:val="24"/>
        </w:rPr>
        <w:t>.</w:t>
      </w:r>
      <w:r w:rsidR="00076AC5" w:rsidRPr="00D3642C">
        <w:rPr>
          <w:szCs w:val="24"/>
        </w:rPr>
        <w:t xml:space="preserve"> These estimates include the time needed to </w:t>
      </w:r>
      <w:r w:rsidR="00A43DD0" w:rsidRPr="00D3642C">
        <w:rPr>
          <w:szCs w:val="24"/>
        </w:rPr>
        <w:t>read introductory</w:t>
      </w:r>
      <w:r w:rsidR="007C3ACD">
        <w:rPr>
          <w:szCs w:val="24"/>
        </w:rPr>
        <w:t xml:space="preserve"> text</w:t>
      </w:r>
      <w:r w:rsidR="00A43DD0">
        <w:rPr>
          <w:szCs w:val="24"/>
        </w:rPr>
        <w:t xml:space="preserve">; </w:t>
      </w:r>
      <w:r w:rsidR="00A37FBA">
        <w:rPr>
          <w:szCs w:val="24"/>
        </w:rPr>
        <w:t xml:space="preserve">provide consent (as appropriate); </w:t>
      </w:r>
      <w:r w:rsidR="00D62F02">
        <w:rPr>
          <w:szCs w:val="24"/>
        </w:rPr>
        <w:t>complete</w:t>
      </w:r>
      <w:r w:rsidR="00D62F02" w:rsidRPr="00D3642C">
        <w:rPr>
          <w:szCs w:val="24"/>
        </w:rPr>
        <w:t xml:space="preserve"> the entire interview</w:t>
      </w:r>
      <w:r w:rsidR="00D62F02">
        <w:rPr>
          <w:szCs w:val="24"/>
        </w:rPr>
        <w:t xml:space="preserve"> and </w:t>
      </w:r>
      <w:proofErr w:type="spellStart"/>
      <w:r w:rsidR="00D62F02">
        <w:rPr>
          <w:szCs w:val="24"/>
        </w:rPr>
        <w:t>biospecimen</w:t>
      </w:r>
      <w:proofErr w:type="spellEnd"/>
      <w:r w:rsidR="00D62F02">
        <w:rPr>
          <w:szCs w:val="24"/>
        </w:rPr>
        <w:t xml:space="preserve"> collection (as appropriate);</w:t>
      </w:r>
      <w:r w:rsidR="00D62F02" w:rsidRPr="00D3642C">
        <w:rPr>
          <w:szCs w:val="24"/>
        </w:rPr>
        <w:t xml:space="preserve"> </w:t>
      </w:r>
      <w:r w:rsidR="00076AC5" w:rsidRPr="00D3642C">
        <w:rPr>
          <w:szCs w:val="24"/>
        </w:rPr>
        <w:t>and</w:t>
      </w:r>
      <w:r w:rsidR="00FC3289">
        <w:rPr>
          <w:szCs w:val="24"/>
        </w:rPr>
        <w:t>,</w:t>
      </w:r>
      <w:r w:rsidR="00076AC5" w:rsidRPr="00D3642C">
        <w:rPr>
          <w:szCs w:val="24"/>
        </w:rPr>
        <w:t xml:space="preserve"> potentially</w:t>
      </w:r>
      <w:r w:rsidR="00FC3289">
        <w:rPr>
          <w:szCs w:val="24"/>
        </w:rPr>
        <w:t>,</w:t>
      </w:r>
      <w:r w:rsidR="00076AC5" w:rsidRPr="00D3642C">
        <w:rPr>
          <w:szCs w:val="24"/>
        </w:rPr>
        <w:t xml:space="preserve"> respond to the data quality </w:t>
      </w:r>
      <w:r w:rsidR="00B83F56">
        <w:rPr>
          <w:szCs w:val="24"/>
        </w:rPr>
        <w:t xml:space="preserve">validation </w:t>
      </w:r>
      <w:r w:rsidR="00076AC5" w:rsidRPr="00D3642C">
        <w:rPr>
          <w:szCs w:val="24"/>
        </w:rPr>
        <w:t>interview.</w:t>
      </w:r>
      <w:r w:rsidR="00782FAF" w:rsidRPr="00782FAF">
        <w:rPr>
          <w:color w:val="376092"/>
        </w:rPr>
        <w:t xml:space="preserve"> </w:t>
      </w:r>
      <w:r>
        <w:t xml:space="preserve">The reduction of </w:t>
      </w:r>
      <w:r w:rsidR="00B83F56">
        <w:t>77,866</w:t>
      </w:r>
      <w:r w:rsidRPr="00D72EB1">
        <w:t xml:space="preserve"> </w:t>
      </w:r>
      <w:r>
        <w:t>estimated burden hours between the first wave (136,889) and the second wave (</w:t>
      </w:r>
      <w:r w:rsidR="00B83F56">
        <w:t>59,023</w:t>
      </w:r>
      <w:r>
        <w:t>) is attributed to</w:t>
      </w:r>
      <w:r w:rsidR="00782FAF" w:rsidRPr="00B22548">
        <w:t xml:space="preserve"> the following</w:t>
      </w:r>
      <w:r w:rsidR="00A43DD0">
        <w:t>:</w:t>
      </w:r>
      <w:r w:rsidR="00782FAF" w:rsidRPr="00B22548">
        <w:t xml:space="preserve"> </w:t>
      </w:r>
      <w:r w:rsidR="00A43DD0">
        <w:t xml:space="preserve">(1) </w:t>
      </w:r>
      <w:r w:rsidR="00750743" w:rsidRPr="00B22548">
        <w:t xml:space="preserve">Wave </w:t>
      </w:r>
      <w:r w:rsidR="00782FAF" w:rsidRPr="00B22548">
        <w:t>2 does not have a screening phase</w:t>
      </w:r>
      <w:r w:rsidR="00A43DD0">
        <w:t>; (2)</w:t>
      </w:r>
      <w:r w:rsidR="00782FAF" w:rsidRPr="00B22548">
        <w:t xml:space="preserve"> as indicated in </w:t>
      </w:r>
      <w:r w:rsidR="00803609">
        <w:t xml:space="preserve">Supporting Statement </w:t>
      </w:r>
      <w:r w:rsidR="00782FAF" w:rsidRPr="00B22548">
        <w:t>B, a</w:t>
      </w:r>
      <w:r w:rsidR="00286FF0">
        <w:t>n</w:t>
      </w:r>
      <w:r w:rsidR="00782FAF" w:rsidRPr="00B22548">
        <w:t xml:space="preserve"> </w:t>
      </w:r>
      <w:r w:rsidR="00286FF0" w:rsidRPr="00C35518">
        <w:t>8</w:t>
      </w:r>
      <w:r w:rsidR="00C35518" w:rsidRPr="00C35518">
        <w:t>6</w:t>
      </w:r>
      <w:r w:rsidR="00782FAF" w:rsidRPr="00C35518">
        <w:t xml:space="preserve"> percent response rate for adult interviews and a 9</w:t>
      </w:r>
      <w:r w:rsidR="00894EAA" w:rsidRPr="00C35518">
        <w:t>0</w:t>
      </w:r>
      <w:r w:rsidR="00782FAF" w:rsidRPr="00C35518">
        <w:t xml:space="preserve"> percent response rate for youth interviews </w:t>
      </w:r>
      <w:r w:rsidR="00750743" w:rsidRPr="00C35518">
        <w:t>are</w:t>
      </w:r>
      <w:r w:rsidR="00782FAF" w:rsidRPr="00C35518">
        <w:t xml:space="preserve"> projected</w:t>
      </w:r>
      <w:r w:rsidR="00803609" w:rsidRPr="00C35518">
        <w:t xml:space="preserve"> for Wave 2; and (3)</w:t>
      </w:r>
      <w:r w:rsidR="00782FAF" w:rsidRPr="00C35518">
        <w:t> </w:t>
      </w:r>
      <w:r w:rsidR="00803609" w:rsidRPr="00C35518">
        <w:t>f</w:t>
      </w:r>
      <w:r w:rsidR="00782FAF" w:rsidRPr="00C35518">
        <w:t>ewer bio</w:t>
      </w:r>
      <w:r w:rsidR="00803609" w:rsidRPr="00C35518">
        <w:t xml:space="preserve">logical samples </w:t>
      </w:r>
      <w:r w:rsidR="00782FAF" w:rsidRPr="00C35518">
        <w:t>will be collected in W</w:t>
      </w:r>
      <w:r w:rsidR="00014590" w:rsidRPr="00C35518">
        <w:t xml:space="preserve">ave </w:t>
      </w:r>
      <w:r w:rsidR="00782FAF" w:rsidRPr="00C35518">
        <w:t>2</w:t>
      </w:r>
      <w:r>
        <w:t>.</w:t>
      </w:r>
    </w:p>
    <w:p w:rsidR="00076AC5" w:rsidRPr="00B22548" w:rsidRDefault="00076AC5" w:rsidP="00076AC5">
      <w:pPr>
        <w:pStyle w:val="L1-FlLSp12"/>
        <w:rPr>
          <w:szCs w:val="24"/>
        </w:rPr>
      </w:pPr>
    </w:p>
    <w:p w:rsidR="00786F8E" w:rsidRPr="00A2734E" w:rsidRDefault="00786F8E" w:rsidP="00786F8E">
      <w:pPr>
        <w:pStyle w:val="L1-FlLSp12"/>
      </w:pPr>
      <w:r w:rsidRPr="00A2734E">
        <w:t xml:space="preserve">The estimate for </w:t>
      </w:r>
      <w:r w:rsidR="00226AE6">
        <w:t xml:space="preserve">adult </w:t>
      </w:r>
      <w:r w:rsidRPr="00A2734E">
        <w:t>hourly wage</w:t>
      </w:r>
      <w:r w:rsidR="00226AE6">
        <w:t>s</w:t>
      </w:r>
      <w:r w:rsidRPr="00A2734E">
        <w:t xml:space="preserve"> </w:t>
      </w:r>
      <w:r w:rsidR="00226AE6">
        <w:t xml:space="preserve">is </w:t>
      </w:r>
      <w:r w:rsidRPr="00A2734E">
        <w:t>based on the national median hourly estimate for all occupations reported in the Bureau of Labor Statistics’ Occupational Employment Statistics, May 201</w:t>
      </w:r>
      <w:r w:rsidR="00C35518">
        <w:t>3</w:t>
      </w:r>
      <w:r w:rsidRPr="00A2734E">
        <w:t xml:space="preserve"> National Occupational Employment and Wage Estimates United States. See </w:t>
      </w:r>
      <w:hyperlink r:id="rId23" w:history="1">
        <w:r w:rsidRPr="00A2734E">
          <w:rPr>
            <w:rStyle w:val="Hyperlink"/>
          </w:rPr>
          <w:t>http://www.bls.gov/oes/current/oes_nat.htm</w:t>
        </w:r>
      </w:hyperlink>
      <w:r w:rsidRPr="00A2734E">
        <w:t xml:space="preserve">. </w:t>
      </w:r>
      <w:r w:rsidR="00226AE6">
        <w:t>The e</w:t>
      </w:r>
      <w:r w:rsidRPr="00A2734E">
        <w:t xml:space="preserve">stimate for youth hourly wages </w:t>
      </w:r>
      <w:r w:rsidR="00226AE6">
        <w:t xml:space="preserve">is </w:t>
      </w:r>
      <w:r w:rsidRPr="00A2734E">
        <w:t xml:space="preserve">based on the federal minimum wage. See </w:t>
      </w:r>
      <w:hyperlink r:id="rId24" w:history="1">
        <w:r w:rsidRPr="00A2734E">
          <w:rPr>
            <w:rStyle w:val="Hyperlink"/>
          </w:rPr>
          <w:t>http://www.dol.gov/dol/topic/wages/minimumwage.htm</w:t>
        </w:r>
      </w:hyperlink>
      <w:r w:rsidRPr="00A2734E">
        <w:t>.</w:t>
      </w:r>
    </w:p>
    <w:p w:rsidR="00786F8E" w:rsidRDefault="00786F8E" w:rsidP="00786F8E">
      <w:pPr>
        <w:pStyle w:val="L1-FlLSp12"/>
      </w:pPr>
    </w:p>
    <w:p w:rsidR="00550DDD" w:rsidRDefault="00A37FBA" w:rsidP="00470C13">
      <w:pPr>
        <w:pStyle w:val="TT-TableTitle"/>
        <w:ind w:left="0" w:firstLine="0"/>
      </w:pPr>
      <w:r>
        <w:br w:type="page"/>
      </w:r>
      <w:proofErr w:type="gramStart"/>
      <w:r w:rsidR="00550DDD" w:rsidRPr="0023016A">
        <w:lastRenderedPageBreak/>
        <w:t>Table A-</w:t>
      </w:r>
      <w:r w:rsidR="00A2649D" w:rsidRPr="00470C13">
        <w:t>3</w:t>
      </w:r>
      <w:r w:rsidR="00550DDD" w:rsidRPr="0023016A">
        <w:t>.</w:t>
      </w:r>
      <w:proofErr w:type="gramEnd"/>
      <w:r w:rsidR="00550DDD" w:rsidRPr="0023016A">
        <w:tab/>
        <w:t>PATH Study Wave 2 hour burden estimates</w:t>
      </w:r>
    </w:p>
    <w:p w:rsidR="00B83F56" w:rsidRPr="008D58A7" w:rsidRDefault="00B83F56" w:rsidP="00470C13">
      <w:pPr>
        <w:pStyle w:val="TT-TableTitle"/>
        <w:ind w:left="0" w:firstLine="0"/>
      </w:pPr>
    </w:p>
    <w:tbl>
      <w:tblPr>
        <w:tblW w:w="5085" w:type="pct"/>
        <w:tblInd w:w="-162" w:type="dxa"/>
        <w:tblBorders>
          <w:top w:val="single" w:sz="4" w:space="0" w:color="auto"/>
          <w:bottom w:val="single" w:sz="4" w:space="0" w:color="auto"/>
        </w:tblBorders>
        <w:tblLayout w:type="fixed"/>
        <w:tblLook w:val="00A0" w:firstRow="1" w:lastRow="0" w:firstColumn="1" w:lastColumn="0" w:noHBand="0" w:noVBand="0"/>
      </w:tblPr>
      <w:tblGrid>
        <w:gridCol w:w="3949"/>
        <w:gridCol w:w="1363"/>
        <w:gridCol w:w="1574"/>
        <w:gridCol w:w="1326"/>
        <w:gridCol w:w="1527"/>
      </w:tblGrid>
      <w:tr w:rsidR="00834A05" w:rsidRPr="00834A05" w:rsidTr="00834A05">
        <w:tc>
          <w:tcPr>
            <w:tcW w:w="2027" w:type="pct"/>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spacing w:line="240" w:lineRule="auto"/>
              <w:jc w:val="center"/>
              <w:outlineLvl w:val="0"/>
              <w:rPr>
                <w:rFonts w:ascii="Franklin Gothic Medium" w:hAnsi="Franklin Gothic Medium"/>
                <w:b/>
                <w:sz w:val="20"/>
              </w:rPr>
            </w:pPr>
            <w:r w:rsidRPr="00834A05">
              <w:rPr>
                <w:rFonts w:ascii="Franklin Gothic Medium" w:hAnsi="Franklin Gothic Medium"/>
                <w:b/>
                <w:sz w:val="20"/>
              </w:rPr>
              <w:t xml:space="preserve">Type of respondent </w:t>
            </w:r>
            <w:r w:rsidRPr="00834A05">
              <w:rPr>
                <w:rFonts w:ascii="Franklin Gothic Medium" w:hAnsi="Franklin Gothic Medium"/>
                <w:b/>
                <w:sz w:val="20"/>
              </w:rPr>
              <w:br/>
              <w:t>and instrument</w:t>
            </w:r>
          </w:p>
        </w:tc>
        <w:tc>
          <w:tcPr>
            <w:tcW w:w="700" w:type="pct"/>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spacing w:line="240" w:lineRule="auto"/>
              <w:jc w:val="center"/>
              <w:outlineLvl w:val="0"/>
              <w:rPr>
                <w:rFonts w:ascii="Franklin Gothic Medium" w:hAnsi="Franklin Gothic Medium"/>
                <w:b/>
                <w:sz w:val="20"/>
              </w:rPr>
            </w:pPr>
            <w:r w:rsidRPr="00834A05">
              <w:rPr>
                <w:rFonts w:ascii="Franklin Gothic Medium" w:hAnsi="Franklin Gothic Medium"/>
                <w:b/>
                <w:sz w:val="20"/>
              </w:rPr>
              <w:t>Estimated number of respondents</w:t>
            </w:r>
          </w:p>
        </w:tc>
        <w:tc>
          <w:tcPr>
            <w:tcW w:w="808" w:type="pct"/>
            <w:tcBorders>
              <w:top w:val="single" w:sz="4" w:space="0" w:color="auto"/>
              <w:left w:val="nil"/>
              <w:bottom w:val="single" w:sz="4" w:space="0" w:color="auto"/>
              <w:right w:val="nil"/>
            </w:tcBorders>
            <w:shd w:val="clear" w:color="auto" w:fill="AFBED7"/>
          </w:tcPr>
          <w:p w:rsidR="00834A05" w:rsidRPr="00834A05" w:rsidRDefault="00834A05" w:rsidP="00834A05">
            <w:pPr>
              <w:keepNext/>
              <w:tabs>
                <w:tab w:val="left" w:pos="1152"/>
              </w:tabs>
              <w:spacing w:line="240" w:lineRule="auto"/>
              <w:jc w:val="center"/>
              <w:outlineLvl w:val="0"/>
              <w:rPr>
                <w:rFonts w:ascii="Franklin Gothic Medium" w:hAnsi="Franklin Gothic Medium"/>
                <w:b/>
                <w:sz w:val="20"/>
              </w:rPr>
            </w:pPr>
            <w:r w:rsidRPr="00834A05">
              <w:rPr>
                <w:rFonts w:ascii="Franklin Gothic Medium" w:hAnsi="Franklin Gothic Medium"/>
                <w:b/>
                <w:sz w:val="20"/>
              </w:rPr>
              <w:t xml:space="preserve">Estimated number of responses per respondent </w:t>
            </w:r>
          </w:p>
        </w:tc>
        <w:tc>
          <w:tcPr>
            <w:tcW w:w="681" w:type="pct"/>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spacing w:line="240" w:lineRule="auto"/>
              <w:jc w:val="center"/>
              <w:outlineLvl w:val="0"/>
              <w:rPr>
                <w:rFonts w:ascii="Franklin Gothic Medium" w:hAnsi="Franklin Gothic Medium"/>
                <w:b/>
                <w:sz w:val="20"/>
              </w:rPr>
            </w:pPr>
            <w:r w:rsidRPr="00834A05">
              <w:rPr>
                <w:rFonts w:ascii="Franklin Gothic Medium" w:hAnsi="Franklin Gothic Medium"/>
                <w:b/>
                <w:sz w:val="20"/>
              </w:rPr>
              <w:t xml:space="preserve">Average burden hours per response </w:t>
            </w:r>
          </w:p>
        </w:tc>
        <w:tc>
          <w:tcPr>
            <w:tcW w:w="784" w:type="pct"/>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spacing w:line="240" w:lineRule="auto"/>
              <w:jc w:val="center"/>
              <w:outlineLvl w:val="0"/>
              <w:rPr>
                <w:rFonts w:ascii="Franklin Gothic Medium" w:hAnsi="Franklin Gothic Medium"/>
                <w:b/>
                <w:sz w:val="20"/>
              </w:rPr>
            </w:pPr>
            <w:r w:rsidRPr="00834A05">
              <w:rPr>
                <w:rFonts w:ascii="Franklin Gothic Medium" w:hAnsi="Franklin Gothic Medium"/>
                <w:b/>
                <w:sz w:val="20"/>
              </w:rPr>
              <w:t>Estimated total annual burden hours requested</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 xml:space="preserve">Adults – Baseline adult respondents -Extended Interview </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27,795</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27,795</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Baseline youth respondents who age into adult cohort – Consent for Extended Interview</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2,090</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4/60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139</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Baseline youth respondents who age into adult cohort – Extended Interview</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1,812</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68/60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2,054</w:t>
            </w:r>
          </w:p>
        </w:tc>
      </w:tr>
      <w:tr w:rsidR="00834A05" w:rsidRPr="00834A05" w:rsidTr="00834A05">
        <w:trPr>
          <w:trHeight w:val="350"/>
        </w:trPr>
        <w:tc>
          <w:tcPr>
            <w:tcW w:w="2027" w:type="pct"/>
            <w:tcBorders>
              <w:top w:val="single" w:sz="4" w:space="0" w:color="auto"/>
              <w:bottom w:val="single" w:sz="4" w:space="0" w:color="auto"/>
            </w:tcBorders>
            <w:shd w:val="clear" w:color="auto" w:fill="auto"/>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Baseline youth respondents who age into the adult cohort -- Consent for Biological Samples</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1,812</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5/60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151</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ind w:left="720" w:hanging="720"/>
              <w:rPr>
                <w:rFonts w:ascii="Franklin Gothic Medium" w:hAnsi="Franklin Gothic Medium"/>
                <w:sz w:val="20"/>
              </w:rPr>
            </w:pPr>
            <w:r w:rsidRPr="00834A05">
              <w:rPr>
                <w:rFonts w:ascii="Franklin Gothic Medium" w:hAnsi="Franklin Gothic Medium"/>
                <w:sz w:val="20"/>
              </w:rPr>
              <w:t>Adults – Biospecimen Collection: Urine</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12,909</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10/60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2,152</w:t>
            </w:r>
          </w:p>
        </w:tc>
      </w:tr>
      <w:tr w:rsidR="00834A05" w:rsidRPr="00834A05" w:rsidTr="00834A05">
        <w:trPr>
          <w:trHeight w:val="350"/>
        </w:trPr>
        <w:tc>
          <w:tcPr>
            <w:tcW w:w="2027" w:type="pct"/>
            <w:tcBorders>
              <w:top w:val="single" w:sz="4" w:space="0" w:color="auto"/>
              <w:bottom w:val="single" w:sz="4" w:space="0" w:color="auto"/>
            </w:tcBorders>
            <w:shd w:val="clear" w:color="auto" w:fill="auto"/>
          </w:tcPr>
          <w:p w:rsidR="00834A05" w:rsidRPr="00834A05" w:rsidRDefault="00834A05" w:rsidP="00834A05">
            <w:pPr>
              <w:ind w:left="720" w:hanging="720"/>
              <w:jc w:val="center"/>
              <w:rPr>
                <w:rFonts w:ascii="Franklin Gothic Medium" w:hAnsi="Franklin Gothic Medium"/>
                <w:sz w:val="20"/>
              </w:rPr>
            </w:pPr>
            <w:r w:rsidRPr="00834A05">
              <w:rPr>
                <w:rFonts w:ascii="Franklin Gothic Medium" w:hAnsi="Franklin Gothic Medium"/>
                <w:sz w:val="20"/>
              </w:rPr>
              <w:t>Adults – Biospecimen Collection: Blood</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1,041</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18/60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312</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 xml:space="preserve">Adults – Tobacco Use Form </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13,950</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4/60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930</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Follow-up/Tracking Participant Information Form</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34,070</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2</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8/60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9,085</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 xml:space="preserve">Youth – Extended Interview </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10,048</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32/60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5,359</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Youth – Shadow youth who age into youth cohort -- Assent for Extended Interview</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2,229</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3/60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111</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Youth – Shadow youth who age into youth cohort – Extended Interview</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2,007</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42/60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1,405</w:t>
            </w:r>
          </w:p>
        </w:tc>
      </w:tr>
      <w:tr w:rsidR="00834A05" w:rsidRPr="00834A05" w:rsidTr="00834A05">
        <w:trPr>
          <w:trHeight w:val="197"/>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szCs w:val="16"/>
              </w:rPr>
            </w:pPr>
            <w:r w:rsidRPr="00834A05">
              <w:rPr>
                <w:rFonts w:ascii="Franklin Gothic Medium" w:hAnsi="Franklin Gothic Medium"/>
                <w:sz w:val="20"/>
              </w:rPr>
              <w:t>Adult – Parent Interview</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10,249</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14/60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2,391</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Parents of Shadow youth who age into youth cohort – Parent Permission and Consent for Parent Interview</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2,229</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5/60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186</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Parents of Shadow youth who age into youth cohort -- Parent Interview</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2,047</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17/60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580</w:t>
            </w:r>
          </w:p>
        </w:tc>
      </w:tr>
      <w:tr w:rsidR="00834A05" w:rsidRPr="00834A05" w:rsidTr="00834A05">
        <w:trPr>
          <w:trHeight w:val="350"/>
        </w:trPr>
        <w:tc>
          <w:tcPr>
            <w:tcW w:w="2027"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rPr>
                <w:rFonts w:ascii="Franklin Gothic Medium" w:hAnsi="Franklin Gothic Medium"/>
                <w:sz w:val="20"/>
              </w:rPr>
            </w:pPr>
            <w:r w:rsidRPr="00834A05">
              <w:rPr>
                <w:rFonts w:ascii="Franklin Gothic Medium" w:eastAsia="Calibri" w:hAnsi="Franklin Gothic Medium"/>
                <w:sz w:val="20"/>
              </w:rPr>
              <w:t xml:space="preserve">Adults -- Verification </w:t>
            </w:r>
            <w:r>
              <w:rPr>
                <w:rFonts w:ascii="Franklin Gothic Medium" w:eastAsia="Calibri" w:hAnsi="Franklin Gothic Medium"/>
                <w:sz w:val="20"/>
              </w:rPr>
              <w:t>Interview</w:t>
            </w:r>
          </w:p>
        </w:tc>
        <w:tc>
          <w:tcPr>
            <w:tcW w:w="700"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hAnsi="Franklin Gothic Medium"/>
                <w:color w:val="000000"/>
                <w:sz w:val="20"/>
              </w:rPr>
              <w:t>34,528</w:t>
            </w:r>
          </w:p>
        </w:tc>
        <w:tc>
          <w:tcPr>
            <w:tcW w:w="808"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1</w:t>
            </w:r>
          </w:p>
        </w:tc>
        <w:tc>
          <w:tcPr>
            <w:tcW w:w="681"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sz w:val="20"/>
              </w:rPr>
            </w:pPr>
            <w:r w:rsidRPr="00834A05">
              <w:rPr>
                <w:rFonts w:ascii="Franklin Gothic Medium" w:eastAsia="Calibri" w:hAnsi="Franklin Gothic Medium"/>
                <w:sz w:val="20"/>
              </w:rPr>
              <w:t>2/60</w:t>
            </w:r>
          </w:p>
        </w:tc>
        <w:tc>
          <w:tcPr>
            <w:tcW w:w="784"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1,151</w:t>
            </w:r>
          </w:p>
        </w:tc>
      </w:tr>
      <w:tr w:rsidR="00834A05" w:rsidRPr="00834A05" w:rsidTr="00834A05">
        <w:trPr>
          <w:trHeight w:val="350"/>
        </w:trPr>
        <w:tc>
          <w:tcPr>
            <w:tcW w:w="2027"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rPr>
                <w:rFonts w:ascii="Franklin Gothic Medium" w:hAnsi="Franklin Gothic Medium"/>
                <w:sz w:val="20"/>
              </w:rPr>
            </w:pPr>
            <w:r w:rsidRPr="00834A05">
              <w:rPr>
                <w:rFonts w:ascii="Franklin Gothic Medium" w:eastAsia="Calibri" w:hAnsi="Franklin Gothic Medium"/>
                <w:color w:val="000000"/>
                <w:sz w:val="20"/>
              </w:rPr>
              <w:t xml:space="preserve">Adults -- </w:t>
            </w:r>
            <w:r w:rsidRPr="00834A05">
              <w:rPr>
                <w:rFonts w:ascii="Franklin Gothic Medium" w:eastAsia="Calibri" w:hAnsi="Franklin Gothic Medium"/>
                <w:sz w:val="20"/>
              </w:rPr>
              <w:t>Validation</w:t>
            </w:r>
            <w:r w:rsidRPr="00834A05">
              <w:rPr>
                <w:rFonts w:ascii="Franklin Gothic Medium" w:eastAsia="Calibri" w:hAnsi="Franklin Gothic Medium"/>
                <w:color w:val="000000"/>
                <w:sz w:val="20"/>
              </w:rPr>
              <w:t xml:space="preserve"> </w:t>
            </w:r>
            <w:r>
              <w:rPr>
                <w:rFonts w:ascii="Franklin Gothic Medium" w:eastAsia="Calibri" w:hAnsi="Franklin Gothic Medium"/>
                <w:color w:val="000000"/>
                <w:sz w:val="20"/>
              </w:rPr>
              <w:t>Interview</w:t>
            </w:r>
          </w:p>
        </w:tc>
        <w:tc>
          <w:tcPr>
            <w:tcW w:w="700"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3,891</w:t>
            </w:r>
          </w:p>
        </w:tc>
        <w:tc>
          <w:tcPr>
            <w:tcW w:w="808"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sz w:val="20"/>
              </w:rPr>
            </w:pPr>
            <w:r w:rsidRPr="00834A05">
              <w:rPr>
                <w:rFonts w:ascii="Franklin Gothic Medium" w:eastAsia="Calibri" w:hAnsi="Franklin Gothic Medium"/>
                <w:color w:val="000000"/>
                <w:sz w:val="20"/>
              </w:rPr>
              <w:t>1</w:t>
            </w:r>
          </w:p>
        </w:tc>
        <w:tc>
          <w:tcPr>
            <w:tcW w:w="681"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sz w:val="20"/>
              </w:rPr>
            </w:pPr>
            <w:r w:rsidRPr="00834A05">
              <w:rPr>
                <w:rFonts w:ascii="Franklin Gothic Medium" w:eastAsia="Calibri" w:hAnsi="Franklin Gothic Medium"/>
                <w:sz w:val="20"/>
              </w:rPr>
              <w:t>4/60</w:t>
            </w:r>
          </w:p>
        </w:tc>
        <w:tc>
          <w:tcPr>
            <w:tcW w:w="784"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259</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Follow-up/Tracking Participant Information Form for Youth (completed by parents)</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2,047</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17/60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580</w:t>
            </w:r>
          </w:p>
        </w:tc>
      </w:tr>
      <w:tr w:rsidR="00834A05" w:rsidRPr="00834A05" w:rsidTr="00834A05">
        <w:trPr>
          <w:trHeight w:val="350"/>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Follow-up/Tracking Participant Information Form for sample Shadow youth (completed by parents)</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sz w:val="20"/>
              </w:rPr>
              <w:t>13,836</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2</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8/60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3,690</w:t>
            </w:r>
          </w:p>
        </w:tc>
      </w:tr>
      <w:tr w:rsidR="00834A05" w:rsidRPr="00834A05" w:rsidTr="00834A05">
        <w:trPr>
          <w:trHeight w:val="458"/>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Follow-up/Tracking Participant Information Form for sample Shadow youth (completed by parents)</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4,772</w:t>
            </w: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2</w:t>
            </w: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8/60</w:t>
            </w: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1,273</w:t>
            </w:r>
          </w:p>
        </w:tc>
      </w:tr>
      <w:tr w:rsidR="00834A05" w:rsidRPr="00834A05" w:rsidTr="00834A05">
        <w:trPr>
          <w:trHeight w:val="458"/>
        </w:trPr>
        <w:tc>
          <w:tcPr>
            <w:tcW w:w="2027" w:type="pct"/>
            <w:tcBorders>
              <w:top w:val="single" w:sz="4" w:space="0" w:color="auto"/>
              <w:bottom w:val="single" w:sz="4" w:space="0" w:color="auto"/>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Total</w:t>
            </w:r>
          </w:p>
        </w:tc>
        <w:tc>
          <w:tcPr>
            <w:tcW w:w="700"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p>
        </w:tc>
        <w:tc>
          <w:tcPr>
            <w:tcW w:w="808"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p>
        </w:tc>
        <w:tc>
          <w:tcPr>
            <w:tcW w:w="681"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rPr>
            </w:pPr>
          </w:p>
        </w:tc>
        <w:tc>
          <w:tcPr>
            <w:tcW w:w="784" w:type="pct"/>
            <w:tcBorders>
              <w:top w:val="single" w:sz="4" w:space="0" w:color="auto"/>
              <w:bottom w:val="single" w:sz="4" w:space="0" w:color="auto"/>
            </w:tcBorders>
            <w:shd w:val="clear" w:color="auto" w:fill="auto"/>
            <w:vAlign w:val="center"/>
          </w:tcPr>
          <w:p w:rsidR="00834A05" w:rsidRPr="00834A05" w:rsidRDefault="00834A05" w:rsidP="00834A05">
            <w:pPr>
              <w:jc w:val="center"/>
              <w:rPr>
                <w:rFonts w:ascii="Franklin Gothic Medium" w:hAnsi="Franklin Gothic Medium"/>
                <w:sz w:val="20"/>
                <w:highlight w:val="yellow"/>
              </w:rPr>
            </w:pPr>
            <w:r w:rsidRPr="00834A05">
              <w:rPr>
                <w:rFonts w:ascii="Franklin Gothic Medium" w:hAnsi="Franklin Gothic Medium"/>
                <w:sz w:val="20"/>
              </w:rPr>
              <w:t>59,023</w:t>
            </w:r>
          </w:p>
        </w:tc>
      </w:tr>
    </w:tbl>
    <w:p w:rsidR="00834A05" w:rsidRPr="00834A05" w:rsidRDefault="00834A05" w:rsidP="00834A05">
      <w:pPr>
        <w:tabs>
          <w:tab w:val="left" w:pos="120"/>
        </w:tabs>
        <w:spacing w:before="120" w:line="200" w:lineRule="atLeast"/>
        <w:contextualSpacing/>
        <w:rPr>
          <w:rFonts w:ascii="Franklin Gothic Medium" w:hAnsi="Franklin Gothic Medium"/>
          <w:sz w:val="18"/>
        </w:rPr>
      </w:pPr>
      <w:r w:rsidRPr="00834A05">
        <w:rPr>
          <w:rFonts w:ascii="Franklin Gothic Medium" w:hAnsi="Franklin Gothic Medium"/>
          <w:sz w:val="18"/>
        </w:rPr>
        <w:t>* Estimated total number of adult extended interview respondents is 27,795 + 1,812 = 29,607.</w:t>
      </w:r>
    </w:p>
    <w:p w:rsidR="00834A05" w:rsidRPr="00834A05" w:rsidRDefault="00834A05" w:rsidP="00834A05">
      <w:pPr>
        <w:tabs>
          <w:tab w:val="left" w:pos="120"/>
        </w:tabs>
        <w:spacing w:before="120" w:line="200" w:lineRule="atLeast"/>
        <w:contextualSpacing/>
        <w:rPr>
          <w:rFonts w:ascii="Franklin Gothic Medium" w:hAnsi="Franklin Gothic Medium"/>
          <w:sz w:val="18"/>
        </w:rPr>
      </w:pPr>
      <w:r w:rsidRPr="00834A05">
        <w:rPr>
          <w:rFonts w:ascii="Franklin Gothic Medium" w:hAnsi="Franklin Gothic Medium"/>
          <w:sz w:val="18"/>
        </w:rPr>
        <w:t>** Estimated total number of youth extended interview respondents is 10,048 + 2,007 = 12,055.</w:t>
      </w:r>
    </w:p>
    <w:p w:rsidR="006B3CB9" w:rsidRDefault="006B3CB9" w:rsidP="00470C13">
      <w:pPr>
        <w:pStyle w:val="TT-TableTitle"/>
        <w:ind w:left="0" w:firstLine="0"/>
      </w:pPr>
    </w:p>
    <w:p w:rsidR="00550DDD" w:rsidRDefault="00550DDD" w:rsidP="0023016A">
      <w:pPr>
        <w:pStyle w:val="TT-TableTitle"/>
        <w:ind w:left="0" w:firstLine="0"/>
      </w:pPr>
      <w:proofErr w:type="gramStart"/>
      <w:r w:rsidRPr="00F1533E">
        <w:t>Table A-</w:t>
      </w:r>
      <w:r w:rsidR="00A2649D" w:rsidRPr="00F1533E">
        <w:t>4</w:t>
      </w:r>
      <w:r w:rsidRPr="00F1533E">
        <w:t>.</w:t>
      </w:r>
      <w:proofErr w:type="gramEnd"/>
      <w:r w:rsidRPr="00F1533E">
        <w:tab/>
        <w:t>PATH Study Wave 2 annualized cost to respondents</w:t>
      </w:r>
    </w:p>
    <w:p w:rsidR="000B47D8" w:rsidRPr="002558B8" w:rsidRDefault="000B47D8" w:rsidP="0023016A">
      <w:pPr>
        <w:pStyle w:val="TT-TableTitle"/>
        <w:ind w:left="0" w:firstLine="0"/>
        <w:rPr>
          <w:rFonts w:ascii="Franklin Gothic Book" w:hAnsi="Franklin Gothic Book"/>
        </w:rPr>
      </w:pPr>
    </w:p>
    <w:tbl>
      <w:tblPr>
        <w:tblW w:w="5319" w:type="pct"/>
        <w:tblInd w:w="-302" w:type="dxa"/>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3257"/>
        <w:gridCol w:w="6"/>
        <w:gridCol w:w="1204"/>
        <w:gridCol w:w="8"/>
        <w:gridCol w:w="1026"/>
        <w:gridCol w:w="10"/>
        <w:gridCol w:w="1067"/>
        <w:gridCol w:w="10"/>
        <w:gridCol w:w="1036"/>
        <w:gridCol w:w="12"/>
        <w:gridCol w:w="917"/>
        <w:gridCol w:w="14"/>
        <w:gridCol w:w="1498"/>
        <w:gridCol w:w="16"/>
      </w:tblGrid>
      <w:tr w:rsidR="00834A05" w:rsidRPr="00834A05" w:rsidTr="00834A05">
        <w:trPr>
          <w:cantSplit/>
          <w:trHeight w:val="746"/>
        </w:trPr>
        <w:tc>
          <w:tcPr>
            <w:tcW w:w="1618" w:type="pct"/>
            <w:gridSpan w:val="2"/>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outlineLvl w:val="0"/>
              <w:rPr>
                <w:rFonts w:ascii="Franklin Gothic Medium" w:hAnsi="Franklin Gothic Medium"/>
                <w:b/>
                <w:sz w:val="18"/>
                <w:szCs w:val="18"/>
              </w:rPr>
            </w:pPr>
            <w:r w:rsidRPr="00834A05">
              <w:rPr>
                <w:rFonts w:ascii="Franklin Gothic Medium" w:hAnsi="Franklin Gothic Medium"/>
                <w:b/>
                <w:sz w:val="18"/>
                <w:szCs w:val="18"/>
              </w:rPr>
              <w:t>Type of respondent</w:t>
            </w:r>
          </w:p>
          <w:p w:rsidR="00834A05" w:rsidRPr="00834A05" w:rsidRDefault="00834A05" w:rsidP="00834A05">
            <w:pPr>
              <w:keepNext/>
              <w:tabs>
                <w:tab w:val="left" w:pos="1152"/>
              </w:tabs>
              <w:outlineLvl w:val="0"/>
              <w:rPr>
                <w:rFonts w:ascii="Franklin Gothic Medium" w:hAnsi="Franklin Gothic Medium"/>
                <w:b/>
                <w:sz w:val="18"/>
                <w:szCs w:val="18"/>
              </w:rPr>
            </w:pPr>
            <w:r w:rsidRPr="00834A05">
              <w:rPr>
                <w:rFonts w:ascii="Franklin Gothic Medium" w:hAnsi="Franklin Gothic Medium"/>
                <w:b/>
                <w:sz w:val="18"/>
                <w:szCs w:val="18"/>
              </w:rPr>
              <w:t>and instrument</w:t>
            </w:r>
          </w:p>
        </w:tc>
        <w:tc>
          <w:tcPr>
            <w:tcW w:w="601" w:type="pct"/>
            <w:gridSpan w:val="2"/>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Number of respondents</w:t>
            </w:r>
          </w:p>
        </w:tc>
        <w:tc>
          <w:tcPr>
            <w:tcW w:w="514" w:type="pct"/>
            <w:gridSpan w:val="2"/>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Frequency</w:t>
            </w:r>
          </w:p>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of response</w:t>
            </w:r>
          </w:p>
        </w:tc>
        <w:tc>
          <w:tcPr>
            <w:tcW w:w="534" w:type="pct"/>
            <w:gridSpan w:val="2"/>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Average time per respondent</w:t>
            </w:r>
          </w:p>
        </w:tc>
        <w:tc>
          <w:tcPr>
            <w:tcW w:w="520" w:type="pct"/>
            <w:gridSpan w:val="2"/>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Annual hour burden</w:t>
            </w:r>
          </w:p>
        </w:tc>
        <w:tc>
          <w:tcPr>
            <w:tcW w:w="462" w:type="pct"/>
            <w:gridSpan w:val="2"/>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Hourly wage rate</w:t>
            </w:r>
          </w:p>
        </w:tc>
        <w:tc>
          <w:tcPr>
            <w:tcW w:w="751" w:type="pct"/>
            <w:gridSpan w:val="2"/>
            <w:tcBorders>
              <w:top w:val="single" w:sz="4" w:space="0" w:color="auto"/>
              <w:left w:val="nil"/>
              <w:bottom w:val="single" w:sz="4" w:space="0" w:color="auto"/>
              <w:right w:val="nil"/>
            </w:tcBorders>
            <w:shd w:val="clear" w:color="auto" w:fill="AFBED7"/>
            <w:vAlign w:val="bottom"/>
          </w:tcPr>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Respondent</w:t>
            </w:r>
          </w:p>
          <w:p w:rsidR="00834A05" w:rsidRPr="00834A05" w:rsidRDefault="00834A05" w:rsidP="00834A05">
            <w:pPr>
              <w:keepNext/>
              <w:tabs>
                <w:tab w:val="left" w:pos="1152"/>
              </w:tabs>
              <w:jc w:val="center"/>
              <w:outlineLvl w:val="0"/>
              <w:rPr>
                <w:rFonts w:ascii="Franklin Gothic Medium" w:hAnsi="Franklin Gothic Medium"/>
                <w:b/>
                <w:sz w:val="18"/>
                <w:szCs w:val="18"/>
              </w:rPr>
            </w:pPr>
            <w:r w:rsidRPr="00834A05">
              <w:rPr>
                <w:rFonts w:ascii="Franklin Gothic Medium" w:hAnsi="Franklin Gothic Medium"/>
                <w:b/>
                <w:sz w:val="18"/>
                <w:szCs w:val="18"/>
              </w:rPr>
              <w:t>Cost</w:t>
            </w:r>
          </w:p>
        </w:tc>
      </w:tr>
      <w:tr w:rsidR="00834A05" w:rsidRPr="00834A05" w:rsidTr="00834A05">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Baseline adult respondents -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27,795</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27,795</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$468,902</w:t>
            </w:r>
          </w:p>
        </w:tc>
      </w:tr>
      <w:tr w:rsidR="00834A05" w:rsidRPr="00834A05" w:rsidTr="00834A05">
        <w:trPr>
          <w:cantSplit/>
          <w:trHeight w:val="397"/>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Baseline youth respondents who age into adult cohort – Consent for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2,090</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4/60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139</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$2,345</w:t>
            </w:r>
          </w:p>
        </w:tc>
      </w:tr>
      <w:tr w:rsidR="00834A05" w:rsidRPr="00834A05" w:rsidTr="00834A05">
        <w:trPr>
          <w:cantSplit/>
          <w:trHeight w:val="397"/>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Baseline youth respondents who age into the adult cohort --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1,812</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68/60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2,054</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$34,651 </w:t>
            </w:r>
          </w:p>
        </w:tc>
      </w:tr>
      <w:tr w:rsidR="00834A05" w:rsidRPr="00834A05" w:rsidTr="00834A05">
        <w:trPr>
          <w:cantSplit/>
          <w:trHeight w:val="483"/>
        </w:trPr>
        <w:tc>
          <w:tcPr>
            <w:tcW w:w="1618" w:type="pct"/>
            <w:gridSpan w:val="2"/>
            <w:tcBorders>
              <w:top w:val="single" w:sz="4" w:space="0" w:color="auto"/>
              <w:left w:val="nil"/>
              <w:bottom w:val="single" w:sz="4" w:space="0" w:color="auto"/>
              <w:right w:val="nil"/>
            </w:tcBorders>
            <w:shd w:val="clear" w:color="auto" w:fill="auto"/>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Baseline youth respondents who age into the adult cohort -- Consent for Biological Samples</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1,812</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5/60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151</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$2,547 </w:t>
            </w:r>
          </w:p>
        </w:tc>
      </w:tr>
      <w:tr w:rsidR="00834A05" w:rsidRPr="00834A05" w:rsidTr="00834A05">
        <w:trPr>
          <w:cantSplit/>
          <w:trHeight w:val="483"/>
        </w:trPr>
        <w:tc>
          <w:tcPr>
            <w:tcW w:w="1618" w:type="pct"/>
            <w:gridSpan w:val="2"/>
            <w:tcBorders>
              <w:top w:val="single" w:sz="4" w:space="0" w:color="auto"/>
              <w:left w:val="nil"/>
              <w:bottom w:val="single" w:sz="4" w:space="0" w:color="auto"/>
              <w:right w:val="nil"/>
            </w:tcBorders>
            <w:shd w:val="clear" w:color="auto" w:fill="auto"/>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Biospecimen Collection: Urine</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12,909</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10/60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2,152</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$36,304 </w:t>
            </w:r>
          </w:p>
        </w:tc>
      </w:tr>
      <w:tr w:rsidR="00834A05" w:rsidRPr="00834A05" w:rsidTr="00834A05">
        <w:trPr>
          <w:cantSplit/>
          <w:trHeight w:val="468"/>
        </w:trPr>
        <w:tc>
          <w:tcPr>
            <w:tcW w:w="1618" w:type="pct"/>
            <w:gridSpan w:val="2"/>
            <w:tcBorders>
              <w:top w:val="single" w:sz="4" w:space="0" w:color="auto"/>
              <w:left w:val="nil"/>
              <w:bottom w:val="single" w:sz="4" w:space="0" w:color="auto"/>
              <w:right w:val="nil"/>
            </w:tcBorders>
            <w:shd w:val="clear" w:color="auto" w:fill="auto"/>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Biospecimen Collection: Blood</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1,041</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18/60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312</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$5,263 </w:t>
            </w:r>
          </w:p>
        </w:tc>
      </w:tr>
      <w:tr w:rsidR="00834A05" w:rsidRPr="00834A05" w:rsidTr="00834A05">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 xml:space="preserve">Adults – Tobacco Use Form </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13,950</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4/60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930</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$15,689 </w:t>
            </w:r>
          </w:p>
        </w:tc>
      </w:tr>
      <w:tr w:rsidR="00834A05" w:rsidRPr="00834A05" w:rsidTr="00834A05">
        <w:trPr>
          <w:cantSplit/>
          <w:trHeight w:val="483"/>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Follow-up/Tracking Participant Information Form</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34,070</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2</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8/60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9,085</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$153,264</w:t>
            </w:r>
          </w:p>
        </w:tc>
      </w:tr>
      <w:tr w:rsidR="00834A05" w:rsidRPr="00834A05" w:rsidTr="00834A05">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 xml:space="preserve">Youth – Extended Interview </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10,048</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32/60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5,359</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szCs w:val="16"/>
              </w:rPr>
            </w:pPr>
            <w:r w:rsidRPr="00834A05">
              <w:rPr>
                <w:rFonts w:ascii="Franklin Gothic Medium" w:hAnsi="Franklin Gothic Medium" w:cs="Calibri"/>
                <w:color w:val="000000"/>
                <w:sz w:val="20"/>
              </w:rPr>
              <w:t>$7.25</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$38,853 </w:t>
            </w:r>
          </w:p>
        </w:tc>
      </w:tr>
      <w:tr w:rsidR="00834A05" w:rsidRPr="00834A05" w:rsidTr="00834A05">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Youth – Shadow youth who age into youth cohort -- Assent for Extended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2,229</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3/60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111</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rPr>
            </w:pPr>
            <w:r w:rsidRPr="00834A05">
              <w:rPr>
                <w:rFonts w:ascii="Franklin Gothic Medium" w:hAnsi="Franklin Gothic Medium" w:cs="Calibri"/>
                <w:color w:val="000000"/>
                <w:sz w:val="20"/>
              </w:rPr>
              <w:t>$7.25</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$805</w:t>
            </w:r>
          </w:p>
        </w:tc>
      </w:tr>
      <w:tr w:rsidR="00834A05" w:rsidRPr="00834A05" w:rsidTr="00834A05">
        <w:trPr>
          <w:cantSplit/>
          <w:trHeight w:val="468"/>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Youth – Shadow youth who age into youth cohort–youth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2,007</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42/60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1,405</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szCs w:val="16"/>
              </w:rPr>
            </w:pPr>
            <w:r w:rsidRPr="00834A05">
              <w:rPr>
                <w:rFonts w:ascii="Franklin Gothic Medium" w:hAnsi="Franklin Gothic Medium" w:cs="Calibri"/>
                <w:color w:val="000000"/>
                <w:sz w:val="20"/>
              </w:rPr>
              <w:t>$7.25</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$10,186</w:t>
            </w:r>
          </w:p>
        </w:tc>
      </w:tr>
      <w:tr w:rsidR="00834A05" w:rsidRPr="00834A05" w:rsidTr="00834A05">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 –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10,249</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14/60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2,391</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$40,336</w:t>
            </w:r>
          </w:p>
        </w:tc>
      </w:tr>
      <w:tr w:rsidR="00834A05" w:rsidRPr="00834A05" w:rsidTr="00834A05">
        <w:trPr>
          <w:cantSplit/>
          <w:trHeight w:val="272"/>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Parents of Shadow youth who age into youth cohort – Parent Permission and Consent for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2,229</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5/60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186</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$3,138 </w:t>
            </w:r>
          </w:p>
        </w:tc>
      </w:tr>
      <w:tr w:rsidR="00834A05" w:rsidRPr="00834A05" w:rsidTr="00834A05">
        <w:trPr>
          <w:cantSplit/>
          <w:trHeight w:val="483"/>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Parents of Shadow youth who age into youth cohort – Parent Interview</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olor w:val="000000"/>
                <w:sz w:val="20"/>
                <w:szCs w:val="16"/>
              </w:rPr>
            </w:pPr>
            <w:r w:rsidRPr="00834A05">
              <w:rPr>
                <w:rFonts w:ascii="Franklin Gothic Medium" w:hAnsi="Franklin Gothic Medium"/>
                <w:color w:val="000000"/>
                <w:sz w:val="20"/>
              </w:rPr>
              <w:t>2,047</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17/60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580</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 xml:space="preserve">$9,785 </w:t>
            </w:r>
          </w:p>
        </w:tc>
      </w:tr>
      <w:tr w:rsidR="00834A05" w:rsidRPr="00834A05" w:rsidTr="00834A05">
        <w:trPr>
          <w:gridAfter w:val="1"/>
          <w:wAfter w:w="8" w:type="pct"/>
          <w:cantSplit/>
          <w:trHeight w:val="413"/>
        </w:trPr>
        <w:tc>
          <w:tcPr>
            <w:tcW w:w="1615"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rPr>
                <w:rFonts w:ascii="Times New Roman" w:hAnsi="Times New Roman"/>
                <w:sz w:val="20"/>
              </w:rPr>
            </w:pPr>
            <w:r w:rsidRPr="00834A05">
              <w:rPr>
                <w:rFonts w:ascii="Franklin Gothic Medium" w:hAnsi="Franklin Gothic Medium"/>
                <w:sz w:val="20"/>
              </w:rPr>
              <w:t>Adults -- Verification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hAnsi="Franklin Gothic Medium"/>
                <w:color w:val="000000"/>
                <w:sz w:val="20"/>
              </w:rPr>
              <w:t>34,528</w:t>
            </w:r>
          </w:p>
        </w:tc>
        <w:tc>
          <w:tcPr>
            <w:tcW w:w="513"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sz w:val="20"/>
              </w:rPr>
            </w:pPr>
            <w:r w:rsidRPr="00834A05">
              <w:rPr>
                <w:rFonts w:ascii="Franklin Gothic Medium" w:eastAsia="Calibri" w:hAnsi="Franklin Gothic Medium"/>
                <w:sz w:val="20"/>
              </w:rPr>
              <w:t>2/60</w:t>
            </w:r>
          </w:p>
        </w:tc>
        <w:tc>
          <w:tcPr>
            <w:tcW w:w="519"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1,151</w:t>
            </w:r>
          </w:p>
        </w:tc>
        <w:tc>
          <w:tcPr>
            <w:tcW w:w="461"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hAnsi="Franklin Gothic Medium"/>
                <w:color w:val="000000"/>
                <w:sz w:val="2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 xml:space="preserve">$19,417 </w:t>
            </w:r>
          </w:p>
        </w:tc>
      </w:tr>
      <w:tr w:rsidR="00834A05" w:rsidRPr="00834A05" w:rsidTr="00834A05">
        <w:trPr>
          <w:gridAfter w:val="1"/>
          <w:wAfter w:w="8" w:type="pct"/>
          <w:cantSplit/>
          <w:trHeight w:val="440"/>
        </w:trPr>
        <w:tc>
          <w:tcPr>
            <w:tcW w:w="1615" w:type="pct"/>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rPr>
                <w:rFonts w:ascii="Times New Roman" w:hAnsi="Times New Roman"/>
                <w:sz w:val="20"/>
              </w:rPr>
            </w:pPr>
            <w:r w:rsidRPr="00834A05">
              <w:rPr>
                <w:rFonts w:ascii="Franklin Gothic Medium" w:hAnsi="Franklin Gothic Medium"/>
                <w:sz w:val="20"/>
              </w:rPr>
              <w:t>Adults -- Validation Interview</w:t>
            </w:r>
          </w:p>
        </w:tc>
        <w:tc>
          <w:tcPr>
            <w:tcW w:w="600"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3,891</w:t>
            </w:r>
          </w:p>
        </w:tc>
        <w:tc>
          <w:tcPr>
            <w:tcW w:w="513"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sz w:val="20"/>
              </w:rPr>
            </w:pPr>
            <w:r w:rsidRPr="00834A05">
              <w:rPr>
                <w:rFonts w:ascii="Franklin Gothic Medium" w:eastAsia="Calibri" w:hAnsi="Franklin Gothic Medium"/>
                <w:color w:val="000000"/>
                <w:sz w:val="20"/>
              </w:rPr>
              <w:t>1</w:t>
            </w:r>
          </w:p>
        </w:tc>
        <w:tc>
          <w:tcPr>
            <w:tcW w:w="534"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sz w:val="20"/>
              </w:rPr>
            </w:pPr>
            <w:r w:rsidRPr="00834A05">
              <w:rPr>
                <w:rFonts w:ascii="Franklin Gothic Medium" w:eastAsia="Calibri" w:hAnsi="Franklin Gothic Medium"/>
                <w:sz w:val="20"/>
              </w:rPr>
              <w:t>4/60</w:t>
            </w:r>
          </w:p>
        </w:tc>
        <w:tc>
          <w:tcPr>
            <w:tcW w:w="519"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259</w:t>
            </w:r>
          </w:p>
        </w:tc>
        <w:tc>
          <w:tcPr>
            <w:tcW w:w="461"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s="Calibri"/>
                <w:color w:val="000000"/>
                <w:sz w:val="20"/>
              </w:rPr>
            </w:pPr>
            <w:r w:rsidRPr="00834A05">
              <w:rPr>
                <w:rFonts w:ascii="Franklin Gothic Medium" w:hAnsi="Franklin Gothic Medium"/>
                <w:color w:val="000000"/>
                <w:sz w:val="20"/>
              </w:rPr>
              <w:t>$16.87</w:t>
            </w:r>
          </w:p>
        </w:tc>
        <w:tc>
          <w:tcPr>
            <w:tcW w:w="750" w:type="pct"/>
            <w:gridSpan w:val="2"/>
            <w:tcBorders>
              <w:top w:val="single" w:sz="4" w:space="0" w:color="auto"/>
              <w:left w:val="nil"/>
              <w:bottom w:val="single" w:sz="4" w:space="0" w:color="auto"/>
              <w:right w:val="nil"/>
            </w:tcBorders>
            <w:shd w:val="clear" w:color="auto" w:fill="auto"/>
            <w:vAlign w:val="center"/>
            <w:hideMark/>
          </w:tcPr>
          <w:p w:rsidR="00834A05" w:rsidRPr="00834A05" w:rsidRDefault="00834A05" w:rsidP="00834A05">
            <w:pPr>
              <w:jc w:val="center"/>
              <w:rPr>
                <w:rFonts w:ascii="Franklin Gothic Medium" w:hAnsi="Franklin Gothic Medium"/>
                <w:color w:val="000000"/>
                <w:sz w:val="20"/>
              </w:rPr>
            </w:pPr>
            <w:r w:rsidRPr="00834A05">
              <w:rPr>
                <w:rFonts w:ascii="Franklin Gothic Medium" w:eastAsia="Calibri" w:hAnsi="Franklin Gothic Medium"/>
                <w:color w:val="000000"/>
                <w:sz w:val="20"/>
              </w:rPr>
              <w:t xml:space="preserve">$4,369 </w:t>
            </w:r>
          </w:p>
        </w:tc>
      </w:tr>
      <w:tr w:rsidR="00834A05" w:rsidRPr="00834A05" w:rsidTr="00834A05">
        <w:trPr>
          <w:cantSplit/>
          <w:trHeight w:val="709"/>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Follow-up/Tracking Participant Information Form for Youth (completed by parents)</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sz w:val="20"/>
              </w:rPr>
              <w:t>13,836</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2</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8/60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3,690</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$62,250</w:t>
            </w:r>
          </w:p>
        </w:tc>
      </w:tr>
      <w:tr w:rsidR="00834A05" w:rsidRPr="00834A05" w:rsidTr="00834A05">
        <w:trPr>
          <w:cantSplit/>
          <w:trHeight w:val="965"/>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Adults – Follow-up/Tracking Participant Information Form for sample Shadow youth (completed by parents)</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szCs w:val="16"/>
              </w:rPr>
            </w:pPr>
            <w:r w:rsidRPr="00834A05">
              <w:rPr>
                <w:rFonts w:ascii="Franklin Gothic Medium" w:hAnsi="Franklin Gothic Medium"/>
                <w:color w:val="000000"/>
                <w:sz w:val="20"/>
              </w:rPr>
              <w:t>4,772</w:t>
            </w: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2</w:t>
            </w: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sz w:val="20"/>
              </w:rPr>
              <w:t>8/60</w:t>
            </w: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1,273</w:t>
            </w: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szCs w:val="16"/>
              </w:rPr>
            </w:pPr>
            <w:r w:rsidRPr="00834A05">
              <w:rPr>
                <w:rFonts w:ascii="Franklin Gothic Medium" w:hAnsi="Franklin Gothic Medium" w:cs="Calibri"/>
                <w:color w:val="000000"/>
                <w:sz w:val="20"/>
              </w:rPr>
              <w:t>$16.87</w:t>
            </w: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r w:rsidRPr="00834A05">
              <w:rPr>
                <w:rFonts w:ascii="Franklin Gothic Medium" w:hAnsi="Franklin Gothic Medium"/>
                <w:color w:val="000000"/>
                <w:sz w:val="20"/>
              </w:rPr>
              <w:t>$21,476</w:t>
            </w:r>
          </w:p>
        </w:tc>
      </w:tr>
      <w:tr w:rsidR="00834A05" w:rsidRPr="00834A05" w:rsidTr="00834A05">
        <w:trPr>
          <w:cantSplit/>
          <w:trHeight w:val="431"/>
        </w:trPr>
        <w:tc>
          <w:tcPr>
            <w:tcW w:w="1618"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rPr>
                <w:rFonts w:ascii="Franklin Gothic Medium" w:hAnsi="Franklin Gothic Medium"/>
                <w:sz w:val="20"/>
              </w:rPr>
            </w:pPr>
            <w:r w:rsidRPr="00834A05">
              <w:rPr>
                <w:rFonts w:ascii="Franklin Gothic Medium" w:hAnsi="Franklin Gothic Medium"/>
                <w:sz w:val="20"/>
              </w:rPr>
              <w:t>Total</w:t>
            </w:r>
          </w:p>
        </w:tc>
        <w:tc>
          <w:tcPr>
            <w:tcW w:w="60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p>
        </w:tc>
        <w:tc>
          <w:tcPr>
            <w:tcW w:w="51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p>
        </w:tc>
        <w:tc>
          <w:tcPr>
            <w:tcW w:w="534"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p>
        </w:tc>
        <w:tc>
          <w:tcPr>
            <w:tcW w:w="520"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sz w:val="20"/>
              </w:rPr>
            </w:pPr>
          </w:p>
        </w:tc>
        <w:tc>
          <w:tcPr>
            <w:tcW w:w="462"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rPr>
            </w:pPr>
          </w:p>
        </w:tc>
        <w:tc>
          <w:tcPr>
            <w:tcW w:w="751" w:type="pct"/>
            <w:gridSpan w:val="2"/>
            <w:tcBorders>
              <w:top w:val="single" w:sz="4" w:space="0" w:color="auto"/>
              <w:left w:val="nil"/>
              <w:bottom w:val="single" w:sz="4" w:space="0" w:color="auto"/>
              <w:right w:val="nil"/>
            </w:tcBorders>
            <w:shd w:val="clear" w:color="auto" w:fill="auto"/>
            <w:vAlign w:val="center"/>
          </w:tcPr>
          <w:p w:rsidR="00834A05" w:rsidRPr="00834A05" w:rsidRDefault="00834A05" w:rsidP="00834A05">
            <w:pPr>
              <w:jc w:val="center"/>
              <w:rPr>
                <w:rFonts w:ascii="Franklin Gothic Medium" w:hAnsi="Franklin Gothic Medium" w:cs="Calibri"/>
                <w:color w:val="000000"/>
                <w:sz w:val="20"/>
              </w:rPr>
            </w:pPr>
            <w:r w:rsidRPr="00834A05">
              <w:rPr>
                <w:rFonts w:ascii="Franklin Gothic Medium" w:hAnsi="Franklin Gothic Medium" w:cs="Calibri"/>
                <w:color w:val="000000"/>
                <w:sz w:val="20"/>
              </w:rPr>
              <w:t>$929,580</w:t>
            </w:r>
          </w:p>
        </w:tc>
      </w:tr>
    </w:tbl>
    <w:p w:rsidR="00834A05" w:rsidRPr="00834A05" w:rsidRDefault="00834A05" w:rsidP="00834A05">
      <w:pPr>
        <w:tabs>
          <w:tab w:val="left" w:pos="120"/>
        </w:tabs>
        <w:spacing w:before="120" w:line="200" w:lineRule="atLeast"/>
        <w:contextualSpacing/>
        <w:rPr>
          <w:rFonts w:ascii="Franklin Gothic Medium" w:hAnsi="Franklin Gothic Medium"/>
          <w:sz w:val="18"/>
        </w:rPr>
      </w:pPr>
      <w:r w:rsidRPr="00834A05">
        <w:rPr>
          <w:rFonts w:ascii="Franklin Gothic Medium" w:hAnsi="Franklin Gothic Medium"/>
          <w:sz w:val="18"/>
        </w:rPr>
        <w:t>* Estimated total number of adult extended interview respondents is 27,795 + 1,812 = 29,607.</w:t>
      </w:r>
    </w:p>
    <w:p w:rsidR="00834A05" w:rsidRPr="00834A05" w:rsidRDefault="00834A05" w:rsidP="00834A05">
      <w:pPr>
        <w:tabs>
          <w:tab w:val="left" w:pos="120"/>
        </w:tabs>
        <w:spacing w:before="120" w:line="200" w:lineRule="atLeast"/>
        <w:contextualSpacing/>
        <w:rPr>
          <w:rFonts w:ascii="Times New Roman" w:hAnsi="Times New Roman"/>
          <w:szCs w:val="24"/>
        </w:rPr>
      </w:pPr>
      <w:r w:rsidRPr="00834A05">
        <w:rPr>
          <w:rFonts w:ascii="Franklin Gothic Medium" w:hAnsi="Franklin Gothic Medium"/>
          <w:sz w:val="18"/>
        </w:rPr>
        <w:t>** Estimated total number of youth extended interview respondents is 10,048 + 2,007 = 12,055.</w:t>
      </w:r>
    </w:p>
    <w:p w:rsidR="000B47D8" w:rsidRPr="000B47D8" w:rsidRDefault="000B47D8" w:rsidP="0023016A">
      <w:pPr>
        <w:pStyle w:val="TT-TableTitle"/>
        <w:ind w:left="0" w:firstLine="0"/>
      </w:pPr>
    </w:p>
    <w:p w:rsidR="00550DDD" w:rsidRPr="00F1533E" w:rsidRDefault="00550DDD" w:rsidP="00550DDD">
      <w:pPr>
        <w:pStyle w:val="TT-TableTitle"/>
      </w:pPr>
    </w:p>
    <w:p w:rsidR="00F97985" w:rsidRPr="00A2734E" w:rsidRDefault="00F97985" w:rsidP="00AC3EDE">
      <w:pPr>
        <w:pStyle w:val="Heading2"/>
      </w:pPr>
      <w:r w:rsidRPr="00A2734E">
        <w:t>A.13</w:t>
      </w:r>
      <w:r w:rsidRPr="00A2734E">
        <w:tab/>
        <w:t xml:space="preserve">Estimate of Other Total Annual Cost Burden </w:t>
      </w:r>
      <w:r w:rsidR="00DE245D" w:rsidRPr="00A2734E">
        <w:t xml:space="preserve">to Respondents </w:t>
      </w:r>
      <w:r w:rsidRPr="00A2734E">
        <w:t>or Record Keepers</w:t>
      </w:r>
    </w:p>
    <w:p w:rsidR="00F97985" w:rsidRPr="00A2734E" w:rsidRDefault="004F6929" w:rsidP="00AC3EDE">
      <w:pPr>
        <w:pStyle w:val="L1-FlLSp12"/>
      </w:pPr>
      <w:r w:rsidRPr="00A2734E">
        <w:t xml:space="preserve">The </w:t>
      </w:r>
      <w:r w:rsidR="004A2068" w:rsidRPr="00A2734E">
        <w:t>PATH Study</w:t>
      </w:r>
      <w:r w:rsidRPr="00A2734E">
        <w:t xml:space="preserve"> has</w:t>
      </w:r>
      <w:r w:rsidR="00F97985" w:rsidRPr="00A2734E">
        <w:t xml:space="preserve"> no other annual cost burden to respondents or Record Keepers. </w:t>
      </w:r>
      <w:r w:rsidRPr="00A2734E">
        <w:t>This study has</w:t>
      </w:r>
      <w:r w:rsidR="00F97985" w:rsidRPr="00A2734E">
        <w:t xml:space="preserve"> no capital, operation or maintenance costs.</w:t>
      </w:r>
    </w:p>
    <w:p w:rsidR="006A4389" w:rsidRDefault="006A4389" w:rsidP="003450F8">
      <w:pPr>
        <w:pStyle w:val="L1-FlLSp12"/>
      </w:pPr>
    </w:p>
    <w:p w:rsidR="003450F8" w:rsidRPr="003450F8" w:rsidRDefault="003450F8" w:rsidP="003450F8">
      <w:pPr>
        <w:pStyle w:val="L1-FlLSp12"/>
      </w:pPr>
    </w:p>
    <w:p w:rsidR="00F97985" w:rsidRPr="00A2734E" w:rsidRDefault="00F97985" w:rsidP="00AC3EDE">
      <w:pPr>
        <w:pStyle w:val="Heading2"/>
      </w:pPr>
      <w:r w:rsidRPr="00A2734E">
        <w:t>A.14</w:t>
      </w:r>
      <w:r w:rsidRPr="00A2734E">
        <w:tab/>
        <w:t>Annualized Cost to the Federal Government</w:t>
      </w:r>
    </w:p>
    <w:p w:rsidR="002C5B68" w:rsidRPr="0023016A" w:rsidRDefault="002C5B68" w:rsidP="0023016A">
      <w:pPr>
        <w:pStyle w:val="L1-FlLSp12"/>
      </w:pPr>
      <w:r w:rsidRPr="0023016A">
        <w:t xml:space="preserve">This project is a multi-year, continuous activity, with interviews, </w:t>
      </w:r>
      <w:proofErr w:type="spellStart"/>
      <w:r w:rsidRPr="0023016A">
        <w:t>biospecimen</w:t>
      </w:r>
      <w:proofErr w:type="spellEnd"/>
      <w:r w:rsidRPr="0023016A">
        <w:t xml:space="preserve"> collection, and data processing occurring simultaneously</w:t>
      </w:r>
      <w:r w:rsidR="00C966E4">
        <w:t xml:space="preserve">. </w:t>
      </w:r>
      <w:r w:rsidRPr="0023016A">
        <w:t xml:space="preserve">It is conducted by a contractor with oversight, management, scientific direction, and analyses by federal and contractor staff at NIH/NIDA, FDA, and CDC. The PATH Study contract is funded by FDA through an Interagency Agreement </w:t>
      </w:r>
      <w:r w:rsidR="00B26583">
        <w:t xml:space="preserve">(IAA) </w:t>
      </w:r>
      <w:r w:rsidRPr="0023016A">
        <w:t xml:space="preserve">to NIH/NIDA using tobacco user fees assessed under the authority of the TCA (PL 111-31, June 22, 2009). </w:t>
      </w:r>
      <w:r w:rsidR="00B26583">
        <w:t xml:space="preserve">CDC’s laboratory oversight, management, and </w:t>
      </w:r>
      <w:proofErr w:type="spellStart"/>
      <w:r w:rsidR="00B26583">
        <w:t>biospecimen</w:t>
      </w:r>
      <w:proofErr w:type="spellEnd"/>
      <w:r w:rsidR="00B26583">
        <w:t xml:space="preserve"> analyses for the PATH Study are similarly funded by FDA through an IAA to CDC. </w:t>
      </w:r>
      <w:r w:rsidR="001751A8">
        <w:t>E</w:t>
      </w:r>
      <w:r w:rsidRPr="0023016A">
        <w:t xml:space="preserve">stimates </w:t>
      </w:r>
      <w:r w:rsidR="00350AE9">
        <w:t>in Table A-</w:t>
      </w:r>
      <w:r w:rsidR="00A2649D">
        <w:t>5</w:t>
      </w:r>
      <w:r w:rsidR="00350AE9">
        <w:t xml:space="preserve"> </w:t>
      </w:r>
      <w:r w:rsidRPr="0023016A">
        <w:t>are presented as the annualized cost to the U.S. Government for this information collection.</w:t>
      </w:r>
    </w:p>
    <w:p w:rsidR="00B573F5" w:rsidRDefault="00B573F5" w:rsidP="00470C13">
      <w:pPr>
        <w:spacing w:line="240" w:lineRule="auto"/>
      </w:pPr>
    </w:p>
    <w:p w:rsidR="00A37FBA" w:rsidRDefault="00A37FBA" w:rsidP="0023016A">
      <w:pPr>
        <w:pStyle w:val="TT-TableTitle"/>
        <w:ind w:left="0" w:firstLine="0"/>
      </w:pPr>
      <w:proofErr w:type="gramStart"/>
      <w:r w:rsidRPr="00E15B40">
        <w:t xml:space="preserve">Table </w:t>
      </w:r>
      <w:r>
        <w:t>A-</w:t>
      </w:r>
      <w:r w:rsidR="00A2649D">
        <w:t>5</w:t>
      </w:r>
      <w:r w:rsidRPr="00E15B40">
        <w:t>.</w:t>
      </w:r>
      <w:proofErr w:type="gramEnd"/>
      <w:r w:rsidR="003450F8">
        <w:tab/>
      </w:r>
      <w:r w:rsidRPr="00E15B40">
        <w:t>Annualized</w:t>
      </w:r>
      <w:r w:rsidRPr="00350AE9">
        <w:t xml:space="preserve"> </w:t>
      </w:r>
      <w:r w:rsidR="00E15B40">
        <w:t>c</w:t>
      </w:r>
      <w:r w:rsidRPr="00E15B40">
        <w:t xml:space="preserve">ost to the Government for </w:t>
      </w:r>
      <w:r w:rsidR="00E15B40">
        <w:t>i</w:t>
      </w:r>
      <w:r w:rsidRPr="00E15B40">
        <w:t xml:space="preserve">nformation </w:t>
      </w:r>
      <w:r w:rsidR="00E15B40">
        <w:t>c</w:t>
      </w:r>
      <w:r w:rsidRPr="00E15B40">
        <w:t>ollection</w:t>
      </w:r>
    </w:p>
    <w:p w:rsidR="00E15B40" w:rsidRPr="0023016A" w:rsidRDefault="00E15B40" w:rsidP="003450F8">
      <w:pPr>
        <w:pStyle w:val="TT-TableTitle"/>
      </w:pPr>
    </w:p>
    <w:tbl>
      <w:tblPr>
        <w:tblW w:w="0" w:type="auto"/>
        <w:tblCellMar>
          <w:left w:w="0" w:type="dxa"/>
          <w:right w:w="0" w:type="dxa"/>
        </w:tblCellMar>
        <w:tblLook w:val="04A0" w:firstRow="1" w:lastRow="0" w:firstColumn="1" w:lastColumn="0" w:noHBand="0" w:noVBand="1"/>
      </w:tblPr>
      <w:tblGrid>
        <w:gridCol w:w="3258"/>
        <w:gridCol w:w="1530"/>
        <w:gridCol w:w="1620"/>
        <w:gridCol w:w="1890"/>
      </w:tblGrid>
      <w:tr w:rsidR="002C5B68" w:rsidRPr="009545E6" w:rsidTr="00C94B3E">
        <w:trPr>
          <w:trHeight w:val="458"/>
        </w:trPr>
        <w:tc>
          <w:tcPr>
            <w:tcW w:w="3258"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rsidR="002C5B68" w:rsidRPr="0023016A" w:rsidRDefault="002C5B68" w:rsidP="0060413D">
            <w:pPr>
              <w:pStyle w:val="TH-TableHeading"/>
            </w:pPr>
            <w:r w:rsidRPr="0023016A">
              <w:t xml:space="preserve">Type of </w:t>
            </w:r>
            <w:r w:rsidR="0060413D">
              <w:t>c</w:t>
            </w:r>
            <w:r w:rsidRPr="0023016A">
              <w:t>ost</w:t>
            </w:r>
          </w:p>
        </w:tc>
        <w:tc>
          <w:tcPr>
            <w:tcW w:w="153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rsidR="002C5B68" w:rsidRPr="0023016A" w:rsidRDefault="002C5B68">
            <w:pPr>
              <w:pStyle w:val="TH-TableHeading"/>
            </w:pPr>
            <w:r w:rsidRPr="0023016A">
              <w:t>Contract</w:t>
            </w:r>
          </w:p>
        </w:tc>
        <w:tc>
          <w:tcPr>
            <w:tcW w:w="162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rsidR="002C5B68" w:rsidRPr="0023016A" w:rsidRDefault="002C5B68">
            <w:pPr>
              <w:pStyle w:val="TH-TableHeading"/>
            </w:pPr>
            <w:r w:rsidRPr="0023016A">
              <w:t>Other</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rsidR="002C5B68" w:rsidRPr="0023016A" w:rsidRDefault="002C5B68">
            <w:pPr>
              <w:pStyle w:val="TH-TableHeading"/>
            </w:pPr>
            <w:r w:rsidRPr="0023016A">
              <w:t>Total</w:t>
            </w:r>
          </w:p>
        </w:tc>
      </w:tr>
      <w:tr w:rsidR="002C5B68" w:rsidRPr="009545E6" w:rsidTr="0023016A">
        <w:trPr>
          <w:trHeight w:val="20"/>
        </w:trPr>
        <w:tc>
          <w:tcPr>
            <w:tcW w:w="3258" w:type="dxa"/>
            <w:tcBorders>
              <w:top w:val="single" w:sz="4" w:space="0" w:color="auto"/>
              <w:bottom w:val="single" w:sz="8" w:space="0" w:color="auto"/>
            </w:tcBorders>
            <w:tcMar>
              <w:top w:w="0" w:type="dxa"/>
              <w:left w:w="108" w:type="dxa"/>
              <w:bottom w:w="0" w:type="dxa"/>
              <w:right w:w="108" w:type="dxa"/>
            </w:tcMar>
            <w:hideMark/>
          </w:tcPr>
          <w:p w:rsidR="002C5B68" w:rsidRPr="0023016A" w:rsidRDefault="002C5B68">
            <w:pPr>
              <w:rPr>
                <w:rFonts w:ascii="Franklin Gothic Medium" w:eastAsiaTheme="minorHAnsi" w:hAnsi="Franklin Gothic Medium" w:cs="Calibri"/>
                <w:sz w:val="20"/>
              </w:rPr>
            </w:pPr>
            <w:r w:rsidRPr="0023016A">
              <w:rPr>
                <w:rFonts w:ascii="Franklin Gothic Medium" w:hAnsi="Franklin Gothic Medium"/>
                <w:sz w:val="20"/>
              </w:rPr>
              <w:t>Study Implementation, Data Collection and Processing, Operations</w:t>
            </w:r>
          </w:p>
        </w:tc>
        <w:tc>
          <w:tcPr>
            <w:tcW w:w="1530" w:type="dxa"/>
            <w:tcBorders>
              <w:top w:val="single" w:sz="4" w:space="0" w:color="auto"/>
              <w:bottom w:val="single" w:sz="8" w:space="0" w:color="auto"/>
            </w:tcBorders>
            <w:tcMar>
              <w:top w:w="0" w:type="dxa"/>
              <w:left w:w="108" w:type="dxa"/>
              <w:bottom w:w="0" w:type="dxa"/>
              <w:right w:w="108" w:type="dxa"/>
            </w:tcMar>
            <w:hideMark/>
          </w:tcPr>
          <w:p w:rsidR="002C5B68" w:rsidRPr="0023016A" w:rsidRDefault="002C5B68" w:rsidP="00ED3C04">
            <w:pPr>
              <w:jc w:val="center"/>
              <w:rPr>
                <w:rFonts w:ascii="Franklin Gothic Medium" w:eastAsiaTheme="minorHAnsi" w:hAnsi="Franklin Gothic Medium" w:cs="Calibri"/>
                <w:sz w:val="20"/>
              </w:rPr>
            </w:pPr>
            <w:r w:rsidRPr="0023016A">
              <w:rPr>
                <w:rFonts w:ascii="Franklin Gothic Medium" w:hAnsi="Franklin Gothic Medium"/>
                <w:sz w:val="20"/>
              </w:rPr>
              <w:t>$</w:t>
            </w:r>
            <w:r w:rsidR="00ED3C04">
              <w:rPr>
                <w:rFonts w:ascii="Franklin Gothic Medium" w:hAnsi="Franklin Gothic Medium"/>
                <w:sz w:val="20"/>
              </w:rPr>
              <w:t>61</w:t>
            </w:r>
            <w:r w:rsidRPr="0023016A">
              <w:rPr>
                <w:rFonts w:ascii="Franklin Gothic Medium" w:hAnsi="Franklin Gothic Medium"/>
                <w:sz w:val="20"/>
              </w:rPr>
              <w:t>,000,000</w:t>
            </w:r>
          </w:p>
        </w:tc>
        <w:tc>
          <w:tcPr>
            <w:tcW w:w="1620" w:type="dxa"/>
            <w:tcBorders>
              <w:top w:val="single" w:sz="4" w:space="0" w:color="auto"/>
              <w:bottom w:val="single" w:sz="8" w:space="0" w:color="auto"/>
            </w:tcBorders>
            <w:tcMar>
              <w:top w:w="0" w:type="dxa"/>
              <w:left w:w="108" w:type="dxa"/>
              <w:bottom w:w="0" w:type="dxa"/>
              <w:right w:w="108" w:type="dxa"/>
            </w:tcMar>
          </w:tcPr>
          <w:p w:rsidR="002C5B68" w:rsidRPr="0023016A" w:rsidRDefault="00E15B40">
            <w:pPr>
              <w:jc w:val="center"/>
              <w:rPr>
                <w:rFonts w:ascii="Franklin Gothic Medium" w:eastAsiaTheme="minorHAnsi" w:hAnsi="Franklin Gothic Medium" w:cs="Calibri"/>
                <w:sz w:val="20"/>
              </w:rPr>
            </w:pPr>
            <w:r w:rsidRPr="0023016A">
              <w:rPr>
                <w:rFonts w:ascii="Franklin Gothic Medium" w:eastAsiaTheme="minorHAnsi" w:hAnsi="Franklin Gothic Medium" w:cs="Calibri"/>
                <w:sz w:val="20"/>
              </w:rPr>
              <w:t>--</w:t>
            </w:r>
          </w:p>
        </w:tc>
        <w:tc>
          <w:tcPr>
            <w:tcW w:w="1890" w:type="dxa"/>
            <w:tcBorders>
              <w:top w:val="single" w:sz="4" w:space="0" w:color="auto"/>
              <w:bottom w:val="single" w:sz="8" w:space="0" w:color="auto"/>
            </w:tcBorders>
            <w:tcMar>
              <w:top w:w="0" w:type="dxa"/>
              <w:left w:w="108" w:type="dxa"/>
              <w:bottom w:w="0" w:type="dxa"/>
              <w:right w:w="108" w:type="dxa"/>
            </w:tcMar>
            <w:hideMark/>
          </w:tcPr>
          <w:p w:rsidR="002C5B68" w:rsidRPr="0023016A" w:rsidRDefault="002C5B68" w:rsidP="00ED3C04">
            <w:pPr>
              <w:jc w:val="center"/>
              <w:rPr>
                <w:rFonts w:ascii="Franklin Gothic Medium" w:eastAsiaTheme="minorHAnsi" w:hAnsi="Franklin Gothic Medium" w:cs="Calibri"/>
                <w:sz w:val="20"/>
              </w:rPr>
            </w:pPr>
            <w:r w:rsidRPr="0023016A">
              <w:rPr>
                <w:rFonts w:ascii="Franklin Gothic Medium" w:hAnsi="Franklin Gothic Medium"/>
                <w:sz w:val="20"/>
              </w:rPr>
              <w:t>$</w:t>
            </w:r>
            <w:r w:rsidR="00ED3C04">
              <w:rPr>
                <w:rFonts w:ascii="Franklin Gothic Medium" w:hAnsi="Franklin Gothic Medium"/>
                <w:sz w:val="20"/>
              </w:rPr>
              <w:t>61</w:t>
            </w:r>
            <w:r w:rsidRPr="0023016A">
              <w:rPr>
                <w:rFonts w:ascii="Franklin Gothic Medium" w:hAnsi="Franklin Gothic Medium"/>
                <w:sz w:val="20"/>
              </w:rPr>
              <w:t>,000,000</w:t>
            </w:r>
          </w:p>
        </w:tc>
      </w:tr>
      <w:tr w:rsidR="002C5B68" w:rsidRPr="009545E6" w:rsidTr="0023016A">
        <w:trPr>
          <w:trHeight w:val="20"/>
        </w:trPr>
        <w:tc>
          <w:tcPr>
            <w:tcW w:w="3258" w:type="dxa"/>
            <w:tcBorders>
              <w:top w:val="single" w:sz="8" w:space="0" w:color="auto"/>
              <w:bottom w:val="single" w:sz="8" w:space="0" w:color="auto"/>
            </w:tcBorders>
            <w:tcMar>
              <w:top w:w="0" w:type="dxa"/>
              <w:left w:w="108" w:type="dxa"/>
              <w:bottom w:w="0" w:type="dxa"/>
              <w:right w:w="108" w:type="dxa"/>
            </w:tcMar>
            <w:hideMark/>
          </w:tcPr>
          <w:p w:rsidR="002C5B68" w:rsidRPr="0023016A" w:rsidRDefault="002C5B68">
            <w:pPr>
              <w:rPr>
                <w:rFonts w:ascii="Franklin Gothic Medium" w:eastAsiaTheme="minorHAnsi" w:hAnsi="Franklin Gothic Medium" w:cs="Calibri"/>
                <w:sz w:val="20"/>
              </w:rPr>
            </w:pPr>
            <w:r w:rsidRPr="0023016A">
              <w:rPr>
                <w:rFonts w:ascii="Franklin Gothic Medium" w:hAnsi="Franklin Gothic Medium"/>
                <w:sz w:val="20"/>
              </w:rPr>
              <w:t>NIH/NIDA and FDA Oversight, Monitoring, Scientific Direction, and Analyses</w:t>
            </w:r>
          </w:p>
        </w:tc>
        <w:tc>
          <w:tcPr>
            <w:tcW w:w="1530" w:type="dxa"/>
            <w:tcBorders>
              <w:top w:val="single" w:sz="8" w:space="0" w:color="auto"/>
              <w:bottom w:val="single" w:sz="8" w:space="0" w:color="auto"/>
            </w:tcBorders>
            <w:tcMar>
              <w:top w:w="0" w:type="dxa"/>
              <w:left w:w="108" w:type="dxa"/>
              <w:bottom w:w="0" w:type="dxa"/>
              <w:right w:w="108" w:type="dxa"/>
            </w:tcMar>
            <w:hideMark/>
          </w:tcPr>
          <w:p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$808,000</w:t>
            </w:r>
          </w:p>
        </w:tc>
        <w:tc>
          <w:tcPr>
            <w:tcW w:w="1620" w:type="dxa"/>
            <w:tcBorders>
              <w:top w:val="single" w:sz="8" w:space="0" w:color="auto"/>
              <w:bottom w:val="single" w:sz="8" w:space="0" w:color="auto"/>
            </w:tcBorders>
            <w:tcMar>
              <w:top w:w="0" w:type="dxa"/>
              <w:left w:w="108" w:type="dxa"/>
              <w:bottom w:w="0" w:type="dxa"/>
              <w:right w:w="108" w:type="dxa"/>
            </w:tcMar>
            <w:hideMark/>
          </w:tcPr>
          <w:p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$1,276,000</w:t>
            </w:r>
          </w:p>
        </w:tc>
        <w:tc>
          <w:tcPr>
            <w:tcW w:w="1890" w:type="dxa"/>
            <w:tcBorders>
              <w:top w:val="single" w:sz="8" w:space="0" w:color="auto"/>
              <w:bottom w:val="single" w:sz="8" w:space="0" w:color="auto"/>
            </w:tcBorders>
            <w:tcMar>
              <w:top w:w="0" w:type="dxa"/>
              <w:left w:w="108" w:type="dxa"/>
              <w:bottom w:w="0" w:type="dxa"/>
              <w:right w:w="108" w:type="dxa"/>
            </w:tcMar>
            <w:hideMark/>
          </w:tcPr>
          <w:p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$2,084,000</w:t>
            </w:r>
          </w:p>
        </w:tc>
      </w:tr>
      <w:tr w:rsidR="002C5B68" w:rsidRPr="009545E6" w:rsidTr="0023016A">
        <w:trPr>
          <w:trHeight w:val="20"/>
        </w:trPr>
        <w:tc>
          <w:tcPr>
            <w:tcW w:w="3258" w:type="dxa"/>
            <w:tcBorders>
              <w:top w:val="single" w:sz="8" w:space="0" w:color="auto"/>
              <w:bottom w:val="single" w:sz="8" w:space="0" w:color="auto"/>
            </w:tcBorders>
            <w:tcMar>
              <w:top w:w="0" w:type="dxa"/>
              <w:left w:w="108" w:type="dxa"/>
              <w:bottom w:w="0" w:type="dxa"/>
              <w:right w:w="108" w:type="dxa"/>
            </w:tcMar>
            <w:hideMark/>
          </w:tcPr>
          <w:p w:rsidR="002C5B68" w:rsidRPr="0023016A" w:rsidRDefault="002C5B68">
            <w:pPr>
              <w:rPr>
                <w:rFonts w:ascii="Franklin Gothic Medium" w:eastAsiaTheme="minorHAnsi" w:hAnsi="Franklin Gothic Medium" w:cs="Calibri"/>
                <w:sz w:val="20"/>
              </w:rPr>
            </w:pPr>
            <w:r w:rsidRPr="0023016A">
              <w:rPr>
                <w:rFonts w:ascii="Franklin Gothic Medium" w:hAnsi="Franklin Gothic Medium"/>
                <w:sz w:val="20"/>
              </w:rPr>
              <w:t>CDC Laboratory Oversight, Management, and Biospecimen Analyses</w:t>
            </w:r>
          </w:p>
        </w:tc>
        <w:tc>
          <w:tcPr>
            <w:tcW w:w="1530" w:type="dxa"/>
            <w:tcBorders>
              <w:top w:val="single" w:sz="8" w:space="0" w:color="auto"/>
              <w:bottom w:val="single" w:sz="8" w:space="0" w:color="auto"/>
            </w:tcBorders>
            <w:tcMar>
              <w:top w:w="0" w:type="dxa"/>
              <w:left w:w="108" w:type="dxa"/>
              <w:bottom w:w="0" w:type="dxa"/>
              <w:right w:w="108" w:type="dxa"/>
            </w:tcMar>
          </w:tcPr>
          <w:p w:rsidR="002C5B68" w:rsidRPr="0023016A" w:rsidRDefault="002C5B68">
            <w:pPr>
              <w:jc w:val="center"/>
              <w:rPr>
                <w:rFonts w:ascii="Franklin Gothic Medium" w:eastAsiaTheme="minorHAnsi" w:hAnsi="Franklin Gothic Medium" w:cs="Calibri"/>
                <w:sz w:val="20"/>
              </w:rPr>
            </w:pPr>
          </w:p>
          <w:p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$1,232,000</w:t>
            </w:r>
          </w:p>
        </w:tc>
        <w:tc>
          <w:tcPr>
            <w:tcW w:w="1620" w:type="dxa"/>
            <w:tcBorders>
              <w:top w:val="single" w:sz="8" w:space="0" w:color="auto"/>
              <w:bottom w:val="single" w:sz="8" w:space="0" w:color="auto"/>
            </w:tcBorders>
            <w:tcMar>
              <w:top w:w="0" w:type="dxa"/>
              <w:left w:w="108" w:type="dxa"/>
              <w:bottom w:w="0" w:type="dxa"/>
              <w:right w:w="108" w:type="dxa"/>
            </w:tcMar>
          </w:tcPr>
          <w:p w:rsidR="002C5B68" w:rsidRPr="0023016A" w:rsidRDefault="002C5B68">
            <w:pPr>
              <w:jc w:val="center"/>
              <w:rPr>
                <w:rFonts w:ascii="Franklin Gothic Medium" w:eastAsiaTheme="minorHAnsi" w:hAnsi="Franklin Gothic Medium" w:cs="Calibri"/>
                <w:sz w:val="20"/>
              </w:rPr>
            </w:pPr>
          </w:p>
          <w:p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$832,000</w:t>
            </w:r>
          </w:p>
        </w:tc>
        <w:tc>
          <w:tcPr>
            <w:tcW w:w="1890" w:type="dxa"/>
            <w:tcBorders>
              <w:top w:val="single" w:sz="8" w:space="0" w:color="auto"/>
              <w:bottom w:val="single" w:sz="8" w:space="0" w:color="auto"/>
            </w:tcBorders>
            <w:tcMar>
              <w:top w:w="0" w:type="dxa"/>
              <w:left w:w="108" w:type="dxa"/>
              <w:bottom w:w="0" w:type="dxa"/>
              <w:right w:w="108" w:type="dxa"/>
            </w:tcMar>
          </w:tcPr>
          <w:p w:rsidR="002C5B68" w:rsidRPr="0023016A" w:rsidRDefault="002C5B68">
            <w:pPr>
              <w:jc w:val="center"/>
              <w:rPr>
                <w:rFonts w:ascii="Franklin Gothic Medium" w:eastAsiaTheme="minorHAnsi" w:hAnsi="Franklin Gothic Medium" w:cs="Calibri"/>
                <w:sz w:val="20"/>
              </w:rPr>
            </w:pPr>
          </w:p>
          <w:p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$2,064,000</w:t>
            </w:r>
          </w:p>
        </w:tc>
      </w:tr>
      <w:tr w:rsidR="000D4B6D" w:rsidRPr="009545E6" w:rsidTr="0023016A">
        <w:trPr>
          <w:trHeight w:val="20"/>
        </w:trPr>
        <w:tc>
          <w:tcPr>
            <w:tcW w:w="3258" w:type="dxa"/>
            <w:tcBorders>
              <w:top w:val="single" w:sz="8" w:space="0" w:color="auto"/>
              <w:bottom w:val="single" w:sz="8" w:space="0" w:color="auto"/>
            </w:tcBorders>
            <w:tcMar>
              <w:top w:w="0" w:type="dxa"/>
              <w:left w:w="108" w:type="dxa"/>
              <w:bottom w:w="0" w:type="dxa"/>
              <w:right w:w="108" w:type="dxa"/>
            </w:tcMar>
          </w:tcPr>
          <w:p w:rsidR="000D4B6D" w:rsidRPr="0023016A" w:rsidRDefault="000D4B6D">
            <w:pPr>
              <w:rPr>
                <w:rFonts w:ascii="Franklin Gothic Medium" w:hAnsi="Franklin Gothic Medium"/>
                <w:sz w:val="20"/>
              </w:rPr>
            </w:pPr>
            <w:r w:rsidRPr="004949CC">
              <w:rPr>
                <w:rFonts w:ascii="Franklin Gothic Medium" w:eastAsiaTheme="minorHAnsi" w:hAnsi="Franklin Gothic Medium" w:cs="Calibri"/>
                <w:sz w:val="20"/>
              </w:rPr>
              <w:t>Total</w:t>
            </w:r>
          </w:p>
        </w:tc>
        <w:tc>
          <w:tcPr>
            <w:tcW w:w="1530" w:type="dxa"/>
            <w:tcBorders>
              <w:top w:val="single" w:sz="8" w:space="0" w:color="auto"/>
              <w:bottom w:val="single" w:sz="8" w:space="0" w:color="auto"/>
            </w:tcBorders>
            <w:tcMar>
              <w:top w:w="0" w:type="dxa"/>
              <w:left w:w="108" w:type="dxa"/>
              <w:bottom w:w="0" w:type="dxa"/>
              <w:right w:w="108" w:type="dxa"/>
            </w:tcMar>
          </w:tcPr>
          <w:p w:rsidR="000D4B6D" w:rsidRPr="0023016A" w:rsidRDefault="000D4B6D">
            <w:pPr>
              <w:jc w:val="center"/>
              <w:rPr>
                <w:rFonts w:ascii="Franklin Gothic Medium" w:eastAsiaTheme="minorHAnsi" w:hAnsi="Franklin Gothic Medium" w:cs="Calibri"/>
                <w:sz w:val="20"/>
              </w:rPr>
            </w:pPr>
          </w:p>
        </w:tc>
        <w:tc>
          <w:tcPr>
            <w:tcW w:w="1620" w:type="dxa"/>
            <w:tcBorders>
              <w:top w:val="single" w:sz="8" w:space="0" w:color="auto"/>
              <w:bottom w:val="single" w:sz="8" w:space="0" w:color="auto"/>
            </w:tcBorders>
            <w:tcMar>
              <w:top w:w="0" w:type="dxa"/>
              <w:left w:w="108" w:type="dxa"/>
              <w:bottom w:w="0" w:type="dxa"/>
              <w:right w:w="108" w:type="dxa"/>
            </w:tcMar>
          </w:tcPr>
          <w:p w:rsidR="000D4B6D" w:rsidRPr="0023016A" w:rsidRDefault="000D4B6D">
            <w:pPr>
              <w:jc w:val="center"/>
              <w:rPr>
                <w:rFonts w:ascii="Franklin Gothic Medium" w:eastAsiaTheme="minorHAnsi" w:hAnsi="Franklin Gothic Medium" w:cs="Calibri"/>
                <w:sz w:val="20"/>
              </w:rPr>
            </w:pPr>
          </w:p>
        </w:tc>
        <w:tc>
          <w:tcPr>
            <w:tcW w:w="1890" w:type="dxa"/>
            <w:tcBorders>
              <w:top w:val="single" w:sz="8" w:space="0" w:color="auto"/>
              <w:bottom w:val="single" w:sz="8" w:space="0" w:color="auto"/>
            </w:tcBorders>
            <w:tcMar>
              <w:top w:w="0" w:type="dxa"/>
              <w:left w:w="108" w:type="dxa"/>
              <w:bottom w:w="0" w:type="dxa"/>
              <w:right w:w="108" w:type="dxa"/>
            </w:tcMar>
          </w:tcPr>
          <w:p w:rsidR="000D4B6D" w:rsidRPr="0023016A" w:rsidRDefault="000D4B6D">
            <w:pPr>
              <w:jc w:val="center"/>
              <w:rPr>
                <w:rFonts w:ascii="Franklin Gothic Medium" w:eastAsiaTheme="minorHAnsi" w:hAnsi="Franklin Gothic Medium" w:cs="Calibri"/>
                <w:sz w:val="20"/>
              </w:rPr>
            </w:pPr>
            <w:r w:rsidRPr="004949CC">
              <w:rPr>
                <w:rFonts w:ascii="Franklin Gothic Medium" w:eastAsiaTheme="minorHAnsi" w:hAnsi="Franklin Gothic Medium" w:cs="Calibri"/>
                <w:sz w:val="20"/>
              </w:rPr>
              <w:t>$65,148,000</w:t>
            </w:r>
          </w:p>
        </w:tc>
      </w:tr>
    </w:tbl>
    <w:p w:rsidR="00B573F5" w:rsidRDefault="00B573F5" w:rsidP="000D4B6D">
      <w:pPr>
        <w:pStyle w:val="L1-FlLSp12"/>
      </w:pPr>
    </w:p>
    <w:p w:rsidR="000D4B6D" w:rsidRPr="000D4B6D" w:rsidRDefault="000D4B6D" w:rsidP="000D4B6D">
      <w:pPr>
        <w:pStyle w:val="L1-FlLSp12"/>
      </w:pPr>
    </w:p>
    <w:p w:rsidR="00446941" w:rsidRPr="00A2734E" w:rsidRDefault="00446941" w:rsidP="00AC3EDE">
      <w:pPr>
        <w:pStyle w:val="Heading2"/>
      </w:pPr>
      <w:r w:rsidRPr="00A2734E">
        <w:t>A.15</w:t>
      </w:r>
      <w:r w:rsidRPr="00A2734E">
        <w:tab/>
        <w:t xml:space="preserve">Explanation for Program Changes or </w:t>
      </w:r>
      <w:r w:rsidR="002843D6" w:rsidRPr="00A2734E">
        <w:t>Adjustments</w:t>
      </w:r>
    </w:p>
    <w:p w:rsidR="00625C50" w:rsidRDefault="00CF55F3" w:rsidP="00625C50">
      <w:pPr>
        <w:spacing w:line="360" w:lineRule="auto"/>
      </w:pPr>
      <w:r w:rsidRPr="00C0316B">
        <w:t>This is a revision request (OMB 0925-0664, expires 11/30/2015)</w:t>
      </w:r>
      <w:r w:rsidRPr="00AA3246">
        <w:t xml:space="preserve"> </w:t>
      </w:r>
      <w:r w:rsidRPr="00C0316B">
        <w:t>for the Population Assessment of Tobacco and Health (PATH)</w:t>
      </w:r>
      <w:r w:rsidRPr="00777AD3">
        <w:t xml:space="preserve"> </w:t>
      </w:r>
      <w:r>
        <w:t>S</w:t>
      </w:r>
      <w:r w:rsidRPr="00777AD3">
        <w:t xml:space="preserve">tudy to conduct the second wave of data collection. </w:t>
      </w:r>
      <w:r w:rsidR="005A1931">
        <w:t>T</w:t>
      </w:r>
      <w:r w:rsidR="00B11CFD">
        <w:t xml:space="preserve">here is a reduction of 79,950 estimated burden hours between the first wave </w:t>
      </w:r>
      <w:r w:rsidR="005A1931">
        <w:t xml:space="preserve">(136,889) </w:t>
      </w:r>
      <w:r w:rsidR="00B11CFD">
        <w:t>and the second wave</w:t>
      </w:r>
      <w:r w:rsidR="005A1931">
        <w:t xml:space="preserve"> </w:t>
      </w:r>
      <w:r w:rsidR="005A1931">
        <w:lastRenderedPageBreak/>
        <w:t>(56,939)</w:t>
      </w:r>
      <w:r w:rsidR="00B11CFD">
        <w:t xml:space="preserve">. </w:t>
      </w:r>
      <w:r w:rsidR="00204EA1">
        <w:t>As noted in A.12, f</w:t>
      </w:r>
      <w:r w:rsidRPr="0025393D">
        <w:t>actors accounting for th</w:t>
      </w:r>
      <w:r w:rsidR="00B11CFD">
        <w:t xml:space="preserve">is reduction </w:t>
      </w:r>
      <w:r w:rsidRPr="0025393D">
        <w:t xml:space="preserve">include the following: (1) </w:t>
      </w:r>
      <w:r w:rsidR="00D7204B">
        <w:t xml:space="preserve">the initial target sample size for the baseline (Wave 1) was reduced to a total of 45,675 respondents; (2) </w:t>
      </w:r>
      <w:r w:rsidRPr="0025393D">
        <w:t>Wave 2 does not have a screening phase; (</w:t>
      </w:r>
      <w:r w:rsidR="00D7204B">
        <w:t>3</w:t>
      </w:r>
      <w:r w:rsidRPr="0025393D">
        <w:t>) as indicated in Supporting Statement B, a 86 percent</w:t>
      </w:r>
      <w:r w:rsidRPr="003D5DF3">
        <w:t xml:space="preserve"> response rate for adult interviews and a 90</w:t>
      </w:r>
      <w:r w:rsidRPr="007F1684">
        <w:t xml:space="preserve"> percent response rate for youth interviews</w:t>
      </w:r>
      <w:r w:rsidRPr="008C1A95">
        <w:t xml:space="preserve"> are projected</w:t>
      </w:r>
      <w:r>
        <w:t xml:space="preserve"> for Wave 2; and (</w:t>
      </w:r>
      <w:r w:rsidR="00D7204B">
        <w:t>4</w:t>
      </w:r>
      <w:r>
        <w:t>)</w:t>
      </w:r>
      <w:r w:rsidRPr="008C1A95">
        <w:t> </w:t>
      </w:r>
      <w:r>
        <w:t>f</w:t>
      </w:r>
      <w:r w:rsidRPr="008C1A95">
        <w:t xml:space="preserve">ewer </w:t>
      </w:r>
      <w:r>
        <w:t xml:space="preserve">biological samples </w:t>
      </w:r>
      <w:r w:rsidRPr="008C1A95">
        <w:t xml:space="preserve">will be collected in Wave 2. </w:t>
      </w:r>
    </w:p>
    <w:p w:rsidR="00625C50" w:rsidRDefault="00625C50" w:rsidP="00625C50">
      <w:pPr>
        <w:spacing w:line="360" w:lineRule="auto"/>
      </w:pPr>
    </w:p>
    <w:p w:rsidR="00BC3C01" w:rsidRPr="00AB2065" w:rsidRDefault="00446941" w:rsidP="00AB2065">
      <w:pPr>
        <w:pStyle w:val="Heading2"/>
      </w:pPr>
      <w:r w:rsidRPr="00AB2065">
        <w:t>A.16</w:t>
      </w:r>
      <w:r w:rsidRPr="00AB2065">
        <w:tab/>
        <w:t>Plans for Tabulation and Publication and Project Time Schedule</w:t>
      </w:r>
    </w:p>
    <w:p w:rsidR="00446941" w:rsidRPr="00162D1C" w:rsidRDefault="00B92901" w:rsidP="00162D1C">
      <w:pPr>
        <w:pStyle w:val="Heading3"/>
        <w:spacing w:line="360" w:lineRule="auto"/>
        <w:rPr>
          <w:szCs w:val="24"/>
        </w:rPr>
      </w:pPr>
      <w:r w:rsidRPr="00162D1C">
        <w:rPr>
          <w:szCs w:val="24"/>
        </w:rPr>
        <w:t>A.16a</w:t>
      </w:r>
      <w:r w:rsidR="00446941" w:rsidRPr="00162D1C">
        <w:rPr>
          <w:szCs w:val="24"/>
        </w:rPr>
        <w:tab/>
        <w:t>Plans for Tabulation and Publication</w:t>
      </w:r>
    </w:p>
    <w:p w:rsidR="00AC2E44" w:rsidRDefault="0040332E" w:rsidP="00236D34">
      <w:pPr>
        <w:pStyle w:val="L1-FlLSp12"/>
      </w:pPr>
      <w:r w:rsidRPr="00236D34">
        <w:rPr>
          <w:szCs w:val="24"/>
        </w:rPr>
        <w:t>P</w:t>
      </w:r>
      <w:r w:rsidR="002E3CE9" w:rsidRPr="00236D34">
        <w:rPr>
          <w:szCs w:val="24"/>
        </w:rPr>
        <w:t xml:space="preserve">lans for tabulation, statistical analysis, and publication of the </w:t>
      </w:r>
      <w:r w:rsidR="004A2068" w:rsidRPr="00236D34">
        <w:rPr>
          <w:szCs w:val="24"/>
        </w:rPr>
        <w:t>PATH Study</w:t>
      </w:r>
      <w:r w:rsidR="005A6B03" w:rsidRPr="00236D34">
        <w:rPr>
          <w:szCs w:val="24"/>
        </w:rPr>
        <w:t xml:space="preserve"> </w:t>
      </w:r>
      <w:r w:rsidR="002E3CE9" w:rsidRPr="00236D34">
        <w:rPr>
          <w:szCs w:val="24"/>
        </w:rPr>
        <w:t xml:space="preserve">data are driven by </w:t>
      </w:r>
      <w:r w:rsidR="00420DB9">
        <w:rPr>
          <w:szCs w:val="24"/>
        </w:rPr>
        <w:t xml:space="preserve">its research design and </w:t>
      </w:r>
      <w:r w:rsidR="002E3CE9" w:rsidRPr="00236D34">
        <w:rPr>
          <w:szCs w:val="24"/>
        </w:rPr>
        <w:t>major objectives presented in Section A.2</w:t>
      </w:r>
      <w:r w:rsidR="00ED7AF6">
        <w:rPr>
          <w:szCs w:val="24"/>
        </w:rPr>
        <w:t xml:space="preserve"> and by FDA regulatory science priorities.</w:t>
      </w:r>
      <w:r w:rsidR="00420DB9">
        <w:rPr>
          <w:szCs w:val="24"/>
        </w:rPr>
        <w:t xml:space="preserve"> As a longitudinal cohort study, the PATH Study involves repeated observations on the same individuals to examine between-person differences and within-person changes over the same period of time. Benefits of the longitudinal research design include observing changes more accurately over time because the same persons are observed at multiple points over the same temporal order of events. </w:t>
      </w:r>
      <w:r w:rsidR="00D8525C">
        <w:rPr>
          <w:szCs w:val="24"/>
        </w:rPr>
        <w:t xml:space="preserve">The </w:t>
      </w:r>
      <w:r w:rsidRPr="00236D34">
        <w:t xml:space="preserve">PATH Study </w:t>
      </w:r>
      <w:r w:rsidR="00D8525C">
        <w:t>Wave 2 data will be used for comparison purposes with the baseline data. The baseline data provide</w:t>
      </w:r>
      <w:r w:rsidR="00420DB9" w:rsidRPr="00236D34">
        <w:t xml:space="preserve"> a comprehensive assessment for the cohort that will serve as the “anchor” against which individuals will be compared to </w:t>
      </w:r>
      <w:r w:rsidRPr="00236D34">
        <w:t>examine</w:t>
      </w:r>
      <w:r w:rsidR="00A17C8D" w:rsidRPr="00236D34">
        <w:t xml:space="preserve"> </w:t>
      </w:r>
      <w:r w:rsidR="00420DB9" w:rsidRPr="00236D34">
        <w:t xml:space="preserve">within-person changes over the follow-up waves. The </w:t>
      </w:r>
      <w:r w:rsidR="00D8525C">
        <w:t>Wave 2</w:t>
      </w:r>
      <w:r w:rsidR="00F956D0" w:rsidRPr="00236D34">
        <w:t xml:space="preserve"> </w:t>
      </w:r>
      <w:r w:rsidR="00420DB9" w:rsidRPr="00236D34">
        <w:t xml:space="preserve">data will </w:t>
      </w:r>
      <w:r w:rsidR="00D8525C">
        <w:t xml:space="preserve">also </w:t>
      </w:r>
      <w:r w:rsidR="00420DB9" w:rsidRPr="00236D34">
        <w:t>provide the PATH Study with the capa</w:t>
      </w:r>
      <w:r w:rsidR="00605D72" w:rsidRPr="00236D34">
        <w:t xml:space="preserve">bility to </w:t>
      </w:r>
      <w:r w:rsidR="00420DB9" w:rsidRPr="00236D34">
        <w:t>screen respondents for participation in small-scale research studies, such as in cognitive testing</w:t>
      </w:r>
      <w:r w:rsidR="00605D72" w:rsidRPr="00236D34">
        <w:t xml:space="preserve"> or methodological studies under the PATH Study’s existing generic clearances, or in other types of research studies that focus on new and emerging tobacco-related issues </w:t>
      </w:r>
      <w:r w:rsidR="002C5B68">
        <w:t xml:space="preserve">and regulatory science priorities </w:t>
      </w:r>
      <w:r w:rsidR="00367247">
        <w:t xml:space="preserve">for </w:t>
      </w:r>
      <w:r w:rsidR="00605D72" w:rsidRPr="00236D34">
        <w:t>FDA.</w:t>
      </w:r>
    </w:p>
    <w:p w:rsidR="00605D72" w:rsidRPr="00236D34" w:rsidRDefault="00605D72" w:rsidP="00236D34">
      <w:pPr>
        <w:pStyle w:val="L1-FlLSp12"/>
      </w:pPr>
    </w:p>
    <w:p w:rsidR="00AC2E44" w:rsidRDefault="00FA0D90" w:rsidP="00FA0D90">
      <w:pPr>
        <w:pStyle w:val="L1-FlLSp12"/>
      </w:pPr>
      <w:r>
        <w:t>In addition, Wave 2 data will be used to inform the PATH Study’s major objectives, primarily by examining between-person differences in: (1) tobacco-use patterns, including specific product type and brand, product/brand switching over time, uptake of new products, and dual- and poly-use of tobacco products (i.e., use of multiple products within the same time period, and switching between multiple products) (Objective 1); (2) risk perceptions regarding HPHC, new and emerging tobacco products, filters and other design features of tobacco products, packaging, and labeling, and other factors that may affect use</w:t>
      </w:r>
      <w:r w:rsidR="00932DAA">
        <w:t>,</w:t>
      </w:r>
      <w:r>
        <w:t xml:space="preserve"> such as social influences and individual preferences (Objective 2); (3) tobacco use dependence, cessation, and relapse, including readiness and self-efficacy to quit, motivations for quitting, the number and length of quit attempts, and the length of abstinence </w:t>
      </w:r>
      <w:r>
        <w:lastRenderedPageBreak/>
        <w:t>related various tobacco products (Objective 3); and (4) potential early markers of tobacco use exposures and related disease processes (Objective 4</w:t>
      </w:r>
      <w:r w:rsidRPr="00FA0D90">
        <w:t>).</w:t>
      </w:r>
    </w:p>
    <w:p w:rsidR="00DC46B4" w:rsidRPr="00DC46B4" w:rsidRDefault="00DC46B4" w:rsidP="00FA0D90">
      <w:pPr>
        <w:pStyle w:val="L1-FlLSp12"/>
      </w:pPr>
    </w:p>
    <w:p w:rsidR="00AC2E44" w:rsidRDefault="003A26FB" w:rsidP="00FA0D90">
      <w:pPr>
        <w:pStyle w:val="L1-FlLSp12"/>
      </w:pPr>
      <w:r w:rsidRPr="00286327">
        <w:t>Planned a</w:t>
      </w:r>
      <w:r w:rsidR="00FA0D90" w:rsidRPr="00286327">
        <w:t xml:space="preserve">nalyses </w:t>
      </w:r>
      <w:r w:rsidRPr="00286327">
        <w:t>a</w:t>
      </w:r>
      <w:r w:rsidR="00FA0D90" w:rsidRPr="00286327">
        <w:t>fter completion</w:t>
      </w:r>
      <w:r w:rsidR="00FC3289" w:rsidRPr="00286327">
        <w:t xml:space="preserve"> </w:t>
      </w:r>
      <w:r w:rsidR="00FA0D90" w:rsidRPr="00286327">
        <w:t xml:space="preserve">of the Wave 2 data collection will focus on </w:t>
      </w:r>
      <w:r w:rsidRPr="00286327">
        <w:t xml:space="preserve">characterizing </w:t>
      </w:r>
      <w:r w:rsidR="00FA0D90" w:rsidRPr="00286327">
        <w:t>change</w:t>
      </w:r>
      <w:r w:rsidR="00FA0D90" w:rsidRPr="00FA0D90">
        <w:t xml:space="preserve"> in various outcomes</w:t>
      </w:r>
      <w:r>
        <w:t xml:space="preserve"> relative to the baseline</w:t>
      </w:r>
      <w:r w:rsidR="00FA0D90" w:rsidRPr="00FA0D90">
        <w:t xml:space="preserve"> and examining correlates of that change.</w:t>
      </w:r>
      <w:r w:rsidR="0097280F">
        <w:t xml:space="preserve"> </w:t>
      </w:r>
      <w:r w:rsidR="00437601">
        <w:t xml:space="preserve">Of interest, for example, are </w:t>
      </w:r>
      <w:r w:rsidR="00FA0D90" w:rsidRPr="00FA0D90">
        <w:t xml:space="preserve">rates of tobacco product uptake between Wave 1 and Wave 2 and </w:t>
      </w:r>
      <w:r w:rsidR="00437601">
        <w:t xml:space="preserve">potential </w:t>
      </w:r>
      <w:r w:rsidR="00FA0D90" w:rsidRPr="00FA0D90">
        <w:t>relationship</w:t>
      </w:r>
      <w:r w:rsidR="00437601">
        <w:t>s</w:t>
      </w:r>
      <w:r w:rsidR="00FA0D90" w:rsidRPr="00FA0D90">
        <w:t xml:space="preserve"> between </w:t>
      </w:r>
      <w:r w:rsidR="00437601">
        <w:t xml:space="preserve">uptake and </w:t>
      </w:r>
      <w:r w:rsidR="00FA0D90" w:rsidRPr="00FA0D90">
        <w:t>changes in risk perceptions</w:t>
      </w:r>
      <w:r w:rsidR="00437601">
        <w:t xml:space="preserve">. </w:t>
      </w:r>
      <w:r>
        <w:t>A</w:t>
      </w:r>
      <w:r w:rsidR="00437601">
        <w:t xml:space="preserve">dditional interest </w:t>
      </w:r>
      <w:r>
        <w:t xml:space="preserve">focuses on inter-wave </w:t>
      </w:r>
      <w:r w:rsidR="00FA0D90" w:rsidRPr="00FA0D90">
        <w:t>change</w:t>
      </w:r>
      <w:r>
        <w:t>s at the population level in</w:t>
      </w:r>
      <w:r w:rsidR="00FA0D90" w:rsidRPr="00FA0D90">
        <w:t xml:space="preserve"> tobacco use status (e.g., quit</w:t>
      </w:r>
      <w:r>
        <w:t>ting,</w:t>
      </w:r>
      <w:r w:rsidR="00FA0D90" w:rsidRPr="00FA0D90">
        <w:t xml:space="preserve"> reduc</w:t>
      </w:r>
      <w:r>
        <w:t>ing</w:t>
      </w:r>
      <w:r w:rsidR="00FA0D90" w:rsidRPr="00FA0D90">
        <w:t xml:space="preserve"> consumption, </w:t>
      </w:r>
      <w:r w:rsidR="00ED7AF6">
        <w:t xml:space="preserve">or </w:t>
      </w:r>
      <w:r w:rsidR="00FA0D90" w:rsidRPr="00FA0D90">
        <w:t>switch</w:t>
      </w:r>
      <w:r>
        <w:t>ing</w:t>
      </w:r>
      <w:r w:rsidR="00FA0D90" w:rsidRPr="00FA0D90">
        <w:t xml:space="preserve"> to </w:t>
      </w:r>
      <w:r>
        <w:t>one or more other</w:t>
      </w:r>
      <w:r w:rsidR="00FA0D90" w:rsidRPr="00FA0D90">
        <w:t xml:space="preserve"> product</w:t>
      </w:r>
      <w:r>
        <w:t>s</w:t>
      </w:r>
      <w:r w:rsidR="00FA0D90" w:rsidRPr="00FA0D90">
        <w:t xml:space="preserve">) </w:t>
      </w:r>
      <w:r w:rsidR="00437601">
        <w:t xml:space="preserve">relative to </w:t>
      </w:r>
      <w:r w:rsidR="00FA0D90" w:rsidRPr="00FA0D90">
        <w:t>change</w:t>
      </w:r>
      <w:r w:rsidR="00437601">
        <w:t>s</w:t>
      </w:r>
      <w:r w:rsidR="00FA0D90" w:rsidRPr="00FA0D90">
        <w:t xml:space="preserve"> in health status indicators. </w:t>
      </w:r>
      <w:r w:rsidR="00ED7AF6">
        <w:t xml:space="preserve">Wave 1 data will be the basis for many of these analyses, although </w:t>
      </w:r>
      <w:r w:rsidR="00437601">
        <w:t>the</w:t>
      </w:r>
      <w:r w:rsidR="00FA0D90" w:rsidRPr="00FA0D90">
        <w:t xml:space="preserve"> longitudinal nature of the combined Wave 1 and Wave 2 data </w:t>
      </w:r>
      <w:r w:rsidR="00ED7AF6">
        <w:t xml:space="preserve">may also </w:t>
      </w:r>
      <w:r w:rsidR="00FA0D90" w:rsidRPr="00FA0D90">
        <w:t xml:space="preserve">provide </w:t>
      </w:r>
      <w:r w:rsidR="00437601">
        <w:t xml:space="preserve">an opportunity for </w:t>
      </w:r>
      <w:r w:rsidR="00FA0D90" w:rsidRPr="00FA0D90">
        <w:t>more in-depth analysis.</w:t>
      </w:r>
      <w:r w:rsidR="009545E6">
        <w:t xml:space="preserve"> </w:t>
      </w:r>
      <w:r w:rsidR="00FA0D90" w:rsidRPr="0023016A">
        <w:t xml:space="preserve">(See Attachment </w:t>
      </w:r>
      <w:r w:rsidR="00CA09E3">
        <w:t>20</w:t>
      </w:r>
      <w:r w:rsidR="00FA0D90" w:rsidRPr="0023016A">
        <w:t xml:space="preserve"> </w:t>
      </w:r>
      <w:r w:rsidR="00FA0D90" w:rsidRPr="00F54E83">
        <w:t>for detailed examples of some of the analyses planned after completion of the Wave 2 data collection.)</w:t>
      </w:r>
    </w:p>
    <w:p w:rsidR="00921692" w:rsidRPr="00236D34" w:rsidRDefault="00921692" w:rsidP="000A7C64">
      <w:pPr>
        <w:pStyle w:val="L1-FlLSp12"/>
        <w:jc w:val="right"/>
      </w:pPr>
    </w:p>
    <w:p w:rsidR="002E3CE9" w:rsidRPr="00236D34" w:rsidRDefault="00C42E2D" w:rsidP="00252AEA">
      <w:pPr>
        <w:pStyle w:val="L1-FlLSp12"/>
      </w:pPr>
      <w:r>
        <w:t xml:space="preserve">The </w:t>
      </w:r>
      <w:r w:rsidR="00D7490B">
        <w:t xml:space="preserve">PATH Study data will be used to </w:t>
      </w:r>
      <w:r w:rsidR="00D7490B" w:rsidRPr="00D7490B">
        <w:t xml:space="preserve">assess and compare </w:t>
      </w:r>
      <w:r w:rsidR="00D7490B" w:rsidRPr="00236D34">
        <w:rPr>
          <w:color w:val="000000"/>
          <w:szCs w:val="24"/>
        </w:rPr>
        <w:t>samples of former and never users of tobacco products for between-person differences and within-person changes in relapse and uptake, risk perceptions,</w:t>
      </w:r>
      <w:r w:rsidR="00D7490B" w:rsidRPr="00236D34">
        <w:t xml:space="preserve"> and indicators of tobacco exposure and tobacco use-related disease processes</w:t>
      </w:r>
      <w:r w:rsidR="00D7490B" w:rsidRPr="00D7490B">
        <w:t xml:space="preserve">. All such analyses will attempt to </w:t>
      </w:r>
      <w:r w:rsidR="00D7490B" w:rsidRPr="0013111F">
        <w:t>account for other potential factors that may influence these measures (e.g., demographics</w:t>
      </w:r>
      <w:r w:rsidR="00D7490B" w:rsidRPr="00737FC6">
        <w:t>, local tobacco-control policies, and economic, social network, peer group, and family factors</w:t>
      </w:r>
      <w:r w:rsidR="00932DAA">
        <w:t xml:space="preserve"> </w:t>
      </w:r>
      <w:r w:rsidR="00BE0A99" w:rsidRPr="00236D34">
        <w:t>(O</w:t>
      </w:r>
      <w:r w:rsidR="002E3CE9" w:rsidRPr="00236D34">
        <w:t>bjectives 5 through 7).</w:t>
      </w:r>
      <w:r w:rsidR="006F1F4A" w:rsidRPr="00236D34">
        <w:t xml:space="preserve"> M</w:t>
      </w:r>
      <w:r w:rsidR="002E3CE9" w:rsidRPr="00236D34">
        <w:t xml:space="preserve">ajor outcome variables represent dependent variables, while tobacco policy variables and major demographic and socioeconomic variables will serve as independent, confounding, mediating or moderator variables. Many of these analyses will </w:t>
      </w:r>
      <w:r w:rsidR="003F59B8" w:rsidRPr="00236D34">
        <w:t>include the use of</w:t>
      </w:r>
      <w:r w:rsidR="002E3CE9" w:rsidRPr="00236D34">
        <w:t xml:space="preserve"> logistic regression models</w:t>
      </w:r>
      <w:r w:rsidR="00BE0A99" w:rsidRPr="00236D34">
        <w:t>,</w:t>
      </w:r>
      <w:r w:rsidR="002E3CE9" w:rsidRPr="00236D34">
        <w:t xml:space="preserve"> </w:t>
      </w:r>
      <w:r w:rsidR="00BE0A99" w:rsidRPr="00236D34">
        <w:t>however</w:t>
      </w:r>
      <w:r w:rsidR="00E7306C" w:rsidRPr="00236D34">
        <w:t>,</w:t>
      </w:r>
      <w:r w:rsidR="002E3CE9" w:rsidRPr="00236D34">
        <w:t xml:space="preserve"> specific multivariate procedures </w:t>
      </w:r>
      <w:r w:rsidR="00E7306C" w:rsidRPr="00236D34">
        <w:t>will depend on: (1</w:t>
      </w:r>
      <w:r w:rsidR="002E3CE9" w:rsidRPr="00236D34">
        <w:t>) basic characteristics of the outcome data (e.g., their continuous or discrete nature); (</w:t>
      </w:r>
      <w:r w:rsidR="00E7306C" w:rsidRPr="00236D34">
        <w:t>2</w:t>
      </w:r>
      <w:r w:rsidR="002E3CE9" w:rsidRPr="00236D34">
        <w:t>) specific hypothes</w:t>
      </w:r>
      <w:r w:rsidR="005A7861" w:rsidRPr="00236D34">
        <w:t>e</w:t>
      </w:r>
      <w:r w:rsidR="002E3CE9" w:rsidRPr="00236D34">
        <w:t>s or research question</w:t>
      </w:r>
      <w:r w:rsidR="005A7861" w:rsidRPr="00236D34">
        <w:t>s</w:t>
      </w:r>
      <w:r w:rsidR="002E3CE9" w:rsidRPr="00236D34">
        <w:t xml:space="preserve"> being addressed; (</w:t>
      </w:r>
      <w:r w:rsidR="00E7306C" w:rsidRPr="00236D34">
        <w:t>3</w:t>
      </w:r>
      <w:r w:rsidR="002E3CE9" w:rsidRPr="00236D34">
        <w:t xml:space="preserve">) </w:t>
      </w:r>
      <w:r w:rsidR="005A7861" w:rsidRPr="00236D34">
        <w:t>whether</w:t>
      </w:r>
      <w:r w:rsidR="00DB6E10" w:rsidRPr="00236D34">
        <w:t xml:space="preserve"> </w:t>
      </w:r>
      <w:r w:rsidR="002E3CE9" w:rsidRPr="00236D34">
        <w:t xml:space="preserve">the data </w:t>
      </w:r>
      <w:r w:rsidR="005A7861" w:rsidRPr="00236D34">
        <w:t xml:space="preserve">meet </w:t>
      </w:r>
      <w:r w:rsidR="002E3CE9" w:rsidRPr="00236D34">
        <w:t xml:space="preserve">underlying assumptions </w:t>
      </w:r>
      <w:r w:rsidR="00E7306C" w:rsidRPr="00236D34">
        <w:t>of the statistical model; and (4</w:t>
      </w:r>
      <w:r w:rsidR="002E3CE9" w:rsidRPr="00236D34">
        <w:t>) sample size and power consideration</w:t>
      </w:r>
      <w:r w:rsidR="005A7861" w:rsidRPr="00236D34">
        <w:t>s</w:t>
      </w:r>
      <w:r w:rsidR="002E3CE9" w:rsidRPr="00236D34">
        <w:t xml:space="preserve"> for </w:t>
      </w:r>
      <w:r w:rsidR="00BE0A99" w:rsidRPr="00236D34">
        <w:t xml:space="preserve">the </w:t>
      </w:r>
      <w:r w:rsidR="002E3CE9" w:rsidRPr="00236D34">
        <w:t>specific multivariate analys</w:t>
      </w:r>
      <w:r w:rsidR="00BE0A99" w:rsidRPr="00236D34">
        <w:t>i</w:t>
      </w:r>
      <w:r w:rsidR="002E3CE9" w:rsidRPr="00236D34">
        <w:t>s.</w:t>
      </w:r>
    </w:p>
    <w:p w:rsidR="00EE3D0E" w:rsidRPr="00236D34" w:rsidRDefault="00EE3D0E" w:rsidP="00AC3EDE">
      <w:pPr>
        <w:pStyle w:val="L1-FlLSp12"/>
      </w:pPr>
    </w:p>
    <w:p w:rsidR="00AC2E44" w:rsidRDefault="009568F2" w:rsidP="00AC3EDE">
      <w:pPr>
        <w:pStyle w:val="L1-FlLSp12"/>
      </w:pPr>
      <w:r w:rsidRPr="00162D1C">
        <w:t xml:space="preserve">Additionally, as mentioned in </w:t>
      </w:r>
      <w:r w:rsidR="00B54479" w:rsidRPr="00162D1C">
        <w:t>Section</w:t>
      </w:r>
      <w:r w:rsidRPr="00162D1C">
        <w:t xml:space="preserve"> A.2d, FDA has established a partnership with CDC to analyze</w:t>
      </w:r>
      <w:r w:rsidR="00AC2E44">
        <w:t xml:space="preserve"> </w:t>
      </w:r>
      <w:r w:rsidR="00AE4DCD">
        <w:t xml:space="preserve">a sub-set of </w:t>
      </w:r>
      <w:r w:rsidR="004A2068" w:rsidRPr="00162D1C">
        <w:t>PATH Study</w:t>
      </w:r>
      <w:r w:rsidRPr="00162D1C">
        <w:t xml:space="preserve"> </w:t>
      </w:r>
      <w:proofErr w:type="spellStart"/>
      <w:r w:rsidRPr="00162D1C">
        <w:t>biospecimens</w:t>
      </w:r>
      <w:proofErr w:type="spellEnd"/>
      <w:r w:rsidRPr="00162D1C">
        <w:t>.</w:t>
      </w:r>
      <w:r w:rsidR="00AE4DCD">
        <w:t xml:space="preserve"> </w:t>
      </w:r>
      <w:r w:rsidR="00AE4DCD" w:rsidRPr="00162D1C">
        <w:t xml:space="preserve">Examples of specific </w:t>
      </w:r>
      <w:proofErr w:type="spellStart"/>
      <w:r w:rsidR="00AE4DCD" w:rsidRPr="00162D1C">
        <w:t>analytes</w:t>
      </w:r>
      <w:proofErr w:type="spellEnd"/>
      <w:r w:rsidR="00AE4DCD" w:rsidRPr="00162D1C">
        <w:t xml:space="preserve"> for which some of the </w:t>
      </w:r>
      <w:proofErr w:type="spellStart"/>
      <w:r w:rsidR="00AE4DCD" w:rsidRPr="00162D1C">
        <w:t>biospecimens</w:t>
      </w:r>
      <w:proofErr w:type="spellEnd"/>
      <w:r w:rsidR="00AE4DCD" w:rsidRPr="00162D1C">
        <w:t xml:space="preserve"> will be tested are presented </w:t>
      </w:r>
      <w:r w:rsidR="00AE4DCD" w:rsidRPr="009545E6">
        <w:t xml:space="preserve">in </w:t>
      </w:r>
      <w:r w:rsidR="00AE4DCD" w:rsidRPr="0023016A">
        <w:t>Attachment</w:t>
      </w:r>
      <w:r w:rsidR="00AE4DCD" w:rsidRPr="00162D1C">
        <w:t xml:space="preserve"> 6.</w:t>
      </w:r>
      <w:r w:rsidR="00437601">
        <w:t xml:space="preserve"> </w:t>
      </w:r>
      <w:r w:rsidRPr="00162D1C">
        <w:t>These analyses wil</w:t>
      </w:r>
      <w:r w:rsidR="00350AE9">
        <w:t>l</w:t>
      </w:r>
      <w:r w:rsidRPr="00162D1C">
        <w:t xml:space="preserve"> </w:t>
      </w:r>
      <w:r w:rsidR="00AE4DCD">
        <w:t xml:space="preserve">allow the PATH Study to assess biomarkers of tobacco exposure as well as assess </w:t>
      </w:r>
      <w:r w:rsidRPr="00162D1C">
        <w:t>intermediate endpoints (i.e., markers of exposure and tobacco-related disease processes</w:t>
      </w:r>
      <w:r w:rsidR="00B71672" w:rsidRPr="00162D1C">
        <w:t>) and health outcomes.</w:t>
      </w:r>
    </w:p>
    <w:p w:rsidR="009568F2" w:rsidRDefault="009568F2" w:rsidP="00AC3EDE">
      <w:pPr>
        <w:pStyle w:val="L1-FlLSp12"/>
      </w:pPr>
    </w:p>
    <w:p w:rsidR="009545E6" w:rsidRPr="0023016A" w:rsidRDefault="009545E6" w:rsidP="00AC3EDE">
      <w:pPr>
        <w:pStyle w:val="L1-FlLSp12"/>
      </w:pPr>
    </w:p>
    <w:p w:rsidR="003D214C" w:rsidRPr="00A2734E" w:rsidRDefault="00B92901" w:rsidP="00AC3EDE">
      <w:pPr>
        <w:pStyle w:val="Heading3"/>
        <w:rPr>
          <w:rFonts w:ascii="Franklin Gothic Medium Cond" w:hAnsi="Franklin Gothic Medium Cond"/>
        </w:rPr>
      </w:pPr>
      <w:r w:rsidRPr="00A2734E">
        <w:lastRenderedPageBreak/>
        <w:t>A.16b</w:t>
      </w:r>
      <w:r w:rsidR="003D214C" w:rsidRPr="00A2734E">
        <w:tab/>
        <w:t>Project Time Schedule</w:t>
      </w:r>
    </w:p>
    <w:p w:rsidR="003D214C" w:rsidRPr="00A2734E" w:rsidRDefault="003D214C" w:rsidP="00AC3EDE">
      <w:pPr>
        <w:pStyle w:val="L1-FlLSp12"/>
      </w:pPr>
      <w:r w:rsidRPr="00A2734E">
        <w:t xml:space="preserve">The following </w:t>
      </w:r>
      <w:r w:rsidR="000671AA" w:rsidRPr="00A2734E">
        <w:t xml:space="preserve">table </w:t>
      </w:r>
      <w:r w:rsidRPr="00A2734E">
        <w:t>outline</w:t>
      </w:r>
      <w:r w:rsidR="001445BC">
        <w:t>s</w:t>
      </w:r>
      <w:r w:rsidRPr="00A2734E">
        <w:t xml:space="preserve"> the key acti</w:t>
      </w:r>
      <w:r w:rsidR="002843D6" w:rsidRPr="00A2734E">
        <w:t xml:space="preserve">vities and time schedules for </w:t>
      </w:r>
      <w:r w:rsidR="009714D6" w:rsidRPr="00A2734E">
        <w:t xml:space="preserve">the </w:t>
      </w:r>
      <w:r w:rsidR="004A2068" w:rsidRPr="00A2734E">
        <w:t>PATH Study</w:t>
      </w:r>
      <w:r w:rsidR="000671AA" w:rsidRPr="00A2734E">
        <w:t xml:space="preserve"> </w:t>
      </w:r>
      <w:r w:rsidR="00D8525C">
        <w:t xml:space="preserve">Wave 2 </w:t>
      </w:r>
      <w:r w:rsidR="000671AA" w:rsidRPr="00A2734E">
        <w:t>data collection</w:t>
      </w:r>
      <w:r w:rsidRPr="00A2734E">
        <w:t>.</w:t>
      </w:r>
    </w:p>
    <w:p w:rsidR="0045780D" w:rsidRPr="00A2734E" w:rsidRDefault="0045780D" w:rsidP="00AC3EDE">
      <w:pPr>
        <w:pStyle w:val="L1-FlLSp12"/>
      </w:pPr>
    </w:p>
    <w:p w:rsidR="003D214C" w:rsidRPr="00A2734E" w:rsidRDefault="009E6590" w:rsidP="00F76784">
      <w:pPr>
        <w:pStyle w:val="TT-TableTitle"/>
        <w:ind w:left="0" w:firstLine="0"/>
      </w:pPr>
      <w:proofErr w:type="gramStart"/>
      <w:r>
        <w:t>Table A-</w:t>
      </w:r>
      <w:r w:rsidR="00A2649D">
        <w:t>6</w:t>
      </w:r>
      <w:r w:rsidR="00C96BE0" w:rsidRPr="00D050DA">
        <w:t>.</w:t>
      </w:r>
      <w:proofErr w:type="gramEnd"/>
      <w:r w:rsidR="009F5C63" w:rsidRPr="00D050DA">
        <w:tab/>
      </w:r>
      <w:r w:rsidR="00D8525C">
        <w:t>Wave 2</w:t>
      </w:r>
      <w:r w:rsidR="00D8525C" w:rsidRPr="00D050DA">
        <w:t xml:space="preserve"> </w:t>
      </w:r>
      <w:r w:rsidR="0014792E" w:rsidRPr="00D050DA">
        <w:t>t</w:t>
      </w:r>
      <w:r w:rsidR="000671AA" w:rsidRPr="00D050DA">
        <w:t>imeline</w:t>
      </w:r>
    </w:p>
    <w:p w:rsidR="0010499F" w:rsidRPr="00A2734E" w:rsidRDefault="0010499F" w:rsidP="00F76784">
      <w:pPr>
        <w:pStyle w:val="TT-TableTitle"/>
        <w:ind w:left="0" w:firstLine="0"/>
      </w:pPr>
    </w:p>
    <w:tbl>
      <w:tblPr>
        <w:tblW w:w="8928" w:type="dxa"/>
        <w:tblBorders>
          <w:top w:val="single" w:sz="4" w:space="0" w:color="auto"/>
          <w:bottom w:val="single" w:sz="4" w:space="0" w:color="auto"/>
        </w:tblBorders>
        <w:tblLook w:val="04A0" w:firstRow="1" w:lastRow="0" w:firstColumn="1" w:lastColumn="0" w:noHBand="0" w:noVBand="1"/>
      </w:tblPr>
      <w:tblGrid>
        <w:gridCol w:w="5598"/>
        <w:gridCol w:w="3330"/>
      </w:tblGrid>
      <w:tr w:rsidR="000671AA" w:rsidRPr="00A2734E" w:rsidTr="00B320BF">
        <w:trPr>
          <w:cantSplit/>
          <w:tblHeader/>
        </w:trPr>
        <w:tc>
          <w:tcPr>
            <w:tcW w:w="5598" w:type="dxa"/>
            <w:tcBorders>
              <w:top w:val="single" w:sz="4" w:space="0" w:color="auto"/>
              <w:left w:val="nil"/>
              <w:bottom w:val="single" w:sz="4" w:space="0" w:color="auto"/>
              <w:right w:val="nil"/>
              <w:tl2br w:val="nil"/>
              <w:tr2bl w:val="nil"/>
            </w:tcBorders>
            <w:shd w:val="clear" w:color="auto" w:fill="AFBED7"/>
            <w:vAlign w:val="bottom"/>
          </w:tcPr>
          <w:p w:rsidR="000671AA" w:rsidRPr="009C1BE4" w:rsidRDefault="000671AA" w:rsidP="000671AA">
            <w:pPr>
              <w:pStyle w:val="TH-TableHeading"/>
            </w:pPr>
            <w:r w:rsidRPr="009C1BE4">
              <w:t>Activity</w:t>
            </w:r>
          </w:p>
        </w:tc>
        <w:tc>
          <w:tcPr>
            <w:tcW w:w="3330" w:type="dxa"/>
            <w:tcBorders>
              <w:top w:val="single" w:sz="4" w:space="0" w:color="auto"/>
              <w:left w:val="nil"/>
              <w:bottom w:val="single" w:sz="4" w:space="0" w:color="auto"/>
              <w:right w:val="nil"/>
              <w:tl2br w:val="nil"/>
              <w:tr2bl w:val="nil"/>
            </w:tcBorders>
            <w:shd w:val="clear" w:color="auto" w:fill="AFBED7"/>
            <w:vAlign w:val="bottom"/>
          </w:tcPr>
          <w:p w:rsidR="000671AA" w:rsidRPr="009C1BE4" w:rsidRDefault="000671AA" w:rsidP="0060413D">
            <w:pPr>
              <w:pStyle w:val="TH-TableHeading"/>
            </w:pPr>
            <w:r w:rsidRPr="009C1BE4">
              <w:t xml:space="preserve">Time </w:t>
            </w:r>
            <w:r w:rsidR="0060413D">
              <w:t>s</w:t>
            </w:r>
            <w:r w:rsidRPr="009C1BE4">
              <w:t>chedule</w:t>
            </w:r>
          </w:p>
        </w:tc>
      </w:tr>
      <w:tr w:rsidR="000671AA" w:rsidRPr="00A2734E" w:rsidTr="00B320BF">
        <w:trPr>
          <w:cantSplit/>
        </w:trPr>
        <w:tc>
          <w:tcPr>
            <w:tcW w:w="5598" w:type="dxa"/>
            <w:shd w:val="clear" w:color="auto" w:fill="auto"/>
          </w:tcPr>
          <w:p w:rsidR="005206C0" w:rsidRDefault="005206C0" w:rsidP="00D56771">
            <w:pPr>
              <w:pStyle w:val="TX-TableText"/>
              <w:spacing w:after="120"/>
            </w:pPr>
            <w:r>
              <w:t xml:space="preserve">OMB approval </w:t>
            </w:r>
            <w:r w:rsidR="0060413D">
              <w:t xml:space="preserve">of </w:t>
            </w:r>
            <w:r w:rsidR="00E705A0">
              <w:t xml:space="preserve">Wave 2 </w:t>
            </w:r>
            <w:r w:rsidR="00F956D0">
              <w:t>data collection</w:t>
            </w:r>
          </w:p>
          <w:p w:rsidR="000671AA" w:rsidRPr="00A2734E" w:rsidRDefault="005302A7" w:rsidP="00E705A0">
            <w:pPr>
              <w:pStyle w:val="TX-TableText"/>
              <w:spacing w:after="120"/>
            </w:pPr>
            <w:r>
              <w:t>B</w:t>
            </w:r>
            <w:r w:rsidR="000671AA" w:rsidRPr="00A2734E">
              <w:t xml:space="preserve">egin </w:t>
            </w:r>
            <w:r w:rsidR="00E705A0">
              <w:t xml:space="preserve">Wave 2 </w:t>
            </w:r>
            <w:r w:rsidR="000671AA" w:rsidRPr="00A2734E">
              <w:t>data collection</w:t>
            </w:r>
          </w:p>
        </w:tc>
        <w:tc>
          <w:tcPr>
            <w:tcW w:w="3330" w:type="dxa"/>
            <w:shd w:val="clear" w:color="auto" w:fill="auto"/>
          </w:tcPr>
          <w:p w:rsidR="005206C0" w:rsidRDefault="00837ECD" w:rsidP="00D56771">
            <w:pPr>
              <w:pStyle w:val="TX-TableText"/>
              <w:spacing w:after="120"/>
            </w:pPr>
            <w:r>
              <w:t>August</w:t>
            </w:r>
            <w:r w:rsidR="005206C0">
              <w:t>, 201</w:t>
            </w:r>
            <w:r w:rsidR="00F956D0">
              <w:t>4</w:t>
            </w:r>
          </w:p>
          <w:p w:rsidR="000671AA" w:rsidRPr="00A2734E" w:rsidRDefault="00B320BF" w:rsidP="00D56771">
            <w:pPr>
              <w:pStyle w:val="TX-TableText"/>
              <w:spacing w:after="120"/>
            </w:pPr>
            <w:r>
              <w:t>2</w:t>
            </w:r>
            <w:r w:rsidRPr="00A2734E">
              <w:t xml:space="preserve"> </w:t>
            </w:r>
            <w:r w:rsidR="000671AA" w:rsidRPr="00A2734E">
              <w:t>Months after OMB approval</w:t>
            </w:r>
          </w:p>
        </w:tc>
      </w:tr>
      <w:tr w:rsidR="000671AA" w:rsidRPr="00A2734E" w:rsidTr="00B320BF">
        <w:trPr>
          <w:cantSplit/>
        </w:trPr>
        <w:tc>
          <w:tcPr>
            <w:tcW w:w="5598" w:type="dxa"/>
            <w:shd w:val="clear" w:color="auto" w:fill="auto"/>
          </w:tcPr>
          <w:p w:rsidR="000671AA" w:rsidRPr="00A2734E" w:rsidRDefault="000671AA" w:rsidP="00D56771">
            <w:pPr>
              <w:pStyle w:val="TX-TableText"/>
              <w:spacing w:after="120"/>
            </w:pPr>
            <w:r w:rsidRPr="00A2734E">
              <w:t>Process and clean questionnaire data</w:t>
            </w:r>
          </w:p>
        </w:tc>
        <w:tc>
          <w:tcPr>
            <w:tcW w:w="3330" w:type="dxa"/>
            <w:shd w:val="clear" w:color="auto" w:fill="auto"/>
          </w:tcPr>
          <w:p w:rsidR="000671AA" w:rsidRPr="00A2734E" w:rsidRDefault="00B320BF" w:rsidP="00D56771">
            <w:pPr>
              <w:pStyle w:val="TX-TableText"/>
              <w:spacing w:after="120"/>
            </w:pPr>
            <w:r>
              <w:t>4</w:t>
            </w:r>
            <w:r w:rsidR="000671AA" w:rsidRPr="00A2734E">
              <w:t xml:space="preserve"> </w:t>
            </w:r>
            <w:r w:rsidR="0045780D" w:rsidRPr="00A2734E">
              <w:t>–</w:t>
            </w:r>
            <w:r w:rsidR="000671AA" w:rsidRPr="00A2734E">
              <w:t xml:space="preserve"> 36 Months after OMB approval</w:t>
            </w:r>
          </w:p>
        </w:tc>
      </w:tr>
      <w:tr w:rsidR="000671AA" w:rsidRPr="00A2734E" w:rsidTr="00B320BF">
        <w:trPr>
          <w:cantSplit/>
        </w:trPr>
        <w:tc>
          <w:tcPr>
            <w:tcW w:w="5598" w:type="dxa"/>
            <w:shd w:val="clear" w:color="auto" w:fill="auto"/>
          </w:tcPr>
          <w:p w:rsidR="000671AA" w:rsidRPr="00A2734E" w:rsidRDefault="000671AA" w:rsidP="00D56771">
            <w:pPr>
              <w:pStyle w:val="TX-TableText"/>
              <w:spacing w:after="120"/>
            </w:pPr>
            <w:r w:rsidRPr="00A2734E">
              <w:t>Data Analyses</w:t>
            </w:r>
          </w:p>
          <w:p w:rsidR="000671AA" w:rsidRPr="00A2734E" w:rsidRDefault="000671AA" w:rsidP="00D7490B">
            <w:pPr>
              <w:pStyle w:val="TX-TableText"/>
              <w:spacing w:after="120"/>
            </w:pPr>
            <w:r w:rsidRPr="00A2734E">
              <w:t>Publish preliminary study results/release</w:t>
            </w:r>
            <w:r w:rsidR="00D7490B">
              <w:t xml:space="preserve"> </w:t>
            </w:r>
            <w:r w:rsidR="00D36657">
              <w:t>public use</w:t>
            </w:r>
            <w:r w:rsidR="00AC2E44">
              <w:t xml:space="preserve"> </w:t>
            </w:r>
            <w:r w:rsidRPr="00A2734E">
              <w:t>data files for questionnaire data</w:t>
            </w:r>
          </w:p>
        </w:tc>
        <w:tc>
          <w:tcPr>
            <w:tcW w:w="3330" w:type="dxa"/>
            <w:shd w:val="clear" w:color="auto" w:fill="auto"/>
          </w:tcPr>
          <w:p w:rsidR="000671AA" w:rsidRPr="00A2734E" w:rsidRDefault="00B320BF" w:rsidP="00D56771">
            <w:pPr>
              <w:pStyle w:val="TX-TableText"/>
              <w:spacing w:after="120"/>
            </w:pPr>
            <w:r>
              <w:t xml:space="preserve">5 </w:t>
            </w:r>
            <w:r w:rsidR="0045780D" w:rsidRPr="00A2734E">
              <w:t>–</w:t>
            </w:r>
            <w:r w:rsidR="000671AA" w:rsidRPr="00A2734E">
              <w:t xml:space="preserve"> 36 Months after OMB approval</w:t>
            </w:r>
          </w:p>
          <w:p w:rsidR="000671AA" w:rsidRPr="00A2734E" w:rsidRDefault="00B81CEB" w:rsidP="00F842CA">
            <w:pPr>
              <w:pStyle w:val="TX-TableText"/>
              <w:spacing w:after="120"/>
            </w:pPr>
            <w:r>
              <w:t>Within 18 M</w:t>
            </w:r>
            <w:r w:rsidR="000671AA" w:rsidRPr="00A2734E">
              <w:t xml:space="preserve">onths after </w:t>
            </w:r>
            <w:r>
              <w:t>completion of data wave</w:t>
            </w:r>
          </w:p>
        </w:tc>
      </w:tr>
      <w:tr w:rsidR="000671AA" w:rsidRPr="00A2734E" w:rsidTr="00B320BF">
        <w:trPr>
          <w:cantSplit/>
        </w:trPr>
        <w:tc>
          <w:tcPr>
            <w:tcW w:w="5598" w:type="dxa"/>
            <w:shd w:val="clear" w:color="auto" w:fill="auto"/>
          </w:tcPr>
          <w:p w:rsidR="000671AA" w:rsidRPr="00A2734E" w:rsidRDefault="000671AA" w:rsidP="00D36657">
            <w:pPr>
              <w:pStyle w:val="TX-TableText"/>
              <w:spacing w:after="120"/>
            </w:pPr>
            <w:r w:rsidRPr="00A2734E">
              <w:t xml:space="preserve">Publish preliminary study results/release </w:t>
            </w:r>
            <w:r w:rsidR="00D36657">
              <w:t>public use</w:t>
            </w:r>
            <w:r w:rsidRPr="00A2734E">
              <w:t xml:space="preserve"> data files for </w:t>
            </w:r>
            <w:proofErr w:type="spellStart"/>
            <w:r w:rsidRPr="00A2734E">
              <w:t>biospecimen</w:t>
            </w:r>
            <w:proofErr w:type="spellEnd"/>
            <w:r w:rsidRPr="00A2734E">
              <w:t xml:space="preserve"> data</w:t>
            </w:r>
          </w:p>
        </w:tc>
        <w:tc>
          <w:tcPr>
            <w:tcW w:w="3330" w:type="dxa"/>
            <w:shd w:val="clear" w:color="auto" w:fill="auto"/>
          </w:tcPr>
          <w:p w:rsidR="000671AA" w:rsidRPr="00A2734E" w:rsidRDefault="00B81CEB" w:rsidP="00F842CA">
            <w:pPr>
              <w:pStyle w:val="TX-TableText"/>
              <w:spacing w:after="120"/>
            </w:pPr>
            <w:r>
              <w:t>Within 18 months after completion of data wave</w:t>
            </w:r>
          </w:p>
        </w:tc>
      </w:tr>
    </w:tbl>
    <w:p w:rsidR="002E5963" w:rsidRDefault="002E5963" w:rsidP="007C16F0">
      <w:pPr>
        <w:pStyle w:val="L1-FlLSp12"/>
      </w:pPr>
    </w:p>
    <w:p w:rsidR="009545E6" w:rsidRPr="007C16F0" w:rsidRDefault="009545E6" w:rsidP="007C16F0">
      <w:pPr>
        <w:pStyle w:val="L1-FlLSp12"/>
      </w:pPr>
    </w:p>
    <w:p w:rsidR="003D214C" w:rsidRPr="00A2734E" w:rsidRDefault="003D214C" w:rsidP="00AC3EDE">
      <w:pPr>
        <w:pStyle w:val="Heading2"/>
      </w:pPr>
      <w:r w:rsidRPr="00A2734E">
        <w:t>A.17</w:t>
      </w:r>
      <w:r w:rsidRPr="00A2734E">
        <w:tab/>
        <w:t>Reason</w:t>
      </w:r>
      <w:r w:rsidR="00DE245D" w:rsidRPr="00A2734E">
        <w:t>(s)</w:t>
      </w:r>
      <w:r w:rsidRPr="00A2734E">
        <w:t xml:space="preserve"> Display of OMB Expiration Date is Inappropriate</w:t>
      </w:r>
    </w:p>
    <w:p w:rsidR="003D214C" w:rsidRDefault="003027E4" w:rsidP="00AC3EDE">
      <w:pPr>
        <w:pStyle w:val="L1-FlLSp12"/>
      </w:pPr>
      <w:r>
        <w:t>There is no reason not to display the OMB expiration date for this data collection activity.</w:t>
      </w:r>
    </w:p>
    <w:p w:rsidR="002E5963" w:rsidRDefault="002E5963" w:rsidP="003450F8">
      <w:pPr>
        <w:pStyle w:val="L1-FlLSp12"/>
      </w:pPr>
    </w:p>
    <w:p w:rsidR="009545E6" w:rsidRPr="009545E6" w:rsidRDefault="009545E6" w:rsidP="0023016A">
      <w:pPr>
        <w:pStyle w:val="L1-FlLSp12"/>
      </w:pPr>
    </w:p>
    <w:p w:rsidR="003D214C" w:rsidRPr="00A2734E" w:rsidRDefault="003D214C" w:rsidP="00AC3EDE">
      <w:pPr>
        <w:pStyle w:val="Heading2"/>
      </w:pPr>
      <w:r w:rsidRPr="00A2734E">
        <w:t>A.18</w:t>
      </w:r>
      <w:r w:rsidRPr="00A2734E">
        <w:tab/>
        <w:t>Exceptions to Certification for Paperwork Reduction Act Submissions</w:t>
      </w:r>
    </w:p>
    <w:p w:rsidR="00D56771" w:rsidRPr="00A2734E" w:rsidRDefault="003D214C" w:rsidP="004369E2">
      <w:pPr>
        <w:pStyle w:val="L1-FlLSp12"/>
      </w:pPr>
      <w:r w:rsidRPr="00A2734E">
        <w:t>This data collection activity does not seek any exception to the certification statement associated with 5 CFR.1320.9, Certification for Paperwork Reduction Act Submissions.</w:t>
      </w:r>
    </w:p>
    <w:p w:rsidR="003D214C" w:rsidRDefault="0043053A" w:rsidP="004369E2">
      <w:pPr>
        <w:pStyle w:val="C1-CtrBoldHd"/>
      </w:pPr>
      <w:r w:rsidRPr="00A2734E">
        <w:br w:type="page"/>
      </w:r>
      <w:r w:rsidR="00F61ACC" w:rsidRPr="00A2734E">
        <w:lastRenderedPageBreak/>
        <w:t>References</w:t>
      </w:r>
    </w:p>
    <w:p w:rsidR="00802D5B" w:rsidRPr="00A2734E" w:rsidRDefault="00F92837" w:rsidP="004369E2">
      <w:pPr>
        <w:pStyle w:val="N0-FlLftBullet"/>
      </w:pPr>
      <w:proofErr w:type="spellStart"/>
      <w:proofErr w:type="gramStart"/>
      <w:r w:rsidRPr="00A2734E">
        <w:t>Adhikari</w:t>
      </w:r>
      <w:proofErr w:type="spellEnd"/>
      <w:r w:rsidRPr="00A2734E">
        <w:t xml:space="preserve">, B., </w:t>
      </w:r>
      <w:proofErr w:type="spellStart"/>
      <w:r w:rsidRPr="00A2734E">
        <w:t>Kahende</w:t>
      </w:r>
      <w:proofErr w:type="spellEnd"/>
      <w:r w:rsidRPr="00A2734E">
        <w:t xml:space="preserve">, J., </w:t>
      </w:r>
      <w:r w:rsidR="00F26355" w:rsidRPr="00A2734E">
        <w:t>Marcher</w:t>
      </w:r>
      <w:r w:rsidRPr="00A2734E">
        <w:t xml:space="preserve">, A., </w:t>
      </w:r>
      <w:r w:rsidR="00F26355" w:rsidRPr="00A2734E">
        <w:t>Peachick</w:t>
      </w:r>
      <w:r w:rsidRPr="00A2734E">
        <w:t xml:space="preserve">, T., </w:t>
      </w:r>
      <w:r w:rsidR="00130012">
        <w:t>&amp;</w:t>
      </w:r>
      <w:r w:rsidRPr="00A2734E">
        <w:t xml:space="preserve"> Tong, V.</w:t>
      </w:r>
      <w:r w:rsidR="00802D5B" w:rsidRPr="00A2734E">
        <w:t xml:space="preserve"> (2008).</w:t>
      </w:r>
      <w:proofErr w:type="gramEnd"/>
      <w:r w:rsidR="00802D5B" w:rsidRPr="00A2734E">
        <w:t xml:space="preserve"> Smoking-</w:t>
      </w:r>
      <w:r w:rsidR="009C0C95">
        <w:t>a</w:t>
      </w:r>
      <w:r w:rsidR="00802D5B" w:rsidRPr="00A2734E">
        <w:t xml:space="preserve">ttributable </w:t>
      </w:r>
      <w:r w:rsidR="00FD1AEB">
        <w:t>m</w:t>
      </w:r>
      <w:r w:rsidR="00802D5B" w:rsidRPr="00A2734E">
        <w:t xml:space="preserve">ortality, </w:t>
      </w:r>
      <w:r w:rsidR="00FD1AEB">
        <w:t>y</w:t>
      </w:r>
      <w:r w:rsidR="00802D5B" w:rsidRPr="00A2734E">
        <w:t xml:space="preserve">ears of </w:t>
      </w:r>
      <w:r w:rsidR="00FD1AEB">
        <w:t>p</w:t>
      </w:r>
      <w:r w:rsidR="00802D5B" w:rsidRPr="00A2734E">
        <w:t xml:space="preserve">otential </w:t>
      </w:r>
      <w:r w:rsidR="00FD1AEB">
        <w:t>l</w:t>
      </w:r>
      <w:r w:rsidR="00802D5B" w:rsidRPr="00A2734E">
        <w:t xml:space="preserve">ife </w:t>
      </w:r>
      <w:r w:rsidR="00FD1AEB">
        <w:t>l</w:t>
      </w:r>
      <w:r w:rsidR="00802D5B" w:rsidRPr="00A2734E">
        <w:t xml:space="preserve">ost, and </w:t>
      </w:r>
      <w:r w:rsidR="00FD1AEB">
        <w:t>p</w:t>
      </w:r>
      <w:r w:rsidR="00802D5B" w:rsidRPr="00A2734E">
        <w:t xml:space="preserve">roductivity </w:t>
      </w:r>
      <w:r w:rsidR="00FD1AEB">
        <w:t>l</w:t>
      </w:r>
      <w:r w:rsidR="00802D5B" w:rsidRPr="00A2734E">
        <w:t>osses</w:t>
      </w:r>
      <w:r w:rsidR="004369E2" w:rsidRPr="00A2734E">
        <w:t xml:space="preserve"> </w:t>
      </w:r>
      <w:r w:rsidR="00FD1AEB">
        <w:t>U</w:t>
      </w:r>
      <w:r w:rsidR="00802D5B" w:rsidRPr="00A2734E">
        <w:t xml:space="preserve">nited States, 2000-2004. </w:t>
      </w:r>
      <w:r w:rsidRPr="00A2734E">
        <w:rPr>
          <w:i/>
        </w:rPr>
        <w:t>CDC</w:t>
      </w:r>
      <w:r w:rsidR="00802D5B" w:rsidRPr="00A2734E">
        <w:rPr>
          <w:i/>
        </w:rPr>
        <w:t xml:space="preserve"> Morbidity and Mortality Weekly Report</w:t>
      </w:r>
      <w:r w:rsidR="00BF1407">
        <w:rPr>
          <w:i/>
        </w:rPr>
        <w:t>,</w:t>
      </w:r>
      <w:r w:rsidR="00BC3C01" w:rsidRPr="00A2734E">
        <w:rPr>
          <w:i/>
        </w:rPr>
        <w:t xml:space="preserve"> </w:t>
      </w:r>
      <w:r w:rsidR="00802D5B" w:rsidRPr="004949CC">
        <w:rPr>
          <w:i/>
        </w:rPr>
        <w:t>57</w:t>
      </w:r>
      <w:r w:rsidR="00802D5B" w:rsidRPr="00A2734E">
        <w:t>(45)</w:t>
      </w:r>
      <w:r w:rsidR="004369E2" w:rsidRPr="00A2734E">
        <w:t>,</w:t>
      </w:r>
      <w:r w:rsidR="00802D5B" w:rsidRPr="00A2734E">
        <w:t xml:space="preserve"> 1226-1228.</w:t>
      </w:r>
    </w:p>
    <w:p w:rsidR="00943D08" w:rsidRPr="00A2734E" w:rsidRDefault="00943D08" w:rsidP="004369E2">
      <w:pPr>
        <w:pStyle w:val="N0-FlLftBullet"/>
      </w:pPr>
      <w:proofErr w:type="spellStart"/>
      <w:r w:rsidRPr="00A2734E">
        <w:t>Castiglioni</w:t>
      </w:r>
      <w:proofErr w:type="spellEnd"/>
      <w:r w:rsidRPr="00A2734E">
        <w:t xml:space="preserve">, L., </w:t>
      </w:r>
      <w:r w:rsidR="00F26355" w:rsidRPr="00A2734E">
        <w:t>For</w:t>
      </w:r>
      <w:r w:rsidRPr="00A2734E">
        <w:t xml:space="preserve">, K., </w:t>
      </w:r>
      <w:r w:rsidR="00130012">
        <w:t>&amp;</w:t>
      </w:r>
      <w:r w:rsidRPr="00A2734E">
        <w:t xml:space="preserve"> Krieger, U. (2008). The effect of incentives on response rates and panel attrition: Results of a controlled experiment.</w:t>
      </w:r>
      <w:r w:rsidR="00BC3C01" w:rsidRPr="00A2734E">
        <w:rPr>
          <w:i/>
        </w:rPr>
        <w:t xml:space="preserve"> </w:t>
      </w:r>
      <w:r w:rsidRPr="00A2734E">
        <w:rPr>
          <w:i/>
        </w:rPr>
        <w:t>Survey Research Methods</w:t>
      </w:r>
      <w:r w:rsidR="00130012">
        <w:rPr>
          <w:i/>
        </w:rPr>
        <w:t>,</w:t>
      </w:r>
      <w:r w:rsidRPr="00A2734E">
        <w:rPr>
          <w:i/>
        </w:rPr>
        <w:t xml:space="preserve"> </w:t>
      </w:r>
      <w:r w:rsidRPr="004949CC">
        <w:rPr>
          <w:i/>
        </w:rPr>
        <w:t>2</w:t>
      </w:r>
      <w:r w:rsidRPr="00A2734E">
        <w:t>(3), 151-158.</w:t>
      </w:r>
    </w:p>
    <w:p w:rsidR="00DC26D4" w:rsidRDefault="00515379" w:rsidP="00DC26D4">
      <w:pPr>
        <w:spacing w:after="240"/>
        <w:ind w:left="576" w:hanging="576"/>
      </w:pPr>
      <w:proofErr w:type="gramStart"/>
      <w:r w:rsidRPr="00515379">
        <w:t>Ellwood P, Asher MI, Beasley R, Clayton TO, Stewart AW, and the ISAAC Steering Committee.</w:t>
      </w:r>
      <w:proofErr w:type="gramEnd"/>
      <w:r w:rsidRPr="00515379">
        <w:t xml:space="preserve"> </w:t>
      </w:r>
      <w:r>
        <w:t xml:space="preserve">(2005). </w:t>
      </w:r>
      <w:r w:rsidRPr="00515379">
        <w:rPr>
          <w:rStyle w:val="italic"/>
          <w:iCs/>
        </w:rPr>
        <w:t>The International Study of Asthma and Allergies in Childhood (ISAAC): Phase Three rationale and methods.</w:t>
      </w:r>
      <w:r w:rsidRPr="00515379">
        <w:t xml:space="preserve"> </w:t>
      </w:r>
      <w:proofErr w:type="spellStart"/>
      <w:r w:rsidRPr="00515379">
        <w:rPr>
          <w:i/>
        </w:rPr>
        <w:t>Int</w:t>
      </w:r>
      <w:proofErr w:type="spellEnd"/>
      <w:r w:rsidRPr="00515379">
        <w:rPr>
          <w:i/>
        </w:rPr>
        <w:t xml:space="preserve"> J </w:t>
      </w:r>
      <w:proofErr w:type="spellStart"/>
      <w:r w:rsidRPr="00515379">
        <w:rPr>
          <w:i/>
        </w:rPr>
        <w:t>Tuberc</w:t>
      </w:r>
      <w:proofErr w:type="spellEnd"/>
      <w:r w:rsidRPr="00515379">
        <w:rPr>
          <w:i/>
        </w:rPr>
        <w:t xml:space="preserve"> Lung Dis</w:t>
      </w:r>
      <w:r w:rsidRPr="00515379">
        <w:t xml:space="preserve">; </w:t>
      </w:r>
      <w:r w:rsidRPr="00515379">
        <w:rPr>
          <w:i/>
        </w:rPr>
        <w:t>9</w:t>
      </w:r>
      <w:r w:rsidRPr="00515379">
        <w:t>(1)</w:t>
      </w:r>
      <w:r w:rsidR="00DC26D4">
        <w:t>,</w:t>
      </w:r>
      <w:r w:rsidRPr="00515379">
        <w:t xml:space="preserve"> 10-6.</w:t>
      </w:r>
    </w:p>
    <w:p w:rsidR="00E97244" w:rsidRDefault="004E7409" w:rsidP="00DC26D4">
      <w:pPr>
        <w:spacing w:after="240"/>
        <w:ind w:left="576" w:hanging="576"/>
      </w:pPr>
      <w:hyperlink r:id="rId25" w:tgtFrame="_blank" w:history="1">
        <w:r w:rsidR="00E97244" w:rsidRPr="0023016A">
          <w:rPr>
            <w:rStyle w:val="Hyperlink"/>
            <w:color w:val="auto"/>
            <w:u w:val="none"/>
          </w:rPr>
          <w:t>Hamilton, C</w:t>
        </w:r>
        <w:r w:rsidR="00431A70">
          <w:rPr>
            <w:rStyle w:val="Hyperlink"/>
            <w:color w:val="auto"/>
            <w:u w:val="none"/>
          </w:rPr>
          <w:t>.</w:t>
        </w:r>
        <w:r w:rsidR="00E97244" w:rsidRPr="0023016A">
          <w:rPr>
            <w:rStyle w:val="Hyperlink"/>
            <w:color w:val="auto"/>
            <w:u w:val="none"/>
          </w:rPr>
          <w:t>M</w:t>
        </w:r>
        <w:r w:rsidR="00431A70">
          <w:rPr>
            <w:rStyle w:val="Hyperlink"/>
            <w:color w:val="auto"/>
            <w:u w:val="none"/>
          </w:rPr>
          <w:t>.</w:t>
        </w:r>
        <w:r w:rsidR="00E97244" w:rsidRPr="0023016A">
          <w:rPr>
            <w:rStyle w:val="Hyperlink"/>
            <w:color w:val="auto"/>
            <w:u w:val="none"/>
          </w:rPr>
          <w:t xml:space="preserve">, </w:t>
        </w:r>
        <w:proofErr w:type="spellStart"/>
        <w:r w:rsidR="00E97244" w:rsidRPr="0023016A">
          <w:rPr>
            <w:rStyle w:val="Hyperlink"/>
            <w:color w:val="auto"/>
            <w:u w:val="none"/>
          </w:rPr>
          <w:t>Strader</w:t>
        </w:r>
        <w:proofErr w:type="spellEnd"/>
        <w:r w:rsidR="00E97244" w:rsidRPr="0023016A">
          <w:rPr>
            <w:rStyle w:val="Hyperlink"/>
            <w:color w:val="auto"/>
            <w:u w:val="none"/>
          </w:rPr>
          <w:t>, L</w:t>
        </w:r>
        <w:r w:rsidR="00431A70">
          <w:rPr>
            <w:rStyle w:val="Hyperlink"/>
            <w:color w:val="auto"/>
            <w:u w:val="none"/>
          </w:rPr>
          <w:t>.</w:t>
        </w:r>
        <w:r w:rsidR="00E97244" w:rsidRPr="0023016A">
          <w:rPr>
            <w:rStyle w:val="Hyperlink"/>
            <w:color w:val="auto"/>
            <w:u w:val="none"/>
          </w:rPr>
          <w:t>C</w:t>
        </w:r>
        <w:r w:rsidR="00431A70">
          <w:rPr>
            <w:rStyle w:val="Hyperlink"/>
            <w:color w:val="auto"/>
            <w:u w:val="none"/>
          </w:rPr>
          <w:t>.</w:t>
        </w:r>
        <w:r w:rsidR="00E97244" w:rsidRPr="0023016A">
          <w:rPr>
            <w:rStyle w:val="Hyperlink"/>
            <w:color w:val="auto"/>
            <w:u w:val="none"/>
          </w:rPr>
          <w:t xml:space="preserve">, </w:t>
        </w:r>
        <w:r w:rsidR="00431A70">
          <w:rPr>
            <w:rStyle w:val="Hyperlink"/>
            <w:color w:val="auto"/>
            <w:u w:val="none"/>
          </w:rPr>
          <w:t xml:space="preserve">&amp; </w:t>
        </w:r>
        <w:r w:rsidR="00E97244" w:rsidRPr="0023016A">
          <w:rPr>
            <w:rStyle w:val="Hyperlink"/>
            <w:color w:val="auto"/>
            <w:u w:val="none"/>
          </w:rPr>
          <w:t>Pratt, J</w:t>
        </w:r>
        <w:r w:rsidR="00431A70">
          <w:rPr>
            <w:rStyle w:val="Hyperlink"/>
            <w:color w:val="auto"/>
            <w:u w:val="none"/>
          </w:rPr>
          <w:t>.</w:t>
        </w:r>
        <w:r w:rsidR="00E97244" w:rsidRPr="0023016A">
          <w:rPr>
            <w:rStyle w:val="Hyperlink"/>
            <w:color w:val="auto"/>
            <w:u w:val="none"/>
          </w:rPr>
          <w:t>G</w:t>
        </w:r>
        <w:r w:rsidR="00431A70">
          <w:rPr>
            <w:rStyle w:val="Hyperlink"/>
            <w:color w:val="auto"/>
            <w:u w:val="none"/>
          </w:rPr>
          <w:t>.</w:t>
        </w:r>
        <w:r w:rsidR="00E97244" w:rsidRPr="0023016A">
          <w:rPr>
            <w:rStyle w:val="Hyperlink"/>
            <w:color w:val="auto"/>
            <w:u w:val="none"/>
          </w:rPr>
          <w:t xml:space="preserve">, </w:t>
        </w:r>
        <w:proofErr w:type="gramStart"/>
        <w:r w:rsidR="00E97244" w:rsidRPr="0023016A">
          <w:rPr>
            <w:rStyle w:val="Hyperlink"/>
            <w:color w:val="auto"/>
            <w:u w:val="none"/>
          </w:rPr>
          <w:t>et</w:t>
        </w:r>
        <w:proofErr w:type="gramEnd"/>
        <w:r w:rsidR="00E97244" w:rsidRPr="0023016A">
          <w:rPr>
            <w:rStyle w:val="Hyperlink"/>
            <w:color w:val="auto"/>
            <w:u w:val="none"/>
          </w:rPr>
          <w:t xml:space="preserve">. </w:t>
        </w:r>
        <w:proofErr w:type="gramStart"/>
        <w:r w:rsidR="00E97244" w:rsidRPr="0023016A">
          <w:rPr>
            <w:rStyle w:val="Hyperlink"/>
            <w:color w:val="auto"/>
            <w:u w:val="none"/>
          </w:rPr>
          <w:t>al.</w:t>
        </w:r>
      </w:hyperlink>
      <w:r w:rsidR="00E97244" w:rsidRPr="00E97244">
        <w:t xml:space="preserve"> (2011</w:t>
      </w:r>
      <w:r w:rsidR="00E97244">
        <w:t>).</w:t>
      </w:r>
      <w:proofErr w:type="gramEnd"/>
      <w:r w:rsidR="00E97244">
        <w:t xml:space="preserve"> The </w:t>
      </w:r>
      <w:proofErr w:type="spellStart"/>
      <w:r w:rsidR="00E97244">
        <w:t>PhenX</w:t>
      </w:r>
      <w:proofErr w:type="spellEnd"/>
      <w:r w:rsidR="00E97244">
        <w:t xml:space="preserve"> Toolkit: Get the most from your measures. </w:t>
      </w:r>
      <w:proofErr w:type="gramStart"/>
      <w:r w:rsidR="00E97244">
        <w:rPr>
          <w:i/>
          <w:iCs/>
        </w:rPr>
        <w:t>American Journal of Epidemiology</w:t>
      </w:r>
      <w:r w:rsidR="00E97244">
        <w:t xml:space="preserve">, </w:t>
      </w:r>
      <w:r w:rsidR="00E97244" w:rsidRPr="004949CC">
        <w:rPr>
          <w:i/>
        </w:rPr>
        <w:t>174</w:t>
      </w:r>
      <w:r w:rsidR="00E97244">
        <w:t>(3), 253-60.</w:t>
      </w:r>
      <w:proofErr w:type="gramEnd"/>
    </w:p>
    <w:p w:rsidR="00921EAC" w:rsidRDefault="000053BE" w:rsidP="004369E2">
      <w:pPr>
        <w:pStyle w:val="N0-FlLftBullet"/>
        <w:rPr>
          <w:szCs w:val="24"/>
        </w:rPr>
      </w:pPr>
      <w:proofErr w:type="gramStart"/>
      <w:r w:rsidRPr="00A2734E">
        <w:rPr>
          <w:szCs w:val="24"/>
        </w:rPr>
        <w:t xml:space="preserve">John, U., Meyer, C., </w:t>
      </w:r>
      <w:proofErr w:type="spellStart"/>
      <w:r w:rsidRPr="00A2734E">
        <w:rPr>
          <w:szCs w:val="24"/>
        </w:rPr>
        <w:t>Rumpf</w:t>
      </w:r>
      <w:proofErr w:type="spellEnd"/>
      <w:r w:rsidRPr="00A2734E">
        <w:rPr>
          <w:szCs w:val="24"/>
        </w:rPr>
        <w:t xml:space="preserve">, H.J., </w:t>
      </w:r>
      <w:r w:rsidR="00130012">
        <w:rPr>
          <w:szCs w:val="24"/>
        </w:rPr>
        <w:t>&amp;</w:t>
      </w:r>
      <w:r w:rsidRPr="00A2734E">
        <w:rPr>
          <w:szCs w:val="24"/>
        </w:rPr>
        <w:t xml:space="preserve"> </w:t>
      </w:r>
      <w:proofErr w:type="spellStart"/>
      <w:r w:rsidRPr="00A2734E">
        <w:rPr>
          <w:szCs w:val="24"/>
        </w:rPr>
        <w:t>Hapke</w:t>
      </w:r>
      <w:proofErr w:type="spellEnd"/>
      <w:r w:rsidRPr="00A2734E">
        <w:rPr>
          <w:szCs w:val="24"/>
        </w:rPr>
        <w:t>, U. (2004).</w:t>
      </w:r>
      <w:proofErr w:type="gramEnd"/>
      <w:r w:rsidR="00BC3C01" w:rsidRPr="00A2734E">
        <w:rPr>
          <w:szCs w:val="24"/>
        </w:rPr>
        <w:t xml:space="preserve"> </w:t>
      </w:r>
      <w:proofErr w:type="gramStart"/>
      <w:r w:rsidRPr="00A2734E">
        <w:rPr>
          <w:szCs w:val="24"/>
        </w:rPr>
        <w:t>Smoking, nicotine dependence and psychiatric comorbidity—a population-based study including smoking cessation after three years.</w:t>
      </w:r>
      <w:proofErr w:type="gramEnd"/>
      <w:r w:rsidR="00BC3C01" w:rsidRPr="00A2734E">
        <w:rPr>
          <w:szCs w:val="24"/>
        </w:rPr>
        <w:t xml:space="preserve"> </w:t>
      </w:r>
      <w:r w:rsidRPr="00A2734E">
        <w:rPr>
          <w:i/>
          <w:szCs w:val="24"/>
        </w:rPr>
        <w:t>Drug and Alcohol Dependence</w:t>
      </w:r>
      <w:r w:rsidR="00130012">
        <w:rPr>
          <w:szCs w:val="24"/>
        </w:rPr>
        <w:t>,</w:t>
      </w:r>
      <w:r w:rsidR="004369E2" w:rsidRPr="00A2734E">
        <w:rPr>
          <w:szCs w:val="24"/>
        </w:rPr>
        <w:t xml:space="preserve"> </w:t>
      </w:r>
      <w:r w:rsidR="004369E2" w:rsidRPr="004949CC">
        <w:rPr>
          <w:i/>
          <w:szCs w:val="24"/>
        </w:rPr>
        <w:t>76</w:t>
      </w:r>
      <w:r w:rsidR="004369E2" w:rsidRPr="00A2734E">
        <w:rPr>
          <w:szCs w:val="24"/>
        </w:rPr>
        <w:t xml:space="preserve">(3), </w:t>
      </w:r>
      <w:r w:rsidRPr="00A2734E">
        <w:rPr>
          <w:szCs w:val="24"/>
        </w:rPr>
        <w:t>287-</w:t>
      </w:r>
      <w:r w:rsidR="004369E2" w:rsidRPr="00A2734E">
        <w:rPr>
          <w:szCs w:val="24"/>
        </w:rPr>
        <w:t>2</w:t>
      </w:r>
      <w:r w:rsidRPr="00A2734E">
        <w:rPr>
          <w:szCs w:val="24"/>
        </w:rPr>
        <w:t>95</w:t>
      </w:r>
      <w:r w:rsidR="00921EAC">
        <w:rPr>
          <w:szCs w:val="24"/>
        </w:rPr>
        <w:t>.</w:t>
      </w:r>
    </w:p>
    <w:p w:rsidR="00AC2E44" w:rsidRDefault="00A2649D" w:rsidP="00921EAC">
      <w:pPr>
        <w:pStyle w:val="N0-FlLftBullet"/>
      </w:pPr>
      <w:proofErr w:type="gramStart"/>
      <w:r>
        <w:t>Johnston, L.</w:t>
      </w:r>
      <w:r w:rsidR="00921EAC">
        <w:t xml:space="preserve">D., O'Malley, </w:t>
      </w:r>
      <w:r>
        <w:t xml:space="preserve">P. M., </w:t>
      </w:r>
      <w:proofErr w:type="spellStart"/>
      <w:r>
        <w:t>Miech</w:t>
      </w:r>
      <w:proofErr w:type="spellEnd"/>
      <w:r>
        <w:t xml:space="preserve">, R.A., Bachman, J.G., &amp; </w:t>
      </w:r>
      <w:proofErr w:type="spellStart"/>
      <w:r>
        <w:t>Schulenberg</w:t>
      </w:r>
      <w:proofErr w:type="spellEnd"/>
      <w:r>
        <w:t>, J.</w:t>
      </w:r>
      <w:r w:rsidR="00921EAC">
        <w:t>E. (2014).</w:t>
      </w:r>
      <w:proofErr w:type="gramEnd"/>
      <w:r w:rsidR="00921EAC">
        <w:t xml:space="preserve"> </w:t>
      </w:r>
      <w:proofErr w:type="gramStart"/>
      <w:r w:rsidR="00921EAC" w:rsidRPr="0023016A">
        <w:rPr>
          <w:i/>
        </w:rPr>
        <w:t>Monitoring the Future national results on adolescent drug use: Overview of key findings, 2013.</w:t>
      </w:r>
      <w:proofErr w:type="gramEnd"/>
      <w:r w:rsidR="00921EAC">
        <w:t xml:space="preserve"> Ann Arbor, M</w:t>
      </w:r>
      <w:r w:rsidR="009C0C95">
        <w:t>I</w:t>
      </w:r>
      <w:r w:rsidR="00921EAC">
        <w:t>: Institute for Social Research, the University of Michigan.</w:t>
      </w:r>
    </w:p>
    <w:p w:rsidR="00A074C4" w:rsidRDefault="00BF3ECD" w:rsidP="00DA11FB">
      <w:pPr>
        <w:pStyle w:val="N0-FlLftBullet"/>
      </w:pPr>
      <w:proofErr w:type="gramStart"/>
      <w:r w:rsidRPr="0019310B">
        <w:t>King</w:t>
      </w:r>
      <w:r>
        <w:t>,</w:t>
      </w:r>
      <w:r w:rsidRPr="0019310B">
        <w:t xml:space="preserve"> B</w:t>
      </w:r>
      <w:r>
        <w:t>.</w:t>
      </w:r>
      <w:r w:rsidRPr="0019310B">
        <w:t>A</w:t>
      </w:r>
      <w:r>
        <w:t>.</w:t>
      </w:r>
      <w:r w:rsidRPr="0019310B">
        <w:t xml:space="preserve">, </w:t>
      </w:r>
      <w:proofErr w:type="spellStart"/>
      <w:r w:rsidRPr="0019310B">
        <w:t>Dube</w:t>
      </w:r>
      <w:proofErr w:type="spellEnd"/>
      <w:r>
        <w:t>,</w:t>
      </w:r>
      <w:r w:rsidRPr="0019310B">
        <w:t xml:space="preserve"> S</w:t>
      </w:r>
      <w:r>
        <w:t>.</w:t>
      </w:r>
      <w:r w:rsidRPr="0019310B">
        <w:t>R</w:t>
      </w:r>
      <w:r>
        <w:t>.</w:t>
      </w:r>
      <w:r w:rsidRPr="0019310B">
        <w:t xml:space="preserve">, </w:t>
      </w:r>
      <w:r>
        <w:t xml:space="preserve">&amp; </w:t>
      </w:r>
      <w:r w:rsidRPr="0019310B">
        <w:t>Tynan</w:t>
      </w:r>
      <w:r>
        <w:t>,</w:t>
      </w:r>
      <w:r w:rsidRPr="0019310B">
        <w:t xml:space="preserve"> M</w:t>
      </w:r>
      <w:r>
        <w:t>.</w:t>
      </w:r>
      <w:r w:rsidRPr="0019310B">
        <w:t xml:space="preserve">A. </w:t>
      </w:r>
      <w:r>
        <w:t>(2012.)</w:t>
      </w:r>
      <w:proofErr w:type="gramEnd"/>
      <w:r w:rsidR="00A074C4">
        <w:t xml:space="preserve"> </w:t>
      </w:r>
      <w:r>
        <w:t>C</w:t>
      </w:r>
      <w:r w:rsidRPr="0019310B">
        <w:t xml:space="preserve">urrent tobacco use among adults in the </w:t>
      </w:r>
      <w:r>
        <w:t>U</w:t>
      </w:r>
      <w:r w:rsidRPr="0019310B">
        <w:t xml:space="preserve">nited </w:t>
      </w:r>
      <w:r>
        <w:t>S</w:t>
      </w:r>
      <w:r w:rsidRPr="0019310B">
        <w:t xml:space="preserve">tates: </w:t>
      </w:r>
      <w:r>
        <w:t>F</w:t>
      </w:r>
      <w:r w:rsidRPr="0019310B">
        <w:t xml:space="preserve">indings from the National Adult Tobacco Survey. </w:t>
      </w:r>
      <w:r w:rsidRPr="00BF3ECD">
        <w:rPr>
          <w:i/>
        </w:rPr>
        <w:t>American Journal of Public Health</w:t>
      </w:r>
      <w:r w:rsidRPr="00DA11FB">
        <w:rPr>
          <w:i/>
        </w:rPr>
        <w:t>, 102</w:t>
      </w:r>
      <w:r w:rsidRPr="0019310B">
        <w:t>(11)</w:t>
      </w:r>
      <w:r>
        <w:t xml:space="preserve">, </w:t>
      </w:r>
      <w:r w:rsidRPr="0019310B">
        <w:t>93-100.</w:t>
      </w:r>
    </w:p>
    <w:p w:rsidR="0064698F" w:rsidRPr="00500CB0" w:rsidRDefault="0064698F" w:rsidP="004369E2">
      <w:pPr>
        <w:pStyle w:val="N0-FlLftBullet"/>
      </w:pPr>
      <w:proofErr w:type="gramStart"/>
      <w:r w:rsidRPr="00A2734E">
        <w:t>Legacy Foundation.</w:t>
      </w:r>
      <w:proofErr w:type="gramEnd"/>
      <w:r w:rsidRPr="00A2734E">
        <w:t xml:space="preserve"> </w:t>
      </w:r>
      <w:proofErr w:type="gramStart"/>
      <w:r w:rsidRPr="00A2734E">
        <w:t>(201</w:t>
      </w:r>
      <w:r w:rsidR="00C05C8C">
        <w:t>2, May</w:t>
      </w:r>
      <w:r w:rsidRPr="00A2734E">
        <w:t>).</w:t>
      </w:r>
      <w:proofErr w:type="gramEnd"/>
      <w:r w:rsidR="00BC3C01" w:rsidRPr="00A2734E">
        <w:t xml:space="preserve"> </w:t>
      </w:r>
      <w:r w:rsidRPr="0023016A">
        <w:rPr>
          <w:i/>
        </w:rPr>
        <w:t>A hidden epidemic: Tobacco use and mental illness</w:t>
      </w:r>
      <w:r w:rsidRPr="00A2734E">
        <w:t>.</w:t>
      </w:r>
      <w:r w:rsidR="00C05C8C">
        <w:t xml:space="preserve"> </w:t>
      </w:r>
      <w:proofErr w:type="gramStart"/>
      <w:r w:rsidR="00500CB0" w:rsidRPr="00500CB0">
        <w:t>[Audio podcast].</w:t>
      </w:r>
      <w:proofErr w:type="gramEnd"/>
      <w:r w:rsidR="00500CB0" w:rsidRPr="0023016A">
        <w:t xml:space="preserve"> </w:t>
      </w:r>
      <w:proofErr w:type="gramStart"/>
      <w:r w:rsidR="00500CB0" w:rsidRPr="0023016A">
        <w:t>Retrieved from</w:t>
      </w:r>
      <w:r w:rsidR="00C05C8C" w:rsidRPr="00500CB0">
        <w:t xml:space="preserve"> http://www.legacyforhealth.org/what-we-do/warner-series/a-hidden-epidemic-tobacco-use-and-mental-illness</w:t>
      </w:r>
      <w:r w:rsidR="00FF3BBB">
        <w:t>.</w:t>
      </w:r>
      <w:proofErr w:type="gramEnd"/>
    </w:p>
    <w:p w:rsidR="00110660" w:rsidRDefault="00110660" w:rsidP="00E97244">
      <w:pPr>
        <w:pStyle w:val="N0-FlLftBullet"/>
      </w:pPr>
      <w:proofErr w:type="gramStart"/>
      <w:r>
        <w:t>Massachusetts Department of Public Health</w:t>
      </w:r>
      <w:r w:rsidR="009B0CA0">
        <w:t>.</w:t>
      </w:r>
      <w:proofErr w:type="gramEnd"/>
      <w:r w:rsidR="009B0CA0">
        <w:t xml:space="preserve"> </w:t>
      </w:r>
      <w:proofErr w:type="gramStart"/>
      <w:r w:rsidR="00CB287F">
        <w:t xml:space="preserve">2014 </w:t>
      </w:r>
      <w:r w:rsidR="009B0CA0">
        <w:t>Massachusetts State Optional Module for the Behavioral Risk Factor Surveillance Survey</w:t>
      </w:r>
      <w:r w:rsidR="00CB287F">
        <w:t>.</w:t>
      </w:r>
      <w:proofErr w:type="gramEnd"/>
      <w:r w:rsidR="00CB287F">
        <w:t xml:space="preserve"> </w:t>
      </w:r>
      <w:hyperlink r:id="rId26" w:history="1">
        <w:r w:rsidR="00CB287F" w:rsidRPr="00022C34">
          <w:rPr>
            <w:rStyle w:val="Hyperlink"/>
          </w:rPr>
          <w:t>http://www.mass.gov/dph/hsp</w:t>
        </w:r>
      </w:hyperlink>
      <w:r w:rsidR="00CB287F">
        <w:t xml:space="preserve">. </w:t>
      </w:r>
    </w:p>
    <w:p w:rsidR="00AC2E44" w:rsidRDefault="00E97244" w:rsidP="00E97244">
      <w:pPr>
        <w:pStyle w:val="N0-FlLftBullet"/>
      </w:pPr>
      <w:proofErr w:type="spellStart"/>
      <w:proofErr w:type="gramStart"/>
      <w:r>
        <w:t>McGonagle</w:t>
      </w:r>
      <w:proofErr w:type="spellEnd"/>
      <w:r>
        <w:t xml:space="preserve">, K., </w:t>
      </w:r>
      <w:proofErr w:type="spellStart"/>
      <w:r>
        <w:t>Schoeni</w:t>
      </w:r>
      <w:proofErr w:type="spellEnd"/>
      <w:r>
        <w:t xml:space="preserve">, R., </w:t>
      </w:r>
      <w:proofErr w:type="spellStart"/>
      <w:r>
        <w:t>Couper</w:t>
      </w:r>
      <w:proofErr w:type="spellEnd"/>
      <w:r>
        <w:t xml:space="preserve">, M., &amp; </w:t>
      </w:r>
      <w:proofErr w:type="spellStart"/>
      <w:r>
        <w:t>Mushtag</w:t>
      </w:r>
      <w:proofErr w:type="spellEnd"/>
      <w:r>
        <w:t>, M. (2011).</w:t>
      </w:r>
      <w:proofErr w:type="gramEnd"/>
      <w:r>
        <w:t xml:space="preserve"> An incentive experiment designed to increase response to a between-wave contact update mailing in two panel studies. </w:t>
      </w:r>
      <w:proofErr w:type="gramStart"/>
      <w:r>
        <w:rPr>
          <w:i/>
          <w:iCs/>
        </w:rPr>
        <w:t>Survey Practice</w:t>
      </w:r>
      <w:r>
        <w:rPr>
          <w:i/>
          <w:iCs/>
          <w:color w:val="1F497D"/>
        </w:rPr>
        <w:t>.</w:t>
      </w:r>
      <w:proofErr w:type="gramEnd"/>
      <w:r>
        <w:rPr>
          <w:i/>
          <w:iCs/>
          <w:color w:val="1F497D"/>
        </w:rPr>
        <w:t xml:space="preserve"> </w:t>
      </w:r>
      <w:proofErr w:type="gramStart"/>
      <w:r w:rsidRPr="004949CC">
        <w:rPr>
          <w:i/>
          <w:iCs/>
        </w:rPr>
        <w:t>4</w:t>
      </w:r>
      <w:r w:rsidRPr="0023016A">
        <w:rPr>
          <w:iCs/>
        </w:rPr>
        <w:t>(3)</w:t>
      </w:r>
      <w:r w:rsidRPr="00E97244">
        <w:t>.</w:t>
      </w:r>
      <w:proofErr w:type="gramEnd"/>
      <w:r w:rsidRPr="0023016A">
        <w:t xml:space="preserve"> </w:t>
      </w:r>
      <w:proofErr w:type="gramStart"/>
      <w:r>
        <w:t xml:space="preserve">Retrieved from </w:t>
      </w:r>
      <w:hyperlink r:id="rId27" w:history="1">
        <w:r w:rsidRPr="0023016A">
          <w:rPr>
            <w:rStyle w:val="Hyperlink"/>
            <w:color w:val="auto"/>
          </w:rPr>
          <w:t>http://www.surveypractice.org/index.php/SurveyPractice/article/view/106/html</w:t>
        </w:r>
      </w:hyperlink>
      <w:r w:rsidR="00FF3BBB">
        <w:rPr>
          <w:rStyle w:val="Hyperlink"/>
          <w:color w:val="auto"/>
        </w:rPr>
        <w:t>.</w:t>
      </w:r>
      <w:proofErr w:type="gramEnd"/>
    </w:p>
    <w:p w:rsidR="00F42EE8" w:rsidRDefault="00F42EE8" w:rsidP="00F42EE8">
      <w:pPr>
        <w:pStyle w:val="N0-FlLftBullet"/>
      </w:pPr>
      <w:proofErr w:type="gramStart"/>
      <w:r>
        <w:t>Miller, K., &amp; Ryan, J.M. (2011, October).</w:t>
      </w:r>
      <w:proofErr w:type="gramEnd"/>
      <w:r>
        <w:t xml:space="preserve"> </w:t>
      </w:r>
      <w:r>
        <w:rPr>
          <w:i/>
          <w:iCs/>
        </w:rPr>
        <w:t>Design,</w:t>
      </w:r>
      <w:r>
        <w:t xml:space="preserve"> </w:t>
      </w:r>
      <w:r>
        <w:rPr>
          <w:i/>
          <w:iCs/>
        </w:rPr>
        <w:t xml:space="preserve">development and testing of the NHIS sexual identity question. </w:t>
      </w:r>
      <w:proofErr w:type="gramStart"/>
      <w:r>
        <w:t>Questionnaire Design Research Laboratory, Office of Research and Methodology, National Center for Health Statistics.</w:t>
      </w:r>
      <w:proofErr w:type="gramEnd"/>
      <w:r>
        <w:t xml:space="preserve"> </w:t>
      </w:r>
      <w:proofErr w:type="gramStart"/>
      <w:r>
        <w:t xml:space="preserve">Retrieved from </w:t>
      </w:r>
      <w:hyperlink r:id="rId28" w:history="1">
        <w:r>
          <w:rPr>
            <w:rStyle w:val="Hyperlink"/>
          </w:rPr>
          <w:t>http://wwwn.cdc.gov/qbank/report/Miller_NCHS_2011_NHIS%20Sexual%20Identity.pdf</w:t>
        </w:r>
      </w:hyperlink>
      <w:r w:rsidR="00FF3BBB">
        <w:rPr>
          <w:rStyle w:val="Hyperlink"/>
        </w:rPr>
        <w:t>.</w:t>
      </w:r>
      <w:proofErr w:type="gramEnd"/>
    </w:p>
    <w:p w:rsidR="00515379" w:rsidRPr="00515379" w:rsidRDefault="00515379" w:rsidP="00515379">
      <w:pPr>
        <w:spacing w:after="240"/>
        <w:ind w:left="576" w:hanging="576"/>
      </w:pPr>
      <w:r w:rsidRPr="00515379">
        <w:lastRenderedPageBreak/>
        <w:t xml:space="preserve">Nathan RA, </w:t>
      </w:r>
      <w:proofErr w:type="spellStart"/>
      <w:r w:rsidRPr="00515379">
        <w:t>Sorkness</w:t>
      </w:r>
      <w:proofErr w:type="spellEnd"/>
      <w:r w:rsidRPr="00515379">
        <w:t xml:space="preserve"> CA, </w:t>
      </w:r>
      <w:proofErr w:type="spellStart"/>
      <w:r w:rsidRPr="00515379">
        <w:t>Kosinski</w:t>
      </w:r>
      <w:proofErr w:type="spellEnd"/>
      <w:r w:rsidRPr="00515379">
        <w:t xml:space="preserve"> M, Schatz M, Li JT, Marcus P, Murray JJ, </w:t>
      </w:r>
      <w:proofErr w:type="spellStart"/>
      <w:r w:rsidRPr="00515379">
        <w:t>Pendergraft</w:t>
      </w:r>
      <w:proofErr w:type="spellEnd"/>
      <w:r w:rsidRPr="00515379">
        <w:t xml:space="preserve"> TB. </w:t>
      </w:r>
      <w:r>
        <w:t xml:space="preserve">(2004). </w:t>
      </w:r>
      <w:r w:rsidRPr="00515379">
        <w:rPr>
          <w:iCs/>
        </w:rPr>
        <w:t>Development of the asthma control test: A survey for assessing asthma control</w:t>
      </w:r>
      <w:r w:rsidRPr="00515379">
        <w:rPr>
          <w:i/>
        </w:rPr>
        <w:t xml:space="preserve">. J Allergy </w:t>
      </w:r>
      <w:proofErr w:type="spellStart"/>
      <w:r w:rsidRPr="00515379">
        <w:rPr>
          <w:i/>
        </w:rPr>
        <w:t>Clin</w:t>
      </w:r>
      <w:proofErr w:type="spellEnd"/>
      <w:r w:rsidRPr="00515379">
        <w:rPr>
          <w:i/>
        </w:rPr>
        <w:t xml:space="preserve"> </w:t>
      </w:r>
      <w:proofErr w:type="spellStart"/>
      <w:r w:rsidRPr="00515379">
        <w:rPr>
          <w:i/>
        </w:rPr>
        <w:t>Immunol</w:t>
      </w:r>
      <w:proofErr w:type="spellEnd"/>
      <w:r>
        <w:rPr>
          <w:i/>
        </w:rPr>
        <w:t>,</w:t>
      </w:r>
      <w:r w:rsidRPr="00515379">
        <w:t xml:space="preserve"> 113</w:t>
      </w:r>
      <w:r w:rsidR="00DC26D4">
        <w:t xml:space="preserve">, </w:t>
      </w:r>
      <w:r w:rsidRPr="00515379">
        <w:t>59-65</w:t>
      </w:r>
      <w:r w:rsidR="00DC26D4">
        <w:t>.</w:t>
      </w:r>
    </w:p>
    <w:p w:rsidR="00A95662" w:rsidRPr="00A2734E" w:rsidRDefault="00A95662" w:rsidP="004369E2">
      <w:pPr>
        <w:pStyle w:val="N0-FlLftBullet"/>
      </w:pPr>
      <w:proofErr w:type="gramStart"/>
      <w:r w:rsidRPr="00A2734E">
        <w:t xml:space="preserve">Pollard, M.S., Tucker, J.S., Green, H.D., Kennedy, D.P., </w:t>
      </w:r>
      <w:r w:rsidR="00130012">
        <w:t xml:space="preserve">&amp; </w:t>
      </w:r>
      <w:proofErr w:type="spellStart"/>
      <w:r w:rsidRPr="00A2734E">
        <w:t>Myong</w:t>
      </w:r>
      <w:proofErr w:type="spellEnd"/>
      <w:r w:rsidRPr="00A2734E">
        <w:t xml:space="preserve">-Hyun G. </w:t>
      </w:r>
      <w:r w:rsidR="009012DB">
        <w:t>(2011).</w:t>
      </w:r>
      <w:proofErr w:type="gramEnd"/>
      <w:r w:rsidR="009012DB">
        <w:t xml:space="preserve"> </w:t>
      </w:r>
      <w:proofErr w:type="gramStart"/>
      <w:r w:rsidRPr="00A2734E">
        <w:t>Romantic attraction and adolescent smoking trajectories.</w:t>
      </w:r>
      <w:proofErr w:type="gramEnd"/>
      <w:r w:rsidRPr="00A2734E">
        <w:t xml:space="preserve"> </w:t>
      </w:r>
      <w:r w:rsidRPr="00A2734E">
        <w:rPr>
          <w:i/>
        </w:rPr>
        <w:t>Addictive Behaviors</w:t>
      </w:r>
      <w:r w:rsidR="001618F3">
        <w:rPr>
          <w:i/>
        </w:rPr>
        <w:t>,</w:t>
      </w:r>
      <w:r w:rsidRPr="00A2734E">
        <w:t xml:space="preserve"> </w:t>
      </w:r>
      <w:r w:rsidRPr="004949CC">
        <w:rPr>
          <w:i/>
        </w:rPr>
        <w:t>36</w:t>
      </w:r>
      <w:r w:rsidR="001618F3">
        <w:t>,</w:t>
      </w:r>
      <w:r w:rsidRPr="00A2734E">
        <w:t xml:space="preserve"> 1275–1281</w:t>
      </w:r>
      <w:r w:rsidR="00DC46B4">
        <w:t>.</w:t>
      </w:r>
    </w:p>
    <w:p w:rsidR="000053BE" w:rsidRDefault="000053BE" w:rsidP="004369E2">
      <w:pPr>
        <w:pStyle w:val="N0-FlLftBullet"/>
      </w:pPr>
      <w:proofErr w:type="gramStart"/>
      <w:r w:rsidRPr="00A2734E">
        <w:t>Snyder, M. (2006).</w:t>
      </w:r>
      <w:proofErr w:type="gramEnd"/>
      <w:r w:rsidRPr="00A2734E">
        <w:t xml:space="preserve"> </w:t>
      </w:r>
      <w:proofErr w:type="gramStart"/>
      <w:r w:rsidRPr="00A2734E">
        <w:t>Serious mental illness and smoking cessation.</w:t>
      </w:r>
      <w:proofErr w:type="gramEnd"/>
      <w:r w:rsidR="00BC3C01" w:rsidRPr="00A2734E">
        <w:t xml:space="preserve"> </w:t>
      </w:r>
      <w:r w:rsidRPr="00A2734E">
        <w:rPr>
          <w:i/>
        </w:rPr>
        <w:t>Issues in Mental Health Nursing</w:t>
      </w:r>
      <w:r w:rsidR="001618F3">
        <w:rPr>
          <w:i/>
        </w:rPr>
        <w:t>,</w:t>
      </w:r>
      <w:r w:rsidR="00BC3C01" w:rsidRPr="00A2734E">
        <w:rPr>
          <w:i/>
        </w:rPr>
        <w:t xml:space="preserve"> </w:t>
      </w:r>
      <w:r w:rsidRPr="00A2734E">
        <w:t>27(6)</w:t>
      </w:r>
      <w:r w:rsidR="004369E2" w:rsidRPr="00A2734E">
        <w:t xml:space="preserve">, </w:t>
      </w:r>
      <w:r w:rsidRPr="00A2734E">
        <w:t>635-</w:t>
      </w:r>
      <w:r w:rsidR="004369E2" w:rsidRPr="00A2734E">
        <w:t>6</w:t>
      </w:r>
      <w:r w:rsidRPr="00A2734E">
        <w:t>45.</w:t>
      </w:r>
    </w:p>
    <w:p w:rsidR="0022527E" w:rsidRPr="00A2734E" w:rsidRDefault="0022527E" w:rsidP="004369E2">
      <w:pPr>
        <w:pStyle w:val="N0-FlLftBullet"/>
      </w:pPr>
      <w:proofErr w:type="gramStart"/>
      <w:r w:rsidRPr="002E13F2">
        <w:t>Substance Abuse and Mental Health Services Administration.</w:t>
      </w:r>
      <w:proofErr w:type="gramEnd"/>
      <w:r w:rsidRPr="002E13F2">
        <w:t xml:space="preserve"> </w:t>
      </w:r>
      <w:proofErr w:type="gramStart"/>
      <w:r w:rsidRPr="002E13F2">
        <w:t>(</w:t>
      </w:r>
      <w:r w:rsidR="00C2272A">
        <w:t xml:space="preserve">SAMHSA, </w:t>
      </w:r>
      <w:r w:rsidRPr="002E13F2">
        <w:t>201</w:t>
      </w:r>
      <w:r w:rsidR="00C2272A">
        <w:t>1</w:t>
      </w:r>
      <w:r w:rsidRPr="00390F04">
        <w:t>).</w:t>
      </w:r>
      <w:proofErr w:type="gramEnd"/>
      <w:r>
        <w:t xml:space="preserve"> </w:t>
      </w:r>
      <w:r>
        <w:rPr>
          <w:i/>
        </w:rPr>
        <w:t xml:space="preserve">The NSDUH Report: Recent Trends in Menthol Cigarette Use. </w:t>
      </w:r>
      <w:proofErr w:type="gramStart"/>
      <w:r>
        <w:t xml:space="preserve">Retrieved from </w:t>
      </w:r>
      <w:r w:rsidRPr="0022527E">
        <w:t>http://www.samhsa.gov/data/2k11/WEB_SR_088/WEB_SR_088.pdf</w:t>
      </w:r>
      <w:r>
        <w:t>.</w:t>
      </w:r>
      <w:proofErr w:type="gramEnd"/>
    </w:p>
    <w:p w:rsidR="0076337A" w:rsidRPr="005E55DB" w:rsidRDefault="0076337A" w:rsidP="00917C15">
      <w:pPr>
        <w:pStyle w:val="N0-FlLftBullet"/>
      </w:pPr>
      <w:proofErr w:type="gramStart"/>
      <w:r w:rsidRPr="002E13F2">
        <w:t>Substance Abuse and Mental Health Services Administration.</w:t>
      </w:r>
      <w:proofErr w:type="gramEnd"/>
      <w:r w:rsidRPr="002E13F2">
        <w:t xml:space="preserve"> (201</w:t>
      </w:r>
      <w:r w:rsidR="00973D4F" w:rsidRPr="002E13F2">
        <w:t>2</w:t>
      </w:r>
      <w:r w:rsidRPr="00390F04">
        <w:t xml:space="preserve">). </w:t>
      </w:r>
      <w:r w:rsidRPr="00942C2A">
        <w:rPr>
          <w:i/>
        </w:rPr>
        <w:t>Results from the 20</w:t>
      </w:r>
      <w:r w:rsidR="00973D4F" w:rsidRPr="006C70A3">
        <w:rPr>
          <w:i/>
        </w:rPr>
        <w:t>1</w:t>
      </w:r>
      <w:r w:rsidR="005E55DB" w:rsidRPr="00494357">
        <w:rPr>
          <w:i/>
        </w:rPr>
        <w:t>2</w:t>
      </w:r>
      <w:r w:rsidRPr="00EE4604">
        <w:rPr>
          <w:i/>
        </w:rPr>
        <w:t xml:space="preserve"> National Survey on Drug Use and Health: </w:t>
      </w:r>
      <w:r w:rsidR="005E55DB" w:rsidRPr="00EE4604">
        <w:rPr>
          <w:i/>
        </w:rPr>
        <w:t xml:space="preserve">Summary of National Results and </w:t>
      </w:r>
      <w:r w:rsidRPr="00BF3ECD">
        <w:rPr>
          <w:i/>
        </w:rPr>
        <w:t xml:space="preserve">Detailed </w:t>
      </w:r>
      <w:r w:rsidR="005E55DB">
        <w:rPr>
          <w:i/>
        </w:rPr>
        <w:t>t</w:t>
      </w:r>
      <w:r w:rsidRPr="005E55DB">
        <w:rPr>
          <w:i/>
        </w:rPr>
        <w:t>ables</w:t>
      </w:r>
      <w:r w:rsidRPr="006143FF">
        <w:t>.</w:t>
      </w:r>
      <w:r w:rsidRPr="005E55DB">
        <w:t xml:space="preserve"> </w:t>
      </w:r>
      <w:proofErr w:type="gramStart"/>
      <w:r w:rsidR="001618F3" w:rsidRPr="002E13F2">
        <w:t>Retrieved from</w:t>
      </w:r>
      <w:r w:rsidRPr="006143FF">
        <w:t xml:space="preserve"> </w:t>
      </w:r>
      <w:hyperlink r:id="rId29" w:history="1">
        <w:r w:rsidR="00917C15" w:rsidRPr="004949CC">
          <w:t>http://www.samhsa.gov/data/NSDUH/2012SummNatFindDetTables/Index.aspx</w:t>
        </w:r>
      </w:hyperlink>
      <w:r w:rsidR="00DC46B4" w:rsidRPr="004949CC">
        <w:t>.</w:t>
      </w:r>
      <w:proofErr w:type="gramEnd"/>
    </w:p>
    <w:p w:rsidR="00A074C4" w:rsidRDefault="00917C15" w:rsidP="004369E2">
      <w:pPr>
        <w:pStyle w:val="N0-FlLftBullet"/>
        <w:rPr>
          <w:color w:val="000000"/>
        </w:rPr>
      </w:pPr>
      <w:proofErr w:type="gramStart"/>
      <w:r w:rsidRPr="006143FF">
        <w:rPr>
          <w:color w:val="000000"/>
        </w:rPr>
        <w:t>U.S. Department of Health and Human Services.</w:t>
      </w:r>
      <w:proofErr w:type="gramEnd"/>
      <w:r w:rsidRPr="006143FF">
        <w:rPr>
          <w:color w:val="000000"/>
        </w:rPr>
        <w:t xml:space="preserve"> (2014). </w:t>
      </w:r>
      <w:proofErr w:type="gramStart"/>
      <w:r w:rsidRPr="006143FF">
        <w:rPr>
          <w:i/>
          <w:color w:val="000000"/>
        </w:rPr>
        <w:t>The</w:t>
      </w:r>
      <w:proofErr w:type="gramEnd"/>
      <w:r w:rsidRPr="006143FF">
        <w:rPr>
          <w:i/>
          <w:color w:val="000000"/>
        </w:rPr>
        <w:t xml:space="preserve"> Health Consequences of Smoking—50 Years of Progress. </w:t>
      </w:r>
      <w:proofErr w:type="gramStart"/>
      <w:r w:rsidRPr="006143FF">
        <w:rPr>
          <w:i/>
          <w:color w:val="000000"/>
        </w:rPr>
        <w:t>A Report of the Surgeon General.</w:t>
      </w:r>
      <w:proofErr w:type="gramEnd"/>
      <w:r w:rsidRPr="006143FF">
        <w:rPr>
          <w:i/>
          <w:color w:val="000000"/>
        </w:rPr>
        <w:t xml:space="preserve"> </w:t>
      </w:r>
      <w:proofErr w:type="gramStart"/>
      <w:r w:rsidRPr="006143FF">
        <w:rPr>
          <w:color w:val="000000"/>
        </w:rPr>
        <w:t xml:space="preserve">Retrieved from </w:t>
      </w:r>
      <w:hyperlink r:id="rId30" w:history="1">
        <w:r w:rsidRPr="006143FF">
          <w:rPr>
            <w:rStyle w:val="Hyperlink"/>
          </w:rPr>
          <w:t>http://www.surgeongeneral.gov/library/reports/50-years-of-progress/full-report.pdf</w:t>
        </w:r>
      </w:hyperlink>
      <w:r w:rsidRPr="006143FF">
        <w:rPr>
          <w:color w:val="000000"/>
        </w:rPr>
        <w:t>.</w:t>
      </w:r>
      <w:proofErr w:type="gramEnd"/>
    </w:p>
    <w:p w:rsidR="00A074C4" w:rsidRDefault="008E28C9" w:rsidP="004369E2">
      <w:pPr>
        <w:pStyle w:val="N0-FlLftBullet"/>
      </w:pPr>
      <w:proofErr w:type="spellStart"/>
      <w:proofErr w:type="gramStart"/>
      <w:r w:rsidRPr="006143FF">
        <w:t>Villarroel</w:t>
      </w:r>
      <w:proofErr w:type="spellEnd"/>
      <w:r w:rsidRPr="006143FF">
        <w:t>,</w:t>
      </w:r>
      <w:r>
        <w:t xml:space="preserve"> </w:t>
      </w:r>
      <w:r w:rsidRPr="006143FF">
        <w:t>M</w:t>
      </w:r>
      <w:r>
        <w:t xml:space="preserve">., </w:t>
      </w:r>
      <w:r w:rsidRPr="006143FF">
        <w:t xml:space="preserve">Turner, </w:t>
      </w:r>
      <w:r>
        <w:t>C.F., R</w:t>
      </w:r>
      <w:r w:rsidRPr="006143FF">
        <w:t xml:space="preserve">ogers, </w:t>
      </w:r>
      <w:r>
        <w:t xml:space="preserve">S.M., </w:t>
      </w:r>
      <w:r w:rsidRPr="006143FF">
        <w:t xml:space="preserve">Roman, </w:t>
      </w:r>
      <w:r>
        <w:t xml:space="preserve">A.M., </w:t>
      </w:r>
      <w:r w:rsidRPr="006143FF">
        <w:t xml:space="preserve">Cooley, </w:t>
      </w:r>
      <w:r>
        <w:t xml:space="preserve">P.C., </w:t>
      </w:r>
      <w:r w:rsidRPr="006143FF">
        <w:t xml:space="preserve">Steinberg, </w:t>
      </w:r>
      <w:r>
        <w:t xml:space="preserve">A., </w:t>
      </w:r>
      <w:r w:rsidRPr="006143FF">
        <w:t xml:space="preserve">Eggleston, </w:t>
      </w:r>
      <w:r>
        <w:t xml:space="preserve">E., &amp; </w:t>
      </w:r>
      <w:proofErr w:type="spellStart"/>
      <w:r w:rsidRPr="006143FF">
        <w:t>Chromy</w:t>
      </w:r>
      <w:proofErr w:type="spellEnd"/>
      <w:r>
        <w:t>, J. (2008).</w:t>
      </w:r>
      <w:proofErr w:type="gramEnd"/>
      <w:r>
        <w:t xml:space="preserve"> </w:t>
      </w:r>
      <w:r w:rsidRPr="006143FF">
        <w:t xml:space="preserve">T-ACASI </w:t>
      </w:r>
      <w:r>
        <w:t>r</w:t>
      </w:r>
      <w:r w:rsidRPr="006143FF">
        <w:t xml:space="preserve">educes </w:t>
      </w:r>
      <w:r>
        <w:t>b</w:t>
      </w:r>
      <w:r w:rsidRPr="006143FF">
        <w:t xml:space="preserve">ias in STD </w:t>
      </w:r>
      <w:r>
        <w:t>m</w:t>
      </w:r>
      <w:r w:rsidRPr="006143FF">
        <w:t>easurements: The National STD and Behavior Measurement</w:t>
      </w:r>
      <w:r>
        <w:t xml:space="preserve"> </w:t>
      </w:r>
      <w:r w:rsidRPr="006143FF">
        <w:t xml:space="preserve">Experiment. </w:t>
      </w:r>
      <w:r w:rsidRPr="004949CC">
        <w:rPr>
          <w:i/>
        </w:rPr>
        <w:t>Sexually</w:t>
      </w:r>
      <w:r w:rsidRPr="006143FF">
        <w:t xml:space="preserve"> </w:t>
      </w:r>
      <w:r w:rsidRPr="004949CC">
        <w:rPr>
          <w:i/>
        </w:rPr>
        <w:t>Transmitted Diseases, 35</w:t>
      </w:r>
      <w:r w:rsidRPr="00C57BFD">
        <w:t>: 499-506.</w:t>
      </w:r>
    </w:p>
    <w:p w:rsidR="002B5F47" w:rsidRDefault="002B5F47" w:rsidP="004121E5">
      <w:pPr>
        <w:pStyle w:val="N0-FlLftBullet"/>
      </w:pPr>
    </w:p>
    <w:sectPr w:rsidR="002B5F47" w:rsidSect="00AC2E44">
      <w:footerReference w:type="default" r:id="rId3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A05" w:rsidRDefault="00834A05" w:rsidP="002F7ABC">
      <w:r>
        <w:separator/>
      </w:r>
    </w:p>
  </w:endnote>
  <w:endnote w:type="continuationSeparator" w:id="0">
    <w:p w:rsidR="00834A05" w:rsidRDefault="00834A05" w:rsidP="002F7ABC">
      <w:r>
        <w:continuationSeparator/>
      </w:r>
    </w:p>
  </w:endnote>
  <w:endnote w:type="continuationNotice" w:id="1">
    <w:p w:rsidR="00834A05" w:rsidRDefault="00834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05" w:rsidRDefault="00834A05" w:rsidP="00DC1F67">
    <w:pPr>
      <w:pStyle w:val="Footer"/>
      <w:rPr>
        <w:sz w:val="20"/>
      </w:rPr>
    </w:pPr>
    <w:r w:rsidRPr="00E97984">
      <w:rPr>
        <w:sz w:val="20"/>
      </w:rPr>
      <w:t xml:space="preserve">PATH </w:t>
    </w:r>
    <w:r>
      <w:rPr>
        <w:sz w:val="20"/>
      </w:rPr>
      <w:t xml:space="preserve">Study </w:t>
    </w:r>
    <w:r w:rsidRPr="00E97984">
      <w:rPr>
        <w:sz w:val="20"/>
      </w:rPr>
      <w:t>Supporting Statement A</w:t>
    </w:r>
  </w:p>
  <w:p w:rsidR="00834A05" w:rsidRPr="00E97984" w:rsidRDefault="00282B2C" w:rsidP="00BC3C01">
    <w:pPr>
      <w:pStyle w:val="C2-CtrSglSp"/>
    </w:pPr>
    <w:r>
      <w:fldChar w:fldCharType="begin"/>
    </w:r>
    <w:r w:rsidR="00834A05">
      <w:instrText xml:space="preserve"> PAGE   \* MERGEFORMAT </w:instrText>
    </w:r>
    <w:r>
      <w:fldChar w:fldCharType="separate"/>
    </w:r>
    <w:r w:rsidR="004E7409">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05" w:rsidRDefault="00834A05" w:rsidP="00DC1F67">
    <w:pPr>
      <w:pStyle w:val="Footer"/>
      <w:rPr>
        <w:sz w:val="20"/>
      </w:rPr>
    </w:pPr>
    <w:r w:rsidRPr="00E97984">
      <w:rPr>
        <w:sz w:val="20"/>
      </w:rPr>
      <w:t>PATH</w:t>
    </w:r>
    <w:r>
      <w:rPr>
        <w:sz w:val="20"/>
      </w:rPr>
      <w:t xml:space="preserve"> Study</w:t>
    </w:r>
    <w:r w:rsidRPr="00E97984">
      <w:rPr>
        <w:sz w:val="20"/>
      </w:rPr>
      <w:t xml:space="preserve"> Supporting Statement A</w:t>
    </w:r>
  </w:p>
  <w:p w:rsidR="00834A05" w:rsidRPr="00E97984" w:rsidRDefault="00282B2C" w:rsidP="00BC3C01">
    <w:pPr>
      <w:pStyle w:val="C2-CtrSglSp"/>
    </w:pPr>
    <w:r>
      <w:fldChar w:fldCharType="begin"/>
    </w:r>
    <w:r w:rsidR="00834A05">
      <w:instrText xml:space="preserve"> PAGE   \* MERGEFORMAT </w:instrText>
    </w:r>
    <w:r>
      <w:fldChar w:fldCharType="separate"/>
    </w:r>
    <w:r w:rsidR="004E7409">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A05" w:rsidRDefault="00834A05" w:rsidP="002F7ABC">
      <w:r>
        <w:separator/>
      </w:r>
    </w:p>
  </w:footnote>
  <w:footnote w:type="continuationSeparator" w:id="0">
    <w:p w:rsidR="00834A05" w:rsidRDefault="00834A05" w:rsidP="002F7ABC">
      <w:r>
        <w:continuationSeparator/>
      </w:r>
    </w:p>
  </w:footnote>
  <w:footnote w:type="continuationNotice" w:id="1">
    <w:p w:rsidR="00834A05" w:rsidRDefault="00834A05">
      <w:pPr>
        <w:spacing w:line="240" w:lineRule="auto"/>
      </w:pPr>
    </w:p>
  </w:footnote>
  <w:footnote w:id="2">
    <w:p w:rsidR="00834A05" w:rsidRDefault="00834A05">
      <w:pPr>
        <w:pStyle w:val="FootnoteText"/>
      </w:pPr>
      <w:r>
        <w:rPr>
          <w:rStyle w:val="FootnoteReference"/>
        </w:rPr>
        <w:footnoteRef/>
      </w:r>
      <w:r>
        <w:t xml:space="preserve"> During the baseline wave, buccal cells also were collected from adult participants, but this collection was discontinued before the end of the wave. No buccal cell collection is planned for Wave 2 or subsequent waves.</w:t>
      </w:r>
    </w:p>
  </w:footnote>
  <w:footnote w:id="3">
    <w:p w:rsidR="00834A05" w:rsidRDefault="00834A05">
      <w:pPr>
        <w:pStyle w:val="FootnoteText"/>
      </w:pPr>
      <w:r>
        <w:rPr>
          <w:rStyle w:val="FootnoteReference"/>
        </w:rPr>
        <w:footnoteRef/>
      </w:r>
      <w:r>
        <w:t xml:space="preserve"> The 2010 rate of menthol cigarette use among Blacks/African Americans was approximately triple the rate among whites and five times the rate among Asians (SAMHSA, 2011).</w:t>
      </w:r>
    </w:p>
  </w:footnote>
  <w:footnote w:id="4">
    <w:p w:rsidR="00834A05" w:rsidRDefault="00834A05">
      <w:pPr>
        <w:pStyle w:val="FootnoteText"/>
      </w:pPr>
      <w:r>
        <w:rPr>
          <w:rStyle w:val="FootnoteReference"/>
        </w:rPr>
        <w:footnoteRef/>
      </w:r>
      <w:r>
        <w:t xml:space="preserve"> In households with multiple births, parents may complete a total of 4 interviews for 4 youth to receive a maximum of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05" w:rsidRDefault="00834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C222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64753"/>
    <w:multiLevelType w:val="hybridMultilevel"/>
    <w:tmpl w:val="D8E0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51F49"/>
    <w:multiLevelType w:val="hybridMultilevel"/>
    <w:tmpl w:val="0E6CC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36E07"/>
    <w:multiLevelType w:val="hybridMultilevel"/>
    <w:tmpl w:val="A5067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646A20"/>
    <w:multiLevelType w:val="hybridMultilevel"/>
    <w:tmpl w:val="270AF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7E7740"/>
    <w:multiLevelType w:val="hybridMultilevel"/>
    <w:tmpl w:val="4976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325D9"/>
    <w:multiLevelType w:val="hybridMultilevel"/>
    <w:tmpl w:val="423202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A77E92"/>
    <w:multiLevelType w:val="hybridMultilevel"/>
    <w:tmpl w:val="EB50E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370B4"/>
    <w:multiLevelType w:val="hybridMultilevel"/>
    <w:tmpl w:val="7708E4BC"/>
    <w:lvl w:ilvl="0" w:tplc="B510C7B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6DD6BDD"/>
    <w:multiLevelType w:val="hybridMultilevel"/>
    <w:tmpl w:val="E35E42F6"/>
    <w:lvl w:ilvl="0" w:tplc="D5023B42">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86E1400"/>
    <w:multiLevelType w:val="hybridMultilevel"/>
    <w:tmpl w:val="0166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C13D9"/>
    <w:multiLevelType w:val="hybridMultilevel"/>
    <w:tmpl w:val="22F8CB7C"/>
    <w:lvl w:ilvl="0" w:tplc="670E095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65182"/>
    <w:multiLevelType w:val="hybridMultilevel"/>
    <w:tmpl w:val="121AD080"/>
    <w:lvl w:ilvl="0" w:tplc="6E2C2C18">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1B1435"/>
    <w:multiLevelType w:val="hybridMultilevel"/>
    <w:tmpl w:val="40E4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847E5C"/>
    <w:multiLevelType w:val="hybridMultilevel"/>
    <w:tmpl w:val="C28AB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43018"/>
    <w:multiLevelType w:val="hybridMultilevel"/>
    <w:tmpl w:val="8904F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B05ACB"/>
    <w:multiLevelType w:val="hybridMultilevel"/>
    <w:tmpl w:val="B91AAC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FB56BA"/>
    <w:multiLevelType w:val="hybridMultilevel"/>
    <w:tmpl w:val="E612E13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E030D65"/>
    <w:multiLevelType w:val="hybridMultilevel"/>
    <w:tmpl w:val="DE2A6D86"/>
    <w:lvl w:ilvl="0" w:tplc="20B645B0">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E304F"/>
    <w:multiLevelType w:val="hybridMultilevel"/>
    <w:tmpl w:val="FD4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46FF1"/>
    <w:multiLevelType w:val="hybridMultilevel"/>
    <w:tmpl w:val="4976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F75AF"/>
    <w:multiLevelType w:val="hybridMultilevel"/>
    <w:tmpl w:val="2E0CE3A6"/>
    <w:lvl w:ilvl="0" w:tplc="670E095A">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1C2FD1"/>
    <w:multiLevelType w:val="hybridMultilevel"/>
    <w:tmpl w:val="8C38D9A8"/>
    <w:lvl w:ilvl="0" w:tplc="29BC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ED72A0"/>
    <w:multiLevelType w:val="hybridMultilevel"/>
    <w:tmpl w:val="839A3B18"/>
    <w:lvl w:ilvl="0" w:tplc="89E6BBDE">
      <w:start w:val="1"/>
      <w:numFmt w:val="bullet"/>
      <w:lvlText w:val=""/>
      <w:lvlJc w:val="left"/>
      <w:pPr>
        <w:ind w:left="720" w:hanging="360"/>
      </w:pPr>
      <w:rPr>
        <w:rFonts w:ascii="Wingdings" w:hAnsi="Wingding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E1FF3"/>
    <w:multiLevelType w:val="hybridMultilevel"/>
    <w:tmpl w:val="97B0D166"/>
    <w:lvl w:ilvl="0" w:tplc="C03E922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24197B"/>
    <w:multiLevelType w:val="hybridMultilevel"/>
    <w:tmpl w:val="8F70220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73303DB9"/>
    <w:multiLevelType w:val="hybridMultilevel"/>
    <w:tmpl w:val="753886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0606C8"/>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78AC335B"/>
    <w:multiLevelType w:val="hybridMultilevel"/>
    <w:tmpl w:val="B910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8EB1DDC"/>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7A85017C"/>
    <w:multiLevelType w:val="hybridMultilevel"/>
    <w:tmpl w:val="3B8CEAC6"/>
    <w:lvl w:ilvl="0" w:tplc="670E095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8A03BE"/>
    <w:multiLevelType w:val="hybridMultilevel"/>
    <w:tmpl w:val="9112E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3"/>
  </w:num>
  <w:num w:numId="3">
    <w:abstractNumId w:val="32"/>
  </w:num>
  <w:num w:numId="4">
    <w:abstractNumId w:val="31"/>
  </w:num>
  <w:num w:numId="5">
    <w:abstractNumId w:val="8"/>
  </w:num>
  <w:num w:numId="6">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9"/>
  </w:num>
  <w:num w:numId="9">
    <w:abstractNumId w:val="22"/>
  </w:num>
  <w:num w:numId="10">
    <w:abstractNumId w:val="13"/>
  </w:num>
  <w:num w:numId="11">
    <w:abstractNumId w:val="12"/>
  </w:num>
  <w:num w:numId="12">
    <w:abstractNumId w:val="1"/>
  </w:num>
  <w:num w:numId="13">
    <w:abstractNumId w:val="18"/>
  </w:num>
  <w:num w:numId="14">
    <w:abstractNumId w:val="16"/>
  </w:num>
  <w:num w:numId="15">
    <w:abstractNumId w:val="5"/>
  </w:num>
  <w:num w:numId="16">
    <w:abstractNumId w:val="11"/>
  </w:num>
  <w:num w:numId="17">
    <w:abstractNumId w:val="17"/>
  </w:num>
  <w:num w:numId="18">
    <w:abstractNumId w:val="6"/>
  </w:num>
  <w:num w:numId="19">
    <w:abstractNumId w:val="2"/>
  </w:num>
  <w:num w:numId="20">
    <w:abstractNumId w:val="30"/>
  </w:num>
  <w:num w:numId="21">
    <w:abstractNumId w:val="7"/>
  </w:num>
  <w:num w:numId="22">
    <w:abstractNumId w:val="3"/>
  </w:num>
  <w:num w:numId="23">
    <w:abstractNumId w:val="26"/>
  </w:num>
  <w:num w:numId="24">
    <w:abstractNumId w:val="24"/>
  </w:num>
  <w:num w:numId="25">
    <w:abstractNumId w:val="10"/>
  </w:num>
  <w:num w:numId="26">
    <w:abstractNumId w:val="28"/>
  </w:num>
  <w:num w:numId="27">
    <w:abstractNumId w:val="5"/>
  </w:num>
  <w:num w:numId="28">
    <w:abstractNumId w:val="11"/>
  </w:num>
  <w:num w:numId="29">
    <w:abstractNumId w:val="17"/>
  </w:num>
  <w:num w:numId="30">
    <w:abstractNumId w:val="6"/>
  </w:num>
  <w:num w:numId="31">
    <w:abstractNumId w:val="15"/>
  </w:num>
  <w:num w:numId="32">
    <w:abstractNumId w:val="27"/>
  </w:num>
  <w:num w:numId="33">
    <w:abstractNumId w:val="14"/>
  </w:num>
  <w:num w:numId="34">
    <w:abstractNumId w:val="0"/>
  </w:num>
  <w:num w:numId="35">
    <w:abstractNumId w:val="21"/>
  </w:num>
  <w:num w:numId="36">
    <w:abstractNumId w:val="29"/>
  </w:num>
  <w:num w:numId="37">
    <w:abstractNumId w:val="9"/>
  </w:num>
  <w:num w:numId="38">
    <w:abstractNumId w:val="34"/>
  </w:num>
  <w:num w:numId="39">
    <w:abstractNumId w:val="25"/>
  </w:num>
  <w:num w:numId="40">
    <w:abstractNumId w:val="23"/>
  </w:num>
  <w:num w:numId="41">
    <w:abstractNumId w:val="20"/>
  </w:num>
  <w:num w:numId="42">
    <w:abstractNumId w:val="4"/>
  </w:num>
  <w:num w:numId="43">
    <w:abstractNumId w:val="5"/>
  </w:num>
  <w:num w:numId="44">
    <w:abstractNumId w:val="5"/>
  </w:num>
  <w:num w:numId="45">
    <w:abstractNumId w:val="5"/>
  </w:num>
  <w:num w:numId="46">
    <w:abstractNumId w:val="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A1"/>
    <w:rsid w:val="0000010B"/>
    <w:rsid w:val="00001267"/>
    <w:rsid w:val="00001425"/>
    <w:rsid w:val="00001BA0"/>
    <w:rsid w:val="00002144"/>
    <w:rsid w:val="000021C4"/>
    <w:rsid w:val="00003071"/>
    <w:rsid w:val="00003907"/>
    <w:rsid w:val="00004780"/>
    <w:rsid w:val="00004D51"/>
    <w:rsid w:val="000053BE"/>
    <w:rsid w:val="00006F9D"/>
    <w:rsid w:val="0000703A"/>
    <w:rsid w:val="00007760"/>
    <w:rsid w:val="00007EF3"/>
    <w:rsid w:val="00014590"/>
    <w:rsid w:val="000147A5"/>
    <w:rsid w:val="000150FE"/>
    <w:rsid w:val="0001595C"/>
    <w:rsid w:val="000161E9"/>
    <w:rsid w:val="00016323"/>
    <w:rsid w:val="00016337"/>
    <w:rsid w:val="0001682D"/>
    <w:rsid w:val="00017255"/>
    <w:rsid w:val="00017695"/>
    <w:rsid w:val="000207B1"/>
    <w:rsid w:val="00020EF6"/>
    <w:rsid w:val="000210B9"/>
    <w:rsid w:val="00021ADE"/>
    <w:rsid w:val="00021BF4"/>
    <w:rsid w:val="00023FF5"/>
    <w:rsid w:val="000249A8"/>
    <w:rsid w:val="00025AC1"/>
    <w:rsid w:val="000272DF"/>
    <w:rsid w:val="00027C3F"/>
    <w:rsid w:val="00031412"/>
    <w:rsid w:val="000348A2"/>
    <w:rsid w:val="00034EFB"/>
    <w:rsid w:val="00035036"/>
    <w:rsid w:val="0003511A"/>
    <w:rsid w:val="00036001"/>
    <w:rsid w:val="00036220"/>
    <w:rsid w:val="00036C09"/>
    <w:rsid w:val="00042005"/>
    <w:rsid w:val="00043C94"/>
    <w:rsid w:val="000440BA"/>
    <w:rsid w:val="00044EAE"/>
    <w:rsid w:val="00046BDD"/>
    <w:rsid w:val="00046E90"/>
    <w:rsid w:val="00047492"/>
    <w:rsid w:val="0005097C"/>
    <w:rsid w:val="0005104D"/>
    <w:rsid w:val="0005113B"/>
    <w:rsid w:val="0005129E"/>
    <w:rsid w:val="000517FC"/>
    <w:rsid w:val="00051D9A"/>
    <w:rsid w:val="00051DFD"/>
    <w:rsid w:val="000536F6"/>
    <w:rsid w:val="00053A60"/>
    <w:rsid w:val="00054230"/>
    <w:rsid w:val="00054F9A"/>
    <w:rsid w:val="0005547E"/>
    <w:rsid w:val="00056636"/>
    <w:rsid w:val="000576F7"/>
    <w:rsid w:val="000611E4"/>
    <w:rsid w:val="0006181F"/>
    <w:rsid w:val="00061BC9"/>
    <w:rsid w:val="000627EF"/>
    <w:rsid w:val="0006394A"/>
    <w:rsid w:val="00063B2D"/>
    <w:rsid w:val="00064B17"/>
    <w:rsid w:val="000656FA"/>
    <w:rsid w:val="000662E0"/>
    <w:rsid w:val="00066DFC"/>
    <w:rsid w:val="000671AA"/>
    <w:rsid w:val="0006742F"/>
    <w:rsid w:val="00067C3C"/>
    <w:rsid w:val="00073A80"/>
    <w:rsid w:val="0007499D"/>
    <w:rsid w:val="00074C23"/>
    <w:rsid w:val="000763E8"/>
    <w:rsid w:val="000767B9"/>
    <w:rsid w:val="00076966"/>
    <w:rsid w:val="00076AC5"/>
    <w:rsid w:val="00076D7E"/>
    <w:rsid w:val="00076F03"/>
    <w:rsid w:val="000775B5"/>
    <w:rsid w:val="00080DF2"/>
    <w:rsid w:val="00081883"/>
    <w:rsid w:val="00081B9A"/>
    <w:rsid w:val="00082463"/>
    <w:rsid w:val="0008256D"/>
    <w:rsid w:val="00083718"/>
    <w:rsid w:val="00083C89"/>
    <w:rsid w:val="000857D4"/>
    <w:rsid w:val="0008612A"/>
    <w:rsid w:val="0008720B"/>
    <w:rsid w:val="00087BD9"/>
    <w:rsid w:val="00087FA4"/>
    <w:rsid w:val="0009060F"/>
    <w:rsid w:val="00090C81"/>
    <w:rsid w:val="00091409"/>
    <w:rsid w:val="00091717"/>
    <w:rsid w:val="00091C3E"/>
    <w:rsid w:val="0009229E"/>
    <w:rsid w:val="00093761"/>
    <w:rsid w:val="000941A2"/>
    <w:rsid w:val="00095514"/>
    <w:rsid w:val="00095656"/>
    <w:rsid w:val="00095878"/>
    <w:rsid w:val="000A0B58"/>
    <w:rsid w:val="000A168A"/>
    <w:rsid w:val="000A196E"/>
    <w:rsid w:val="000A233C"/>
    <w:rsid w:val="000A2907"/>
    <w:rsid w:val="000A3BB4"/>
    <w:rsid w:val="000A3CD9"/>
    <w:rsid w:val="000A4450"/>
    <w:rsid w:val="000A4E29"/>
    <w:rsid w:val="000A57D6"/>
    <w:rsid w:val="000A59A7"/>
    <w:rsid w:val="000A6A65"/>
    <w:rsid w:val="000A6F60"/>
    <w:rsid w:val="000A6FDA"/>
    <w:rsid w:val="000A7784"/>
    <w:rsid w:val="000A7C64"/>
    <w:rsid w:val="000A7E24"/>
    <w:rsid w:val="000A7F3D"/>
    <w:rsid w:val="000B052B"/>
    <w:rsid w:val="000B2739"/>
    <w:rsid w:val="000B28F6"/>
    <w:rsid w:val="000B4552"/>
    <w:rsid w:val="000B47D8"/>
    <w:rsid w:val="000B4CA9"/>
    <w:rsid w:val="000B5070"/>
    <w:rsid w:val="000B7BF4"/>
    <w:rsid w:val="000C0476"/>
    <w:rsid w:val="000C0BE4"/>
    <w:rsid w:val="000C2079"/>
    <w:rsid w:val="000C259B"/>
    <w:rsid w:val="000C264B"/>
    <w:rsid w:val="000C436D"/>
    <w:rsid w:val="000C5533"/>
    <w:rsid w:val="000C59DA"/>
    <w:rsid w:val="000C7F3D"/>
    <w:rsid w:val="000D0B1B"/>
    <w:rsid w:val="000D1663"/>
    <w:rsid w:val="000D2A5F"/>
    <w:rsid w:val="000D3422"/>
    <w:rsid w:val="000D3949"/>
    <w:rsid w:val="000D396B"/>
    <w:rsid w:val="000D3CB8"/>
    <w:rsid w:val="000D47DE"/>
    <w:rsid w:val="000D4B6D"/>
    <w:rsid w:val="000D6392"/>
    <w:rsid w:val="000D6870"/>
    <w:rsid w:val="000D7562"/>
    <w:rsid w:val="000E01D2"/>
    <w:rsid w:val="000E0414"/>
    <w:rsid w:val="000E17A0"/>
    <w:rsid w:val="000E28E6"/>
    <w:rsid w:val="000E4A19"/>
    <w:rsid w:val="000E531D"/>
    <w:rsid w:val="000E549D"/>
    <w:rsid w:val="000E591C"/>
    <w:rsid w:val="000E736A"/>
    <w:rsid w:val="000E786C"/>
    <w:rsid w:val="000F0CA7"/>
    <w:rsid w:val="000F14EC"/>
    <w:rsid w:val="000F193F"/>
    <w:rsid w:val="000F2F5F"/>
    <w:rsid w:val="000F5A82"/>
    <w:rsid w:val="000F6E5D"/>
    <w:rsid w:val="000F7D27"/>
    <w:rsid w:val="00100A74"/>
    <w:rsid w:val="00100B62"/>
    <w:rsid w:val="00102720"/>
    <w:rsid w:val="00102CF5"/>
    <w:rsid w:val="0010361D"/>
    <w:rsid w:val="0010499F"/>
    <w:rsid w:val="00105788"/>
    <w:rsid w:val="00105FD5"/>
    <w:rsid w:val="001063C4"/>
    <w:rsid w:val="00107B83"/>
    <w:rsid w:val="00110507"/>
    <w:rsid w:val="00110660"/>
    <w:rsid w:val="00111A25"/>
    <w:rsid w:val="00111C02"/>
    <w:rsid w:val="001121F5"/>
    <w:rsid w:val="0011262C"/>
    <w:rsid w:val="001126C1"/>
    <w:rsid w:val="0011301C"/>
    <w:rsid w:val="001158D8"/>
    <w:rsid w:val="00116950"/>
    <w:rsid w:val="00116A00"/>
    <w:rsid w:val="0011713D"/>
    <w:rsid w:val="00117171"/>
    <w:rsid w:val="001177E6"/>
    <w:rsid w:val="001201CC"/>
    <w:rsid w:val="00120662"/>
    <w:rsid w:val="00120948"/>
    <w:rsid w:val="00120B3D"/>
    <w:rsid w:val="001219AD"/>
    <w:rsid w:val="00121DDE"/>
    <w:rsid w:val="0012451E"/>
    <w:rsid w:val="00125056"/>
    <w:rsid w:val="001260A1"/>
    <w:rsid w:val="00126B1A"/>
    <w:rsid w:val="00126B48"/>
    <w:rsid w:val="00130012"/>
    <w:rsid w:val="001304B0"/>
    <w:rsid w:val="00130980"/>
    <w:rsid w:val="0013111F"/>
    <w:rsid w:val="001315FB"/>
    <w:rsid w:val="00131B70"/>
    <w:rsid w:val="0013234F"/>
    <w:rsid w:val="001323BE"/>
    <w:rsid w:val="00133E9C"/>
    <w:rsid w:val="00134FB4"/>
    <w:rsid w:val="00135E88"/>
    <w:rsid w:val="001370CE"/>
    <w:rsid w:val="001411D9"/>
    <w:rsid w:val="00141CC1"/>
    <w:rsid w:val="0014317F"/>
    <w:rsid w:val="001437AC"/>
    <w:rsid w:val="001445BC"/>
    <w:rsid w:val="00145770"/>
    <w:rsid w:val="00146460"/>
    <w:rsid w:val="0014663A"/>
    <w:rsid w:val="00146908"/>
    <w:rsid w:val="0014792E"/>
    <w:rsid w:val="00155A2A"/>
    <w:rsid w:val="0015624B"/>
    <w:rsid w:val="00156B5E"/>
    <w:rsid w:val="00157B91"/>
    <w:rsid w:val="0016021C"/>
    <w:rsid w:val="001607E9"/>
    <w:rsid w:val="001618F3"/>
    <w:rsid w:val="00161E8E"/>
    <w:rsid w:val="00162789"/>
    <w:rsid w:val="00162D1C"/>
    <w:rsid w:val="00163EAD"/>
    <w:rsid w:val="001647C4"/>
    <w:rsid w:val="00164911"/>
    <w:rsid w:val="00165E09"/>
    <w:rsid w:val="00166C27"/>
    <w:rsid w:val="00167A3B"/>
    <w:rsid w:val="00167AD8"/>
    <w:rsid w:val="00167FD6"/>
    <w:rsid w:val="00171174"/>
    <w:rsid w:val="001726EE"/>
    <w:rsid w:val="00174919"/>
    <w:rsid w:val="001751A8"/>
    <w:rsid w:val="001752D4"/>
    <w:rsid w:val="00175348"/>
    <w:rsid w:val="001762C2"/>
    <w:rsid w:val="0018087E"/>
    <w:rsid w:val="00184499"/>
    <w:rsid w:val="0018652C"/>
    <w:rsid w:val="00186838"/>
    <w:rsid w:val="00187310"/>
    <w:rsid w:val="001878B9"/>
    <w:rsid w:val="001904F8"/>
    <w:rsid w:val="00190769"/>
    <w:rsid w:val="0019310B"/>
    <w:rsid w:val="0019325C"/>
    <w:rsid w:val="00196FA0"/>
    <w:rsid w:val="001975E6"/>
    <w:rsid w:val="00197E24"/>
    <w:rsid w:val="001A0B7D"/>
    <w:rsid w:val="001A17F0"/>
    <w:rsid w:val="001A20EE"/>
    <w:rsid w:val="001A2910"/>
    <w:rsid w:val="001A336B"/>
    <w:rsid w:val="001B122B"/>
    <w:rsid w:val="001B2273"/>
    <w:rsid w:val="001B282E"/>
    <w:rsid w:val="001B2AD9"/>
    <w:rsid w:val="001B3857"/>
    <w:rsid w:val="001B3FC7"/>
    <w:rsid w:val="001B5028"/>
    <w:rsid w:val="001B5255"/>
    <w:rsid w:val="001B53C1"/>
    <w:rsid w:val="001B5D74"/>
    <w:rsid w:val="001B63DD"/>
    <w:rsid w:val="001B65B0"/>
    <w:rsid w:val="001C0173"/>
    <w:rsid w:val="001C0454"/>
    <w:rsid w:val="001C052C"/>
    <w:rsid w:val="001C214A"/>
    <w:rsid w:val="001C2884"/>
    <w:rsid w:val="001C2ED1"/>
    <w:rsid w:val="001C4947"/>
    <w:rsid w:val="001C49D7"/>
    <w:rsid w:val="001C4BD6"/>
    <w:rsid w:val="001C5AE9"/>
    <w:rsid w:val="001C5F16"/>
    <w:rsid w:val="001C706A"/>
    <w:rsid w:val="001C7929"/>
    <w:rsid w:val="001C7CFF"/>
    <w:rsid w:val="001D2813"/>
    <w:rsid w:val="001D345B"/>
    <w:rsid w:val="001D34EA"/>
    <w:rsid w:val="001D3832"/>
    <w:rsid w:val="001D5554"/>
    <w:rsid w:val="001D62A0"/>
    <w:rsid w:val="001E005E"/>
    <w:rsid w:val="001E2009"/>
    <w:rsid w:val="001E337D"/>
    <w:rsid w:val="001E418D"/>
    <w:rsid w:val="001E463A"/>
    <w:rsid w:val="001E47C8"/>
    <w:rsid w:val="001E4CE5"/>
    <w:rsid w:val="001E5816"/>
    <w:rsid w:val="001E7625"/>
    <w:rsid w:val="001E76F0"/>
    <w:rsid w:val="001E7D85"/>
    <w:rsid w:val="001F1098"/>
    <w:rsid w:val="001F56EB"/>
    <w:rsid w:val="001F7658"/>
    <w:rsid w:val="001F7DB7"/>
    <w:rsid w:val="002021AA"/>
    <w:rsid w:val="002043B7"/>
    <w:rsid w:val="00204EA1"/>
    <w:rsid w:val="00204F1C"/>
    <w:rsid w:val="0021026B"/>
    <w:rsid w:val="0021051D"/>
    <w:rsid w:val="00212944"/>
    <w:rsid w:val="00214885"/>
    <w:rsid w:val="00214AFA"/>
    <w:rsid w:val="00215ACA"/>
    <w:rsid w:val="00215E86"/>
    <w:rsid w:val="00216BBF"/>
    <w:rsid w:val="00216F0B"/>
    <w:rsid w:val="002209CE"/>
    <w:rsid w:val="00221EAC"/>
    <w:rsid w:val="00221F3D"/>
    <w:rsid w:val="00222346"/>
    <w:rsid w:val="002226BD"/>
    <w:rsid w:val="00223394"/>
    <w:rsid w:val="00223696"/>
    <w:rsid w:val="002236D2"/>
    <w:rsid w:val="00224D80"/>
    <w:rsid w:val="0022527E"/>
    <w:rsid w:val="00226AE6"/>
    <w:rsid w:val="0022716A"/>
    <w:rsid w:val="002300C3"/>
    <w:rsid w:val="0023016A"/>
    <w:rsid w:val="002318CE"/>
    <w:rsid w:val="0023206F"/>
    <w:rsid w:val="0023338C"/>
    <w:rsid w:val="0023376A"/>
    <w:rsid w:val="002346DA"/>
    <w:rsid w:val="00236D34"/>
    <w:rsid w:val="0023735E"/>
    <w:rsid w:val="0023765D"/>
    <w:rsid w:val="002403EE"/>
    <w:rsid w:val="00240E69"/>
    <w:rsid w:val="00241412"/>
    <w:rsid w:val="00241D69"/>
    <w:rsid w:val="00241FF4"/>
    <w:rsid w:val="002423A0"/>
    <w:rsid w:val="00242547"/>
    <w:rsid w:val="00242E07"/>
    <w:rsid w:val="002431CB"/>
    <w:rsid w:val="002432A6"/>
    <w:rsid w:val="00243C8E"/>
    <w:rsid w:val="00245DA8"/>
    <w:rsid w:val="00250631"/>
    <w:rsid w:val="0025116D"/>
    <w:rsid w:val="0025287A"/>
    <w:rsid w:val="00252964"/>
    <w:rsid w:val="00252AEA"/>
    <w:rsid w:val="00252C0E"/>
    <w:rsid w:val="00255152"/>
    <w:rsid w:val="002558B8"/>
    <w:rsid w:val="00255F1A"/>
    <w:rsid w:val="002579B3"/>
    <w:rsid w:val="00260F25"/>
    <w:rsid w:val="00261096"/>
    <w:rsid w:val="002628A3"/>
    <w:rsid w:val="00262BDA"/>
    <w:rsid w:val="0026304A"/>
    <w:rsid w:val="00263ECE"/>
    <w:rsid w:val="002647A0"/>
    <w:rsid w:val="002649C4"/>
    <w:rsid w:val="00265A8C"/>
    <w:rsid w:val="00265C65"/>
    <w:rsid w:val="00265FB4"/>
    <w:rsid w:val="00266191"/>
    <w:rsid w:val="00267427"/>
    <w:rsid w:val="002676FC"/>
    <w:rsid w:val="002701DF"/>
    <w:rsid w:val="002706F1"/>
    <w:rsid w:val="002713C4"/>
    <w:rsid w:val="002721D0"/>
    <w:rsid w:val="002726CD"/>
    <w:rsid w:val="00275076"/>
    <w:rsid w:val="0027538D"/>
    <w:rsid w:val="00276CA6"/>
    <w:rsid w:val="00277BFF"/>
    <w:rsid w:val="00277CA4"/>
    <w:rsid w:val="002800D0"/>
    <w:rsid w:val="002802EE"/>
    <w:rsid w:val="00280B09"/>
    <w:rsid w:val="00281851"/>
    <w:rsid w:val="00282014"/>
    <w:rsid w:val="00282082"/>
    <w:rsid w:val="00282490"/>
    <w:rsid w:val="00282B2C"/>
    <w:rsid w:val="002843D6"/>
    <w:rsid w:val="00286327"/>
    <w:rsid w:val="00286A22"/>
    <w:rsid w:val="00286FF0"/>
    <w:rsid w:val="00287A6B"/>
    <w:rsid w:val="00294536"/>
    <w:rsid w:val="0029509F"/>
    <w:rsid w:val="00295960"/>
    <w:rsid w:val="00296DE4"/>
    <w:rsid w:val="00297038"/>
    <w:rsid w:val="002A14C4"/>
    <w:rsid w:val="002A1FA0"/>
    <w:rsid w:val="002A266D"/>
    <w:rsid w:val="002A3A43"/>
    <w:rsid w:val="002A3EAC"/>
    <w:rsid w:val="002A4137"/>
    <w:rsid w:val="002A4C1B"/>
    <w:rsid w:val="002A7DE8"/>
    <w:rsid w:val="002B0145"/>
    <w:rsid w:val="002B11E8"/>
    <w:rsid w:val="002B1808"/>
    <w:rsid w:val="002B3961"/>
    <w:rsid w:val="002B3B71"/>
    <w:rsid w:val="002B4C61"/>
    <w:rsid w:val="002B55BD"/>
    <w:rsid w:val="002B5F47"/>
    <w:rsid w:val="002B5FFF"/>
    <w:rsid w:val="002B76DE"/>
    <w:rsid w:val="002C27E8"/>
    <w:rsid w:val="002C2B66"/>
    <w:rsid w:val="002C3518"/>
    <w:rsid w:val="002C5305"/>
    <w:rsid w:val="002C55EA"/>
    <w:rsid w:val="002C5B09"/>
    <w:rsid w:val="002C5B68"/>
    <w:rsid w:val="002C7F50"/>
    <w:rsid w:val="002D04F4"/>
    <w:rsid w:val="002D0A3F"/>
    <w:rsid w:val="002D2013"/>
    <w:rsid w:val="002D30E5"/>
    <w:rsid w:val="002D52C0"/>
    <w:rsid w:val="002D5E7F"/>
    <w:rsid w:val="002D63E1"/>
    <w:rsid w:val="002D6DC4"/>
    <w:rsid w:val="002E13F2"/>
    <w:rsid w:val="002E1944"/>
    <w:rsid w:val="002E23C5"/>
    <w:rsid w:val="002E3CE9"/>
    <w:rsid w:val="002E488E"/>
    <w:rsid w:val="002E520E"/>
    <w:rsid w:val="002E5963"/>
    <w:rsid w:val="002E59EB"/>
    <w:rsid w:val="002E68E3"/>
    <w:rsid w:val="002F0966"/>
    <w:rsid w:val="002F0A3A"/>
    <w:rsid w:val="002F0BF4"/>
    <w:rsid w:val="002F0E92"/>
    <w:rsid w:val="002F12A6"/>
    <w:rsid w:val="002F2D8C"/>
    <w:rsid w:val="002F32AD"/>
    <w:rsid w:val="002F3D6B"/>
    <w:rsid w:val="002F3D9E"/>
    <w:rsid w:val="002F3F83"/>
    <w:rsid w:val="002F457E"/>
    <w:rsid w:val="002F5027"/>
    <w:rsid w:val="002F5B0C"/>
    <w:rsid w:val="002F6208"/>
    <w:rsid w:val="002F7034"/>
    <w:rsid w:val="002F73B5"/>
    <w:rsid w:val="002F7ABC"/>
    <w:rsid w:val="002F7CC8"/>
    <w:rsid w:val="003019EC"/>
    <w:rsid w:val="003021C7"/>
    <w:rsid w:val="00302345"/>
    <w:rsid w:val="003027E4"/>
    <w:rsid w:val="00303CDC"/>
    <w:rsid w:val="003044F3"/>
    <w:rsid w:val="003048E3"/>
    <w:rsid w:val="0030493A"/>
    <w:rsid w:val="00304941"/>
    <w:rsid w:val="00304E60"/>
    <w:rsid w:val="00305843"/>
    <w:rsid w:val="00305D4D"/>
    <w:rsid w:val="00305DD2"/>
    <w:rsid w:val="0030700B"/>
    <w:rsid w:val="0030722A"/>
    <w:rsid w:val="003076BE"/>
    <w:rsid w:val="00310733"/>
    <w:rsid w:val="0031076D"/>
    <w:rsid w:val="00311620"/>
    <w:rsid w:val="00311702"/>
    <w:rsid w:val="00311730"/>
    <w:rsid w:val="00311C28"/>
    <w:rsid w:val="00312759"/>
    <w:rsid w:val="003173AB"/>
    <w:rsid w:val="00320409"/>
    <w:rsid w:val="003220CB"/>
    <w:rsid w:val="00323051"/>
    <w:rsid w:val="003251D3"/>
    <w:rsid w:val="00325687"/>
    <w:rsid w:val="00326678"/>
    <w:rsid w:val="00326984"/>
    <w:rsid w:val="00326C6F"/>
    <w:rsid w:val="00327F07"/>
    <w:rsid w:val="00331D82"/>
    <w:rsid w:val="003327BF"/>
    <w:rsid w:val="00334AC4"/>
    <w:rsid w:val="00334C04"/>
    <w:rsid w:val="00335D5D"/>
    <w:rsid w:val="00340226"/>
    <w:rsid w:val="0034039D"/>
    <w:rsid w:val="0034041C"/>
    <w:rsid w:val="003404F1"/>
    <w:rsid w:val="00343736"/>
    <w:rsid w:val="00344623"/>
    <w:rsid w:val="00344C26"/>
    <w:rsid w:val="003450F8"/>
    <w:rsid w:val="00345F9B"/>
    <w:rsid w:val="00347292"/>
    <w:rsid w:val="00350003"/>
    <w:rsid w:val="00350AE9"/>
    <w:rsid w:val="00351958"/>
    <w:rsid w:val="00351A46"/>
    <w:rsid w:val="00352EFF"/>
    <w:rsid w:val="00354FC0"/>
    <w:rsid w:val="003554BE"/>
    <w:rsid w:val="003569DE"/>
    <w:rsid w:val="00357891"/>
    <w:rsid w:val="00357ADE"/>
    <w:rsid w:val="003609A3"/>
    <w:rsid w:val="0036179F"/>
    <w:rsid w:val="0036198F"/>
    <w:rsid w:val="00361B9E"/>
    <w:rsid w:val="00362907"/>
    <w:rsid w:val="00364009"/>
    <w:rsid w:val="00365BF6"/>
    <w:rsid w:val="00365C41"/>
    <w:rsid w:val="00366FFA"/>
    <w:rsid w:val="00367247"/>
    <w:rsid w:val="00367C53"/>
    <w:rsid w:val="003745D2"/>
    <w:rsid w:val="003751CC"/>
    <w:rsid w:val="00376092"/>
    <w:rsid w:val="003769D7"/>
    <w:rsid w:val="003776E6"/>
    <w:rsid w:val="00382FBF"/>
    <w:rsid w:val="003836A5"/>
    <w:rsid w:val="00383F15"/>
    <w:rsid w:val="00383FE1"/>
    <w:rsid w:val="00384399"/>
    <w:rsid w:val="00384468"/>
    <w:rsid w:val="00384DDB"/>
    <w:rsid w:val="0038535F"/>
    <w:rsid w:val="003858AC"/>
    <w:rsid w:val="00386162"/>
    <w:rsid w:val="003909B1"/>
    <w:rsid w:val="00390F04"/>
    <w:rsid w:val="0039240A"/>
    <w:rsid w:val="00394D87"/>
    <w:rsid w:val="00395AEE"/>
    <w:rsid w:val="00395CFC"/>
    <w:rsid w:val="00395DAA"/>
    <w:rsid w:val="00396B5B"/>
    <w:rsid w:val="00397103"/>
    <w:rsid w:val="00397242"/>
    <w:rsid w:val="00397F89"/>
    <w:rsid w:val="00397FC4"/>
    <w:rsid w:val="003A1A85"/>
    <w:rsid w:val="003A21AC"/>
    <w:rsid w:val="003A26FB"/>
    <w:rsid w:val="003A3981"/>
    <w:rsid w:val="003A4C32"/>
    <w:rsid w:val="003A4FBE"/>
    <w:rsid w:val="003A7D96"/>
    <w:rsid w:val="003A7F5A"/>
    <w:rsid w:val="003B130C"/>
    <w:rsid w:val="003B2EC3"/>
    <w:rsid w:val="003B38FB"/>
    <w:rsid w:val="003B469E"/>
    <w:rsid w:val="003B685E"/>
    <w:rsid w:val="003B6C25"/>
    <w:rsid w:val="003B71D7"/>
    <w:rsid w:val="003B7312"/>
    <w:rsid w:val="003C05D4"/>
    <w:rsid w:val="003C0A60"/>
    <w:rsid w:val="003C10F6"/>
    <w:rsid w:val="003C111B"/>
    <w:rsid w:val="003C15D2"/>
    <w:rsid w:val="003C1DE0"/>
    <w:rsid w:val="003C2AD4"/>
    <w:rsid w:val="003C360F"/>
    <w:rsid w:val="003C446F"/>
    <w:rsid w:val="003C465B"/>
    <w:rsid w:val="003C6438"/>
    <w:rsid w:val="003C6641"/>
    <w:rsid w:val="003C69E4"/>
    <w:rsid w:val="003C75F4"/>
    <w:rsid w:val="003C7984"/>
    <w:rsid w:val="003C7BB4"/>
    <w:rsid w:val="003D120D"/>
    <w:rsid w:val="003D214C"/>
    <w:rsid w:val="003D24F1"/>
    <w:rsid w:val="003D268D"/>
    <w:rsid w:val="003D27E6"/>
    <w:rsid w:val="003D3E3B"/>
    <w:rsid w:val="003D4A3A"/>
    <w:rsid w:val="003D5FA4"/>
    <w:rsid w:val="003E0548"/>
    <w:rsid w:val="003E2154"/>
    <w:rsid w:val="003E3E77"/>
    <w:rsid w:val="003E4897"/>
    <w:rsid w:val="003E505A"/>
    <w:rsid w:val="003F3694"/>
    <w:rsid w:val="003F440C"/>
    <w:rsid w:val="003F578A"/>
    <w:rsid w:val="003F59B8"/>
    <w:rsid w:val="003F5E18"/>
    <w:rsid w:val="003F697E"/>
    <w:rsid w:val="004032A8"/>
    <w:rsid w:val="0040332E"/>
    <w:rsid w:val="00403683"/>
    <w:rsid w:val="00406DE5"/>
    <w:rsid w:val="00407C3F"/>
    <w:rsid w:val="004121E5"/>
    <w:rsid w:val="004127AB"/>
    <w:rsid w:val="00412FC6"/>
    <w:rsid w:val="00413C1E"/>
    <w:rsid w:val="00413FC9"/>
    <w:rsid w:val="00415395"/>
    <w:rsid w:val="00415E77"/>
    <w:rsid w:val="004173C2"/>
    <w:rsid w:val="004173F1"/>
    <w:rsid w:val="0042075D"/>
    <w:rsid w:val="0042086C"/>
    <w:rsid w:val="00420CFB"/>
    <w:rsid w:val="00420DB9"/>
    <w:rsid w:val="00421760"/>
    <w:rsid w:val="00422DFD"/>
    <w:rsid w:val="004237BB"/>
    <w:rsid w:val="00424939"/>
    <w:rsid w:val="00425C81"/>
    <w:rsid w:val="00427B88"/>
    <w:rsid w:val="004302C2"/>
    <w:rsid w:val="0043053A"/>
    <w:rsid w:val="00431A70"/>
    <w:rsid w:val="004324B7"/>
    <w:rsid w:val="00434DB1"/>
    <w:rsid w:val="00435646"/>
    <w:rsid w:val="0043569D"/>
    <w:rsid w:val="00435A18"/>
    <w:rsid w:val="00435F62"/>
    <w:rsid w:val="004369E2"/>
    <w:rsid w:val="00437517"/>
    <w:rsid w:val="00437601"/>
    <w:rsid w:val="00440252"/>
    <w:rsid w:val="004402FA"/>
    <w:rsid w:val="00440A74"/>
    <w:rsid w:val="00441A2A"/>
    <w:rsid w:val="004422AC"/>
    <w:rsid w:val="00442F2A"/>
    <w:rsid w:val="004430DF"/>
    <w:rsid w:val="00443945"/>
    <w:rsid w:val="00443BEF"/>
    <w:rsid w:val="004449DE"/>
    <w:rsid w:val="00444CAE"/>
    <w:rsid w:val="00445B71"/>
    <w:rsid w:val="004461B3"/>
    <w:rsid w:val="00446941"/>
    <w:rsid w:val="00446B15"/>
    <w:rsid w:val="0044798E"/>
    <w:rsid w:val="00447C05"/>
    <w:rsid w:val="00447EFC"/>
    <w:rsid w:val="00447FE3"/>
    <w:rsid w:val="00451C83"/>
    <w:rsid w:val="00452554"/>
    <w:rsid w:val="00453F51"/>
    <w:rsid w:val="00456D90"/>
    <w:rsid w:val="00456DB0"/>
    <w:rsid w:val="0045780D"/>
    <w:rsid w:val="0045792A"/>
    <w:rsid w:val="004607DE"/>
    <w:rsid w:val="00462375"/>
    <w:rsid w:val="0046304C"/>
    <w:rsid w:val="004639B7"/>
    <w:rsid w:val="00463A29"/>
    <w:rsid w:val="004642D3"/>
    <w:rsid w:val="00464633"/>
    <w:rsid w:val="00464B7E"/>
    <w:rsid w:val="00464FE0"/>
    <w:rsid w:val="00465969"/>
    <w:rsid w:val="00465B2C"/>
    <w:rsid w:val="004663D8"/>
    <w:rsid w:val="00466959"/>
    <w:rsid w:val="00466CDF"/>
    <w:rsid w:val="00467ED1"/>
    <w:rsid w:val="0047014B"/>
    <w:rsid w:val="00470C13"/>
    <w:rsid w:val="00470DCB"/>
    <w:rsid w:val="00471D2D"/>
    <w:rsid w:val="0047345C"/>
    <w:rsid w:val="00473ECD"/>
    <w:rsid w:val="00475658"/>
    <w:rsid w:val="00475C98"/>
    <w:rsid w:val="00476835"/>
    <w:rsid w:val="00480733"/>
    <w:rsid w:val="00482A45"/>
    <w:rsid w:val="00482E1D"/>
    <w:rsid w:val="004835A2"/>
    <w:rsid w:val="00484C34"/>
    <w:rsid w:val="0048598B"/>
    <w:rsid w:val="00485B13"/>
    <w:rsid w:val="00486945"/>
    <w:rsid w:val="00486A04"/>
    <w:rsid w:val="00486E94"/>
    <w:rsid w:val="00487536"/>
    <w:rsid w:val="004876B3"/>
    <w:rsid w:val="0048785B"/>
    <w:rsid w:val="004902B6"/>
    <w:rsid w:val="00490575"/>
    <w:rsid w:val="00490B2E"/>
    <w:rsid w:val="00490F1C"/>
    <w:rsid w:val="0049196C"/>
    <w:rsid w:val="00493207"/>
    <w:rsid w:val="004941B2"/>
    <w:rsid w:val="00494356"/>
    <w:rsid w:val="00494357"/>
    <w:rsid w:val="004949CC"/>
    <w:rsid w:val="00494CB2"/>
    <w:rsid w:val="004976D0"/>
    <w:rsid w:val="00497779"/>
    <w:rsid w:val="004A09D7"/>
    <w:rsid w:val="004A1BE6"/>
    <w:rsid w:val="004A2068"/>
    <w:rsid w:val="004A51AF"/>
    <w:rsid w:val="004A54CE"/>
    <w:rsid w:val="004A58E1"/>
    <w:rsid w:val="004A6036"/>
    <w:rsid w:val="004A6A63"/>
    <w:rsid w:val="004B05A0"/>
    <w:rsid w:val="004B3317"/>
    <w:rsid w:val="004B36A0"/>
    <w:rsid w:val="004B381A"/>
    <w:rsid w:val="004B5068"/>
    <w:rsid w:val="004B570F"/>
    <w:rsid w:val="004B5C24"/>
    <w:rsid w:val="004B72B9"/>
    <w:rsid w:val="004C0510"/>
    <w:rsid w:val="004C1836"/>
    <w:rsid w:val="004C321F"/>
    <w:rsid w:val="004C350B"/>
    <w:rsid w:val="004C57EF"/>
    <w:rsid w:val="004C5E3F"/>
    <w:rsid w:val="004C71AF"/>
    <w:rsid w:val="004D008E"/>
    <w:rsid w:val="004D02E8"/>
    <w:rsid w:val="004D0685"/>
    <w:rsid w:val="004D2605"/>
    <w:rsid w:val="004D2DDA"/>
    <w:rsid w:val="004D43F8"/>
    <w:rsid w:val="004D459C"/>
    <w:rsid w:val="004D487B"/>
    <w:rsid w:val="004D7224"/>
    <w:rsid w:val="004E16E9"/>
    <w:rsid w:val="004E3928"/>
    <w:rsid w:val="004E3A1B"/>
    <w:rsid w:val="004E3D64"/>
    <w:rsid w:val="004E4C71"/>
    <w:rsid w:val="004E50F3"/>
    <w:rsid w:val="004E57F4"/>
    <w:rsid w:val="004E6AF6"/>
    <w:rsid w:val="004E7409"/>
    <w:rsid w:val="004E79D8"/>
    <w:rsid w:val="004E7C4F"/>
    <w:rsid w:val="004F000F"/>
    <w:rsid w:val="004F0461"/>
    <w:rsid w:val="004F064B"/>
    <w:rsid w:val="004F15DB"/>
    <w:rsid w:val="004F16B7"/>
    <w:rsid w:val="004F1706"/>
    <w:rsid w:val="004F266B"/>
    <w:rsid w:val="004F36FF"/>
    <w:rsid w:val="004F3768"/>
    <w:rsid w:val="004F5A13"/>
    <w:rsid w:val="004F6929"/>
    <w:rsid w:val="004F73C6"/>
    <w:rsid w:val="004F7D15"/>
    <w:rsid w:val="00500CB0"/>
    <w:rsid w:val="00501665"/>
    <w:rsid w:val="00505117"/>
    <w:rsid w:val="00507172"/>
    <w:rsid w:val="00511786"/>
    <w:rsid w:val="005132E4"/>
    <w:rsid w:val="00515005"/>
    <w:rsid w:val="00515209"/>
    <w:rsid w:val="00515379"/>
    <w:rsid w:val="00516E50"/>
    <w:rsid w:val="00516FF4"/>
    <w:rsid w:val="005206C0"/>
    <w:rsid w:val="0052080E"/>
    <w:rsid w:val="00520E71"/>
    <w:rsid w:val="00521161"/>
    <w:rsid w:val="005213B3"/>
    <w:rsid w:val="005215AA"/>
    <w:rsid w:val="005215C8"/>
    <w:rsid w:val="00522D8A"/>
    <w:rsid w:val="00525A05"/>
    <w:rsid w:val="00525D87"/>
    <w:rsid w:val="00526239"/>
    <w:rsid w:val="00526EBD"/>
    <w:rsid w:val="0052743F"/>
    <w:rsid w:val="005302A7"/>
    <w:rsid w:val="0053066B"/>
    <w:rsid w:val="005306B7"/>
    <w:rsid w:val="0053318C"/>
    <w:rsid w:val="0053421F"/>
    <w:rsid w:val="0053429C"/>
    <w:rsid w:val="005345AC"/>
    <w:rsid w:val="00534B9B"/>
    <w:rsid w:val="00535327"/>
    <w:rsid w:val="005367AF"/>
    <w:rsid w:val="00540165"/>
    <w:rsid w:val="0054144E"/>
    <w:rsid w:val="005415F1"/>
    <w:rsid w:val="00541BA7"/>
    <w:rsid w:val="00541BF7"/>
    <w:rsid w:val="0054315E"/>
    <w:rsid w:val="0054775A"/>
    <w:rsid w:val="00547B4F"/>
    <w:rsid w:val="00550DDD"/>
    <w:rsid w:val="00551BAE"/>
    <w:rsid w:val="005533A4"/>
    <w:rsid w:val="0055585C"/>
    <w:rsid w:val="0055595A"/>
    <w:rsid w:val="00555CAC"/>
    <w:rsid w:val="00557406"/>
    <w:rsid w:val="0056013B"/>
    <w:rsid w:val="005609FA"/>
    <w:rsid w:val="00560D89"/>
    <w:rsid w:val="00562205"/>
    <w:rsid w:val="00562F82"/>
    <w:rsid w:val="005630DA"/>
    <w:rsid w:val="00563BCD"/>
    <w:rsid w:val="00564058"/>
    <w:rsid w:val="00564C3B"/>
    <w:rsid w:val="005651BB"/>
    <w:rsid w:val="00565B03"/>
    <w:rsid w:val="00570BA6"/>
    <w:rsid w:val="005716C3"/>
    <w:rsid w:val="00572149"/>
    <w:rsid w:val="0057226C"/>
    <w:rsid w:val="00572E16"/>
    <w:rsid w:val="00573917"/>
    <w:rsid w:val="00573C23"/>
    <w:rsid w:val="005748EA"/>
    <w:rsid w:val="00577363"/>
    <w:rsid w:val="0057789B"/>
    <w:rsid w:val="005811DD"/>
    <w:rsid w:val="005822D3"/>
    <w:rsid w:val="005841AC"/>
    <w:rsid w:val="00585D6F"/>
    <w:rsid w:val="00586010"/>
    <w:rsid w:val="00587463"/>
    <w:rsid w:val="00587F52"/>
    <w:rsid w:val="00591563"/>
    <w:rsid w:val="0059194E"/>
    <w:rsid w:val="005919BD"/>
    <w:rsid w:val="00591E74"/>
    <w:rsid w:val="00592292"/>
    <w:rsid w:val="00592409"/>
    <w:rsid w:val="00595C3A"/>
    <w:rsid w:val="00595D2F"/>
    <w:rsid w:val="00596AC1"/>
    <w:rsid w:val="00597731"/>
    <w:rsid w:val="005A085B"/>
    <w:rsid w:val="005A10C1"/>
    <w:rsid w:val="005A1916"/>
    <w:rsid w:val="005A1931"/>
    <w:rsid w:val="005A2734"/>
    <w:rsid w:val="005A3E11"/>
    <w:rsid w:val="005A52F5"/>
    <w:rsid w:val="005A59E7"/>
    <w:rsid w:val="005A6B03"/>
    <w:rsid w:val="005A7861"/>
    <w:rsid w:val="005B2514"/>
    <w:rsid w:val="005B27FA"/>
    <w:rsid w:val="005B3816"/>
    <w:rsid w:val="005B3D78"/>
    <w:rsid w:val="005B4615"/>
    <w:rsid w:val="005C0549"/>
    <w:rsid w:val="005C1181"/>
    <w:rsid w:val="005C1206"/>
    <w:rsid w:val="005C12F0"/>
    <w:rsid w:val="005C1A40"/>
    <w:rsid w:val="005C2B67"/>
    <w:rsid w:val="005C33FB"/>
    <w:rsid w:val="005C3F37"/>
    <w:rsid w:val="005C4DF0"/>
    <w:rsid w:val="005C52C5"/>
    <w:rsid w:val="005C5B6E"/>
    <w:rsid w:val="005C62C1"/>
    <w:rsid w:val="005C68E6"/>
    <w:rsid w:val="005C6BF1"/>
    <w:rsid w:val="005D01DD"/>
    <w:rsid w:val="005D046C"/>
    <w:rsid w:val="005D07A3"/>
    <w:rsid w:val="005D0DA7"/>
    <w:rsid w:val="005D1771"/>
    <w:rsid w:val="005D1C6D"/>
    <w:rsid w:val="005D2249"/>
    <w:rsid w:val="005D2335"/>
    <w:rsid w:val="005D3AA7"/>
    <w:rsid w:val="005D59E7"/>
    <w:rsid w:val="005D7E0E"/>
    <w:rsid w:val="005E0326"/>
    <w:rsid w:val="005E0F2F"/>
    <w:rsid w:val="005E1FE3"/>
    <w:rsid w:val="005E42B3"/>
    <w:rsid w:val="005E49C5"/>
    <w:rsid w:val="005E55DB"/>
    <w:rsid w:val="005E6028"/>
    <w:rsid w:val="005E7B37"/>
    <w:rsid w:val="005F10F6"/>
    <w:rsid w:val="005F1709"/>
    <w:rsid w:val="005F1FE6"/>
    <w:rsid w:val="005F266D"/>
    <w:rsid w:val="005F53C4"/>
    <w:rsid w:val="00600EBE"/>
    <w:rsid w:val="0060133B"/>
    <w:rsid w:val="00601FF1"/>
    <w:rsid w:val="00602308"/>
    <w:rsid w:val="00602668"/>
    <w:rsid w:val="00602D81"/>
    <w:rsid w:val="00602F9C"/>
    <w:rsid w:val="0060343D"/>
    <w:rsid w:val="0060413D"/>
    <w:rsid w:val="00604515"/>
    <w:rsid w:val="00604C49"/>
    <w:rsid w:val="00605D72"/>
    <w:rsid w:val="00605F31"/>
    <w:rsid w:val="00605F5D"/>
    <w:rsid w:val="00606967"/>
    <w:rsid w:val="00606B52"/>
    <w:rsid w:val="006072C4"/>
    <w:rsid w:val="006077C3"/>
    <w:rsid w:val="00611B0E"/>
    <w:rsid w:val="00612636"/>
    <w:rsid w:val="00612BC3"/>
    <w:rsid w:val="00613063"/>
    <w:rsid w:val="006133CB"/>
    <w:rsid w:val="006143FF"/>
    <w:rsid w:val="00614B21"/>
    <w:rsid w:val="0061583B"/>
    <w:rsid w:val="006215EC"/>
    <w:rsid w:val="00622984"/>
    <w:rsid w:val="00623021"/>
    <w:rsid w:val="0062331B"/>
    <w:rsid w:val="00623771"/>
    <w:rsid w:val="00623BD8"/>
    <w:rsid w:val="0062518A"/>
    <w:rsid w:val="006253AD"/>
    <w:rsid w:val="00625C50"/>
    <w:rsid w:val="00625ED0"/>
    <w:rsid w:val="006270BC"/>
    <w:rsid w:val="006274F6"/>
    <w:rsid w:val="00631312"/>
    <w:rsid w:val="006314B5"/>
    <w:rsid w:val="00631685"/>
    <w:rsid w:val="00631A2B"/>
    <w:rsid w:val="0063321F"/>
    <w:rsid w:val="00633B8C"/>
    <w:rsid w:val="00635E75"/>
    <w:rsid w:val="0063624C"/>
    <w:rsid w:val="006405EB"/>
    <w:rsid w:val="006426D2"/>
    <w:rsid w:val="0064389D"/>
    <w:rsid w:val="00643934"/>
    <w:rsid w:val="006441ED"/>
    <w:rsid w:val="006458CD"/>
    <w:rsid w:val="0064698F"/>
    <w:rsid w:val="00646AF6"/>
    <w:rsid w:val="00647014"/>
    <w:rsid w:val="00647BAE"/>
    <w:rsid w:val="00650A0A"/>
    <w:rsid w:val="00650CB6"/>
    <w:rsid w:val="00651488"/>
    <w:rsid w:val="00653855"/>
    <w:rsid w:val="00654966"/>
    <w:rsid w:val="00657280"/>
    <w:rsid w:val="00657C2F"/>
    <w:rsid w:val="0066175B"/>
    <w:rsid w:val="006657C8"/>
    <w:rsid w:val="0066746D"/>
    <w:rsid w:val="006704B7"/>
    <w:rsid w:val="00670B2C"/>
    <w:rsid w:val="0067176A"/>
    <w:rsid w:val="0067200B"/>
    <w:rsid w:val="006720BF"/>
    <w:rsid w:val="006721AF"/>
    <w:rsid w:val="006732B5"/>
    <w:rsid w:val="00674AA2"/>
    <w:rsid w:val="00675D8C"/>
    <w:rsid w:val="00681601"/>
    <w:rsid w:val="00681E49"/>
    <w:rsid w:val="00682C79"/>
    <w:rsid w:val="006832DF"/>
    <w:rsid w:val="00684985"/>
    <w:rsid w:val="00686497"/>
    <w:rsid w:val="0068691F"/>
    <w:rsid w:val="00686B01"/>
    <w:rsid w:val="00690A68"/>
    <w:rsid w:val="006918A6"/>
    <w:rsid w:val="006924B5"/>
    <w:rsid w:val="00692F6B"/>
    <w:rsid w:val="00695C90"/>
    <w:rsid w:val="006963D8"/>
    <w:rsid w:val="00697B74"/>
    <w:rsid w:val="006A059F"/>
    <w:rsid w:val="006A0A29"/>
    <w:rsid w:val="006A1A4F"/>
    <w:rsid w:val="006A28CC"/>
    <w:rsid w:val="006A3B81"/>
    <w:rsid w:val="006A4389"/>
    <w:rsid w:val="006A5AB8"/>
    <w:rsid w:val="006A62A9"/>
    <w:rsid w:val="006A661C"/>
    <w:rsid w:val="006A6B58"/>
    <w:rsid w:val="006A6F45"/>
    <w:rsid w:val="006B0465"/>
    <w:rsid w:val="006B05D9"/>
    <w:rsid w:val="006B0E8E"/>
    <w:rsid w:val="006B0FEC"/>
    <w:rsid w:val="006B11F1"/>
    <w:rsid w:val="006B1E3A"/>
    <w:rsid w:val="006B225F"/>
    <w:rsid w:val="006B23DA"/>
    <w:rsid w:val="006B3CB9"/>
    <w:rsid w:val="006B3D37"/>
    <w:rsid w:val="006B408C"/>
    <w:rsid w:val="006B6155"/>
    <w:rsid w:val="006B6E13"/>
    <w:rsid w:val="006B70D1"/>
    <w:rsid w:val="006B7B2D"/>
    <w:rsid w:val="006C03CC"/>
    <w:rsid w:val="006C08E4"/>
    <w:rsid w:val="006C08EA"/>
    <w:rsid w:val="006C0C70"/>
    <w:rsid w:val="006C1A03"/>
    <w:rsid w:val="006C31DC"/>
    <w:rsid w:val="006C42C7"/>
    <w:rsid w:val="006C52C8"/>
    <w:rsid w:val="006C70A3"/>
    <w:rsid w:val="006C72BD"/>
    <w:rsid w:val="006D0F02"/>
    <w:rsid w:val="006D160D"/>
    <w:rsid w:val="006D208F"/>
    <w:rsid w:val="006D28A6"/>
    <w:rsid w:val="006D2E7B"/>
    <w:rsid w:val="006D3298"/>
    <w:rsid w:val="006D39D0"/>
    <w:rsid w:val="006D3A59"/>
    <w:rsid w:val="006D5275"/>
    <w:rsid w:val="006D5A2D"/>
    <w:rsid w:val="006D66BA"/>
    <w:rsid w:val="006D7ED9"/>
    <w:rsid w:val="006E0C25"/>
    <w:rsid w:val="006E20E1"/>
    <w:rsid w:val="006E4C47"/>
    <w:rsid w:val="006E54DD"/>
    <w:rsid w:val="006E6347"/>
    <w:rsid w:val="006E6BBB"/>
    <w:rsid w:val="006E71C7"/>
    <w:rsid w:val="006F1741"/>
    <w:rsid w:val="006F1D1F"/>
    <w:rsid w:val="006F1F4A"/>
    <w:rsid w:val="006F27E1"/>
    <w:rsid w:val="006F2E08"/>
    <w:rsid w:val="006F3190"/>
    <w:rsid w:val="006F4387"/>
    <w:rsid w:val="006F53E0"/>
    <w:rsid w:val="006F5824"/>
    <w:rsid w:val="006F58F7"/>
    <w:rsid w:val="006F5D28"/>
    <w:rsid w:val="006F6106"/>
    <w:rsid w:val="00701091"/>
    <w:rsid w:val="007015AA"/>
    <w:rsid w:val="00701B67"/>
    <w:rsid w:val="00704940"/>
    <w:rsid w:val="0070567F"/>
    <w:rsid w:val="00705A65"/>
    <w:rsid w:val="007061E5"/>
    <w:rsid w:val="00706F37"/>
    <w:rsid w:val="00707288"/>
    <w:rsid w:val="00710CC0"/>
    <w:rsid w:val="007113E4"/>
    <w:rsid w:val="00712992"/>
    <w:rsid w:val="007133B0"/>
    <w:rsid w:val="007138FE"/>
    <w:rsid w:val="00713A09"/>
    <w:rsid w:val="00713FDE"/>
    <w:rsid w:val="00714131"/>
    <w:rsid w:val="007146BB"/>
    <w:rsid w:val="00714A8A"/>
    <w:rsid w:val="00715576"/>
    <w:rsid w:val="007159D3"/>
    <w:rsid w:val="007169A8"/>
    <w:rsid w:val="00717188"/>
    <w:rsid w:val="00720E33"/>
    <w:rsid w:val="00721A49"/>
    <w:rsid w:val="00721AF6"/>
    <w:rsid w:val="00722360"/>
    <w:rsid w:val="00722591"/>
    <w:rsid w:val="00723667"/>
    <w:rsid w:val="007236C2"/>
    <w:rsid w:val="00723E38"/>
    <w:rsid w:val="007247EE"/>
    <w:rsid w:val="00724A89"/>
    <w:rsid w:val="007262A7"/>
    <w:rsid w:val="007264A4"/>
    <w:rsid w:val="007278F9"/>
    <w:rsid w:val="007307C8"/>
    <w:rsid w:val="00733FDB"/>
    <w:rsid w:val="00735A63"/>
    <w:rsid w:val="00735BCE"/>
    <w:rsid w:val="00736B17"/>
    <w:rsid w:val="0074075E"/>
    <w:rsid w:val="0074116B"/>
    <w:rsid w:val="00743819"/>
    <w:rsid w:val="00743BD6"/>
    <w:rsid w:val="00745056"/>
    <w:rsid w:val="007458A0"/>
    <w:rsid w:val="00746561"/>
    <w:rsid w:val="0074743B"/>
    <w:rsid w:val="00750743"/>
    <w:rsid w:val="00750C48"/>
    <w:rsid w:val="0075137A"/>
    <w:rsid w:val="0075150D"/>
    <w:rsid w:val="007516D3"/>
    <w:rsid w:val="00751D19"/>
    <w:rsid w:val="00752365"/>
    <w:rsid w:val="00752757"/>
    <w:rsid w:val="00753B44"/>
    <w:rsid w:val="00754494"/>
    <w:rsid w:val="007549A2"/>
    <w:rsid w:val="00755638"/>
    <w:rsid w:val="00755AB5"/>
    <w:rsid w:val="00755C1D"/>
    <w:rsid w:val="007564BF"/>
    <w:rsid w:val="00757AA1"/>
    <w:rsid w:val="00757F87"/>
    <w:rsid w:val="007607E3"/>
    <w:rsid w:val="00761D26"/>
    <w:rsid w:val="00762114"/>
    <w:rsid w:val="0076337A"/>
    <w:rsid w:val="00763E8A"/>
    <w:rsid w:val="00765BF0"/>
    <w:rsid w:val="00766619"/>
    <w:rsid w:val="007748BD"/>
    <w:rsid w:val="007765D7"/>
    <w:rsid w:val="0077660F"/>
    <w:rsid w:val="0077688C"/>
    <w:rsid w:val="00776FC2"/>
    <w:rsid w:val="007812E0"/>
    <w:rsid w:val="00781464"/>
    <w:rsid w:val="007814FB"/>
    <w:rsid w:val="00782FAF"/>
    <w:rsid w:val="0078536A"/>
    <w:rsid w:val="00786554"/>
    <w:rsid w:val="0078666A"/>
    <w:rsid w:val="00786B0C"/>
    <w:rsid w:val="00786F8E"/>
    <w:rsid w:val="00790065"/>
    <w:rsid w:val="007909F2"/>
    <w:rsid w:val="00790B98"/>
    <w:rsid w:val="00790B9D"/>
    <w:rsid w:val="00792D52"/>
    <w:rsid w:val="00792D9E"/>
    <w:rsid w:val="00793F65"/>
    <w:rsid w:val="00795822"/>
    <w:rsid w:val="0079584E"/>
    <w:rsid w:val="00796935"/>
    <w:rsid w:val="00797010"/>
    <w:rsid w:val="00797928"/>
    <w:rsid w:val="007A185C"/>
    <w:rsid w:val="007A190E"/>
    <w:rsid w:val="007A1D9B"/>
    <w:rsid w:val="007A3D86"/>
    <w:rsid w:val="007A46A7"/>
    <w:rsid w:val="007A5622"/>
    <w:rsid w:val="007A5E14"/>
    <w:rsid w:val="007A6F8D"/>
    <w:rsid w:val="007A7A35"/>
    <w:rsid w:val="007B42E9"/>
    <w:rsid w:val="007B439E"/>
    <w:rsid w:val="007B4921"/>
    <w:rsid w:val="007B4E7B"/>
    <w:rsid w:val="007B50C0"/>
    <w:rsid w:val="007B56E2"/>
    <w:rsid w:val="007B5D00"/>
    <w:rsid w:val="007B6166"/>
    <w:rsid w:val="007B6323"/>
    <w:rsid w:val="007B6831"/>
    <w:rsid w:val="007B708F"/>
    <w:rsid w:val="007C0B51"/>
    <w:rsid w:val="007C12F8"/>
    <w:rsid w:val="007C1359"/>
    <w:rsid w:val="007C16F0"/>
    <w:rsid w:val="007C2A12"/>
    <w:rsid w:val="007C3ACD"/>
    <w:rsid w:val="007C3FAE"/>
    <w:rsid w:val="007C5A7D"/>
    <w:rsid w:val="007C7723"/>
    <w:rsid w:val="007C7AC3"/>
    <w:rsid w:val="007D195F"/>
    <w:rsid w:val="007D1BE2"/>
    <w:rsid w:val="007D3AEF"/>
    <w:rsid w:val="007D3F63"/>
    <w:rsid w:val="007D427D"/>
    <w:rsid w:val="007D5294"/>
    <w:rsid w:val="007D61EF"/>
    <w:rsid w:val="007D6B42"/>
    <w:rsid w:val="007D789F"/>
    <w:rsid w:val="007D7E02"/>
    <w:rsid w:val="007E0E76"/>
    <w:rsid w:val="007E0EAB"/>
    <w:rsid w:val="007E1A50"/>
    <w:rsid w:val="007E5523"/>
    <w:rsid w:val="007E6B2F"/>
    <w:rsid w:val="007E7119"/>
    <w:rsid w:val="007E779F"/>
    <w:rsid w:val="007E7C13"/>
    <w:rsid w:val="007F0F66"/>
    <w:rsid w:val="007F3A38"/>
    <w:rsid w:val="007F4B08"/>
    <w:rsid w:val="007F5A94"/>
    <w:rsid w:val="007F62F7"/>
    <w:rsid w:val="007F6908"/>
    <w:rsid w:val="007F6D65"/>
    <w:rsid w:val="007F6EB8"/>
    <w:rsid w:val="007F7A82"/>
    <w:rsid w:val="007F7CE0"/>
    <w:rsid w:val="008005C8"/>
    <w:rsid w:val="00801057"/>
    <w:rsid w:val="0080158C"/>
    <w:rsid w:val="008026B6"/>
    <w:rsid w:val="00802D5B"/>
    <w:rsid w:val="00803609"/>
    <w:rsid w:val="00804C02"/>
    <w:rsid w:val="00804C86"/>
    <w:rsid w:val="00805FF0"/>
    <w:rsid w:val="008060F9"/>
    <w:rsid w:val="008063F4"/>
    <w:rsid w:val="00807398"/>
    <w:rsid w:val="008102AE"/>
    <w:rsid w:val="00810B93"/>
    <w:rsid w:val="008113C6"/>
    <w:rsid w:val="00811E72"/>
    <w:rsid w:val="00813AED"/>
    <w:rsid w:val="00813ED2"/>
    <w:rsid w:val="00814000"/>
    <w:rsid w:val="00814DC4"/>
    <w:rsid w:val="00814F40"/>
    <w:rsid w:val="00816E88"/>
    <w:rsid w:val="00817D9A"/>
    <w:rsid w:val="00820196"/>
    <w:rsid w:val="00820942"/>
    <w:rsid w:val="00822359"/>
    <w:rsid w:val="00822561"/>
    <w:rsid w:val="00823C1A"/>
    <w:rsid w:val="008240ED"/>
    <w:rsid w:val="0082468A"/>
    <w:rsid w:val="00830790"/>
    <w:rsid w:val="00831C63"/>
    <w:rsid w:val="00831FE8"/>
    <w:rsid w:val="008326E2"/>
    <w:rsid w:val="00832764"/>
    <w:rsid w:val="00832800"/>
    <w:rsid w:val="008340FB"/>
    <w:rsid w:val="00834A05"/>
    <w:rsid w:val="008356CA"/>
    <w:rsid w:val="00836E9C"/>
    <w:rsid w:val="00837ECD"/>
    <w:rsid w:val="0084139A"/>
    <w:rsid w:val="008432E0"/>
    <w:rsid w:val="00844226"/>
    <w:rsid w:val="00844BAF"/>
    <w:rsid w:val="0084510E"/>
    <w:rsid w:val="00846D7A"/>
    <w:rsid w:val="00847037"/>
    <w:rsid w:val="00850361"/>
    <w:rsid w:val="00850CD6"/>
    <w:rsid w:val="00851233"/>
    <w:rsid w:val="0085150E"/>
    <w:rsid w:val="00853A6A"/>
    <w:rsid w:val="00854895"/>
    <w:rsid w:val="00854AED"/>
    <w:rsid w:val="00854D42"/>
    <w:rsid w:val="00855241"/>
    <w:rsid w:val="0085619F"/>
    <w:rsid w:val="00856534"/>
    <w:rsid w:val="008568CA"/>
    <w:rsid w:val="00857664"/>
    <w:rsid w:val="00862791"/>
    <w:rsid w:val="008632AE"/>
    <w:rsid w:val="00864C4E"/>
    <w:rsid w:val="00865057"/>
    <w:rsid w:val="008653C1"/>
    <w:rsid w:val="00865815"/>
    <w:rsid w:val="0086674F"/>
    <w:rsid w:val="00870C06"/>
    <w:rsid w:val="00870FB1"/>
    <w:rsid w:val="0087504E"/>
    <w:rsid w:val="00875391"/>
    <w:rsid w:val="008766D5"/>
    <w:rsid w:val="00880BFD"/>
    <w:rsid w:val="008843FD"/>
    <w:rsid w:val="0088484E"/>
    <w:rsid w:val="008853EA"/>
    <w:rsid w:val="008867AB"/>
    <w:rsid w:val="008876E9"/>
    <w:rsid w:val="00887A3D"/>
    <w:rsid w:val="00887BD3"/>
    <w:rsid w:val="0089015C"/>
    <w:rsid w:val="00891131"/>
    <w:rsid w:val="00891963"/>
    <w:rsid w:val="0089355C"/>
    <w:rsid w:val="00893A86"/>
    <w:rsid w:val="008945FD"/>
    <w:rsid w:val="00894A4A"/>
    <w:rsid w:val="00894EAA"/>
    <w:rsid w:val="008966D4"/>
    <w:rsid w:val="008A0715"/>
    <w:rsid w:val="008A284D"/>
    <w:rsid w:val="008A2B87"/>
    <w:rsid w:val="008A2C7E"/>
    <w:rsid w:val="008A38E5"/>
    <w:rsid w:val="008A3B43"/>
    <w:rsid w:val="008A41A4"/>
    <w:rsid w:val="008A4D4A"/>
    <w:rsid w:val="008A5077"/>
    <w:rsid w:val="008A561A"/>
    <w:rsid w:val="008A6180"/>
    <w:rsid w:val="008A7A48"/>
    <w:rsid w:val="008A7D8D"/>
    <w:rsid w:val="008A7E7A"/>
    <w:rsid w:val="008B0010"/>
    <w:rsid w:val="008B1807"/>
    <w:rsid w:val="008B2F72"/>
    <w:rsid w:val="008B3479"/>
    <w:rsid w:val="008B61C1"/>
    <w:rsid w:val="008B64DE"/>
    <w:rsid w:val="008B6E6B"/>
    <w:rsid w:val="008C1B38"/>
    <w:rsid w:val="008C2357"/>
    <w:rsid w:val="008C2830"/>
    <w:rsid w:val="008C4D1D"/>
    <w:rsid w:val="008C7581"/>
    <w:rsid w:val="008C7BD3"/>
    <w:rsid w:val="008D065A"/>
    <w:rsid w:val="008D0D08"/>
    <w:rsid w:val="008D288F"/>
    <w:rsid w:val="008D33DE"/>
    <w:rsid w:val="008D58A7"/>
    <w:rsid w:val="008D6A78"/>
    <w:rsid w:val="008D70FF"/>
    <w:rsid w:val="008E002E"/>
    <w:rsid w:val="008E115F"/>
    <w:rsid w:val="008E28C9"/>
    <w:rsid w:val="008E2ECF"/>
    <w:rsid w:val="008E32E4"/>
    <w:rsid w:val="008E3A06"/>
    <w:rsid w:val="008E4BBB"/>
    <w:rsid w:val="008E527F"/>
    <w:rsid w:val="008E5D57"/>
    <w:rsid w:val="008E6D63"/>
    <w:rsid w:val="008E7A81"/>
    <w:rsid w:val="008E7AAA"/>
    <w:rsid w:val="008F0058"/>
    <w:rsid w:val="008F0C7E"/>
    <w:rsid w:val="008F1CC2"/>
    <w:rsid w:val="008F286D"/>
    <w:rsid w:val="008F2B07"/>
    <w:rsid w:val="008F3E4C"/>
    <w:rsid w:val="008F4666"/>
    <w:rsid w:val="008F4850"/>
    <w:rsid w:val="008F505B"/>
    <w:rsid w:val="008F5FA1"/>
    <w:rsid w:val="0090001D"/>
    <w:rsid w:val="009005E1"/>
    <w:rsid w:val="009006C5"/>
    <w:rsid w:val="009012DB"/>
    <w:rsid w:val="00901BE1"/>
    <w:rsid w:val="00901CD3"/>
    <w:rsid w:val="009023CE"/>
    <w:rsid w:val="00904022"/>
    <w:rsid w:val="0090540D"/>
    <w:rsid w:val="00905C5A"/>
    <w:rsid w:val="00906B6F"/>
    <w:rsid w:val="00906D50"/>
    <w:rsid w:val="0090777A"/>
    <w:rsid w:val="00907C44"/>
    <w:rsid w:val="00907D71"/>
    <w:rsid w:val="009103BE"/>
    <w:rsid w:val="0091275F"/>
    <w:rsid w:val="009133D0"/>
    <w:rsid w:val="0091465A"/>
    <w:rsid w:val="00915134"/>
    <w:rsid w:val="009156FF"/>
    <w:rsid w:val="00916783"/>
    <w:rsid w:val="0091796C"/>
    <w:rsid w:val="00917C15"/>
    <w:rsid w:val="00920157"/>
    <w:rsid w:val="00920C78"/>
    <w:rsid w:val="00920DCD"/>
    <w:rsid w:val="00921178"/>
    <w:rsid w:val="009215C7"/>
    <w:rsid w:val="0092163F"/>
    <w:rsid w:val="00921692"/>
    <w:rsid w:val="00921EAC"/>
    <w:rsid w:val="009249FC"/>
    <w:rsid w:val="00925106"/>
    <w:rsid w:val="0092558C"/>
    <w:rsid w:val="009261AC"/>
    <w:rsid w:val="00927843"/>
    <w:rsid w:val="009302F6"/>
    <w:rsid w:val="00930A4C"/>
    <w:rsid w:val="00930E2C"/>
    <w:rsid w:val="00930F3F"/>
    <w:rsid w:val="00932C12"/>
    <w:rsid w:val="00932D69"/>
    <w:rsid w:val="00932DAA"/>
    <w:rsid w:val="00934A41"/>
    <w:rsid w:val="00934F6E"/>
    <w:rsid w:val="00935ABE"/>
    <w:rsid w:val="00935F28"/>
    <w:rsid w:val="009368D9"/>
    <w:rsid w:val="00940ED6"/>
    <w:rsid w:val="009419B7"/>
    <w:rsid w:val="00942C2A"/>
    <w:rsid w:val="00943D08"/>
    <w:rsid w:val="00946AE6"/>
    <w:rsid w:val="00947083"/>
    <w:rsid w:val="0094708E"/>
    <w:rsid w:val="00947C9C"/>
    <w:rsid w:val="00950FB1"/>
    <w:rsid w:val="00951B7E"/>
    <w:rsid w:val="00952F5F"/>
    <w:rsid w:val="0095353F"/>
    <w:rsid w:val="0095447B"/>
    <w:rsid w:val="009545E6"/>
    <w:rsid w:val="009551C0"/>
    <w:rsid w:val="00955A31"/>
    <w:rsid w:val="009568F2"/>
    <w:rsid w:val="0096352C"/>
    <w:rsid w:val="00964099"/>
    <w:rsid w:val="009657DF"/>
    <w:rsid w:val="009712B1"/>
    <w:rsid w:val="009714D6"/>
    <w:rsid w:val="00971B90"/>
    <w:rsid w:val="00971DDF"/>
    <w:rsid w:val="0097280F"/>
    <w:rsid w:val="00972C33"/>
    <w:rsid w:val="00973D4F"/>
    <w:rsid w:val="00975236"/>
    <w:rsid w:val="00976A89"/>
    <w:rsid w:val="00976AC0"/>
    <w:rsid w:val="00976AF3"/>
    <w:rsid w:val="00980724"/>
    <w:rsid w:val="009808C4"/>
    <w:rsid w:val="00982087"/>
    <w:rsid w:val="009825F7"/>
    <w:rsid w:val="00982C60"/>
    <w:rsid w:val="00983386"/>
    <w:rsid w:val="009838B0"/>
    <w:rsid w:val="00983AFC"/>
    <w:rsid w:val="00985756"/>
    <w:rsid w:val="00986379"/>
    <w:rsid w:val="00986443"/>
    <w:rsid w:val="009867B2"/>
    <w:rsid w:val="00986B73"/>
    <w:rsid w:val="00987254"/>
    <w:rsid w:val="009873A5"/>
    <w:rsid w:val="00987B38"/>
    <w:rsid w:val="009901DF"/>
    <w:rsid w:val="00991ABB"/>
    <w:rsid w:val="0099202F"/>
    <w:rsid w:val="00994D04"/>
    <w:rsid w:val="00995633"/>
    <w:rsid w:val="00996E98"/>
    <w:rsid w:val="00996EE8"/>
    <w:rsid w:val="009A1352"/>
    <w:rsid w:val="009A1DDB"/>
    <w:rsid w:val="009A2ADD"/>
    <w:rsid w:val="009A3032"/>
    <w:rsid w:val="009A3698"/>
    <w:rsid w:val="009A37AB"/>
    <w:rsid w:val="009A3D76"/>
    <w:rsid w:val="009B07B4"/>
    <w:rsid w:val="009B093C"/>
    <w:rsid w:val="009B0CA0"/>
    <w:rsid w:val="009B1578"/>
    <w:rsid w:val="009B3864"/>
    <w:rsid w:val="009B4877"/>
    <w:rsid w:val="009B4A8F"/>
    <w:rsid w:val="009B641C"/>
    <w:rsid w:val="009B64F8"/>
    <w:rsid w:val="009B6B3F"/>
    <w:rsid w:val="009B7E63"/>
    <w:rsid w:val="009C0087"/>
    <w:rsid w:val="009C030B"/>
    <w:rsid w:val="009C0C95"/>
    <w:rsid w:val="009C1BE4"/>
    <w:rsid w:val="009C2CA0"/>
    <w:rsid w:val="009C3657"/>
    <w:rsid w:val="009C42E0"/>
    <w:rsid w:val="009C4FA4"/>
    <w:rsid w:val="009C758E"/>
    <w:rsid w:val="009C7817"/>
    <w:rsid w:val="009C7A72"/>
    <w:rsid w:val="009D04A9"/>
    <w:rsid w:val="009D05AF"/>
    <w:rsid w:val="009D1382"/>
    <w:rsid w:val="009D1F44"/>
    <w:rsid w:val="009D1F61"/>
    <w:rsid w:val="009D2092"/>
    <w:rsid w:val="009D2FCB"/>
    <w:rsid w:val="009D3693"/>
    <w:rsid w:val="009D3707"/>
    <w:rsid w:val="009D5185"/>
    <w:rsid w:val="009D5239"/>
    <w:rsid w:val="009D6CA5"/>
    <w:rsid w:val="009D7174"/>
    <w:rsid w:val="009D7F9C"/>
    <w:rsid w:val="009E2702"/>
    <w:rsid w:val="009E3B7A"/>
    <w:rsid w:val="009E4768"/>
    <w:rsid w:val="009E524B"/>
    <w:rsid w:val="009E596E"/>
    <w:rsid w:val="009E5DEF"/>
    <w:rsid w:val="009E6590"/>
    <w:rsid w:val="009E6948"/>
    <w:rsid w:val="009F08BC"/>
    <w:rsid w:val="009F0DD0"/>
    <w:rsid w:val="009F1E95"/>
    <w:rsid w:val="009F2281"/>
    <w:rsid w:val="009F3EF1"/>
    <w:rsid w:val="009F47E1"/>
    <w:rsid w:val="009F5C63"/>
    <w:rsid w:val="009F6648"/>
    <w:rsid w:val="009F701D"/>
    <w:rsid w:val="009F7181"/>
    <w:rsid w:val="009F767F"/>
    <w:rsid w:val="00A00CD9"/>
    <w:rsid w:val="00A01B15"/>
    <w:rsid w:val="00A01C08"/>
    <w:rsid w:val="00A025DC"/>
    <w:rsid w:val="00A03058"/>
    <w:rsid w:val="00A03BCC"/>
    <w:rsid w:val="00A03E00"/>
    <w:rsid w:val="00A04CE3"/>
    <w:rsid w:val="00A0503C"/>
    <w:rsid w:val="00A05E65"/>
    <w:rsid w:val="00A073E3"/>
    <w:rsid w:val="00A074C4"/>
    <w:rsid w:val="00A131CC"/>
    <w:rsid w:val="00A149BA"/>
    <w:rsid w:val="00A14E82"/>
    <w:rsid w:val="00A15392"/>
    <w:rsid w:val="00A1563F"/>
    <w:rsid w:val="00A15D47"/>
    <w:rsid w:val="00A167FD"/>
    <w:rsid w:val="00A174B1"/>
    <w:rsid w:val="00A17C8D"/>
    <w:rsid w:val="00A201E9"/>
    <w:rsid w:val="00A202EB"/>
    <w:rsid w:val="00A2399F"/>
    <w:rsid w:val="00A23F9D"/>
    <w:rsid w:val="00A247E0"/>
    <w:rsid w:val="00A2649D"/>
    <w:rsid w:val="00A269DB"/>
    <w:rsid w:val="00A2734E"/>
    <w:rsid w:val="00A27D0E"/>
    <w:rsid w:val="00A30508"/>
    <w:rsid w:val="00A30725"/>
    <w:rsid w:val="00A3143D"/>
    <w:rsid w:val="00A33270"/>
    <w:rsid w:val="00A3367C"/>
    <w:rsid w:val="00A344D9"/>
    <w:rsid w:val="00A36ACE"/>
    <w:rsid w:val="00A3700B"/>
    <w:rsid w:val="00A3744C"/>
    <w:rsid w:val="00A37FBA"/>
    <w:rsid w:val="00A41D72"/>
    <w:rsid w:val="00A42ADE"/>
    <w:rsid w:val="00A42B87"/>
    <w:rsid w:val="00A4341B"/>
    <w:rsid w:val="00A43DD0"/>
    <w:rsid w:val="00A44053"/>
    <w:rsid w:val="00A445EE"/>
    <w:rsid w:val="00A4476B"/>
    <w:rsid w:val="00A44B8D"/>
    <w:rsid w:val="00A44D80"/>
    <w:rsid w:val="00A4594B"/>
    <w:rsid w:val="00A45E87"/>
    <w:rsid w:val="00A465D0"/>
    <w:rsid w:val="00A474D7"/>
    <w:rsid w:val="00A50205"/>
    <w:rsid w:val="00A51317"/>
    <w:rsid w:val="00A529F8"/>
    <w:rsid w:val="00A52B79"/>
    <w:rsid w:val="00A52B9F"/>
    <w:rsid w:val="00A53F79"/>
    <w:rsid w:val="00A55080"/>
    <w:rsid w:val="00A57E08"/>
    <w:rsid w:val="00A607D3"/>
    <w:rsid w:val="00A60972"/>
    <w:rsid w:val="00A61431"/>
    <w:rsid w:val="00A61FCC"/>
    <w:rsid w:val="00A639F2"/>
    <w:rsid w:val="00A63DB3"/>
    <w:rsid w:val="00A6411F"/>
    <w:rsid w:val="00A64C4E"/>
    <w:rsid w:val="00A65FFB"/>
    <w:rsid w:val="00A661AE"/>
    <w:rsid w:val="00A66A03"/>
    <w:rsid w:val="00A670E7"/>
    <w:rsid w:val="00A702D9"/>
    <w:rsid w:val="00A7074A"/>
    <w:rsid w:val="00A7154E"/>
    <w:rsid w:val="00A71EA7"/>
    <w:rsid w:val="00A73010"/>
    <w:rsid w:val="00A744E1"/>
    <w:rsid w:val="00A75450"/>
    <w:rsid w:val="00A759D6"/>
    <w:rsid w:val="00A75FEC"/>
    <w:rsid w:val="00A763E4"/>
    <w:rsid w:val="00A76509"/>
    <w:rsid w:val="00A81C3A"/>
    <w:rsid w:val="00A82ACC"/>
    <w:rsid w:val="00A82D8F"/>
    <w:rsid w:val="00A82E41"/>
    <w:rsid w:val="00A85815"/>
    <w:rsid w:val="00A8713C"/>
    <w:rsid w:val="00A902BB"/>
    <w:rsid w:val="00A90B51"/>
    <w:rsid w:val="00A92156"/>
    <w:rsid w:val="00A930D3"/>
    <w:rsid w:val="00A9353F"/>
    <w:rsid w:val="00A9434D"/>
    <w:rsid w:val="00A94931"/>
    <w:rsid w:val="00A95662"/>
    <w:rsid w:val="00A96424"/>
    <w:rsid w:val="00A9709A"/>
    <w:rsid w:val="00AA014C"/>
    <w:rsid w:val="00AA1EB8"/>
    <w:rsid w:val="00AA2EE5"/>
    <w:rsid w:val="00AA319B"/>
    <w:rsid w:val="00AA3211"/>
    <w:rsid w:val="00AA3349"/>
    <w:rsid w:val="00AA3695"/>
    <w:rsid w:val="00AA36EA"/>
    <w:rsid w:val="00AA6151"/>
    <w:rsid w:val="00AA61F7"/>
    <w:rsid w:val="00AA7DEE"/>
    <w:rsid w:val="00AB0216"/>
    <w:rsid w:val="00AB05A5"/>
    <w:rsid w:val="00AB2065"/>
    <w:rsid w:val="00AB2486"/>
    <w:rsid w:val="00AB28EE"/>
    <w:rsid w:val="00AB5195"/>
    <w:rsid w:val="00AB5B37"/>
    <w:rsid w:val="00AB6EE8"/>
    <w:rsid w:val="00AB7011"/>
    <w:rsid w:val="00AB752E"/>
    <w:rsid w:val="00AB7807"/>
    <w:rsid w:val="00AC014A"/>
    <w:rsid w:val="00AC2311"/>
    <w:rsid w:val="00AC2524"/>
    <w:rsid w:val="00AC2A16"/>
    <w:rsid w:val="00AC2E44"/>
    <w:rsid w:val="00AC3EDE"/>
    <w:rsid w:val="00AC466B"/>
    <w:rsid w:val="00AC494C"/>
    <w:rsid w:val="00AC4E92"/>
    <w:rsid w:val="00AC61F2"/>
    <w:rsid w:val="00AC64CA"/>
    <w:rsid w:val="00AC7832"/>
    <w:rsid w:val="00AC7AB8"/>
    <w:rsid w:val="00AD2F3D"/>
    <w:rsid w:val="00AD3A2B"/>
    <w:rsid w:val="00AD3B99"/>
    <w:rsid w:val="00AD52A7"/>
    <w:rsid w:val="00AE03A7"/>
    <w:rsid w:val="00AE0D65"/>
    <w:rsid w:val="00AE0F93"/>
    <w:rsid w:val="00AE16E7"/>
    <w:rsid w:val="00AE1F7C"/>
    <w:rsid w:val="00AE24E7"/>
    <w:rsid w:val="00AE2D01"/>
    <w:rsid w:val="00AE2EA0"/>
    <w:rsid w:val="00AE3766"/>
    <w:rsid w:val="00AE4DCD"/>
    <w:rsid w:val="00AE4FE2"/>
    <w:rsid w:val="00AE5157"/>
    <w:rsid w:val="00AE549B"/>
    <w:rsid w:val="00AE5B3F"/>
    <w:rsid w:val="00AE5D85"/>
    <w:rsid w:val="00AF051F"/>
    <w:rsid w:val="00AF08AB"/>
    <w:rsid w:val="00AF1EC3"/>
    <w:rsid w:val="00AF2502"/>
    <w:rsid w:val="00AF27D7"/>
    <w:rsid w:val="00AF3CC2"/>
    <w:rsid w:val="00AF4034"/>
    <w:rsid w:val="00AF4421"/>
    <w:rsid w:val="00AF4EC8"/>
    <w:rsid w:val="00AF5E25"/>
    <w:rsid w:val="00AF602C"/>
    <w:rsid w:val="00AF6294"/>
    <w:rsid w:val="00B005F4"/>
    <w:rsid w:val="00B00B12"/>
    <w:rsid w:val="00B01A9A"/>
    <w:rsid w:val="00B03976"/>
    <w:rsid w:val="00B04E66"/>
    <w:rsid w:val="00B04FA8"/>
    <w:rsid w:val="00B06216"/>
    <w:rsid w:val="00B113E9"/>
    <w:rsid w:val="00B11837"/>
    <w:rsid w:val="00B11C91"/>
    <w:rsid w:val="00B11CFD"/>
    <w:rsid w:val="00B11FAA"/>
    <w:rsid w:val="00B12739"/>
    <w:rsid w:val="00B12991"/>
    <w:rsid w:val="00B12BF1"/>
    <w:rsid w:val="00B13339"/>
    <w:rsid w:val="00B13680"/>
    <w:rsid w:val="00B14CAE"/>
    <w:rsid w:val="00B15250"/>
    <w:rsid w:val="00B2072F"/>
    <w:rsid w:val="00B22548"/>
    <w:rsid w:val="00B22A65"/>
    <w:rsid w:val="00B24DD3"/>
    <w:rsid w:val="00B25723"/>
    <w:rsid w:val="00B26442"/>
    <w:rsid w:val="00B26583"/>
    <w:rsid w:val="00B3008E"/>
    <w:rsid w:val="00B3060D"/>
    <w:rsid w:val="00B30803"/>
    <w:rsid w:val="00B31EAC"/>
    <w:rsid w:val="00B320BF"/>
    <w:rsid w:val="00B32113"/>
    <w:rsid w:val="00B32D7D"/>
    <w:rsid w:val="00B330AF"/>
    <w:rsid w:val="00B339BF"/>
    <w:rsid w:val="00B3404F"/>
    <w:rsid w:val="00B343AC"/>
    <w:rsid w:val="00B348DA"/>
    <w:rsid w:val="00B34C5E"/>
    <w:rsid w:val="00B3503A"/>
    <w:rsid w:val="00B364A5"/>
    <w:rsid w:val="00B36813"/>
    <w:rsid w:val="00B41BB3"/>
    <w:rsid w:val="00B450BA"/>
    <w:rsid w:val="00B4517E"/>
    <w:rsid w:val="00B4573F"/>
    <w:rsid w:val="00B502D0"/>
    <w:rsid w:val="00B5041B"/>
    <w:rsid w:val="00B50A28"/>
    <w:rsid w:val="00B517AF"/>
    <w:rsid w:val="00B5197B"/>
    <w:rsid w:val="00B5242F"/>
    <w:rsid w:val="00B5244B"/>
    <w:rsid w:val="00B526F7"/>
    <w:rsid w:val="00B52824"/>
    <w:rsid w:val="00B52E5C"/>
    <w:rsid w:val="00B543B5"/>
    <w:rsid w:val="00B54479"/>
    <w:rsid w:val="00B5672C"/>
    <w:rsid w:val="00B56AB2"/>
    <w:rsid w:val="00B573F5"/>
    <w:rsid w:val="00B57482"/>
    <w:rsid w:val="00B57AB9"/>
    <w:rsid w:val="00B57B25"/>
    <w:rsid w:val="00B60292"/>
    <w:rsid w:val="00B61A9B"/>
    <w:rsid w:val="00B64971"/>
    <w:rsid w:val="00B65387"/>
    <w:rsid w:val="00B66615"/>
    <w:rsid w:val="00B666DC"/>
    <w:rsid w:val="00B669D3"/>
    <w:rsid w:val="00B66E5B"/>
    <w:rsid w:val="00B66E95"/>
    <w:rsid w:val="00B66FE1"/>
    <w:rsid w:val="00B70173"/>
    <w:rsid w:val="00B70176"/>
    <w:rsid w:val="00B701BC"/>
    <w:rsid w:val="00B70833"/>
    <w:rsid w:val="00B71190"/>
    <w:rsid w:val="00B71672"/>
    <w:rsid w:val="00B71788"/>
    <w:rsid w:val="00B71CAD"/>
    <w:rsid w:val="00B72833"/>
    <w:rsid w:val="00B734E7"/>
    <w:rsid w:val="00B73B32"/>
    <w:rsid w:val="00B74A75"/>
    <w:rsid w:val="00B77686"/>
    <w:rsid w:val="00B77C58"/>
    <w:rsid w:val="00B8032A"/>
    <w:rsid w:val="00B80779"/>
    <w:rsid w:val="00B81CEB"/>
    <w:rsid w:val="00B83713"/>
    <w:rsid w:val="00B837C6"/>
    <w:rsid w:val="00B83BCC"/>
    <w:rsid w:val="00B83F56"/>
    <w:rsid w:val="00B849F3"/>
    <w:rsid w:val="00B850D9"/>
    <w:rsid w:val="00B87D4B"/>
    <w:rsid w:val="00B90B71"/>
    <w:rsid w:val="00B911A7"/>
    <w:rsid w:val="00B913C1"/>
    <w:rsid w:val="00B9169D"/>
    <w:rsid w:val="00B923BC"/>
    <w:rsid w:val="00B92901"/>
    <w:rsid w:val="00B93B08"/>
    <w:rsid w:val="00B95C5D"/>
    <w:rsid w:val="00BA016E"/>
    <w:rsid w:val="00BA163A"/>
    <w:rsid w:val="00BA1CBA"/>
    <w:rsid w:val="00BA29CB"/>
    <w:rsid w:val="00BA699B"/>
    <w:rsid w:val="00BA7326"/>
    <w:rsid w:val="00BA7433"/>
    <w:rsid w:val="00BA77AA"/>
    <w:rsid w:val="00BA7CB6"/>
    <w:rsid w:val="00BB0091"/>
    <w:rsid w:val="00BB1954"/>
    <w:rsid w:val="00BB226C"/>
    <w:rsid w:val="00BB2E6C"/>
    <w:rsid w:val="00BB30C1"/>
    <w:rsid w:val="00BB3AB0"/>
    <w:rsid w:val="00BB3B52"/>
    <w:rsid w:val="00BB3BAB"/>
    <w:rsid w:val="00BB3BBD"/>
    <w:rsid w:val="00BB4A42"/>
    <w:rsid w:val="00BB5894"/>
    <w:rsid w:val="00BB62B0"/>
    <w:rsid w:val="00BB6C27"/>
    <w:rsid w:val="00BB6C3C"/>
    <w:rsid w:val="00BB6F45"/>
    <w:rsid w:val="00BC1C21"/>
    <w:rsid w:val="00BC399B"/>
    <w:rsid w:val="00BC3C01"/>
    <w:rsid w:val="00BC3CF7"/>
    <w:rsid w:val="00BC3FAF"/>
    <w:rsid w:val="00BC4CCE"/>
    <w:rsid w:val="00BD041B"/>
    <w:rsid w:val="00BD1C54"/>
    <w:rsid w:val="00BD1C5B"/>
    <w:rsid w:val="00BD2F1B"/>
    <w:rsid w:val="00BD5320"/>
    <w:rsid w:val="00BD54F9"/>
    <w:rsid w:val="00BD5A39"/>
    <w:rsid w:val="00BD6AA6"/>
    <w:rsid w:val="00BD6DD3"/>
    <w:rsid w:val="00BD798C"/>
    <w:rsid w:val="00BD7E01"/>
    <w:rsid w:val="00BE0A99"/>
    <w:rsid w:val="00BE0F1B"/>
    <w:rsid w:val="00BE1251"/>
    <w:rsid w:val="00BE3B43"/>
    <w:rsid w:val="00BE4057"/>
    <w:rsid w:val="00BE43F0"/>
    <w:rsid w:val="00BE588F"/>
    <w:rsid w:val="00BE6B6C"/>
    <w:rsid w:val="00BF0603"/>
    <w:rsid w:val="00BF0FEA"/>
    <w:rsid w:val="00BF115B"/>
    <w:rsid w:val="00BF1407"/>
    <w:rsid w:val="00BF28DB"/>
    <w:rsid w:val="00BF2E1F"/>
    <w:rsid w:val="00BF399D"/>
    <w:rsid w:val="00BF3ECD"/>
    <w:rsid w:val="00BF4D5C"/>
    <w:rsid w:val="00BF5D5A"/>
    <w:rsid w:val="00BF6E5A"/>
    <w:rsid w:val="00C01677"/>
    <w:rsid w:val="00C020C3"/>
    <w:rsid w:val="00C02184"/>
    <w:rsid w:val="00C02828"/>
    <w:rsid w:val="00C02C9E"/>
    <w:rsid w:val="00C037C4"/>
    <w:rsid w:val="00C05C8C"/>
    <w:rsid w:val="00C05E58"/>
    <w:rsid w:val="00C06EDE"/>
    <w:rsid w:val="00C105BF"/>
    <w:rsid w:val="00C1060E"/>
    <w:rsid w:val="00C1130C"/>
    <w:rsid w:val="00C11908"/>
    <w:rsid w:val="00C12898"/>
    <w:rsid w:val="00C12B51"/>
    <w:rsid w:val="00C130EC"/>
    <w:rsid w:val="00C13C93"/>
    <w:rsid w:val="00C14279"/>
    <w:rsid w:val="00C14AE6"/>
    <w:rsid w:val="00C1699B"/>
    <w:rsid w:val="00C16BA7"/>
    <w:rsid w:val="00C17F0F"/>
    <w:rsid w:val="00C17FE8"/>
    <w:rsid w:val="00C20477"/>
    <w:rsid w:val="00C214DA"/>
    <w:rsid w:val="00C217B5"/>
    <w:rsid w:val="00C2197C"/>
    <w:rsid w:val="00C2261C"/>
    <w:rsid w:val="00C2272A"/>
    <w:rsid w:val="00C227F7"/>
    <w:rsid w:val="00C22A17"/>
    <w:rsid w:val="00C22A1E"/>
    <w:rsid w:val="00C25B98"/>
    <w:rsid w:val="00C25FAA"/>
    <w:rsid w:val="00C2616D"/>
    <w:rsid w:val="00C26290"/>
    <w:rsid w:val="00C278D1"/>
    <w:rsid w:val="00C31B11"/>
    <w:rsid w:val="00C33A25"/>
    <w:rsid w:val="00C34814"/>
    <w:rsid w:val="00C35518"/>
    <w:rsid w:val="00C35540"/>
    <w:rsid w:val="00C36018"/>
    <w:rsid w:val="00C373FE"/>
    <w:rsid w:val="00C37CCA"/>
    <w:rsid w:val="00C40A98"/>
    <w:rsid w:val="00C40EE5"/>
    <w:rsid w:val="00C41DE3"/>
    <w:rsid w:val="00C42E2D"/>
    <w:rsid w:val="00C430F5"/>
    <w:rsid w:val="00C436A5"/>
    <w:rsid w:val="00C43CF1"/>
    <w:rsid w:val="00C450C9"/>
    <w:rsid w:val="00C45469"/>
    <w:rsid w:val="00C464E6"/>
    <w:rsid w:val="00C46720"/>
    <w:rsid w:val="00C53824"/>
    <w:rsid w:val="00C544EC"/>
    <w:rsid w:val="00C54EC2"/>
    <w:rsid w:val="00C5505E"/>
    <w:rsid w:val="00C553A3"/>
    <w:rsid w:val="00C55BF0"/>
    <w:rsid w:val="00C55EE1"/>
    <w:rsid w:val="00C56174"/>
    <w:rsid w:val="00C5699D"/>
    <w:rsid w:val="00C56E8E"/>
    <w:rsid w:val="00C57A30"/>
    <w:rsid w:val="00C57BFD"/>
    <w:rsid w:val="00C57D58"/>
    <w:rsid w:val="00C60A89"/>
    <w:rsid w:val="00C60C04"/>
    <w:rsid w:val="00C611F8"/>
    <w:rsid w:val="00C6310A"/>
    <w:rsid w:val="00C63336"/>
    <w:rsid w:val="00C63A3F"/>
    <w:rsid w:val="00C63A86"/>
    <w:rsid w:val="00C63BB0"/>
    <w:rsid w:val="00C65F1D"/>
    <w:rsid w:val="00C66C50"/>
    <w:rsid w:val="00C66F5D"/>
    <w:rsid w:val="00C670E5"/>
    <w:rsid w:val="00C70186"/>
    <w:rsid w:val="00C70B5A"/>
    <w:rsid w:val="00C7136C"/>
    <w:rsid w:val="00C71872"/>
    <w:rsid w:val="00C71FEF"/>
    <w:rsid w:val="00C725A8"/>
    <w:rsid w:val="00C73EA6"/>
    <w:rsid w:val="00C73F83"/>
    <w:rsid w:val="00C744D2"/>
    <w:rsid w:val="00C752DD"/>
    <w:rsid w:val="00C7568D"/>
    <w:rsid w:val="00C75979"/>
    <w:rsid w:val="00C759F0"/>
    <w:rsid w:val="00C75B5F"/>
    <w:rsid w:val="00C76F5F"/>
    <w:rsid w:val="00C77152"/>
    <w:rsid w:val="00C77FDF"/>
    <w:rsid w:val="00C80345"/>
    <w:rsid w:val="00C80A95"/>
    <w:rsid w:val="00C83029"/>
    <w:rsid w:val="00C835C2"/>
    <w:rsid w:val="00C854F1"/>
    <w:rsid w:val="00C8595C"/>
    <w:rsid w:val="00C861D6"/>
    <w:rsid w:val="00C87702"/>
    <w:rsid w:val="00C8783C"/>
    <w:rsid w:val="00C87AA6"/>
    <w:rsid w:val="00C92E94"/>
    <w:rsid w:val="00C9427E"/>
    <w:rsid w:val="00C94B3E"/>
    <w:rsid w:val="00C95FA8"/>
    <w:rsid w:val="00C966E4"/>
    <w:rsid w:val="00C96BE0"/>
    <w:rsid w:val="00C97918"/>
    <w:rsid w:val="00C97BDD"/>
    <w:rsid w:val="00C97D39"/>
    <w:rsid w:val="00CA0724"/>
    <w:rsid w:val="00CA0976"/>
    <w:rsid w:val="00CA09E3"/>
    <w:rsid w:val="00CA2156"/>
    <w:rsid w:val="00CA25D1"/>
    <w:rsid w:val="00CA3445"/>
    <w:rsid w:val="00CA729A"/>
    <w:rsid w:val="00CA7C33"/>
    <w:rsid w:val="00CA7CB2"/>
    <w:rsid w:val="00CB265E"/>
    <w:rsid w:val="00CB287F"/>
    <w:rsid w:val="00CB33FC"/>
    <w:rsid w:val="00CB38A5"/>
    <w:rsid w:val="00CB3A80"/>
    <w:rsid w:val="00CB50EA"/>
    <w:rsid w:val="00CB52BA"/>
    <w:rsid w:val="00CB5426"/>
    <w:rsid w:val="00CB5528"/>
    <w:rsid w:val="00CB7C97"/>
    <w:rsid w:val="00CC1959"/>
    <w:rsid w:val="00CC26CC"/>
    <w:rsid w:val="00CC28F1"/>
    <w:rsid w:val="00CC3A2C"/>
    <w:rsid w:val="00CC5320"/>
    <w:rsid w:val="00CC5517"/>
    <w:rsid w:val="00CC588F"/>
    <w:rsid w:val="00CC75E4"/>
    <w:rsid w:val="00CC78E7"/>
    <w:rsid w:val="00CC7B99"/>
    <w:rsid w:val="00CC7D26"/>
    <w:rsid w:val="00CD0534"/>
    <w:rsid w:val="00CD0550"/>
    <w:rsid w:val="00CD0A40"/>
    <w:rsid w:val="00CD0E20"/>
    <w:rsid w:val="00CD19D4"/>
    <w:rsid w:val="00CD41FA"/>
    <w:rsid w:val="00CD4824"/>
    <w:rsid w:val="00CD48B7"/>
    <w:rsid w:val="00CD5323"/>
    <w:rsid w:val="00CD5641"/>
    <w:rsid w:val="00CD6144"/>
    <w:rsid w:val="00CD7AC1"/>
    <w:rsid w:val="00CD7D77"/>
    <w:rsid w:val="00CE05DD"/>
    <w:rsid w:val="00CE1D3B"/>
    <w:rsid w:val="00CE2EB4"/>
    <w:rsid w:val="00CE31BF"/>
    <w:rsid w:val="00CE34EB"/>
    <w:rsid w:val="00CE46D9"/>
    <w:rsid w:val="00CE5BE6"/>
    <w:rsid w:val="00CE5D28"/>
    <w:rsid w:val="00CE62B0"/>
    <w:rsid w:val="00CE6EB8"/>
    <w:rsid w:val="00CF00AC"/>
    <w:rsid w:val="00CF288E"/>
    <w:rsid w:val="00CF2A68"/>
    <w:rsid w:val="00CF446D"/>
    <w:rsid w:val="00CF53EC"/>
    <w:rsid w:val="00CF55F3"/>
    <w:rsid w:val="00CF6397"/>
    <w:rsid w:val="00CF65FE"/>
    <w:rsid w:val="00CF6BEA"/>
    <w:rsid w:val="00D00748"/>
    <w:rsid w:val="00D00A7B"/>
    <w:rsid w:val="00D01245"/>
    <w:rsid w:val="00D02321"/>
    <w:rsid w:val="00D02F76"/>
    <w:rsid w:val="00D03814"/>
    <w:rsid w:val="00D0413D"/>
    <w:rsid w:val="00D050DA"/>
    <w:rsid w:val="00D051DD"/>
    <w:rsid w:val="00D07465"/>
    <w:rsid w:val="00D100F8"/>
    <w:rsid w:val="00D102B7"/>
    <w:rsid w:val="00D10493"/>
    <w:rsid w:val="00D10B5F"/>
    <w:rsid w:val="00D114B4"/>
    <w:rsid w:val="00D11E5D"/>
    <w:rsid w:val="00D121A1"/>
    <w:rsid w:val="00D128E9"/>
    <w:rsid w:val="00D13210"/>
    <w:rsid w:val="00D13B0E"/>
    <w:rsid w:val="00D14F73"/>
    <w:rsid w:val="00D16062"/>
    <w:rsid w:val="00D17D37"/>
    <w:rsid w:val="00D2071F"/>
    <w:rsid w:val="00D20A69"/>
    <w:rsid w:val="00D20F7C"/>
    <w:rsid w:val="00D22433"/>
    <w:rsid w:val="00D22976"/>
    <w:rsid w:val="00D23CEC"/>
    <w:rsid w:val="00D2493B"/>
    <w:rsid w:val="00D26319"/>
    <w:rsid w:val="00D26EE3"/>
    <w:rsid w:val="00D30EDF"/>
    <w:rsid w:val="00D30F04"/>
    <w:rsid w:val="00D3137C"/>
    <w:rsid w:val="00D314F6"/>
    <w:rsid w:val="00D3184D"/>
    <w:rsid w:val="00D3192B"/>
    <w:rsid w:val="00D31BE8"/>
    <w:rsid w:val="00D31F5B"/>
    <w:rsid w:val="00D32653"/>
    <w:rsid w:val="00D32789"/>
    <w:rsid w:val="00D32EC3"/>
    <w:rsid w:val="00D339FA"/>
    <w:rsid w:val="00D33A70"/>
    <w:rsid w:val="00D34407"/>
    <w:rsid w:val="00D34A84"/>
    <w:rsid w:val="00D35722"/>
    <w:rsid w:val="00D3621E"/>
    <w:rsid w:val="00D3642C"/>
    <w:rsid w:val="00D36439"/>
    <w:rsid w:val="00D36657"/>
    <w:rsid w:val="00D37547"/>
    <w:rsid w:val="00D404D9"/>
    <w:rsid w:val="00D407AF"/>
    <w:rsid w:val="00D41413"/>
    <w:rsid w:val="00D42988"/>
    <w:rsid w:val="00D436FD"/>
    <w:rsid w:val="00D43C4F"/>
    <w:rsid w:val="00D463CF"/>
    <w:rsid w:val="00D474EC"/>
    <w:rsid w:val="00D47A3E"/>
    <w:rsid w:val="00D47C65"/>
    <w:rsid w:val="00D47E41"/>
    <w:rsid w:val="00D51E0B"/>
    <w:rsid w:val="00D52104"/>
    <w:rsid w:val="00D5355F"/>
    <w:rsid w:val="00D552AE"/>
    <w:rsid w:val="00D56771"/>
    <w:rsid w:val="00D57FA4"/>
    <w:rsid w:val="00D60701"/>
    <w:rsid w:val="00D62470"/>
    <w:rsid w:val="00D62F02"/>
    <w:rsid w:val="00D62F91"/>
    <w:rsid w:val="00D63BFB"/>
    <w:rsid w:val="00D642DD"/>
    <w:rsid w:val="00D64DEF"/>
    <w:rsid w:val="00D64FDE"/>
    <w:rsid w:val="00D6526C"/>
    <w:rsid w:val="00D656BE"/>
    <w:rsid w:val="00D662F7"/>
    <w:rsid w:val="00D66B9E"/>
    <w:rsid w:val="00D66FAE"/>
    <w:rsid w:val="00D7084F"/>
    <w:rsid w:val="00D7088C"/>
    <w:rsid w:val="00D70C26"/>
    <w:rsid w:val="00D70E50"/>
    <w:rsid w:val="00D7119B"/>
    <w:rsid w:val="00D72039"/>
    <w:rsid w:val="00D7204B"/>
    <w:rsid w:val="00D72EB1"/>
    <w:rsid w:val="00D730D0"/>
    <w:rsid w:val="00D7490B"/>
    <w:rsid w:val="00D75818"/>
    <w:rsid w:val="00D762FC"/>
    <w:rsid w:val="00D80290"/>
    <w:rsid w:val="00D8097D"/>
    <w:rsid w:val="00D82284"/>
    <w:rsid w:val="00D82454"/>
    <w:rsid w:val="00D82C04"/>
    <w:rsid w:val="00D836D3"/>
    <w:rsid w:val="00D844A9"/>
    <w:rsid w:val="00D84A9B"/>
    <w:rsid w:val="00D8525C"/>
    <w:rsid w:val="00D867FE"/>
    <w:rsid w:val="00D86D1B"/>
    <w:rsid w:val="00D87219"/>
    <w:rsid w:val="00D87802"/>
    <w:rsid w:val="00D9103E"/>
    <w:rsid w:val="00D910DF"/>
    <w:rsid w:val="00D916BC"/>
    <w:rsid w:val="00D918EE"/>
    <w:rsid w:val="00D91B7C"/>
    <w:rsid w:val="00D9240E"/>
    <w:rsid w:val="00D93F7A"/>
    <w:rsid w:val="00D944CD"/>
    <w:rsid w:val="00D94CDE"/>
    <w:rsid w:val="00D9768A"/>
    <w:rsid w:val="00DA02FE"/>
    <w:rsid w:val="00DA05BD"/>
    <w:rsid w:val="00DA11FB"/>
    <w:rsid w:val="00DA1EA1"/>
    <w:rsid w:val="00DA1F40"/>
    <w:rsid w:val="00DA238D"/>
    <w:rsid w:val="00DA27CC"/>
    <w:rsid w:val="00DA4B1C"/>
    <w:rsid w:val="00DA4FD5"/>
    <w:rsid w:val="00DA51B0"/>
    <w:rsid w:val="00DA5E46"/>
    <w:rsid w:val="00DA6115"/>
    <w:rsid w:val="00DA6557"/>
    <w:rsid w:val="00DA66FC"/>
    <w:rsid w:val="00DA70C7"/>
    <w:rsid w:val="00DB08A4"/>
    <w:rsid w:val="00DB2C79"/>
    <w:rsid w:val="00DB2D90"/>
    <w:rsid w:val="00DB3A85"/>
    <w:rsid w:val="00DB4AD0"/>
    <w:rsid w:val="00DB5721"/>
    <w:rsid w:val="00DB6E10"/>
    <w:rsid w:val="00DB795D"/>
    <w:rsid w:val="00DB7D1E"/>
    <w:rsid w:val="00DC1107"/>
    <w:rsid w:val="00DC12AB"/>
    <w:rsid w:val="00DC1F67"/>
    <w:rsid w:val="00DC26D4"/>
    <w:rsid w:val="00DC3654"/>
    <w:rsid w:val="00DC3A5F"/>
    <w:rsid w:val="00DC3C70"/>
    <w:rsid w:val="00DC3FB5"/>
    <w:rsid w:val="00DC46B4"/>
    <w:rsid w:val="00DC55BB"/>
    <w:rsid w:val="00DC5A63"/>
    <w:rsid w:val="00DC778E"/>
    <w:rsid w:val="00DD02B5"/>
    <w:rsid w:val="00DD0CE1"/>
    <w:rsid w:val="00DD0D37"/>
    <w:rsid w:val="00DD1064"/>
    <w:rsid w:val="00DD2C54"/>
    <w:rsid w:val="00DD3541"/>
    <w:rsid w:val="00DD3D10"/>
    <w:rsid w:val="00DD4FC2"/>
    <w:rsid w:val="00DD57B6"/>
    <w:rsid w:val="00DE0589"/>
    <w:rsid w:val="00DE23D4"/>
    <w:rsid w:val="00DE245D"/>
    <w:rsid w:val="00DE278D"/>
    <w:rsid w:val="00DE2C81"/>
    <w:rsid w:val="00DE2F2E"/>
    <w:rsid w:val="00DE2FA9"/>
    <w:rsid w:val="00DE32B6"/>
    <w:rsid w:val="00DE38DB"/>
    <w:rsid w:val="00DE45D9"/>
    <w:rsid w:val="00DF048B"/>
    <w:rsid w:val="00DF0B77"/>
    <w:rsid w:val="00DF3871"/>
    <w:rsid w:val="00DF516E"/>
    <w:rsid w:val="00DF51E9"/>
    <w:rsid w:val="00DF7468"/>
    <w:rsid w:val="00E00A63"/>
    <w:rsid w:val="00E00E82"/>
    <w:rsid w:val="00E0159D"/>
    <w:rsid w:val="00E0425C"/>
    <w:rsid w:val="00E062C4"/>
    <w:rsid w:val="00E07191"/>
    <w:rsid w:val="00E07D66"/>
    <w:rsid w:val="00E10596"/>
    <w:rsid w:val="00E10D6B"/>
    <w:rsid w:val="00E11591"/>
    <w:rsid w:val="00E1168A"/>
    <w:rsid w:val="00E12846"/>
    <w:rsid w:val="00E12EA3"/>
    <w:rsid w:val="00E1402E"/>
    <w:rsid w:val="00E1480F"/>
    <w:rsid w:val="00E155B4"/>
    <w:rsid w:val="00E15B40"/>
    <w:rsid w:val="00E17400"/>
    <w:rsid w:val="00E17BCF"/>
    <w:rsid w:val="00E21D29"/>
    <w:rsid w:val="00E21FF5"/>
    <w:rsid w:val="00E24465"/>
    <w:rsid w:val="00E25859"/>
    <w:rsid w:val="00E25DB7"/>
    <w:rsid w:val="00E268CD"/>
    <w:rsid w:val="00E30987"/>
    <w:rsid w:val="00E31600"/>
    <w:rsid w:val="00E33426"/>
    <w:rsid w:val="00E3392A"/>
    <w:rsid w:val="00E339AF"/>
    <w:rsid w:val="00E369AE"/>
    <w:rsid w:val="00E41344"/>
    <w:rsid w:val="00E41804"/>
    <w:rsid w:val="00E4315D"/>
    <w:rsid w:val="00E431B2"/>
    <w:rsid w:val="00E43F00"/>
    <w:rsid w:val="00E46246"/>
    <w:rsid w:val="00E4645D"/>
    <w:rsid w:val="00E46C9F"/>
    <w:rsid w:val="00E46FBF"/>
    <w:rsid w:val="00E47ECA"/>
    <w:rsid w:val="00E50C1B"/>
    <w:rsid w:val="00E51054"/>
    <w:rsid w:val="00E51106"/>
    <w:rsid w:val="00E51672"/>
    <w:rsid w:val="00E51E09"/>
    <w:rsid w:val="00E53689"/>
    <w:rsid w:val="00E54E85"/>
    <w:rsid w:val="00E551D6"/>
    <w:rsid w:val="00E555C3"/>
    <w:rsid w:val="00E55E45"/>
    <w:rsid w:val="00E56C9D"/>
    <w:rsid w:val="00E5755A"/>
    <w:rsid w:val="00E57F37"/>
    <w:rsid w:val="00E60028"/>
    <w:rsid w:val="00E6158B"/>
    <w:rsid w:val="00E62301"/>
    <w:rsid w:val="00E63965"/>
    <w:rsid w:val="00E63C1C"/>
    <w:rsid w:val="00E63CFA"/>
    <w:rsid w:val="00E65581"/>
    <w:rsid w:val="00E6580A"/>
    <w:rsid w:val="00E66360"/>
    <w:rsid w:val="00E70238"/>
    <w:rsid w:val="00E703B2"/>
    <w:rsid w:val="00E7040E"/>
    <w:rsid w:val="00E70558"/>
    <w:rsid w:val="00E705A0"/>
    <w:rsid w:val="00E71088"/>
    <w:rsid w:val="00E7306C"/>
    <w:rsid w:val="00E73421"/>
    <w:rsid w:val="00E74F15"/>
    <w:rsid w:val="00E7592E"/>
    <w:rsid w:val="00E75B7A"/>
    <w:rsid w:val="00E77726"/>
    <w:rsid w:val="00E80797"/>
    <w:rsid w:val="00E80AD2"/>
    <w:rsid w:val="00E82A59"/>
    <w:rsid w:val="00E82E94"/>
    <w:rsid w:val="00E846A8"/>
    <w:rsid w:val="00E84889"/>
    <w:rsid w:val="00E86D7F"/>
    <w:rsid w:val="00E870EB"/>
    <w:rsid w:val="00E87596"/>
    <w:rsid w:val="00E90348"/>
    <w:rsid w:val="00E9039F"/>
    <w:rsid w:val="00E91080"/>
    <w:rsid w:val="00E92581"/>
    <w:rsid w:val="00E92D57"/>
    <w:rsid w:val="00E93364"/>
    <w:rsid w:val="00E93381"/>
    <w:rsid w:val="00E95864"/>
    <w:rsid w:val="00E96356"/>
    <w:rsid w:val="00E97244"/>
    <w:rsid w:val="00E9738D"/>
    <w:rsid w:val="00E977EB"/>
    <w:rsid w:val="00E97984"/>
    <w:rsid w:val="00EA02A9"/>
    <w:rsid w:val="00EA1DB5"/>
    <w:rsid w:val="00EA4B9B"/>
    <w:rsid w:val="00EA50BF"/>
    <w:rsid w:val="00EA5841"/>
    <w:rsid w:val="00EA68AE"/>
    <w:rsid w:val="00EA6D28"/>
    <w:rsid w:val="00EA7654"/>
    <w:rsid w:val="00EA79A8"/>
    <w:rsid w:val="00EB1A56"/>
    <w:rsid w:val="00EB3034"/>
    <w:rsid w:val="00EB3947"/>
    <w:rsid w:val="00EB4B6E"/>
    <w:rsid w:val="00EB7BEF"/>
    <w:rsid w:val="00EB7C39"/>
    <w:rsid w:val="00EC108F"/>
    <w:rsid w:val="00EC15A1"/>
    <w:rsid w:val="00EC316B"/>
    <w:rsid w:val="00EC31CB"/>
    <w:rsid w:val="00EC33FC"/>
    <w:rsid w:val="00EC399A"/>
    <w:rsid w:val="00EC3CD0"/>
    <w:rsid w:val="00EC3E29"/>
    <w:rsid w:val="00EC6B77"/>
    <w:rsid w:val="00EC795E"/>
    <w:rsid w:val="00EC79FB"/>
    <w:rsid w:val="00EC7B65"/>
    <w:rsid w:val="00ED08F7"/>
    <w:rsid w:val="00ED0AE0"/>
    <w:rsid w:val="00ED0C4B"/>
    <w:rsid w:val="00ED10BB"/>
    <w:rsid w:val="00ED1D3E"/>
    <w:rsid w:val="00ED2581"/>
    <w:rsid w:val="00ED2D3B"/>
    <w:rsid w:val="00ED33FD"/>
    <w:rsid w:val="00ED3AEC"/>
    <w:rsid w:val="00ED3C04"/>
    <w:rsid w:val="00ED45B5"/>
    <w:rsid w:val="00ED5258"/>
    <w:rsid w:val="00ED7AF6"/>
    <w:rsid w:val="00EE054D"/>
    <w:rsid w:val="00EE21B7"/>
    <w:rsid w:val="00EE2399"/>
    <w:rsid w:val="00EE3115"/>
    <w:rsid w:val="00EE321C"/>
    <w:rsid w:val="00EE3D0E"/>
    <w:rsid w:val="00EE4604"/>
    <w:rsid w:val="00EE4C17"/>
    <w:rsid w:val="00EE64DD"/>
    <w:rsid w:val="00EF1EC0"/>
    <w:rsid w:val="00EF29EC"/>
    <w:rsid w:val="00EF313A"/>
    <w:rsid w:val="00EF35E4"/>
    <w:rsid w:val="00EF47A4"/>
    <w:rsid w:val="00EF54FC"/>
    <w:rsid w:val="00EF7CA1"/>
    <w:rsid w:val="00F0077D"/>
    <w:rsid w:val="00F013F3"/>
    <w:rsid w:val="00F014D4"/>
    <w:rsid w:val="00F0180D"/>
    <w:rsid w:val="00F03945"/>
    <w:rsid w:val="00F03B72"/>
    <w:rsid w:val="00F047F8"/>
    <w:rsid w:val="00F05061"/>
    <w:rsid w:val="00F06D1F"/>
    <w:rsid w:val="00F07475"/>
    <w:rsid w:val="00F07822"/>
    <w:rsid w:val="00F07DA0"/>
    <w:rsid w:val="00F11E92"/>
    <w:rsid w:val="00F1238F"/>
    <w:rsid w:val="00F12E61"/>
    <w:rsid w:val="00F13AEE"/>
    <w:rsid w:val="00F148E2"/>
    <w:rsid w:val="00F1490F"/>
    <w:rsid w:val="00F14AA9"/>
    <w:rsid w:val="00F1533E"/>
    <w:rsid w:val="00F17380"/>
    <w:rsid w:val="00F173D3"/>
    <w:rsid w:val="00F2079D"/>
    <w:rsid w:val="00F20BE1"/>
    <w:rsid w:val="00F21C04"/>
    <w:rsid w:val="00F22B1F"/>
    <w:rsid w:val="00F24273"/>
    <w:rsid w:val="00F24B15"/>
    <w:rsid w:val="00F24E4F"/>
    <w:rsid w:val="00F26355"/>
    <w:rsid w:val="00F266C5"/>
    <w:rsid w:val="00F2737E"/>
    <w:rsid w:val="00F3016C"/>
    <w:rsid w:val="00F316EC"/>
    <w:rsid w:val="00F3324B"/>
    <w:rsid w:val="00F335C3"/>
    <w:rsid w:val="00F33770"/>
    <w:rsid w:val="00F3613D"/>
    <w:rsid w:val="00F36D56"/>
    <w:rsid w:val="00F402C3"/>
    <w:rsid w:val="00F40A45"/>
    <w:rsid w:val="00F42567"/>
    <w:rsid w:val="00F42B6E"/>
    <w:rsid w:val="00F42EE8"/>
    <w:rsid w:val="00F43608"/>
    <w:rsid w:val="00F445E9"/>
    <w:rsid w:val="00F45934"/>
    <w:rsid w:val="00F46978"/>
    <w:rsid w:val="00F50FF1"/>
    <w:rsid w:val="00F51D8A"/>
    <w:rsid w:val="00F537D6"/>
    <w:rsid w:val="00F53E5B"/>
    <w:rsid w:val="00F54106"/>
    <w:rsid w:val="00F542E7"/>
    <w:rsid w:val="00F54DA2"/>
    <w:rsid w:val="00F54E83"/>
    <w:rsid w:val="00F55425"/>
    <w:rsid w:val="00F60E4F"/>
    <w:rsid w:val="00F613C3"/>
    <w:rsid w:val="00F61ACC"/>
    <w:rsid w:val="00F61E39"/>
    <w:rsid w:val="00F62F89"/>
    <w:rsid w:val="00F6322B"/>
    <w:rsid w:val="00F63643"/>
    <w:rsid w:val="00F64125"/>
    <w:rsid w:val="00F65A91"/>
    <w:rsid w:val="00F66AA5"/>
    <w:rsid w:val="00F6743F"/>
    <w:rsid w:val="00F67827"/>
    <w:rsid w:val="00F6798D"/>
    <w:rsid w:val="00F7015D"/>
    <w:rsid w:val="00F71CDF"/>
    <w:rsid w:val="00F73828"/>
    <w:rsid w:val="00F73DF6"/>
    <w:rsid w:val="00F74015"/>
    <w:rsid w:val="00F74B76"/>
    <w:rsid w:val="00F74F5F"/>
    <w:rsid w:val="00F75D96"/>
    <w:rsid w:val="00F75DE9"/>
    <w:rsid w:val="00F763E3"/>
    <w:rsid w:val="00F76784"/>
    <w:rsid w:val="00F80061"/>
    <w:rsid w:val="00F802EF"/>
    <w:rsid w:val="00F80DCF"/>
    <w:rsid w:val="00F8114D"/>
    <w:rsid w:val="00F8199B"/>
    <w:rsid w:val="00F81A0D"/>
    <w:rsid w:val="00F8203B"/>
    <w:rsid w:val="00F82606"/>
    <w:rsid w:val="00F82663"/>
    <w:rsid w:val="00F83552"/>
    <w:rsid w:val="00F83A41"/>
    <w:rsid w:val="00F83B0E"/>
    <w:rsid w:val="00F83D92"/>
    <w:rsid w:val="00F842CA"/>
    <w:rsid w:val="00F85964"/>
    <w:rsid w:val="00F868B2"/>
    <w:rsid w:val="00F86DFB"/>
    <w:rsid w:val="00F87DD5"/>
    <w:rsid w:val="00F9037F"/>
    <w:rsid w:val="00F90E9C"/>
    <w:rsid w:val="00F92168"/>
    <w:rsid w:val="00F92837"/>
    <w:rsid w:val="00F945D7"/>
    <w:rsid w:val="00F956D0"/>
    <w:rsid w:val="00F961EB"/>
    <w:rsid w:val="00F96F59"/>
    <w:rsid w:val="00F97453"/>
    <w:rsid w:val="00F97458"/>
    <w:rsid w:val="00F97985"/>
    <w:rsid w:val="00F97AB4"/>
    <w:rsid w:val="00F97EF4"/>
    <w:rsid w:val="00FA0D90"/>
    <w:rsid w:val="00FA2504"/>
    <w:rsid w:val="00FA3332"/>
    <w:rsid w:val="00FA3CBE"/>
    <w:rsid w:val="00FA4CED"/>
    <w:rsid w:val="00FA4DE9"/>
    <w:rsid w:val="00FA5034"/>
    <w:rsid w:val="00FA65ED"/>
    <w:rsid w:val="00FA6794"/>
    <w:rsid w:val="00FA68BD"/>
    <w:rsid w:val="00FB0318"/>
    <w:rsid w:val="00FB0981"/>
    <w:rsid w:val="00FB3884"/>
    <w:rsid w:val="00FB4694"/>
    <w:rsid w:val="00FB499A"/>
    <w:rsid w:val="00FB4E84"/>
    <w:rsid w:val="00FB5309"/>
    <w:rsid w:val="00FB58FA"/>
    <w:rsid w:val="00FB5C1A"/>
    <w:rsid w:val="00FB72BA"/>
    <w:rsid w:val="00FB7E08"/>
    <w:rsid w:val="00FC14F1"/>
    <w:rsid w:val="00FC1DB2"/>
    <w:rsid w:val="00FC1E77"/>
    <w:rsid w:val="00FC3289"/>
    <w:rsid w:val="00FC36C9"/>
    <w:rsid w:val="00FC3975"/>
    <w:rsid w:val="00FC5A59"/>
    <w:rsid w:val="00FC6B9F"/>
    <w:rsid w:val="00FC6D35"/>
    <w:rsid w:val="00FD1AEB"/>
    <w:rsid w:val="00FD2915"/>
    <w:rsid w:val="00FD5590"/>
    <w:rsid w:val="00FD5736"/>
    <w:rsid w:val="00FD6360"/>
    <w:rsid w:val="00FD7FB8"/>
    <w:rsid w:val="00FE1998"/>
    <w:rsid w:val="00FE2481"/>
    <w:rsid w:val="00FE2A5B"/>
    <w:rsid w:val="00FE2E92"/>
    <w:rsid w:val="00FE537B"/>
    <w:rsid w:val="00FE54E7"/>
    <w:rsid w:val="00FE70CE"/>
    <w:rsid w:val="00FF075A"/>
    <w:rsid w:val="00FF0AD0"/>
    <w:rsid w:val="00FF1CC1"/>
    <w:rsid w:val="00FF3149"/>
    <w:rsid w:val="00FF34DC"/>
    <w:rsid w:val="00FF3BBB"/>
    <w:rsid w:val="00FF51AC"/>
    <w:rsid w:val="00FF520D"/>
    <w:rsid w:val="00FF522C"/>
    <w:rsid w:val="00FF59FA"/>
    <w:rsid w:val="00FF5F99"/>
    <w:rsid w:val="00FF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90"/>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9E6590"/>
    <w:pPr>
      <w:keepNext/>
      <w:tabs>
        <w:tab w:val="left" w:pos="1152"/>
      </w:tabs>
      <w:spacing w:after="360" w:line="360" w:lineRule="atLeast"/>
      <w:ind w:left="1152" w:hanging="1152"/>
      <w:outlineLvl w:val="0"/>
    </w:pPr>
    <w:rPr>
      <w:rFonts w:ascii="Franklin Gothic Medium" w:hAnsi="Franklin Gothic Medium"/>
      <w:b/>
      <w:color w:val="324162"/>
      <w:sz w:val="32"/>
      <w:lang w:val="x-none" w:eastAsia="x-none"/>
    </w:rPr>
  </w:style>
  <w:style w:type="paragraph" w:styleId="Heading2">
    <w:name w:val="heading 2"/>
    <w:aliases w:val="H2-Sec. Head"/>
    <w:basedOn w:val="Heading1"/>
    <w:next w:val="L1-FlLSp12"/>
    <w:link w:val="Heading2Char"/>
    <w:qFormat/>
    <w:rsid w:val="009E6590"/>
    <w:pPr>
      <w:outlineLvl w:val="1"/>
    </w:pPr>
    <w:rPr>
      <w:sz w:val="28"/>
    </w:rPr>
  </w:style>
  <w:style w:type="paragraph" w:styleId="Heading3">
    <w:name w:val="heading 3"/>
    <w:aliases w:val="H3-Sec. Head"/>
    <w:basedOn w:val="Heading1"/>
    <w:next w:val="L1-FlLSp12"/>
    <w:link w:val="Heading3Char"/>
    <w:qFormat/>
    <w:rsid w:val="009E6590"/>
    <w:pPr>
      <w:outlineLvl w:val="2"/>
    </w:pPr>
    <w:rPr>
      <w:color w:val="auto"/>
      <w:sz w:val="24"/>
    </w:rPr>
  </w:style>
  <w:style w:type="paragraph" w:styleId="Heading4">
    <w:name w:val="heading 4"/>
    <w:aliases w:val="H4 Sec.Heading"/>
    <w:basedOn w:val="Heading1"/>
    <w:next w:val="L1-FlLSp12"/>
    <w:link w:val="Heading4Char"/>
    <w:qFormat/>
    <w:rsid w:val="009E6590"/>
    <w:pPr>
      <w:outlineLvl w:val="3"/>
    </w:pPr>
    <w:rPr>
      <w:i/>
      <w:color w:val="auto"/>
      <w:sz w:val="24"/>
    </w:rPr>
  </w:style>
  <w:style w:type="paragraph" w:styleId="Heading5">
    <w:name w:val="heading 5"/>
    <w:basedOn w:val="Normal"/>
    <w:next w:val="Normal"/>
    <w:link w:val="Heading5Char"/>
    <w:qFormat/>
    <w:rsid w:val="009E6590"/>
    <w:pPr>
      <w:keepLines/>
      <w:spacing w:before="360" w:line="360" w:lineRule="atLeast"/>
      <w:jc w:val="center"/>
      <w:outlineLvl w:val="4"/>
    </w:pPr>
    <w:rPr>
      <w:lang w:val="x-none" w:eastAsia="x-none"/>
    </w:rPr>
  </w:style>
  <w:style w:type="paragraph" w:styleId="Heading6">
    <w:name w:val="heading 6"/>
    <w:basedOn w:val="Normal"/>
    <w:next w:val="Normal"/>
    <w:link w:val="Heading6Char"/>
    <w:qFormat/>
    <w:rsid w:val="009E6590"/>
    <w:pPr>
      <w:keepNext/>
      <w:spacing w:before="240"/>
      <w:jc w:val="center"/>
      <w:outlineLvl w:val="5"/>
    </w:pPr>
    <w:rPr>
      <w:b/>
      <w:caps/>
      <w:lang w:val="x-none" w:eastAsia="x-none"/>
    </w:rPr>
  </w:style>
  <w:style w:type="paragraph" w:styleId="Heading7">
    <w:name w:val="heading 7"/>
    <w:basedOn w:val="Normal"/>
    <w:next w:val="Normal"/>
    <w:link w:val="Heading7Char"/>
    <w:qFormat/>
    <w:rsid w:val="009E659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9E6590"/>
    <w:pPr>
      <w:tabs>
        <w:tab w:val="left" w:pos="1152"/>
      </w:tabs>
      <w:spacing w:line="360" w:lineRule="atLeast"/>
    </w:pPr>
    <w:rPr>
      <w:lang w:val="x-none" w:eastAsia="x-none"/>
    </w:rPr>
  </w:style>
  <w:style w:type="paragraph" w:customStyle="1" w:styleId="TT-TableTitle">
    <w:name w:val="TT-Table Title"/>
    <w:basedOn w:val="Heading1"/>
    <w:link w:val="TT-TableTitleChar"/>
    <w:rsid w:val="009E6590"/>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9E6590"/>
    <w:rPr>
      <w:rFonts w:ascii="Franklin Gothic Medium" w:hAnsi="Franklin Gothic Medium"/>
      <w:sz w:val="18"/>
    </w:rPr>
  </w:style>
  <w:style w:type="paragraph" w:customStyle="1" w:styleId="TH-TableHeading">
    <w:name w:val="TH-Table Heading"/>
    <w:basedOn w:val="Heading1"/>
    <w:rsid w:val="009E6590"/>
    <w:pPr>
      <w:spacing w:after="0" w:line="240" w:lineRule="atLeast"/>
      <w:ind w:left="0" w:firstLine="0"/>
      <w:jc w:val="center"/>
    </w:pPr>
    <w:rPr>
      <w:color w:val="auto"/>
      <w:sz w:val="20"/>
    </w:rPr>
  </w:style>
  <w:style w:type="paragraph" w:customStyle="1" w:styleId="TX-TableText">
    <w:name w:val="TX-Table Text"/>
    <w:basedOn w:val="Normal"/>
    <w:rsid w:val="009E6590"/>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semiHidden/>
    <w:rsid w:val="009E659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semiHidden/>
    <w:rsid w:val="008F5FA1"/>
    <w:rPr>
      <w:rFonts w:ascii="Garamond" w:eastAsia="Times New Roman" w:hAnsi="Garamond"/>
      <w:sz w:val="16"/>
      <w:lang w:bidi="ar-SA"/>
    </w:rPr>
  </w:style>
  <w:style w:type="paragraph" w:customStyle="1" w:styleId="N1-1stBullet">
    <w:name w:val="N1-1st Bullet"/>
    <w:basedOn w:val="Normal"/>
    <w:link w:val="N1-1stBulletChar"/>
    <w:rsid w:val="009E6590"/>
    <w:pPr>
      <w:spacing w:after="240"/>
    </w:pPr>
  </w:style>
  <w:style w:type="paragraph" w:customStyle="1" w:styleId="N7-3Block">
    <w:name w:val="N7-3&quot; Block"/>
    <w:basedOn w:val="Normal"/>
    <w:rsid w:val="009E6590"/>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9E6590"/>
    <w:rPr>
      <w:sz w:val="16"/>
      <w:lang w:val="x-none" w:eastAsia="x-none"/>
    </w:rPr>
  </w:style>
  <w:style w:type="character" w:customStyle="1" w:styleId="HeaderChar">
    <w:name w:val="Header Char"/>
    <w:link w:val="Header"/>
    <w:rsid w:val="002F7ABC"/>
    <w:rPr>
      <w:rFonts w:ascii="Garamond" w:eastAsia="Times New Roman" w:hAnsi="Garamond"/>
      <w:sz w:val="16"/>
    </w:rPr>
  </w:style>
  <w:style w:type="paragraph" w:styleId="Footer">
    <w:name w:val="footer"/>
    <w:basedOn w:val="Normal"/>
    <w:link w:val="FooterChar"/>
    <w:rsid w:val="009E6590"/>
    <w:rPr>
      <w:lang w:val="x-none" w:eastAsia="x-none"/>
    </w:rPr>
  </w:style>
  <w:style w:type="character" w:customStyle="1" w:styleId="FooterChar">
    <w:name w:val="Footer Char"/>
    <w:link w:val="Footer"/>
    <w:rsid w:val="002F7ABC"/>
    <w:rPr>
      <w:rFonts w:ascii="Garamond" w:eastAsia="Times New Roman" w:hAnsi="Garamond"/>
      <w:sz w:val="24"/>
    </w:rPr>
  </w:style>
  <w:style w:type="paragraph" w:customStyle="1" w:styleId="C1-CtrBoldHd">
    <w:name w:val="C1-Ctr BoldHd"/>
    <w:rsid w:val="009E6590"/>
    <w:pPr>
      <w:keepNext/>
      <w:spacing w:after="720" w:line="240" w:lineRule="atLeast"/>
      <w:jc w:val="center"/>
    </w:pPr>
    <w:rPr>
      <w:rFonts w:ascii="Franklin Gothic Medium" w:eastAsia="Times New Roman" w:hAnsi="Franklin Gothic Medium"/>
      <w:b/>
      <w:color w:val="324162"/>
      <w:sz w:val="28"/>
    </w:rPr>
  </w:style>
  <w:style w:type="character" w:styleId="Hyperlink">
    <w:name w:val="Hyperlink"/>
    <w:uiPriority w:val="99"/>
    <w:unhideWhenUsed/>
    <w:rsid w:val="006C72BD"/>
    <w:rPr>
      <w:color w:val="0000FF"/>
      <w:u w:val="single"/>
    </w:rPr>
  </w:style>
  <w:style w:type="paragraph" w:customStyle="1" w:styleId="C2-CtrSglSp">
    <w:name w:val="C2-Ctr Sgl Sp"/>
    <w:basedOn w:val="Normal"/>
    <w:rsid w:val="009E6590"/>
    <w:pPr>
      <w:keepLines/>
      <w:jc w:val="center"/>
    </w:pPr>
  </w:style>
  <w:style w:type="paragraph" w:customStyle="1" w:styleId="CT-ContractInformation">
    <w:name w:val="CT-Contract Information"/>
    <w:basedOn w:val="Normal"/>
    <w:rsid w:val="009E6590"/>
    <w:pPr>
      <w:tabs>
        <w:tab w:val="left" w:pos="2232"/>
      </w:tabs>
      <w:spacing w:line="240" w:lineRule="exact"/>
    </w:pPr>
    <w:rPr>
      <w:vanish/>
    </w:rPr>
  </w:style>
  <w:style w:type="paragraph" w:customStyle="1" w:styleId="E1-Equation">
    <w:name w:val="E1-Equation"/>
    <w:basedOn w:val="Normal"/>
    <w:rsid w:val="009E6590"/>
    <w:pPr>
      <w:tabs>
        <w:tab w:val="center" w:pos="4680"/>
        <w:tab w:val="right" w:pos="9360"/>
      </w:tabs>
    </w:pPr>
  </w:style>
  <w:style w:type="paragraph" w:customStyle="1" w:styleId="E2-Equation">
    <w:name w:val="E2-Equation"/>
    <w:basedOn w:val="Normal"/>
    <w:rsid w:val="009E6590"/>
    <w:pPr>
      <w:tabs>
        <w:tab w:val="right" w:pos="1152"/>
        <w:tab w:val="center" w:pos="1440"/>
        <w:tab w:val="left" w:pos="1728"/>
      </w:tabs>
      <w:ind w:left="1728" w:hanging="1728"/>
    </w:pPr>
  </w:style>
  <w:style w:type="table" w:customStyle="1" w:styleId="TableWestatStandardFormat">
    <w:name w:val="Table Westat Standard Format"/>
    <w:basedOn w:val="TableNormal"/>
    <w:rsid w:val="009E6590"/>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9E6590"/>
    <w:pPr>
      <w:tabs>
        <w:tab w:val="clear" w:pos="1152"/>
      </w:tabs>
      <w:spacing w:after="0" w:line="240" w:lineRule="atLeast"/>
      <w:jc w:val="right"/>
    </w:pPr>
    <w:rPr>
      <w:sz w:val="20"/>
    </w:rPr>
  </w:style>
  <w:style w:type="paragraph" w:customStyle="1" w:styleId="MediumGrid21">
    <w:name w:val="Medium Grid 21"/>
    <w:uiPriority w:val="1"/>
    <w:qFormat/>
    <w:rsid w:val="00A025DC"/>
    <w:rPr>
      <w:rFonts w:ascii="Calibri" w:hAnsi="Calibri"/>
      <w:sz w:val="22"/>
      <w:szCs w:val="22"/>
      <w:lang w:bidi="en-US"/>
    </w:rPr>
  </w:style>
  <w:style w:type="paragraph" w:customStyle="1" w:styleId="C3-CtrSp12">
    <w:name w:val="C3-Ctr Sp&amp;1/2"/>
    <w:basedOn w:val="Normal"/>
    <w:rsid w:val="009E6590"/>
    <w:pPr>
      <w:keepLines/>
      <w:spacing w:line="360" w:lineRule="atLeast"/>
      <w:jc w:val="center"/>
    </w:pPr>
  </w:style>
  <w:style w:type="paragraph" w:customStyle="1" w:styleId="Heading0">
    <w:name w:val="Heading 0"/>
    <w:aliases w:val="H0-Chap Head"/>
    <w:basedOn w:val="Heading1"/>
    <w:rsid w:val="009E6590"/>
    <w:pPr>
      <w:tabs>
        <w:tab w:val="clear" w:pos="1152"/>
      </w:tabs>
      <w:spacing w:after="0"/>
      <w:ind w:left="0" w:firstLine="0"/>
      <w:jc w:val="right"/>
    </w:pPr>
    <w:rPr>
      <w:sz w:val="40"/>
    </w:rPr>
  </w:style>
  <w:style w:type="character" w:customStyle="1" w:styleId="Heading4Char">
    <w:name w:val="Heading 4 Char"/>
    <w:aliases w:val="H4 Sec.Heading Char"/>
    <w:link w:val="Heading4"/>
    <w:rsid w:val="00BC3C01"/>
    <w:rPr>
      <w:rFonts w:ascii="Franklin Gothic Medium" w:eastAsia="Times New Roman" w:hAnsi="Franklin Gothic Medium"/>
      <w:b/>
      <w:i/>
      <w:sz w:val="24"/>
    </w:rPr>
  </w:style>
  <w:style w:type="character" w:customStyle="1" w:styleId="Heading5Char">
    <w:name w:val="Heading 5 Char"/>
    <w:link w:val="Heading5"/>
    <w:rsid w:val="00BC3C01"/>
    <w:rPr>
      <w:rFonts w:ascii="Garamond" w:eastAsia="Times New Roman" w:hAnsi="Garamond"/>
      <w:sz w:val="24"/>
    </w:rPr>
  </w:style>
  <w:style w:type="character" w:customStyle="1" w:styleId="Heading6Char">
    <w:name w:val="Heading 6 Char"/>
    <w:link w:val="Heading6"/>
    <w:rsid w:val="00BC3C01"/>
    <w:rPr>
      <w:rFonts w:ascii="Garamond" w:eastAsia="Times New Roman" w:hAnsi="Garamond"/>
      <w:b/>
      <w:caps/>
      <w:sz w:val="24"/>
    </w:rPr>
  </w:style>
  <w:style w:type="character" w:customStyle="1" w:styleId="Heading7Char">
    <w:name w:val="Heading 7 Char"/>
    <w:link w:val="Heading7"/>
    <w:rsid w:val="00BC3C01"/>
    <w:rPr>
      <w:rFonts w:ascii="Garamond" w:eastAsia="Times New Roman" w:hAnsi="Garamond"/>
      <w:sz w:val="24"/>
    </w:rPr>
  </w:style>
  <w:style w:type="paragraph" w:customStyle="1" w:styleId="N0-FlLftBullet">
    <w:name w:val="N0-Fl Lft Bullet"/>
    <w:basedOn w:val="Normal"/>
    <w:rsid w:val="009E6590"/>
    <w:pPr>
      <w:tabs>
        <w:tab w:val="left" w:pos="576"/>
      </w:tabs>
      <w:spacing w:after="240"/>
      <w:ind w:left="576" w:hanging="576"/>
    </w:pPr>
  </w:style>
  <w:style w:type="paragraph" w:customStyle="1" w:styleId="N2-2ndBullet">
    <w:name w:val="N2-2nd Bullet"/>
    <w:basedOn w:val="Normal"/>
    <w:rsid w:val="009E6590"/>
    <w:pPr>
      <w:numPr>
        <w:numId w:val="28"/>
      </w:numPr>
      <w:spacing w:after="240"/>
    </w:pPr>
  </w:style>
  <w:style w:type="paragraph" w:customStyle="1" w:styleId="N3-3rdBullet">
    <w:name w:val="N3-3rd Bullet"/>
    <w:basedOn w:val="Normal"/>
    <w:rsid w:val="009E6590"/>
    <w:pPr>
      <w:numPr>
        <w:numId w:val="29"/>
      </w:numPr>
      <w:spacing w:after="240"/>
    </w:pPr>
  </w:style>
  <w:style w:type="paragraph" w:customStyle="1" w:styleId="N4-4thBullet">
    <w:name w:val="N4-4th Bullet"/>
    <w:basedOn w:val="Normal"/>
    <w:rsid w:val="009E6590"/>
    <w:pPr>
      <w:numPr>
        <w:numId w:val="30"/>
      </w:numPr>
      <w:spacing w:after="240"/>
    </w:pPr>
  </w:style>
  <w:style w:type="paragraph" w:customStyle="1" w:styleId="N5-5thBullet">
    <w:name w:val="N5-5th Bullet"/>
    <w:basedOn w:val="Normal"/>
    <w:rsid w:val="009E6590"/>
    <w:pPr>
      <w:tabs>
        <w:tab w:val="left" w:pos="3456"/>
      </w:tabs>
      <w:spacing w:after="240"/>
      <w:ind w:left="3456" w:hanging="576"/>
    </w:pPr>
  </w:style>
  <w:style w:type="paragraph" w:customStyle="1" w:styleId="N6-DateInd">
    <w:name w:val="N6-Date Ind."/>
    <w:basedOn w:val="Normal"/>
    <w:rsid w:val="009E6590"/>
    <w:pPr>
      <w:tabs>
        <w:tab w:val="left" w:pos="4910"/>
      </w:tabs>
      <w:ind w:left="4910"/>
    </w:pPr>
  </w:style>
  <w:style w:type="paragraph" w:customStyle="1" w:styleId="N8-QxQBlock">
    <w:name w:val="N8-QxQ Block"/>
    <w:basedOn w:val="Normal"/>
    <w:rsid w:val="009E6590"/>
    <w:pPr>
      <w:tabs>
        <w:tab w:val="left" w:pos="1152"/>
      </w:tabs>
      <w:spacing w:after="360" w:line="360" w:lineRule="atLeast"/>
      <w:ind w:left="1152" w:hanging="1152"/>
    </w:pPr>
  </w:style>
  <w:style w:type="paragraph" w:customStyle="1" w:styleId="P1-StandPara">
    <w:name w:val="P1-Stand Para"/>
    <w:basedOn w:val="Normal"/>
    <w:rsid w:val="009E6590"/>
    <w:pPr>
      <w:spacing w:line="360" w:lineRule="atLeast"/>
      <w:ind w:firstLine="1152"/>
    </w:pPr>
  </w:style>
  <w:style w:type="character" w:styleId="PageNumber">
    <w:name w:val="page number"/>
    <w:rsid w:val="009E6590"/>
  </w:style>
  <w:style w:type="paragraph" w:customStyle="1" w:styleId="Q1-BestFinQ">
    <w:name w:val="Q1-Best/Fin Q"/>
    <w:basedOn w:val="Heading1"/>
    <w:rsid w:val="009E6590"/>
    <w:pPr>
      <w:spacing w:line="240" w:lineRule="atLeast"/>
      <w:jc w:val="both"/>
    </w:pPr>
    <w:rPr>
      <w:color w:val="auto"/>
      <w:sz w:val="24"/>
    </w:rPr>
  </w:style>
  <w:style w:type="paragraph" w:customStyle="1" w:styleId="R0-FLLftSglBoldItalic">
    <w:name w:val="R0-FL Lft Sgl Bold Italic"/>
    <w:basedOn w:val="Heading1"/>
    <w:rsid w:val="009E6590"/>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E6590"/>
    <w:pPr>
      <w:spacing w:line="240" w:lineRule="atLeast"/>
      <w:ind w:left="288"/>
    </w:pPr>
    <w:rPr>
      <w:rFonts w:ascii="Garamond" w:eastAsia="Times New Roman" w:hAnsi="Garamond"/>
      <w:sz w:val="24"/>
    </w:rPr>
  </w:style>
  <w:style w:type="paragraph" w:customStyle="1" w:styleId="R2-ResBullet">
    <w:name w:val="R2-Res Bullet"/>
    <w:basedOn w:val="Normal"/>
    <w:rsid w:val="009E6590"/>
    <w:pPr>
      <w:tabs>
        <w:tab w:val="left" w:pos="720"/>
      </w:tabs>
      <w:ind w:left="720" w:hanging="432"/>
    </w:pPr>
  </w:style>
  <w:style w:type="paragraph" w:customStyle="1" w:styleId="RF-Reference">
    <w:name w:val="RF-Reference"/>
    <w:basedOn w:val="Normal"/>
    <w:rsid w:val="009E6590"/>
    <w:pPr>
      <w:spacing w:line="240" w:lineRule="exact"/>
      <w:ind w:left="216" w:hanging="216"/>
    </w:pPr>
  </w:style>
  <w:style w:type="paragraph" w:customStyle="1" w:styleId="RH-SglSpHead">
    <w:name w:val="RH-Sgl Sp Head"/>
    <w:basedOn w:val="Heading1"/>
    <w:next w:val="RL-FlLftSgl"/>
    <w:rsid w:val="009E659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E6590"/>
    <w:pPr>
      <w:tabs>
        <w:tab w:val="clear" w:pos="1152"/>
      </w:tabs>
      <w:spacing w:after="0" w:line="240" w:lineRule="atLeast"/>
      <w:ind w:left="0" w:firstLine="0"/>
    </w:pPr>
    <w:rPr>
      <w:sz w:val="24"/>
    </w:rPr>
  </w:style>
  <w:style w:type="paragraph" w:customStyle="1" w:styleId="SH-SglSpHead">
    <w:name w:val="SH-Sgl Sp Head"/>
    <w:basedOn w:val="Heading1"/>
    <w:rsid w:val="009E6590"/>
    <w:pPr>
      <w:tabs>
        <w:tab w:val="clear" w:pos="1152"/>
        <w:tab w:val="left" w:pos="576"/>
      </w:tabs>
      <w:spacing w:line="240" w:lineRule="atLeast"/>
      <w:ind w:left="576" w:hanging="576"/>
    </w:pPr>
    <w:rPr>
      <w:b w:val="0"/>
      <w:sz w:val="24"/>
    </w:rPr>
  </w:style>
  <w:style w:type="paragraph" w:customStyle="1" w:styleId="SL-FlLftSgl">
    <w:name w:val="SL-Fl Lft Sgl"/>
    <w:basedOn w:val="Normal"/>
    <w:rsid w:val="009E6590"/>
  </w:style>
  <w:style w:type="paragraph" w:customStyle="1" w:styleId="SP-SglSpPara">
    <w:name w:val="SP-Sgl Sp Para"/>
    <w:basedOn w:val="Normal"/>
    <w:rsid w:val="009E6590"/>
    <w:pPr>
      <w:tabs>
        <w:tab w:val="left" w:pos="576"/>
      </w:tabs>
      <w:ind w:firstLine="576"/>
    </w:pPr>
  </w:style>
  <w:style w:type="paragraph" w:customStyle="1" w:styleId="SU-FlLftUndln">
    <w:name w:val="SU-Fl Lft Undln"/>
    <w:basedOn w:val="Normal"/>
    <w:rsid w:val="009E6590"/>
    <w:pPr>
      <w:keepNext/>
      <w:spacing w:line="240" w:lineRule="exact"/>
    </w:pPr>
    <w:rPr>
      <w:u w:val="single"/>
    </w:rPr>
  </w:style>
  <w:style w:type="paragraph" w:customStyle="1" w:styleId="T0-ChapPgHd">
    <w:name w:val="T0-Chap/Pg Hd"/>
    <w:basedOn w:val="Normal"/>
    <w:rsid w:val="009E6590"/>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9E6590"/>
    <w:pPr>
      <w:pBdr>
        <w:bottom w:val="single" w:sz="24" w:space="1" w:color="AFBED7"/>
      </w:pBdr>
      <w:tabs>
        <w:tab w:val="clear" w:pos="1152"/>
      </w:tabs>
      <w:spacing w:after="720"/>
      <w:ind w:left="6869" w:firstLine="0"/>
      <w:jc w:val="center"/>
    </w:pPr>
  </w:style>
  <w:style w:type="paragraph" w:styleId="TOC1">
    <w:name w:val="toc 1"/>
    <w:basedOn w:val="Normal"/>
    <w:uiPriority w:val="39"/>
    <w:rsid w:val="009E6590"/>
    <w:pPr>
      <w:tabs>
        <w:tab w:val="left" w:pos="1440"/>
        <w:tab w:val="right" w:leader="dot" w:pos="8208"/>
        <w:tab w:val="left" w:pos="8640"/>
      </w:tabs>
      <w:ind w:left="1440" w:right="1800" w:hanging="1152"/>
    </w:pPr>
  </w:style>
  <w:style w:type="paragraph" w:styleId="TOC2">
    <w:name w:val="toc 2"/>
    <w:basedOn w:val="Normal"/>
    <w:uiPriority w:val="39"/>
    <w:rsid w:val="009E6590"/>
    <w:pPr>
      <w:tabs>
        <w:tab w:val="left" w:pos="2160"/>
        <w:tab w:val="right" w:leader="dot" w:pos="8208"/>
        <w:tab w:val="left" w:pos="8640"/>
      </w:tabs>
      <w:ind w:left="2160" w:right="1800" w:hanging="720"/>
    </w:pPr>
    <w:rPr>
      <w:szCs w:val="22"/>
    </w:rPr>
  </w:style>
  <w:style w:type="paragraph" w:styleId="TOC3">
    <w:name w:val="toc 3"/>
    <w:basedOn w:val="Normal"/>
    <w:rsid w:val="009E6590"/>
    <w:pPr>
      <w:tabs>
        <w:tab w:val="left" w:pos="3024"/>
        <w:tab w:val="right" w:leader="dot" w:pos="8208"/>
        <w:tab w:val="left" w:pos="8640"/>
      </w:tabs>
      <w:ind w:left="3024" w:right="1800" w:hanging="864"/>
    </w:pPr>
  </w:style>
  <w:style w:type="paragraph" w:styleId="TOC4">
    <w:name w:val="toc 4"/>
    <w:basedOn w:val="Normal"/>
    <w:semiHidden/>
    <w:rsid w:val="009E6590"/>
    <w:pPr>
      <w:tabs>
        <w:tab w:val="left" w:pos="3888"/>
        <w:tab w:val="right" w:leader="dot" w:pos="8208"/>
        <w:tab w:val="left" w:pos="8640"/>
      </w:tabs>
      <w:ind w:left="3888" w:right="1800" w:hanging="864"/>
    </w:pPr>
  </w:style>
  <w:style w:type="paragraph" w:styleId="TOC5">
    <w:name w:val="toc 5"/>
    <w:basedOn w:val="Normal"/>
    <w:rsid w:val="009E6590"/>
    <w:pPr>
      <w:tabs>
        <w:tab w:val="left" w:pos="1440"/>
        <w:tab w:val="right" w:leader="dot" w:pos="8208"/>
        <w:tab w:val="left" w:pos="8640"/>
      </w:tabs>
      <w:ind w:left="1440" w:right="1800" w:hanging="1152"/>
    </w:pPr>
  </w:style>
  <w:style w:type="paragraph" w:styleId="TOC6">
    <w:name w:val="toc 6"/>
    <w:semiHidden/>
    <w:rsid w:val="009E6590"/>
    <w:pPr>
      <w:tabs>
        <w:tab w:val="right" w:leader="dot" w:pos="8208"/>
        <w:tab w:val="left" w:pos="8640"/>
      </w:tabs>
      <w:ind w:left="288"/>
    </w:pPr>
    <w:rPr>
      <w:rFonts w:ascii="Garamond" w:eastAsia="Times New Roman" w:hAnsi="Garamond"/>
      <w:sz w:val="24"/>
      <w:szCs w:val="22"/>
    </w:rPr>
  </w:style>
  <w:style w:type="paragraph" w:styleId="TOC7">
    <w:name w:val="toc 7"/>
    <w:semiHidden/>
    <w:rsid w:val="009E6590"/>
    <w:pPr>
      <w:tabs>
        <w:tab w:val="right" w:leader="dot" w:pos="8208"/>
        <w:tab w:val="left" w:pos="8640"/>
      </w:tabs>
      <w:ind w:left="1440"/>
    </w:pPr>
    <w:rPr>
      <w:rFonts w:ascii="Garamond" w:eastAsia="Times New Roman" w:hAnsi="Garamond"/>
      <w:sz w:val="24"/>
      <w:szCs w:val="22"/>
    </w:rPr>
  </w:style>
  <w:style w:type="paragraph" w:styleId="TOC8">
    <w:name w:val="toc 8"/>
    <w:semiHidden/>
    <w:rsid w:val="009E6590"/>
    <w:pPr>
      <w:tabs>
        <w:tab w:val="right" w:leader="dot" w:pos="8208"/>
        <w:tab w:val="left" w:pos="8640"/>
      </w:tabs>
      <w:ind w:left="2160"/>
    </w:pPr>
    <w:rPr>
      <w:rFonts w:ascii="Garamond" w:eastAsia="Times New Roman" w:hAnsi="Garamond"/>
      <w:sz w:val="24"/>
      <w:szCs w:val="22"/>
    </w:rPr>
  </w:style>
  <w:style w:type="paragraph" w:styleId="TOC9">
    <w:name w:val="toc 9"/>
    <w:semiHidden/>
    <w:rsid w:val="009E6590"/>
    <w:pPr>
      <w:tabs>
        <w:tab w:val="right" w:leader="dot" w:pos="8208"/>
        <w:tab w:val="left" w:pos="8640"/>
      </w:tabs>
      <w:ind w:left="3024"/>
    </w:pPr>
    <w:rPr>
      <w:rFonts w:ascii="Garamond" w:eastAsia="Times New Roman" w:hAnsi="Garamond"/>
      <w:sz w:val="24"/>
      <w:szCs w:val="22"/>
    </w:rPr>
  </w:style>
  <w:style w:type="paragraph" w:styleId="Index1">
    <w:name w:val="index 1"/>
    <w:basedOn w:val="Normal"/>
    <w:next w:val="Normal"/>
    <w:autoRedefine/>
    <w:uiPriority w:val="99"/>
    <w:semiHidden/>
    <w:unhideWhenUsed/>
    <w:rsid w:val="00347292"/>
    <w:pPr>
      <w:ind w:left="240" w:hanging="240"/>
    </w:pPr>
  </w:style>
  <w:style w:type="paragraph" w:styleId="BalloonText">
    <w:name w:val="Balloon Text"/>
    <w:basedOn w:val="Normal"/>
    <w:link w:val="BalloonTextChar"/>
    <w:uiPriority w:val="99"/>
    <w:semiHidden/>
    <w:unhideWhenUsed/>
    <w:rsid w:val="00345F9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5F9B"/>
    <w:rPr>
      <w:rFonts w:ascii="Tahoma" w:eastAsia="Times New Roman" w:hAnsi="Tahoma" w:cs="Tahoma"/>
      <w:sz w:val="16"/>
      <w:szCs w:val="16"/>
    </w:rPr>
  </w:style>
  <w:style w:type="character" w:styleId="CommentReference">
    <w:name w:val="annotation reference"/>
    <w:uiPriority w:val="99"/>
    <w:semiHidden/>
    <w:unhideWhenUsed/>
    <w:rsid w:val="004A6036"/>
    <w:rPr>
      <w:sz w:val="16"/>
      <w:szCs w:val="16"/>
    </w:rPr>
  </w:style>
  <w:style w:type="paragraph" w:styleId="CommentText">
    <w:name w:val="annotation text"/>
    <w:basedOn w:val="Normal"/>
    <w:link w:val="CommentTextChar"/>
    <w:uiPriority w:val="99"/>
    <w:unhideWhenUsed/>
    <w:rsid w:val="004A6036"/>
    <w:rPr>
      <w:sz w:val="20"/>
      <w:lang w:val="x-none" w:eastAsia="x-none"/>
    </w:rPr>
  </w:style>
  <w:style w:type="character" w:customStyle="1" w:styleId="CommentTextChar">
    <w:name w:val="Comment Text Char"/>
    <w:link w:val="CommentText"/>
    <w:uiPriority w:val="99"/>
    <w:rsid w:val="004A6036"/>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4A6036"/>
    <w:rPr>
      <w:b/>
      <w:bCs/>
    </w:rPr>
  </w:style>
  <w:style w:type="character" w:customStyle="1" w:styleId="CommentSubjectChar">
    <w:name w:val="Comment Subject Char"/>
    <w:link w:val="CommentSubject"/>
    <w:uiPriority w:val="99"/>
    <w:semiHidden/>
    <w:rsid w:val="004A6036"/>
    <w:rPr>
      <w:rFonts w:ascii="Garamond" w:eastAsia="Times New Roman" w:hAnsi="Garamond"/>
      <w:b/>
      <w:bCs/>
    </w:rPr>
  </w:style>
  <w:style w:type="character" w:styleId="Emphasis">
    <w:name w:val="Emphasis"/>
    <w:uiPriority w:val="20"/>
    <w:qFormat/>
    <w:rsid w:val="00383FE1"/>
    <w:rPr>
      <w:i/>
      <w:iCs/>
    </w:rPr>
  </w:style>
  <w:style w:type="character" w:customStyle="1" w:styleId="tp-label">
    <w:name w:val="tp-label"/>
    <w:rsid w:val="00516FF4"/>
  </w:style>
  <w:style w:type="character" w:customStyle="1" w:styleId="plugins">
    <w:name w:val="plugins"/>
    <w:rsid w:val="00516FF4"/>
  </w:style>
  <w:style w:type="table" w:styleId="TableGrid">
    <w:name w:val="Table Grid"/>
    <w:basedOn w:val="TableNormal"/>
    <w:uiPriority w:val="59"/>
    <w:rsid w:val="00054F9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72E16"/>
    <w:rPr>
      <w:vertAlign w:val="superscript"/>
    </w:rPr>
  </w:style>
  <w:style w:type="paragraph" w:customStyle="1" w:styleId="Default">
    <w:name w:val="Default"/>
    <w:rsid w:val="0076337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337A"/>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EA02A9"/>
    <w:pPr>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EA02A9"/>
    <w:rPr>
      <w:rFonts w:ascii="Consolas" w:hAnsi="Consolas"/>
      <w:sz w:val="21"/>
      <w:szCs w:val="21"/>
    </w:rPr>
  </w:style>
  <w:style w:type="character" w:styleId="Strong">
    <w:name w:val="Strong"/>
    <w:uiPriority w:val="22"/>
    <w:qFormat/>
    <w:rsid w:val="00A95662"/>
    <w:rPr>
      <w:b/>
      <w:bCs/>
    </w:rPr>
  </w:style>
  <w:style w:type="paragraph" w:customStyle="1" w:styleId="ColorfulShading-Accent11">
    <w:name w:val="Colorful Shading - Accent 11"/>
    <w:hidden/>
    <w:uiPriority w:val="99"/>
    <w:semiHidden/>
    <w:rsid w:val="0074075E"/>
    <w:rPr>
      <w:rFonts w:ascii="Garamond" w:eastAsia="Times New Roman" w:hAnsi="Garamond"/>
      <w:sz w:val="24"/>
    </w:rPr>
  </w:style>
  <w:style w:type="character" w:customStyle="1" w:styleId="st1">
    <w:name w:val="st1"/>
    <w:rsid w:val="002F12A6"/>
  </w:style>
  <w:style w:type="paragraph" w:styleId="Revision">
    <w:name w:val="Revision"/>
    <w:hidden/>
    <w:uiPriority w:val="99"/>
    <w:semiHidden/>
    <w:rsid w:val="0061583B"/>
    <w:rPr>
      <w:rFonts w:ascii="Garamond" w:eastAsia="Times New Roman" w:hAnsi="Garamond"/>
      <w:sz w:val="24"/>
    </w:rPr>
  </w:style>
  <w:style w:type="character" w:styleId="FollowedHyperlink">
    <w:name w:val="FollowedHyperlink"/>
    <w:basedOn w:val="DefaultParagraphFont"/>
    <w:uiPriority w:val="99"/>
    <w:semiHidden/>
    <w:unhideWhenUsed/>
    <w:rsid w:val="00D339FA"/>
    <w:rPr>
      <w:color w:val="800080" w:themeColor="followedHyperlink"/>
      <w:u w:val="single"/>
    </w:rPr>
  </w:style>
  <w:style w:type="paragraph" w:styleId="ListParagraph">
    <w:name w:val="List Paragraph"/>
    <w:basedOn w:val="Normal"/>
    <w:uiPriority w:val="34"/>
    <w:qFormat/>
    <w:rsid w:val="002300C3"/>
    <w:pPr>
      <w:ind w:left="720"/>
      <w:contextualSpacing/>
    </w:pPr>
  </w:style>
  <w:style w:type="character" w:customStyle="1" w:styleId="N1-1stBulletChar">
    <w:name w:val="N1-1st Bullet Char"/>
    <w:link w:val="N1-1stBullet"/>
    <w:rsid w:val="006D208F"/>
    <w:rPr>
      <w:rFonts w:ascii="Garamond" w:eastAsia="Times New Roman" w:hAnsi="Garamond"/>
      <w:sz w:val="24"/>
    </w:rPr>
  </w:style>
  <w:style w:type="character" w:customStyle="1" w:styleId="italic">
    <w:name w:val="italic"/>
    <w:basedOn w:val="DefaultParagraphFont"/>
    <w:rsid w:val="00790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90"/>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9E6590"/>
    <w:pPr>
      <w:keepNext/>
      <w:tabs>
        <w:tab w:val="left" w:pos="1152"/>
      </w:tabs>
      <w:spacing w:after="360" w:line="360" w:lineRule="atLeast"/>
      <w:ind w:left="1152" w:hanging="1152"/>
      <w:outlineLvl w:val="0"/>
    </w:pPr>
    <w:rPr>
      <w:rFonts w:ascii="Franklin Gothic Medium" w:hAnsi="Franklin Gothic Medium"/>
      <w:b/>
      <w:color w:val="324162"/>
      <w:sz w:val="32"/>
      <w:lang w:val="x-none" w:eastAsia="x-none"/>
    </w:rPr>
  </w:style>
  <w:style w:type="paragraph" w:styleId="Heading2">
    <w:name w:val="heading 2"/>
    <w:aliases w:val="H2-Sec. Head"/>
    <w:basedOn w:val="Heading1"/>
    <w:next w:val="L1-FlLSp12"/>
    <w:link w:val="Heading2Char"/>
    <w:qFormat/>
    <w:rsid w:val="009E6590"/>
    <w:pPr>
      <w:outlineLvl w:val="1"/>
    </w:pPr>
    <w:rPr>
      <w:sz w:val="28"/>
    </w:rPr>
  </w:style>
  <w:style w:type="paragraph" w:styleId="Heading3">
    <w:name w:val="heading 3"/>
    <w:aliases w:val="H3-Sec. Head"/>
    <w:basedOn w:val="Heading1"/>
    <w:next w:val="L1-FlLSp12"/>
    <w:link w:val="Heading3Char"/>
    <w:qFormat/>
    <w:rsid w:val="009E6590"/>
    <w:pPr>
      <w:outlineLvl w:val="2"/>
    </w:pPr>
    <w:rPr>
      <w:color w:val="auto"/>
      <w:sz w:val="24"/>
    </w:rPr>
  </w:style>
  <w:style w:type="paragraph" w:styleId="Heading4">
    <w:name w:val="heading 4"/>
    <w:aliases w:val="H4 Sec.Heading"/>
    <w:basedOn w:val="Heading1"/>
    <w:next w:val="L1-FlLSp12"/>
    <w:link w:val="Heading4Char"/>
    <w:qFormat/>
    <w:rsid w:val="009E6590"/>
    <w:pPr>
      <w:outlineLvl w:val="3"/>
    </w:pPr>
    <w:rPr>
      <w:i/>
      <w:color w:val="auto"/>
      <w:sz w:val="24"/>
    </w:rPr>
  </w:style>
  <w:style w:type="paragraph" w:styleId="Heading5">
    <w:name w:val="heading 5"/>
    <w:basedOn w:val="Normal"/>
    <w:next w:val="Normal"/>
    <w:link w:val="Heading5Char"/>
    <w:qFormat/>
    <w:rsid w:val="009E6590"/>
    <w:pPr>
      <w:keepLines/>
      <w:spacing w:before="360" w:line="360" w:lineRule="atLeast"/>
      <w:jc w:val="center"/>
      <w:outlineLvl w:val="4"/>
    </w:pPr>
    <w:rPr>
      <w:lang w:val="x-none" w:eastAsia="x-none"/>
    </w:rPr>
  </w:style>
  <w:style w:type="paragraph" w:styleId="Heading6">
    <w:name w:val="heading 6"/>
    <w:basedOn w:val="Normal"/>
    <w:next w:val="Normal"/>
    <w:link w:val="Heading6Char"/>
    <w:qFormat/>
    <w:rsid w:val="009E6590"/>
    <w:pPr>
      <w:keepNext/>
      <w:spacing w:before="240"/>
      <w:jc w:val="center"/>
      <w:outlineLvl w:val="5"/>
    </w:pPr>
    <w:rPr>
      <w:b/>
      <w:caps/>
      <w:lang w:val="x-none" w:eastAsia="x-none"/>
    </w:rPr>
  </w:style>
  <w:style w:type="paragraph" w:styleId="Heading7">
    <w:name w:val="heading 7"/>
    <w:basedOn w:val="Normal"/>
    <w:next w:val="Normal"/>
    <w:link w:val="Heading7Char"/>
    <w:qFormat/>
    <w:rsid w:val="009E659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9E6590"/>
    <w:pPr>
      <w:tabs>
        <w:tab w:val="left" w:pos="1152"/>
      </w:tabs>
      <w:spacing w:line="360" w:lineRule="atLeast"/>
    </w:pPr>
    <w:rPr>
      <w:lang w:val="x-none" w:eastAsia="x-none"/>
    </w:rPr>
  </w:style>
  <w:style w:type="paragraph" w:customStyle="1" w:styleId="TT-TableTitle">
    <w:name w:val="TT-Table Title"/>
    <w:basedOn w:val="Heading1"/>
    <w:link w:val="TT-TableTitleChar"/>
    <w:rsid w:val="009E6590"/>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9E6590"/>
    <w:rPr>
      <w:rFonts w:ascii="Franklin Gothic Medium" w:hAnsi="Franklin Gothic Medium"/>
      <w:sz w:val="18"/>
    </w:rPr>
  </w:style>
  <w:style w:type="paragraph" w:customStyle="1" w:styleId="TH-TableHeading">
    <w:name w:val="TH-Table Heading"/>
    <w:basedOn w:val="Heading1"/>
    <w:rsid w:val="009E6590"/>
    <w:pPr>
      <w:spacing w:after="0" w:line="240" w:lineRule="atLeast"/>
      <w:ind w:left="0" w:firstLine="0"/>
      <w:jc w:val="center"/>
    </w:pPr>
    <w:rPr>
      <w:color w:val="auto"/>
      <w:sz w:val="20"/>
    </w:rPr>
  </w:style>
  <w:style w:type="paragraph" w:customStyle="1" w:styleId="TX-TableText">
    <w:name w:val="TX-Table Text"/>
    <w:basedOn w:val="Normal"/>
    <w:rsid w:val="009E6590"/>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semiHidden/>
    <w:rsid w:val="009E659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semiHidden/>
    <w:rsid w:val="008F5FA1"/>
    <w:rPr>
      <w:rFonts w:ascii="Garamond" w:eastAsia="Times New Roman" w:hAnsi="Garamond"/>
      <w:sz w:val="16"/>
      <w:lang w:bidi="ar-SA"/>
    </w:rPr>
  </w:style>
  <w:style w:type="paragraph" w:customStyle="1" w:styleId="N1-1stBullet">
    <w:name w:val="N1-1st Bullet"/>
    <w:basedOn w:val="Normal"/>
    <w:link w:val="N1-1stBulletChar"/>
    <w:rsid w:val="009E6590"/>
    <w:pPr>
      <w:spacing w:after="240"/>
    </w:pPr>
  </w:style>
  <w:style w:type="paragraph" w:customStyle="1" w:styleId="N7-3Block">
    <w:name w:val="N7-3&quot; Block"/>
    <w:basedOn w:val="Normal"/>
    <w:rsid w:val="009E6590"/>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9E6590"/>
    <w:rPr>
      <w:sz w:val="16"/>
      <w:lang w:val="x-none" w:eastAsia="x-none"/>
    </w:rPr>
  </w:style>
  <w:style w:type="character" w:customStyle="1" w:styleId="HeaderChar">
    <w:name w:val="Header Char"/>
    <w:link w:val="Header"/>
    <w:rsid w:val="002F7ABC"/>
    <w:rPr>
      <w:rFonts w:ascii="Garamond" w:eastAsia="Times New Roman" w:hAnsi="Garamond"/>
      <w:sz w:val="16"/>
    </w:rPr>
  </w:style>
  <w:style w:type="paragraph" w:styleId="Footer">
    <w:name w:val="footer"/>
    <w:basedOn w:val="Normal"/>
    <w:link w:val="FooterChar"/>
    <w:rsid w:val="009E6590"/>
    <w:rPr>
      <w:lang w:val="x-none" w:eastAsia="x-none"/>
    </w:rPr>
  </w:style>
  <w:style w:type="character" w:customStyle="1" w:styleId="FooterChar">
    <w:name w:val="Footer Char"/>
    <w:link w:val="Footer"/>
    <w:rsid w:val="002F7ABC"/>
    <w:rPr>
      <w:rFonts w:ascii="Garamond" w:eastAsia="Times New Roman" w:hAnsi="Garamond"/>
      <w:sz w:val="24"/>
    </w:rPr>
  </w:style>
  <w:style w:type="paragraph" w:customStyle="1" w:styleId="C1-CtrBoldHd">
    <w:name w:val="C1-Ctr BoldHd"/>
    <w:rsid w:val="009E6590"/>
    <w:pPr>
      <w:keepNext/>
      <w:spacing w:after="720" w:line="240" w:lineRule="atLeast"/>
      <w:jc w:val="center"/>
    </w:pPr>
    <w:rPr>
      <w:rFonts w:ascii="Franklin Gothic Medium" w:eastAsia="Times New Roman" w:hAnsi="Franklin Gothic Medium"/>
      <w:b/>
      <w:color w:val="324162"/>
      <w:sz w:val="28"/>
    </w:rPr>
  </w:style>
  <w:style w:type="character" w:styleId="Hyperlink">
    <w:name w:val="Hyperlink"/>
    <w:uiPriority w:val="99"/>
    <w:unhideWhenUsed/>
    <w:rsid w:val="006C72BD"/>
    <w:rPr>
      <w:color w:val="0000FF"/>
      <w:u w:val="single"/>
    </w:rPr>
  </w:style>
  <w:style w:type="paragraph" w:customStyle="1" w:styleId="C2-CtrSglSp">
    <w:name w:val="C2-Ctr Sgl Sp"/>
    <w:basedOn w:val="Normal"/>
    <w:rsid w:val="009E6590"/>
    <w:pPr>
      <w:keepLines/>
      <w:jc w:val="center"/>
    </w:pPr>
  </w:style>
  <w:style w:type="paragraph" w:customStyle="1" w:styleId="CT-ContractInformation">
    <w:name w:val="CT-Contract Information"/>
    <w:basedOn w:val="Normal"/>
    <w:rsid w:val="009E6590"/>
    <w:pPr>
      <w:tabs>
        <w:tab w:val="left" w:pos="2232"/>
      </w:tabs>
      <w:spacing w:line="240" w:lineRule="exact"/>
    </w:pPr>
    <w:rPr>
      <w:vanish/>
    </w:rPr>
  </w:style>
  <w:style w:type="paragraph" w:customStyle="1" w:styleId="E1-Equation">
    <w:name w:val="E1-Equation"/>
    <w:basedOn w:val="Normal"/>
    <w:rsid w:val="009E6590"/>
    <w:pPr>
      <w:tabs>
        <w:tab w:val="center" w:pos="4680"/>
        <w:tab w:val="right" w:pos="9360"/>
      </w:tabs>
    </w:pPr>
  </w:style>
  <w:style w:type="paragraph" w:customStyle="1" w:styleId="E2-Equation">
    <w:name w:val="E2-Equation"/>
    <w:basedOn w:val="Normal"/>
    <w:rsid w:val="009E6590"/>
    <w:pPr>
      <w:tabs>
        <w:tab w:val="right" w:pos="1152"/>
        <w:tab w:val="center" w:pos="1440"/>
        <w:tab w:val="left" w:pos="1728"/>
      </w:tabs>
      <w:ind w:left="1728" w:hanging="1728"/>
    </w:pPr>
  </w:style>
  <w:style w:type="table" w:customStyle="1" w:styleId="TableWestatStandardFormat">
    <w:name w:val="Table Westat Standard Format"/>
    <w:basedOn w:val="TableNormal"/>
    <w:rsid w:val="009E6590"/>
    <w:rPr>
      <w:rFonts w:ascii="Franklin Gothic Medium" w:eastAsia="Times New Roman"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9E6590"/>
    <w:pPr>
      <w:tabs>
        <w:tab w:val="clear" w:pos="1152"/>
      </w:tabs>
      <w:spacing w:after="0" w:line="240" w:lineRule="atLeast"/>
      <w:jc w:val="right"/>
    </w:pPr>
    <w:rPr>
      <w:sz w:val="20"/>
    </w:rPr>
  </w:style>
  <w:style w:type="paragraph" w:customStyle="1" w:styleId="MediumGrid21">
    <w:name w:val="Medium Grid 21"/>
    <w:uiPriority w:val="1"/>
    <w:qFormat/>
    <w:rsid w:val="00A025DC"/>
    <w:rPr>
      <w:rFonts w:ascii="Calibri" w:hAnsi="Calibri"/>
      <w:sz w:val="22"/>
      <w:szCs w:val="22"/>
      <w:lang w:bidi="en-US"/>
    </w:rPr>
  </w:style>
  <w:style w:type="paragraph" w:customStyle="1" w:styleId="C3-CtrSp12">
    <w:name w:val="C3-Ctr Sp&amp;1/2"/>
    <w:basedOn w:val="Normal"/>
    <w:rsid w:val="009E6590"/>
    <w:pPr>
      <w:keepLines/>
      <w:spacing w:line="360" w:lineRule="atLeast"/>
      <w:jc w:val="center"/>
    </w:pPr>
  </w:style>
  <w:style w:type="paragraph" w:customStyle="1" w:styleId="Heading0">
    <w:name w:val="Heading 0"/>
    <w:aliases w:val="H0-Chap Head"/>
    <w:basedOn w:val="Heading1"/>
    <w:rsid w:val="009E6590"/>
    <w:pPr>
      <w:tabs>
        <w:tab w:val="clear" w:pos="1152"/>
      </w:tabs>
      <w:spacing w:after="0"/>
      <w:ind w:left="0" w:firstLine="0"/>
      <w:jc w:val="right"/>
    </w:pPr>
    <w:rPr>
      <w:sz w:val="40"/>
    </w:rPr>
  </w:style>
  <w:style w:type="character" w:customStyle="1" w:styleId="Heading4Char">
    <w:name w:val="Heading 4 Char"/>
    <w:aliases w:val="H4 Sec.Heading Char"/>
    <w:link w:val="Heading4"/>
    <w:rsid w:val="00BC3C01"/>
    <w:rPr>
      <w:rFonts w:ascii="Franklin Gothic Medium" w:eastAsia="Times New Roman" w:hAnsi="Franklin Gothic Medium"/>
      <w:b/>
      <w:i/>
      <w:sz w:val="24"/>
    </w:rPr>
  </w:style>
  <w:style w:type="character" w:customStyle="1" w:styleId="Heading5Char">
    <w:name w:val="Heading 5 Char"/>
    <w:link w:val="Heading5"/>
    <w:rsid w:val="00BC3C01"/>
    <w:rPr>
      <w:rFonts w:ascii="Garamond" w:eastAsia="Times New Roman" w:hAnsi="Garamond"/>
      <w:sz w:val="24"/>
    </w:rPr>
  </w:style>
  <w:style w:type="character" w:customStyle="1" w:styleId="Heading6Char">
    <w:name w:val="Heading 6 Char"/>
    <w:link w:val="Heading6"/>
    <w:rsid w:val="00BC3C01"/>
    <w:rPr>
      <w:rFonts w:ascii="Garamond" w:eastAsia="Times New Roman" w:hAnsi="Garamond"/>
      <w:b/>
      <w:caps/>
      <w:sz w:val="24"/>
    </w:rPr>
  </w:style>
  <w:style w:type="character" w:customStyle="1" w:styleId="Heading7Char">
    <w:name w:val="Heading 7 Char"/>
    <w:link w:val="Heading7"/>
    <w:rsid w:val="00BC3C01"/>
    <w:rPr>
      <w:rFonts w:ascii="Garamond" w:eastAsia="Times New Roman" w:hAnsi="Garamond"/>
      <w:sz w:val="24"/>
    </w:rPr>
  </w:style>
  <w:style w:type="paragraph" w:customStyle="1" w:styleId="N0-FlLftBullet">
    <w:name w:val="N0-Fl Lft Bullet"/>
    <w:basedOn w:val="Normal"/>
    <w:rsid w:val="009E6590"/>
    <w:pPr>
      <w:tabs>
        <w:tab w:val="left" w:pos="576"/>
      </w:tabs>
      <w:spacing w:after="240"/>
      <w:ind w:left="576" w:hanging="576"/>
    </w:pPr>
  </w:style>
  <w:style w:type="paragraph" w:customStyle="1" w:styleId="N2-2ndBullet">
    <w:name w:val="N2-2nd Bullet"/>
    <w:basedOn w:val="Normal"/>
    <w:rsid w:val="009E6590"/>
    <w:pPr>
      <w:numPr>
        <w:numId w:val="28"/>
      </w:numPr>
      <w:spacing w:after="240"/>
    </w:pPr>
  </w:style>
  <w:style w:type="paragraph" w:customStyle="1" w:styleId="N3-3rdBullet">
    <w:name w:val="N3-3rd Bullet"/>
    <w:basedOn w:val="Normal"/>
    <w:rsid w:val="009E6590"/>
    <w:pPr>
      <w:numPr>
        <w:numId w:val="29"/>
      </w:numPr>
      <w:spacing w:after="240"/>
    </w:pPr>
  </w:style>
  <w:style w:type="paragraph" w:customStyle="1" w:styleId="N4-4thBullet">
    <w:name w:val="N4-4th Bullet"/>
    <w:basedOn w:val="Normal"/>
    <w:rsid w:val="009E6590"/>
    <w:pPr>
      <w:numPr>
        <w:numId w:val="30"/>
      </w:numPr>
      <w:spacing w:after="240"/>
    </w:pPr>
  </w:style>
  <w:style w:type="paragraph" w:customStyle="1" w:styleId="N5-5thBullet">
    <w:name w:val="N5-5th Bullet"/>
    <w:basedOn w:val="Normal"/>
    <w:rsid w:val="009E6590"/>
    <w:pPr>
      <w:tabs>
        <w:tab w:val="left" w:pos="3456"/>
      </w:tabs>
      <w:spacing w:after="240"/>
      <w:ind w:left="3456" w:hanging="576"/>
    </w:pPr>
  </w:style>
  <w:style w:type="paragraph" w:customStyle="1" w:styleId="N6-DateInd">
    <w:name w:val="N6-Date Ind."/>
    <w:basedOn w:val="Normal"/>
    <w:rsid w:val="009E6590"/>
    <w:pPr>
      <w:tabs>
        <w:tab w:val="left" w:pos="4910"/>
      </w:tabs>
      <w:ind w:left="4910"/>
    </w:pPr>
  </w:style>
  <w:style w:type="paragraph" w:customStyle="1" w:styleId="N8-QxQBlock">
    <w:name w:val="N8-QxQ Block"/>
    <w:basedOn w:val="Normal"/>
    <w:rsid w:val="009E6590"/>
    <w:pPr>
      <w:tabs>
        <w:tab w:val="left" w:pos="1152"/>
      </w:tabs>
      <w:spacing w:after="360" w:line="360" w:lineRule="atLeast"/>
      <w:ind w:left="1152" w:hanging="1152"/>
    </w:pPr>
  </w:style>
  <w:style w:type="paragraph" w:customStyle="1" w:styleId="P1-StandPara">
    <w:name w:val="P1-Stand Para"/>
    <w:basedOn w:val="Normal"/>
    <w:rsid w:val="009E6590"/>
    <w:pPr>
      <w:spacing w:line="360" w:lineRule="atLeast"/>
      <w:ind w:firstLine="1152"/>
    </w:pPr>
  </w:style>
  <w:style w:type="character" w:styleId="PageNumber">
    <w:name w:val="page number"/>
    <w:rsid w:val="009E6590"/>
  </w:style>
  <w:style w:type="paragraph" w:customStyle="1" w:styleId="Q1-BestFinQ">
    <w:name w:val="Q1-Best/Fin Q"/>
    <w:basedOn w:val="Heading1"/>
    <w:rsid w:val="009E6590"/>
    <w:pPr>
      <w:spacing w:line="240" w:lineRule="atLeast"/>
      <w:jc w:val="both"/>
    </w:pPr>
    <w:rPr>
      <w:color w:val="auto"/>
      <w:sz w:val="24"/>
    </w:rPr>
  </w:style>
  <w:style w:type="paragraph" w:customStyle="1" w:styleId="R0-FLLftSglBoldItalic">
    <w:name w:val="R0-FL Lft Sgl Bold Italic"/>
    <w:basedOn w:val="Heading1"/>
    <w:rsid w:val="009E6590"/>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E6590"/>
    <w:pPr>
      <w:spacing w:line="240" w:lineRule="atLeast"/>
      <w:ind w:left="288"/>
    </w:pPr>
    <w:rPr>
      <w:rFonts w:ascii="Garamond" w:eastAsia="Times New Roman" w:hAnsi="Garamond"/>
      <w:sz w:val="24"/>
    </w:rPr>
  </w:style>
  <w:style w:type="paragraph" w:customStyle="1" w:styleId="R2-ResBullet">
    <w:name w:val="R2-Res Bullet"/>
    <w:basedOn w:val="Normal"/>
    <w:rsid w:val="009E6590"/>
    <w:pPr>
      <w:tabs>
        <w:tab w:val="left" w:pos="720"/>
      </w:tabs>
      <w:ind w:left="720" w:hanging="432"/>
    </w:pPr>
  </w:style>
  <w:style w:type="paragraph" w:customStyle="1" w:styleId="RF-Reference">
    <w:name w:val="RF-Reference"/>
    <w:basedOn w:val="Normal"/>
    <w:rsid w:val="009E6590"/>
    <w:pPr>
      <w:spacing w:line="240" w:lineRule="exact"/>
      <w:ind w:left="216" w:hanging="216"/>
    </w:pPr>
  </w:style>
  <w:style w:type="paragraph" w:customStyle="1" w:styleId="RH-SglSpHead">
    <w:name w:val="RH-Sgl Sp Head"/>
    <w:basedOn w:val="Heading1"/>
    <w:next w:val="RL-FlLftSgl"/>
    <w:rsid w:val="009E659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E6590"/>
    <w:pPr>
      <w:tabs>
        <w:tab w:val="clear" w:pos="1152"/>
      </w:tabs>
      <w:spacing w:after="0" w:line="240" w:lineRule="atLeast"/>
      <w:ind w:left="0" w:firstLine="0"/>
    </w:pPr>
    <w:rPr>
      <w:sz w:val="24"/>
    </w:rPr>
  </w:style>
  <w:style w:type="paragraph" w:customStyle="1" w:styleId="SH-SglSpHead">
    <w:name w:val="SH-Sgl Sp Head"/>
    <w:basedOn w:val="Heading1"/>
    <w:rsid w:val="009E6590"/>
    <w:pPr>
      <w:tabs>
        <w:tab w:val="clear" w:pos="1152"/>
        <w:tab w:val="left" w:pos="576"/>
      </w:tabs>
      <w:spacing w:line="240" w:lineRule="atLeast"/>
      <w:ind w:left="576" w:hanging="576"/>
    </w:pPr>
    <w:rPr>
      <w:b w:val="0"/>
      <w:sz w:val="24"/>
    </w:rPr>
  </w:style>
  <w:style w:type="paragraph" w:customStyle="1" w:styleId="SL-FlLftSgl">
    <w:name w:val="SL-Fl Lft Sgl"/>
    <w:basedOn w:val="Normal"/>
    <w:rsid w:val="009E6590"/>
  </w:style>
  <w:style w:type="paragraph" w:customStyle="1" w:styleId="SP-SglSpPara">
    <w:name w:val="SP-Sgl Sp Para"/>
    <w:basedOn w:val="Normal"/>
    <w:rsid w:val="009E6590"/>
    <w:pPr>
      <w:tabs>
        <w:tab w:val="left" w:pos="576"/>
      </w:tabs>
      <w:ind w:firstLine="576"/>
    </w:pPr>
  </w:style>
  <w:style w:type="paragraph" w:customStyle="1" w:styleId="SU-FlLftUndln">
    <w:name w:val="SU-Fl Lft Undln"/>
    <w:basedOn w:val="Normal"/>
    <w:rsid w:val="009E6590"/>
    <w:pPr>
      <w:keepNext/>
      <w:spacing w:line="240" w:lineRule="exact"/>
    </w:pPr>
    <w:rPr>
      <w:u w:val="single"/>
    </w:rPr>
  </w:style>
  <w:style w:type="paragraph" w:customStyle="1" w:styleId="T0-ChapPgHd">
    <w:name w:val="T0-Chap/Pg Hd"/>
    <w:basedOn w:val="Normal"/>
    <w:rsid w:val="009E6590"/>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9E6590"/>
    <w:pPr>
      <w:pBdr>
        <w:bottom w:val="single" w:sz="24" w:space="1" w:color="AFBED7"/>
      </w:pBdr>
      <w:tabs>
        <w:tab w:val="clear" w:pos="1152"/>
      </w:tabs>
      <w:spacing w:after="720"/>
      <w:ind w:left="6869" w:firstLine="0"/>
      <w:jc w:val="center"/>
    </w:pPr>
  </w:style>
  <w:style w:type="paragraph" w:styleId="TOC1">
    <w:name w:val="toc 1"/>
    <w:basedOn w:val="Normal"/>
    <w:uiPriority w:val="39"/>
    <w:rsid w:val="009E6590"/>
    <w:pPr>
      <w:tabs>
        <w:tab w:val="left" w:pos="1440"/>
        <w:tab w:val="right" w:leader="dot" w:pos="8208"/>
        <w:tab w:val="left" w:pos="8640"/>
      </w:tabs>
      <w:ind w:left="1440" w:right="1800" w:hanging="1152"/>
    </w:pPr>
  </w:style>
  <w:style w:type="paragraph" w:styleId="TOC2">
    <w:name w:val="toc 2"/>
    <w:basedOn w:val="Normal"/>
    <w:uiPriority w:val="39"/>
    <w:rsid w:val="009E6590"/>
    <w:pPr>
      <w:tabs>
        <w:tab w:val="left" w:pos="2160"/>
        <w:tab w:val="right" w:leader="dot" w:pos="8208"/>
        <w:tab w:val="left" w:pos="8640"/>
      </w:tabs>
      <w:ind w:left="2160" w:right="1800" w:hanging="720"/>
    </w:pPr>
    <w:rPr>
      <w:szCs w:val="22"/>
    </w:rPr>
  </w:style>
  <w:style w:type="paragraph" w:styleId="TOC3">
    <w:name w:val="toc 3"/>
    <w:basedOn w:val="Normal"/>
    <w:rsid w:val="009E6590"/>
    <w:pPr>
      <w:tabs>
        <w:tab w:val="left" w:pos="3024"/>
        <w:tab w:val="right" w:leader="dot" w:pos="8208"/>
        <w:tab w:val="left" w:pos="8640"/>
      </w:tabs>
      <w:ind w:left="3024" w:right="1800" w:hanging="864"/>
    </w:pPr>
  </w:style>
  <w:style w:type="paragraph" w:styleId="TOC4">
    <w:name w:val="toc 4"/>
    <w:basedOn w:val="Normal"/>
    <w:semiHidden/>
    <w:rsid w:val="009E6590"/>
    <w:pPr>
      <w:tabs>
        <w:tab w:val="left" w:pos="3888"/>
        <w:tab w:val="right" w:leader="dot" w:pos="8208"/>
        <w:tab w:val="left" w:pos="8640"/>
      </w:tabs>
      <w:ind w:left="3888" w:right="1800" w:hanging="864"/>
    </w:pPr>
  </w:style>
  <w:style w:type="paragraph" w:styleId="TOC5">
    <w:name w:val="toc 5"/>
    <w:basedOn w:val="Normal"/>
    <w:rsid w:val="009E6590"/>
    <w:pPr>
      <w:tabs>
        <w:tab w:val="left" w:pos="1440"/>
        <w:tab w:val="right" w:leader="dot" w:pos="8208"/>
        <w:tab w:val="left" w:pos="8640"/>
      </w:tabs>
      <w:ind w:left="1440" w:right="1800" w:hanging="1152"/>
    </w:pPr>
  </w:style>
  <w:style w:type="paragraph" w:styleId="TOC6">
    <w:name w:val="toc 6"/>
    <w:semiHidden/>
    <w:rsid w:val="009E6590"/>
    <w:pPr>
      <w:tabs>
        <w:tab w:val="right" w:leader="dot" w:pos="8208"/>
        <w:tab w:val="left" w:pos="8640"/>
      </w:tabs>
      <w:ind w:left="288"/>
    </w:pPr>
    <w:rPr>
      <w:rFonts w:ascii="Garamond" w:eastAsia="Times New Roman" w:hAnsi="Garamond"/>
      <w:sz w:val="24"/>
      <w:szCs w:val="22"/>
    </w:rPr>
  </w:style>
  <w:style w:type="paragraph" w:styleId="TOC7">
    <w:name w:val="toc 7"/>
    <w:semiHidden/>
    <w:rsid w:val="009E6590"/>
    <w:pPr>
      <w:tabs>
        <w:tab w:val="right" w:leader="dot" w:pos="8208"/>
        <w:tab w:val="left" w:pos="8640"/>
      </w:tabs>
      <w:ind w:left="1440"/>
    </w:pPr>
    <w:rPr>
      <w:rFonts w:ascii="Garamond" w:eastAsia="Times New Roman" w:hAnsi="Garamond"/>
      <w:sz w:val="24"/>
      <w:szCs w:val="22"/>
    </w:rPr>
  </w:style>
  <w:style w:type="paragraph" w:styleId="TOC8">
    <w:name w:val="toc 8"/>
    <w:semiHidden/>
    <w:rsid w:val="009E6590"/>
    <w:pPr>
      <w:tabs>
        <w:tab w:val="right" w:leader="dot" w:pos="8208"/>
        <w:tab w:val="left" w:pos="8640"/>
      </w:tabs>
      <w:ind w:left="2160"/>
    </w:pPr>
    <w:rPr>
      <w:rFonts w:ascii="Garamond" w:eastAsia="Times New Roman" w:hAnsi="Garamond"/>
      <w:sz w:val="24"/>
      <w:szCs w:val="22"/>
    </w:rPr>
  </w:style>
  <w:style w:type="paragraph" w:styleId="TOC9">
    <w:name w:val="toc 9"/>
    <w:semiHidden/>
    <w:rsid w:val="009E6590"/>
    <w:pPr>
      <w:tabs>
        <w:tab w:val="right" w:leader="dot" w:pos="8208"/>
        <w:tab w:val="left" w:pos="8640"/>
      </w:tabs>
      <w:ind w:left="3024"/>
    </w:pPr>
    <w:rPr>
      <w:rFonts w:ascii="Garamond" w:eastAsia="Times New Roman" w:hAnsi="Garamond"/>
      <w:sz w:val="24"/>
      <w:szCs w:val="22"/>
    </w:rPr>
  </w:style>
  <w:style w:type="paragraph" w:styleId="Index1">
    <w:name w:val="index 1"/>
    <w:basedOn w:val="Normal"/>
    <w:next w:val="Normal"/>
    <w:autoRedefine/>
    <w:uiPriority w:val="99"/>
    <w:semiHidden/>
    <w:unhideWhenUsed/>
    <w:rsid w:val="00347292"/>
    <w:pPr>
      <w:ind w:left="240" w:hanging="240"/>
    </w:pPr>
  </w:style>
  <w:style w:type="paragraph" w:styleId="BalloonText">
    <w:name w:val="Balloon Text"/>
    <w:basedOn w:val="Normal"/>
    <w:link w:val="BalloonTextChar"/>
    <w:uiPriority w:val="99"/>
    <w:semiHidden/>
    <w:unhideWhenUsed/>
    <w:rsid w:val="00345F9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5F9B"/>
    <w:rPr>
      <w:rFonts w:ascii="Tahoma" w:eastAsia="Times New Roman" w:hAnsi="Tahoma" w:cs="Tahoma"/>
      <w:sz w:val="16"/>
      <w:szCs w:val="16"/>
    </w:rPr>
  </w:style>
  <w:style w:type="character" w:styleId="CommentReference">
    <w:name w:val="annotation reference"/>
    <w:uiPriority w:val="99"/>
    <w:semiHidden/>
    <w:unhideWhenUsed/>
    <w:rsid w:val="004A6036"/>
    <w:rPr>
      <w:sz w:val="16"/>
      <w:szCs w:val="16"/>
    </w:rPr>
  </w:style>
  <w:style w:type="paragraph" w:styleId="CommentText">
    <w:name w:val="annotation text"/>
    <w:basedOn w:val="Normal"/>
    <w:link w:val="CommentTextChar"/>
    <w:uiPriority w:val="99"/>
    <w:unhideWhenUsed/>
    <w:rsid w:val="004A6036"/>
    <w:rPr>
      <w:sz w:val="20"/>
      <w:lang w:val="x-none" w:eastAsia="x-none"/>
    </w:rPr>
  </w:style>
  <w:style w:type="character" w:customStyle="1" w:styleId="CommentTextChar">
    <w:name w:val="Comment Text Char"/>
    <w:link w:val="CommentText"/>
    <w:uiPriority w:val="99"/>
    <w:rsid w:val="004A6036"/>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4A6036"/>
    <w:rPr>
      <w:b/>
      <w:bCs/>
    </w:rPr>
  </w:style>
  <w:style w:type="character" w:customStyle="1" w:styleId="CommentSubjectChar">
    <w:name w:val="Comment Subject Char"/>
    <w:link w:val="CommentSubject"/>
    <w:uiPriority w:val="99"/>
    <w:semiHidden/>
    <w:rsid w:val="004A6036"/>
    <w:rPr>
      <w:rFonts w:ascii="Garamond" w:eastAsia="Times New Roman" w:hAnsi="Garamond"/>
      <w:b/>
      <w:bCs/>
    </w:rPr>
  </w:style>
  <w:style w:type="character" w:styleId="Emphasis">
    <w:name w:val="Emphasis"/>
    <w:uiPriority w:val="20"/>
    <w:qFormat/>
    <w:rsid w:val="00383FE1"/>
    <w:rPr>
      <w:i/>
      <w:iCs/>
    </w:rPr>
  </w:style>
  <w:style w:type="character" w:customStyle="1" w:styleId="tp-label">
    <w:name w:val="tp-label"/>
    <w:rsid w:val="00516FF4"/>
  </w:style>
  <w:style w:type="character" w:customStyle="1" w:styleId="plugins">
    <w:name w:val="plugins"/>
    <w:rsid w:val="00516FF4"/>
  </w:style>
  <w:style w:type="table" w:styleId="TableGrid">
    <w:name w:val="Table Grid"/>
    <w:basedOn w:val="TableNormal"/>
    <w:uiPriority w:val="59"/>
    <w:rsid w:val="00054F9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72E16"/>
    <w:rPr>
      <w:vertAlign w:val="superscript"/>
    </w:rPr>
  </w:style>
  <w:style w:type="paragraph" w:customStyle="1" w:styleId="Default">
    <w:name w:val="Default"/>
    <w:rsid w:val="0076337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337A"/>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EA02A9"/>
    <w:pPr>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EA02A9"/>
    <w:rPr>
      <w:rFonts w:ascii="Consolas" w:hAnsi="Consolas"/>
      <w:sz w:val="21"/>
      <w:szCs w:val="21"/>
    </w:rPr>
  </w:style>
  <w:style w:type="character" w:styleId="Strong">
    <w:name w:val="Strong"/>
    <w:uiPriority w:val="22"/>
    <w:qFormat/>
    <w:rsid w:val="00A95662"/>
    <w:rPr>
      <w:b/>
      <w:bCs/>
    </w:rPr>
  </w:style>
  <w:style w:type="paragraph" w:customStyle="1" w:styleId="ColorfulShading-Accent11">
    <w:name w:val="Colorful Shading - Accent 11"/>
    <w:hidden/>
    <w:uiPriority w:val="99"/>
    <w:semiHidden/>
    <w:rsid w:val="0074075E"/>
    <w:rPr>
      <w:rFonts w:ascii="Garamond" w:eastAsia="Times New Roman" w:hAnsi="Garamond"/>
      <w:sz w:val="24"/>
    </w:rPr>
  </w:style>
  <w:style w:type="character" w:customStyle="1" w:styleId="st1">
    <w:name w:val="st1"/>
    <w:rsid w:val="002F12A6"/>
  </w:style>
  <w:style w:type="paragraph" w:styleId="Revision">
    <w:name w:val="Revision"/>
    <w:hidden/>
    <w:uiPriority w:val="99"/>
    <w:semiHidden/>
    <w:rsid w:val="0061583B"/>
    <w:rPr>
      <w:rFonts w:ascii="Garamond" w:eastAsia="Times New Roman" w:hAnsi="Garamond"/>
      <w:sz w:val="24"/>
    </w:rPr>
  </w:style>
  <w:style w:type="character" w:styleId="FollowedHyperlink">
    <w:name w:val="FollowedHyperlink"/>
    <w:basedOn w:val="DefaultParagraphFont"/>
    <w:uiPriority w:val="99"/>
    <w:semiHidden/>
    <w:unhideWhenUsed/>
    <w:rsid w:val="00D339FA"/>
    <w:rPr>
      <w:color w:val="800080" w:themeColor="followedHyperlink"/>
      <w:u w:val="single"/>
    </w:rPr>
  </w:style>
  <w:style w:type="paragraph" w:styleId="ListParagraph">
    <w:name w:val="List Paragraph"/>
    <w:basedOn w:val="Normal"/>
    <w:uiPriority w:val="34"/>
    <w:qFormat/>
    <w:rsid w:val="002300C3"/>
    <w:pPr>
      <w:ind w:left="720"/>
      <w:contextualSpacing/>
    </w:pPr>
  </w:style>
  <w:style w:type="character" w:customStyle="1" w:styleId="N1-1stBulletChar">
    <w:name w:val="N1-1st Bullet Char"/>
    <w:link w:val="N1-1stBullet"/>
    <w:rsid w:val="006D208F"/>
    <w:rPr>
      <w:rFonts w:ascii="Garamond" w:eastAsia="Times New Roman" w:hAnsi="Garamond"/>
      <w:sz w:val="24"/>
    </w:rPr>
  </w:style>
  <w:style w:type="character" w:customStyle="1" w:styleId="italic">
    <w:name w:val="italic"/>
    <w:basedOn w:val="DefaultParagraphFont"/>
    <w:rsid w:val="0079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28">
      <w:bodyDiv w:val="1"/>
      <w:marLeft w:val="0"/>
      <w:marRight w:val="0"/>
      <w:marTop w:val="0"/>
      <w:marBottom w:val="0"/>
      <w:divBdr>
        <w:top w:val="none" w:sz="0" w:space="0" w:color="auto"/>
        <w:left w:val="none" w:sz="0" w:space="0" w:color="auto"/>
        <w:bottom w:val="none" w:sz="0" w:space="0" w:color="auto"/>
        <w:right w:val="none" w:sz="0" w:space="0" w:color="auto"/>
      </w:divBdr>
    </w:div>
    <w:div w:id="9793943">
      <w:bodyDiv w:val="1"/>
      <w:marLeft w:val="0"/>
      <w:marRight w:val="0"/>
      <w:marTop w:val="0"/>
      <w:marBottom w:val="0"/>
      <w:divBdr>
        <w:top w:val="none" w:sz="0" w:space="0" w:color="auto"/>
        <w:left w:val="none" w:sz="0" w:space="0" w:color="auto"/>
        <w:bottom w:val="none" w:sz="0" w:space="0" w:color="auto"/>
        <w:right w:val="none" w:sz="0" w:space="0" w:color="auto"/>
      </w:divBdr>
    </w:div>
    <w:div w:id="23874443">
      <w:bodyDiv w:val="1"/>
      <w:marLeft w:val="0"/>
      <w:marRight w:val="0"/>
      <w:marTop w:val="0"/>
      <w:marBottom w:val="0"/>
      <w:divBdr>
        <w:top w:val="none" w:sz="0" w:space="0" w:color="auto"/>
        <w:left w:val="none" w:sz="0" w:space="0" w:color="auto"/>
        <w:bottom w:val="none" w:sz="0" w:space="0" w:color="auto"/>
        <w:right w:val="none" w:sz="0" w:space="0" w:color="auto"/>
      </w:divBdr>
    </w:div>
    <w:div w:id="31807518">
      <w:bodyDiv w:val="1"/>
      <w:marLeft w:val="0"/>
      <w:marRight w:val="0"/>
      <w:marTop w:val="0"/>
      <w:marBottom w:val="0"/>
      <w:divBdr>
        <w:top w:val="none" w:sz="0" w:space="0" w:color="auto"/>
        <w:left w:val="none" w:sz="0" w:space="0" w:color="auto"/>
        <w:bottom w:val="none" w:sz="0" w:space="0" w:color="auto"/>
        <w:right w:val="none" w:sz="0" w:space="0" w:color="auto"/>
      </w:divBdr>
    </w:div>
    <w:div w:id="32049558">
      <w:bodyDiv w:val="1"/>
      <w:marLeft w:val="0"/>
      <w:marRight w:val="0"/>
      <w:marTop w:val="0"/>
      <w:marBottom w:val="0"/>
      <w:divBdr>
        <w:top w:val="none" w:sz="0" w:space="0" w:color="auto"/>
        <w:left w:val="none" w:sz="0" w:space="0" w:color="auto"/>
        <w:bottom w:val="none" w:sz="0" w:space="0" w:color="auto"/>
        <w:right w:val="none" w:sz="0" w:space="0" w:color="auto"/>
      </w:divBdr>
    </w:div>
    <w:div w:id="44959248">
      <w:bodyDiv w:val="1"/>
      <w:marLeft w:val="0"/>
      <w:marRight w:val="0"/>
      <w:marTop w:val="0"/>
      <w:marBottom w:val="0"/>
      <w:divBdr>
        <w:top w:val="none" w:sz="0" w:space="0" w:color="auto"/>
        <w:left w:val="none" w:sz="0" w:space="0" w:color="auto"/>
        <w:bottom w:val="none" w:sz="0" w:space="0" w:color="auto"/>
        <w:right w:val="none" w:sz="0" w:space="0" w:color="auto"/>
      </w:divBdr>
    </w:div>
    <w:div w:id="47610811">
      <w:bodyDiv w:val="1"/>
      <w:marLeft w:val="0"/>
      <w:marRight w:val="0"/>
      <w:marTop w:val="0"/>
      <w:marBottom w:val="0"/>
      <w:divBdr>
        <w:top w:val="none" w:sz="0" w:space="0" w:color="auto"/>
        <w:left w:val="none" w:sz="0" w:space="0" w:color="auto"/>
        <w:bottom w:val="none" w:sz="0" w:space="0" w:color="auto"/>
        <w:right w:val="none" w:sz="0" w:space="0" w:color="auto"/>
      </w:divBdr>
    </w:div>
    <w:div w:id="52435260">
      <w:bodyDiv w:val="1"/>
      <w:marLeft w:val="0"/>
      <w:marRight w:val="0"/>
      <w:marTop w:val="0"/>
      <w:marBottom w:val="0"/>
      <w:divBdr>
        <w:top w:val="none" w:sz="0" w:space="0" w:color="auto"/>
        <w:left w:val="none" w:sz="0" w:space="0" w:color="auto"/>
        <w:bottom w:val="none" w:sz="0" w:space="0" w:color="auto"/>
        <w:right w:val="none" w:sz="0" w:space="0" w:color="auto"/>
      </w:divBdr>
    </w:div>
    <w:div w:id="60949213">
      <w:bodyDiv w:val="1"/>
      <w:marLeft w:val="0"/>
      <w:marRight w:val="0"/>
      <w:marTop w:val="0"/>
      <w:marBottom w:val="0"/>
      <w:divBdr>
        <w:top w:val="none" w:sz="0" w:space="0" w:color="auto"/>
        <w:left w:val="none" w:sz="0" w:space="0" w:color="auto"/>
        <w:bottom w:val="none" w:sz="0" w:space="0" w:color="auto"/>
        <w:right w:val="none" w:sz="0" w:space="0" w:color="auto"/>
      </w:divBdr>
    </w:div>
    <w:div w:id="60953179">
      <w:bodyDiv w:val="1"/>
      <w:marLeft w:val="0"/>
      <w:marRight w:val="0"/>
      <w:marTop w:val="0"/>
      <w:marBottom w:val="0"/>
      <w:divBdr>
        <w:top w:val="none" w:sz="0" w:space="0" w:color="auto"/>
        <w:left w:val="none" w:sz="0" w:space="0" w:color="auto"/>
        <w:bottom w:val="none" w:sz="0" w:space="0" w:color="auto"/>
        <w:right w:val="none" w:sz="0" w:space="0" w:color="auto"/>
      </w:divBdr>
    </w:div>
    <w:div w:id="64837867">
      <w:bodyDiv w:val="1"/>
      <w:marLeft w:val="0"/>
      <w:marRight w:val="0"/>
      <w:marTop w:val="0"/>
      <w:marBottom w:val="0"/>
      <w:divBdr>
        <w:top w:val="none" w:sz="0" w:space="0" w:color="auto"/>
        <w:left w:val="none" w:sz="0" w:space="0" w:color="auto"/>
        <w:bottom w:val="none" w:sz="0" w:space="0" w:color="auto"/>
        <w:right w:val="none" w:sz="0" w:space="0" w:color="auto"/>
      </w:divBdr>
    </w:div>
    <w:div w:id="65348050">
      <w:bodyDiv w:val="1"/>
      <w:marLeft w:val="0"/>
      <w:marRight w:val="0"/>
      <w:marTop w:val="0"/>
      <w:marBottom w:val="0"/>
      <w:divBdr>
        <w:top w:val="none" w:sz="0" w:space="0" w:color="auto"/>
        <w:left w:val="none" w:sz="0" w:space="0" w:color="auto"/>
        <w:bottom w:val="none" w:sz="0" w:space="0" w:color="auto"/>
        <w:right w:val="none" w:sz="0" w:space="0" w:color="auto"/>
      </w:divBdr>
    </w:div>
    <w:div w:id="67846610">
      <w:bodyDiv w:val="1"/>
      <w:marLeft w:val="0"/>
      <w:marRight w:val="0"/>
      <w:marTop w:val="0"/>
      <w:marBottom w:val="0"/>
      <w:divBdr>
        <w:top w:val="none" w:sz="0" w:space="0" w:color="auto"/>
        <w:left w:val="none" w:sz="0" w:space="0" w:color="auto"/>
        <w:bottom w:val="none" w:sz="0" w:space="0" w:color="auto"/>
        <w:right w:val="none" w:sz="0" w:space="0" w:color="auto"/>
      </w:divBdr>
    </w:div>
    <w:div w:id="72751100">
      <w:bodyDiv w:val="1"/>
      <w:marLeft w:val="0"/>
      <w:marRight w:val="0"/>
      <w:marTop w:val="0"/>
      <w:marBottom w:val="0"/>
      <w:divBdr>
        <w:top w:val="none" w:sz="0" w:space="0" w:color="auto"/>
        <w:left w:val="none" w:sz="0" w:space="0" w:color="auto"/>
        <w:bottom w:val="none" w:sz="0" w:space="0" w:color="auto"/>
        <w:right w:val="none" w:sz="0" w:space="0" w:color="auto"/>
      </w:divBdr>
    </w:div>
    <w:div w:id="74864879">
      <w:bodyDiv w:val="1"/>
      <w:marLeft w:val="0"/>
      <w:marRight w:val="0"/>
      <w:marTop w:val="0"/>
      <w:marBottom w:val="0"/>
      <w:divBdr>
        <w:top w:val="none" w:sz="0" w:space="0" w:color="auto"/>
        <w:left w:val="none" w:sz="0" w:space="0" w:color="auto"/>
        <w:bottom w:val="none" w:sz="0" w:space="0" w:color="auto"/>
        <w:right w:val="none" w:sz="0" w:space="0" w:color="auto"/>
      </w:divBdr>
    </w:div>
    <w:div w:id="76901097">
      <w:bodyDiv w:val="1"/>
      <w:marLeft w:val="0"/>
      <w:marRight w:val="0"/>
      <w:marTop w:val="0"/>
      <w:marBottom w:val="0"/>
      <w:divBdr>
        <w:top w:val="none" w:sz="0" w:space="0" w:color="auto"/>
        <w:left w:val="none" w:sz="0" w:space="0" w:color="auto"/>
        <w:bottom w:val="none" w:sz="0" w:space="0" w:color="auto"/>
        <w:right w:val="none" w:sz="0" w:space="0" w:color="auto"/>
      </w:divBdr>
    </w:div>
    <w:div w:id="86391387">
      <w:bodyDiv w:val="1"/>
      <w:marLeft w:val="0"/>
      <w:marRight w:val="0"/>
      <w:marTop w:val="0"/>
      <w:marBottom w:val="0"/>
      <w:divBdr>
        <w:top w:val="none" w:sz="0" w:space="0" w:color="auto"/>
        <w:left w:val="none" w:sz="0" w:space="0" w:color="auto"/>
        <w:bottom w:val="none" w:sz="0" w:space="0" w:color="auto"/>
        <w:right w:val="none" w:sz="0" w:space="0" w:color="auto"/>
      </w:divBdr>
    </w:div>
    <w:div w:id="95834280">
      <w:bodyDiv w:val="1"/>
      <w:marLeft w:val="0"/>
      <w:marRight w:val="0"/>
      <w:marTop w:val="0"/>
      <w:marBottom w:val="0"/>
      <w:divBdr>
        <w:top w:val="none" w:sz="0" w:space="0" w:color="auto"/>
        <w:left w:val="none" w:sz="0" w:space="0" w:color="auto"/>
        <w:bottom w:val="none" w:sz="0" w:space="0" w:color="auto"/>
        <w:right w:val="none" w:sz="0" w:space="0" w:color="auto"/>
      </w:divBdr>
    </w:div>
    <w:div w:id="101071054">
      <w:bodyDiv w:val="1"/>
      <w:marLeft w:val="0"/>
      <w:marRight w:val="0"/>
      <w:marTop w:val="0"/>
      <w:marBottom w:val="0"/>
      <w:divBdr>
        <w:top w:val="none" w:sz="0" w:space="0" w:color="auto"/>
        <w:left w:val="none" w:sz="0" w:space="0" w:color="auto"/>
        <w:bottom w:val="none" w:sz="0" w:space="0" w:color="auto"/>
        <w:right w:val="none" w:sz="0" w:space="0" w:color="auto"/>
      </w:divBdr>
    </w:div>
    <w:div w:id="101803830">
      <w:bodyDiv w:val="1"/>
      <w:marLeft w:val="0"/>
      <w:marRight w:val="0"/>
      <w:marTop w:val="0"/>
      <w:marBottom w:val="0"/>
      <w:divBdr>
        <w:top w:val="none" w:sz="0" w:space="0" w:color="auto"/>
        <w:left w:val="none" w:sz="0" w:space="0" w:color="auto"/>
        <w:bottom w:val="none" w:sz="0" w:space="0" w:color="auto"/>
        <w:right w:val="none" w:sz="0" w:space="0" w:color="auto"/>
      </w:divBdr>
    </w:div>
    <w:div w:id="114176444">
      <w:bodyDiv w:val="1"/>
      <w:marLeft w:val="0"/>
      <w:marRight w:val="0"/>
      <w:marTop w:val="0"/>
      <w:marBottom w:val="0"/>
      <w:divBdr>
        <w:top w:val="none" w:sz="0" w:space="0" w:color="auto"/>
        <w:left w:val="none" w:sz="0" w:space="0" w:color="auto"/>
        <w:bottom w:val="none" w:sz="0" w:space="0" w:color="auto"/>
        <w:right w:val="none" w:sz="0" w:space="0" w:color="auto"/>
      </w:divBdr>
    </w:div>
    <w:div w:id="126240609">
      <w:bodyDiv w:val="1"/>
      <w:marLeft w:val="0"/>
      <w:marRight w:val="0"/>
      <w:marTop w:val="0"/>
      <w:marBottom w:val="0"/>
      <w:divBdr>
        <w:top w:val="none" w:sz="0" w:space="0" w:color="auto"/>
        <w:left w:val="none" w:sz="0" w:space="0" w:color="auto"/>
        <w:bottom w:val="none" w:sz="0" w:space="0" w:color="auto"/>
        <w:right w:val="none" w:sz="0" w:space="0" w:color="auto"/>
      </w:divBdr>
    </w:div>
    <w:div w:id="131027389">
      <w:bodyDiv w:val="1"/>
      <w:marLeft w:val="0"/>
      <w:marRight w:val="0"/>
      <w:marTop w:val="0"/>
      <w:marBottom w:val="0"/>
      <w:divBdr>
        <w:top w:val="none" w:sz="0" w:space="0" w:color="auto"/>
        <w:left w:val="none" w:sz="0" w:space="0" w:color="auto"/>
        <w:bottom w:val="none" w:sz="0" w:space="0" w:color="auto"/>
        <w:right w:val="none" w:sz="0" w:space="0" w:color="auto"/>
      </w:divBdr>
    </w:div>
    <w:div w:id="131600213">
      <w:bodyDiv w:val="1"/>
      <w:marLeft w:val="0"/>
      <w:marRight w:val="0"/>
      <w:marTop w:val="0"/>
      <w:marBottom w:val="0"/>
      <w:divBdr>
        <w:top w:val="none" w:sz="0" w:space="0" w:color="auto"/>
        <w:left w:val="none" w:sz="0" w:space="0" w:color="auto"/>
        <w:bottom w:val="none" w:sz="0" w:space="0" w:color="auto"/>
        <w:right w:val="none" w:sz="0" w:space="0" w:color="auto"/>
      </w:divBdr>
    </w:div>
    <w:div w:id="138502679">
      <w:bodyDiv w:val="1"/>
      <w:marLeft w:val="0"/>
      <w:marRight w:val="0"/>
      <w:marTop w:val="0"/>
      <w:marBottom w:val="0"/>
      <w:divBdr>
        <w:top w:val="none" w:sz="0" w:space="0" w:color="auto"/>
        <w:left w:val="none" w:sz="0" w:space="0" w:color="auto"/>
        <w:bottom w:val="none" w:sz="0" w:space="0" w:color="auto"/>
        <w:right w:val="none" w:sz="0" w:space="0" w:color="auto"/>
      </w:divBdr>
    </w:div>
    <w:div w:id="145051855">
      <w:bodyDiv w:val="1"/>
      <w:marLeft w:val="0"/>
      <w:marRight w:val="0"/>
      <w:marTop w:val="0"/>
      <w:marBottom w:val="0"/>
      <w:divBdr>
        <w:top w:val="none" w:sz="0" w:space="0" w:color="auto"/>
        <w:left w:val="none" w:sz="0" w:space="0" w:color="auto"/>
        <w:bottom w:val="none" w:sz="0" w:space="0" w:color="auto"/>
        <w:right w:val="none" w:sz="0" w:space="0" w:color="auto"/>
      </w:divBdr>
    </w:div>
    <w:div w:id="151604948">
      <w:bodyDiv w:val="1"/>
      <w:marLeft w:val="0"/>
      <w:marRight w:val="0"/>
      <w:marTop w:val="0"/>
      <w:marBottom w:val="0"/>
      <w:divBdr>
        <w:top w:val="none" w:sz="0" w:space="0" w:color="auto"/>
        <w:left w:val="none" w:sz="0" w:space="0" w:color="auto"/>
        <w:bottom w:val="none" w:sz="0" w:space="0" w:color="auto"/>
        <w:right w:val="none" w:sz="0" w:space="0" w:color="auto"/>
      </w:divBdr>
    </w:div>
    <w:div w:id="153685007">
      <w:bodyDiv w:val="1"/>
      <w:marLeft w:val="0"/>
      <w:marRight w:val="0"/>
      <w:marTop w:val="0"/>
      <w:marBottom w:val="0"/>
      <w:divBdr>
        <w:top w:val="none" w:sz="0" w:space="0" w:color="auto"/>
        <w:left w:val="none" w:sz="0" w:space="0" w:color="auto"/>
        <w:bottom w:val="none" w:sz="0" w:space="0" w:color="auto"/>
        <w:right w:val="none" w:sz="0" w:space="0" w:color="auto"/>
      </w:divBdr>
    </w:div>
    <w:div w:id="155652458">
      <w:bodyDiv w:val="1"/>
      <w:marLeft w:val="0"/>
      <w:marRight w:val="0"/>
      <w:marTop w:val="0"/>
      <w:marBottom w:val="0"/>
      <w:divBdr>
        <w:top w:val="none" w:sz="0" w:space="0" w:color="auto"/>
        <w:left w:val="none" w:sz="0" w:space="0" w:color="auto"/>
        <w:bottom w:val="none" w:sz="0" w:space="0" w:color="auto"/>
        <w:right w:val="none" w:sz="0" w:space="0" w:color="auto"/>
      </w:divBdr>
    </w:div>
    <w:div w:id="166016703">
      <w:bodyDiv w:val="1"/>
      <w:marLeft w:val="0"/>
      <w:marRight w:val="0"/>
      <w:marTop w:val="0"/>
      <w:marBottom w:val="0"/>
      <w:divBdr>
        <w:top w:val="none" w:sz="0" w:space="0" w:color="auto"/>
        <w:left w:val="none" w:sz="0" w:space="0" w:color="auto"/>
        <w:bottom w:val="none" w:sz="0" w:space="0" w:color="auto"/>
        <w:right w:val="none" w:sz="0" w:space="0" w:color="auto"/>
      </w:divBdr>
    </w:div>
    <w:div w:id="178129955">
      <w:bodyDiv w:val="1"/>
      <w:marLeft w:val="0"/>
      <w:marRight w:val="0"/>
      <w:marTop w:val="0"/>
      <w:marBottom w:val="0"/>
      <w:divBdr>
        <w:top w:val="none" w:sz="0" w:space="0" w:color="auto"/>
        <w:left w:val="none" w:sz="0" w:space="0" w:color="auto"/>
        <w:bottom w:val="none" w:sz="0" w:space="0" w:color="auto"/>
        <w:right w:val="none" w:sz="0" w:space="0" w:color="auto"/>
      </w:divBdr>
    </w:div>
    <w:div w:id="178740242">
      <w:bodyDiv w:val="1"/>
      <w:marLeft w:val="0"/>
      <w:marRight w:val="0"/>
      <w:marTop w:val="0"/>
      <w:marBottom w:val="0"/>
      <w:divBdr>
        <w:top w:val="none" w:sz="0" w:space="0" w:color="auto"/>
        <w:left w:val="none" w:sz="0" w:space="0" w:color="auto"/>
        <w:bottom w:val="none" w:sz="0" w:space="0" w:color="auto"/>
        <w:right w:val="none" w:sz="0" w:space="0" w:color="auto"/>
      </w:divBdr>
    </w:div>
    <w:div w:id="179971397">
      <w:bodyDiv w:val="1"/>
      <w:marLeft w:val="0"/>
      <w:marRight w:val="0"/>
      <w:marTop w:val="0"/>
      <w:marBottom w:val="0"/>
      <w:divBdr>
        <w:top w:val="none" w:sz="0" w:space="0" w:color="auto"/>
        <w:left w:val="none" w:sz="0" w:space="0" w:color="auto"/>
        <w:bottom w:val="none" w:sz="0" w:space="0" w:color="auto"/>
        <w:right w:val="none" w:sz="0" w:space="0" w:color="auto"/>
      </w:divBdr>
    </w:div>
    <w:div w:id="185139344">
      <w:bodyDiv w:val="1"/>
      <w:marLeft w:val="0"/>
      <w:marRight w:val="0"/>
      <w:marTop w:val="0"/>
      <w:marBottom w:val="0"/>
      <w:divBdr>
        <w:top w:val="none" w:sz="0" w:space="0" w:color="auto"/>
        <w:left w:val="none" w:sz="0" w:space="0" w:color="auto"/>
        <w:bottom w:val="none" w:sz="0" w:space="0" w:color="auto"/>
        <w:right w:val="none" w:sz="0" w:space="0" w:color="auto"/>
      </w:divBdr>
    </w:div>
    <w:div w:id="191110477">
      <w:bodyDiv w:val="1"/>
      <w:marLeft w:val="0"/>
      <w:marRight w:val="0"/>
      <w:marTop w:val="0"/>
      <w:marBottom w:val="0"/>
      <w:divBdr>
        <w:top w:val="none" w:sz="0" w:space="0" w:color="auto"/>
        <w:left w:val="none" w:sz="0" w:space="0" w:color="auto"/>
        <w:bottom w:val="none" w:sz="0" w:space="0" w:color="auto"/>
        <w:right w:val="none" w:sz="0" w:space="0" w:color="auto"/>
      </w:divBdr>
    </w:div>
    <w:div w:id="203830189">
      <w:bodyDiv w:val="1"/>
      <w:marLeft w:val="0"/>
      <w:marRight w:val="0"/>
      <w:marTop w:val="0"/>
      <w:marBottom w:val="0"/>
      <w:divBdr>
        <w:top w:val="none" w:sz="0" w:space="0" w:color="auto"/>
        <w:left w:val="none" w:sz="0" w:space="0" w:color="auto"/>
        <w:bottom w:val="none" w:sz="0" w:space="0" w:color="auto"/>
        <w:right w:val="none" w:sz="0" w:space="0" w:color="auto"/>
      </w:divBdr>
    </w:div>
    <w:div w:id="235290441">
      <w:bodyDiv w:val="1"/>
      <w:marLeft w:val="0"/>
      <w:marRight w:val="0"/>
      <w:marTop w:val="0"/>
      <w:marBottom w:val="0"/>
      <w:divBdr>
        <w:top w:val="none" w:sz="0" w:space="0" w:color="auto"/>
        <w:left w:val="none" w:sz="0" w:space="0" w:color="auto"/>
        <w:bottom w:val="none" w:sz="0" w:space="0" w:color="auto"/>
        <w:right w:val="none" w:sz="0" w:space="0" w:color="auto"/>
      </w:divBdr>
    </w:div>
    <w:div w:id="236479551">
      <w:bodyDiv w:val="1"/>
      <w:marLeft w:val="0"/>
      <w:marRight w:val="0"/>
      <w:marTop w:val="0"/>
      <w:marBottom w:val="0"/>
      <w:divBdr>
        <w:top w:val="none" w:sz="0" w:space="0" w:color="auto"/>
        <w:left w:val="none" w:sz="0" w:space="0" w:color="auto"/>
        <w:bottom w:val="none" w:sz="0" w:space="0" w:color="auto"/>
        <w:right w:val="none" w:sz="0" w:space="0" w:color="auto"/>
      </w:divBdr>
    </w:div>
    <w:div w:id="262996865">
      <w:bodyDiv w:val="1"/>
      <w:marLeft w:val="0"/>
      <w:marRight w:val="0"/>
      <w:marTop w:val="0"/>
      <w:marBottom w:val="0"/>
      <w:divBdr>
        <w:top w:val="none" w:sz="0" w:space="0" w:color="auto"/>
        <w:left w:val="none" w:sz="0" w:space="0" w:color="auto"/>
        <w:bottom w:val="none" w:sz="0" w:space="0" w:color="auto"/>
        <w:right w:val="none" w:sz="0" w:space="0" w:color="auto"/>
      </w:divBdr>
    </w:div>
    <w:div w:id="272324553">
      <w:bodyDiv w:val="1"/>
      <w:marLeft w:val="0"/>
      <w:marRight w:val="0"/>
      <w:marTop w:val="0"/>
      <w:marBottom w:val="0"/>
      <w:divBdr>
        <w:top w:val="none" w:sz="0" w:space="0" w:color="auto"/>
        <w:left w:val="none" w:sz="0" w:space="0" w:color="auto"/>
        <w:bottom w:val="none" w:sz="0" w:space="0" w:color="auto"/>
        <w:right w:val="none" w:sz="0" w:space="0" w:color="auto"/>
      </w:divBdr>
    </w:div>
    <w:div w:id="272716445">
      <w:bodyDiv w:val="1"/>
      <w:marLeft w:val="0"/>
      <w:marRight w:val="0"/>
      <w:marTop w:val="0"/>
      <w:marBottom w:val="0"/>
      <w:divBdr>
        <w:top w:val="none" w:sz="0" w:space="0" w:color="auto"/>
        <w:left w:val="none" w:sz="0" w:space="0" w:color="auto"/>
        <w:bottom w:val="none" w:sz="0" w:space="0" w:color="auto"/>
        <w:right w:val="none" w:sz="0" w:space="0" w:color="auto"/>
      </w:divBdr>
    </w:div>
    <w:div w:id="277375407">
      <w:bodyDiv w:val="1"/>
      <w:marLeft w:val="0"/>
      <w:marRight w:val="0"/>
      <w:marTop w:val="0"/>
      <w:marBottom w:val="0"/>
      <w:divBdr>
        <w:top w:val="none" w:sz="0" w:space="0" w:color="auto"/>
        <w:left w:val="none" w:sz="0" w:space="0" w:color="auto"/>
        <w:bottom w:val="none" w:sz="0" w:space="0" w:color="auto"/>
        <w:right w:val="none" w:sz="0" w:space="0" w:color="auto"/>
      </w:divBdr>
    </w:div>
    <w:div w:id="278925050">
      <w:bodyDiv w:val="1"/>
      <w:marLeft w:val="0"/>
      <w:marRight w:val="0"/>
      <w:marTop w:val="0"/>
      <w:marBottom w:val="0"/>
      <w:divBdr>
        <w:top w:val="none" w:sz="0" w:space="0" w:color="auto"/>
        <w:left w:val="none" w:sz="0" w:space="0" w:color="auto"/>
        <w:bottom w:val="none" w:sz="0" w:space="0" w:color="auto"/>
        <w:right w:val="none" w:sz="0" w:space="0" w:color="auto"/>
      </w:divBdr>
    </w:div>
    <w:div w:id="303705445">
      <w:bodyDiv w:val="1"/>
      <w:marLeft w:val="0"/>
      <w:marRight w:val="0"/>
      <w:marTop w:val="0"/>
      <w:marBottom w:val="0"/>
      <w:divBdr>
        <w:top w:val="none" w:sz="0" w:space="0" w:color="auto"/>
        <w:left w:val="none" w:sz="0" w:space="0" w:color="auto"/>
        <w:bottom w:val="none" w:sz="0" w:space="0" w:color="auto"/>
        <w:right w:val="none" w:sz="0" w:space="0" w:color="auto"/>
      </w:divBdr>
    </w:div>
    <w:div w:id="308481087">
      <w:bodyDiv w:val="1"/>
      <w:marLeft w:val="0"/>
      <w:marRight w:val="0"/>
      <w:marTop w:val="0"/>
      <w:marBottom w:val="0"/>
      <w:divBdr>
        <w:top w:val="none" w:sz="0" w:space="0" w:color="auto"/>
        <w:left w:val="none" w:sz="0" w:space="0" w:color="auto"/>
        <w:bottom w:val="none" w:sz="0" w:space="0" w:color="auto"/>
        <w:right w:val="none" w:sz="0" w:space="0" w:color="auto"/>
      </w:divBdr>
    </w:div>
    <w:div w:id="315033638">
      <w:bodyDiv w:val="1"/>
      <w:marLeft w:val="0"/>
      <w:marRight w:val="0"/>
      <w:marTop w:val="0"/>
      <w:marBottom w:val="0"/>
      <w:divBdr>
        <w:top w:val="none" w:sz="0" w:space="0" w:color="auto"/>
        <w:left w:val="none" w:sz="0" w:space="0" w:color="auto"/>
        <w:bottom w:val="none" w:sz="0" w:space="0" w:color="auto"/>
        <w:right w:val="none" w:sz="0" w:space="0" w:color="auto"/>
      </w:divBdr>
    </w:div>
    <w:div w:id="316694380">
      <w:bodyDiv w:val="1"/>
      <w:marLeft w:val="0"/>
      <w:marRight w:val="0"/>
      <w:marTop w:val="0"/>
      <w:marBottom w:val="0"/>
      <w:divBdr>
        <w:top w:val="none" w:sz="0" w:space="0" w:color="auto"/>
        <w:left w:val="none" w:sz="0" w:space="0" w:color="auto"/>
        <w:bottom w:val="none" w:sz="0" w:space="0" w:color="auto"/>
        <w:right w:val="none" w:sz="0" w:space="0" w:color="auto"/>
      </w:divBdr>
    </w:div>
    <w:div w:id="316963012">
      <w:bodyDiv w:val="1"/>
      <w:marLeft w:val="0"/>
      <w:marRight w:val="0"/>
      <w:marTop w:val="0"/>
      <w:marBottom w:val="0"/>
      <w:divBdr>
        <w:top w:val="none" w:sz="0" w:space="0" w:color="auto"/>
        <w:left w:val="none" w:sz="0" w:space="0" w:color="auto"/>
        <w:bottom w:val="none" w:sz="0" w:space="0" w:color="auto"/>
        <w:right w:val="none" w:sz="0" w:space="0" w:color="auto"/>
      </w:divBdr>
    </w:div>
    <w:div w:id="320348642">
      <w:bodyDiv w:val="1"/>
      <w:marLeft w:val="0"/>
      <w:marRight w:val="0"/>
      <w:marTop w:val="0"/>
      <w:marBottom w:val="0"/>
      <w:divBdr>
        <w:top w:val="none" w:sz="0" w:space="0" w:color="auto"/>
        <w:left w:val="none" w:sz="0" w:space="0" w:color="auto"/>
        <w:bottom w:val="none" w:sz="0" w:space="0" w:color="auto"/>
        <w:right w:val="none" w:sz="0" w:space="0" w:color="auto"/>
      </w:divBdr>
    </w:div>
    <w:div w:id="322316426">
      <w:bodyDiv w:val="1"/>
      <w:marLeft w:val="0"/>
      <w:marRight w:val="0"/>
      <w:marTop w:val="0"/>
      <w:marBottom w:val="0"/>
      <w:divBdr>
        <w:top w:val="none" w:sz="0" w:space="0" w:color="auto"/>
        <w:left w:val="none" w:sz="0" w:space="0" w:color="auto"/>
        <w:bottom w:val="none" w:sz="0" w:space="0" w:color="auto"/>
        <w:right w:val="none" w:sz="0" w:space="0" w:color="auto"/>
      </w:divBdr>
    </w:div>
    <w:div w:id="326324494">
      <w:bodyDiv w:val="1"/>
      <w:marLeft w:val="0"/>
      <w:marRight w:val="0"/>
      <w:marTop w:val="0"/>
      <w:marBottom w:val="0"/>
      <w:divBdr>
        <w:top w:val="none" w:sz="0" w:space="0" w:color="auto"/>
        <w:left w:val="none" w:sz="0" w:space="0" w:color="auto"/>
        <w:bottom w:val="none" w:sz="0" w:space="0" w:color="auto"/>
        <w:right w:val="none" w:sz="0" w:space="0" w:color="auto"/>
      </w:divBdr>
    </w:div>
    <w:div w:id="333609937">
      <w:bodyDiv w:val="1"/>
      <w:marLeft w:val="0"/>
      <w:marRight w:val="0"/>
      <w:marTop w:val="0"/>
      <w:marBottom w:val="0"/>
      <w:divBdr>
        <w:top w:val="none" w:sz="0" w:space="0" w:color="auto"/>
        <w:left w:val="none" w:sz="0" w:space="0" w:color="auto"/>
        <w:bottom w:val="none" w:sz="0" w:space="0" w:color="auto"/>
        <w:right w:val="none" w:sz="0" w:space="0" w:color="auto"/>
      </w:divBdr>
    </w:div>
    <w:div w:id="345253371">
      <w:bodyDiv w:val="1"/>
      <w:marLeft w:val="0"/>
      <w:marRight w:val="0"/>
      <w:marTop w:val="0"/>
      <w:marBottom w:val="0"/>
      <w:divBdr>
        <w:top w:val="none" w:sz="0" w:space="0" w:color="auto"/>
        <w:left w:val="none" w:sz="0" w:space="0" w:color="auto"/>
        <w:bottom w:val="none" w:sz="0" w:space="0" w:color="auto"/>
        <w:right w:val="none" w:sz="0" w:space="0" w:color="auto"/>
      </w:divBdr>
    </w:div>
    <w:div w:id="356084603">
      <w:bodyDiv w:val="1"/>
      <w:marLeft w:val="0"/>
      <w:marRight w:val="0"/>
      <w:marTop w:val="0"/>
      <w:marBottom w:val="0"/>
      <w:divBdr>
        <w:top w:val="none" w:sz="0" w:space="0" w:color="auto"/>
        <w:left w:val="none" w:sz="0" w:space="0" w:color="auto"/>
        <w:bottom w:val="none" w:sz="0" w:space="0" w:color="auto"/>
        <w:right w:val="none" w:sz="0" w:space="0" w:color="auto"/>
      </w:divBdr>
    </w:div>
    <w:div w:id="369457090">
      <w:bodyDiv w:val="1"/>
      <w:marLeft w:val="0"/>
      <w:marRight w:val="0"/>
      <w:marTop w:val="0"/>
      <w:marBottom w:val="0"/>
      <w:divBdr>
        <w:top w:val="none" w:sz="0" w:space="0" w:color="auto"/>
        <w:left w:val="none" w:sz="0" w:space="0" w:color="auto"/>
        <w:bottom w:val="none" w:sz="0" w:space="0" w:color="auto"/>
        <w:right w:val="none" w:sz="0" w:space="0" w:color="auto"/>
      </w:divBdr>
    </w:div>
    <w:div w:id="387464156">
      <w:bodyDiv w:val="1"/>
      <w:marLeft w:val="0"/>
      <w:marRight w:val="0"/>
      <w:marTop w:val="0"/>
      <w:marBottom w:val="0"/>
      <w:divBdr>
        <w:top w:val="none" w:sz="0" w:space="0" w:color="auto"/>
        <w:left w:val="none" w:sz="0" w:space="0" w:color="auto"/>
        <w:bottom w:val="none" w:sz="0" w:space="0" w:color="auto"/>
        <w:right w:val="none" w:sz="0" w:space="0" w:color="auto"/>
      </w:divBdr>
    </w:div>
    <w:div w:id="387605169">
      <w:bodyDiv w:val="1"/>
      <w:marLeft w:val="0"/>
      <w:marRight w:val="0"/>
      <w:marTop w:val="0"/>
      <w:marBottom w:val="0"/>
      <w:divBdr>
        <w:top w:val="none" w:sz="0" w:space="0" w:color="auto"/>
        <w:left w:val="none" w:sz="0" w:space="0" w:color="auto"/>
        <w:bottom w:val="none" w:sz="0" w:space="0" w:color="auto"/>
        <w:right w:val="none" w:sz="0" w:space="0" w:color="auto"/>
      </w:divBdr>
      <w:divsChild>
        <w:div w:id="599291606">
          <w:marLeft w:val="0"/>
          <w:marRight w:val="0"/>
          <w:marTop w:val="0"/>
          <w:marBottom w:val="0"/>
          <w:divBdr>
            <w:top w:val="none" w:sz="0" w:space="0" w:color="auto"/>
            <w:left w:val="none" w:sz="0" w:space="0" w:color="auto"/>
            <w:bottom w:val="none" w:sz="0" w:space="0" w:color="auto"/>
            <w:right w:val="none" w:sz="0" w:space="0" w:color="auto"/>
          </w:divBdr>
          <w:divsChild>
            <w:div w:id="807477214">
              <w:marLeft w:val="0"/>
              <w:marRight w:val="0"/>
              <w:marTop w:val="0"/>
              <w:marBottom w:val="0"/>
              <w:divBdr>
                <w:top w:val="none" w:sz="0" w:space="0" w:color="auto"/>
                <w:left w:val="none" w:sz="0" w:space="0" w:color="auto"/>
                <w:bottom w:val="none" w:sz="0" w:space="0" w:color="auto"/>
                <w:right w:val="none" w:sz="0" w:space="0" w:color="auto"/>
              </w:divBdr>
              <w:divsChild>
                <w:div w:id="2048021554">
                  <w:marLeft w:val="0"/>
                  <w:marRight w:val="0"/>
                  <w:marTop w:val="0"/>
                  <w:marBottom w:val="0"/>
                  <w:divBdr>
                    <w:top w:val="none" w:sz="0" w:space="0" w:color="auto"/>
                    <w:left w:val="none" w:sz="0" w:space="0" w:color="auto"/>
                    <w:bottom w:val="none" w:sz="0" w:space="0" w:color="auto"/>
                    <w:right w:val="none" w:sz="0" w:space="0" w:color="auto"/>
                  </w:divBdr>
                  <w:divsChild>
                    <w:div w:id="21065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94680">
      <w:bodyDiv w:val="1"/>
      <w:marLeft w:val="0"/>
      <w:marRight w:val="0"/>
      <w:marTop w:val="0"/>
      <w:marBottom w:val="0"/>
      <w:divBdr>
        <w:top w:val="none" w:sz="0" w:space="0" w:color="auto"/>
        <w:left w:val="none" w:sz="0" w:space="0" w:color="auto"/>
        <w:bottom w:val="none" w:sz="0" w:space="0" w:color="auto"/>
        <w:right w:val="none" w:sz="0" w:space="0" w:color="auto"/>
      </w:divBdr>
    </w:div>
    <w:div w:id="393050251">
      <w:bodyDiv w:val="1"/>
      <w:marLeft w:val="0"/>
      <w:marRight w:val="0"/>
      <w:marTop w:val="0"/>
      <w:marBottom w:val="0"/>
      <w:divBdr>
        <w:top w:val="none" w:sz="0" w:space="0" w:color="auto"/>
        <w:left w:val="none" w:sz="0" w:space="0" w:color="auto"/>
        <w:bottom w:val="none" w:sz="0" w:space="0" w:color="auto"/>
        <w:right w:val="none" w:sz="0" w:space="0" w:color="auto"/>
      </w:divBdr>
    </w:div>
    <w:div w:id="396175088">
      <w:bodyDiv w:val="1"/>
      <w:marLeft w:val="0"/>
      <w:marRight w:val="0"/>
      <w:marTop w:val="0"/>
      <w:marBottom w:val="0"/>
      <w:divBdr>
        <w:top w:val="none" w:sz="0" w:space="0" w:color="auto"/>
        <w:left w:val="none" w:sz="0" w:space="0" w:color="auto"/>
        <w:bottom w:val="none" w:sz="0" w:space="0" w:color="auto"/>
        <w:right w:val="none" w:sz="0" w:space="0" w:color="auto"/>
      </w:divBdr>
    </w:div>
    <w:div w:id="399791875">
      <w:bodyDiv w:val="1"/>
      <w:marLeft w:val="0"/>
      <w:marRight w:val="0"/>
      <w:marTop w:val="0"/>
      <w:marBottom w:val="0"/>
      <w:divBdr>
        <w:top w:val="none" w:sz="0" w:space="0" w:color="auto"/>
        <w:left w:val="none" w:sz="0" w:space="0" w:color="auto"/>
        <w:bottom w:val="none" w:sz="0" w:space="0" w:color="auto"/>
        <w:right w:val="none" w:sz="0" w:space="0" w:color="auto"/>
      </w:divBdr>
    </w:div>
    <w:div w:id="399986456">
      <w:bodyDiv w:val="1"/>
      <w:marLeft w:val="0"/>
      <w:marRight w:val="0"/>
      <w:marTop w:val="0"/>
      <w:marBottom w:val="0"/>
      <w:divBdr>
        <w:top w:val="none" w:sz="0" w:space="0" w:color="auto"/>
        <w:left w:val="none" w:sz="0" w:space="0" w:color="auto"/>
        <w:bottom w:val="none" w:sz="0" w:space="0" w:color="auto"/>
        <w:right w:val="none" w:sz="0" w:space="0" w:color="auto"/>
      </w:divBdr>
    </w:div>
    <w:div w:id="418520905">
      <w:bodyDiv w:val="1"/>
      <w:marLeft w:val="0"/>
      <w:marRight w:val="0"/>
      <w:marTop w:val="0"/>
      <w:marBottom w:val="0"/>
      <w:divBdr>
        <w:top w:val="none" w:sz="0" w:space="0" w:color="auto"/>
        <w:left w:val="none" w:sz="0" w:space="0" w:color="auto"/>
        <w:bottom w:val="none" w:sz="0" w:space="0" w:color="auto"/>
        <w:right w:val="none" w:sz="0" w:space="0" w:color="auto"/>
      </w:divBdr>
    </w:div>
    <w:div w:id="419105395">
      <w:bodyDiv w:val="1"/>
      <w:marLeft w:val="0"/>
      <w:marRight w:val="0"/>
      <w:marTop w:val="0"/>
      <w:marBottom w:val="0"/>
      <w:divBdr>
        <w:top w:val="none" w:sz="0" w:space="0" w:color="auto"/>
        <w:left w:val="none" w:sz="0" w:space="0" w:color="auto"/>
        <w:bottom w:val="none" w:sz="0" w:space="0" w:color="auto"/>
        <w:right w:val="none" w:sz="0" w:space="0" w:color="auto"/>
      </w:divBdr>
    </w:div>
    <w:div w:id="445782461">
      <w:bodyDiv w:val="1"/>
      <w:marLeft w:val="0"/>
      <w:marRight w:val="0"/>
      <w:marTop w:val="0"/>
      <w:marBottom w:val="0"/>
      <w:divBdr>
        <w:top w:val="none" w:sz="0" w:space="0" w:color="auto"/>
        <w:left w:val="none" w:sz="0" w:space="0" w:color="auto"/>
        <w:bottom w:val="none" w:sz="0" w:space="0" w:color="auto"/>
        <w:right w:val="none" w:sz="0" w:space="0" w:color="auto"/>
      </w:divBdr>
    </w:div>
    <w:div w:id="449591460">
      <w:bodyDiv w:val="1"/>
      <w:marLeft w:val="0"/>
      <w:marRight w:val="0"/>
      <w:marTop w:val="0"/>
      <w:marBottom w:val="0"/>
      <w:divBdr>
        <w:top w:val="none" w:sz="0" w:space="0" w:color="auto"/>
        <w:left w:val="none" w:sz="0" w:space="0" w:color="auto"/>
        <w:bottom w:val="none" w:sz="0" w:space="0" w:color="auto"/>
        <w:right w:val="none" w:sz="0" w:space="0" w:color="auto"/>
      </w:divBdr>
    </w:div>
    <w:div w:id="458187854">
      <w:bodyDiv w:val="1"/>
      <w:marLeft w:val="0"/>
      <w:marRight w:val="0"/>
      <w:marTop w:val="0"/>
      <w:marBottom w:val="0"/>
      <w:divBdr>
        <w:top w:val="none" w:sz="0" w:space="0" w:color="auto"/>
        <w:left w:val="none" w:sz="0" w:space="0" w:color="auto"/>
        <w:bottom w:val="none" w:sz="0" w:space="0" w:color="auto"/>
        <w:right w:val="none" w:sz="0" w:space="0" w:color="auto"/>
      </w:divBdr>
    </w:div>
    <w:div w:id="476919330">
      <w:bodyDiv w:val="1"/>
      <w:marLeft w:val="0"/>
      <w:marRight w:val="0"/>
      <w:marTop w:val="0"/>
      <w:marBottom w:val="0"/>
      <w:divBdr>
        <w:top w:val="none" w:sz="0" w:space="0" w:color="auto"/>
        <w:left w:val="none" w:sz="0" w:space="0" w:color="auto"/>
        <w:bottom w:val="none" w:sz="0" w:space="0" w:color="auto"/>
        <w:right w:val="none" w:sz="0" w:space="0" w:color="auto"/>
      </w:divBdr>
    </w:div>
    <w:div w:id="477693335">
      <w:bodyDiv w:val="1"/>
      <w:marLeft w:val="0"/>
      <w:marRight w:val="0"/>
      <w:marTop w:val="0"/>
      <w:marBottom w:val="0"/>
      <w:divBdr>
        <w:top w:val="none" w:sz="0" w:space="0" w:color="auto"/>
        <w:left w:val="none" w:sz="0" w:space="0" w:color="auto"/>
        <w:bottom w:val="none" w:sz="0" w:space="0" w:color="auto"/>
        <w:right w:val="none" w:sz="0" w:space="0" w:color="auto"/>
      </w:divBdr>
    </w:div>
    <w:div w:id="534192513">
      <w:bodyDiv w:val="1"/>
      <w:marLeft w:val="0"/>
      <w:marRight w:val="0"/>
      <w:marTop w:val="0"/>
      <w:marBottom w:val="0"/>
      <w:divBdr>
        <w:top w:val="none" w:sz="0" w:space="0" w:color="auto"/>
        <w:left w:val="none" w:sz="0" w:space="0" w:color="auto"/>
        <w:bottom w:val="none" w:sz="0" w:space="0" w:color="auto"/>
        <w:right w:val="none" w:sz="0" w:space="0" w:color="auto"/>
      </w:divBdr>
    </w:div>
    <w:div w:id="537474130">
      <w:bodyDiv w:val="1"/>
      <w:marLeft w:val="0"/>
      <w:marRight w:val="0"/>
      <w:marTop w:val="0"/>
      <w:marBottom w:val="0"/>
      <w:divBdr>
        <w:top w:val="none" w:sz="0" w:space="0" w:color="auto"/>
        <w:left w:val="none" w:sz="0" w:space="0" w:color="auto"/>
        <w:bottom w:val="none" w:sz="0" w:space="0" w:color="auto"/>
        <w:right w:val="none" w:sz="0" w:space="0" w:color="auto"/>
      </w:divBdr>
    </w:div>
    <w:div w:id="545915676">
      <w:bodyDiv w:val="1"/>
      <w:marLeft w:val="0"/>
      <w:marRight w:val="0"/>
      <w:marTop w:val="0"/>
      <w:marBottom w:val="0"/>
      <w:divBdr>
        <w:top w:val="none" w:sz="0" w:space="0" w:color="auto"/>
        <w:left w:val="none" w:sz="0" w:space="0" w:color="auto"/>
        <w:bottom w:val="none" w:sz="0" w:space="0" w:color="auto"/>
        <w:right w:val="none" w:sz="0" w:space="0" w:color="auto"/>
      </w:divBdr>
    </w:div>
    <w:div w:id="548763993">
      <w:bodyDiv w:val="1"/>
      <w:marLeft w:val="0"/>
      <w:marRight w:val="0"/>
      <w:marTop w:val="0"/>
      <w:marBottom w:val="0"/>
      <w:divBdr>
        <w:top w:val="none" w:sz="0" w:space="0" w:color="auto"/>
        <w:left w:val="none" w:sz="0" w:space="0" w:color="auto"/>
        <w:bottom w:val="none" w:sz="0" w:space="0" w:color="auto"/>
        <w:right w:val="none" w:sz="0" w:space="0" w:color="auto"/>
      </w:divBdr>
    </w:div>
    <w:div w:id="558053580">
      <w:bodyDiv w:val="1"/>
      <w:marLeft w:val="0"/>
      <w:marRight w:val="0"/>
      <w:marTop w:val="0"/>
      <w:marBottom w:val="0"/>
      <w:divBdr>
        <w:top w:val="none" w:sz="0" w:space="0" w:color="auto"/>
        <w:left w:val="none" w:sz="0" w:space="0" w:color="auto"/>
        <w:bottom w:val="none" w:sz="0" w:space="0" w:color="auto"/>
        <w:right w:val="none" w:sz="0" w:space="0" w:color="auto"/>
      </w:divBdr>
    </w:div>
    <w:div w:id="561991552">
      <w:bodyDiv w:val="1"/>
      <w:marLeft w:val="0"/>
      <w:marRight w:val="0"/>
      <w:marTop w:val="0"/>
      <w:marBottom w:val="0"/>
      <w:divBdr>
        <w:top w:val="none" w:sz="0" w:space="0" w:color="auto"/>
        <w:left w:val="none" w:sz="0" w:space="0" w:color="auto"/>
        <w:bottom w:val="none" w:sz="0" w:space="0" w:color="auto"/>
        <w:right w:val="none" w:sz="0" w:space="0" w:color="auto"/>
      </w:divBdr>
    </w:div>
    <w:div w:id="562251248">
      <w:bodyDiv w:val="1"/>
      <w:marLeft w:val="0"/>
      <w:marRight w:val="0"/>
      <w:marTop w:val="0"/>
      <w:marBottom w:val="0"/>
      <w:divBdr>
        <w:top w:val="none" w:sz="0" w:space="0" w:color="auto"/>
        <w:left w:val="none" w:sz="0" w:space="0" w:color="auto"/>
        <w:bottom w:val="none" w:sz="0" w:space="0" w:color="auto"/>
        <w:right w:val="none" w:sz="0" w:space="0" w:color="auto"/>
      </w:divBdr>
    </w:div>
    <w:div w:id="563220290">
      <w:bodyDiv w:val="1"/>
      <w:marLeft w:val="0"/>
      <w:marRight w:val="0"/>
      <w:marTop w:val="0"/>
      <w:marBottom w:val="0"/>
      <w:divBdr>
        <w:top w:val="none" w:sz="0" w:space="0" w:color="auto"/>
        <w:left w:val="none" w:sz="0" w:space="0" w:color="auto"/>
        <w:bottom w:val="none" w:sz="0" w:space="0" w:color="auto"/>
        <w:right w:val="none" w:sz="0" w:space="0" w:color="auto"/>
      </w:divBdr>
    </w:div>
    <w:div w:id="565184187">
      <w:bodyDiv w:val="1"/>
      <w:marLeft w:val="0"/>
      <w:marRight w:val="0"/>
      <w:marTop w:val="0"/>
      <w:marBottom w:val="0"/>
      <w:divBdr>
        <w:top w:val="none" w:sz="0" w:space="0" w:color="auto"/>
        <w:left w:val="none" w:sz="0" w:space="0" w:color="auto"/>
        <w:bottom w:val="none" w:sz="0" w:space="0" w:color="auto"/>
        <w:right w:val="none" w:sz="0" w:space="0" w:color="auto"/>
      </w:divBdr>
    </w:div>
    <w:div w:id="567425700">
      <w:bodyDiv w:val="1"/>
      <w:marLeft w:val="0"/>
      <w:marRight w:val="0"/>
      <w:marTop w:val="0"/>
      <w:marBottom w:val="0"/>
      <w:divBdr>
        <w:top w:val="none" w:sz="0" w:space="0" w:color="auto"/>
        <w:left w:val="none" w:sz="0" w:space="0" w:color="auto"/>
        <w:bottom w:val="none" w:sz="0" w:space="0" w:color="auto"/>
        <w:right w:val="none" w:sz="0" w:space="0" w:color="auto"/>
      </w:divBdr>
    </w:div>
    <w:div w:id="570623173">
      <w:bodyDiv w:val="1"/>
      <w:marLeft w:val="0"/>
      <w:marRight w:val="0"/>
      <w:marTop w:val="0"/>
      <w:marBottom w:val="0"/>
      <w:divBdr>
        <w:top w:val="none" w:sz="0" w:space="0" w:color="auto"/>
        <w:left w:val="none" w:sz="0" w:space="0" w:color="auto"/>
        <w:bottom w:val="none" w:sz="0" w:space="0" w:color="auto"/>
        <w:right w:val="none" w:sz="0" w:space="0" w:color="auto"/>
      </w:divBdr>
    </w:div>
    <w:div w:id="575631856">
      <w:bodyDiv w:val="1"/>
      <w:marLeft w:val="0"/>
      <w:marRight w:val="0"/>
      <w:marTop w:val="0"/>
      <w:marBottom w:val="0"/>
      <w:divBdr>
        <w:top w:val="none" w:sz="0" w:space="0" w:color="auto"/>
        <w:left w:val="none" w:sz="0" w:space="0" w:color="auto"/>
        <w:bottom w:val="none" w:sz="0" w:space="0" w:color="auto"/>
        <w:right w:val="none" w:sz="0" w:space="0" w:color="auto"/>
      </w:divBdr>
    </w:div>
    <w:div w:id="612637971">
      <w:bodyDiv w:val="1"/>
      <w:marLeft w:val="0"/>
      <w:marRight w:val="0"/>
      <w:marTop w:val="0"/>
      <w:marBottom w:val="0"/>
      <w:divBdr>
        <w:top w:val="none" w:sz="0" w:space="0" w:color="auto"/>
        <w:left w:val="none" w:sz="0" w:space="0" w:color="auto"/>
        <w:bottom w:val="none" w:sz="0" w:space="0" w:color="auto"/>
        <w:right w:val="none" w:sz="0" w:space="0" w:color="auto"/>
      </w:divBdr>
    </w:div>
    <w:div w:id="625356070">
      <w:bodyDiv w:val="1"/>
      <w:marLeft w:val="0"/>
      <w:marRight w:val="0"/>
      <w:marTop w:val="0"/>
      <w:marBottom w:val="0"/>
      <w:divBdr>
        <w:top w:val="none" w:sz="0" w:space="0" w:color="auto"/>
        <w:left w:val="none" w:sz="0" w:space="0" w:color="auto"/>
        <w:bottom w:val="none" w:sz="0" w:space="0" w:color="auto"/>
        <w:right w:val="none" w:sz="0" w:space="0" w:color="auto"/>
      </w:divBdr>
    </w:div>
    <w:div w:id="627660783">
      <w:bodyDiv w:val="1"/>
      <w:marLeft w:val="0"/>
      <w:marRight w:val="0"/>
      <w:marTop w:val="0"/>
      <w:marBottom w:val="0"/>
      <w:divBdr>
        <w:top w:val="none" w:sz="0" w:space="0" w:color="auto"/>
        <w:left w:val="none" w:sz="0" w:space="0" w:color="auto"/>
        <w:bottom w:val="none" w:sz="0" w:space="0" w:color="auto"/>
        <w:right w:val="none" w:sz="0" w:space="0" w:color="auto"/>
      </w:divBdr>
    </w:div>
    <w:div w:id="630592204">
      <w:bodyDiv w:val="1"/>
      <w:marLeft w:val="0"/>
      <w:marRight w:val="0"/>
      <w:marTop w:val="0"/>
      <w:marBottom w:val="0"/>
      <w:divBdr>
        <w:top w:val="none" w:sz="0" w:space="0" w:color="auto"/>
        <w:left w:val="none" w:sz="0" w:space="0" w:color="auto"/>
        <w:bottom w:val="none" w:sz="0" w:space="0" w:color="auto"/>
        <w:right w:val="none" w:sz="0" w:space="0" w:color="auto"/>
      </w:divBdr>
    </w:div>
    <w:div w:id="632709461">
      <w:bodyDiv w:val="1"/>
      <w:marLeft w:val="0"/>
      <w:marRight w:val="0"/>
      <w:marTop w:val="0"/>
      <w:marBottom w:val="0"/>
      <w:divBdr>
        <w:top w:val="none" w:sz="0" w:space="0" w:color="auto"/>
        <w:left w:val="none" w:sz="0" w:space="0" w:color="auto"/>
        <w:bottom w:val="none" w:sz="0" w:space="0" w:color="auto"/>
        <w:right w:val="none" w:sz="0" w:space="0" w:color="auto"/>
      </w:divBdr>
    </w:div>
    <w:div w:id="679967315">
      <w:bodyDiv w:val="1"/>
      <w:marLeft w:val="0"/>
      <w:marRight w:val="0"/>
      <w:marTop w:val="0"/>
      <w:marBottom w:val="0"/>
      <w:divBdr>
        <w:top w:val="none" w:sz="0" w:space="0" w:color="auto"/>
        <w:left w:val="none" w:sz="0" w:space="0" w:color="auto"/>
        <w:bottom w:val="none" w:sz="0" w:space="0" w:color="auto"/>
        <w:right w:val="none" w:sz="0" w:space="0" w:color="auto"/>
      </w:divBdr>
    </w:div>
    <w:div w:id="683169221">
      <w:bodyDiv w:val="1"/>
      <w:marLeft w:val="0"/>
      <w:marRight w:val="0"/>
      <w:marTop w:val="0"/>
      <w:marBottom w:val="0"/>
      <w:divBdr>
        <w:top w:val="none" w:sz="0" w:space="0" w:color="auto"/>
        <w:left w:val="none" w:sz="0" w:space="0" w:color="auto"/>
        <w:bottom w:val="none" w:sz="0" w:space="0" w:color="auto"/>
        <w:right w:val="none" w:sz="0" w:space="0" w:color="auto"/>
      </w:divBdr>
    </w:div>
    <w:div w:id="691801445">
      <w:bodyDiv w:val="1"/>
      <w:marLeft w:val="0"/>
      <w:marRight w:val="0"/>
      <w:marTop w:val="0"/>
      <w:marBottom w:val="0"/>
      <w:divBdr>
        <w:top w:val="none" w:sz="0" w:space="0" w:color="auto"/>
        <w:left w:val="none" w:sz="0" w:space="0" w:color="auto"/>
        <w:bottom w:val="none" w:sz="0" w:space="0" w:color="auto"/>
        <w:right w:val="none" w:sz="0" w:space="0" w:color="auto"/>
      </w:divBdr>
    </w:div>
    <w:div w:id="693190247">
      <w:bodyDiv w:val="1"/>
      <w:marLeft w:val="0"/>
      <w:marRight w:val="0"/>
      <w:marTop w:val="0"/>
      <w:marBottom w:val="0"/>
      <w:divBdr>
        <w:top w:val="none" w:sz="0" w:space="0" w:color="auto"/>
        <w:left w:val="none" w:sz="0" w:space="0" w:color="auto"/>
        <w:bottom w:val="none" w:sz="0" w:space="0" w:color="auto"/>
        <w:right w:val="none" w:sz="0" w:space="0" w:color="auto"/>
      </w:divBdr>
    </w:div>
    <w:div w:id="693768389">
      <w:bodyDiv w:val="1"/>
      <w:marLeft w:val="0"/>
      <w:marRight w:val="0"/>
      <w:marTop w:val="0"/>
      <w:marBottom w:val="0"/>
      <w:divBdr>
        <w:top w:val="none" w:sz="0" w:space="0" w:color="auto"/>
        <w:left w:val="none" w:sz="0" w:space="0" w:color="auto"/>
        <w:bottom w:val="none" w:sz="0" w:space="0" w:color="auto"/>
        <w:right w:val="none" w:sz="0" w:space="0" w:color="auto"/>
      </w:divBdr>
    </w:div>
    <w:div w:id="701320202">
      <w:bodyDiv w:val="1"/>
      <w:marLeft w:val="0"/>
      <w:marRight w:val="0"/>
      <w:marTop w:val="0"/>
      <w:marBottom w:val="0"/>
      <w:divBdr>
        <w:top w:val="none" w:sz="0" w:space="0" w:color="auto"/>
        <w:left w:val="none" w:sz="0" w:space="0" w:color="auto"/>
        <w:bottom w:val="none" w:sz="0" w:space="0" w:color="auto"/>
        <w:right w:val="none" w:sz="0" w:space="0" w:color="auto"/>
      </w:divBdr>
    </w:div>
    <w:div w:id="710804689">
      <w:bodyDiv w:val="1"/>
      <w:marLeft w:val="0"/>
      <w:marRight w:val="0"/>
      <w:marTop w:val="0"/>
      <w:marBottom w:val="0"/>
      <w:divBdr>
        <w:top w:val="none" w:sz="0" w:space="0" w:color="auto"/>
        <w:left w:val="none" w:sz="0" w:space="0" w:color="auto"/>
        <w:bottom w:val="none" w:sz="0" w:space="0" w:color="auto"/>
        <w:right w:val="none" w:sz="0" w:space="0" w:color="auto"/>
      </w:divBdr>
    </w:div>
    <w:div w:id="736322893">
      <w:bodyDiv w:val="1"/>
      <w:marLeft w:val="0"/>
      <w:marRight w:val="0"/>
      <w:marTop w:val="0"/>
      <w:marBottom w:val="0"/>
      <w:divBdr>
        <w:top w:val="none" w:sz="0" w:space="0" w:color="auto"/>
        <w:left w:val="none" w:sz="0" w:space="0" w:color="auto"/>
        <w:bottom w:val="none" w:sz="0" w:space="0" w:color="auto"/>
        <w:right w:val="none" w:sz="0" w:space="0" w:color="auto"/>
      </w:divBdr>
    </w:div>
    <w:div w:id="742801349">
      <w:bodyDiv w:val="1"/>
      <w:marLeft w:val="0"/>
      <w:marRight w:val="0"/>
      <w:marTop w:val="0"/>
      <w:marBottom w:val="0"/>
      <w:divBdr>
        <w:top w:val="none" w:sz="0" w:space="0" w:color="auto"/>
        <w:left w:val="none" w:sz="0" w:space="0" w:color="auto"/>
        <w:bottom w:val="none" w:sz="0" w:space="0" w:color="auto"/>
        <w:right w:val="none" w:sz="0" w:space="0" w:color="auto"/>
      </w:divBdr>
    </w:div>
    <w:div w:id="746073570">
      <w:bodyDiv w:val="1"/>
      <w:marLeft w:val="0"/>
      <w:marRight w:val="0"/>
      <w:marTop w:val="0"/>
      <w:marBottom w:val="0"/>
      <w:divBdr>
        <w:top w:val="none" w:sz="0" w:space="0" w:color="auto"/>
        <w:left w:val="none" w:sz="0" w:space="0" w:color="auto"/>
        <w:bottom w:val="none" w:sz="0" w:space="0" w:color="auto"/>
        <w:right w:val="none" w:sz="0" w:space="0" w:color="auto"/>
      </w:divBdr>
    </w:div>
    <w:div w:id="752582369">
      <w:bodyDiv w:val="1"/>
      <w:marLeft w:val="0"/>
      <w:marRight w:val="0"/>
      <w:marTop w:val="0"/>
      <w:marBottom w:val="0"/>
      <w:divBdr>
        <w:top w:val="none" w:sz="0" w:space="0" w:color="auto"/>
        <w:left w:val="none" w:sz="0" w:space="0" w:color="auto"/>
        <w:bottom w:val="none" w:sz="0" w:space="0" w:color="auto"/>
        <w:right w:val="none" w:sz="0" w:space="0" w:color="auto"/>
      </w:divBdr>
    </w:div>
    <w:div w:id="783502957">
      <w:bodyDiv w:val="1"/>
      <w:marLeft w:val="0"/>
      <w:marRight w:val="0"/>
      <w:marTop w:val="0"/>
      <w:marBottom w:val="0"/>
      <w:divBdr>
        <w:top w:val="none" w:sz="0" w:space="0" w:color="auto"/>
        <w:left w:val="none" w:sz="0" w:space="0" w:color="auto"/>
        <w:bottom w:val="none" w:sz="0" w:space="0" w:color="auto"/>
        <w:right w:val="none" w:sz="0" w:space="0" w:color="auto"/>
      </w:divBdr>
    </w:div>
    <w:div w:id="787234298">
      <w:bodyDiv w:val="1"/>
      <w:marLeft w:val="0"/>
      <w:marRight w:val="0"/>
      <w:marTop w:val="0"/>
      <w:marBottom w:val="0"/>
      <w:divBdr>
        <w:top w:val="none" w:sz="0" w:space="0" w:color="auto"/>
        <w:left w:val="none" w:sz="0" w:space="0" w:color="auto"/>
        <w:bottom w:val="none" w:sz="0" w:space="0" w:color="auto"/>
        <w:right w:val="none" w:sz="0" w:space="0" w:color="auto"/>
      </w:divBdr>
    </w:div>
    <w:div w:id="796073338">
      <w:bodyDiv w:val="1"/>
      <w:marLeft w:val="0"/>
      <w:marRight w:val="0"/>
      <w:marTop w:val="0"/>
      <w:marBottom w:val="0"/>
      <w:divBdr>
        <w:top w:val="none" w:sz="0" w:space="0" w:color="auto"/>
        <w:left w:val="none" w:sz="0" w:space="0" w:color="auto"/>
        <w:bottom w:val="none" w:sz="0" w:space="0" w:color="auto"/>
        <w:right w:val="none" w:sz="0" w:space="0" w:color="auto"/>
      </w:divBdr>
    </w:div>
    <w:div w:id="805512566">
      <w:bodyDiv w:val="1"/>
      <w:marLeft w:val="0"/>
      <w:marRight w:val="0"/>
      <w:marTop w:val="0"/>
      <w:marBottom w:val="0"/>
      <w:divBdr>
        <w:top w:val="none" w:sz="0" w:space="0" w:color="auto"/>
        <w:left w:val="none" w:sz="0" w:space="0" w:color="auto"/>
        <w:bottom w:val="none" w:sz="0" w:space="0" w:color="auto"/>
        <w:right w:val="none" w:sz="0" w:space="0" w:color="auto"/>
      </w:divBdr>
    </w:div>
    <w:div w:id="814760864">
      <w:bodyDiv w:val="1"/>
      <w:marLeft w:val="0"/>
      <w:marRight w:val="0"/>
      <w:marTop w:val="0"/>
      <w:marBottom w:val="0"/>
      <w:divBdr>
        <w:top w:val="none" w:sz="0" w:space="0" w:color="auto"/>
        <w:left w:val="none" w:sz="0" w:space="0" w:color="auto"/>
        <w:bottom w:val="none" w:sz="0" w:space="0" w:color="auto"/>
        <w:right w:val="none" w:sz="0" w:space="0" w:color="auto"/>
      </w:divBdr>
    </w:div>
    <w:div w:id="816386038">
      <w:bodyDiv w:val="1"/>
      <w:marLeft w:val="0"/>
      <w:marRight w:val="0"/>
      <w:marTop w:val="0"/>
      <w:marBottom w:val="0"/>
      <w:divBdr>
        <w:top w:val="none" w:sz="0" w:space="0" w:color="auto"/>
        <w:left w:val="none" w:sz="0" w:space="0" w:color="auto"/>
        <w:bottom w:val="none" w:sz="0" w:space="0" w:color="auto"/>
        <w:right w:val="none" w:sz="0" w:space="0" w:color="auto"/>
      </w:divBdr>
    </w:div>
    <w:div w:id="823201964">
      <w:bodyDiv w:val="1"/>
      <w:marLeft w:val="0"/>
      <w:marRight w:val="0"/>
      <w:marTop w:val="0"/>
      <w:marBottom w:val="0"/>
      <w:divBdr>
        <w:top w:val="none" w:sz="0" w:space="0" w:color="auto"/>
        <w:left w:val="none" w:sz="0" w:space="0" w:color="auto"/>
        <w:bottom w:val="none" w:sz="0" w:space="0" w:color="auto"/>
        <w:right w:val="none" w:sz="0" w:space="0" w:color="auto"/>
      </w:divBdr>
    </w:div>
    <w:div w:id="847408967">
      <w:bodyDiv w:val="1"/>
      <w:marLeft w:val="0"/>
      <w:marRight w:val="0"/>
      <w:marTop w:val="0"/>
      <w:marBottom w:val="0"/>
      <w:divBdr>
        <w:top w:val="none" w:sz="0" w:space="0" w:color="auto"/>
        <w:left w:val="none" w:sz="0" w:space="0" w:color="auto"/>
        <w:bottom w:val="none" w:sz="0" w:space="0" w:color="auto"/>
        <w:right w:val="none" w:sz="0" w:space="0" w:color="auto"/>
      </w:divBdr>
    </w:div>
    <w:div w:id="855583137">
      <w:bodyDiv w:val="1"/>
      <w:marLeft w:val="0"/>
      <w:marRight w:val="0"/>
      <w:marTop w:val="0"/>
      <w:marBottom w:val="0"/>
      <w:divBdr>
        <w:top w:val="none" w:sz="0" w:space="0" w:color="auto"/>
        <w:left w:val="none" w:sz="0" w:space="0" w:color="auto"/>
        <w:bottom w:val="none" w:sz="0" w:space="0" w:color="auto"/>
        <w:right w:val="none" w:sz="0" w:space="0" w:color="auto"/>
      </w:divBdr>
    </w:div>
    <w:div w:id="864559518">
      <w:bodyDiv w:val="1"/>
      <w:marLeft w:val="0"/>
      <w:marRight w:val="0"/>
      <w:marTop w:val="0"/>
      <w:marBottom w:val="0"/>
      <w:divBdr>
        <w:top w:val="none" w:sz="0" w:space="0" w:color="auto"/>
        <w:left w:val="none" w:sz="0" w:space="0" w:color="auto"/>
        <w:bottom w:val="none" w:sz="0" w:space="0" w:color="auto"/>
        <w:right w:val="none" w:sz="0" w:space="0" w:color="auto"/>
      </w:divBdr>
    </w:div>
    <w:div w:id="869074108">
      <w:bodyDiv w:val="1"/>
      <w:marLeft w:val="0"/>
      <w:marRight w:val="0"/>
      <w:marTop w:val="0"/>
      <w:marBottom w:val="0"/>
      <w:divBdr>
        <w:top w:val="none" w:sz="0" w:space="0" w:color="auto"/>
        <w:left w:val="none" w:sz="0" w:space="0" w:color="auto"/>
        <w:bottom w:val="none" w:sz="0" w:space="0" w:color="auto"/>
        <w:right w:val="none" w:sz="0" w:space="0" w:color="auto"/>
      </w:divBdr>
    </w:div>
    <w:div w:id="870268769">
      <w:bodyDiv w:val="1"/>
      <w:marLeft w:val="0"/>
      <w:marRight w:val="0"/>
      <w:marTop w:val="0"/>
      <w:marBottom w:val="0"/>
      <w:divBdr>
        <w:top w:val="none" w:sz="0" w:space="0" w:color="auto"/>
        <w:left w:val="none" w:sz="0" w:space="0" w:color="auto"/>
        <w:bottom w:val="none" w:sz="0" w:space="0" w:color="auto"/>
        <w:right w:val="none" w:sz="0" w:space="0" w:color="auto"/>
      </w:divBdr>
    </w:div>
    <w:div w:id="880215734">
      <w:bodyDiv w:val="1"/>
      <w:marLeft w:val="0"/>
      <w:marRight w:val="0"/>
      <w:marTop w:val="0"/>
      <w:marBottom w:val="0"/>
      <w:divBdr>
        <w:top w:val="none" w:sz="0" w:space="0" w:color="auto"/>
        <w:left w:val="none" w:sz="0" w:space="0" w:color="auto"/>
        <w:bottom w:val="none" w:sz="0" w:space="0" w:color="auto"/>
        <w:right w:val="none" w:sz="0" w:space="0" w:color="auto"/>
      </w:divBdr>
    </w:div>
    <w:div w:id="904341814">
      <w:bodyDiv w:val="1"/>
      <w:marLeft w:val="0"/>
      <w:marRight w:val="0"/>
      <w:marTop w:val="0"/>
      <w:marBottom w:val="0"/>
      <w:divBdr>
        <w:top w:val="none" w:sz="0" w:space="0" w:color="auto"/>
        <w:left w:val="none" w:sz="0" w:space="0" w:color="auto"/>
        <w:bottom w:val="none" w:sz="0" w:space="0" w:color="auto"/>
        <w:right w:val="none" w:sz="0" w:space="0" w:color="auto"/>
      </w:divBdr>
    </w:div>
    <w:div w:id="907808636">
      <w:bodyDiv w:val="1"/>
      <w:marLeft w:val="0"/>
      <w:marRight w:val="0"/>
      <w:marTop w:val="0"/>
      <w:marBottom w:val="0"/>
      <w:divBdr>
        <w:top w:val="none" w:sz="0" w:space="0" w:color="auto"/>
        <w:left w:val="none" w:sz="0" w:space="0" w:color="auto"/>
        <w:bottom w:val="none" w:sz="0" w:space="0" w:color="auto"/>
        <w:right w:val="none" w:sz="0" w:space="0" w:color="auto"/>
      </w:divBdr>
    </w:div>
    <w:div w:id="908614817">
      <w:bodyDiv w:val="1"/>
      <w:marLeft w:val="0"/>
      <w:marRight w:val="0"/>
      <w:marTop w:val="0"/>
      <w:marBottom w:val="0"/>
      <w:divBdr>
        <w:top w:val="none" w:sz="0" w:space="0" w:color="auto"/>
        <w:left w:val="none" w:sz="0" w:space="0" w:color="auto"/>
        <w:bottom w:val="none" w:sz="0" w:space="0" w:color="auto"/>
        <w:right w:val="none" w:sz="0" w:space="0" w:color="auto"/>
      </w:divBdr>
    </w:div>
    <w:div w:id="913009456">
      <w:bodyDiv w:val="1"/>
      <w:marLeft w:val="0"/>
      <w:marRight w:val="0"/>
      <w:marTop w:val="0"/>
      <w:marBottom w:val="0"/>
      <w:divBdr>
        <w:top w:val="none" w:sz="0" w:space="0" w:color="auto"/>
        <w:left w:val="none" w:sz="0" w:space="0" w:color="auto"/>
        <w:bottom w:val="none" w:sz="0" w:space="0" w:color="auto"/>
        <w:right w:val="none" w:sz="0" w:space="0" w:color="auto"/>
      </w:divBdr>
    </w:div>
    <w:div w:id="913859326">
      <w:bodyDiv w:val="1"/>
      <w:marLeft w:val="0"/>
      <w:marRight w:val="0"/>
      <w:marTop w:val="0"/>
      <w:marBottom w:val="0"/>
      <w:divBdr>
        <w:top w:val="none" w:sz="0" w:space="0" w:color="auto"/>
        <w:left w:val="none" w:sz="0" w:space="0" w:color="auto"/>
        <w:bottom w:val="none" w:sz="0" w:space="0" w:color="auto"/>
        <w:right w:val="none" w:sz="0" w:space="0" w:color="auto"/>
      </w:divBdr>
    </w:div>
    <w:div w:id="924221311">
      <w:bodyDiv w:val="1"/>
      <w:marLeft w:val="0"/>
      <w:marRight w:val="0"/>
      <w:marTop w:val="0"/>
      <w:marBottom w:val="0"/>
      <w:divBdr>
        <w:top w:val="none" w:sz="0" w:space="0" w:color="auto"/>
        <w:left w:val="none" w:sz="0" w:space="0" w:color="auto"/>
        <w:bottom w:val="none" w:sz="0" w:space="0" w:color="auto"/>
        <w:right w:val="none" w:sz="0" w:space="0" w:color="auto"/>
      </w:divBdr>
    </w:div>
    <w:div w:id="931283522">
      <w:bodyDiv w:val="1"/>
      <w:marLeft w:val="0"/>
      <w:marRight w:val="0"/>
      <w:marTop w:val="0"/>
      <w:marBottom w:val="0"/>
      <w:divBdr>
        <w:top w:val="none" w:sz="0" w:space="0" w:color="auto"/>
        <w:left w:val="none" w:sz="0" w:space="0" w:color="auto"/>
        <w:bottom w:val="none" w:sz="0" w:space="0" w:color="auto"/>
        <w:right w:val="none" w:sz="0" w:space="0" w:color="auto"/>
      </w:divBdr>
    </w:div>
    <w:div w:id="936524987">
      <w:bodyDiv w:val="1"/>
      <w:marLeft w:val="0"/>
      <w:marRight w:val="0"/>
      <w:marTop w:val="0"/>
      <w:marBottom w:val="0"/>
      <w:divBdr>
        <w:top w:val="none" w:sz="0" w:space="0" w:color="auto"/>
        <w:left w:val="none" w:sz="0" w:space="0" w:color="auto"/>
        <w:bottom w:val="none" w:sz="0" w:space="0" w:color="auto"/>
        <w:right w:val="none" w:sz="0" w:space="0" w:color="auto"/>
      </w:divBdr>
    </w:div>
    <w:div w:id="941496345">
      <w:bodyDiv w:val="1"/>
      <w:marLeft w:val="0"/>
      <w:marRight w:val="0"/>
      <w:marTop w:val="0"/>
      <w:marBottom w:val="0"/>
      <w:divBdr>
        <w:top w:val="none" w:sz="0" w:space="0" w:color="auto"/>
        <w:left w:val="none" w:sz="0" w:space="0" w:color="auto"/>
        <w:bottom w:val="none" w:sz="0" w:space="0" w:color="auto"/>
        <w:right w:val="none" w:sz="0" w:space="0" w:color="auto"/>
      </w:divBdr>
    </w:div>
    <w:div w:id="948272779">
      <w:bodyDiv w:val="1"/>
      <w:marLeft w:val="0"/>
      <w:marRight w:val="0"/>
      <w:marTop w:val="0"/>
      <w:marBottom w:val="0"/>
      <w:divBdr>
        <w:top w:val="none" w:sz="0" w:space="0" w:color="auto"/>
        <w:left w:val="none" w:sz="0" w:space="0" w:color="auto"/>
        <w:bottom w:val="none" w:sz="0" w:space="0" w:color="auto"/>
        <w:right w:val="none" w:sz="0" w:space="0" w:color="auto"/>
      </w:divBdr>
    </w:div>
    <w:div w:id="961695357">
      <w:bodyDiv w:val="1"/>
      <w:marLeft w:val="0"/>
      <w:marRight w:val="0"/>
      <w:marTop w:val="0"/>
      <w:marBottom w:val="0"/>
      <w:divBdr>
        <w:top w:val="none" w:sz="0" w:space="0" w:color="auto"/>
        <w:left w:val="none" w:sz="0" w:space="0" w:color="auto"/>
        <w:bottom w:val="none" w:sz="0" w:space="0" w:color="auto"/>
        <w:right w:val="none" w:sz="0" w:space="0" w:color="auto"/>
      </w:divBdr>
    </w:div>
    <w:div w:id="977149647">
      <w:bodyDiv w:val="1"/>
      <w:marLeft w:val="0"/>
      <w:marRight w:val="0"/>
      <w:marTop w:val="0"/>
      <w:marBottom w:val="0"/>
      <w:divBdr>
        <w:top w:val="none" w:sz="0" w:space="0" w:color="auto"/>
        <w:left w:val="none" w:sz="0" w:space="0" w:color="auto"/>
        <w:bottom w:val="none" w:sz="0" w:space="0" w:color="auto"/>
        <w:right w:val="none" w:sz="0" w:space="0" w:color="auto"/>
      </w:divBdr>
    </w:div>
    <w:div w:id="990209286">
      <w:bodyDiv w:val="1"/>
      <w:marLeft w:val="0"/>
      <w:marRight w:val="0"/>
      <w:marTop w:val="0"/>
      <w:marBottom w:val="0"/>
      <w:divBdr>
        <w:top w:val="none" w:sz="0" w:space="0" w:color="auto"/>
        <w:left w:val="none" w:sz="0" w:space="0" w:color="auto"/>
        <w:bottom w:val="none" w:sz="0" w:space="0" w:color="auto"/>
        <w:right w:val="none" w:sz="0" w:space="0" w:color="auto"/>
      </w:divBdr>
    </w:div>
    <w:div w:id="991057430">
      <w:bodyDiv w:val="1"/>
      <w:marLeft w:val="0"/>
      <w:marRight w:val="0"/>
      <w:marTop w:val="0"/>
      <w:marBottom w:val="0"/>
      <w:divBdr>
        <w:top w:val="none" w:sz="0" w:space="0" w:color="auto"/>
        <w:left w:val="none" w:sz="0" w:space="0" w:color="auto"/>
        <w:bottom w:val="none" w:sz="0" w:space="0" w:color="auto"/>
        <w:right w:val="none" w:sz="0" w:space="0" w:color="auto"/>
      </w:divBdr>
    </w:div>
    <w:div w:id="991756689">
      <w:bodyDiv w:val="1"/>
      <w:marLeft w:val="0"/>
      <w:marRight w:val="0"/>
      <w:marTop w:val="0"/>
      <w:marBottom w:val="0"/>
      <w:divBdr>
        <w:top w:val="none" w:sz="0" w:space="0" w:color="auto"/>
        <w:left w:val="none" w:sz="0" w:space="0" w:color="auto"/>
        <w:bottom w:val="none" w:sz="0" w:space="0" w:color="auto"/>
        <w:right w:val="none" w:sz="0" w:space="0" w:color="auto"/>
      </w:divBdr>
    </w:div>
    <w:div w:id="1004238302">
      <w:bodyDiv w:val="1"/>
      <w:marLeft w:val="0"/>
      <w:marRight w:val="0"/>
      <w:marTop w:val="0"/>
      <w:marBottom w:val="0"/>
      <w:divBdr>
        <w:top w:val="none" w:sz="0" w:space="0" w:color="auto"/>
        <w:left w:val="none" w:sz="0" w:space="0" w:color="auto"/>
        <w:bottom w:val="none" w:sz="0" w:space="0" w:color="auto"/>
        <w:right w:val="none" w:sz="0" w:space="0" w:color="auto"/>
      </w:divBdr>
    </w:div>
    <w:div w:id="1004433933">
      <w:bodyDiv w:val="1"/>
      <w:marLeft w:val="0"/>
      <w:marRight w:val="0"/>
      <w:marTop w:val="0"/>
      <w:marBottom w:val="0"/>
      <w:divBdr>
        <w:top w:val="none" w:sz="0" w:space="0" w:color="auto"/>
        <w:left w:val="none" w:sz="0" w:space="0" w:color="auto"/>
        <w:bottom w:val="none" w:sz="0" w:space="0" w:color="auto"/>
        <w:right w:val="none" w:sz="0" w:space="0" w:color="auto"/>
      </w:divBdr>
    </w:div>
    <w:div w:id="1006982251">
      <w:bodyDiv w:val="1"/>
      <w:marLeft w:val="0"/>
      <w:marRight w:val="0"/>
      <w:marTop w:val="0"/>
      <w:marBottom w:val="0"/>
      <w:divBdr>
        <w:top w:val="none" w:sz="0" w:space="0" w:color="auto"/>
        <w:left w:val="none" w:sz="0" w:space="0" w:color="auto"/>
        <w:bottom w:val="none" w:sz="0" w:space="0" w:color="auto"/>
        <w:right w:val="none" w:sz="0" w:space="0" w:color="auto"/>
      </w:divBdr>
    </w:div>
    <w:div w:id="1015957378">
      <w:bodyDiv w:val="1"/>
      <w:marLeft w:val="0"/>
      <w:marRight w:val="0"/>
      <w:marTop w:val="0"/>
      <w:marBottom w:val="0"/>
      <w:divBdr>
        <w:top w:val="none" w:sz="0" w:space="0" w:color="auto"/>
        <w:left w:val="none" w:sz="0" w:space="0" w:color="auto"/>
        <w:bottom w:val="none" w:sz="0" w:space="0" w:color="auto"/>
        <w:right w:val="none" w:sz="0" w:space="0" w:color="auto"/>
      </w:divBdr>
    </w:div>
    <w:div w:id="1017577486">
      <w:bodyDiv w:val="1"/>
      <w:marLeft w:val="0"/>
      <w:marRight w:val="0"/>
      <w:marTop w:val="0"/>
      <w:marBottom w:val="0"/>
      <w:divBdr>
        <w:top w:val="none" w:sz="0" w:space="0" w:color="auto"/>
        <w:left w:val="none" w:sz="0" w:space="0" w:color="auto"/>
        <w:bottom w:val="none" w:sz="0" w:space="0" w:color="auto"/>
        <w:right w:val="none" w:sz="0" w:space="0" w:color="auto"/>
      </w:divBdr>
    </w:div>
    <w:div w:id="1021475423">
      <w:bodyDiv w:val="1"/>
      <w:marLeft w:val="0"/>
      <w:marRight w:val="0"/>
      <w:marTop w:val="0"/>
      <w:marBottom w:val="0"/>
      <w:divBdr>
        <w:top w:val="none" w:sz="0" w:space="0" w:color="auto"/>
        <w:left w:val="none" w:sz="0" w:space="0" w:color="auto"/>
        <w:bottom w:val="none" w:sz="0" w:space="0" w:color="auto"/>
        <w:right w:val="none" w:sz="0" w:space="0" w:color="auto"/>
      </w:divBdr>
    </w:div>
    <w:div w:id="1032464194">
      <w:bodyDiv w:val="1"/>
      <w:marLeft w:val="0"/>
      <w:marRight w:val="0"/>
      <w:marTop w:val="0"/>
      <w:marBottom w:val="0"/>
      <w:divBdr>
        <w:top w:val="none" w:sz="0" w:space="0" w:color="auto"/>
        <w:left w:val="none" w:sz="0" w:space="0" w:color="auto"/>
        <w:bottom w:val="none" w:sz="0" w:space="0" w:color="auto"/>
        <w:right w:val="none" w:sz="0" w:space="0" w:color="auto"/>
      </w:divBdr>
    </w:div>
    <w:div w:id="1036858427">
      <w:bodyDiv w:val="1"/>
      <w:marLeft w:val="0"/>
      <w:marRight w:val="0"/>
      <w:marTop w:val="0"/>
      <w:marBottom w:val="0"/>
      <w:divBdr>
        <w:top w:val="none" w:sz="0" w:space="0" w:color="auto"/>
        <w:left w:val="none" w:sz="0" w:space="0" w:color="auto"/>
        <w:bottom w:val="none" w:sz="0" w:space="0" w:color="auto"/>
        <w:right w:val="none" w:sz="0" w:space="0" w:color="auto"/>
      </w:divBdr>
    </w:div>
    <w:div w:id="1045258496">
      <w:bodyDiv w:val="1"/>
      <w:marLeft w:val="0"/>
      <w:marRight w:val="0"/>
      <w:marTop w:val="0"/>
      <w:marBottom w:val="0"/>
      <w:divBdr>
        <w:top w:val="none" w:sz="0" w:space="0" w:color="auto"/>
        <w:left w:val="none" w:sz="0" w:space="0" w:color="auto"/>
        <w:bottom w:val="none" w:sz="0" w:space="0" w:color="auto"/>
        <w:right w:val="none" w:sz="0" w:space="0" w:color="auto"/>
      </w:divBdr>
    </w:div>
    <w:div w:id="1060323170">
      <w:bodyDiv w:val="1"/>
      <w:marLeft w:val="0"/>
      <w:marRight w:val="0"/>
      <w:marTop w:val="0"/>
      <w:marBottom w:val="0"/>
      <w:divBdr>
        <w:top w:val="none" w:sz="0" w:space="0" w:color="auto"/>
        <w:left w:val="none" w:sz="0" w:space="0" w:color="auto"/>
        <w:bottom w:val="none" w:sz="0" w:space="0" w:color="auto"/>
        <w:right w:val="none" w:sz="0" w:space="0" w:color="auto"/>
      </w:divBdr>
    </w:div>
    <w:div w:id="1068193099">
      <w:bodyDiv w:val="1"/>
      <w:marLeft w:val="0"/>
      <w:marRight w:val="0"/>
      <w:marTop w:val="0"/>
      <w:marBottom w:val="0"/>
      <w:divBdr>
        <w:top w:val="none" w:sz="0" w:space="0" w:color="auto"/>
        <w:left w:val="none" w:sz="0" w:space="0" w:color="auto"/>
        <w:bottom w:val="none" w:sz="0" w:space="0" w:color="auto"/>
        <w:right w:val="none" w:sz="0" w:space="0" w:color="auto"/>
      </w:divBdr>
    </w:div>
    <w:div w:id="1068579282">
      <w:bodyDiv w:val="1"/>
      <w:marLeft w:val="0"/>
      <w:marRight w:val="0"/>
      <w:marTop w:val="0"/>
      <w:marBottom w:val="0"/>
      <w:divBdr>
        <w:top w:val="none" w:sz="0" w:space="0" w:color="auto"/>
        <w:left w:val="none" w:sz="0" w:space="0" w:color="auto"/>
        <w:bottom w:val="none" w:sz="0" w:space="0" w:color="auto"/>
        <w:right w:val="none" w:sz="0" w:space="0" w:color="auto"/>
      </w:divBdr>
    </w:div>
    <w:div w:id="1074359018">
      <w:bodyDiv w:val="1"/>
      <w:marLeft w:val="0"/>
      <w:marRight w:val="0"/>
      <w:marTop w:val="0"/>
      <w:marBottom w:val="0"/>
      <w:divBdr>
        <w:top w:val="none" w:sz="0" w:space="0" w:color="auto"/>
        <w:left w:val="none" w:sz="0" w:space="0" w:color="auto"/>
        <w:bottom w:val="none" w:sz="0" w:space="0" w:color="auto"/>
        <w:right w:val="none" w:sz="0" w:space="0" w:color="auto"/>
      </w:divBdr>
    </w:div>
    <w:div w:id="1079593520">
      <w:bodyDiv w:val="1"/>
      <w:marLeft w:val="0"/>
      <w:marRight w:val="0"/>
      <w:marTop w:val="0"/>
      <w:marBottom w:val="0"/>
      <w:divBdr>
        <w:top w:val="none" w:sz="0" w:space="0" w:color="auto"/>
        <w:left w:val="none" w:sz="0" w:space="0" w:color="auto"/>
        <w:bottom w:val="none" w:sz="0" w:space="0" w:color="auto"/>
        <w:right w:val="none" w:sz="0" w:space="0" w:color="auto"/>
      </w:divBdr>
    </w:div>
    <w:div w:id="1079904041">
      <w:bodyDiv w:val="1"/>
      <w:marLeft w:val="0"/>
      <w:marRight w:val="0"/>
      <w:marTop w:val="0"/>
      <w:marBottom w:val="0"/>
      <w:divBdr>
        <w:top w:val="none" w:sz="0" w:space="0" w:color="auto"/>
        <w:left w:val="none" w:sz="0" w:space="0" w:color="auto"/>
        <w:bottom w:val="none" w:sz="0" w:space="0" w:color="auto"/>
        <w:right w:val="none" w:sz="0" w:space="0" w:color="auto"/>
      </w:divBdr>
    </w:div>
    <w:div w:id="1081950094">
      <w:bodyDiv w:val="1"/>
      <w:marLeft w:val="0"/>
      <w:marRight w:val="0"/>
      <w:marTop w:val="0"/>
      <w:marBottom w:val="0"/>
      <w:divBdr>
        <w:top w:val="none" w:sz="0" w:space="0" w:color="auto"/>
        <w:left w:val="none" w:sz="0" w:space="0" w:color="auto"/>
        <w:bottom w:val="none" w:sz="0" w:space="0" w:color="auto"/>
        <w:right w:val="none" w:sz="0" w:space="0" w:color="auto"/>
      </w:divBdr>
    </w:div>
    <w:div w:id="1083182292">
      <w:bodyDiv w:val="1"/>
      <w:marLeft w:val="0"/>
      <w:marRight w:val="0"/>
      <w:marTop w:val="0"/>
      <w:marBottom w:val="0"/>
      <w:divBdr>
        <w:top w:val="none" w:sz="0" w:space="0" w:color="auto"/>
        <w:left w:val="none" w:sz="0" w:space="0" w:color="auto"/>
        <w:bottom w:val="none" w:sz="0" w:space="0" w:color="auto"/>
        <w:right w:val="none" w:sz="0" w:space="0" w:color="auto"/>
      </w:divBdr>
    </w:div>
    <w:div w:id="1087111337">
      <w:bodyDiv w:val="1"/>
      <w:marLeft w:val="0"/>
      <w:marRight w:val="0"/>
      <w:marTop w:val="0"/>
      <w:marBottom w:val="0"/>
      <w:divBdr>
        <w:top w:val="none" w:sz="0" w:space="0" w:color="auto"/>
        <w:left w:val="none" w:sz="0" w:space="0" w:color="auto"/>
        <w:bottom w:val="none" w:sz="0" w:space="0" w:color="auto"/>
        <w:right w:val="none" w:sz="0" w:space="0" w:color="auto"/>
      </w:divBdr>
    </w:div>
    <w:div w:id="1094593800">
      <w:bodyDiv w:val="1"/>
      <w:marLeft w:val="0"/>
      <w:marRight w:val="0"/>
      <w:marTop w:val="0"/>
      <w:marBottom w:val="0"/>
      <w:divBdr>
        <w:top w:val="none" w:sz="0" w:space="0" w:color="auto"/>
        <w:left w:val="none" w:sz="0" w:space="0" w:color="auto"/>
        <w:bottom w:val="none" w:sz="0" w:space="0" w:color="auto"/>
        <w:right w:val="none" w:sz="0" w:space="0" w:color="auto"/>
      </w:divBdr>
    </w:div>
    <w:div w:id="1098058724">
      <w:bodyDiv w:val="1"/>
      <w:marLeft w:val="0"/>
      <w:marRight w:val="0"/>
      <w:marTop w:val="0"/>
      <w:marBottom w:val="0"/>
      <w:divBdr>
        <w:top w:val="none" w:sz="0" w:space="0" w:color="auto"/>
        <w:left w:val="none" w:sz="0" w:space="0" w:color="auto"/>
        <w:bottom w:val="none" w:sz="0" w:space="0" w:color="auto"/>
        <w:right w:val="none" w:sz="0" w:space="0" w:color="auto"/>
      </w:divBdr>
    </w:div>
    <w:div w:id="1108623656">
      <w:bodyDiv w:val="1"/>
      <w:marLeft w:val="0"/>
      <w:marRight w:val="0"/>
      <w:marTop w:val="0"/>
      <w:marBottom w:val="0"/>
      <w:divBdr>
        <w:top w:val="none" w:sz="0" w:space="0" w:color="auto"/>
        <w:left w:val="none" w:sz="0" w:space="0" w:color="auto"/>
        <w:bottom w:val="none" w:sz="0" w:space="0" w:color="auto"/>
        <w:right w:val="none" w:sz="0" w:space="0" w:color="auto"/>
      </w:divBdr>
    </w:div>
    <w:div w:id="1115755183">
      <w:bodyDiv w:val="1"/>
      <w:marLeft w:val="0"/>
      <w:marRight w:val="0"/>
      <w:marTop w:val="0"/>
      <w:marBottom w:val="0"/>
      <w:divBdr>
        <w:top w:val="none" w:sz="0" w:space="0" w:color="auto"/>
        <w:left w:val="none" w:sz="0" w:space="0" w:color="auto"/>
        <w:bottom w:val="none" w:sz="0" w:space="0" w:color="auto"/>
        <w:right w:val="none" w:sz="0" w:space="0" w:color="auto"/>
      </w:divBdr>
    </w:div>
    <w:div w:id="1118446331">
      <w:bodyDiv w:val="1"/>
      <w:marLeft w:val="0"/>
      <w:marRight w:val="0"/>
      <w:marTop w:val="0"/>
      <w:marBottom w:val="0"/>
      <w:divBdr>
        <w:top w:val="none" w:sz="0" w:space="0" w:color="auto"/>
        <w:left w:val="none" w:sz="0" w:space="0" w:color="auto"/>
        <w:bottom w:val="none" w:sz="0" w:space="0" w:color="auto"/>
        <w:right w:val="none" w:sz="0" w:space="0" w:color="auto"/>
      </w:divBdr>
    </w:div>
    <w:div w:id="1119295697">
      <w:bodyDiv w:val="1"/>
      <w:marLeft w:val="0"/>
      <w:marRight w:val="0"/>
      <w:marTop w:val="0"/>
      <w:marBottom w:val="0"/>
      <w:divBdr>
        <w:top w:val="none" w:sz="0" w:space="0" w:color="auto"/>
        <w:left w:val="none" w:sz="0" w:space="0" w:color="auto"/>
        <w:bottom w:val="none" w:sz="0" w:space="0" w:color="auto"/>
        <w:right w:val="none" w:sz="0" w:space="0" w:color="auto"/>
      </w:divBdr>
    </w:div>
    <w:div w:id="1133599619">
      <w:bodyDiv w:val="1"/>
      <w:marLeft w:val="0"/>
      <w:marRight w:val="0"/>
      <w:marTop w:val="0"/>
      <w:marBottom w:val="0"/>
      <w:divBdr>
        <w:top w:val="none" w:sz="0" w:space="0" w:color="auto"/>
        <w:left w:val="none" w:sz="0" w:space="0" w:color="auto"/>
        <w:bottom w:val="none" w:sz="0" w:space="0" w:color="auto"/>
        <w:right w:val="none" w:sz="0" w:space="0" w:color="auto"/>
      </w:divBdr>
    </w:div>
    <w:div w:id="1134635632">
      <w:bodyDiv w:val="1"/>
      <w:marLeft w:val="0"/>
      <w:marRight w:val="0"/>
      <w:marTop w:val="0"/>
      <w:marBottom w:val="0"/>
      <w:divBdr>
        <w:top w:val="none" w:sz="0" w:space="0" w:color="auto"/>
        <w:left w:val="none" w:sz="0" w:space="0" w:color="auto"/>
        <w:bottom w:val="none" w:sz="0" w:space="0" w:color="auto"/>
        <w:right w:val="none" w:sz="0" w:space="0" w:color="auto"/>
      </w:divBdr>
    </w:div>
    <w:div w:id="1144279959">
      <w:bodyDiv w:val="1"/>
      <w:marLeft w:val="0"/>
      <w:marRight w:val="0"/>
      <w:marTop w:val="0"/>
      <w:marBottom w:val="0"/>
      <w:divBdr>
        <w:top w:val="none" w:sz="0" w:space="0" w:color="auto"/>
        <w:left w:val="none" w:sz="0" w:space="0" w:color="auto"/>
        <w:bottom w:val="none" w:sz="0" w:space="0" w:color="auto"/>
        <w:right w:val="none" w:sz="0" w:space="0" w:color="auto"/>
      </w:divBdr>
    </w:div>
    <w:div w:id="1174495124">
      <w:bodyDiv w:val="1"/>
      <w:marLeft w:val="0"/>
      <w:marRight w:val="0"/>
      <w:marTop w:val="0"/>
      <w:marBottom w:val="0"/>
      <w:divBdr>
        <w:top w:val="none" w:sz="0" w:space="0" w:color="auto"/>
        <w:left w:val="none" w:sz="0" w:space="0" w:color="auto"/>
        <w:bottom w:val="none" w:sz="0" w:space="0" w:color="auto"/>
        <w:right w:val="none" w:sz="0" w:space="0" w:color="auto"/>
      </w:divBdr>
    </w:div>
    <w:div w:id="1176653965">
      <w:bodyDiv w:val="1"/>
      <w:marLeft w:val="0"/>
      <w:marRight w:val="0"/>
      <w:marTop w:val="0"/>
      <w:marBottom w:val="0"/>
      <w:divBdr>
        <w:top w:val="none" w:sz="0" w:space="0" w:color="auto"/>
        <w:left w:val="none" w:sz="0" w:space="0" w:color="auto"/>
        <w:bottom w:val="none" w:sz="0" w:space="0" w:color="auto"/>
        <w:right w:val="none" w:sz="0" w:space="0" w:color="auto"/>
      </w:divBdr>
    </w:div>
    <w:div w:id="1179853181">
      <w:bodyDiv w:val="1"/>
      <w:marLeft w:val="0"/>
      <w:marRight w:val="0"/>
      <w:marTop w:val="0"/>
      <w:marBottom w:val="0"/>
      <w:divBdr>
        <w:top w:val="none" w:sz="0" w:space="0" w:color="auto"/>
        <w:left w:val="none" w:sz="0" w:space="0" w:color="auto"/>
        <w:bottom w:val="none" w:sz="0" w:space="0" w:color="auto"/>
        <w:right w:val="none" w:sz="0" w:space="0" w:color="auto"/>
      </w:divBdr>
    </w:div>
    <w:div w:id="1187598949">
      <w:bodyDiv w:val="1"/>
      <w:marLeft w:val="0"/>
      <w:marRight w:val="0"/>
      <w:marTop w:val="0"/>
      <w:marBottom w:val="0"/>
      <w:divBdr>
        <w:top w:val="none" w:sz="0" w:space="0" w:color="auto"/>
        <w:left w:val="none" w:sz="0" w:space="0" w:color="auto"/>
        <w:bottom w:val="none" w:sz="0" w:space="0" w:color="auto"/>
        <w:right w:val="none" w:sz="0" w:space="0" w:color="auto"/>
      </w:divBdr>
    </w:div>
    <w:div w:id="1189174731">
      <w:bodyDiv w:val="1"/>
      <w:marLeft w:val="0"/>
      <w:marRight w:val="0"/>
      <w:marTop w:val="0"/>
      <w:marBottom w:val="0"/>
      <w:divBdr>
        <w:top w:val="none" w:sz="0" w:space="0" w:color="auto"/>
        <w:left w:val="none" w:sz="0" w:space="0" w:color="auto"/>
        <w:bottom w:val="none" w:sz="0" w:space="0" w:color="auto"/>
        <w:right w:val="none" w:sz="0" w:space="0" w:color="auto"/>
      </w:divBdr>
    </w:div>
    <w:div w:id="1206942684">
      <w:bodyDiv w:val="1"/>
      <w:marLeft w:val="0"/>
      <w:marRight w:val="0"/>
      <w:marTop w:val="0"/>
      <w:marBottom w:val="0"/>
      <w:divBdr>
        <w:top w:val="none" w:sz="0" w:space="0" w:color="auto"/>
        <w:left w:val="none" w:sz="0" w:space="0" w:color="auto"/>
        <w:bottom w:val="none" w:sz="0" w:space="0" w:color="auto"/>
        <w:right w:val="none" w:sz="0" w:space="0" w:color="auto"/>
      </w:divBdr>
    </w:div>
    <w:div w:id="1210385683">
      <w:bodyDiv w:val="1"/>
      <w:marLeft w:val="0"/>
      <w:marRight w:val="0"/>
      <w:marTop w:val="0"/>
      <w:marBottom w:val="0"/>
      <w:divBdr>
        <w:top w:val="none" w:sz="0" w:space="0" w:color="auto"/>
        <w:left w:val="none" w:sz="0" w:space="0" w:color="auto"/>
        <w:bottom w:val="none" w:sz="0" w:space="0" w:color="auto"/>
        <w:right w:val="none" w:sz="0" w:space="0" w:color="auto"/>
      </w:divBdr>
    </w:div>
    <w:div w:id="1212424295">
      <w:bodyDiv w:val="1"/>
      <w:marLeft w:val="0"/>
      <w:marRight w:val="0"/>
      <w:marTop w:val="0"/>
      <w:marBottom w:val="0"/>
      <w:divBdr>
        <w:top w:val="none" w:sz="0" w:space="0" w:color="auto"/>
        <w:left w:val="none" w:sz="0" w:space="0" w:color="auto"/>
        <w:bottom w:val="none" w:sz="0" w:space="0" w:color="auto"/>
        <w:right w:val="none" w:sz="0" w:space="0" w:color="auto"/>
      </w:divBdr>
    </w:div>
    <w:div w:id="1212886725">
      <w:bodyDiv w:val="1"/>
      <w:marLeft w:val="0"/>
      <w:marRight w:val="0"/>
      <w:marTop w:val="0"/>
      <w:marBottom w:val="0"/>
      <w:divBdr>
        <w:top w:val="none" w:sz="0" w:space="0" w:color="auto"/>
        <w:left w:val="none" w:sz="0" w:space="0" w:color="auto"/>
        <w:bottom w:val="none" w:sz="0" w:space="0" w:color="auto"/>
        <w:right w:val="none" w:sz="0" w:space="0" w:color="auto"/>
      </w:divBdr>
    </w:div>
    <w:div w:id="1221669963">
      <w:bodyDiv w:val="1"/>
      <w:marLeft w:val="0"/>
      <w:marRight w:val="0"/>
      <w:marTop w:val="0"/>
      <w:marBottom w:val="0"/>
      <w:divBdr>
        <w:top w:val="none" w:sz="0" w:space="0" w:color="auto"/>
        <w:left w:val="none" w:sz="0" w:space="0" w:color="auto"/>
        <w:bottom w:val="none" w:sz="0" w:space="0" w:color="auto"/>
        <w:right w:val="none" w:sz="0" w:space="0" w:color="auto"/>
      </w:divBdr>
    </w:div>
    <w:div w:id="1262059223">
      <w:bodyDiv w:val="1"/>
      <w:marLeft w:val="0"/>
      <w:marRight w:val="0"/>
      <w:marTop w:val="0"/>
      <w:marBottom w:val="0"/>
      <w:divBdr>
        <w:top w:val="none" w:sz="0" w:space="0" w:color="auto"/>
        <w:left w:val="none" w:sz="0" w:space="0" w:color="auto"/>
        <w:bottom w:val="none" w:sz="0" w:space="0" w:color="auto"/>
        <w:right w:val="none" w:sz="0" w:space="0" w:color="auto"/>
      </w:divBdr>
    </w:div>
    <w:div w:id="1263493844">
      <w:bodyDiv w:val="1"/>
      <w:marLeft w:val="0"/>
      <w:marRight w:val="0"/>
      <w:marTop w:val="0"/>
      <w:marBottom w:val="0"/>
      <w:divBdr>
        <w:top w:val="none" w:sz="0" w:space="0" w:color="auto"/>
        <w:left w:val="none" w:sz="0" w:space="0" w:color="auto"/>
        <w:bottom w:val="none" w:sz="0" w:space="0" w:color="auto"/>
        <w:right w:val="none" w:sz="0" w:space="0" w:color="auto"/>
      </w:divBdr>
    </w:div>
    <w:div w:id="1268659415">
      <w:bodyDiv w:val="1"/>
      <w:marLeft w:val="0"/>
      <w:marRight w:val="0"/>
      <w:marTop w:val="0"/>
      <w:marBottom w:val="0"/>
      <w:divBdr>
        <w:top w:val="none" w:sz="0" w:space="0" w:color="auto"/>
        <w:left w:val="none" w:sz="0" w:space="0" w:color="auto"/>
        <w:bottom w:val="none" w:sz="0" w:space="0" w:color="auto"/>
        <w:right w:val="none" w:sz="0" w:space="0" w:color="auto"/>
      </w:divBdr>
    </w:div>
    <w:div w:id="1278372454">
      <w:bodyDiv w:val="1"/>
      <w:marLeft w:val="0"/>
      <w:marRight w:val="0"/>
      <w:marTop w:val="0"/>
      <w:marBottom w:val="0"/>
      <w:divBdr>
        <w:top w:val="none" w:sz="0" w:space="0" w:color="auto"/>
        <w:left w:val="none" w:sz="0" w:space="0" w:color="auto"/>
        <w:bottom w:val="none" w:sz="0" w:space="0" w:color="auto"/>
        <w:right w:val="none" w:sz="0" w:space="0" w:color="auto"/>
      </w:divBdr>
    </w:div>
    <w:div w:id="1282346610">
      <w:bodyDiv w:val="1"/>
      <w:marLeft w:val="0"/>
      <w:marRight w:val="0"/>
      <w:marTop w:val="0"/>
      <w:marBottom w:val="0"/>
      <w:divBdr>
        <w:top w:val="none" w:sz="0" w:space="0" w:color="auto"/>
        <w:left w:val="none" w:sz="0" w:space="0" w:color="auto"/>
        <w:bottom w:val="none" w:sz="0" w:space="0" w:color="auto"/>
        <w:right w:val="none" w:sz="0" w:space="0" w:color="auto"/>
      </w:divBdr>
    </w:div>
    <w:div w:id="1284538044">
      <w:bodyDiv w:val="1"/>
      <w:marLeft w:val="0"/>
      <w:marRight w:val="0"/>
      <w:marTop w:val="0"/>
      <w:marBottom w:val="0"/>
      <w:divBdr>
        <w:top w:val="none" w:sz="0" w:space="0" w:color="auto"/>
        <w:left w:val="none" w:sz="0" w:space="0" w:color="auto"/>
        <w:bottom w:val="none" w:sz="0" w:space="0" w:color="auto"/>
        <w:right w:val="none" w:sz="0" w:space="0" w:color="auto"/>
      </w:divBdr>
    </w:div>
    <w:div w:id="1296374490">
      <w:bodyDiv w:val="1"/>
      <w:marLeft w:val="0"/>
      <w:marRight w:val="0"/>
      <w:marTop w:val="0"/>
      <w:marBottom w:val="0"/>
      <w:divBdr>
        <w:top w:val="none" w:sz="0" w:space="0" w:color="auto"/>
        <w:left w:val="none" w:sz="0" w:space="0" w:color="auto"/>
        <w:bottom w:val="none" w:sz="0" w:space="0" w:color="auto"/>
        <w:right w:val="none" w:sz="0" w:space="0" w:color="auto"/>
      </w:divBdr>
    </w:div>
    <w:div w:id="1306737890">
      <w:bodyDiv w:val="1"/>
      <w:marLeft w:val="0"/>
      <w:marRight w:val="0"/>
      <w:marTop w:val="0"/>
      <w:marBottom w:val="0"/>
      <w:divBdr>
        <w:top w:val="none" w:sz="0" w:space="0" w:color="auto"/>
        <w:left w:val="none" w:sz="0" w:space="0" w:color="auto"/>
        <w:bottom w:val="none" w:sz="0" w:space="0" w:color="auto"/>
        <w:right w:val="none" w:sz="0" w:space="0" w:color="auto"/>
      </w:divBdr>
    </w:div>
    <w:div w:id="1310209958">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1">
          <w:marLeft w:val="0"/>
          <w:marRight w:val="0"/>
          <w:marTop w:val="0"/>
          <w:marBottom w:val="0"/>
          <w:divBdr>
            <w:top w:val="none" w:sz="0" w:space="0" w:color="auto"/>
            <w:left w:val="none" w:sz="0" w:space="0" w:color="auto"/>
            <w:bottom w:val="none" w:sz="0" w:space="0" w:color="auto"/>
            <w:right w:val="none" w:sz="0" w:space="0" w:color="auto"/>
          </w:divBdr>
        </w:div>
      </w:divsChild>
    </w:div>
    <w:div w:id="1310400914">
      <w:bodyDiv w:val="1"/>
      <w:marLeft w:val="0"/>
      <w:marRight w:val="0"/>
      <w:marTop w:val="0"/>
      <w:marBottom w:val="0"/>
      <w:divBdr>
        <w:top w:val="none" w:sz="0" w:space="0" w:color="auto"/>
        <w:left w:val="none" w:sz="0" w:space="0" w:color="auto"/>
        <w:bottom w:val="none" w:sz="0" w:space="0" w:color="auto"/>
        <w:right w:val="none" w:sz="0" w:space="0" w:color="auto"/>
      </w:divBdr>
    </w:div>
    <w:div w:id="1310818184">
      <w:bodyDiv w:val="1"/>
      <w:marLeft w:val="0"/>
      <w:marRight w:val="0"/>
      <w:marTop w:val="0"/>
      <w:marBottom w:val="0"/>
      <w:divBdr>
        <w:top w:val="none" w:sz="0" w:space="0" w:color="auto"/>
        <w:left w:val="none" w:sz="0" w:space="0" w:color="auto"/>
        <w:bottom w:val="none" w:sz="0" w:space="0" w:color="auto"/>
        <w:right w:val="none" w:sz="0" w:space="0" w:color="auto"/>
      </w:divBdr>
    </w:div>
    <w:div w:id="1317107146">
      <w:bodyDiv w:val="1"/>
      <w:marLeft w:val="0"/>
      <w:marRight w:val="0"/>
      <w:marTop w:val="0"/>
      <w:marBottom w:val="0"/>
      <w:divBdr>
        <w:top w:val="none" w:sz="0" w:space="0" w:color="auto"/>
        <w:left w:val="none" w:sz="0" w:space="0" w:color="auto"/>
        <w:bottom w:val="none" w:sz="0" w:space="0" w:color="auto"/>
        <w:right w:val="none" w:sz="0" w:space="0" w:color="auto"/>
      </w:divBdr>
    </w:div>
    <w:div w:id="1333724155">
      <w:bodyDiv w:val="1"/>
      <w:marLeft w:val="0"/>
      <w:marRight w:val="0"/>
      <w:marTop w:val="0"/>
      <w:marBottom w:val="0"/>
      <w:divBdr>
        <w:top w:val="none" w:sz="0" w:space="0" w:color="auto"/>
        <w:left w:val="none" w:sz="0" w:space="0" w:color="auto"/>
        <w:bottom w:val="none" w:sz="0" w:space="0" w:color="auto"/>
        <w:right w:val="none" w:sz="0" w:space="0" w:color="auto"/>
      </w:divBdr>
    </w:div>
    <w:div w:id="1345741213">
      <w:bodyDiv w:val="1"/>
      <w:marLeft w:val="0"/>
      <w:marRight w:val="0"/>
      <w:marTop w:val="0"/>
      <w:marBottom w:val="0"/>
      <w:divBdr>
        <w:top w:val="none" w:sz="0" w:space="0" w:color="auto"/>
        <w:left w:val="none" w:sz="0" w:space="0" w:color="auto"/>
        <w:bottom w:val="none" w:sz="0" w:space="0" w:color="auto"/>
        <w:right w:val="none" w:sz="0" w:space="0" w:color="auto"/>
      </w:divBdr>
    </w:div>
    <w:div w:id="1347248946">
      <w:bodyDiv w:val="1"/>
      <w:marLeft w:val="0"/>
      <w:marRight w:val="0"/>
      <w:marTop w:val="0"/>
      <w:marBottom w:val="0"/>
      <w:divBdr>
        <w:top w:val="none" w:sz="0" w:space="0" w:color="auto"/>
        <w:left w:val="none" w:sz="0" w:space="0" w:color="auto"/>
        <w:bottom w:val="none" w:sz="0" w:space="0" w:color="auto"/>
        <w:right w:val="none" w:sz="0" w:space="0" w:color="auto"/>
      </w:divBdr>
    </w:div>
    <w:div w:id="1350522539">
      <w:bodyDiv w:val="1"/>
      <w:marLeft w:val="0"/>
      <w:marRight w:val="0"/>
      <w:marTop w:val="0"/>
      <w:marBottom w:val="0"/>
      <w:divBdr>
        <w:top w:val="none" w:sz="0" w:space="0" w:color="auto"/>
        <w:left w:val="none" w:sz="0" w:space="0" w:color="auto"/>
        <w:bottom w:val="none" w:sz="0" w:space="0" w:color="auto"/>
        <w:right w:val="none" w:sz="0" w:space="0" w:color="auto"/>
      </w:divBdr>
    </w:div>
    <w:div w:id="1353649676">
      <w:bodyDiv w:val="1"/>
      <w:marLeft w:val="0"/>
      <w:marRight w:val="0"/>
      <w:marTop w:val="0"/>
      <w:marBottom w:val="0"/>
      <w:divBdr>
        <w:top w:val="none" w:sz="0" w:space="0" w:color="auto"/>
        <w:left w:val="none" w:sz="0" w:space="0" w:color="auto"/>
        <w:bottom w:val="none" w:sz="0" w:space="0" w:color="auto"/>
        <w:right w:val="none" w:sz="0" w:space="0" w:color="auto"/>
      </w:divBdr>
    </w:div>
    <w:div w:id="1355571000">
      <w:bodyDiv w:val="1"/>
      <w:marLeft w:val="0"/>
      <w:marRight w:val="0"/>
      <w:marTop w:val="0"/>
      <w:marBottom w:val="0"/>
      <w:divBdr>
        <w:top w:val="none" w:sz="0" w:space="0" w:color="auto"/>
        <w:left w:val="none" w:sz="0" w:space="0" w:color="auto"/>
        <w:bottom w:val="none" w:sz="0" w:space="0" w:color="auto"/>
        <w:right w:val="none" w:sz="0" w:space="0" w:color="auto"/>
      </w:divBdr>
    </w:div>
    <w:div w:id="1359165493">
      <w:bodyDiv w:val="1"/>
      <w:marLeft w:val="0"/>
      <w:marRight w:val="0"/>
      <w:marTop w:val="0"/>
      <w:marBottom w:val="0"/>
      <w:divBdr>
        <w:top w:val="none" w:sz="0" w:space="0" w:color="auto"/>
        <w:left w:val="none" w:sz="0" w:space="0" w:color="auto"/>
        <w:bottom w:val="none" w:sz="0" w:space="0" w:color="auto"/>
        <w:right w:val="none" w:sz="0" w:space="0" w:color="auto"/>
      </w:divBdr>
    </w:div>
    <w:div w:id="1367102588">
      <w:bodyDiv w:val="1"/>
      <w:marLeft w:val="0"/>
      <w:marRight w:val="0"/>
      <w:marTop w:val="0"/>
      <w:marBottom w:val="0"/>
      <w:divBdr>
        <w:top w:val="none" w:sz="0" w:space="0" w:color="auto"/>
        <w:left w:val="none" w:sz="0" w:space="0" w:color="auto"/>
        <w:bottom w:val="none" w:sz="0" w:space="0" w:color="auto"/>
        <w:right w:val="none" w:sz="0" w:space="0" w:color="auto"/>
      </w:divBdr>
    </w:div>
    <w:div w:id="1372459770">
      <w:bodyDiv w:val="1"/>
      <w:marLeft w:val="0"/>
      <w:marRight w:val="0"/>
      <w:marTop w:val="0"/>
      <w:marBottom w:val="0"/>
      <w:divBdr>
        <w:top w:val="none" w:sz="0" w:space="0" w:color="auto"/>
        <w:left w:val="none" w:sz="0" w:space="0" w:color="auto"/>
        <w:bottom w:val="none" w:sz="0" w:space="0" w:color="auto"/>
        <w:right w:val="none" w:sz="0" w:space="0" w:color="auto"/>
      </w:divBdr>
    </w:div>
    <w:div w:id="1374502126">
      <w:bodyDiv w:val="1"/>
      <w:marLeft w:val="0"/>
      <w:marRight w:val="0"/>
      <w:marTop w:val="0"/>
      <w:marBottom w:val="0"/>
      <w:divBdr>
        <w:top w:val="none" w:sz="0" w:space="0" w:color="auto"/>
        <w:left w:val="none" w:sz="0" w:space="0" w:color="auto"/>
        <w:bottom w:val="none" w:sz="0" w:space="0" w:color="auto"/>
        <w:right w:val="none" w:sz="0" w:space="0" w:color="auto"/>
      </w:divBdr>
    </w:div>
    <w:div w:id="1381512400">
      <w:bodyDiv w:val="1"/>
      <w:marLeft w:val="0"/>
      <w:marRight w:val="0"/>
      <w:marTop w:val="0"/>
      <w:marBottom w:val="0"/>
      <w:divBdr>
        <w:top w:val="none" w:sz="0" w:space="0" w:color="auto"/>
        <w:left w:val="none" w:sz="0" w:space="0" w:color="auto"/>
        <w:bottom w:val="none" w:sz="0" w:space="0" w:color="auto"/>
        <w:right w:val="none" w:sz="0" w:space="0" w:color="auto"/>
      </w:divBdr>
    </w:div>
    <w:div w:id="1393890208">
      <w:bodyDiv w:val="1"/>
      <w:marLeft w:val="0"/>
      <w:marRight w:val="0"/>
      <w:marTop w:val="0"/>
      <w:marBottom w:val="0"/>
      <w:divBdr>
        <w:top w:val="none" w:sz="0" w:space="0" w:color="auto"/>
        <w:left w:val="none" w:sz="0" w:space="0" w:color="auto"/>
        <w:bottom w:val="none" w:sz="0" w:space="0" w:color="auto"/>
        <w:right w:val="none" w:sz="0" w:space="0" w:color="auto"/>
      </w:divBdr>
    </w:div>
    <w:div w:id="1402562957">
      <w:bodyDiv w:val="1"/>
      <w:marLeft w:val="0"/>
      <w:marRight w:val="0"/>
      <w:marTop w:val="0"/>
      <w:marBottom w:val="0"/>
      <w:divBdr>
        <w:top w:val="none" w:sz="0" w:space="0" w:color="auto"/>
        <w:left w:val="none" w:sz="0" w:space="0" w:color="auto"/>
        <w:bottom w:val="none" w:sz="0" w:space="0" w:color="auto"/>
        <w:right w:val="none" w:sz="0" w:space="0" w:color="auto"/>
      </w:divBdr>
    </w:div>
    <w:div w:id="1411610785">
      <w:bodyDiv w:val="1"/>
      <w:marLeft w:val="0"/>
      <w:marRight w:val="0"/>
      <w:marTop w:val="0"/>
      <w:marBottom w:val="0"/>
      <w:divBdr>
        <w:top w:val="none" w:sz="0" w:space="0" w:color="auto"/>
        <w:left w:val="none" w:sz="0" w:space="0" w:color="auto"/>
        <w:bottom w:val="none" w:sz="0" w:space="0" w:color="auto"/>
        <w:right w:val="none" w:sz="0" w:space="0" w:color="auto"/>
      </w:divBdr>
    </w:div>
    <w:div w:id="1412659273">
      <w:bodyDiv w:val="1"/>
      <w:marLeft w:val="0"/>
      <w:marRight w:val="0"/>
      <w:marTop w:val="0"/>
      <w:marBottom w:val="0"/>
      <w:divBdr>
        <w:top w:val="none" w:sz="0" w:space="0" w:color="auto"/>
        <w:left w:val="none" w:sz="0" w:space="0" w:color="auto"/>
        <w:bottom w:val="none" w:sz="0" w:space="0" w:color="auto"/>
        <w:right w:val="none" w:sz="0" w:space="0" w:color="auto"/>
      </w:divBdr>
    </w:div>
    <w:div w:id="1414085671">
      <w:bodyDiv w:val="1"/>
      <w:marLeft w:val="0"/>
      <w:marRight w:val="0"/>
      <w:marTop w:val="0"/>
      <w:marBottom w:val="0"/>
      <w:divBdr>
        <w:top w:val="none" w:sz="0" w:space="0" w:color="auto"/>
        <w:left w:val="none" w:sz="0" w:space="0" w:color="auto"/>
        <w:bottom w:val="none" w:sz="0" w:space="0" w:color="auto"/>
        <w:right w:val="none" w:sz="0" w:space="0" w:color="auto"/>
      </w:divBdr>
    </w:div>
    <w:div w:id="1414858435">
      <w:bodyDiv w:val="1"/>
      <w:marLeft w:val="0"/>
      <w:marRight w:val="0"/>
      <w:marTop w:val="0"/>
      <w:marBottom w:val="0"/>
      <w:divBdr>
        <w:top w:val="none" w:sz="0" w:space="0" w:color="auto"/>
        <w:left w:val="none" w:sz="0" w:space="0" w:color="auto"/>
        <w:bottom w:val="none" w:sz="0" w:space="0" w:color="auto"/>
        <w:right w:val="none" w:sz="0" w:space="0" w:color="auto"/>
      </w:divBdr>
    </w:div>
    <w:div w:id="1419208778">
      <w:bodyDiv w:val="1"/>
      <w:marLeft w:val="0"/>
      <w:marRight w:val="0"/>
      <w:marTop w:val="0"/>
      <w:marBottom w:val="0"/>
      <w:divBdr>
        <w:top w:val="none" w:sz="0" w:space="0" w:color="auto"/>
        <w:left w:val="none" w:sz="0" w:space="0" w:color="auto"/>
        <w:bottom w:val="none" w:sz="0" w:space="0" w:color="auto"/>
        <w:right w:val="none" w:sz="0" w:space="0" w:color="auto"/>
      </w:divBdr>
    </w:div>
    <w:div w:id="1423335338">
      <w:bodyDiv w:val="1"/>
      <w:marLeft w:val="0"/>
      <w:marRight w:val="0"/>
      <w:marTop w:val="0"/>
      <w:marBottom w:val="0"/>
      <w:divBdr>
        <w:top w:val="none" w:sz="0" w:space="0" w:color="auto"/>
        <w:left w:val="none" w:sz="0" w:space="0" w:color="auto"/>
        <w:bottom w:val="none" w:sz="0" w:space="0" w:color="auto"/>
        <w:right w:val="none" w:sz="0" w:space="0" w:color="auto"/>
      </w:divBdr>
    </w:div>
    <w:div w:id="1443186119">
      <w:bodyDiv w:val="1"/>
      <w:marLeft w:val="0"/>
      <w:marRight w:val="0"/>
      <w:marTop w:val="0"/>
      <w:marBottom w:val="0"/>
      <w:divBdr>
        <w:top w:val="none" w:sz="0" w:space="0" w:color="auto"/>
        <w:left w:val="none" w:sz="0" w:space="0" w:color="auto"/>
        <w:bottom w:val="none" w:sz="0" w:space="0" w:color="auto"/>
        <w:right w:val="none" w:sz="0" w:space="0" w:color="auto"/>
      </w:divBdr>
    </w:div>
    <w:div w:id="1451584042">
      <w:bodyDiv w:val="1"/>
      <w:marLeft w:val="0"/>
      <w:marRight w:val="0"/>
      <w:marTop w:val="0"/>
      <w:marBottom w:val="0"/>
      <w:divBdr>
        <w:top w:val="none" w:sz="0" w:space="0" w:color="auto"/>
        <w:left w:val="none" w:sz="0" w:space="0" w:color="auto"/>
        <w:bottom w:val="none" w:sz="0" w:space="0" w:color="auto"/>
        <w:right w:val="none" w:sz="0" w:space="0" w:color="auto"/>
      </w:divBdr>
    </w:div>
    <w:div w:id="1461073044">
      <w:bodyDiv w:val="1"/>
      <w:marLeft w:val="0"/>
      <w:marRight w:val="0"/>
      <w:marTop w:val="0"/>
      <w:marBottom w:val="0"/>
      <w:divBdr>
        <w:top w:val="none" w:sz="0" w:space="0" w:color="auto"/>
        <w:left w:val="none" w:sz="0" w:space="0" w:color="auto"/>
        <w:bottom w:val="none" w:sz="0" w:space="0" w:color="auto"/>
        <w:right w:val="none" w:sz="0" w:space="0" w:color="auto"/>
      </w:divBdr>
    </w:div>
    <w:div w:id="1466772353">
      <w:bodyDiv w:val="1"/>
      <w:marLeft w:val="0"/>
      <w:marRight w:val="0"/>
      <w:marTop w:val="0"/>
      <w:marBottom w:val="0"/>
      <w:divBdr>
        <w:top w:val="none" w:sz="0" w:space="0" w:color="auto"/>
        <w:left w:val="none" w:sz="0" w:space="0" w:color="auto"/>
        <w:bottom w:val="none" w:sz="0" w:space="0" w:color="auto"/>
        <w:right w:val="none" w:sz="0" w:space="0" w:color="auto"/>
      </w:divBdr>
    </w:div>
    <w:div w:id="1472554608">
      <w:bodyDiv w:val="1"/>
      <w:marLeft w:val="0"/>
      <w:marRight w:val="0"/>
      <w:marTop w:val="0"/>
      <w:marBottom w:val="0"/>
      <w:divBdr>
        <w:top w:val="none" w:sz="0" w:space="0" w:color="auto"/>
        <w:left w:val="none" w:sz="0" w:space="0" w:color="auto"/>
        <w:bottom w:val="none" w:sz="0" w:space="0" w:color="auto"/>
        <w:right w:val="none" w:sz="0" w:space="0" w:color="auto"/>
      </w:divBdr>
    </w:div>
    <w:div w:id="1490368419">
      <w:bodyDiv w:val="1"/>
      <w:marLeft w:val="0"/>
      <w:marRight w:val="0"/>
      <w:marTop w:val="0"/>
      <w:marBottom w:val="0"/>
      <w:divBdr>
        <w:top w:val="none" w:sz="0" w:space="0" w:color="auto"/>
        <w:left w:val="none" w:sz="0" w:space="0" w:color="auto"/>
        <w:bottom w:val="none" w:sz="0" w:space="0" w:color="auto"/>
        <w:right w:val="none" w:sz="0" w:space="0" w:color="auto"/>
      </w:divBdr>
    </w:div>
    <w:div w:id="1490974192">
      <w:bodyDiv w:val="1"/>
      <w:marLeft w:val="0"/>
      <w:marRight w:val="0"/>
      <w:marTop w:val="0"/>
      <w:marBottom w:val="0"/>
      <w:divBdr>
        <w:top w:val="none" w:sz="0" w:space="0" w:color="auto"/>
        <w:left w:val="none" w:sz="0" w:space="0" w:color="auto"/>
        <w:bottom w:val="none" w:sz="0" w:space="0" w:color="auto"/>
        <w:right w:val="none" w:sz="0" w:space="0" w:color="auto"/>
      </w:divBdr>
    </w:div>
    <w:div w:id="1493524470">
      <w:bodyDiv w:val="1"/>
      <w:marLeft w:val="0"/>
      <w:marRight w:val="0"/>
      <w:marTop w:val="0"/>
      <w:marBottom w:val="0"/>
      <w:divBdr>
        <w:top w:val="none" w:sz="0" w:space="0" w:color="auto"/>
        <w:left w:val="none" w:sz="0" w:space="0" w:color="auto"/>
        <w:bottom w:val="none" w:sz="0" w:space="0" w:color="auto"/>
        <w:right w:val="none" w:sz="0" w:space="0" w:color="auto"/>
      </w:divBdr>
    </w:div>
    <w:div w:id="1493714179">
      <w:bodyDiv w:val="1"/>
      <w:marLeft w:val="0"/>
      <w:marRight w:val="0"/>
      <w:marTop w:val="0"/>
      <w:marBottom w:val="0"/>
      <w:divBdr>
        <w:top w:val="none" w:sz="0" w:space="0" w:color="auto"/>
        <w:left w:val="none" w:sz="0" w:space="0" w:color="auto"/>
        <w:bottom w:val="none" w:sz="0" w:space="0" w:color="auto"/>
        <w:right w:val="none" w:sz="0" w:space="0" w:color="auto"/>
      </w:divBdr>
    </w:div>
    <w:div w:id="1496610870">
      <w:bodyDiv w:val="1"/>
      <w:marLeft w:val="0"/>
      <w:marRight w:val="0"/>
      <w:marTop w:val="0"/>
      <w:marBottom w:val="0"/>
      <w:divBdr>
        <w:top w:val="none" w:sz="0" w:space="0" w:color="auto"/>
        <w:left w:val="none" w:sz="0" w:space="0" w:color="auto"/>
        <w:bottom w:val="none" w:sz="0" w:space="0" w:color="auto"/>
        <w:right w:val="none" w:sz="0" w:space="0" w:color="auto"/>
      </w:divBdr>
    </w:div>
    <w:div w:id="1520778594">
      <w:bodyDiv w:val="1"/>
      <w:marLeft w:val="0"/>
      <w:marRight w:val="0"/>
      <w:marTop w:val="0"/>
      <w:marBottom w:val="0"/>
      <w:divBdr>
        <w:top w:val="none" w:sz="0" w:space="0" w:color="auto"/>
        <w:left w:val="none" w:sz="0" w:space="0" w:color="auto"/>
        <w:bottom w:val="none" w:sz="0" w:space="0" w:color="auto"/>
        <w:right w:val="none" w:sz="0" w:space="0" w:color="auto"/>
      </w:divBdr>
    </w:div>
    <w:div w:id="1533611462">
      <w:bodyDiv w:val="1"/>
      <w:marLeft w:val="0"/>
      <w:marRight w:val="0"/>
      <w:marTop w:val="0"/>
      <w:marBottom w:val="0"/>
      <w:divBdr>
        <w:top w:val="none" w:sz="0" w:space="0" w:color="auto"/>
        <w:left w:val="none" w:sz="0" w:space="0" w:color="auto"/>
        <w:bottom w:val="none" w:sz="0" w:space="0" w:color="auto"/>
        <w:right w:val="none" w:sz="0" w:space="0" w:color="auto"/>
      </w:divBdr>
    </w:div>
    <w:div w:id="1534077995">
      <w:bodyDiv w:val="1"/>
      <w:marLeft w:val="0"/>
      <w:marRight w:val="0"/>
      <w:marTop w:val="0"/>
      <w:marBottom w:val="0"/>
      <w:divBdr>
        <w:top w:val="none" w:sz="0" w:space="0" w:color="auto"/>
        <w:left w:val="none" w:sz="0" w:space="0" w:color="auto"/>
        <w:bottom w:val="none" w:sz="0" w:space="0" w:color="auto"/>
        <w:right w:val="none" w:sz="0" w:space="0" w:color="auto"/>
      </w:divBdr>
    </w:div>
    <w:div w:id="1549143506">
      <w:bodyDiv w:val="1"/>
      <w:marLeft w:val="0"/>
      <w:marRight w:val="0"/>
      <w:marTop w:val="0"/>
      <w:marBottom w:val="0"/>
      <w:divBdr>
        <w:top w:val="none" w:sz="0" w:space="0" w:color="auto"/>
        <w:left w:val="none" w:sz="0" w:space="0" w:color="auto"/>
        <w:bottom w:val="none" w:sz="0" w:space="0" w:color="auto"/>
        <w:right w:val="none" w:sz="0" w:space="0" w:color="auto"/>
      </w:divBdr>
    </w:div>
    <w:div w:id="1550990038">
      <w:bodyDiv w:val="1"/>
      <w:marLeft w:val="0"/>
      <w:marRight w:val="0"/>
      <w:marTop w:val="0"/>
      <w:marBottom w:val="0"/>
      <w:divBdr>
        <w:top w:val="none" w:sz="0" w:space="0" w:color="auto"/>
        <w:left w:val="none" w:sz="0" w:space="0" w:color="auto"/>
        <w:bottom w:val="none" w:sz="0" w:space="0" w:color="auto"/>
        <w:right w:val="none" w:sz="0" w:space="0" w:color="auto"/>
      </w:divBdr>
    </w:div>
    <w:div w:id="1550996919">
      <w:bodyDiv w:val="1"/>
      <w:marLeft w:val="0"/>
      <w:marRight w:val="0"/>
      <w:marTop w:val="0"/>
      <w:marBottom w:val="0"/>
      <w:divBdr>
        <w:top w:val="none" w:sz="0" w:space="0" w:color="auto"/>
        <w:left w:val="none" w:sz="0" w:space="0" w:color="auto"/>
        <w:bottom w:val="none" w:sz="0" w:space="0" w:color="auto"/>
        <w:right w:val="none" w:sz="0" w:space="0" w:color="auto"/>
      </w:divBdr>
    </w:div>
    <w:div w:id="1566842948">
      <w:bodyDiv w:val="1"/>
      <w:marLeft w:val="0"/>
      <w:marRight w:val="0"/>
      <w:marTop w:val="0"/>
      <w:marBottom w:val="0"/>
      <w:divBdr>
        <w:top w:val="none" w:sz="0" w:space="0" w:color="auto"/>
        <w:left w:val="none" w:sz="0" w:space="0" w:color="auto"/>
        <w:bottom w:val="none" w:sz="0" w:space="0" w:color="auto"/>
        <w:right w:val="none" w:sz="0" w:space="0" w:color="auto"/>
      </w:divBdr>
    </w:div>
    <w:div w:id="1568567165">
      <w:bodyDiv w:val="1"/>
      <w:marLeft w:val="0"/>
      <w:marRight w:val="0"/>
      <w:marTop w:val="0"/>
      <w:marBottom w:val="0"/>
      <w:divBdr>
        <w:top w:val="none" w:sz="0" w:space="0" w:color="auto"/>
        <w:left w:val="none" w:sz="0" w:space="0" w:color="auto"/>
        <w:bottom w:val="none" w:sz="0" w:space="0" w:color="auto"/>
        <w:right w:val="none" w:sz="0" w:space="0" w:color="auto"/>
      </w:divBdr>
    </w:div>
    <w:div w:id="1582450231">
      <w:bodyDiv w:val="1"/>
      <w:marLeft w:val="0"/>
      <w:marRight w:val="0"/>
      <w:marTop w:val="0"/>
      <w:marBottom w:val="0"/>
      <w:divBdr>
        <w:top w:val="none" w:sz="0" w:space="0" w:color="auto"/>
        <w:left w:val="none" w:sz="0" w:space="0" w:color="auto"/>
        <w:bottom w:val="none" w:sz="0" w:space="0" w:color="auto"/>
        <w:right w:val="none" w:sz="0" w:space="0" w:color="auto"/>
      </w:divBdr>
    </w:div>
    <w:div w:id="1585608289">
      <w:bodyDiv w:val="1"/>
      <w:marLeft w:val="0"/>
      <w:marRight w:val="0"/>
      <w:marTop w:val="0"/>
      <w:marBottom w:val="0"/>
      <w:divBdr>
        <w:top w:val="none" w:sz="0" w:space="0" w:color="auto"/>
        <w:left w:val="none" w:sz="0" w:space="0" w:color="auto"/>
        <w:bottom w:val="none" w:sz="0" w:space="0" w:color="auto"/>
        <w:right w:val="none" w:sz="0" w:space="0" w:color="auto"/>
      </w:divBdr>
    </w:div>
    <w:div w:id="1586381231">
      <w:bodyDiv w:val="1"/>
      <w:marLeft w:val="0"/>
      <w:marRight w:val="0"/>
      <w:marTop w:val="0"/>
      <w:marBottom w:val="0"/>
      <w:divBdr>
        <w:top w:val="none" w:sz="0" w:space="0" w:color="auto"/>
        <w:left w:val="none" w:sz="0" w:space="0" w:color="auto"/>
        <w:bottom w:val="none" w:sz="0" w:space="0" w:color="auto"/>
        <w:right w:val="none" w:sz="0" w:space="0" w:color="auto"/>
      </w:divBdr>
    </w:div>
    <w:div w:id="1596132746">
      <w:bodyDiv w:val="1"/>
      <w:marLeft w:val="0"/>
      <w:marRight w:val="0"/>
      <w:marTop w:val="0"/>
      <w:marBottom w:val="0"/>
      <w:divBdr>
        <w:top w:val="none" w:sz="0" w:space="0" w:color="auto"/>
        <w:left w:val="none" w:sz="0" w:space="0" w:color="auto"/>
        <w:bottom w:val="none" w:sz="0" w:space="0" w:color="auto"/>
        <w:right w:val="none" w:sz="0" w:space="0" w:color="auto"/>
      </w:divBdr>
    </w:div>
    <w:div w:id="1596398041">
      <w:bodyDiv w:val="1"/>
      <w:marLeft w:val="0"/>
      <w:marRight w:val="0"/>
      <w:marTop w:val="0"/>
      <w:marBottom w:val="0"/>
      <w:divBdr>
        <w:top w:val="none" w:sz="0" w:space="0" w:color="auto"/>
        <w:left w:val="none" w:sz="0" w:space="0" w:color="auto"/>
        <w:bottom w:val="none" w:sz="0" w:space="0" w:color="auto"/>
        <w:right w:val="none" w:sz="0" w:space="0" w:color="auto"/>
      </w:divBdr>
    </w:div>
    <w:div w:id="1601987242">
      <w:bodyDiv w:val="1"/>
      <w:marLeft w:val="0"/>
      <w:marRight w:val="0"/>
      <w:marTop w:val="0"/>
      <w:marBottom w:val="0"/>
      <w:divBdr>
        <w:top w:val="none" w:sz="0" w:space="0" w:color="auto"/>
        <w:left w:val="none" w:sz="0" w:space="0" w:color="auto"/>
        <w:bottom w:val="none" w:sz="0" w:space="0" w:color="auto"/>
        <w:right w:val="none" w:sz="0" w:space="0" w:color="auto"/>
      </w:divBdr>
    </w:div>
    <w:div w:id="1602495436">
      <w:bodyDiv w:val="1"/>
      <w:marLeft w:val="0"/>
      <w:marRight w:val="0"/>
      <w:marTop w:val="0"/>
      <w:marBottom w:val="0"/>
      <w:divBdr>
        <w:top w:val="none" w:sz="0" w:space="0" w:color="auto"/>
        <w:left w:val="none" w:sz="0" w:space="0" w:color="auto"/>
        <w:bottom w:val="none" w:sz="0" w:space="0" w:color="auto"/>
        <w:right w:val="none" w:sz="0" w:space="0" w:color="auto"/>
      </w:divBdr>
    </w:div>
    <w:div w:id="1604611583">
      <w:bodyDiv w:val="1"/>
      <w:marLeft w:val="0"/>
      <w:marRight w:val="0"/>
      <w:marTop w:val="0"/>
      <w:marBottom w:val="0"/>
      <w:divBdr>
        <w:top w:val="none" w:sz="0" w:space="0" w:color="auto"/>
        <w:left w:val="none" w:sz="0" w:space="0" w:color="auto"/>
        <w:bottom w:val="none" w:sz="0" w:space="0" w:color="auto"/>
        <w:right w:val="none" w:sz="0" w:space="0" w:color="auto"/>
      </w:divBdr>
    </w:div>
    <w:div w:id="1612470988">
      <w:bodyDiv w:val="1"/>
      <w:marLeft w:val="0"/>
      <w:marRight w:val="0"/>
      <w:marTop w:val="0"/>
      <w:marBottom w:val="0"/>
      <w:divBdr>
        <w:top w:val="none" w:sz="0" w:space="0" w:color="auto"/>
        <w:left w:val="none" w:sz="0" w:space="0" w:color="auto"/>
        <w:bottom w:val="none" w:sz="0" w:space="0" w:color="auto"/>
        <w:right w:val="none" w:sz="0" w:space="0" w:color="auto"/>
      </w:divBdr>
    </w:div>
    <w:div w:id="1619138140">
      <w:bodyDiv w:val="1"/>
      <w:marLeft w:val="0"/>
      <w:marRight w:val="0"/>
      <w:marTop w:val="0"/>
      <w:marBottom w:val="0"/>
      <w:divBdr>
        <w:top w:val="none" w:sz="0" w:space="0" w:color="auto"/>
        <w:left w:val="none" w:sz="0" w:space="0" w:color="auto"/>
        <w:bottom w:val="none" w:sz="0" w:space="0" w:color="auto"/>
        <w:right w:val="none" w:sz="0" w:space="0" w:color="auto"/>
      </w:divBdr>
    </w:div>
    <w:div w:id="1631860782">
      <w:bodyDiv w:val="1"/>
      <w:marLeft w:val="0"/>
      <w:marRight w:val="0"/>
      <w:marTop w:val="0"/>
      <w:marBottom w:val="0"/>
      <w:divBdr>
        <w:top w:val="none" w:sz="0" w:space="0" w:color="auto"/>
        <w:left w:val="none" w:sz="0" w:space="0" w:color="auto"/>
        <w:bottom w:val="none" w:sz="0" w:space="0" w:color="auto"/>
        <w:right w:val="none" w:sz="0" w:space="0" w:color="auto"/>
      </w:divBdr>
    </w:div>
    <w:div w:id="1635058782">
      <w:bodyDiv w:val="1"/>
      <w:marLeft w:val="0"/>
      <w:marRight w:val="0"/>
      <w:marTop w:val="0"/>
      <w:marBottom w:val="0"/>
      <w:divBdr>
        <w:top w:val="none" w:sz="0" w:space="0" w:color="auto"/>
        <w:left w:val="none" w:sz="0" w:space="0" w:color="auto"/>
        <w:bottom w:val="none" w:sz="0" w:space="0" w:color="auto"/>
        <w:right w:val="none" w:sz="0" w:space="0" w:color="auto"/>
      </w:divBdr>
    </w:div>
    <w:div w:id="1635788813">
      <w:bodyDiv w:val="1"/>
      <w:marLeft w:val="0"/>
      <w:marRight w:val="0"/>
      <w:marTop w:val="0"/>
      <w:marBottom w:val="0"/>
      <w:divBdr>
        <w:top w:val="none" w:sz="0" w:space="0" w:color="auto"/>
        <w:left w:val="none" w:sz="0" w:space="0" w:color="auto"/>
        <w:bottom w:val="none" w:sz="0" w:space="0" w:color="auto"/>
        <w:right w:val="none" w:sz="0" w:space="0" w:color="auto"/>
      </w:divBdr>
    </w:div>
    <w:div w:id="1639608012">
      <w:bodyDiv w:val="1"/>
      <w:marLeft w:val="0"/>
      <w:marRight w:val="0"/>
      <w:marTop w:val="0"/>
      <w:marBottom w:val="0"/>
      <w:divBdr>
        <w:top w:val="none" w:sz="0" w:space="0" w:color="auto"/>
        <w:left w:val="none" w:sz="0" w:space="0" w:color="auto"/>
        <w:bottom w:val="none" w:sz="0" w:space="0" w:color="auto"/>
        <w:right w:val="none" w:sz="0" w:space="0" w:color="auto"/>
      </w:divBdr>
    </w:div>
    <w:div w:id="1654941443">
      <w:bodyDiv w:val="1"/>
      <w:marLeft w:val="0"/>
      <w:marRight w:val="0"/>
      <w:marTop w:val="0"/>
      <w:marBottom w:val="0"/>
      <w:divBdr>
        <w:top w:val="none" w:sz="0" w:space="0" w:color="auto"/>
        <w:left w:val="none" w:sz="0" w:space="0" w:color="auto"/>
        <w:bottom w:val="none" w:sz="0" w:space="0" w:color="auto"/>
        <w:right w:val="none" w:sz="0" w:space="0" w:color="auto"/>
      </w:divBdr>
    </w:div>
    <w:div w:id="1655528882">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
    <w:div w:id="1670988117">
      <w:bodyDiv w:val="1"/>
      <w:marLeft w:val="0"/>
      <w:marRight w:val="0"/>
      <w:marTop w:val="0"/>
      <w:marBottom w:val="0"/>
      <w:divBdr>
        <w:top w:val="none" w:sz="0" w:space="0" w:color="auto"/>
        <w:left w:val="none" w:sz="0" w:space="0" w:color="auto"/>
        <w:bottom w:val="none" w:sz="0" w:space="0" w:color="auto"/>
        <w:right w:val="none" w:sz="0" w:space="0" w:color="auto"/>
      </w:divBdr>
    </w:div>
    <w:div w:id="1684017161">
      <w:bodyDiv w:val="1"/>
      <w:marLeft w:val="0"/>
      <w:marRight w:val="0"/>
      <w:marTop w:val="0"/>
      <w:marBottom w:val="0"/>
      <w:divBdr>
        <w:top w:val="none" w:sz="0" w:space="0" w:color="auto"/>
        <w:left w:val="none" w:sz="0" w:space="0" w:color="auto"/>
        <w:bottom w:val="none" w:sz="0" w:space="0" w:color="auto"/>
        <w:right w:val="none" w:sz="0" w:space="0" w:color="auto"/>
      </w:divBdr>
    </w:div>
    <w:div w:id="1687244417">
      <w:bodyDiv w:val="1"/>
      <w:marLeft w:val="0"/>
      <w:marRight w:val="0"/>
      <w:marTop w:val="0"/>
      <w:marBottom w:val="0"/>
      <w:divBdr>
        <w:top w:val="none" w:sz="0" w:space="0" w:color="auto"/>
        <w:left w:val="none" w:sz="0" w:space="0" w:color="auto"/>
        <w:bottom w:val="none" w:sz="0" w:space="0" w:color="auto"/>
        <w:right w:val="none" w:sz="0" w:space="0" w:color="auto"/>
      </w:divBdr>
    </w:div>
    <w:div w:id="1687440362">
      <w:bodyDiv w:val="1"/>
      <w:marLeft w:val="0"/>
      <w:marRight w:val="0"/>
      <w:marTop w:val="0"/>
      <w:marBottom w:val="0"/>
      <w:divBdr>
        <w:top w:val="none" w:sz="0" w:space="0" w:color="auto"/>
        <w:left w:val="none" w:sz="0" w:space="0" w:color="auto"/>
        <w:bottom w:val="none" w:sz="0" w:space="0" w:color="auto"/>
        <w:right w:val="none" w:sz="0" w:space="0" w:color="auto"/>
      </w:divBdr>
    </w:div>
    <w:div w:id="1695886187">
      <w:bodyDiv w:val="1"/>
      <w:marLeft w:val="0"/>
      <w:marRight w:val="0"/>
      <w:marTop w:val="0"/>
      <w:marBottom w:val="0"/>
      <w:divBdr>
        <w:top w:val="none" w:sz="0" w:space="0" w:color="auto"/>
        <w:left w:val="none" w:sz="0" w:space="0" w:color="auto"/>
        <w:bottom w:val="none" w:sz="0" w:space="0" w:color="auto"/>
        <w:right w:val="none" w:sz="0" w:space="0" w:color="auto"/>
      </w:divBdr>
    </w:div>
    <w:div w:id="1723946012">
      <w:bodyDiv w:val="1"/>
      <w:marLeft w:val="0"/>
      <w:marRight w:val="0"/>
      <w:marTop w:val="0"/>
      <w:marBottom w:val="0"/>
      <w:divBdr>
        <w:top w:val="none" w:sz="0" w:space="0" w:color="auto"/>
        <w:left w:val="none" w:sz="0" w:space="0" w:color="auto"/>
        <w:bottom w:val="none" w:sz="0" w:space="0" w:color="auto"/>
        <w:right w:val="none" w:sz="0" w:space="0" w:color="auto"/>
      </w:divBdr>
    </w:div>
    <w:div w:id="1727754265">
      <w:bodyDiv w:val="1"/>
      <w:marLeft w:val="0"/>
      <w:marRight w:val="0"/>
      <w:marTop w:val="0"/>
      <w:marBottom w:val="0"/>
      <w:divBdr>
        <w:top w:val="none" w:sz="0" w:space="0" w:color="auto"/>
        <w:left w:val="none" w:sz="0" w:space="0" w:color="auto"/>
        <w:bottom w:val="none" w:sz="0" w:space="0" w:color="auto"/>
        <w:right w:val="none" w:sz="0" w:space="0" w:color="auto"/>
      </w:divBdr>
    </w:div>
    <w:div w:id="1732583850">
      <w:bodyDiv w:val="1"/>
      <w:marLeft w:val="0"/>
      <w:marRight w:val="0"/>
      <w:marTop w:val="0"/>
      <w:marBottom w:val="0"/>
      <w:divBdr>
        <w:top w:val="none" w:sz="0" w:space="0" w:color="auto"/>
        <w:left w:val="none" w:sz="0" w:space="0" w:color="auto"/>
        <w:bottom w:val="none" w:sz="0" w:space="0" w:color="auto"/>
        <w:right w:val="none" w:sz="0" w:space="0" w:color="auto"/>
      </w:divBdr>
    </w:div>
    <w:div w:id="1737818541">
      <w:bodyDiv w:val="1"/>
      <w:marLeft w:val="0"/>
      <w:marRight w:val="0"/>
      <w:marTop w:val="0"/>
      <w:marBottom w:val="0"/>
      <w:divBdr>
        <w:top w:val="none" w:sz="0" w:space="0" w:color="auto"/>
        <w:left w:val="none" w:sz="0" w:space="0" w:color="auto"/>
        <w:bottom w:val="none" w:sz="0" w:space="0" w:color="auto"/>
        <w:right w:val="none" w:sz="0" w:space="0" w:color="auto"/>
      </w:divBdr>
    </w:div>
    <w:div w:id="1746611003">
      <w:bodyDiv w:val="1"/>
      <w:marLeft w:val="0"/>
      <w:marRight w:val="0"/>
      <w:marTop w:val="0"/>
      <w:marBottom w:val="0"/>
      <w:divBdr>
        <w:top w:val="none" w:sz="0" w:space="0" w:color="auto"/>
        <w:left w:val="none" w:sz="0" w:space="0" w:color="auto"/>
        <w:bottom w:val="none" w:sz="0" w:space="0" w:color="auto"/>
        <w:right w:val="none" w:sz="0" w:space="0" w:color="auto"/>
      </w:divBdr>
    </w:div>
    <w:div w:id="1759445000">
      <w:bodyDiv w:val="1"/>
      <w:marLeft w:val="0"/>
      <w:marRight w:val="0"/>
      <w:marTop w:val="0"/>
      <w:marBottom w:val="0"/>
      <w:divBdr>
        <w:top w:val="none" w:sz="0" w:space="0" w:color="auto"/>
        <w:left w:val="none" w:sz="0" w:space="0" w:color="auto"/>
        <w:bottom w:val="none" w:sz="0" w:space="0" w:color="auto"/>
        <w:right w:val="none" w:sz="0" w:space="0" w:color="auto"/>
      </w:divBdr>
    </w:div>
    <w:div w:id="1765374038">
      <w:bodyDiv w:val="1"/>
      <w:marLeft w:val="0"/>
      <w:marRight w:val="0"/>
      <w:marTop w:val="0"/>
      <w:marBottom w:val="0"/>
      <w:divBdr>
        <w:top w:val="none" w:sz="0" w:space="0" w:color="auto"/>
        <w:left w:val="none" w:sz="0" w:space="0" w:color="auto"/>
        <w:bottom w:val="none" w:sz="0" w:space="0" w:color="auto"/>
        <w:right w:val="none" w:sz="0" w:space="0" w:color="auto"/>
      </w:divBdr>
    </w:div>
    <w:div w:id="1766069610">
      <w:bodyDiv w:val="1"/>
      <w:marLeft w:val="0"/>
      <w:marRight w:val="0"/>
      <w:marTop w:val="0"/>
      <w:marBottom w:val="0"/>
      <w:divBdr>
        <w:top w:val="none" w:sz="0" w:space="0" w:color="auto"/>
        <w:left w:val="none" w:sz="0" w:space="0" w:color="auto"/>
        <w:bottom w:val="none" w:sz="0" w:space="0" w:color="auto"/>
        <w:right w:val="none" w:sz="0" w:space="0" w:color="auto"/>
      </w:divBdr>
    </w:div>
    <w:div w:id="1766263215">
      <w:bodyDiv w:val="1"/>
      <w:marLeft w:val="0"/>
      <w:marRight w:val="0"/>
      <w:marTop w:val="0"/>
      <w:marBottom w:val="0"/>
      <w:divBdr>
        <w:top w:val="none" w:sz="0" w:space="0" w:color="auto"/>
        <w:left w:val="none" w:sz="0" w:space="0" w:color="auto"/>
        <w:bottom w:val="none" w:sz="0" w:space="0" w:color="auto"/>
        <w:right w:val="none" w:sz="0" w:space="0" w:color="auto"/>
      </w:divBdr>
    </w:div>
    <w:div w:id="1772582579">
      <w:bodyDiv w:val="1"/>
      <w:marLeft w:val="0"/>
      <w:marRight w:val="0"/>
      <w:marTop w:val="0"/>
      <w:marBottom w:val="0"/>
      <w:divBdr>
        <w:top w:val="none" w:sz="0" w:space="0" w:color="auto"/>
        <w:left w:val="none" w:sz="0" w:space="0" w:color="auto"/>
        <w:bottom w:val="none" w:sz="0" w:space="0" w:color="auto"/>
        <w:right w:val="none" w:sz="0" w:space="0" w:color="auto"/>
      </w:divBdr>
    </w:div>
    <w:div w:id="1773166920">
      <w:bodyDiv w:val="1"/>
      <w:marLeft w:val="0"/>
      <w:marRight w:val="0"/>
      <w:marTop w:val="0"/>
      <w:marBottom w:val="0"/>
      <w:divBdr>
        <w:top w:val="none" w:sz="0" w:space="0" w:color="auto"/>
        <w:left w:val="none" w:sz="0" w:space="0" w:color="auto"/>
        <w:bottom w:val="none" w:sz="0" w:space="0" w:color="auto"/>
        <w:right w:val="none" w:sz="0" w:space="0" w:color="auto"/>
      </w:divBdr>
    </w:div>
    <w:div w:id="1776633058">
      <w:bodyDiv w:val="1"/>
      <w:marLeft w:val="0"/>
      <w:marRight w:val="0"/>
      <w:marTop w:val="0"/>
      <w:marBottom w:val="0"/>
      <w:divBdr>
        <w:top w:val="none" w:sz="0" w:space="0" w:color="auto"/>
        <w:left w:val="none" w:sz="0" w:space="0" w:color="auto"/>
        <w:bottom w:val="none" w:sz="0" w:space="0" w:color="auto"/>
        <w:right w:val="none" w:sz="0" w:space="0" w:color="auto"/>
      </w:divBdr>
    </w:div>
    <w:div w:id="1780220961">
      <w:bodyDiv w:val="1"/>
      <w:marLeft w:val="0"/>
      <w:marRight w:val="0"/>
      <w:marTop w:val="0"/>
      <w:marBottom w:val="0"/>
      <w:divBdr>
        <w:top w:val="none" w:sz="0" w:space="0" w:color="auto"/>
        <w:left w:val="none" w:sz="0" w:space="0" w:color="auto"/>
        <w:bottom w:val="none" w:sz="0" w:space="0" w:color="auto"/>
        <w:right w:val="none" w:sz="0" w:space="0" w:color="auto"/>
      </w:divBdr>
    </w:div>
    <w:div w:id="1809738916">
      <w:bodyDiv w:val="1"/>
      <w:marLeft w:val="0"/>
      <w:marRight w:val="0"/>
      <w:marTop w:val="0"/>
      <w:marBottom w:val="0"/>
      <w:divBdr>
        <w:top w:val="none" w:sz="0" w:space="0" w:color="auto"/>
        <w:left w:val="none" w:sz="0" w:space="0" w:color="auto"/>
        <w:bottom w:val="none" w:sz="0" w:space="0" w:color="auto"/>
        <w:right w:val="none" w:sz="0" w:space="0" w:color="auto"/>
      </w:divBdr>
    </w:div>
    <w:div w:id="1819876065">
      <w:bodyDiv w:val="1"/>
      <w:marLeft w:val="0"/>
      <w:marRight w:val="0"/>
      <w:marTop w:val="0"/>
      <w:marBottom w:val="0"/>
      <w:divBdr>
        <w:top w:val="none" w:sz="0" w:space="0" w:color="auto"/>
        <w:left w:val="none" w:sz="0" w:space="0" w:color="auto"/>
        <w:bottom w:val="none" w:sz="0" w:space="0" w:color="auto"/>
        <w:right w:val="none" w:sz="0" w:space="0" w:color="auto"/>
      </w:divBdr>
    </w:div>
    <w:div w:id="1824269449">
      <w:bodyDiv w:val="1"/>
      <w:marLeft w:val="0"/>
      <w:marRight w:val="0"/>
      <w:marTop w:val="0"/>
      <w:marBottom w:val="0"/>
      <w:divBdr>
        <w:top w:val="none" w:sz="0" w:space="0" w:color="auto"/>
        <w:left w:val="none" w:sz="0" w:space="0" w:color="auto"/>
        <w:bottom w:val="none" w:sz="0" w:space="0" w:color="auto"/>
        <w:right w:val="none" w:sz="0" w:space="0" w:color="auto"/>
      </w:divBdr>
    </w:div>
    <w:div w:id="1842694404">
      <w:bodyDiv w:val="1"/>
      <w:marLeft w:val="0"/>
      <w:marRight w:val="0"/>
      <w:marTop w:val="0"/>
      <w:marBottom w:val="0"/>
      <w:divBdr>
        <w:top w:val="none" w:sz="0" w:space="0" w:color="auto"/>
        <w:left w:val="none" w:sz="0" w:space="0" w:color="auto"/>
        <w:bottom w:val="none" w:sz="0" w:space="0" w:color="auto"/>
        <w:right w:val="none" w:sz="0" w:space="0" w:color="auto"/>
      </w:divBdr>
    </w:div>
    <w:div w:id="1844391987">
      <w:bodyDiv w:val="1"/>
      <w:marLeft w:val="0"/>
      <w:marRight w:val="0"/>
      <w:marTop w:val="0"/>
      <w:marBottom w:val="0"/>
      <w:divBdr>
        <w:top w:val="none" w:sz="0" w:space="0" w:color="auto"/>
        <w:left w:val="none" w:sz="0" w:space="0" w:color="auto"/>
        <w:bottom w:val="none" w:sz="0" w:space="0" w:color="auto"/>
        <w:right w:val="none" w:sz="0" w:space="0" w:color="auto"/>
      </w:divBdr>
    </w:div>
    <w:div w:id="1853834468">
      <w:bodyDiv w:val="1"/>
      <w:marLeft w:val="0"/>
      <w:marRight w:val="0"/>
      <w:marTop w:val="0"/>
      <w:marBottom w:val="0"/>
      <w:divBdr>
        <w:top w:val="none" w:sz="0" w:space="0" w:color="auto"/>
        <w:left w:val="none" w:sz="0" w:space="0" w:color="auto"/>
        <w:bottom w:val="none" w:sz="0" w:space="0" w:color="auto"/>
        <w:right w:val="none" w:sz="0" w:space="0" w:color="auto"/>
      </w:divBdr>
    </w:div>
    <w:div w:id="1854563913">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1904214033">
      <w:bodyDiv w:val="1"/>
      <w:marLeft w:val="0"/>
      <w:marRight w:val="0"/>
      <w:marTop w:val="0"/>
      <w:marBottom w:val="0"/>
      <w:divBdr>
        <w:top w:val="none" w:sz="0" w:space="0" w:color="auto"/>
        <w:left w:val="none" w:sz="0" w:space="0" w:color="auto"/>
        <w:bottom w:val="none" w:sz="0" w:space="0" w:color="auto"/>
        <w:right w:val="none" w:sz="0" w:space="0" w:color="auto"/>
      </w:divBdr>
    </w:div>
    <w:div w:id="1912497398">
      <w:bodyDiv w:val="1"/>
      <w:marLeft w:val="0"/>
      <w:marRight w:val="0"/>
      <w:marTop w:val="0"/>
      <w:marBottom w:val="0"/>
      <w:divBdr>
        <w:top w:val="none" w:sz="0" w:space="0" w:color="auto"/>
        <w:left w:val="none" w:sz="0" w:space="0" w:color="auto"/>
        <w:bottom w:val="none" w:sz="0" w:space="0" w:color="auto"/>
        <w:right w:val="none" w:sz="0" w:space="0" w:color="auto"/>
      </w:divBdr>
    </w:div>
    <w:div w:id="1920212139">
      <w:bodyDiv w:val="1"/>
      <w:marLeft w:val="0"/>
      <w:marRight w:val="0"/>
      <w:marTop w:val="0"/>
      <w:marBottom w:val="0"/>
      <w:divBdr>
        <w:top w:val="none" w:sz="0" w:space="0" w:color="auto"/>
        <w:left w:val="none" w:sz="0" w:space="0" w:color="auto"/>
        <w:bottom w:val="none" w:sz="0" w:space="0" w:color="auto"/>
        <w:right w:val="none" w:sz="0" w:space="0" w:color="auto"/>
      </w:divBdr>
    </w:div>
    <w:div w:id="1924491768">
      <w:bodyDiv w:val="1"/>
      <w:marLeft w:val="0"/>
      <w:marRight w:val="0"/>
      <w:marTop w:val="0"/>
      <w:marBottom w:val="0"/>
      <w:divBdr>
        <w:top w:val="none" w:sz="0" w:space="0" w:color="auto"/>
        <w:left w:val="none" w:sz="0" w:space="0" w:color="auto"/>
        <w:bottom w:val="none" w:sz="0" w:space="0" w:color="auto"/>
        <w:right w:val="none" w:sz="0" w:space="0" w:color="auto"/>
      </w:divBdr>
    </w:div>
    <w:div w:id="1926762908">
      <w:bodyDiv w:val="1"/>
      <w:marLeft w:val="0"/>
      <w:marRight w:val="0"/>
      <w:marTop w:val="0"/>
      <w:marBottom w:val="0"/>
      <w:divBdr>
        <w:top w:val="none" w:sz="0" w:space="0" w:color="auto"/>
        <w:left w:val="none" w:sz="0" w:space="0" w:color="auto"/>
        <w:bottom w:val="none" w:sz="0" w:space="0" w:color="auto"/>
        <w:right w:val="none" w:sz="0" w:space="0" w:color="auto"/>
      </w:divBdr>
    </w:div>
    <w:div w:id="1960141877">
      <w:bodyDiv w:val="1"/>
      <w:marLeft w:val="0"/>
      <w:marRight w:val="0"/>
      <w:marTop w:val="0"/>
      <w:marBottom w:val="0"/>
      <w:divBdr>
        <w:top w:val="none" w:sz="0" w:space="0" w:color="auto"/>
        <w:left w:val="none" w:sz="0" w:space="0" w:color="auto"/>
        <w:bottom w:val="none" w:sz="0" w:space="0" w:color="auto"/>
        <w:right w:val="none" w:sz="0" w:space="0" w:color="auto"/>
      </w:divBdr>
    </w:div>
    <w:div w:id="1969772960">
      <w:bodyDiv w:val="1"/>
      <w:marLeft w:val="0"/>
      <w:marRight w:val="0"/>
      <w:marTop w:val="0"/>
      <w:marBottom w:val="0"/>
      <w:divBdr>
        <w:top w:val="none" w:sz="0" w:space="0" w:color="auto"/>
        <w:left w:val="none" w:sz="0" w:space="0" w:color="auto"/>
        <w:bottom w:val="none" w:sz="0" w:space="0" w:color="auto"/>
        <w:right w:val="none" w:sz="0" w:space="0" w:color="auto"/>
      </w:divBdr>
    </w:div>
    <w:div w:id="1998653429">
      <w:bodyDiv w:val="1"/>
      <w:marLeft w:val="0"/>
      <w:marRight w:val="0"/>
      <w:marTop w:val="0"/>
      <w:marBottom w:val="0"/>
      <w:divBdr>
        <w:top w:val="none" w:sz="0" w:space="0" w:color="auto"/>
        <w:left w:val="none" w:sz="0" w:space="0" w:color="auto"/>
        <w:bottom w:val="none" w:sz="0" w:space="0" w:color="auto"/>
        <w:right w:val="none" w:sz="0" w:space="0" w:color="auto"/>
      </w:divBdr>
    </w:div>
    <w:div w:id="2008244532">
      <w:bodyDiv w:val="1"/>
      <w:marLeft w:val="0"/>
      <w:marRight w:val="0"/>
      <w:marTop w:val="0"/>
      <w:marBottom w:val="0"/>
      <w:divBdr>
        <w:top w:val="none" w:sz="0" w:space="0" w:color="auto"/>
        <w:left w:val="none" w:sz="0" w:space="0" w:color="auto"/>
        <w:bottom w:val="none" w:sz="0" w:space="0" w:color="auto"/>
        <w:right w:val="none" w:sz="0" w:space="0" w:color="auto"/>
      </w:divBdr>
    </w:div>
    <w:div w:id="2014381572">
      <w:bodyDiv w:val="1"/>
      <w:marLeft w:val="0"/>
      <w:marRight w:val="0"/>
      <w:marTop w:val="0"/>
      <w:marBottom w:val="0"/>
      <w:divBdr>
        <w:top w:val="none" w:sz="0" w:space="0" w:color="auto"/>
        <w:left w:val="none" w:sz="0" w:space="0" w:color="auto"/>
        <w:bottom w:val="none" w:sz="0" w:space="0" w:color="auto"/>
        <w:right w:val="none" w:sz="0" w:space="0" w:color="auto"/>
      </w:divBdr>
    </w:div>
    <w:div w:id="2015258087">
      <w:bodyDiv w:val="1"/>
      <w:marLeft w:val="0"/>
      <w:marRight w:val="0"/>
      <w:marTop w:val="0"/>
      <w:marBottom w:val="0"/>
      <w:divBdr>
        <w:top w:val="none" w:sz="0" w:space="0" w:color="auto"/>
        <w:left w:val="none" w:sz="0" w:space="0" w:color="auto"/>
        <w:bottom w:val="none" w:sz="0" w:space="0" w:color="auto"/>
        <w:right w:val="none" w:sz="0" w:space="0" w:color="auto"/>
      </w:divBdr>
    </w:div>
    <w:div w:id="2021392706">
      <w:bodyDiv w:val="1"/>
      <w:marLeft w:val="0"/>
      <w:marRight w:val="0"/>
      <w:marTop w:val="0"/>
      <w:marBottom w:val="0"/>
      <w:divBdr>
        <w:top w:val="none" w:sz="0" w:space="0" w:color="auto"/>
        <w:left w:val="none" w:sz="0" w:space="0" w:color="auto"/>
        <w:bottom w:val="none" w:sz="0" w:space="0" w:color="auto"/>
        <w:right w:val="none" w:sz="0" w:space="0" w:color="auto"/>
      </w:divBdr>
    </w:div>
    <w:div w:id="2035379683">
      <w:bodyDiv w:val="1"/>
      <w:marLeft w:val="0"/>
      <w:marRight w:val="0"/>
      <w:marTop w:val="0"/>
      <w:marBottom w:val="0"/>
      <w:divBdr>
        <w:top w:val="none" w:sz="0" w:space="0" w:color="auto"/>
        <w:left w:val="none" w:sz="0" w:space="0" w:color="auto"/>
        <w:bottom w:val="none" w:sz="0" w:space="0" w:color="auto"/>
        <w:right w:val="none" w:sz="0" w:space="0" w:color="auto"/>
      </w:divBdr>
    </w:div>
    <w:div w:id="2040621868">
      <w:bodyDiv w:val="1"/>
      <w:marLeft w:val="0"/>
      <w:marRight w:val="0"/>
      <w:marTop w:val="0"/>
      <w:marBottom w:val="0"/>
      <w:divBdr>
        <w:top w:val="none" w:sz="0" w:space="0" w:color="auto"/>
        <w:left w:val="none" w:sz="0" w:space="0" w:color="auto"/>
        <w:bottom w:val="none" w:sz="0" w:space="0" w:color="auto"/>
        <w:right w:val="none" w:sz="0" w:space="0" w:color="auto"/>
      </w:divBdr>
    </w:div>
    <w:div w:id="2046900623">
      <w:bodyDiv w:val="1"/>
      <w:marLeft w:val="0"/>
      <w:marRight w:val="0"/>
      <w:marTop w:val="0"/>
      <w:marBottom w:val="0"/>
      <w:divBdr>
        <w:top w:val="none" w:sz="0" w:space="0" w:color="auto"/>
        <w:left w:val="none" w:sz="0" w:space="0" w:color="auto"/>
        <w:bottom w:val="none" w:sz="0" w:space="0" w:color="auto"/>
        <w:right w:val="none" w:sz="0" w:space="0" w:color="auto"/>
      </w:divBdr>
    </w:div>
    <w:div w:id="2050255987">
      <w:bodyDiv w:val="1"/>
      <w:marLeft w:val="0"/>
      <w:marRight w:val="0"/>
      <w:marTop w:val="0"/>
      <w:marBottom w:val="0"/>
      <w:divBdr>
        <w:top w:val="none" w:sz="0" w:space="0" w:color="auto"/>
        <w:left w:val="none" w:sz="0" w:space="0" w:color="auto"/>
        <w:bottom w:val="none" w:sz="0" w:space="0" w:color="auto"/>
        <w:right w:val="none" w:sz="0" w:space="0" w:color="auto"/>
      </w:divBdr>
    </w:div>
    <w:div w:id="2052533747">
      <w:bodyDiv w:val="1"/>
      <w:marLeft w:val="0"/>
      <w:marRight w:val="0"/>
      <w:marTop w:val="0"/>
      <w:marBottom w:val="0"/>
      <w:divBdr>
        <w:top w:val="none" w:sz="0" w:space="0" w:color="auto"/>
        <w:left w:val="none" w:sz="0" w:space="0" w:color="auto"/>
        <w:bottom w:val="none" w:sz="0" w:space="0" w:color="auto"/>
        <w:right w:val="none" w:sz="0" w:space="0" w:color="auto"/>
      </w:divBdr>
    </w:div>
    <w:div w:id="2059620715">
      <w:bodyDiv w:val="1"/>
      <w:marLeft w:val="0"/>
      <w:marRight w:val="0"/>
      <w:marTop w:val="0"/>
      <w:marBottom w:val="0"/>
      <w:divBdr>
        <w:top w:val="none" w:sz="0" w:space="0" w:color="auto"/>
        <w:left w:val="none" w:sz="0" w:space="0" w:color="auto"/>
        <w:bottom w:val="none" w:sz="0" w:space="0" w:color="auto"/>
        <w:right w:val="none" w:sz="0" w:space="0" w:color="auto"/>
      </w:divBdr>
    </w:div>
    <w:div w:id="2068531644">
      <w:bodyDiv w:val="1"/>
      <w:marLeft w:val="0"/>
      <w:marRight w:val="0"/>
      <w:marTop w:val="0"/>
      <w:marBottom w:val="0"/>
      <w:divBdr>
        <w:top w:val="none" w:sz="0" w:space="0" w:color="auto"/>
        <w:left w:val="none" w:sz="0" w:space="0" w:color="auto"/>
        <w:bottom w:val="none" w:sz="0" w:space="0" w:color="auto"/>
        <w:right w:val="none" w:sz="0" w:space="0" w:color="auto"/>
      </w:divBdr>
    </w:div>
    <w:div w:id="2076007983">
      <w:bodyDiv w:val="1"/>
      <w:marLeft w:val="0"/>
      <w:marRight w:val="0"/>
      <w:marTop w:val="0"/>
      <w:marBottom w:val="0"/>
      <w:divBdr>
        <w:top w:val="none" w:sz="0" w:space="0" w:color="auto"/>
        <w:left w:val="none" w:sz="0" w:space="0" w:color="auto"/>
        <w:bottom w:val="none" w:sz="0" w:space="0" w:color="auto"/>
        <w:right w:val="none" w:sz="0" w:space="0" w:color="auto"/>
      </w:divBdr>
    </w:div>
    <w:div w:id="2085566088">
      <w:bodyDiv w:val="1"/>
      <w:marLeft w:val="0"/>
      <w:marRight w:val="0"/>
      <w:marTop w:val="0"/>
      <w:marBottom w:val="0"/>
      <w:divBdr>
        <w:top w:val="none" w:sz="0" w:space="0" w:color="auto"/>
        <w:left w:val="none" w:sz="0" w:space="0" w:color="auto"/>
        <w:bottom w:val="none" w:sz="0" w:space="0" w:color="auto"/>
        <w:right w:val="none" w:sz="0" w:space="0" w:color="auto"/>
      </w:divBdr>
    </w:div>
    <w:div w:id="2088457412">
      <w:bodyDiv w:val="1"/>
      <w:marLeft w:val="0"/>
      <w:marRight w:val="0"/>
      <w:marTop w:val="0"/>
      <w:marBottom w:val="0"/>
      <w:divBdr>
        <w:top w:val="none" w:sz="0" w:space="0" w:color="auto"/>
        <w:left w:val="none" w:sz="0" w:space="0" w:color="auto"/>
        <w:bottom w:val="none" w:sz="0" w:space="0" w:color="auto"/>
        <w:right w:val="none" w:sz="0" w:space="0" w:color="auto"/>
      </w:divBdr>
    </w:div>
    <w:div w:id="2094156181">
      <w:bodyDiv w:val="1"/>
      <w:marLeft w:val="0"/>
      <w:marRight w:val="0"/>
      <w:marTop w:val="0"/>
      <w:marBottom w:val="0"/>
      <w:divBdr>
        <w:top w:val="none" w:sz="0" w:space="0" w:color="auto"/>
        <w:left w:val="none" w:sz="0" w:space="0" w:color="auto"/>
        <w:bottom w:val="none" w:sz="0" w:space="0" w:color="auto"/>
        <w:right w:val="none" w:sz="0" w:space="0" w:color="auto"/>
      </w:divBdr>
    </w:div>
    <w:div w:id="2101752991">
      <w:bodyDiv w:val="1"/>
      <w:marLeft w:val="0"/>
      <w:marRight w:val="0"/>
      <w:marTop w:val="0"/>
      <w:marBottom w:val="0"/>
      <w:divBdr>
        <w:top w:val="none" w:sz="0" w:space="0" w:color="auto"/>
        <w:left w:val="none" w:sz="0" w:space="0" w:color="auto"/>
        <w:bottom w:val="none" w:sz="0" w:space="0" w:color="auto"/>
        <w:right w:val="none" w:sz="0" w:space="0" w:color="auto"/>
      </w:divBdr>
    </w:div>
    <w:div w:id="2112041592">
      <w:bodyDiv w:val="1"/>
      <w:marLeft w:val="0"/>
      <w:marRight w:val="0"/>
      <w:marTop w:val="0"/>
      <w:marBottom w:val="0"/>
      <w:divBdr>
        <w:top w:val="none" w:sz="0" w:space="0" w:color="auto"/>
        <w:left w:val="none" w:sz="0" w:space="0" w:color="auto"/>
        <w:bottom w:val="none" w:sz="0" w:space="0" w:color="auto"/>
        <w:right w:val="none" w:sz="0" w:space="0" w:color="auto"/>
      </w:divBdr>
    </w:div>
    <w:div w:id="2117477638">
      <w:bodyDiv w:val="1"/>
      <w:marLeft w:val="0"/>
      <w:marRight w:val="0"/>
      <w:marTop w:val="0"/>
      <w:marBottom w:val="0"/>
      <w:divBdr>
        <w:top w:val="none" w:sz="0" w:space="0" w:color="auto"/>
        <w:left w:val="none" w:sz="0" w:space="0" w:color="auto"/>
        <w:bottom w:val="none" w:sz="0" w:space="0" w:color="auto"/>
        <w:right w:val="none" w:sz="0" w:space="0" w:color="auto"/>
      </w:divBdr>
    </w:div>
    <w:div w:id="2123961869">
      <w:bodyDiv w:val="1"/>
      <w:marLeft w:val="0"/>
      <w:marRight w:val="0"/>
      <w:marTop w:val="0"/>
      <w:marBottom w:val="0"/>
      <w:divBdr>
        <w:top w:val="none" w:sz="0" w:space="0" w:color="auto"/>
        <w:left w:val="none" w:sz="0" w:space="0" w:color="auto"/>
        <w:bottom w:val="none" w:sz="0" w:space="0" w:color="auto"/>
        <w:right w:val="none" w:sz="0" w:space="0" w:color="auto"/>
      </w:divBdr>
    </w:div>
    <w:div w:id="2127390088">
      <w:bodyDiv w:val="1"/>
      <w:marLeft w:val="0"/>
      <w:marRight w:val="0"/>
      <w:marTop w:val="0"/>
      <w:marBottom w:val="0"/>
      <w:divBdr>
        <w:top w:val="none" w:sz="0" w:space="0" w:color="auto"/>
        <w:left w:val="none" w:sz="0" w:space="0" w:color="auto"/>
        <w:bottom w:val="none" w:sz="0" w:space="0" w:color="auto"/>
        <w:right w:val="none" w:sz="0" w:space="0" w:color="auto"/>
      </w:divBdr>
    </w:div>
    <w:div w:id="2129204781">
      <w:bodyDiv w:val="1"/>
      <w:marLeft w:val="0"/>
      <w:marRight w:val="0"/>
      <w:marTop w:val="0"/>
      <w:marBottom w:val="0"/>
      <w:divBdr>
        <w:top w:val="none" w:sz="0" w:space="0" w:color="auto"/>
        <w:left w:val="none" w:sz="0" w:space="0" w:color="auto"/>
        <w:bottom w:val="none" w:sz="0" w:space="0" w:color="auto"/>
        <w:right w:val="none" w:sz="0" w:space="0" w:color="auto"/>
      </w:divBdr>
    </w:div>
    <w:div w:id="2132240371">
      <w:bodyDiv w:val="1"/>
      <w:marLeft w:val="0"/>
      <w:marRight w:val="0"/>
      <w:marTop w:val="0"/>
      <w:marBottom w:val="0"/>
      <w:divBdr>
        <w:top w:val="none" w:sz="0" w:space="0" w:color="auto"/>
        <w:left w:val="none" w:sz="0" w:space="0" w:color="auto"/>
        <w:bottom w:val="none" w:sz="0" w:space="0" w:color="auto"/>
        <w:right w:val="none" w:sz="0" w:space="0" w:color="auto"/>
      </w:divBdr>
    </w:div>
    <w:div w:id="2133939346">
      <w:bodyDiv w:val="1"/>
      <w:marLeft w:val="0"/>
      <w:marRight w:val="0"/>
      <w:marTop w:val="0"/>
      <w:marBottom w:val="0"/>
      <w:divBdr>
        <w:top w:val="none" w:sz="0" w:space="0" w:color="auto"/>
        <w:left w:val="none" w:sz="0" w:space="0" w:color="auto"/>
        <w:bottom w:val="none" w:sz="0" w:space="0" w:color="auto"/>
        <w:right w:val="none" w:sz="0" w:space="0" w:color="auto"/>
      </w:divBdr>
    </w:div>
    <w:div w:id="21368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http://www.mass.gov/dph/hs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http://www.ncbi.nlm.nih.gov/pubmed/2174997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mailto:PATHprojectofficer@mail.nih.gov" TargetMode="External"/><Relationship Id="rId29" Type="http://schemas.openxmlformats.org/officeDocument/2006/relationships/hyperlink" Target="http://www.samhsa.gov/data/NSDUH/2012SummNatFindDetTables/Index.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dol.gov/dol/topic/wages/minimumwage.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yperlink" Target="http://www.bls.gov/oes/current/oes_nat.htm" TargetMode="External"/><Relationship Id="rId28" Type="http://schemas.openxmlformats.org/officeDocument/2006/relationships/hyperlink" Target="http://wwwn.cdc.gov/qbank/report/Miller_NCHS_2011_NHIS%20Sexual%20Identity.pdf" TargetMode="Externa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hyperlink" Target="http://www.surveypractice.org/index.php/SurveyPractice/article/view/106/html" TargetMode="External"/><Relationship Id="rId30" Type="http://schemas.openxmlformats.org/officeDocument/2006/relationships/hyperlink" Target="http://www.surgeongeneral.gov/library/reports/50-years-of-progress/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0" ma:contentTypeDescription="Create a new document." ma:contentTypeScope="" ma:versionID="c83740e8057cc657eee978a39d787aa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2511D-3382-4524-8A48-F9EE752D3F6F}">
  <ds:schemaRefs>
    <ds:schemaRef ds:uri="http://schemas.openxmlformats.org/officeDocument/2006/bibliography"/>
  </ds:schemaRefs>
</ds:datastoreItem>
</file>

<file path=customXml/itemProps10.xml><?xml version="1.0" encoding="utf-8"?>
<ds:datastoreItem xmlns:ds="http://schemas.openxmlformats.org/officeDocument/2006/customXml" ds:itemID="{59422CD0-4265-4BB6-AADA-AC1AC17CB79A}">
  <ds:schemaRefs>
    <ds:schemaRef ds:uri="http://schemas.openxmlformats.org/officeDocument/2006/bibliography"/>
  </ds:schemaRefs>
</ds:datastoreItem>
</file>

<file path=customXml/itemProps11.xml><?xml version="1.0" encoding="utf-8"?>
<ds:datastoreItem xmlns:ds="http://schemas.openxmlformats.org/officeDocument/2006/customXml" ds:itemID="{5EAA04AF-DEC7-40F9-9627-7B04A6A917B9}">
  <ds:schemaRefs>
    <ds:schemaRef ds:uri="http://schemas.openxmlformats.org/officeDocument/2006/bibliography"/>
  </ds:schemaRefs>
</ds:datastoreItem>
</file>

<file path=customXml/itemProps12.xml><?xml version="1.0" encoding="utf-8"?>
<ds:datastoreItem xmlns:ds="http://schemas.openxmlformats.org/officeDocument/2006/customXml" ds:itemID="{C3609E4A-C167-408F-9538-778B2F28BB19}">
  <ds:schemaRefs>
    <ds:schemaRef ds:uri="http://schemas.openxmlformats.org/officeDocument/2006/bibliography"/>
  </ds:schemaRefs>
</ds:datastoreItem>
</file>

<file path=customXml/itemProps2.xml><?xml version="1.0" encoding="utf-8"?>
<ds:datastoreItem xmlns:ds="http://schemas.openxmlformats.org/officeDocument/2006/customXml" ds:itemID="{713A1484-BE1C-412E-B3DE-175624F8149E}">
  <ds:schemaRefs>
    <ds:schemaRef ds:uri="http://schemas.openxmlformats.org/officeDocument/2006/bibliography"/>
  </ds:schemaRefs>
</ds:datastoreItem>
</file>

<file path=customXml/itemProps3.xml><?xml version="1.0" encoding="utf-8"?>
<ds:datastoreItem xmlns:ds="http://schemas.openxmlformats.org/officeDocument/2006/customXml" ds:itemID="{8F52F229-7459-4F36-B108-CC6929B31E03}">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A6E267E-8B04-4616-857F-6DBD3287BCFB}">
  <ds:schemaRefs>
    <ds:schemaRef ds:uri="http://schemas.openxmlformats.org/officeDocument/2006/bibliography"/>
  </ds:schemaRefs>
</ds:datastoreItem>
</file>

<file path=customXml/itemProps5.xml><?xml version="1.0" encoding="utf-8"?>
<ds:datastoreItem xmlns:ds="http://schemas.openxmlformats.org/officeDocument/2006/customXml" ds:itemID="{8D502994-64E4-4862-9D13-94B8613FDE94}">
  <ds:schemaRefs>
    <ds:schemaRef ds:uri="http://schemas.openxmlformats.org/officeDocument/2006/bibliography"/>
  </ds:schemaRefs>
</ds:datastoreItem>
</file>

<file path=customXml/itemProps6.xml><?xml version="1.0" encoding="utf-8"?>
<ds:datastoreItem xmlns:ds="http://schemas.openxmlformats.org/officeDocument/2006/customXml" ds:itemID="{3AC28BAA-38E1-4FB7-B6CA-61DFCCCF3331}">
  <ds:schemaRefs>
    <ds:schemaRef ds:uri="http://schemas.openxmlformats.org/officeDocument/2006/bibliography"/>
  </ds:schemaRefs>
</ds:datastoreItem>
</file>

<file path=customXml/itemProps7.xml><?xml version="1.0" encoding="utf-8"?>
<ds:datastoreItem xmlns:ds="http://schemas.openxmlformats.org/officeDocument/2006/customXml" ds:itemID="{EFB5C85F-87DD-4D01-8AD2-B6125F82752A}">
  <ds:schemaRefs>
    <ds:schemaRef ds:uri="http://schemas.microsoft.com/sharepoint/v3/contenttype/forms"/>
  </ds:schemaRefs>
</ds:datastoreItem>
</file>

<file path=customXml/itemProps8.xml><?xml version="1.0" encoding="utf-8"?>
<ds:datastoreItem xmlns:ds="http://schemas.openxmlformats.org/officeDocument/2006/customXml" ds:itemID="{9CE5DE04-78DD-43B3-A8A3-44AED9C2FF0A}">
  <ds:schemaRefs>
    <ds:schemaRef ds:uri="http://schemas.openxmlformats.org/officeDocument/2006/bibliography"/>
  </ds:schemaRefs>
</ds:datastoreItem>
</file>

<file path=customXml/itemProps9.xml><?xml version="1.0" encoding="utf-8"?>
<ds:datastoreItem xmlns:ds="http://schemas.openxmlformats.org/officeDocument/2006/customXml" ds:itemID="{C04B2F3A-8AD4-4014-A200-D6DF05CA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15122</Words>
  <Characters>86199</Characters>
  <Application>Microsoft Office Word</Application>
  <DocSecurity>4</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101119</CharactersWithSpaces>
  <SharedDoc>false</SharedDoc>
  <HLinks>
    <vt:vector size="36" baseType="variant">
      <vt:variant>
        <vt:i4>6291516</vt:i4>
      </vt:variant>
      <vt:variant>
        <vt:i4>15</vt:i4>
      </vt:variant>
      <vt:variant>
        <vt:i4>0</vt:i4>
      </vt:variant>
      <vt:variant>
        <vt:i4>5</vt:i4>
      </vt:variant>
      <vt:variant>
        <vt:lpwstr>http://www.samhsa.gov/data/nsduh/2k11results/nsduhresults2011.htm</vt:lpwstr>
      </vt:variant>
      <vt:variant>
        <vt:lpwstr>Ch4</vt:lpwstr>
      </vt:variant>
      <vt:variant>
        <vt:i4>5373962</vt:i4>
      </vt:variant>
      <vt:variant>
        <vt:i4>12</vt:i4>
      </vt:variant>
      <vt:variant>
        <vt:i4>0</vt:i4>
      </vt:variant>
      <vt:variant>
        <vt:i4>5</vt:i4>
      </vt:variant>
      <vt:variant>
        <vt:lpwstr>ftp://ftp.cdc.gov/pub/health_statistics/nchs/dataset_documentation/nhis/1997/srvydesc.pdf</vt:lpwstr>
      </vt:variant>
      <vt:variant>
        <vt:lpwstr/>
      </vt:variant>
      <vt:variant>
        <vt:i4>3866666</vt:i4>
      </vt:variant>
      <vt:variant>
        <vt:i4>9</vt:i4>
      </vt:variant>
      <vt:variant>
        <vt:i4>0</vt:i4>
      </vt:variant>
      <vt:variant>
        <vt:i4>5</vt:i4>
      </vt:variant>
      <vt:variant>
        <vt:lpwstr>http://www.ncbi.nlm.nih.gov/pubmed/21749974</vt:lpwstr>
      </vt:variant>
      <vt:variant>
        <vt:lpwstr/>
      </vt:variant>
      <vt:variant>
        <vt:i4>3932204</vt:i4>
      </vt:variant>
      <vt:variant>
        <vt:i4>6</vt:i4>
      </vt:variant>
      <vt:variant>
        <vt:i4>0</vt:i4>
      </vt:variant>
      <vt:variant>
        <vt:i4>5</vt:i4>
      </vt:variant>
      <vt:variant>
        <vt:lpwstr>http://www.dol.gov/dol/topic/wages/minimumwage.htm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5767202</vt:i4>
      </vt:variant>
      <vt:variant>
        <vt:i4>0</vt:i4>
      </vt:variant>
      <vt:variant>
        <vt:i4>0</vt:i4>
      </vt:variant>
      <vt:variant>
        <vt:i4>5</vt:i4>
      </vt:variant>
      <vt:variant>
        <vt:lpwstr>mailto:PATHprojectofficer@mail.nih.gov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Perryman, Seleda</cp:lastModifiedBy>
  <cp:revision>2</cp:revision>
  <cp:lastPrinted>2014-06-26T19:34:00Z</cp:lastPrinted>
  <dcterms:created xsi:type="dcterms:W3CDTF">2015-05-18T14:27:00Z</dcterms:created>
  <dcterms:modified xsi:type="dcterms:W3CDTF">2015-05-18T14:27:00Z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0x01010037D7CF46EBDF1D4E8E150B22920314B1</vt:lpwstr>
  </property>
</Properties>
</file>