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D59"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bookmarkStart w:id="0" w:name="_GoBack"/>
      <w:bookmarkEnd w:id="0"/>
      <w:r w:rsidRPr="00BB7431">
        <w:rPr>
          <w:b/>
          <w:bCs/>
          <w:sz w:val="24"/>
        </w:rPr>
        <w:t>Supporting Statement – Part A</w:t>
      </w:r>
    </w:p>
    <w:p w:rsidR="00BB7431" w:rsidRDefault="00BB7431"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Pr>
          <w:b/>
          <w:bCs/>
          <w:sz w:val="24"/>
        </w:rPr>
        <w:t xml:space="preserve">Medicaid Comprehensive Quality Strategy (CQS) and </w:t>
      </w:r>
    </w:p>
    <w:p w:rsidR="00BB7431" w:rsidRDefault="00BB7431"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Pr>
          <w:b/>
          <w:bCs/>
          <w:sz w:val="24"/>
        </w:rPr>
        <w:t xml:space="preserve">Supporting Regulations </w:t>
      </w:r>
      <w:r w:rsidRPr="00BB7431">
        <w:rPr>
          <w:b/>
          <w:bCs/>
          <w:sz w:val="24"/>
        </w:rPr>
        <w:t xml:space="preserve">in </w:t>
      </w:r>
      <w:r w:rsidR="00FF30B6" w:rsidRPr="00BB7431">
        <w:rPr>
          <w:b/>
          <w:sz w:val="24"/>
        </w:rPr>
        <w:t>§</w:t>
      </w:r>
      <w:r w:rsidRPr="00BB7431">
        <w:rPr>
          <w:b/>
          <w:sz w:val="24"/>
        </w:rPr>
        <w:t xml:space="preserve">§431.500, 431.502, 431.504, </w:t>
      </w:r>
      <w:r w:rsidR="000C774B">
        <w:rPr>
          <w:b/>
          <w:sz w:val="24"/>
        </w:rPr>
        <w:t xml:space="preserve">and </w:t>
      </w:r>
      <w:r w:rsidRPr="00BB7431">
        <w:rPr>
          <w:b/>
          <w:sz w:val="24"/>
        </w:rPr>
        <w:t>431.506</w:t>
      </w:r>
    </w:p>
    <w:p w:rsidR="000C774B" w:rsidRPr="00BB7431" w:rsidRDefault="000C774B"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Pr>
          <w:b/>
          <w:sz w:val="24"/>
        </w:rPr>
        <w:t>CMS-10553, OMB 0938-NEW</w:t>
      </w:r>
    </w:p>
    <w:p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56D19" w:rsidRDefault="00156D19" w:rsidP="00156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This package is associated with a June 1, 2015 </w:t>
      </w:r>
      <w:proofErr w:type="spellStart"/>
      <w:r>
        <w:rPr>
          <w:sz w:val="24"/>
        </w:rPr>
        <w:t>NPRM</w:t>
      </w:r>
      <w:proofErr w:type="spellEnd"/>
      <w:r>
        <w:rPr>
          <w:sz w:val="24"/>
        </w:rPr>
        <w:t xml:space="preserve"> (CMS-2390-P; </w:t>
      </w:r>
      <w:proofErr w:type="spellStart"/>
      <w:r>
        <w:rPr>
          <w:sz w:val="24"/>
        </w:rPr>
        <w:t>RIN</w:t>
      </w:r>
      <w:proofErr w:type="spellEnd"/>
      <w:r>
        <w:rPr>
          <w:sz w:val="24"/>
        </w:rPr>
        <w:t xml:space="preserve"> 0938-</w:t>
      </w:r>
      <w:proofErr w:type="spellStart"/>
      <w:r>
        <w:rPr>
          <w:sz w:val="24"/>
        </w:rPr>
        <w:t>AS25</w:t>
      </w:r>
      <w:proofErr w:type="spellEnd"/>
      <w:r>
        <w:rPr>
          <w:sz w:val="24"/>
        </w:rPr>
        <w:t xml:space="preserve">). </w:t>
      </w:r>
    </w:p>
    <w:p w:rsidR="00156D19" w:rsidRDefault="00156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56D1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56D19">
        <w:rPr>
          <w:b/>
          <w:bCs/>
          <w:sz w:val="24"/>
        </w:rPr>
        <w:t>Background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35712B" w:rsidP="003316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Medicaid managed care proposed rule (CMS-2390-P) would modernize Medicaid managed care regulations to reflect changes in the usage of managed care delivery systems.  In addition to changes to managed care regulations, this proposed rule would also require all states and territories to establish a comprehensive quality strategy </w:t>
      </w:r>
      <w:r w:rsidR="0071516F">
        <w:rPr>
          <w:sz w:val="24"/>
        </w:rPr>
        <w:t xml:space="preserve">(CQS) </w:t>
      </w:r>
      <w:r>
        <w:rPr>
          <w:sz w:val="24"/>
        </w:rPr>
        <w:t>for the state’s entire Medicaid program.</w:t>
      </w:r>
      <w:r w:rsidR="0071516F">
        <w:rPr>
          <w:sz w:val="24"/>
        </w:rPr>
        <w:t xml:space="preserve">  States would review and revise the CQS at least once every three years, and would engage the public in drafting both original and revised CQS.</w:t>
      </w:r>
      <w:r>
        <w:rPr>
          <w:sz w:val="24"/>
        </w:rPr>
        <w:t xml:space="preserve">  This builds on the requirement in </w:t>
      </w:r>
      <w:r w:rsidR="00BA2312">
        <w:rPr>
          <w:sz w:val="24"/>
        </w:rPr>
        <w:t>part 438 for a Medicaid managed care quality strategy, and would ensure that states and territories are engaged in goal setting and performance measurement for their entire Medicaid program, regardless of delivery system.</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56D19" w:rsidRDefault="00156D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156D19">
        <w:rPr>
          <w:b/>
          <w:bCs/>
          <w:sz w:val="24"/>
        </w:rPr>
        <w:t>A</w:t>
      </w:r>
      <w:r w:rsidR="008F1EB4" w:rsidRPr="00156D19">
        <w:rPr>
          <w:b/>
          <w:bCs/>
          <w:sz w:val="24"/>
        </w:rPr>
        <w:t>.</w:t>
      </w:r>
      <w:r w:rsidR="008F1EB4" w:rsidRPr="00156D19">
        <w:rPr>
          <w:b/>
          <w:bCs/>
          <w:sz w:val="24"/>
        </w:rPr>
        <w:tab/>
        <w:t>Justification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w:t>
      </w:r>
      <w:r>
        <w:rPr>
          <w:sz w:val="24"/>
        </w:rPr>
        <w:tab/>
      </w:r>
      <w:r>
        <w:rPr>
          <w:sz w:val="24"/>
          <w:u w:val="single"/>
        </w:rPr>
        <w:t>Need and Legal Basis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F27649" w:rsidP="00F276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Section</w:t>
      </w:r>
      <w:r w:rsidRPr="00F42B0D">
        <w:rPr>
          <w:sz w:val="24"/>
        </w:rPr>
        <w:t xml:space="preserve"> 1932(c</w:t>
      </w:r>
      <w:proofErr w:type="gramStart"/>
      <w:r w:rsidRPr="00F42B0D">
        <w:rPr>
          <w:sz w:val="24"/>
        </w:rPr>
        <w:t>)</w:t>
      </w:r>
      <w:r>
        <w:rPr>
          <w:sz w:val="24"/>
        </w:rPr>
        <w:t>(</w:t>
      </w:r>
      <w:proofErr w:type="gramEnd"/>
      <w:r>
        <w:rPr>
          <w:sz w:val="24"/>
        </w:rPr>
        <w:t>1)</w:t>
      </w:r>
      <w:r w:rsidRPr="00F42B0D">
        <w:rPr>
          <w:sz w:val="24"/>
        </w:rPr>
        <w:t xml:space="preserve"> requires </w:t>
      </w:r>
      <w:r w:rsidR="006A0B9C">
        <w:rPr>
          <w:sz w:val="24"/>
        </w:rPr>
        <w:t>s</w:t>
      </w:r>
      <w:r w:rsidRPr="00F42B0D">
        <w:rPr>
          <w:sz w:val="24"/>
        </w:rPr>
        <w:t>tates to develop and implement quality assessment and improvement strategies for their managed care arrangements.</w:t>
      </w:r>
    </w:p>
    <w:p w:rsidR="006A0B9C" w:rsidRDefault="006A0B9C" w:rsidP="00F276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A0B9C" w:rsidRDefault="006A0B9C" w:rsidP="00F276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Section 1902(a</w:t>
      </w:r>
      <w:proofErr w:type="gramStart"/>
      <w:r>
        <w:rPr>
          <w:sz w:val="24"/>
        </w:rPr>
        <w:t>)(</w:t>
      </w:r>
      <w:proofErr w:type="gramEnd"/>
      <w:r>
        <w:rPr>
          <w:sz w:val="24"/>
        </w:rPr>
        <w:t xml:space="preserve">4) requires such methods of administration as </w:t>
      </w:r>
      <w:r w:rsidR="00650512">
        <w:rPr>
          <w:sz w:val="24"/>
        </w:rPr>
        <w:t xml:space="preserve">are found by </w:t>
      </w:r>
      <w:r>
        <w:rPr>
          <w:sz w:val="24"/>
        </w:rPr>
        <w:t xml:space="preserve">the Secretary </w:t>
      </w:r>
      <w:r w:rsidR="00650512">
        <w:rPr>
          <w:sz w:val="24"/>
        </w:rPr>
        <w:t>to be</w:t>
      </w:r>
      <w:r>
        <w:rPr>
          <w:sz w:val="24"/>
        </w:rPr>
        <w:t xml:space="preserve"> necessary for the proper and efficient operation of the plan.</w:t>
      </w:r>
    </w:p>
    <w:p w:rsidR="00BA2312" w:rsidRDefault="00BA2312" w:rsidP="00F276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A2312" w:rsidRDefault="00BA2312" w:rsidP="00F276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Section 1902(a)(6)</w:t>
      </w:r>
      <w:r w:rsidR="00475340">
        <w:rPr>
          <w:sz w:val="24"/>
        </w:rPr>
        <w:t xml:space="preserve"> requires </w:t>
      </w:r>
      <w:r w:rsidR="00475340" w:rsidRPr="00475340">
        <w:rPr>
          <w:sz w:val="24"/>
        </w:rPr>
        <w:t>that the State agency will make such reports, in such form and containing such information, as the Secretary may from time to time require, and comply with such provisions as the Secretary may from time to time find necessary to assure the correctness a</w:t>
      </w:r>
      <w:r w:rsidR="00475340">
        <w:rPr>
          <w:sz w:val="24"/>
        </w:rPr>
        <w:t>nd verification of such reports.</w:t>
      </w:r>
    </w:p>
    <w:p w:rsidR="00BA2312" w:rsidRDefault="00BA2312" w:rsidP="00F276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A2312" w:rsidRDefault="00BA2312" w:rsidP="00F276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Section 1902(a</w:t>
      </w:r>
      <w:proofErr w:type="gramStart"/>
      <w:r>
        <w:rPr>
          <w:sz w:val="24"/>
        </w:rPr>
        <w:t>)(</w:t>
      </w:r>
      <w:proofErr w:type="gramEnd"/>
      <w:r>
        <w:rPr>
          <w:sz w:val="24"/>
        </w:rPr>
        <w:t>19)</w:t>
      </w:r>
      <w:r w:rsidR="00475340" w:rsidRPr="00475340">
        <w:rPr>
          <w:sz w:val="24"/>
        </w:rPr>
        <w:t xml:space="preserve"> requires such safeguards as may be necessary to assure that eligibility for care and services under the plan will be determined, and such care and services will be provided, in a manner consistent with simplicity of administration and the b</w:t>
      </w:r>
      <w:r w:rsidR="00475340">
        <w:rPr>
          <w:sz w:val="24"/>
        </w:rPr>
        <w:t>est interests of the recipients.</w:t>
      </w:r>
    </w:p>
    <w:p w:rsidR="00BA2312" w:rsidRDefault="00BA2312" w:rsidP="00F276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A2312" w:rsidRDefault="00BA2312" w:rsidP="00F276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Section 1902(a</w:t>
      </w:r>
      <w:proofErr w:type="gramStart"/>
      <w:r>
        <w:rPr>
          <w:sz w:val="24"/>
        </w:rPr>
        <w:t>)(</w:t>
      </w:r>
      <w:proofErr w:type="gramEnd"/>
      <w:r>
        <w:rPr>
          <w:sz w:val="24"/>
        </w:rPr>
        <w:t>22)</w:t>
      </w:r>
      <w:r w:rsidR="00475340" w:rsidRPr="00475340">
        <w:t xml:space="preserve"> </w:t>
      </w:r>
      <w:r w:rsidR="00475340">
        <w:rPr>
          <w:sz w:val="24"/>
        </w:rPr>
        <w:t xml:space="preserve">requires descriptions of the </w:t>
      </w:r>
      <w:r w:rsidR="00650512">
        <w:rPr>
          <w:sz w:val="24"/>
        </w:rPr>
        <w:t xml:space="preserve">other </w:t>
      </w:r>
      <w:r w:rsidR="00475340" w:rsidRPr="00475340">
        <w:rPr>
          <w:sz w:val="24"/>
        </w:rPr>
        <w:t xml:space="preserve">standards and methods that the </w:t>
      </w:r>
      <w:r w:rsidR="00475340">
        <w:rPr>
          <w:sz w:val="24"/>
        </w:rPr>
        <w:t>s</w:t>
      </w:r>
      <w:r w:rsidR="00475340" w:rsidRPr="00475340">
        <w:rPr>
          <w:sz w:val="24"/>
        </w:rPr>
        <w:t>tate will use to assure that medical or remedial care and services provided to recipients of medical</w:t>
      </w:r>
      <w:r w:rsidR="00475340">
        <w:rPr>
          <w:sz w:val="24"/>
        </w:rPr>
        <w:t xml:space="preserve"> assistance are of high quality.</w:t>
      </w:r>
    </w:p>
    <w:p w:rsidR="00F27649" w:rsidRDefault="00F27649" w:rsidP="00F276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sidRPr="00BA2312">
        <w:rPr>
          <w:sz w:val="24"/>
          <w:u w:val="single"/>
        </w:rPr>
        <w:t>Information Users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BA23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lastRenderedPageBreak/>
        <w:t>Medicaid beneficiaries and stakeholders use the information collected and reported to understand the state’s quality improvement goals and objectives, and to understand how the state is measuring progress on its goals.</w:t>
      </w:r>
    </w:p>
    <w:p w:rsidR="00BA2312" w:rsidRDefault="00BA23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A2312" w:rsidRDefault="00BA23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States use this information to help monitor and assess the performance of their Medicaid programs.  This information may assist states in comparing the outcomes of different delivery systems and can assist them in identifying future performance improvement subjects.</w:t>
      </w:r>
    </w:p>
    <w:p w:rsidR="00BA2312" w:rsidRDefault="00BA23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A2312" w:rsidRDefault="00BA23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CMS uses this information as a part of its oversight of Medicaid programs.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sidRPr="003C7AC9">
        <w:rPr>
          <w:sz w:val="24"/>
          <w:u w:val="single"/>
        </w:rPr>
        <w:t>Use of Information Technology</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C7AC9" w:rsidRDefault="003C7A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States will post their final comprehensive quality strategies, and effectiveness evaluations of their strategies, on their Medicaid websites.  This will ensure the public has electronic access to this information.  States have discretion regarding their use of information technology for the public engagement process.</w:t>
      </w:r>
    </w:p>
    <w:p w:rsidR="003C7AC9" w:rsidRDefault="003C7A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C7AC9" w:rsidRDefault="003C7A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While there is discretion, we expect that states will generally submit their comprehensive quality strategies to CMS for review via email.  No signature, electronic or written is required for this document.</w:t>
      </w:r>
    </w:p>
    <w:p w:rsidR="003C7AC9" w:rsidRDefault="003C7A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sidRPr="003C7AC9">
        <w:rPr>
          <w:sz w:val="24"/>
          <w:u w:val="single"/>
        </w:rPr>
        <w:t>Duplication of Efforts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C7AC9" w:rsidRDefault="003C7A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States that contract with MCOs and/or PIHPs have been required to have and operate a Medicaid managed care quality strategy since 2002.  The proposed comprehensive quality strategy regulations include a reference to the managed care quality strategy requirements to ensure that states create a single document for their entire Medicaid program, to ensure this work is not duplicated.</w:t>
      </w:r>
    </w:p>
    <w:p w:rsidR="003C7AC9" w:rsidRDefault="003C7A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3C7A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w:t>
      </w:r>
      <w:r w:rsidR="008F1EB4">
        <w:rPr>
          <w:sz w:val="24"/>
        </w:rPr>
        <w:t>his information collection does not duplicate any other effort and the information cannot be</w:t>
      </w:r>
      <w:r>
        <w:rPr>
          <w:sz w:val="24"/>
        </w:rPr>
        <w:t xml:space="preserve"> obtained from any other source.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957FAC" w:rsidP="003127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rPr>
          <w:sz w:val="24"/>
        </w:rPr>
      </w:pPr>
      <w:r>
        <w:rPr>
          <w:sz w:val="24"/>
        </w:rPr>
        <w:t>These information collection requirements do not affect small businesses</w:t>
      </w:r>
      <w:r w:rsidR="008F1EB4">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sidRPr="00AE57A1">
        <w:rPr>
          <w:sz w:val="24"/>
          <w:u w:val="single"/>
        </w:rPr>
        <w:t>Less Frequent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24E16" w:rsidRDefault="00AE57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proposed rule would establish that the comprehensive quality strategy should be reviewed</w:t>
      </w:r>
      <w:r w:rsidR="00F341DE">
        <w:rPr>
          <w:sz w:val="24"/>
        </w:rPr>
        <w:t xml:space="preserve"> </w:t>
      </w:r>
      <w:r>
        <w:rPr>
          <w:sz w:val="24"/>
        </w:rPr>
        <w:t>and revised at least once every three years.  If this were to occur less frequently, progress on goals and the identification of new goals might not occur regularly, which would limit the utility of the strategy.  The comprehensive quality strategy is a tool to help drive quality improvement, and as such should not be allowed to stagnate.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957FA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special circumstances.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56D19" w:rsidRDefault="00156D19" w:rsidP="00156D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w:t>
      </w:r>
      <w:proofErr w:type="spellStart"/>
      <w:r>
        <w:rPr>
          <w:sz w:val="24"/>
        </w:rPr>
        <w:t>NPRM</w:t>
      </w:r>
      <w:proofErr w:type="spellEnd"/>
      <w:r>
        <w:rPr>
          <w:sz w:val="24"/>
        </w:rPr>
        <w:t xml:space="preserve"> is serving as the 60-day Federal Register notice which is scheduled to published </w:t>
      </w:r>
      <w:r w:rsidRPr="00B91A80">
        <w:rPr>
          <w:sz w:val="24"/>
        </w:rPr>
        <w:t>June 1, 2015</w:t>
      </w:r>
      <w:r w:rsidR="00E94319" w:rsidRPr="00B91A80">
        <w:rPr>
          <w:sz w:val="24"/>
        </w:rPr>
        <w:t xml:space="preserve"> (80 FR </w:t>
      </w:r>
      <w:r w:rsidR="00B91A80" w:rsidRPr="00B91A80">
        <w:rPr>
          <w:sz w:val="24"/>
        </w:rPr>
        <w:t>31098</w:t>
      </w:r>
      <w:r w:rsidR="00E94319" w:rsidRPr="00B91A80">
        <w:rPr>
          <w:sz w:val="24"/>
        </w:rPr>
        <w:t>)</w:t>
      </w:r>
      <w:r w:rsidRPr="00B91A80">
        <w:rPr>
          <w:sz w:val="24"/>
        </w:rPr>
        <w:t xml:space="preserve">. The </w:t>
      </w:r>
      <w:proofErr w:type="spellStart"/>
      <w:r w:rsidRPr="00B91A80">
        <w:rPr>
          <w:sz w:val="24"/>
        </w:rPr>
        <w:t>NPRM</w:t>
      </w:r>
      <w:proofErr w:type="spellEnd"/>
      <w:r w:rsidRPr="00B91A80">
        <w:rPr>
          <w:sz w:val="24"/>
        </w:rPr>
        <w:t xml:space="preserve"> </w:t>
      </w:r>
      <w:proofErr w:type="gramStart"/>
      <w:r w:rsidRPr="00B91A80">
        <w:rPr>
          <w:sz w:val="24"/>
        </w:rPr>
        <w:t>was placed</w:t>
      </w:r>
      <w:proofErr w:type="gramEnd"/>
      <w:r w:rsidRPr="00B91A80">
        <w:rPr>
          <w:sz w:val="24"/>
        </w:rPr>
        <w:t xml:space="preserve"> on public inspection on May 26 whereby</w:t>
      </w:r>
      <w:r>
        <w:rPr>
          <w:sz w:val="24"/>
        </w:rPr>
        <w:t xml:space="preserve"> comments are due July 27. </w:t>
      </w:r>
    </w:p>
    <w:p w:rsidR="00156D19" w:rsidRDefault="00156D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E57A1" w:rsidRDefault="004115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Comprehensive quality strategies for states with Medicaid managed care </w:t>
      </w:r>
      <w:proofErr w:type="gramStart"/>
      <w:r>
        <w:rPr>
          <w:sz w:val="24"/>
        </w:rPr>
        <w:t>were discussed</w:t>
      </w:r>
      <w:proofErr w:type="gramEnd"/>
      <w:r>
        <w:rPr>
          <w:sz w:val="24"/>
        </w:rPr>
        <w:t xml:space="preserve"> in State Health Official Letter 13-007: Quality Considerations for Medicaid and CHIP Programs. Some states already have experience with this type of quality strategy due to the inclusion of a CQS requirement in the special terms and conditions (STCs) for some section 1115 demonstrations.  Additionally, CMS consulted informally with the National Association of Medicaid Directors (NAMD) regarding </w:t>
      </w:r>
      <w:r w:rsidR="00F341DE">
        <w:rPr>
          <w:sz w:val="24"/>
        </w:rPr>
        <w:t xml:space="preserve">potential quality strategy requirements under consideration as part of </w:t>
      </w:r>
      <w:r>
        <w:rPr>
          <w:sz w:val="24"/>
        </w:rPr>
        <w:t>the proposed rule.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118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are no payments/gifts to </w:t>
      </w:r>
      <w:r w:rsidR="000B763E">
        <w:rPr>
          <w:sz w:val="24"/>
        </w:rPr>
        <w:t>respondents</w:t>
      </w:r>
      <w:r>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118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information received by CMS is not confidential and its release would fall under the Freedom of Information Act.  Additionally, states are required under these regulations to maintain the current CQS on their websites, where they must also post the findings of the CQS effectiveness evaluations conducted at least once every three years.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118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sensitive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80257" w:rsidRDefault="008F1EB4" w:rsidP="003A72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12.</w:t>
      </w:r>
      <w:r>
        <w:rPr>
          <w:sz w:val="24"/>
        </w:rPr>
        <w:tab/>
      </w:r>
      <w:r w:rsidRPr="00411561">
        <w:rPr>
          <w:sz w:val="24"/>
          <w:u w:val="single"/>
        </w:rPr>
        <w:t>Burden Estimates (Hours &amp; Wages)</w:t>
      </w:r>
    </w:p>
    <w:p w:rsidR="003316C9" w:rsidRDefault="003316C9" w:rsidP="003A72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230D" w:rsidRPr="000A230D" w:rsidRDefault="000A230D" w:rsidP="003A72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i/>
          <w:sz w:val="24"/>
        </w:rPr>
      </w:pPr>
      <w:r w:rsidRPr="000A230D">
        <w:rPr>
          <w:i/>
          <w:sz w:val="24"/>
        </w:rPr>
        <w:t>Wage Estimates</w:t>
      </w:r>
    </w:p>
    <w:p w:rsidR="000A230D" w:rsidRDefault="000A230D" w:rsidP="003A72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3316C9" w:rsidRPr="003316C9" w:rsidRDefault="003316C9" w:rsidP="003316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Pr="003316C9">
        <w:rPr>
          <w:sz w:val="24"/>
        </w:rPr>
        <w:t>To develop burden estimates, we used data from the U.S. Bureau of Labor Statistics’ May 201</w:t>
      </w:r>
      <w:r w:rsidR="003432CC">
        <w:rPr>
          <w:sz w:val="24"/>
        </w:rPr>
        <w:t>3</w:t>
      </w:r>
      <w:r w:rsidRPr="003316C9">
        <w:rPr>
          <w:sz w:val="24"/>
        </w:rPr>
        <w:t xml:space="preserve"> National Occupational Employment and Wage Estimates for all salary estimates (www.bls.gov/oes/current/oes_nat.htm).  In this regard, the following table presents the mean hourly wage, the cost of fringe benefits (calculated at 100 percent of salary), and the adjusted hourly wage.</w:t>
      </w:r>
    </w:p>
    <w:p w:rsidR="003316C9" w:rsidRPr="003316C9" w:rsidRDefault="003316C9" w:rsidP="003316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tbl>
      <w:tblPr>
        <w:tblStyle w:val="TableGrid"/>
        <w:tblW w:w="0" w:type="auto"/>
        <w:tblLook w:val="04A0" w:firstRow="1" w:lastRow="0" w:firstColumn="1" w:lastColumn="0" w:noHBand="0" w:noVBand="1"/>
        <w:tblCaption w:val="Wages table"/>
      </w:tblPr>
      <w:tblGrid>
        <w:gridCol w:w="1915"/>
        <w:gridCol w:w="1915"/>
        <w:gridCol w:w="1915"/>
        <w:gridCol w:w="1915"/>
        <w:gridCol w:w="1916"/>
      </w:tblGrid>
      <w:tr w:rsidR="003316C9" w:rsidRPr="00BE41DC" w:rsidTr="00D96EDF">
        <w:trPr>
          <w:tblHeader/>
        </w:trPr>
        <w:tc>
          <w:tcPr>
            <w:tcW w:w="1915" w:type="dxa"/>
          </w:tcPr>
          <w:p w:rsidR="003316C9" w:rsidRPr="003316C9" w:rsidRDefault="003316C9" w:rsidP="0088675D">
            <w:pPr>
              <w:rPr>
                <w:sz w:val="24"/>
              </w:rPr>
            </w:pPr>
            <w:r w:rsidRPr="003316C9">
              <w:rPr>
                <w:sz w:val="24"/>
              </w:rPr>
              <w:t>Occupation Title</w:t>
            </w:r>
          </w:p>
        </w:tc>
        <w:tc>
          <w:tcPr>
            <w:tcW w:w="1915" w:type="dxa"/>
          </w:tcPr>
          <w:p w:rsidR="003316C9" w:rsidRPr="003316C9" w:rsidRDefault="003316C9" w:rsidP="0088675D">
            <w:pPr>
              <w:rPr>
                <w:sz w:val="24"/>
              </w:rPr>
            </w:pPr>
            <w:r w:rsidRPr="003316C9">
              <w:rPr>
                <w:sz w:val="24"/>
              </w:rPr>
              <w:t>Occupation Code</w:t>
            </w:r>
          </w:p>
        </w:tc>
        <w:tc>
          <w:tcPr>
            <w:tcW w:w="1915" w:type="dxa"/>
          </w:tcPr>
          <w:p w:rsidR="003316C9" w:rsidRPr="003316C9" w:rsidRDefault="003316C9" w:rsidP="0088675D">
            <w:pPr>
              <w:rPr>
                <w:sz w:val="24"/>
              </w:rPr>
            </w:pPr>
            <w:r w:rsidRPr="003316C9">
              <w:rPr>
                <w:sz w:val="24"/>
              </w:rPr>
              <w:t>Mean Hourly Wage</w:t>
            </w:r>
            <w:r w:rsidR="00883A71">
              <w:rPr>
                <w:sz w:val="24"/>
              </w:rPr>
              <w:t xml:space="preserve"> ($/</w:t>
            </w:r>
            <w:proofErr w:type="spellStart"/>
            <w:r w:rsidR="00883A71">
              <w:rPr>
                <w:sz w:val="24"/>
              </w:rPr>
              <w:t>hr</w:t>
            </w:r>
            <w:proofErr w:type="spellEnd"/>
            <w:r w:rsidR="00883A71">
              <w:rPr>
                <w:sz w:val="24"/>
              </w:rPr>
              <w:t>)</w:t>
            </w:r>
          </w:p>
        </w:tc>
        <w:tc>
          <w:tcPr>
            <w:tcW w:w="1915" w:type="dxa"/>
          </w:tcPr>
          <w:p w:rsidR="003316C9" w:rsidRPr="003316C9" w:rsidRDefault="003316C9" w:rsidP="0088675D">
            <w:pPr>
              <w:rPr>
                <w:sz w:val="24"/>
              </w:rPr>
            </w:pPr>
            <w:r w:rsidRPr="003316C9">
              <w:rPr>
                <w:sz w:val="24"/>
              </w:rPr>
              <w:t>Fringe Benefit (at 100%)</w:t>
            </w:r>
            <w:r w:rsidR="00883A71">
              <w:rPr>
                <w:sz w:val="24"/>
              </w:rPr>
              <w:t xml:space="preserve"> ($/</w:t>
            </w:r>
            <w:proofErr w:type="spellStart"/>
            <w:r w:rsidR="00883A71">
              <w:rPr>
                <w:sz w:val="24"/>
              </w:rPr>
              <w:t>hr</w:t>
            </w:r>
            <w:proofErr w:type="spellEnd"/>
            <w:r w:rsidR="00883A71">
              <w:rPr>
                <w:sz w:val="24"/>
              </w:rPr>
              <w:t>)</w:t>
            </w:r>
          </w:p>
        </w:tc>
        <w:tc>
          <w:tcPr>
            <w:tcW w:w="1916" w:type="dxa"/>
          </w:tcPr>
          <w:p w:rsidR="003316C9" w:rsidRPr="003316C9" w:rsidRDefault="003316C9" w:rsidP="0088675D">
            <w:pPr>
              <w:rPr>
                <w:sz w:val="24"/>
              </w:rPr>
            </w:pPr>
            <w:r w:rsidRPr="003316C9">
              <w:rPr>
                <w:sz w:val="24"/>
              </w:rPr>
              <w:t>Adjusted Hourly Wage</w:t>
            </w:r>
            <w:r w:rsidR="00883A71">
              <w:rPr>
                <w:sz w:val="24"/>
              </w:rPr>
              <w:t xml:space="preserve"> ($/</w:t>
            </w:r>
            <w:proofErr w:type="spellStart"/>
            <w:r w:rsidR="00883A71">
              <w:rPr>
                <w:sz w:val="24"/>
              </w:rPr>
              <w:t>hr</w:t>
            </w:r>
            <w:proofErr w:type="spellEnd"/>
            <w:r w:rsidR="00883A71">
              <w:rPr>
                <w:sz w:val="24"/>
              </w:rPr>
              <w:t>)</w:t>
            </w:r>
          </w:p>
        </w:tc>
      </w:tr>
      <w:tr w:rsidR="003316C9" w:rsidRPr="00BE41DC" w:rsidTr="00D96EDF">
        <w:tc>
          <w:tcPr>
            <w:tcW w:w="1915" w:type="dxa"/>
          </w:tcPr>
          <w:p w:rsidR="003316C9" w:rsidRPr="003316C9" w:rsidRDefault="003316C9" w:rsidP="0088675D">
            <w:pPr>
              <w:rPr>
                <w:sz w:val="24"/>
              </w:rPr>
            </w:pPr>
            <w:r w:rsidRPr="003316C9">
              <w:rPr>
                <w:sz w:val="24"/>
              </w:rPr>
              <w:t>Business Operations Specialist</w:t>
            </w:r>
          </w:p>
        </w:tc>
        <w:tc>
          <w:tcPr>
            <w:tcW w:w="1915" w:type="dxa"/>
          </w:tcPr>
          <w:p w:rsidR="003316C9" w:rsidRPr="003316C9" w:rsidRDefault="003316C9" w:rsidP="0088675D">
            <w:pPr>
              <w:rPr>
                <w:sz w:val="24"/>
              </w:rPr>
            </w:pPr>
            <w:r w:rsidRPr="003316C9">
              <w:rPr>
                <w:sz w:val="24"/>
              </w:rPr>
              <w:t>13-1000</w:t>
            </w:r>
          </w:p>
        </w:tc>
        <w:tc>
          <w:tcPr>
            <w:tcW w:w="1915" w:type="dxa"/>
          </w:tcPr>
          <w:p w:rsidR="003316C9" w:rsidRPr="003316C9" w:rsidRDefault="00BB502A" w:rsidP="0088675D">
            <w:pPr>
              <w:rPr>
                <w:sz w:val="24"/>
              </w:rPr>
            </w:pPr>
            <w:r>
              <w:rPr>
                <w:sz w:val="24"/>
              </w:rPr>
              <w:t>29.66</w:t>
            </w:r>
          </w:p>
        </w:tc>
        <w:tc>
          <w:tcPr>
            <w:tcW w:w="1915" w:type="dxa"/>
          </w:tcPr>
          <w:p w:rsidR="003316C9" w:rsidRPr="003316C9" w:rsidRDefault="00BB502A" w:rsidP="0088675D">
            <w:pPr>
              <w:rPr>
                <w:sz w:val="24"/>
              </w:rPr>
            </w:pPr>
            <w:r>
              <w:rPr>
                <w:sz w:val="24"/>
              </w:rPr>
              <w:t>29.66</w:t>
            </w:r>
          </w:p>
        </w:tc>
        <w:tc>
          <w:tcPr>
            <w:tcW w:w="1916" w:type="dxa"/>
          </w:tcPr>
          <w:p w:rsidR="003316C9" w:rsidRPr="003316C9" w:rsidRDefault="00BB502A" w:rsidP="0088675D">
            <w:pPr>
              <w:rPr>
                <w:sz w:val="24"/>
              </w:rPr>
            </w:pPr>
            <w:r>
              <w:rPr>
                <w:sz w:val="24"/>
              </w:rPr>
              <w:t>53.32</w:t>
            </w:r>
          </w:p>
        </w:tc>
      </w:tr>
      <w:tr w:rsidR="003316C9" w:rsidRPr="00BE41DC" w:rsidTr="00D96EDF">
        <w:tc>
          <w:tcPr>
            <w:tcW w:w="1915" w:type="dxa"/>
          </w:tcPr>
          <w:p w:rsidR="003316C9" w:rsidRPr="003316C9" w:rsidRDefault="003316C9" w:rsidP="0088675D">
            <w:pPr>
              <w:rPr>
                <w:sz w:val="24"/>
              </w:rPr>
            </w:pPr>
            <w:r w:rsidRPr="003316C9">
              <w:rPr>
                <w:sz w:val="24"/>
              </w:rPr>
              <w:t>Office and Administrative Support Worker</w:t>
            </w:r>
          </w:p>
        </w:tc>
        <w:tc>
          <w:tcPr>
            <w:tcW w:w="1915" w:type="dxa"/>
          </w:tcPr>
          <w:p w:rsidR="003316C9" w:rsidRPr="003316C9" w:rsidRDefault="003316C9" w:rsidP="0088675D">
            <w:pPr>
              <w:rPr>
                <w:sz w:val="24"/>
              </w:rPr>
            </w:pPr>
            <w:r w:rsidRPr="003316C9">
              <w:rPr>
                <w:sz w:val="24"/>
              </w:rPr>
              <w:t>43-9000</w:t>
            </w:r>
          </w:p>
        </w:tc>
        <w:tc>
          <w:tcPr>
            <w:tcW w:w="1915" w:type="dxa"/>
          </w:tcPr>
          <w:p w:rsidR="003316C9" w:rsidRPr="003316C9" w:rsidRDefault="00BB502A" w:rsidP="0088675D">
            <w:pPr>
              <w:rPr>
                <w:sz w:val="24"/>
              </w:rPr>
            </w:pPr>
            <w:r>
              <w:rPr>
                <w:sz w:val="24"/>
              </w:rPr>
              <w:t>14.96</w:t>
            </w:r>
          </w:p>
        </w:tc>
        <w:tc>
          <w:tcPr>
            <w:tcW w:w="1915" w:type="dxa"/>
          </w:tcPr>
          <w:p w:rsidR="003316C9" w:rsidRPr="003316C9" w:rsidRDefault="00BB502A" w:rsidP="0088675D">
            <w:pPr>
              <w:rPr>
                <w:sz w:val="24"/>
              </w:rPr>
            </w:pPr>
            <w:r>
              <w:rPr>
                <w:sz w:val="24"/>
              </w:rPr>
              <w:t>14.96</w:t>
            </w:r>
          </w:p>
        </w:tc>
        <w:tc>
          <w:tcPr>
            <w:tcW w:w="1916" w:type="dxa"/>
          </w:tcPr>
          <w:p w:rsidR="003316C9" w:rsidRPr="003316C9" w:rsidRDefault="00BB502A" w:rsidP="0088675D">
            <w:pPr>
              <w:rPr>
                <w:sz w:val="24"/>
              </w:rPr>
            </w:pPr>
            <w:r>
              <w:rPr>
                <w:sz w:val="24"/>
              </w:rPr>
              <w:t>29.92</w:t>
            </w:r>
          </w:p>
        </w:tc>
      </w:tr>
    </w:tbl>
    <w:p w:rsidR="003316C9" w:rsidRPr="003316C9" w:rsidRDefault="003316C9" w:rsidP="003316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3316C9" w:rsidRPr="00780257" w:rsidRDefault="003316C9" w:rsidP="003316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Pr="003316C9">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0A3666" w:rsidRDefault="000A3666" w:rsidP="000A36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230D" w:rsidRPr="000A230D" w:rsidRDefault="000A230D" w:rsidP="000A36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0A230D">
        <w:rPr>
          <w:i/>
          <w:sz w:val="24"/>
        </w:rPr>
        <w:t xml:space="preserve">Proposed </w:t>
      </w:r>
      <w:r w:rsidR="00652A25">
        <w:rPr>
          <w:i/>
          <w:sz w:val="24"/>
        </w:rPr>
        <w:t xml:space="preserve">Requirements and </w:t>
      </w:r>
      <w:r w:rsidRPr="000A230D">
        <w:rPr>
          <w:i/>
          <w:sz w:val="24"/>
        </w:rPr>
        <w:t>Burden Estimates</w:t>
      </w:r>
    </w:p>
    <w:p w:rsidR="000A230D" w:rsidRDefault="000A230D" w:rsidP="000A36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3666" w:rsidRDefault="000A3666" w:rsidP="000A36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Pr>
          <w:sz w:val="24"/>
        </w:rPr>
        <w:tab/>
      </w:r>
      <w:r w:rsidRPr="000A3666">
        <w:rPr>
          <w:sz w:val="24"/>
          <w:u w:val="single"/>
        </w:rPr>
        <w:t xml:space="preserve">Section 431.502 State </w:t>
      </w:r>
      <w:r>
        <w:rPr>
          <w:sz w:val="24"/>
          <w:u w:val="single"/>
        </w:rPr>
        <w:t>c</w:t>
      </w:r>
      <w:r w:rsidRPr="000A3666">
        <w:rPr>
          <w:sz w:val="24"/>
          <w:u w:val="single"/>
        </w:rPr>
        <w:t xml:space="preserve">omprehensive </w:t>
      </w:r>
      <w:r>
        <w:rPr>
          <w:sz w:val="24"/>
          <w:u w:val="single"/>
        </w:rPr>
        <w:t>q</w:t>
      </w:r>
      <w:r w:rsidRPr="000A3666">
        <w:rPr>
          <w:sz w:val="24"/>
          <w:u w:val="single"/>
        </w:rPr>
        <w:t xml:space="preserve">uality </w:t>
      </w:r>
      <w:r>
        <w:rPr>
          <w:sz w:val="24"/>
          <w:u w:val="single"/>
        </w:rPr>
        <w:t>s</w:t>
      </w:r>
      <w:r w:rsidRPr="000A3666">
        <w:rPr>
          <w:sz w:val="24"/>
          <w:u w:val="single"/>
        </w:rPr>
        <w:t>trategy</w:t>
      </w:r>
    </w:p>
    <w:p w:rsidR="00780257" w:rsidRDefault="00937B78" w:rsidP="000B763E">
      <w:pPr>
        <w:tabs>
          <w:tab w:val="left" w:pos="1323"/>
        </w:tabs>
        <w:ind w:left="450"/>
        <w:contextualSpacing/>
        <w:rPr>
          <w:rFonts w:eastAsia="Calibri"/>
          <w:sz w:val="24"/>
        </w:rPr>
      </w:pPr>
      <w:r>
        <w:rPr>
          <w:rFonts w:eastAsia="Calibri"/>
          <w:sz w:val="24"/>
        </w:rPr>
        <w:t>This section describes the general requirement for a state comprehensive quality strategy, including its basic elements.</w:t>
      </w:r>
    </w:p>
    <w:p w:rsidR="000B763E" w:rsidRDefault="000B763E" w:rsidP="000B763E">
      <w:pPr>
        <w:tabs>
          <w:tab w:val="left" w:pos="1323"/>
        </w:tabs>
        <w:ind w:left="450"/>
        <w:contextualSpacing/>
        <w:rPr>
          <w:rFonts w:eastAsia="Calibri"/>
          <w:sz w:val="24"/>
        </w:rPr>
      </w:pPr>
    </w:p>
    <w:p w:rsidR="000B763E" w:rsidRPr="000B763E" w:rsidRDefault="000B763E" w:rsidP="000B763E">
      <w:pPr>
        <w:tabs>
          <w:tab w:val="left" w:pos="-90"/>
        </w:tabs>
        <w:ind w:left="450"/>
        <w:contextualSpacing/>
        <w:rPr>
          <w:rFonts w:eastAsia="Calibri"/>
          <w:sz w:val="24"/>
        </w:rPr>
      </w:pPr>
      <w:r w:rsidRPr="000B763E">
        <w:rPr>
          <w:rFonts w:eastAsia="Calibri"/>
          <w:sz w:val="24"/>
        </w:rPr>
        <w:t>Under section 431.502 all 56 states and territories (referred to throughout this section as “states”) would have and operate a comprehensive quality strategy for all Medicaid beneficiaries in the state regardless of delivery system.  This would replace the quality strategy focused exclusively on Medicaid managed care which currently exists at § 438.202.</w:t>
      </w:r>
    </w:p>
    <w:p w:rsidR="000B763E" w:rsidRPr="000B763E" w:rsidRDefault="000B763E" w:rsidP="000B763E">
      <w:pPr>
        <w:tabs>
          <w:tab w:val="left" w:pos="-90"/>
          <w:tab w:val="left" w:pos="720"/>
        </w:tabs>
        <w:ind w:left="450"/>
        <w:contextualSpacing/>
        <w:rPr>
          <w:rFonts w:eastAsia="Calibri"/>
          <w:sz w:val="24"/>
        </w:rPr>
      </w:pPr>
    </w:p>
    <w:p w:rsidR="000B763E" w:rsidRPr="000B763E" w:rsidRDefault="000B763E" w:rsidP="000B763E">
      <w:pPr>
        <w:tabs>
          <w:tab w:val="left" w:pos="-90"/>
          <w:tab w:val="left" w:pos="720"/>
        </w:tabs>
        <w:ind w:left="450"/>
        <w:contextualSpacing/>
        <w:rPr>
          <w:rFonts w:eastAsia="Calibri"/>
          <w:sz w:val="24"/>
        </w:rPr>
      </w:pPr>
      <w:r w:rsidRPr="000B763E">
        <w:rPr>
          <w:rFonts w:eastAsia="Calibri"/>
          <w:sz w:val="24"/>
        </w:rPr>
        <w:t>Per section 431.502(a) each state would write and implement a comprehensive quality strategy.</w:t>
      </w:r>
      <w:r w:rsidRPr="000B763E">
        <w:rPr>
          <w:rFonts w:eastAsia="Calibri"/>
          <w:iCs/>
          <w:sz w:val="24"/>
        </w:rPr>
        <w:t xml:space="preserve">  </w:t>
      </w:r>
      <w:proofErr w:type="gramStart"/>
      <w:r w:rsidRPr="000B763E">
        <w:rPr>
          <w:rFonts w:eastAsia="Calibri"/>
          <w:iCs/>
          <w:sz w:val="24"/>
        </w:rPr>
        <w:t xml:space="preserve">We estimate that drafting an initial state comprehensive quality strategy would take 70 </w:t>
      </w:r>
      <w:proofErr w:type="spellStart"/>
      <w:r w:rsidRPr="000B763E">
        <w:rPr>
          <w:rFonts w:eastAsia="Calibri"/>
          <w:iCs/>
          <w:sz w:val="24"/>
        </w:rPr>
        <w:t>hr</w:t>
      </w:r>
      <w:proofErr w:type="spellEnd"/>
      <w:r w:rsidRPr="000B763E">
        <w:rPr>
          <w:rFonts w:eastAsia="Calibri"/>
          <w:iCs/>
          <w:sz w:val="24"/>
        </w:rPr>
        <w:t xml:space="preserve"> at $53.32/</w:t>
      </w:r>
      <w:proofErr w:type="spellStart"/>
      <w:r w:rsidRPr="000B763E">
        <w:rPr>
          <w:rFonts w:eastAsia="Calibri"/>
          <w:iCs/>
          <w:sz w:val="24"/>
        </w:rPr>
        <w:t>hr</w:t>
      </w:r>
      <w:proofErr w:type="spellEnd"/>
      <w:r w:rsidRPr="000B763E">
        <w:rPr>
          <w:rFonts w:eastAsia="Calibri"/>
          <w:iCs/>
          <w:sz w:val="24"/>
        </w:rPr>
        <w:t xml:space="preserve"> for a business operations specialist to develop the proposed strategy, 2 </w:t>
      </w:r>
      <w:proofErr w:type="spellStart"/>
      <w:r w:rsidRPr="000B763E">
        <w:rPr>
          <w:rFonts w:eastAsia="Calibri"/>
          <w:iCs/>
          <w:sz w:val="24"/>
        </w:rPr>
        <w:t>hr</w:t>
      </w:r>
      <w:proofErr w:type="spellEnd"/>
      <w:r w:rsidRPr="000B763E">
        <w:rPr>
          <w:rFonts w:eastAsia="Calibri"/>
          <w:iCs/>
          <w:sz w:val="24"/>
        </w:rPr>
        <w:t xml:space="preserve"> at $29.92/</w:t>
      </w:r>
      <w:proofErr w:type="spellStart"/>
      <w:r w:rsidRPr="000B763E">
        <w:rPr>
          <w:rFonts w:eastAsia="Calibri"/>
          <w:iCs/>
          <w:sz w:val="24"/>
        </w:rPr>
        <w:t>hr</w:t>
      </w:r>
      <w:proofErr w:type="spellEnd"/>
      <w:r w:rsidRPr="000B763E">
        <w:rPr>
          <w:rFonts w:eastAsia="Calibri"/>
          <w:iCs/>
          <w:sz w:val="24"/>
        </w:rPr>
        <w:t xml:space="preserve"> for an office and administrative support worker to publicize the strategy, 15 </w:t>
      </w:r>
      <w:proofErr w:type="spellStart"/>
      <w:r w:rsidRPr="000B763E">
        <w:rPr>
          <w:rFonts w:eastAsia="Calibri"/>
          <w:iCs/>
          <w:sz w:val="24"/>
        </w:rPr>
        <w:t>hr</w:t>
      </w:r>
      <w:proofErr w:type="spellEnd"/>
      <w:r w:rsidRPr="000B763E">
        <w:rPr>
          <w:rFonts w:eastAsia="Calibri"/>
          <w:iCs/>
          <w:sz w:val="24"/>
        </w:rPr>
        <w:t xml:space="preserve"> at $53.32/</w:t>
      </w:r>
      <w:proofErr w:type="spellStart"/>
      <w:r w:rsidRPr="000B763E">
        <w:rPr>
          <w:rFonts w:eastAsia="Calibri"/>
          <w:iCs/>
          <w:sz w:val="24"/>
        </w:rPr>
        <w:t>hr</w:t>
      </w:r>
      <w:proofErr w:type="spellEnd"/>
      <w:r w:rsidRPr="000B763E">
        <w:rPr>
          <w:rFonts w:eastAsia="Calibri"/>
          <w:iCs/>
          <w:sz w:val="24"/>
        </w:rPr>
        <w:t xml:space="preserve"> for a business operations specialist to review and incorporate public comments into the strategy, and 1 </w:t>
      </w:r>
      <w:proofErr w:type="spellStart"/>
      <w:r w:rsidRPr="000B763E">
        <w:rPr>
          <w:rFonts w:eastAsia="Calibri"/>
          <w:iCs/>
          <w:sz w:val="24"/>
        </w:rPr>
        <w:t>hr</w:t>
      </w:r>
      <w:proofErr w:type="spellEnd"/>
      <w:r w:rsidRPr="000B763E">
        <w:rPr>
          <w:rFonts w:eastAsia="Calibri"/>
          <w:iCs/>
          <w:sz w:val="24"/>
        </w:rPr>
        <w:t xml:space="preserve"> at $29.92/</w:t>
      </w:r>
      <w:proofErr w:type="spellStart"/>
      <w:r w:rsidRPr="000B763E">
        <w:rPr>
          <w:rFonts w:eastAsia="Calibri"/>
          <w:iCs/>
          <w:sz w:val="24"/>
        </w:rPr>
        <w:t>hr</w:t>
      </w:r>
      <w:proofErr w:type="spellEnd"/>
      <w:r w:rsidRPr="000B763E">
        <w:rPr>
          <w:rFonts w:eastAsia="Calibri"/>
          <w:iCs/>
          <w:sz w:val="24"/>
        </w:rPr>
        <w:t xml:space="preserve"> for a</w:t>
      </w:r>
      <w:r w:rsidR="003A72AA">
        <w:rPr>
          <w:rFonts w:eastAsia="Calibri"/>
          <w:iCs/>
          <w:sz w:val="24"/>
        </w:rPr>
        <w:t>n</w:t>
      </w:r>
      <w:r w:rsidRPr="000B763E">
        <w:rPr>
          <w:rFonts w:eastAsia="Calibri"/>
          <w:iCs/>
          <w:sz w:val="24"/>
        </w:rPr>
        <w:t xml:space="preserve"> office and administrative support worker to submit the initial quality strategy to CMS.</w:t>
      </w:r>
      <w:proofErr w:type="gramEnd"/>
      <w:r w:rsidRPr="000B763E">
        <w:rPr>
          <w:rFonts w:eastAsia="Calibri"/>
          <w:iCs/>
          <w:sz w:val="24"/>
        </w:rPr>
        <w:t xml:space="preserve">  We also estimate that</w:t>
      </w:r>
      <w:r w:rsidRPr="000B763E">
        <w:rPr>
          <w:rFonts w:eastAsia="Calibri"/>
          <w:sz w:val="24"/>
        </w:rPr>
        <w:t xml:space="preserve"> 19 states would draft an initial comprehensive quality strategy (as the other 37 states already have an initial quality strategy).  In aggregate, we estimate a one-time burden of </w:t>
      </w:r>
      <w:r w:rsidRPr="003A72AA">
        <w:rPr>
          <w:rFonts w:eastAsia="Calibri"/>
          <w:b/>
          <w:sz w:val="24"/>
        </w:rPr>
        <w:t xml:space="preserve">1,672 </w:t>
      </w:r>
      <w:proofErr w:type="spellStart"/>
      <w:r w:rsidRPr="003A72AA">
        <w:rPr>
          <w:rFonts w:eastAsia="Calibri"/>
          <w:b/>
          <w:sz w:val="24"/>
        </w:rPr>
        <w:t>hr</w:t>
      </w:r>
      <w:proofErr w:type="spellEnd"/>
      <w:r w:rsidRPr="000B763E">
        <w:rPr>
          <w:rFonts w:eastAsia="Calibri"/>
          <w:sz w:val="24"/>
        </w:rPr>
        <w:t xml:space="preserve"> (19 states x 88 </w:t>
      </w:r>
      <w:proofErr w:type="spellStart"/>
      <w:r w:rsidRPr="000B763E">
        <w:rPr>
          <w:rFonts w:eastAsia="Calibri"/>
          <w:sz w:val="24"/>
        </w:rPr>
        <w:t>hr</w:t>
      </w:r>
      <w:proofErr w:type="spellEnd"/>
      <w:r w:rsidRPr="000B763E">
        <w:rPr>
          <w:rFonts w:eastAsia="Calibri"/>
          <w:sz w:val="24"/>
        </w:rPr>
        <w:t xml:space="preserve">) and </w:t>
      </w:r>
      <w:r w:rsidRPr="003A72AA">
        <w:rPr>
          <w:rFonts w:eastAsia="Calibri"/>
          <w:b/>
          <w:sz w:val="24"/>
        </w:rPr>
        <w:t>$87,817.24</w:t>
      </w:r>
      <w:r w:rsidRPr="000B763E">
        <w:rPr>
          <w:rFonts w:eastAsia="Calibri"/>
          <w:sz w:val="24"/>
        </w:rPr>
        <w:t xml:space="preserve"> [19 states x ((85 </w:t>
      </w:r>
      <w:proofErr w:type="spellStart"/>
      <w:r w:rsidRPr="000B763E">
        <w:rPr>
          <w:rFonts w:eastAsia="Calibri"/>
          <w:sz w:val="24"/>
        </w:rPr>
        <w:t>hr</w:t>
      </w:r>
      <w:proofErr w:type="spellEnd"/>
      <w:r w:rsidRPr="000B763E">
        <w:rPr>
          <w:rFonts w:eastAsia="Calibri"/>
          <w:sz w:val="24"/>
        </w:rPr>
        <w:t xml:space="preserve"> x $53.32/</w:t>
      </w:r>
      <w:proofErr w:type="spellStart"/>
      <w:r w:rsidRPr="000B763E">
        <w:rPr>
          <w:rFonts w:eastAsia="Calibri"/>
          <w:sz w:val="24"/>
        </w:rPr>
        <w:t>hr</w:t>
      </w:r>
      <w:proofErr w:type="spellEnd"/>
      <w:r w:rsidRPr="000B763E">
        <w:rPr>
          <w:rFonts w:eastAsia="Calibri"/>
          <w:sz w:val="24"/>
        </w:rPr>
        <w:t xml:space="preserve">) + (3 </w:t>
      </w:r>
      <w:proofErr w:type="spellStart"/>
      <w:r w:rsidRPr="000B763E">
        <w:rPr>
          <w:rFonts w:eastAsia="Calibri"/>
          <w:sz w:val="24"/>
        </w:rPr>
        <w:t>hr</w:t>
      </w:r>
      <w:proofErr w:type="spellEnd"/>
      <w:r w:rsidRPr="000B763E">
        <w:rPr>
          <w:rFonts w:eastAsia="Calibri"/>
          <w:sz w:val="24"/>
        </w:rPr>
        <w:t xml:space="preserve"> x $29.92/</w:t>
      </w:r>
      <w:proofErr w:type="spellStart"/>
      <w:r w:rsidRPr="000B763E">
        <w:rPr>
          <w:rFonts w:eastAsia="Calibri"/>
          <w:sz w:val="24"/>
        </w:rPr>
        <w:t>hr</w:t>
      </w:r>
      <w:proofErr w:type="spellEnd"/>
      <w:r w:rsidRPr="000B763E">
        <w:rPr>
          <w:rFonts w:eastAsia="Calibri"/>
          <w:sz w:val="24"/>
        </w:rPr>
        <w:t>))] for states to develop initial comprehensive quality strategies and submit them to CMS.</w:t>
      </w:r>
    </w:p>
    <w:p w:rsidR="000B763E" w:rsidRPr="00780257" w:rsidRDefault="000B763E" w:rsidP="000B763E">
      <w:pPr>
        <w:tabs>
          <w:tab w:val="left" w:pos="1323"/>
        </w:tabs>
        <w:ind w:left="450"/>
        <w:contextualSpacing/>
        <w:rPr>
          <w:sz w:val="24"/>
          <w:u w:val="single"/>
        </w:rPr>
      </w:pPr>
    </w:p>
    <w:p w:rsidR="000A3666" w:rsidRDefault="000A3666" w:rsidP="000A36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Pr>
          <w:sz w:val="24"/>
        </w:rPr>
        <w:tab/>
      </w:r>
      <w:r>
        <w:rPr>
          <w:sz w:val="24"/>
          <w:u w:val="single"/>
        </w:rPr>
        <w:t>Section 431.504 State comprehensive quality strategy development, evaluation, and revision</w:t>
      </w:r>
    </w:p>
    <w:p w:rsidR="00937B78" w:rsidRDefault="00937B78" w:rsidP="00937B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section describes the process</w:t>
      </w:r>
      <w:r w:rsidR="00C423AE">
        <w:rPr>
          <w:sz w:val="24"/>
        </w:rPr>
        <w:t>es</w:t>
      </w:r>
      <w:r>
        <w:rPr>
          <w:sz w:val="24"/>
        </w:rPr>
        <w:t xml:space="preserve"> states would use </w:t>
      </w:r>
      <w:r w:rsidR="00C423AE">
        <w:rPr>
          <w:sz w:val="24"/>
        </w:rPr>
        <w:t>for the development, evaluation, and revisions of a state</w:t>
      </w:r>
      <w:r>
        <w:rPr>
          <w:sz w:val="24"/>
        </w:rPr>
        <w:t xml:space="preserve"> comprehensive quality strategy</w:t>
      </w:r>
      <w:r w:rsidR="00C423AE">
        <w:rPr>
          <w:sz w:val="24"/>
        </w:rPr>
        <w:t>, including state review and revision of the comprehensive quality strategy at least once every three years</w:t>
      </w:r>
      <w:r>
        <w:rPr>
          <w:sz w:val="24"/>
        </w:rPr>
        <w:t>.</w:t>
      </w:r>
    </w:p>
    <w:p w:rsidR="00C423AE" w:rsidRPr="000B763E" w:rsidRDefault="00C423AE" w:rsidP="000B76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B763E" w:rsidRPr="000B763E" w:rsidRDefault="000B763E" w:rsidP="000B7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contextualSpacing/>
        <w:rPr>
          <w:rFonts w:eastAsia="Calibri"/>
          <w:iCs/>
          <w:sz w:val="24"/>
        </w:rPr>
      </w:pPr>
      <w:r w:rsidRPr="000B763E">
        <w:rPr>
          <w:rFonts w:eastAsia="Calibri"/>
          <w:iCs/>
          <w:sz w:val="24"/>
        </w:rPr>
        <w:t>Section 431.504(a) would have states engage the public in the development of the comprehensive quality strategy.  The burden associated with this process is captured in §431.502 for the initial comprehensive quality strategy.</w:t>
      </w:r>
    </w:p>
    <w:p w:rsidR="000B763E" w:rsidRDefault="000B763E" w:rsidP="000B763E">
      <w:pPr>
        <w:ind w:left="450"/>
        <w:contextualSpacing/>
        <w:rPr>
          <w:rFonts w:eastAsia="Calibri"/>
          <w:sz w:val="24"/>
        </w:rPr>
      </w:pPr>
    </w:p>
    <w:p w:rsidR="000B763E" w:rsidRPr="000B763E" w:rsidRDefault="000B763E" w:rsidP="000B763E">
      <w:pPr>
        <w:ind w:left="450"/>
        <w:contextualSpacing/>
        <w:rPr>
          <w:rFonts w:eastAsia="Calibri"/>
          <w:sz w:val="24"/>
        </w:rPr>
      </w:pPr>
      <w:r w:rsidRPr="000B763E">
        <w:rPr>
          <w:rFonts w:eastAsia="Calibri"/>
          <w:sz w:val="24"/>
        </w:rPr>
        <w:t>In accordance with proposed section 431.504(b), states would review and revise their comprehensive quality strategies as needed, but no less frequently than once every three years. While the 37 states that contract with MCOs and/or PIHPs currently revise their quality strategies periodically, approximately half of those states (18) revise their quality strategies less frequently that proposed.</w:t>
      </w:r>
    </w:p>
    <w:p w:rsidR="000B763E" w:rsidRDefault="000B763E" w:rsidP="000B763E">
      <w:pPr>
        <w:ind w:left="450"/>
        <w:contextualSpacing/>
        <w:rPr>
          <w:rFonts w:eastAsia="Calibri"/>
          <w:sz w:val="24"/>
        </w:rPr>
      </w:pPr>
    </w:p>
    <w:p w:rsidR="000B763E" w:rsidRPr="000B763E" w:rsidRDefault="000B763E" w:rsidP="000B763E">
      <w:pPr>
        <w:ind w:left="450"/>
        <w:contextualSpacing/>
        <w:rPr>
          <w:rFonts w:eastAsia="Calibri"/>
          <w:sz w:val="24"/>
        </w:rPr>
      </w:pPr>
      <w:r w:rsidRPr="000B763E">
        <w:rPr>
          <w:rFonts w:eastAsia="Calibri"/>
          <w:sz w:val="24"/>
        </w:rPr>
        <w:t xml:space="preserve">We estimate a burden for the revision of a comprehensive quality strategy of, once every three years, 25 </w:t>
      </w:r>
      <w:proofErr w:type="spellStart"/>
      <w:r w:rsidRPr="000B763E">
        <w:rPr>
          <w:rFonts w:eastAsia="Calibri"/>
          <w:sz w:val="24"/>
        </w:rPr>
        <w:t>hr</w:t>
      </w:r>
      <w:proofErr w:type="spellEnd"/>
      <w:r w:rsidRPr="000B763E">
        <w:rPr>
          <w:rFonts w:eastAsia="Calibri"/>
          <w:sz w:val="24"/>
        </w:rPr>
        <w:t xml:space="preserve"> at $53.32/</w:t>
      </w:r>
      <w:proofErr w:type="spellStart"/>
      <w:r w:rsidRPr="000B763E">
        <w:rPr>
          <w:rFonts w:eastAsia="Calibri"/>
          <w:sz w:val="24"/>
        </w:rPr>
        <w:t>hr</w:t>
      </w:r>
      <w:proofErr w:type="spellEnd"/>
      <w:r w:rsidRPr="000B763E">
        <w:rPr>
          <w:rFonts w:eastAsia="Calibri"/>
          <w:sz w:val="24"/>
        </w:rPr>
        <w:t xml:space="preserve"> for a business operations analyst to review and revise the comprehensive quality strategy, 2 </w:t>
      </w:r>
      <w:proofErr w:type="spellStart"/>
      <w:r w:rsidRPr="000B763E">
        <w:rPr>
          <w:rFonts w:eastAsia="Calibri"/>
          <w:sz w:val="24"/>
        </w:rPr>
        <w:t>hr</w:t>
      </w:r>
      <w:proofErr w:type="spellEnd"/>
      <w:r w:rsidRPr="000B763E">
        <w:rPr>
          <w:rFonts w:eastAsia="Calibri"/>
          <w:sz w:val="24"/>
        </w:rPr>
        <w:t xml:space="preserve"> at $29.92/</w:t>
      </w:r>
      <w:proofErr w:type="spellStart"/>
      <w:r w:rsidRPr="000B763E">
        <w:rPr>
          <w:rFonts w:eastAsia="Calibri"/>
          <w:sz w:val="24"/>
        </w:rPr>
        <w:t>hr</w:t>
      </w:r>
      <w:proofErr w:type="spellEnd"/>
      <w:r w:rsidRPr="000B763E">
        <w:rPr>
          <w:rFonts w:eastAsia="Calibri"/>
          <w:sz w:val="24"/>
        </w:rPr>
        <w:t xml:space="preserve"> for an office and administrative support worker to publicize the strategy, 5 </w:t>
      </w:r>
      <w:proofErr w:type="spellStart"/>
      <w:r w:rsidRPr="000B763E">
        <w:rPr>
          <w:rFonts w:eastAsia="Calibri"/>
          <w:sz w:val="24"/>
        </w:rPr>
        <w:t>hr</w:t>
      </w:r>
      <w:proofErr w:type="spellEnd"/>
      <w:r w:rsidRPr="000B763E">
        <w:rPr>
          <w:rFonts w:eastAsia="Calibri"/>
          <w:sz w:val="24"/>
        </w:rPr>
        <w:t xml:space="preserve"> at $53.32/</w:t>
      </w:r>
      <w:proofErr w:type="spellStart"/>
      <w:r w:rsidRPr="000B763E">
        <w:rPr>
          <w:rFonts w:eastAsia="Calibri"/>
          <w:sz w:val="24"/>
        </w:rPr>
        <w:t>hr</w:t>
      </w:r>
      <w:proofErr w:type="spellEnd"/>
      <w:r w:rsidRPr="000B763E">
        <w:rPr>
          <w:rFonts w:eastAsia="Calibri"/>
          <w:sz w:val="24"/>
        </w:rPr>
        <w:t xml:space="preserve"> for a business operations specialist to review and incorporate public comments, and 1 </w:t>
      </w:r>
      <w:proofErr w:type="spellStart"/>
      <w:r w:rsidRPr="000B763E">
        <w:rPr>
          <w:rFonts w:eastAsia="Calibri"/>
          <w:sz w:val="24"/>
        </w:rPr>
        <w:t>hr</w:t>
      </w:r>
      <w:proofErr w:type="spellEnd"/>
      <w:r w:rsidRPr="000B763E">
        <w:rPr>
          <w:rFonts w:eastAsia="Calibri"/>
          <w:sz w:val="24"/>
        </w:rPr>
        <w:t xml:space="preserve"> at $29.92/</w:t>
      </w:r>
      <w:proofErr w:type="spellStart"/>
      <w:r w:rsidRPr="000B763E">
        <w:rPr>
          <w:rFonts w:eastAsia="Calibri"/>
          <w:sz w:val="24"/>
        </w:rPr>
        <w:t>hr</w:t>
      </w:r>
      <w:proofErr w:type="spellEnd"/>
      <w:r w:rsidRPr="000B763E">
        <w:rPr>
          <w:rFonts w:eastAsia="Calibri"/>
          <w:sz w:val="24"/>
        </w:rPr>
        <w:t xml:space="preserve"> for an office and administrative support worker to submit the revised quality strategy to CMS.  In aggregate, we estimate an ongoing annualized state burden of </w:t>
      </w:r>
      <w:r w:rsidRPr="003A72AA">
        <w:rPr>
          <w:rFonts w:eastAsia="Calibri"/>
          <w:b/>
          <w:sz w:val="24"/>
        </w:rPr>
        <w:t xml:space="preserve">198 </w:t>
      </w:r>
      <w:proofErr w:type="spellStart"/>
      <w:r w:rsidRPr="003A72AA">
        <w:rPr>
          <w:rFonts w:eastAsia="Calibri"/>
          <w:b/>
          <w:sz w:val="24"/>
        </w:rPr>
        <w:t>hr</w:t>
      </w:r>
      <w:proofErr w:type="spellEnd"/>
      <w:r w:rsidRPr="000B763E">
        <w:rPr>
          <w:rFonts w:eastAsia="Calibri"/>
          <w:sz w:val="24"/>
        </w:rPr>
        <w:t xml:space="preserve"> [(18 states x (33 </w:t>
      </w:r>
      <w:proofErr w:type="spellStart"/>
      <w:r w:rsidRPr="000B763E">
        <w:rPr>
          <w:rFonts w:eastAsia="Calibri"/>
          <w:sz w:val="24"/>
        </w:rPr>
        <w:t>hr</w:t>
      </w:r>
      <w:proofErr w:type="spellEnd"/>
      <w:r w:rsidRPr="000B763E">
        <w:rPr>
          <w:rFonts w:eastAsia="Calibri"/>
          <w:sz w:val="24"/>
        </w:rPr>
        <w:t xml:space="preserve">) / 3 years] and </w:t>
      </w:r>
      <w:r w:rsidRPr="003A72AA">
        <w:rPr>
          <w:rFonts w:eastAsia="Calibri"/>
          <w:b/>
          <w:sz w:val="24"/>
        </w:rPr>
        <w:t>$10,136.16</w:t>
      </w:r>
      <w:r w:rsidRPr="000B763E">
        <w:rPr>
          <w:rFonts w:eastAsia="Calibri"/>
          <w:sz w:val="24"/>
        </w:rPr>
        <w:t xml:space="preserve"> [(18 states x ((30 </w:t>
      </w:r>
      <w:proofErr w:type="spellStart"/>
      <w:r w:rsidRPr="000B763E">
        <w:rPr>
          <w:rFonts w:eastAsia="Calibri"/>
          <w:sz w:val="24"/>
        </w:rPr>
        <w:t>hr</w:t>
      </w:r>
      <w:proofErr w:type="spellEnd"/>
      <w:r w:rsidRPr="000B763E">
        <w:rPr>
          <w:rFonts w:eastAsia="Calibri"/>
          <w:sz w:val="24"/>
        </w:rPr>
        <w:t xml:space="preserve"> x $53.32/</w:t>
      </w:r>
      <w:proofErr w:type="spellStart"/>
      <w:r w:rsidRPr="000B763E">
        <w:rPr>
          <w:rFonts w:eastAsia="Calibri"/>
          <w:sz w:val="24"/>
        </w:rPr>
        <w:t>hr</w:t>
      </w:r>
      <w:proofErr w:type="spellEnd"/>
      <w:r w:rsidRPr="000B763E">
        <w:rPr>
          <w:rFonts w:eastAsia="Calibri"/>
          <w:sz w:val="24"/>
        </w:rPr>
        <w:t xml:space="preserve">) + (3 </w:t>
      </w:r>
      <w:proofErr w:type="spellStart"/>
      <w:r w:rsidRPr="000B763E">
        <w:rPr>
          <w:rFonts w:eastAsia="Calibri"/>
          <w:sz w:val="24"/>
        </w:rPr>
        <w:t>hr</w:t>
      </w:r>
      <w:proofErr w:type="spellEnd"/>
      <w:r w:rsidRPr="000B763E">
        <w:rPr>
          <w:rFonts w:eastAsia="Calibri"/>
          <w:sz w:val="24"/>
        </w:rPr>
        <w:t xml:space="preserve"> x $29.92/</w:t>
      </w:r>
      <w:proofErr w:type="spellStart"/>
      <w:r w:rsidRPr="000B763E">
        <w:rPr>
          <w:rFonts w:eastAsia="Calibri"/>
          <w:sz w:val="24"/>
        </w:rPr>
        <w:t>hr</w:t>
      </w:r>
      <w:proofErr w:type="spellEnd"/>
      <w:r w:rsidRPr="000B763E">
        <w:rPr>
          <w:rFonts w:eastAsia="Calibri"/>
          <w:sz w:val="24"/>
        </w:rPr>
        <w:t>))) / 3 years].</w:t>
      </w:r>
    </w:p>
    <w:p w:rsidR="000B763E" w:rsidRDefault="000B763E" w:rsidP="000B763E">
      <w:pPr>
        <w:ind w:left="450"/>
        <w:contextualSpacing/>
        <w:rPr>
          <w:rFonts w:eastAsia="Calibri"/>
          <w:sz w:val="24"/>
        </w:rPr>
      </w:pPr>
    </w:p>
    <w:p w:rsidR="000B763E" w:rsidRPr="000B763E" w:rsidRDefault="000B763E" w:rsidP="000B763E">
      <w:pPr>
        <w:ind w:left="450"/>
        <w:contextualSpacing/>
        <w:rPr>
          <w:rFonts w:eastAsia="Calibri"/>
          <w:sz w:val="24"/>
        </w:rPr>
      </w:pPr>
      <w:r w:rsidRPr="000B763E">
        <w:rPr>
          <w:rFonts w:eastAsia="Calibri"/>
          <w:sz w:val="24"/>
        </w:rPr>
        <w:t xml:space="preserve">The revision of a comprehensive quality strategy would be a new process for the 19 states that do not currently contract with MCOs and/or PIHPs.  We estimate that those states would need 0.5 </w:t>
      </w:r>
      <w:proofErr w:type="spellStart"/>
      <w:r w:rsidRPr="000B763E">
        <w:rPr>
          <w:rFonts w:eastAsia="Calibri"/>
          <w:sz w:val="24"/>
        </w:rPr>
        <w:t>hr</w:t>
      </w:r>
      <w:proofErr w:type="spellEnd"/>
      <w:r w:rsidRPr="000B763E">
        <w:rPr>
          <w:rFonts w:eastAsia="Calibri"/>
          <w:sz w:val="24"/>
        </w:rPr>
        <w:t xml:space="preserve"> at $53.32/</w:t>
      </w:r>
      <w:proofErr w:type="spellStart"/>
      <w:r w:rsidRPr="000B763E">
        <w:rPr>
          <w:rFonts w:eastAsia="Calibri"/>
          <w:sz w:val="24"/>
        </w:rPr>
        <w:t>hr</w:t>
      </w:r>
      <w:proofErr w:type="spellEnd"/>
      <w:r w:rsidRPr="000B763E">
        <w:rPr>
          <w:rFonts w:eastAsia="Calibri"/>
          <w:sz w:val="24"/>
        </w:rPr>
        <w:t xml:space="preserve"> for a business operations specialist to revise their policies and procedures.  In aggregate, we estimate a one-time state burden of </w:t>
      </w:r>
      <w:r w:rsidRPr="003A72AA">
        <w:rPr>
          <w:rFonts w:eastAsia="Calibri"/>
          <w:b/>
          <w:sz w:val="24"/>
        </w:rPr>
        <w:t xml:space="preserve">9.5 </w:t>
      </w:r>
      <w:proofErr w:type="spellStart"/>
      <w:r w:rsidRPr="003A72AA">
        <w:rPr>
          <w:rFonts w:eastAsia="Calibri"/>
          <w:b/>
          <w:sz w:val="24"/>
        </w:rPr>
        <w:t>hr</w:t>
      </w:r>
      <w:proofErr w:type="spellEnd"/>
      <w:r w:rsidRPr="000B763E">
        <w:rPr>
          <w:rFonts w:eastAsia="Calibri"/>
          <w:sz w:val="24"/>
        </w:rPr>
        <w:t xml:space="preserve"> (19 states x 0.5 </w:t>
      </w:r>
      <w:proofErr w:type="spellStart"/>
      <w:r w:rsidRPr="000B763E">
        <w:rPr>
          <w:rFonts w:eastAsia="Calibri"/>
          <w:sz w:val="24"/>
        </w:rPr>
        <w:t>hr</w:t>
      </w:r>
      <w:proofErr w:type="spellEnd"/>
      <w:r w:rsidRPr="000B763E">
        <w:rPr>
          <w:rFonts w:eastAsia="Calibri"/>
          <w:sz w:val="24"/>
        </w:rPr>
        <w:t xml:space="preserve">) and </w:t>
      </w:r>
      <w:r w:rsidRPr="003A72AA">
        <w:rPr>
          <w:rFonts w:eastAsia="Calibri"/>
          <w:b/>
          <w:sz w:val="24"/>
        </w:rPr>
        <w:t>$506.54</w:t>
      </w:r>
      <w:r w:rsidRPr="000B763E">
        <w:rPr>
          <w:rFonts w:eastAsia="Calibri"/>
          <w:sz w:val="24"/>
        </w:rPr>
        <w:t xml:space="preserve"> (9.5 </w:t>
      </w:r>
      <w:proofErr w:type="spellStart"/>
      <w:r w:rsidRPr="000B763E">
        <w:rPr>
          <w:rFonts w:eastAsia="Calibri"/>
          <w:sz w:val="24"/>
        </w:rPr>
        <w:t>hr</w:t>
      </w:r>
      <w:proofErr w:type="spellEnd"/>
      <w:r w:rsidRPr="000B763E">
        <w:rPr>
          <w:rFonts w:eastAsia="Calibri"/>
          <w:sz w:val="24"/>
        </w:rPr>
        <w:t xml:space="preserve"> x $53.32/</w:t>
      </w:r>
      <w:proofErr w:type="spellStart"/>
      <w:r w:rsidRPr="000B763E">
        <w:rPr>
          <w:rFonts w:eastAsia="Calibri"/>
          <w:sz w:val="24"/>
        </w:rPr>
        <w:t>hr</w:t>
      </w:r>
      <w:proofErr w:type="spellEnd"/>
      <w:r w:rsidRPr="000B763E">
        <w:rPr>
          <w:rFonts w:eastAsia="Calibri"/>
          <w:sz w:val="24"/>
        </w:rPr>
        <w:t>) to update policies and procedures.</w:t>
      </w:r>
    </w:p>
    <w:p w:rsidR="000B763E" w:rsidRDefault="000B763E" w:rsidP="000B763E">
      <w:pPr>
        <w:ind w:left="450"/>
        <w:contextualSpacing/>
        <w:rPr>
          <w:rFonts w:eastAsia="Calibri"/>
          <w:sz w:val="24"/>
        </w:rPr>
      </w:pPr>
    </w:p>
    <w:p w:rsidR="000B763E" w:rsidRPr="000B763E" w:rsidRDefault="000B763E" w:rsidP="000B763E">
      <w:pPr>
        <w:ind w:left="450"/>
        <w:contextualSpacing/>
        <w:rPr>
          <w:rFonts w:eastAsia="Calibri"/>
          <w:sz w:val="24"/>
        </w:rPr>
      </w:pPr>
      <w:r w:rsidRPr="000B763E">
        <w:rPr>
          <w:rFonts w:eastAsia="Calibri"/>
          <w:sz w:val="24"/>
        </w:rPr>
        <w:t xml:space="preserve">We assume that it will be less burdensome to revise an existing comprehensive quality strategy than to draft an initial strategy.  Therefore, we estimate a burden for the comprehensive quality strategy revision process, once every three years, of 25 </w:t>
      </w:r>
      <w:proofErr w:type="spellStart"/>
      <w:r w:rsidRPr="000B763E">
        <w:rPr>
          <w:rFonts w:eastAsia="Calibri"/>
          <w:sz w:val="24"/>
        </w:rPr>
        <w:t>hr</w:t>
      </w:r>
      <w:proofErr w:type="spellEnd"/>
      <w:r w:rsidRPr="000B763E">
        <w:rPr>
          <w:rFonts w:eastAsia="Calibri"/>
          <w:sz w:val="24"/>
        </w:rPr>
        <w:t xml:space="preserve"> at $53.32/</w:t>
      </w:r>
      <w:proofErr w:type="spellStart"/>
      <w:r w:rsidRPr="000B763E">
        <w:rPr>
          <w:rFonts w:eastAsia="Calibri"/>
          <w:sz w:val="24"/>
        </w:rPr>
        <w:t>hr</w:t>
      </w:r>
      <w:proofErr w:type="spellEnd"/>
      <w:r w:rsidRPr="000B763E">
        <w:rPr>
          <w:rFonts w:eastAsia="Calibri"/>
          <w:sz w:val="24"/>
        </w:rPr>
        <w:t xml:space="preserve"> for a business operations analyst to review and revise the comprehensive quality strategy, 2 </w:t>
      </w:r>
      <w:proofErr w:type="spellStart"/>
      <w:r w:rsidRPr="000B763E">
        <w:rPr>
          <w:rFonts w:eastAsia="Calibri"/>
          <w:sz w:val="24"/>
        </w:rPr>
        <w:t>hr</w:t>
      </w:r>
      <w:proofErr w:type="spellEnd"/>
      <w:r w:rsidRPr="000B763E">
        <w:rPr>
          <w:rFonts w:eastAsia="Calibri"/>
          <w:sz w:val="24"/>
        </w:rPr>
        <w:t xml:space="preserve"> at $29.92/</w:t>
      </w:r>
      <w:proofErr w:type="spellStart"/>
      <w:r w:rsidRPr="000B763E">
        <w:rPr>
          <w:rFonts w:eastAsia="Calibri"/>
          <w:sz w:val="24"/>
        </w:rPr>
        <w:t>hr</w:t>
      </w:r>
      <w:proofErr w:type="spellEnd"/>
      <w:r w:rsidRPr="000B763E">
        <w:rPr>
          <w:rFonts w:eastAsia="Calibri"/>
          <w:sz w:val="24"/>
        </w:rPr>
        <w:t xml:space="preserve"> for an office and administrative support worker to publicize the strategy, 5 </w:t>
      </w:r>
      <w:proofErr w:type="spellStart"/>
      <w:r w:rsidRPr="000B763E">
        <w:rPr>
          <w:rFonts w:eastAsia="Calibri"/>
          <w:sz w:val="24"/>
        </w:rPr>
        <w:t>hr</w:t>
      </w:r>
      <w:proofErr w:type="spellEnd"/>
      <w:r w:rsidRPr="000B763E">
        <w:rPr>
          <w:rFonts w:eastAsia="Calibri"/>
          <w:sz w:val="24"/>
        </w:rPr>
        <w:t xml:space="preserve"> at $53.32/</w:t>
      </w:r>
      <w:proofErr w:type="spellStart"/>
      <w:r w:rsidRPr="000B763E">
        <w:rPr>
          <w:rFonts w:eastAsia="Calibri"/>
          <w:sz w:val="24"/>
        </w:rPr>
        <w:t>hr</w:t>
      </w:r>
      <w:proofErr w:type="spellEnd"/>
      <w:r w:rsidRPr="000B763E">
        <w:rPr>
          <w:rFonts w:eastAsia="Calibri"/>
          <w:sz w:val="24"/>
        </w:rPr>
        <w:t xml:space="preserve"> for a business operations specialist to review and incorporate public comments, and 1 </w:t>
      </w:r>
      <w:proofErr w:type="spellStart"/>
      <w:r w:rsidRPr="000B763E">
        <w:rPr>
          <w:rFonts w:eastAsia="Calibri"/>
          <w:sz w:val="24"/>
        </w:rPr>
        <w:t>hr</w:t>
      </w:r>
      <w:proofErr w:type="spellEnd"/>
      <w:r w:rsidRPr="000B763E">
        <w:rPr>
          <w:rFonts w:eastAsia="Calibri"/>
          <w:sz w:val="24"/>
        </w:rPr>
        <w:t xml:space="preserve"> at $29.92/</w:t>
      </w:r>
      <w:proofErr w:type="spellStart"/>
      <w:r w:rsidRPr="000B763E">
        <w:rPr>
          <w:rFonts w:eastAsia="Calibri"/>
          <w:sz w:val="24"/>
        </w:rPr>
        <w:t>hr</w:t>
      </w:r>
      <w:proofErr w:type="spellEnd"/>
      <w:r w:rsidRPr="000B763E">
        <w:rPr>
          <w:rFonts w:eastAsia="Calibri"/>
          <w:sz w:val="24"/>
        </w:rPr>
        <w:t xml:space="preserve"> for an office and administrative support worker to submit the revised quality strategy to CMS.  In aggregate, we estimate an ongoing annualized state burden of </w:t>
      </w:r>
      <w:r w:rsidRPr="003A72AA">
        <w:rPr>
          <w:rFonts w:eastAsia="Calibri"/>
          <w:b/>
          <w:sz w:val="24"/>
        </w:rPr>
        <w:t xml:space="preserve">209 </w:t>
      </w:r>
      <w:proofErr w:type="spellStart"/>
      <w:r w:rsidRPr="003A72AA">
        <w:rPr>
          <w:rFonts w:eastAsia="Calibri"/>
          <w:b/>
          <w:sz w:val="24"/>
        </w:rPr>
        <w:t>hr</w:t>
      </w:r>
      <w:proofErr w:type="spellEnd"/>
      <w:r w:rsidRPr="000B763E">
        <w:rPr>
          <w:rFonts w:eastAsia="Calibri"/>
          <w:sz w:val="24"/>
        </w:rPr>
        <w:t xml:space="preserve"> [(19 states x (33 </w:t>
      </w:r>
      <w:proofErr w:type="spellStart"/>
      <w:r w:rsidRPr="000B763E">
        <w:rPr>
          <w:rFonts w:eastAsia="Calibri"/>
          <w:sz w:val="24"/>
        </w:rPr>
        <w:t>hr</w:t>
      </w:r>
      <w:proofErr w:type="spellEnd"/>
      <w:r w:rsidRPr="000B763E">
        <w:rPr>
          <w:rFonts w:eastAsia="Calibri"/>
          <w:sz w:val="24"/>
        </w:rPr>
        <w:t xml:space="preserve">) / 3 years] and </w:t>
      </w:r>
      <w:r w:rsidRPr="003A72AA">
        <w:rPr>
          <w:rFonts w:eastAsia="Calibri"/>
          <w:b/>
          <w:sz w:val="24"/>
        </w:rPr>
        <w:t>$10,699.28</w:t>
      </w:r>
      <w:r w:rsidRPr="000B763E">
        <w:rPr>
          <w:rFonts w:eastAsia="Calibri"/>
          <w:sz w:val="24"/>
        </w:rPr>
        <w:t xml:space="preserve"> [(19 states x ((30 </w:t>
      </w:r>
      <w:proofErr w:type="spellStart"/>
      <w:r w:rsidRPr="000B763E">
        <w:rPr>
          <w:rFonts w:eastAsia="Calibri"/>
          <w:sz w:val="24"/>
        </w:rPr>
        <w:t>hr</w:t>
      </w:r>
      <w:proofErr w:type="spellEnd"/>
      <w:r w:rsidRPr="000B763E">
        <w:rPr>
          <w:rFonts w:eastAsia="Calibri"/>
          <w:sz w:val="24"/>
        </w:rPr>
        <w:t xml:space="preserve"> x $53.32/</w:t>
      </w:r>
      <w:proofErr w:type="spellStart"/>
      <w:r w:rsidRPr="000B763E">
        <w:rPr>
          <w:rFonts w:eastAsia="Calibri"/>
          <w:sz w:val="24"/>
        </w:rPr>
        <w:t>hr</w:t>
      </w:r>
      <w:proofErr w:type="spellEnd"/>
      <w:r w:rsidRPr="000B763E">
        <w:rPr>
          <w:rFonts w:eastAsia="Calibri"/>
          <w:sz w:val="24"/>
        </w:rPr>
        <w:t xml:space="preserve">) + (3 </w:t>
      </w:r>
      <w:proofErr w:type="spellStart"/>
      <w:r w:rsidRPr="000B763E">
        <w:rPr>
          <w:rFonts w:eastAsia="Calibri"/>
          <w:sz w:val="24"/>
        </w:rPr>
        <w:t>hr</w:t>
      </w:r>
      <w:proofErr w:type="spellEnd"/>
      <w:r w:rsidRPr="000B763E">
        <w:rPr>
          <w:rFonts w:eastAsia="Calibri"/>
          <w:sz w:val="24"/>
        </w:rPr>
        <w:t xml:space="preserve"> x $29.92/</w:t>
      </w:r>
      <w:proofErr w:type="spellStart"/>
      <w:r w:rsidRPr="000B763E">
        <w:rPr>
          <w:rFonts w:eastAsia="Calibri"/>
          <w:sz w:val="24"/>
        </w:rPr>
        <w:t>hr</w:t>
      </w:r>
      <w:proofErr w:type="spellEnd"/>
      <w:r w:rsidRPr="000B763E">
        <w:rPr>
          <w:rFonts w:eastAsia="Calibri"/>
          <w:sz w:val="24"/>
        </w:rPr>
        <w:t>))) / 3 years].</w:t>
      </w:r>
    </w:p>
    <w:p w:rsidR="000B763E" w:rsidRDefault="000B763E" w:rsidP="000B763E">
      <w:pPr>
        <w:ind w:left="450"/>
        <w:contextualSpacing/>
        <w:rPr>
          <w:rFonts w:eastAsia="Calibri"/>
          <w:sz w:val="24"/>
        </w:rPr>
      </w:pPr>
    </w:p>
    <w:p w:rsidR="000B763E" w:rsidRPr="000B763E" w:rsidRDefault="000B763E" w:rsidP="000B763E">
      <w:pPr>
        <w:ind w:left="450"/>
        <w:contextualSpacing/>
        <w:rPr>
          <w:rFonts w:eastAsia="Calibri"/>
          <w:sz w:val="24"/>
        </w:rPr>
      </w:pPr>
      <w:r w:rsidRPr="000B763E">
        <w:rPr>
          <w:rFonts w:eastAsia="Calibri"/>
          <w:sz w:val="24"/>
        </w:rPr>
        <w:t xml:space="preserve">Of the 37 states that contract with MCOs and/or PIHPs, we estimate that 10 states already have a comprehensive quality strategy.  This could be due to a variety of reasons, such as the special terms and conditions of a section 1115 demonstration or in response to SHO Letter #13-007.  The remaining 27 states would, at their next revision, </w:t>
      </w:r>
      <w:r w:rsidRPr="000B763E">
        <w:rPr>
          <w:rFonts w:eastAsia="Calibri"/>
          <w:iCs/>
          <w:sz w:val="24"/>
        </w:rPr>
        <w:t xml:space="preserve">transition from a quality strategy to a comprehensive quality strategy.  We estimate that this would pose a burden of 10 </w:t>
      </w:r>
      <w:proofErr w:type="spellStart"/>
      <w:r w:rsidRPr="000B763E">
        <w:rPr>
          <w:rFonts w:eastAsia="Calibri"/>
          <w:iCs/>
          <w:sz w:val="24"/>
        </w:rPr>
        <w:t>hr</w:t>
      </w:r>
      <w:proofErr w:type="spellEnd"/>
      <w:r w:rsidRPr="000B763E">
        <w:rPr>
          <w:rFonts w:eastAsia="Calibri"/>
          <w:iCs/>
          <w:sz w:val="24"/>
        </w:rPr>
        <w:t xml:space="preserve"> </w:t>
      </w:r>
      <w:r w:rsidRPr="000B763E">
        <w:rPr>
          <w:rFonts w:eastAsia="Calibri"/>
          <w:sz w:val="24"/>
        </w:rPr>
        <w:t>at $53.32/</w:t>
      </w:r>
      <w:proofErr w:type="spellStart"/>
      <w:r w:rsidRPr="000B763E">
        <w:rPr>
          <w:rFonts w:eastAsia="Calibri"/>
          <w:sz w:val="24"/>
        </w:rPr>
        <w:t>hr</w:t>
      </w:r>
      <w:proofErr w:type="spellEnd"/>
      <w:r w:rsidRPr="000B763E">
        <w:rPr>
          <w:rFonts w:eastAsia="Calibri"/>
          <w:iCs/>
          <w:sz w:val="24"/>
        </w:rPr>
        <w:t xml:space="preserve"> for a business operations specialist </w:t>
      </w:r>
      <w:r w:rsidRPr="000B763E">
        <w:rPr>
          <w:rFonts w:eastAsia="Calibri"/>
          <w:sz w:val="24"/>
        </w:rPr>
        <w:t>at the next revision</w:t>
      </w:r>
      <w:r w:rsidRPr="000B763E">
        <w:rPr>
          <w:rFonts w:eastAsia="Calibri"/>
          <w:iCs/>
          <w:sz w:val="24"/>
        </w:rPr>
        <w:t>.</w:t>
      </w:r>
      <w:r w:rsidRPr="000B763E">
        <w:rPr>
          <w:rFonts w:eastAsia="Calibri"/>
          <w:sz w:val="24"/>
        </w:rPr>
        <w:t xml:space="preserve">  In aggregate, we estimate a one-time state burden of </w:t>
      </w:r>
      <w:r w:rsidRPr="003A72AA">
        <w:rPr>
          <w:rFonts w:eastAsia="Calibri"/>
          <w:b/>
          <w:sz w:val="24"/>
        </w:rPr>
        <w:t xml:space="preserve">270 </w:t>
      </w:r>
      <w:proofErr w:type="spellStart"/>
      <w:r w:rsidRPr="003A72AA">
        <w:rPr>
          <w:rFonts w:eastAsia="Calibri"/>
          <w:b/>
          <w:sz w:val="24"/>
        </w:rPr>
        <w:t>hr</w:t>
      </w:r>
      <w:proofErr w:type="spellEnd"/>
      <w:r w:rsidRPr="000B763E">
        <w:rPr>
          <w:rFonts w:eastAsia="Calibri"/>
          <w:sz w:val="24"/>
        </w:rPr>
        <w:t xml:space="preserve"> (27 states x 10 </w:t>
      </w:r>
      <w:proofErr w:type="spellStart"/>
      <w:r w:rsidRPr="000B763E">
        <w:rPr>
          <w:rFonts w:eastAsia="Calibri"/>
          <w:sz w:val="24"/>
        </w:rPr>
        <w:t>hr</w:t>
      </w:r>
      <w:proofErr w:type="spellEnd"/>
      <w:r w:rsidRPr="000B763E">
        <w:rPr>
          <w:rFonts w:eastAsia="Calibri"/>
          <w:sz w:val="24"/>
        </w:rPr>
        <w:t xml:space="preserve">) and </w:t>
      </w:r>
      <w:r w:rsidRPr="003A72AA">
        <w:rPr>
          <w:rFonts w:eastAsia="Calibri"/>
          <w:b/>
          <w:sz w:val="24"/>
        </w:rPr>
        <w:t>$14,396.40</w:t>
      </w:r>
      <w:r w:rsidRPr="000B763E">
        <w:rPr>
          <w:rFonts w:eastAsia="Calibri"/>
          <w:sz w:val="24"/>
        </w:rPr>
        <w:t xml:space="preserve"> (270 </w:t>
      </w:r>
      <w:proofErr w:type="spellStart"/>
      <w:r w:rsidRPr="000B763E">
        <w:rPr>
          <w:rFonts w:eastAsia="Calibri"/>
          <w:sz w:val="24"/>
        </w:rPr>
        <w:t>hr</w:t>
      </w:r>
      <w:proofErr w:type="spellEnd"/>
      <w:r w:rsidRPr="000B763E">
        <w:rPr>
          <w:rFonts w:eastAsia="Calibri"/>
          <w:sz w:val="24"/>
        </w:rPr>
        <w:t xml:space="preserve"> x $53.32/</w:t>
      </w:r>
      <w:proofErr w:type="spellStart"/>
      <w:r w:rsidRPr="000B763E">
        <w:rPr>
          <w:rFonts w:eastAsia="Calibri"/>
          <w:sz w:val="24"/>
        </w:rPr>
        <w:t>hr</w:t>
      </w:r>
      <w:proofErr w:type="spellEnd"/>
      <w:r w:rsidRPr="000B763E">
        <w:rPr>
          <w:rFonts w:eastAsia="Calibri"/>
          <w:sz w:val="24"/>
        </w:rPr>
        <w:t>).</w:t>
      </w:r>
    </w:p>
    <w:p w:rsidR="000B763E" w:rsidRDefault="000B763E" w:rsidP="000B7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contextualSpacing/>
        <w:rPr>
          <w:rFonts w:eastAsia="Calibri"/>
          <w:iCs/>
          <w:sz w:val="24"/>
        </w:rPr>
      </w:pPr>
    </w:p>
    <w:p w:rsidR="000B763E" w:rsidRPr="000B763E" w:rsidRDefault="000B763E" w:rsidP="000B7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contextualSpacing/>
        <w:rPr>
          <w:rFonts w:eastAsia="Calibri"/>
          <w:iCs/>
          <w:sz w:val="24"/>
        </w:rPr>
      </w:pPr>
      <w:r w:rsidRPr="000B763E">
        <w:rPr>
          <w:rFonts w:eastAsia="Calibri"/>
          <w:iCs/>
          <w:sz w:val="24"/>
        </w:rPr>
        <w:t>We propose in section 431.504(b</w:t>
      </w:r>
      <w:proofErr w:type="gramStart"/>
      <w:r w:rsidRPr="000B763E">
        <w:rPr>
          <w:rFonts w:eastAsia="Calibri"/>
          <w:iCs/>
          <w:sz w:val="24"/>
        </w:rPr>
        <w:t>)(</w:t>
      </w:r>
      <w:proofErr w:type="gramEnd"/>
      <w:r w:rsidRPr="000B763E">
        <w:rPr>
          <w:rFonts w:eastAsia="Calibri"/>
          <w:iCs/>
          <w:sz w:val="24"/>
        </w:rPr>
        <w:t xml:space="preserve">1) that the review of the comprehensive quality strategy would include an effectiveness evaluation conducted within the previous three years.  We estimate the burden of this evaluation at 40 </w:t>
      </w:r>
      <w:proofErr w:type="spellStart"/>
      <w:r w:rsidRPr="000B763E">
        <w:rPr>
          <w:rFonts w:eastAsia="Calibri"/>
          <w:iCs/>
          <w:sz w:val="24"/>
        </w:rPr>
        <w:t>hr</w:t>
      </w:r>
      <w:proofErr w:type="spellEnd"/>
      <w:r w:rsidRPr="000B763E">
        <w:rPr>
          <w:rFonts w:eastAsia="Calibri"/>
          <w:iCs/>
          <w:sz w:val="24"/>
        </w:rPr>
        <w:t xml:space="preserve"> at $53.32/</w:t>
      </w:r>
      <w:proofErr w:type="spellStart"/>
      <w:r w:rsidRPr="000B763E">
        <w:rPr>
          <w:rFonts w:eastAsia="Calibri"/>
          <w:iCs/>
          <w:sz w:val="24"/>
        </w:rPr>
        <w:t>hr</w:t>
      </w:r>
      <w:proofErr w:type="spellEnd"/>
      <w:r w:rsidRPr="000B763E">
        <w:rPr>
          <w:rFonts w:eastAsia="Calibri"/>
          <w:iCs/>
          <w:sz w:val="24"/>
        </w:rPr>
        <w:t xml:space="preserve"> for a business operations specialist once every three years for all 56 states.  The currently approved burden estimates that creating and submitting an implementation and effectiveness report to CMS for the 37 states with </w:t>
      </w:r>
      <w:proofErr w:type="spellStart"/>
      <w:r w:rsidRPr="000B763E">
        <w:rPr>
          <w:rFonts w:eastAsia="Calibri"/>
          <w:iCs/>
          <w:sz w:val="24"/>
        </w:rPr>
        <w:t>MCOs</w:t>
      </w:r>
      <w:proofErr w:type="spellEnd"/>
      <w:r w:rsidRPr="000B763E">
        <w:rPr>
          <w:rFonts w:eastAsia="Calibri"/>
          <w:iCs/>
          <w:sz w:val="24"/>
        </w:rPr>
        <w:t xml:space="preserve"> and/or </w:t>
      </w:r>
      <w:proofErr w:type="spellStart"/>
      <w:r w:rsidRPr="000B763E">
        <w:rPr>
          <w:rFonts w:eastAsia="Calibri"/>
          <w:iCs/>
          <w:sz w:val="24"/>
        </w:rPr>
        <w:t>PIHPs</w:t>
      </w:r>
      <w:proofErr w:type="spellEnd"/>
      <w:r w:rsidRPr="000B763E">
        <w:rPr>
          <w:rFonts w:eastAsia="Calibri"/>
          <w:iCs/>
          <w:sz w:val="24"/>
        </w:rPr>
        <w:t xml:space="preserve"> takes 40 </w:t>
      </w:r>
      <w:proofErr w:type="spellStart"/>
      <w:r w:rsidRPr="000B763E">
        <w:rPr>
          <w:rFonts w:eastAsia="Calibri"/>
          <w:iCs/>
          <w:sz w:val="24"/>
        </w:rPr>
        <w:t>hr</w:t>
      </w:r>
      <w:proofErr w:type="spellEnd"/>
      <w:r w:rsidRPr="000B763E">
        <w:rPr>
          <w:rFonts w:eastAsia="Calibri"/>
          <w:iCs/>
          <w:sz w:val="24"/>
        </w:rPr>
        <w:t xml:space="preserve"> per state once every three years.  In its place, the review of the comprehensive quality strategy (including the effectiveness evaluation) would apply to the 56 states but the burden increase would apply to the remaining 19 states.  In aggregate, we estimate an ongoing annualized burden of </w:t>
      </w:r>
      <w:r w:rsidRPr="003A72AA">
        <w:rPr>
          <w:rFonts w:eastAsia="Calibri"/>
          <w:b/>
          <w:iCs/>
          <w:sz w:val="24"/>
        </w:rPr>
        <w:t xml:space="preserve">253.3 </w:t>
      </w:r>
      <w:proofErr w:type="spellStart"/>
      <w:r w:rsidRPr="003A72AA">
        <w:rPr>
          <w:rFonts w:eastAsia="Calibri"/>
          <w:b/>
          <w:iCs/>
          <w:sz w:val="24"/>
        </w:rPr>
        <w:t>hr</w:t>
      </w:r>
      <w:proofErr w:type="spellEnd"/>
      <w:r w:rsidRPr="000B763E">
        <w:rPr>
          <w:rFonts w:eastAsia="Calibri"/>
          <w:iCs/>
          <w:sz w:val="24"/>
        </w:rPr>
        <w:t xml:space="preserve"> [(19 states x 40 </w:t>
      </w:r>
      <w:proofErr w:type="spellStart"/>
      <w:r w:rsidRPr="000B763E">
        <w:rPr>
          <w:rFonts w:eastAsia="Calibri"/>
          <w:iCs/>
          <w:sz w:val="24"/>
        </w:rPr>
        <w:t>hr</w:t>
      </w:r>
      <w:proofErr w:type="spellEnd"/>
      <w:r w:rsidRPr="000B763E">
        <w:rPr>
          <w:rFonts w:eastAsia="Calibri"/>
          <w:iCs/>
          <w:sz w:val="24"/>
        </w:rPr>
        <w:t xml:space="preserve">) / 3 years] and </w:t>
      </w:r>
      <w:r w:rsidRPr="003A72AA">
        <w:rPr>
          <w:rFonts w:eastAsia="Calibri"/>
          <w:b/>
          <w:iCs/>
          <w:sz w:val="24"/>
        </w:rPr>
        <w:t>$13,505.96</w:t>
      </w:r>
      <w:r w:rsidRPr="000B763E">
        <w:rPr>
          <w:rFonts w:eastAsia="Calibri"/>
          <w:iCs/>
          <w:sz w:val="24"/>
        </w:rPr>
        <w:t xml:space="preserve"> (253.3 </w:t>
      </w:r>
      <w:proofErr w:type="spellStart"/>
      <w:r w:rsidRPr="000B763E">
        <w:rPr>
          <w:rFonts w:eastAsia="Calibri"/>
          <w:iCs/>
          <w:sz w:val="24"/>
        </w:rPr>
        <w:t>hr</w:t>
      </w:r>
      <w:proofErr w:type="spellEnd"/>
      <w:r w:rsidRPr="000B763E">
        <w:rPr>
          <w:rFonts w:eastAsia="Calibri"/>
          <w:iCs/>
          <w:sz w:val="24"/>
        </w:rPr>
        <w:t xml:space="preserve"> x $53.32/</w:t>
      </w:r>
      <w:proofErr w:type="spellStart"/>
      <w:r w:rsidRPr="000B763E">
        <w:rPr>
          <w:rFonts w:eastAsia="Calibri"/>
          <w:iCs/>
          <w:sz w:val="24"/>
        </w:rPr>
        <w:t>hr</w:t>
      </w:r>
      <w:proofErr w:type="spellEnd"/>
      <w:r w:rsidRPr="000B763E">
        <w:rPr>
          <w:rFonts w:eastAsia="Calibri"/>
          <w:iCs/>
          <w:sz w:val="24"/>
        </w:rPr>
        <w:t>) to evaluate the effectiveness of a comprehensive quality strategy.</w:t>
      </w:r>
    </w:p>
    <w:p w:rsidR="000B763E" w:rsidRDefault="000B763E" w:rsidP="000B7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contextualSpacing/>
        <w:rPr>
          <w:rFonts w:eastAsia="Calibri"/>
          <w:iCs/>
          <w:sz w:val="24"/>
        </w:rPr>
      </w:pPr>
    </w:p>
    <w:p w:rsidR="000B763E" w:rsidRPr="000B763E" w:rsidRDefault="000B763E" w:rsidP="000B7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contextualSpacing/>
        <w:rPr>
          <w:rFonts w:eastAsia="Calibri"/>
          <w:iCs/>
          <w:sz w:val="24"/>
        </w:rPr>
      </w:pPr>
      <w:r w:rsidRPr="000B763E">
        <w:rPr>
          <w:rFonts w:eastAsia="Calibri"/>
          <w:iCs/>
          <w:sz w:val="24"/>
        </w:rPr>
        <w:t>States would post the effectiveness evaluation on the state’s Medicaid website under proposed section 431.504(b</w:t>
      </w:r>
      <w:proofErr w:type="gramStart"/>
      <w:r w:rsidRPr="000B763E">
        <w:rPr>
          <w:rFonts w:eastAsia="Calibri"/>
          <w:iCs/>
          <w:sz w:val="24"/>
        </w:rPr>
        <w:t>)(</w:t>
      </w:r>
      <w:proofErr w:type="gramEnd"/>
      <w:r w:rsidRPr="000B763E">
        <w:rPr>
          <w:rFonts w:eastAsia="Calibri"/>
          <w:iCs/>
          <w:sz w:val="24"/>
        </w:rPr>
        <w:t xml:space="preserve">2).  </w:t>
      </w:r>
      <w:r w:rsidRPr="000B763E">
        <w:rPr>
          <w:sz w:val="24"/>
        </w:rPr>
        <w:t>While this standard is subject to the PRA, we believe the associated burden is exempt from the PRA in accordance with 5 CFR 1320.3(b</w:t>
      </w:r>
      <w:proofErr w:type="gramStart"/>
      <w:r w:rsidRPr="000B763E">
        <w:rPr>
          <w:sz w:val="24"/>
        </w:rPr>
        <w:t>)(</w:t>
      </w:r>
      <w:proofErr w:type="gramEnd"/>
      <w:r w:rsidRPr="000B763E">
        <w:rPr>
          <w:sz w:val="24"/>
        </w:rPr>
        <w:t>2).  We believe that the time, effort, and financial resources necessary to comply with the aforementioned standards would be incurred by persons during the normal course of their activities and, therefore, should be considered a usual and customary business practice.</w:t>
      </w:r>
    </w:p>
    <w:p w:rsidR="000B763E" w:rsidRDefault="000B763E" w:rsidP="000B763E">
      <w:pPr>
        <w:ind w:left="450"/>
        <w:contextualSpacing/>
        <w:rPr>
          <w:rFonts w:eastAsia="Calibri"/>
          <w:sz w:val="24"/>
        </w:rPr>
      </w:pPr>
    </w:p>
    <w:p w:rsidR="000B763E" w:rsidRPr="000B763E" w:rsidRDefault="000B763E" w:rsidP="000B763E">
      <w:pPr>
        <w:ind w:left="450"/>
        <w:contextualSpacing/>
        <w:rPr>
          <w:rFonts w:eastAsia="Calibri"/>
          <w:sz w:val="24"/>
        </w:rPr>
      </w:pPr>
      <w:r w:rsidRPr="000B763E">
        <w:rPr>
          <w:rFonts w:eastAsia="Calibri"/>
          <w:sz w:val="24"/>
        </w:rPr>
        <w:t xml:space="preserve">As described in section 431.504(c), states would submit to CMS a copy of the initial comprehensive quality strategy and any subsequent revisions.  The burden associated with this standard has been captured in §§431.502(a) (initial strategy) and 431.504(b) (revision of strategy).  As this would be a new standard for the 19 states that do not currently contract with MCOs and/or PIHPs, we believe that these states would need to modify their policies and procedures to incorporate this action.  We estimate a burden of 0.5 </w:t>
      </w:r>
      <w:proofErr w:type="spellStart"/>
      <w:r w:rsidRPr="000B763E">
        <w:rPr>
          <w:rFonts w:eastAsia="Calibri"/>
          <w:sz w:val="24"/>
        </w:rPr>
        <w:t>hr</w:t>
      </w:r>
      <w:proofErr w:type="spellEnd"/>
      <w:r w:rsidRPr="000B763E">
        <w:rPr>
          <w:rFonts w:eastAsia="Calibri"/>
          <w:sz w:val="24"/>
        </w:rPr>
        <w:t xml:space="preserve"> $53.32/</w:t>
      </w:r>
      <w:proofErr w:type="spellStart"/>
      <w:r w:rsidRPr="000B763E">
        <w:rPr>
          <w:rFonts w:eastAsia="Calibri"/>
          <w:sz w:val="24"/>
        </w:rPr>
        <w:t>hr</w:t>
      </w:r>
      <w:proofErr w:type="spellEnd"/>
      <w:r w:rsidRPr="000B763E">
        <w:rPr>
          <w:rFonts w:eastAsia="Calibri"/>
          <w:sz w:val="24"/>
        </w:rPr>
        <w:t xml:space="preserve"> for a business operations specialist.  In aggregate, we estimate a one-time state burden of </w:t>
      </w:r>
      <w:r w:rsidRPr="003A72AA">
        <w:rPr>
          <w:rFonts w:eastAsia="Calibri"/>
          <w:b/>
          <w:sz w:val="24"/>
        </w:rPr>
        <w:t xml:space="preserve">9.5 </w:t>
      </w:r>
      <w:proofErr w:type="spellStart"/>
      <w:r w:rsidRPr="003A72AA">
        <w:rPr>
          <w:rFonts w:eastAsia="Calibri"/>
          <w:b/>
          <w:sz w:val="24"/>
        </w:rPr>
        <w:t>hr</w:t>
      </w:r>
      <w:proofErr w:type="spellEnd"/>
      <w:r w:rsidRPr="000B763E">
        <w:rPr>
          <w:rFonts w:eastAsia="Calibri"/>
          <w:sz w:val="24"/>
        </w:rPr>
        <w:t xml:space="preserve"> (19 states x 0.5 </w:t>
      </w:r>
      <w:proofErr w:type="spellStart"/>
      <w:r w:rsidRPr="000B763E">
        <w:rPr>
          <w:rFonts w:eastAsia="Calibri"/>
          <w:sz w:val="24"/>
        </w:rPr>
        <w:t>hr</w:t>
      </w:r>
      <w:proofErr w:type="spellEnd"/>
      <w:r w:rsidRPr="000B763E">
        <w:rPr>
          <w:rFonts w:eastAsia="Calibri"/>
          <w:sz w:val="24"/>
        </w:rPr>
        <w:t xml:space="preserve">) and </w:t>
      </w:r>
      <w:r w:rsidRPr="003A72AA">
        <w:rPr>
          <w:rFonts w:eastAsia="Calibri"/>
          <w:b/>
          <w:sz w:val="24"/>
        </w:rPr>
        <w:t>$506.54</w:t>
      </w:r>
      <w:r w:rsidRPr="000B763E">
        <w:rPr>
          <w:rFonts w:eastAsia="Calibri"/>
          <w:sz w:val="24"/>
        </w:rPr>
        <w:t xml:space="preserve"> (9.5 </w:t>
      </w:r>
      <w:proofErr w:type="spellStart"/>
      <w:r w:rsidRPr="000B763E">
        <w:rPr>
          <w:rFonts w:eastAsia="Calibri"/>
          <w:sz w:val="24"/>
        </w:rPr>
        <w:t>hr</w:t>
      </w:r>
      <w:proofErr w:type="spellEnd"/>
      <w:r w:rsidRPr="000B763E">
        <w:rPr>
          <w:rFonts w:eastAsia="Calibri"/>
          <w:sz w:val="24"/>
        </w:rPr>
        <w:t xml:space="preserve"> x $53.32/</w:t>
      </w:r>
      <w:proofErr w:type="spellStart"/>
      <w:r w:rsidRPr="000B763E">
        <w:rPr>
          <w:rFonts w:eastAsia="Calibri"/>
          <w:sz w:val="24"/>
        </w:rPr>
        <w:t>hr</w:t>
      </w:r>
      <w:proofErr w:type="spellEnd"/>
      <w:r w:rsidRPr="000B763E">
        <w:rPr>
          <w:rFonts w:eastAsia="Calibri"/>
          <w:sz w:val="24"/>
        </w:rPr>
        <w:t>).</w:t>
      </w:r>
    </w:p>
    <w:p w:rsidR="000B763E" w:rsidRDefault="000B763E" w:rsidP="000B7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contextualSpacing/>
        <w:rPr>
          <w:rFonts w:eastAsia="Calibri"/>
          <w:sz w:val="24"/>
        </w:rPr>
      </w:pPr>
    </w:p>
    <w:p w:rsidR="000B763E" w:rsidRDefault="000B763E" w:rsidP="000B7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contextualSpacing/>
        <w:rPr>
          <w:sz w:val="24"/>
        </w:rPr>
      </w:pPr>
      <w:r w:rsidRPr="000B763E">
        <w:rPr>
          <w:rFonts w:eastAsia="Calibri"/>
          <w:sz w:val="24"/>
        </w:rPr>
        <w:t>Finally, section 431.504(d)</w:t>
      </w:r>
      <w:r w:rsidRPr="000B763E">
        <w:rPr>
          <w:rFonts w:eastAsia="Calibri"/>
          <w:iCs/>
          <w:sz w:val="24"/>
        </w:rPr>
        <w:t xml:space="preserve"> would have states post the final comprehensive quality strategy to their Medicaid websites.  </w:t>
      </w:r>
      <w:r w:rsidRPr="000B763E">
        <w:rPr>
          <w:sz w:val="24"/>
        </w:rPr>
        <w:t>While this standard is subject to the PRA, we believe the associated burden is exempt from the PRA in accordance with 5 CFR 1320.3(b</w:t>
      </w:r>
      <w:proofErr w:type="gramStart"/>
      <w:r w:rsidRPr="000B763E">
        <w:rPr>
          <w:sz w:val="24"/>
        </w:rPr>
        <w:t>)(</w:t>
      </w:r>
      <w:proofErr w:type="gramEnd"/>
      <w:r w:rsidRPr="000B763E">
        <w:rPr>
          <w:sz w:val="24"/>
        </w:rPr>
        <w:t xml:space="preserve">2).  We believe that the time, effort, and financial resources necessary to comply with the aforementioned standards </w:t>
      </w:r>
      <w:proofErr w:type="gramStart"/>
      <w:r w:rsidRPr="000B763E">
        <w:rPr>
          <w:sz w:val="24"/>
        </w:rPr>
        <w:t>would be incurred</w:t>
      </w:r>
      <w:proofErr w:type="gramEnd"/>
      <w:r w:rsidRPr="000B763E">
        <w:rPr>
          <w:sz w:val="24"/>
        </w:rPr>
        <w:t xml:space="preserve"> by persons during the normal course of their activities and, therefore, should be considered a usual and customary business practice.</w:t>
      </w:r>
    </w:p>
    <w:p w:rsidR="000A3666" w:rsidRDefault="000A3666" w:rsidP="000A36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C6067" w:rsidRPr="00FC6067" w:rsidRDefault="00587043" w:rsidP="00FC60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contextualSpacing/>
        <w:rPr>
          <w:sz w:val="24"/>
        </w:rPr>
      </w:pPr>
      <w:proofErr w:type="spellStart"/>
      <w:r>
        <w:rPr>
          <w:sz w:val="24"/>
          <w:u w:val="single"/>
        </w:rPr>
        <w:t>C</w:t>
      </w:r>
      <w:r w:rsidR="00FC6067" w:rsidRPr="00FC6067">
        <w:rPr>
          <w:sz w:val="24"/>
          <w:u w:val="single"/>
        </w:rPr>
        <w:t>QR</w:t>
      </w:r>
      <w:proofErr w:type="spellEnd"/>
      <w:r w:rsidR="00FC6067" w:rsidRPr="00FC6067">
        <w:rPr>
          <w:sz w:val="24"/>
          <w:u w:val="single"/>
        </w:rPr>
        <w:t xml:space="preserve"> Burden Estimate Summary</w:t>
      </w:r>
    </w:p>
    <w:p w:rsidR="000A230D" w:rsidRPr="00FC6067" w:rsidRDefault="000A230D" w:rsidP="000A36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C6067" w:rsidRPr="003316C9" w:rsidRDefault="00FC6067" w:rsidP="00FC60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contextualSpacing/>
        <w:rPr>
          <w:rFonts w:eastAsia="Calibri"/>
          <w:iCs/>
          <w:sz w:val="24"/>
        </w:rPr>
      </w:pPr>
      <w:r w:rsidRPr="00FC6067">
        <w:rPr>
          <w:sz w:val="24"/>
        </w:rPr>
        <w:t xml:space="preserve">There is no private sector burden associated with the comprehensive quality strategy.  The overall annualized burden for the public sector for the comprehensive quality strategy is </w:t>
      </w:r>
      <w:r w:rsidRPr="00FC6067">
        <w:rPr>
          <w:b/>
          <w:sz w:val="24"/>
        </w:rPr>
        <w:t>1,31</w:t>
      </w:r>
      <w:r>
        <w:rPr>
          <w:b/>
          <w:sz w:val="24"/>
        </w:rPr>
        <w:t>3</w:t>
      </w:r>
      <w:r w:rsidRPr="00FC6067">
        <w:rPr>
          <w:b/>
          <w:sz w:val="24"/>
        </w:rPr>
        <w:t xml:space="preserve"> </w:t>
      </w:r>
      <w:proofErr w:type="spellStart"/>
      <w:r w:rsidRPr="00FC6067">
        <w:rPr>
          <w:b/>
          <w:sz w:val="24"/>
        </w:rPr>
        <w:t>hr</w:t>
      </w:r>
      <w:proofErr w:type="spellEnd"/>
      <w:r w:rsidRPr="00FC6067">
        <w:rPr>
          <w:sz w:val="24"/>
        </w:rPr>
        <w:t xml:space="preserve"> and </w:t>
      </w:r>
      <w:r w:rsidRPr="00FC6067">
        <w:rPr>
          <w:b/>
          <w:sz w:val="24"/>
        </w:rPr>
        <w:t>$68,750.31</w:t>
      </w:r>
      <w:r w:rsidRPr="00FC6067">
        <w:rPr>
          <w:sz w:val="24"/>
        </w:rPr>
        <w:t xml:space="preserve"> for the 56 states and territories.</w:t>
      </w:r>
      <w:r>
        <w:rPr>
          <w:sz w:val="24"/>
        </w:rPr>
        <w:t xml:space="preserve"> </w:t>
      </w:r>
    </w:p>
    <w:p w:rsidR="000A230D" w:rsidRDefault="000A230D" w:rsidP="000A36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12012" w:type="dxa"/>
        <w:tblInd w:w="78" w:type="dxa"/>
        <w:tblLayout w:type="fixed"/>
        <w:tblLook w:val="0000" w:firstRow="0" w:lastRow="0" w:firstColumn="0" w:lastColumn="0" w:noHBand="0" w:noVBand="0"/>
      </w:tblPr>
      <w:tblGrid>
        <w:gridCol w:w="1092"/>
        <w:gridCol w:w="1092"/>
        <w:gridCol w:w="1092"/>
        <w:gridCol w:w="1092"/>
        <w:gridCol w:w="1092"/>
        <w:gridCol w:w="1092"/>
        <w:gridCol w:w="1092"/>
        <w:gridCol w:w="1092"/>
        <w:gridCol w:w="1092"/>
        <w:gridCol w:w="1092"/>
        <w:gridCol w:w="1092"/>
      </w:tblGrid>
      <w:tr w:rsidR="00FC6067" w:rsidTr="00FC6067">
        <w:trPr>
          <w:trHeight w:val="698"/>
        </w:trPr>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b/>
                <w:bCs/>
                <w:color w:val="000000"/>
                <w:sz w:val="16"/>
                <w:szCs w:val="16"/>
              </w:rPr>
            </w:pPr>
            <w:r>
              <w:rPr>
                <w:rFonts w:ascii="Arial" w:hAnsi="Arial" w:cs="Arial"/>
                <w:b/>
                <w:bCs/>
                <w:color w:val="000000"/>
                <w:sz w:val="16"/>
                <w:szCs w:val="16"/>
              </w:rPr>
              <w:t xml:space="preserve">Section in Title 42 of the </w:t>
            </w:r>
            <w:proofErr w:type="spellStart"/>
            <w:r>
              <w:rPr>
                <w:rFonts w:ascii="Arial" w:hAnsi="Arial" w:cs="Arial"/>
                <w:b/>
                <w:bCs/>
                <w:color w:val="000000"/>
                <w:sz w:val="16"/>
                <w:szCs w:val="16"/>
              </w:rPr>
              <w:t>CFR</w:t>
            </w:r>
            <w:proofErr w:type="spellEnd"/>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b/>
                <w:bCs/>
                <w:color w:val="000000"/>
                <w:sz w:val="16"/>
                <w:szCs w:val="16"/>
              </w:rPr>
            </w:pPr>
            <w:r>
              <w:rPr>
                <w:rFonts w:ascii="Arial" w:hAnsi="Arial" w:cs="Arial"/>
                <w:b/>
                <w:bCs/>
                <w:color w:val="000000"/>
                <w:sz w:val="16"/>
                <w:szCs w:val="16"/>
              </w:rPr>
              <w:t>Respondents</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b/>
                <w:bCs/>
                <w:color w:val="000000"/>
                <w:sz w:val="16"/>
                <w:szCs w:val="16"/>
              </w:rPr>
            </w:pPr>
            <w:r>
              <w:rPr>
                <w:rFonts w:ascii="Arial" w:hAnsi="Arial" w:cs="Arial"/>
                <w:b/>
                <w:bCs/>
                <w:color w:val="000000"/>
                <w:sz w:val="16"/>
                <w:szCs w:val="16"/>
              </w:rPr>
              <w:t>Responses</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b/>
                <w:bCs/>
                <w:color w:val="000000"/>
                <w:sz w:val="16"/>
                <w:szCs w:val="16"/>
              </w:rPr>
            </w:pPr>
            <w:r>
              <w:rPr>
                <w:rFonts w:ascii="Arial" w:hAnsi="Arial" w:cs="Arial"/>
                <w:b/>
                <w:bCs/>
                <w:color w:val="000000"/>
                <w:sz w:val="16"/>
                <w:szCs w:val="16"/>
              </w:rPr>
              <w:t>Time per Response (</w:t>
            </w:r>
            <w:proofErr w:type="spellStart"/>
            <w:r>
              <w:rPr>
                <w:rFonts w:ascii="Arial" w:hAnsi="Arial" w:cs="Arial"/>
                <w:b/>
                <w:bCs/>
                <w:color w:val="000000"/>
                <w:sz w:val="16"/>
                <w:szCs w:val="16"/>
              </w:rPr>
              <w:t>hr</w:t>
            </w:r>
            <w:proofErr w:type="spellEnd"/>
            <w:r>
              <w:rPr>
                <w:rFonts w:ascii="Arial" w:hAnsi="Arial" w:cs="Arial"/>
                <w:b/>
                <w:bCs/>
                <w:color w:val="000000"/>
                <w:sz w:val="16"/>
                <w:szCs w:val="16"/>
              </w:rPr>
              <w:t>)</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b/>
                <w:bCs/>
                <w:color w:val="000000"/>
                <w:sz w:val="16"/>
                <w:szCs w:val="16"/>
              </w:rPr>
            </w:pPr>
            <w:r>
              <w:rPr>
                <w:rFonts w:ascii="Arial" w:hAnsi="Arial" w:cs="Arial"/>
                <w:b/>
                <w:bCs/>
                <w:color w:val="000000"/>
                <w:sz w:val="16"/>
                <w:szCs w:val="16"/>
              </w:rPr>
              <w:t>Total Hours</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b/>
                <w:bCs/>
                <w:color w:val="000000"/>
                <w:sz w:val="16"/>
                <w:szCs w:val="16"/>
              </w:rPr>
            </w:pPr>
            <w:r>
              <w:rPr>
                <w:rFonts w:ascii="Arial" w:hAnsi="Arial" w:cs="Arial"/>
                <w:b/>
                <w:bCs/>
                <w:color w:val="000000"/>
                <w:sz w:val="16"/>
                <w:szCs w:val="16"/>
              </w:rPr>
              <w:t>Labor Rate ($/</w:t>
            </w:r>
            <w:proofErr w:type="spellStart"/>
            <w:r>
              <w:rPr>
                <w:rFonts w:ascii="Arial" w:hAnsi="Arial" w:cs="Arial"/>
                <w:b/>
                <w:bCs/>
                <w:color w:val="000000"/>
                <w:sz w:val="16"/>
                <w:szCs w:val="16"/>
              </w:rPr>
              <w:t>hr</w:t>
            </w:r>
            <w:proofErr w:type="spellEnd"/>
            <w:r>
              <w:rPr>
                <w:rFonts w:ascii="Arial" w:hAnsi="Arial" w:cs="Arial"/>
                <w:b/>
                <w:bCs/>
                <w:color w:val="000000"/>
                <w:sz w:val="16"/>
                <w:szCs w:val="16"/>
              </w:rPr>
              <w:t>)</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b/>
                <w:bCs/>
                <w:color w:val="000000"/>
                <w:sz w:val="16"/>
                <w:szCs w:val="16"/>
              </w:rPr>
            </w:pPr>
            <w:r>
              <w:rPr>
                <w:rFonts w:ascii="Arial" w:hAnsi="Arial" w:cs="Arial"/>
                <w:b/>
                <w:bCs/>
                <w:color w:val="000000"/>
                <w:sz w:val="16"/>
                <w:szCs w:val="16"/>
              </w:rPr>
              <w:t>Cost per Response ($)</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b/>
                <w:bCs/>
                <w:color w:val="000000"/>
                <w:sz w:val="16"/>
                <w:szCs w:val="16"/>
              </w:rPr>
            </w:pPr>
            <w:r>
              <w:rPr>
                <w:rFonts w:ascii="Arial" w:hAnsi="Arial" w:cs="Arial"/>
                <w:b/>
                <w:bCs/>
                <w:color w:val="000000"/>
                <w:sz w:val="16"/>
                <w:szCs w:val="16"/>
              </w:rPr>
              <w:t>Total Cost</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b/>
                <w:bCs/>
                <w:color w:val="000000"/>
                <w:sz w:val="16"/>
                <w:szCs w:val="16"/>
              </w:rPr>
            </w:pPr>
            <w:r>
              <w:rPr>
                <w:rFonts w:ascii="Arial" w:hAnsi="Arial" w:cs="Arial"/>
                <w:b/>
                <w:bCs/>
                <w:color w:val="000000"/>
                <w:sz w:val="16"/>
                <w:szCs w:val="16"/>
              </w:rPr>
              <w:t>Frequency</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b/>
                <w:bCs/>
                <w:color w:val="000000"/>
                <w:sz w:val="16"/>
                <w:szCs w:val="16"/>
              </w:rPr>
            </w:pPr>
            <w:r>
              <w:rPr>
                <w:rFonts w:ascii="Arial" w:hAnsi="Arial" w:cs="Arial"/>
                <w:b/>
                <w:bCs/>
                <w:color w:val="000000"/>
                <w:sz w:val="16"/>
                <w:szCs w:val="16"/>
              </w:rPr>
              <w:t>Annualized Hours*</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b/>
                <w:bCs/>
                <w:color w:val="000000"/>
                <w:sz w:val="16"/>
                <w:szCs w:val="16"/>
              </w:rPr>
            </w:pPr>
            <w:r>
              <w:rPr>
                <w:rFonts w:ascii="Arial" w:hAnsi="Arial" w:cs="Arial"/>
                <w:b/>
                <w:bCs/>
                <w:color w:val="000000"/>
                <w:sz w:val="16"/>
                <w:szCs w:val="16"/>
              </w:rPr>
              <w:t>Adjusted Cost ($)</w:t>
            </w:r>
          </w:p>
        </w:tc>
      </w:tr>
      <w:tr w:rsidR="00FC6067" w:rsidTr="00FC6067">
        <w:trPr>
          <w:trHeight w:val="698"/>
        </w:trPr>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 xml:space="preserve">431.502(a) Initial </w:t>
            </w:r>
            <w:proofErr w:type="spellStart"/>
            <w:r>
              <w:rPr>
                <w:rFonts w:ascii="Arial" w:hAnsi="Arial" w:cs="Arial"/>
                <w:color w:val="000000"/>
                <w:sz w:val="16"/>
                <w:szCs w:val="16"/>
              </w:rPr>
              <w:t>CQS</w:t>
            </w:r>
            <w:proofErr w:type="spellEnd"/>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19</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19</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70</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1330</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53.32</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3,732.40</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70,915.60</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once</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443</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23,638.53</w:t>
            </w:r>
          </w:p>
        </w:tc>
      </w:tr>
      <w:tr w:rsidR="00FC6067" w:rsidTr="00FC6067">
        <w:trPr>
          <w:trHeight w:val="698"/>
        </w:trPr>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 xml:space="preserve">431.502(a) Initial </w:t>
            </w:r>
            <w:proofErr w:type="spellStart"/>
            <w:r>
              <w:rPr>
                <w:rFonts w:ascii="Arial" w:hAnsi="Arial" w:cs="Arial"/>
                <w:color w:val="000000"/>
                <w:sz w:val="16"/>
                <w:szCs w:val="16"/>
              </w:rPr>
              <w:t>CQS</w:t>
            </w:r>
            <w:proofErr w:type="spellEnd"/>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19</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19</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2</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38</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29.92</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59.84</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1,136.96</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once</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13</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378.99</w:t>
            </w:r>
          </w:p>
        </w:tc>
      </w:tr>
      <w:tr w:rsidR="00FC6067" w:rsidTr="00FC6067">
        <w:trPr>
          <w:trHeight w:val="698"/>
        </w:trPr>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 xml:space="preserve">431.502(a) Initial </w:t>
            </w:r>
            <w:proofErr w:type="spellStart"/>
            <w:r>
              <w:rPr>
                <w:rFonts w:ascii="Arial" w:hAnsi="Arial" w:cs="Arial"/>
                <w:color w:val="000000"/>
                <w:sz w:val="16"/>
                <w:szCs w:val="16"/>
              </w:rPr>
              <w:t>CQS</w:t>
            </w:r>
            <w:proofErr w:type="spellEnd"/>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19</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19</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15</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285</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53.32</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799.80</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15,196.20</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once</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95</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5,065.40</w:t>
            </w:r>
          </w:p>
        </w:tc>
      </w:tr>
      <w:tr w:rsidR="00FC6067" w:rsidTr="00FC6067">
        <w:trPr>
          <w:trHeight w:val="698"/>
        </w:trPr>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 xml:space="preserve">431.502(a) Initial </w:t>
            </w:r>
            <w:proofErr w:type="spellStart"/>
            <w:r>
              <w:rPr>
                <w:rFonts w:ascii="Arial" w:hAnsi="Arial" w:cs="Arial"/>
                <w:color w:val="000000"/>
                <w:sz w:val="16"/>
                <w:szCs w:val="16"/>
              </w:rPr>
              <w:t>CQS</w:t>
            </w:r>
            <w:proofErr w:type="spellEnd"/>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19</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19</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19</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29.92</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29.92</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568.48</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once</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6</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189.49</w:t>
            </w:r>
          </w:p>
        </w:tc>
      </w:tr>
      <w:tr w:rsidR="00FC6067" w:rsidTr="00FC6067">
        <w:trPr>
          <w:trHeight w:val="698"/>
        </w:trPr>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 xml:space="preserve">431.504(b) Revise </w:t>
            </w:r>
            <w:proofErr w:type="spellStart"/>
            <w:r>
              <w:rPr>
                <w:rFonts w:ascii="Arial" w:hAnsi="Arial" w:cs="Arial"/>
                <w:color w:val="000000"/>
                <w:sz w:val="16"/>
                <w:szCs w:val="16"/>
              </w:rPr>
              <w:t>CQS</w:t>
            </w:r>
            <w:proofErr w:type="spellEnd"/>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18</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18</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25</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150</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53.32</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1,333.00</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7,998.00</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annual</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150</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7,998.00</w:t>
            </w:r>
          </w:p>
        </w:tc>
      </w:tr>
      <w:tr w:rsidR="00FC6067" w:rsidTr="00FC6067">
        <w:trPr>
          <w:trHeight w:val="698"/>
        </w:trPr>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 xml:space="preserve">431.504(b) Revise </w:t>
            </w:r>
            <w:proofErr w:type="spellStart"/>
            <w:r>
              <w:rPr>
                <w:rFonts w:ascii="Arial" w:hAnsi="Arial" w:cs="Arial"/>
                <w:color w:val="000000"/>
                <w:sz w:val="16"/>
                <w:szCs w:val="16"/>
              </w:rPr>
              <w:t>CQS</w:t>
            </w:r>
            <w:proofErr w:type="spellEnd"/>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18</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18</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2</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12</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29.92</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59.84</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359.04</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annual</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12</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359.04</w:t>
            </w:r>
          </w:p>
        </w:tc>
      </w:tr>
      <w:tr w:rsidR="00FC6067" w:rsidTr="00FC6067">
        <w:trPr>
          <w:trHeight w:val="698"/>
        </w:trPr>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 xml:space="preserve">431.504(b) Revise </w:t>
            </w:r>
            <w:proofErr w:type="spellStart"/>
            <w:r>
              <w:rPr>
                <w:rFonts w:ascii="Arial" w:hAnsi="Arial" w:cs="Arial"/>
                <w:color w:val="000000"/>
                <w:sz w:val="16"/>
                <w:szCs w:val="16"/>
              </w:rPr>
              <w:t>CQS</w:t>
            </w:r>
            <w:proofErr w:type="spellEnd"/>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18</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18</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5</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30</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53.32</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266.60</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1,599.60</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annual</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30</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1,599.60</w:t>
            </w:r>
          </w:p>
        </w:tc>
      </w:tr>
      <w:tr w:rsidR="00FC6067" w:rsidTr="00FC6067">
        <w:trPr>
          <w:trHeight w:val="698"/>
        </w:trPr>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 xml:space="preserve">431.504(b) Revise </w:t>
            </w:r>
            <w:proofErr w:type="spellStart"/>
            <w:r>
              <w:rPr>
                <w:rFonts w:ascii="Arial" w:hAnsi="Arial" w:cs="Arial"/>
                <w:color w:val="000000"/>
                <w:sz w:val="16"/>
                <w:szCs w:val="16"/>
              </w:rPr>
              <w:t>CQS</w:t>
            </w:r>
            <w:proofErr w:type="spellEnd"/>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18</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18</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6</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29.92</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29.92</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179.52</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annual</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6</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179.52</w:t>
            </w:r>
          </w:p>
        </w:tc>
      </w:tr>
      <w:tr w:rsidR="00FC6067" w:rsidTr="00FC6067">
        <w:trPr>
          <w:trHeight w:val="698"/>
        </w:trPr>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431.504(b) Update Policies</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19</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19</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0.5</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10</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53.32</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26.66</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506.54</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once</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3</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168.85</w:t>
            </w:r>
          </w:p>
        </w:tc>
      </w:tr>
      <w:tr w:rsidR="00FC6067" w:rsidTr="00FC6067">
        <w:trPr>
          <w:trHeight w:val="698"/>
        </w:trPr>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 xml:space="preserve">431.504(b) Revise </w:t>
            </w:r>
            <w:proofErr w:type="spellStart"/>
            <w:r>
              <w:rPr>
                <w:rFonts w:ascii="Arial" w:hAnsi="Arial" w:cs="Arial"/>
                <w:color w:val="000000"/>
                <w:sz w:val="16"/>
                <w:szCs w:val="16"/>
              </w:rPr>
              <w:t>CQS</w:t>
            </w:r>
            <w:proofErr w:type="spellEnd"/>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19</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19</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25</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158</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53.32</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1,333.00</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8,442.33</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annual</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158</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8,442.33</w:t>
            </w:r>
          </w:p>
        </w:tc>
      </w:tr>
      <w:tr w:rsidR="00FC6067" w:rsidTr="00FC6067">
        <w:trPr>
          <w:trHeight w:val="698"/>
        </w:trPr>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 xml:space="preserve">431.504(b) Revise </w:t>
            </w:r>
            <w:proofErr w:type="spellStart"/>
            <w:r>
              <w:rPr>
                <w:rFonts w:ascii="Arial" w:hAnsi="Arial" w:cs="Arial"/>
                <w:color w:val="000000"/>
                <w:sz w:val="16"/>
                <w:szCs w:val="16"/>
              </w:rPr>
              <w:t>CQS</w:t>
            </w:r>
            <w:proofErr w:type="spellEnd"/>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19</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19</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2</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13</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29.92</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59.84</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378.99</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annual</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13</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378.99</w:t>
            </w:r>
          </w:p>
        </w:tc>
      </w:tr>
      <w:tr w:rsidR="00FC6067" w:rsidTr="00FC6067">
        <w:trPr>
          <w:trHeight w:val="698"/>
        </w:trPr>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 xml:space="preserve">431.504(b) Revise </w:t>
            </w:r>
            <w:proofErr w:type="spellStart"/>
            <w:r>
              <w:rPr>
                <w:rFonts w:ascii="Arial" w:hAnsi="Arial" w:cs="Arial"/>
                <w:color w:val="000000"/>
                <w:sz w:val="16"/>
                <w:szCs w:val="16"/>
              </w:rPr>
              <w:t>CQS</w:t>
            </w:r>
            <w:proofErr w:type="spellEnd"/>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19</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19</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5</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32</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53.32</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266.60</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1,688.47</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annual</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32</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1,688.47</w:t>
            </w:r>
          </w:p>
        </w:tc>
      </w:tr>
      <w:tr w:rsidR="00FC6067" w:rsidTr="00FC6067">
        <w:trPr>
          <w:trHeight w:val="698"/>
        </w:trPr>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 xml:space="preserve">431.504(b) Revise </w:t>
            </w:r>
            <w:proofErr w:type="spellStart"/>
            <w:r>
              <w:rPr>
                <w:rFonts w:ascii="Arial" w:hAnsi="Arial" w:cs="Arial"/>
                <w:color w:val="000000"/>
                <w:sz w:val="16"/>
                <w:szCs w:val="16"/>
              </w:rPr>
              <w:t>CQS</w:t>
            </w:r>
            <w:proofErr w:type="spellEnd"/>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19</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19</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6</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29.92</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29.92</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189.49</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annual</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6</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189.49</w:t>
            </w:r>
          </w:p>
        </w:tc>
      </w:tr>
      <w:tr w:rsidR="00FC6067" w:rsidTr="00FC6067">
        <w:trPr>
          <w:trHeight w:val="698"/>
        </w:trPr>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431.504(b)</w:t>
            </w:r>
          </w:p>
          <w:p w:rsidR="00FC6067" w:rsidRDefault="00FC6067">
            <w:pPr>
              <w:widowControl/>
              <w:rPr>
                <w:rFonts w:ascii="Arial" w:hAnsi="Arial" w:cs="Arial"/>
                <w:color w:val="000000"/>
                <w:sz w:val="16"/>
                <w:szCs w:val="16"/>
              </w:rPr>
            </w:pPr>
            <w:r>
              <w:rPr>
                <w:rFonts w:ascii="Arial" w:hAnsi="Arial" w:cs="Arial"/>
                <w:color w:val="000000"/>
                <w:sz w:val="16"/>
                <w:szCs w:val="16"/>
              </w:rPr>
              <w:t>Revise QS to</w:t>
            </w:r>
          </w:p>
          <w:p w:rsidR="00FC6067" w:rsidRDefault="00FC6067">
            <w:pPr>
              <w:widowControl/>
              <w:rPr>
                <w:rFonts w:ascii="Arial" w:hAnsi="Arial" w:cs="Arial"/>
                <w:color w:val="000000"/>
                <w:sz w:val="16"/>
                <w:szCs w:val="16"/>
              </w:rPr>
            </w:pPr>
            <w:proofErr w:type="spellStart"/>
            <w:r>
              <w:rPr>
                <w:rFonts w:ascii="Arial" w:hAnsi="Arial" w:cs="Arial"/>
                <w:color w:val="000000"/>
                <w:sz w:val="16"/>
                <w:szCs w:val="16"/>
              </w:rPr>
              <w:t>CQS</w:t>
            </w:r>
            <w:proofErr w:type="spellEnd"/>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27</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27</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10</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270</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53.32</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533.20</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14,396.40</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once</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90</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4,798.80</w:t>
            </w:r>
          </w:p>
        </w:tc>
      </w:tr>
      <w:tr w:rsidR="00FC6067" w:rsidTr="00FC6067">
        <w:trPr>
          <w:trHeight w:val="698"/>
        </w:trPr>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 xml:space="preserve">431.504(b)(1) Evaluate </w:t>
            </w:r>
            <w:proofErr w:type="spellStart"/>
            <w:r>
              <w:rPr>
                <w:rFonts w:ascii="Arial" w:hAnsi="Arial" w:cs="Arial"/>
                <w:color w:val="000000"/>
                <w:sz w:val="16"/>
                <w:szCs w:val="16"/>
              </w:rPr>
              <w:t>CQS</w:t>
            </w:r>
            <w:proofErr w:type="spellEnd"/>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19</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19</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40</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253</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53.32</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2,132.80</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13,505.96</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annual</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253</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13,505.96</w:t>
            </w:r>
          </w:p>
        </w:tc>
      </w:tr>
      <w:tr w:rsidR="00FC6067" w:rsidTr="00FC6067">
        <w:trPr>
          <w:trHeight w:val="698"/>
        </w:trPr>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431.504(c) Revise Policies</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19</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19</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0.5</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10</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53.32</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26.66</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506.54</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rPr>
                <w:rFonts w:ascii="Arial" w:hAnsi="Arial" w:cs="Arial"/>
                <w:color w:val="000000"/>
                <w:sz w:val="16"/>
                <w:szCs w:val="16"/>
              </w:rPr>
            </w:pPr>
            <w:r>
              <w:rPr>
                <w:rFonts w:ascii="Arial" w:hAnsi="Arial" w:cs="Arial"/>
                <w:color w:val="000000"/>
                <w:sz w:val="16"/>
                <w:szCs w:val="16"/>
              </w:rPr>
              <w:t>once</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3</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168.85</w:t>
            </w:r>
          </w:p>
        </w:tc>
      </w:tr>
      <w:tr w:rsidR="00FC6067" w:rsidTr="00FC6067">
        <w:trPr>
          <w:trHeight w:val="398"/>
        </w:trPr>
        <w:tc>
          <w:tcPr>
            <w:tcW w:w="1092" w:type="dxa"/>
            <w:tcBorders>
              <w:top w:val="single" w:sz="6" w:space="0" w:color="000000"/>
              <w:left w:val="single" w:sz="6" w:space="0" w:color="000000"/>
              <w:bottom w:val="single" w:sz="6" w:space="0" w:color="000000"/>
              <w:right w:val="nil"/>
            </w:tcBorders>
            <w:shd w:val="solid" w:color="FFFFFF" w:fill="FFFFFF"/>
          </w:tcPr>
          <w:p w:rsidR="00FC6067" w:rsidRDefault="00FC6067">
            <w:pPr>
              <w:widowControl/>
              <w:rPr>
                <w:rFonts w:ascii="Arial" w:hAnsi="Arial" w:cs="Arial"/>
                <w:b/>
                <w:bCs/>
                <w:color w:val="000000"/>
                <w:sz w:val="16"/>
                <w:szCs w:val="16"/>
              </w:rPr>
            </w:pPr>
            <w:r>
              <w:rPr>
                <w:rFonts w:ascii="Arial" w:hAnsi="Arial" w:cs="Arial"/>
                <w:b/>
                <w:bCs/>
                <w:color w:val="000000"/>
                <w:sz w:val="16"/>
                <w:szCs w:val="16"/>
              </w:rPr>
              <w:t>TOTAL</w:t>
            </w:r>
          </w:p>
        </w:tc>
        <w:tc>
          <w:tcPr>
            <w:tcW w:w="1092" w:type="dxa"/>
            <w:tcBorders>
              <w:top w:val="single" w:sz="6" w:space="0" w:color="000000"/>
              <w:left w:val="nil"/>
              <w:bottom w:val="single" w:sz="6" w:space="0" w:color="000000"/>
              <w:right w:val="nil"/>
            </w:tcBorders>
            <w:shd w:val="solid" w:color="FFFFFF" w:fill="FFFFFF"/>
          </w:tcPr>
          <w:p w:rsidR="00FC6067" w:rsidRDefault="00FC6067">
            <w:pPr>
              <w:widowControl/>
              <w:rPr>
                <w:b/>
                <w:bCs/>
                <w:color w:val="000000"/>
                <w:sz w:val="16"/>
                <w:szCs w:val="16"/>
              </w:rPr>
            </w:pPr>
          </w:p>
        </w:tc>
        <w:tc>
          <w:tcPr>
            <w:tcW w:w="1092" w:type="dxa"/>
            <w:tcBorders>
              <w:top w:val="single" w:sz="6" w:space="0" w:color="000000"/>
              <w:left w:val="nil"/>
              <w:bottom w:val="single" w:sz="6" w:space="0" w:color="000000"/>
              <w:right w:val="nil"/>
            </w:tcBorders>
            <w:shd w:val="solid" w:color="FFFFFF" w:fill="FFFFFF"/>
          </w:tcPr>
          <w:p w:rsidR="00FC6067" w:rsidRDefault="00FC6067">
            <w:pPr>
              <w:widowControl/>
              <w:rPr>
                <w:b/>
                <w:bCs/>
                <w:color w:val="000000"/>
                <w:sz w:val="16"/>
                <w:szCs w:val="16"/>
              </w:rPr>
            </w:pPr>
          </w:p>
        </w:tc>
        <w:tc>
          <w:tcPr>
            <w:tcW w:w="1092" w:type="dxa"/>
            <w:tcBorders>
              <w:top w:val="single" w:sz="6" w:space="0" w:color="000000"/>
              <w:left w:val="nil"/>
              <w:bottom w:val="single" w:sz="6" w:space="0" w:color="000000"/>
              <w:right w:val="nil"/>
            </w:tcBorders>
            <w:shd w:val="solid" w:color="FFFFFF" w:fill="FFFFFF"/>
          </w:tcPr>
          <w:p w:rsidR="00FC6067" w:rsidRDefault="00FC6067">
            <w:pPr>
              <w:widowControl/>
              <w:rPr>
                <w:b/>
                <w:bCs/>
                <w:color w:val="000000"/>
                <w:sz w:val="16"/>
                <w:szCs w:val="16"/>
              </w:rPr>
            </w:pPr>
          </w:p>
        </w:tc>
        <w:tc>
          <w:tcPr>
            <w:tcW w:w="1092" w:type="dxa"/>
            <w:tcBorders>
              <w:top w:val="single" w:sz="6" w:space="0" w:color="000000"/>
              <w:left w:val="nil"/>
              <w:bottom w:val="single" w:sz="6" w:space="0" w:color="000000"/>
              <w:right w:val="nil"/>
            </w:tcBorders>
            <w:shd w:val="solid" w:color="FFFFFF" w:fill="FFFFFF"/>
          </w:tcPr>
          <w:p w:rsidR="00FC6067" w:rsidRDefault="00FC6067">
            <w:pPr>
              <w:widowControl/>
              <w:rPr>
                <w:b/>
                <w:bCs/>
                <w:color w:val="000000"/>
                <w:sz w:val="16"/>
                <w:szCs w:val="16"/>
              </w:rPr>
            </w:pPr>
          </w:p>
        </w:tc>
        <w:tc>
          <w:tcPr>
            <w:tcW w:w="1092" w:type="dxa"/>
            <w:tcBorders>
              <w:top w:val="single" w:sz="6" w:space="0" w:color="000000"/>
              <w:left w:val="nil"/>
              <w:bottom w:val="single" w:sz="6" w:space="0" w:color="000000"/>
              <w:right w:val="nil"/>
            </w:tcBorders>
            <w:shd w:val="solid" w:color="FFFFFF" w:fill="FFFFFF"/>
          </w:tcPr>
          <w:p w:rsidR="00FC6067" w:rsidRDefault="00FC6067">
            <w:pPr>
              <w:widowControl/>
              <w:rPr>
                <w:b/>
                <w:bCs/>
                <w:color w:val="000000"/>
                <w:sz w:val="16"/>
                <w:szCs w:val="16"/>
              </w:rPr>
            </w:pPr>
          </w:p>
        </w:tc>
        <w:tc>
          <w:tcPr>
            <w:tcW w:w="1092" w:type="dxa"/>
            <w:tcBorders>
              <w:top w:val="single" w:sz="6" w:space="0" w:color="000000"/>
              <w:left w:val="nil"/>
              <w:bottom w:val="single" w:sz="6" w:space="0" w:color="000000"/>
              <w:right w:val="nil"/>
            </w:tcBorders>
            <w:shd w:val="solid" w:color="FFFFFF" w:fill="FFFFFF"/>
          </w:tcPr>
          <w:p w:rsidR="00FC6067" w:rsidRDefault="00FC6067">
            <w:pPr>
              <w:widowControl/>
              <w:rPr>
                <w:b/>
                <w:bCs/>
                <w:color w:val="000000"/>
                <w:sz w:val="16"/>
                <w:szCs w:val="16"/>
              </w:rPr>
            </w:pPr>
          </w:p>
        </w:tc>
        <w:tc>
          <w:tcPr>
            <w:tcW w:w="1092" w:type="dxa"/>
            <w:tcBorders>
              <w:top w:val="single" w:sz="6" w:space="0" w:color="000000"/>
              <w:left w:val="nil"/>
              <w:bottom w:val="single" w:sz="6" w:space="0" w:color="000000"/>
              <w:right w:val="nil"/>
            </w:tcBorders>
            <w:shd w:val="solid" w:color="FFFFFF" w:fill="FFFFFF"/>
          </w:tcPr>
          <w:p w:rsidR="00FC6067" w:rsidRDefault="00FC6067">
            <w:pPr>
              <w:widowControl/>
              <w:rPr>
                <w:b/>
                <w:bCs/>
                <w:color w:val="000000"/>
                <w:sz w:val="16"/>
                <w:szCs w:val="16"/>
              </w:rPr>
            </w:pPr>
          </w:p>
        </w:tc>
        <w:tc>
          <w:tcPr>
            <w:tcW w:w="1092" w:type="dxa"/>
            <w:tcBorders>
              <w:top w:val="single" w:sz="6" w:space="0" w:color="000000"/>
              <w:left w:val="nil"/>
              <w:bottom w:val="single" w:sz="6" w:space="0" w:color="000000"/>
              <w:right w:val="single" w:sz="6" w:space="0" w:color="000000"/>
            </w:tcBorders>
            <w:shd w:val="solid" w:color="FFFFFF" w:fill="FFFFFF"/>
          </w:tcPr>
          <w:p w:rsidR="00FC6067" w:rsidRDefault="00FC6067">
            <w:pPr>
              <w:widowControl/>
              <w:rPr>
                <w:b/>
                <w:bCs/>
                <w:color w:val="000000"/>
                <w:sz w:val="16"/>
                <w:szCs w:val="16"/>
              </w:rPr>
            </w:pP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1,313</w:t>
            </w:r>
          </w:p>
        </w:tc>
        <w:tc>
          <w:tcPr>
            <w:tcW w:w="1092" w:type="dxa"/>
            <w:tcBorders>
              <w:top w:val="single" w:sz="6" w:space="0" w:color="000000"/>
              <w:left w:val="single" w:sz="6" w:space="0" w:color="000000"/>
              <w:bottom w:val="single" w:sz="6" w:space="0" w:color="000000"/>
              <w:right w:val="single" w:sz="6" w:space="0" w:color="000000"/>
            </w:tcBorders>
            <w:shd w:val="solid" w:color="FFFFFF" w:fill="FFFFFF"/>
          </w:tcPr>
          <w:p w:rsidR="00FC6067" w:rsidRDefault="00FC6067">
            <w:pPr>
              <w:widowControl/>
              <w:jc w:val="center"/>
              <w:rPr>
                <w:rFonts w:ascii="Arial" w:hAnsi="Arial" w:cs="Arial"/>
                <w:color w:val="000000"/>
                <w:sz w:val="16"/>
                <w:szCs w:val="16"/>
              </w:rPr>
            </w:pPr>
            <w:r>
              <w:rPr>
                <w:rFonts w:ascii="Arial" w:hAnsi="Arial" w:cs="Arial"/>
                <w:color w:val="000000"/>
                <w:sz w:val="16"/>
                <w:szCs w:val="16"/>
              </w:rPr>
              <w:t>68,750.31</w:t>
            </w:r>
          </w:p>
        </w:tc>
      </w:tr>
    </w:tbl>
    <w:p w:rsidR="000A230D" w:rsidRDefault="000A230D" w:rsidP="000A36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118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BA12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costs associated with CQS are considered to be Medicaid administrative costs, and are therefore eligible for the 50 percent federal financial participation (FFP) matching rate.  Therefore, of the estimated </w:t>
      </w:r>
      <w:r w:rsidR="00C517DB">
        <w:rPr>
          <w:sz w:val="24"/>
        </w:rPr>
        <w:t>$</w:t>
      </w:r>
      <w:r w:rsidR="007546A4">
        <w:rPr>
          <w:sz w:val="24"/>
        </w:rPr>
        <w:t>68,</w:t>
      </w:r>
      <w:r w:rsidR="00503DE9">
        <w:rPr>
          <w:sz w:val="24"/>
        </w:rPr>
        <w:t>750.31 t</w:t>
      </w:r>
      <w:r w:rsidR="00C517DB">
        <w:rPr>
          <w:sz w:val="24"/>
        </w:rPr>
        <w:t xml:space="preserve">otal computable </w:t>
      </w:r>
      <w:r w:rsidR="007546A4">
        <w:rPr>
          <w:sz w:val="24"/>
        </w:rPr>
        <w:t xml:space="preserve">annualized </w:t>
      </w:r>
      <w:r w:rsidR="00C517DB">
        <w:rPr>
          <w:sz w:val="24"/>
        </w:rPr>
        <w:t>costs, the Federal share is $</w:t>
      </w:r>
      <w:r w:rsidR="007546A4">
        <w:rPr>
          <w:sz w:val="24"/>
        </w:rPr>
        <w:t>34,</w:t>
      </w:r>
      <w:r w:rsidR="00503DE9">
        <w:rPr>
          <w:sz w:val="24"/>
        </w:rPr>
        <w:t>375.16</w:t>
      </w:r>
      <w:r w:rsidR="007546A4">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A1EE4" w:rsidRDefault="009A1E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comprehensive quality strategy is a new requirement for states</w:t>
      </w:r>
      <w:r w:rsidR="00BA12B0">
        <w:rPr>
          <w:sz w:val="24"/>
        </w:rPr>
        <w:t xml:space="preserve">; the associated </w:t>
      </w:r>
      <w:r>
        <w:rPr>
          <w:sz w:val="24"/>
        </w:rPr>
        <w:t xml:space="preserve">burden is new and represents an increase due to </w:t>
      </w:r>
      <w:r w:rsidR="00BA12B0">
        <w:rPr>
          <w:sz w:val="24"/>
        </w:rPr>
        <w:t>a program change (issuing of new regulations)</w:t>
      </w:r>
      <w:r>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25F8A" w:rsidRDefault="00425F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States will post current comprehensive quality strategies (CQS) on their websites</w:t>
      </w:r>
      <w:r w:rsidR="009A1EE4">
        <w:rPr>
          <w:sz w:val="24"/>
        </w:rPr>
        <w:t xml:space="preserve">.  </w:t>
      </w:r>
      <w:r>
        <w:rPr>
          <w:sz w:val="24"/>
        </w:rPr>
        <w:t>CMS will maintain a list of hyperlinks to current state CQS</w:t>
      </w:r>
      <w:r w:rsidR="009A1EE4">
        <w:rPr>
          <w:sz w:val="24"/>
        </w:rPr>
        <w:t xml:space="preserve"> on Medicaid.gov</w:t>
      </w:r>
      <w:r>
        <w:rPr>
          <w:sz w:val="24"/>
        </w:rPr>
        <w:t>.  States will be required to review and revise their CQS at l</w:t>
      </w:r>
      <w:r w:rsidR="009A1EE4">
        <w:rPr>
          <w:sz w:val="24"/>
        </w:rPr>
        <w:t>east once every three years; this process will include an effectiveness evaluation of the CQS, the results of which must be published on the state’s website.  CMS will review CQS submitted to the agency by states as a part of its normal oversight activities for the Medicaid program.</w:t>
      </w:r>
      <w:r>
        <w:rPr>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rsidP="00425F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both"/>
        <w:rPr>
          <w:sz w:val="24"/>
        </w:rPr>
      </w:pPr>
      <w:r>
        <w:rPr>
          <w:sz w:val="24"/>
        </w:rPr>
        <w:t>This collection does not lend itself to the d</w:t>
      </w:r>
      <w:r w:rsidR="00425F8A">
        <w:rPr>
          <w:sz w:val="24"/>
        </w:rPr>
        <w:t>isplaying of an expiration date</w:t>
      </w:r>
      <w:r>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425F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25F8A">
        <w:rPr>
          <w:sz w:val="24"/>
        </w:rPr>
        <w:t>There are no exceptions</w:t>
      </w:r>
      <w:r>
        <w:rPr>
          <w:sz w:val="24"/>
        </w:rPr>
        <w:t xml:space="preserve"> to the certification statement.</w:t>
      </w:r>
    </w:p>
    <w:p w:rsidR="000F3AF4" w:rsidRPr="00877081"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p>
    <w:p w:rsidR="00877081" w:rsidRPr="00877081" w:rsidRDefault="00877081" w:rsidP="008770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Pr>
          <w:b/>
          <w:bCs/>
          <w:sz w:val="24"/>
        </w:rPr>
        <w:t xml:space="preserve">B. </w:t>
      </w:r>
      <w:r w:rsidRPr="00877081">
        <w:rPr>
          <w:b/>
          <w:bCs/>
          <w:sz w:val="24"/>
        </w:rPr>
        <w:t>Collections of Information Employing Statistical Methods</w:t>
      </w:r>
    </w:p>
    <w:p w:rsidR="00877081" w:rsidRPr="00877081" w:rsidRDefault="00877081" w:rsidP="008770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p>
    <w:p w:rsidR="00877081" w:rsidRPr="00877081" w:rsidRDefault="00877081" w:rsidP="008770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Pr>
          <w:bCs/>
          <w:sz w:val="24"/>
        </w:rPr>
        <w:t xml:space="preserve">A </w:t>
      </w:r>
      <w:r w:rsidRPr="00877081">
        <w:rPr>
          <w:bCs/>
          <w:sz w:val="24"/>
        </w:rPr>
        <w:t>statistical analys</w:t>
      </w:r>
      <w:r w:rsidR="002F07BA">
        <w:rPr>
          <w:bCs/>
          <w:sz w:val="24"/>
        </w:rPr>
        <w:t>i</w:t>
      </w:r>
      <w:r w:rsidRPr="00877081">
        <w:rPr>
          <w:bCs/>
          <w:sz w:val="24"/>
        </w:rPr>
        <w:t>s</w:t>
      </w:r>
      <w:r>
        <w:rPr>
          <w:bCs/>
          <w:sz w:val="24"/>
        </w:rPr>
        <w:t xml:space="preserve"> of the collected information is not applicable.</w:t>
      </w:r>
    </w:p>
    <w:p w:rsidR="00877081" w:rsidRPr="00877081" w:rsidRDefault="008770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p>
    <w:sectPr w:rsidR="00877081" w:rsidRPr="00877081">
      <w:footerReference w:type="default" r:id="rId12"/>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348" w:rsidRDefault="00290348">
      <w:r>
        <w:separator/>
      </w:r>
    </w:p>
  </w:endnote>
  <w:endnote w:type="continuationSeparator" w:id="0">
    <w:p w:rsidR="00290348" w:rsidRDefault="0029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B4" w:rsidRDefault="008F1EB4">
    <w:pPr>
      <w:spacing w:line="240" w:lineRule="exact"/>
    </w:pPr>
  </w:p>
  <w:p w:rsidR="008F1EB4" w:rsidRDefault="008F1EB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B91A80">
      <w:rPr>
        <w:noProof/>
        <w:sz w:val="24"/>
      </w:rPr>
      <w:t>3</w:t>
    </w:r>
    <w:r>
      <w:rPr>
        <w:sz w:val="24"/>
      </w:rPr>
      <w:fldChar w:fldCharType="end"/>
    </w:r>
  </w:p>
  <w:p w:rsidR="008F1EB4" w:rsidRDefault="008F1EB4">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348" w:rsidRDefault="00290348">
      <w:r>
        <w:separator/>
      </w:r>
    </w:p>
  </w:footnote>
  <w:footnote w:type="continuationSeparator" w:id="0">
    <w:p w:rsidR="00290348" w:rsidRDefault="002903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3408"/>
    <w:multiLevelType w:val="hybridMultilevel"/>
    <w:tmpl w:val="A61869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9D228F"/>
    <w:multiLevelType w:val="hybridMultilevel"/>
    <w:tmpl w:val="0E38E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D42229"/>
    <w:multiLevelType w:val="hybridMultilevel"/>
    <w:tmpl w:val="75303C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CB3C44"/>
    <w:multiLevelType w:val="hybridMultilevel"/>
    <w:tmpl w:val="581A4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305D6"/>
    <w:rsid w:val="00085D42"/>
    <w:rsid w:val="000A230D"/>
    <w:rsid w:val="000A3666"/>
    <w:rsid w:val="000B763E"/>
    <w:rsid w:val="000C774B"/>
    <w:rsid w:val="000D4EE2"/>
    <w:rsid w:val="000F3AF4"/>
    <w:rsid w:val="0012682D"/>
    <w:rsid w:val="00156D19"/>
    <w:rsid w:val="00186A06"/>
    <w:rsid w:val="00225B17"/>
    <w:rsid w:val="00290348"/>
    <w:rsid w:val="002F07BA"/>
    <w:rsid w:val="00310726"/>
    <w:rsid w:val="003127A0"/>
    <w:rsid w:val="003316C9"/>
    <w:rsid w:val="003353BE"/>
    <w:rsid w:val="003432CC"/>
    <w:rsid w:val="0035712B"/>
    <w:rsid w:val="00381CA0"/>
    <w:rsid w:val="003A72AA"/>
    <w:rsid w:val="003C7AC9"/>
    <w:rsid w:val="00411561"/>
    <w:rsid w:val="00425F8A"/>
    <w:rsid w:val="00475340"/>
    <w:rsid w:val="004A39B8"/>
    <w:rsid w:val="004F40C2"/>
    <w:rsid w:val="00503DE9"/>
    <w:rsid w:val="00587043"/>
    <w:rsid w:val="00630078"/>
    <w:rsid w:val="006348AF"/>
    <w:rsid w:val="00650512"/>
    <w:rsid w:val="00652A25"/>
    <w:rsid w:val="00655B27"/>
    <w:rsid w:val="006A0B9C"/>
    <w:rsid w:val="0071516F"/>
    <w:rsid w:val="007546A4"/>
    <w:rsid w:val="00780257"/>
    <w:rsid w:val="008118AA"/>
    <w:rsid w:val="008666F6"/>
    <w:rsid w:val="00870D59"/>
    <w:rsid w:val="00877081"/>
    <w:rsid w:val="00883A71"/>
    <w:rsid w:val="0088675D"/>
    <w:rsid w:val="00890FCE"/>
    <w:rsid w:val="00896C37"/>
    <w:rsid w:val="008F1EB4"/>
    <w:rsid w:val="00937B78"/>
    <w:rsid w:val="00957FAC"/>
    <w:rsid w:val="009660A8"/>
    <w:rsid w:val="00966866"/>
    <w:rsid w:val="009A1EE4"/>
    <w:rsid w:val="00A10FCF"/>
    <w:rsid w:val="00AC12F6"/>
    <w:rsid w:val="00AD49AE"/>
    <w:rsid w:val="00AE57A1"/>
    <w:rsid w:val="00AE58CD"/>
    <w:rsid w:val="00B25184"/>
    <w:rsid w:val="00B91A80"/>
    <w:rsid w:val="00BA0FCF"/>
    <w:rsid w:val="00BA12B0"/>
    <w:rsid w:val="00BA2312"/>
    <w:rsid w:val="00BB502A"/>
    <w:rsid w:val="00BB7431"/>
    <w:rsid w:val="00BD601A"/>
    <w:rsid w:val="00BD75FB"/>
    <w:rsid w:val="00BF4030"/>
    <w:rsid w:val="00C21A73"/>
    <w:rsid w:val="00C423AE"/>
    <w:rsid w:val="00C517DB"/>
    <w:rsid w:val="00C530F0"/>
    <w:rsid w:val="00CB2772"/>
    <w:rsid w:val="00D24E16"/>
    <w:rsid w:val="00D82070"/>
    <w:rsid w:val="00E33A76"/>
    <w:rsid w:val="00E742E1"/>
    <w:rsid w:val="00E94319"/>
    <w:rsid w:val="00EF6D8B"/>
    <w:rsid w:val="00F27649"/>
    <w:rsid w:val="00F341DE"/>
    <w:rsid w:val="00F37304"/>
    <w:rsid w:val="00F74D68"/>
    <w:rsid w:val="00F82C86"/>
    <w:rsid w:val="00FC6067"/>
    <w:rsid w:val="00FD1135"/>
    <w:rsid w:val="00FF3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uiPriority w:val="99"/>
    <w:rsid w:val="00425F8A"/>
    <w:rPr>
      <w:sz w:val="16"/>
      <w:szCs w:val="16"/>
    </w:rPr>
  </w:style>
  <w:style w:type="paragraph" w:styleId="CommentText">
    <w:name w:val="annotation text"/>
    <w:basedOn w:val="Normal"/>
    <w:link w:val="CommentTextChar"/>
    <w:uiPriority w:val="99"/>
    <w:rsid w:val="00425F8A"/>
    <w:rPr>
      <w:szCs w:val="20"/>
    </w:rPr>
  </w:style>
  <w:style w:type="character" w:customStyle="1" w:styleId="CommentTextChar">
    <w:name w:val="Comment Text Char"/>
    <w:basedOn w:val="DefaultParagraphFont"/>
    <w:link w:val="CommentText"/>
    <w:uiPriority w:val="99"/>
    <w:rsid w:val="00425F8A"/>
  </w:style>
  <w:style w:type="paragraph" w:styleId="CommentSubject">
    <w:name w:val="annotation subject"/>
    <w:basedOn w:val="CommentText"/>
    <w:next w:val="CommentText"/>
    <w:link w:val="CommentSubjectChar"/>
    <w:rsid w:val="00425F8A"/>
    <w:rPr>
      <w:b/>
      <w:bCs/>
    </w:rPr>
  </w:style>
  <w:style w:type="character" w:customStyle="1" w:styleId="CommentSubjectChar">
    <w:name w:val="Comment Subject Char"/>
    <w:link w:val="CommentSubject"/>
    <w:rsid w:val="00425F8A"/>
    <w:rPr>
      <w:b/>
      <w:bCs/>
    </w:rPr>
  </w:style>
  <w:style w:type="paragraph" w:styleId="BalloonText">
    <w:name w:val="Balloon Text"/>
    <w:basedOn w:val="Normal"/>
    <w:link w:val="BalloonTextChar"/>
    <w:rsid w:val="00425F8A"/>
    <w:rPr>
      <w:rFonts w:ascii="Tahoma" w:hAnsi="Tahoma" w:cs="Tahoma"/>
      <w:sz w:val="16"/>
      <w:szCs w:val="16"/>
    </w:rPr>
  </w:style>
  <w:style w:type="character" w:customStyle="1" w:styleId="BalloonTextChar">
    <w:name w:val="Balloon Text Char"/>
    <w:link w:val="BalloonText"/>
    <w:rsid w:val="00425F8A"/>
    <w:rPr>
      <w:rFonts w:ascii="Tahoma" w:hAnsi="Tahoma" w:cs="Tahoma"/>
      <w:sz w:val="16"/>
      <w:szCs w:val="16"/>
    </w:rPr>
  </w:style>
  <w:style w:type="table" w:styleId="TableGrid">
    <w:name w:val="Table Grid"/>
    <w:basedOn w:val="TableNormal"/>
    <w:rsid w:val="00331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0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uiPriority w:val="99"/>
    <w:rsid w:val="00425F8A"/>
    <w:rPr>
      <w:sz w:val="16"/>
      <w:szCs w:val="16"/>
    </w:rPr>
  </w:style>
  <w:style w:type="paragraph" w:styleId="CommentText">
    <w:name w:val="annotation text"/>
    <w:basedOn w:val="Normal"/>
    <w:link w:val="CommentTextChar"/>
    <w:uiPriority w:val="99"/>
    <w:rsid w:val="00425F8A"/>
    <w:rPr>
      <w:szCs w:val="20"/>
    </w:rPr>
  </w:style>
  <w:style w:type="character" w:customStyle="1" w:styleId="CommentTextChar">
    <w:name w:val="Comment Text Char"/>
    <w:basedOn w:val="DefaultParagraphFont"/>
    <w:link w:val="CommentText"/>
    <w:uiPriority w:val="99"/>
    <w:rsid w:val="00425F8A"/>
  </w:style>
  <w:style w:type="paragraph" w:styleId="CommentSubject">
    <w:name w:val="annotation subject"/>
    <w:basedOn w:val="CommentText"/>
    <w:next w:val="CommentText"/>
    <w:link w:val="CommentSubjectChar"/>
    <w:rsid w:val="00425F8A"/>
    <w:rPr>
      <w:b/>
      <w:bCs/>
    </w:rPr>
  </w:style>
  <w:style w:type="character" w:customStyle="1" w:styleId="CommentSubjectChar">
    <w:name w:val="Comment Subject Char"/>
    <w:link w:val="CommentSubject"/>
    <w:rsid w:val="00425F8A"/>
    <w:rPr>
      <w:b/>
      <w:bCs/>
    </w:rPr>
  </w:style>
  <w:style w:type="paragraph" w:styleId="BalloonText">
    <w:name w:val="Balloon Text"/>
    <w:basedOn w:val="Normal"/>
    <w:link w:val="BalloonTextChar"/>
    <w:rsid w:val="00425F8A"/>
    <w:rPr>
      <w:rFonts w:ascii="Tahoma" w:hAnsi="Tahoma" w:cs="Tahoma"/>
      <w:sz w:val="16"/>
      <w:szCs w:val="16"/>
    </w:rPr>
  </w:style>
  <w:style w:type="character" w:customStyle="1" w:styleId="BalloonTextChar">
    <w:name w:val="Balloon Text Char"/>
    <w:link w:val="BalloonText"/>
    <w:rsid w:val="00425F8A"/>
    <w:rPr>
      <w:rFonts w:ascii="Tahoma" w:hAnsi="Tahoma" w:cs="Tahoma"/>
      <w:sz w:val="16"/>
      <w:szCs w:val="16"/>
    </w:rPr>
  </w:style>
  <w:style w:type="table" w:styleId="TableGrid">
    <w:name w:val="Table Grid"/>
    <w:basedOn w:val="TableNormal"/>
    <w:rsid w:val="00331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0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264082">
      <w:bodyDiv w:val="1"/>
      <w:marLeft w:val="0"/>
      <w:marRight w:val="0"/>
      <w:marTop w:val="0"/>
      <w:marBottom w:val="0"/>
      <w:divBdr>
        <w:top w:val="none" w:sz="0" w:space="0" w:color="auto"/>
        <w:left w:val="none" w:sz="0" w:space="0" w:color="auto"/>
        <w:bottom w:val="none" w:sz="0" w:space="0" w:color="auto"/>
        <w:right w:val="none" w:sz="0" w:space="0" w:color="auto"/>
      </w:divBdr>
    </w:div>
    <w:div w:id="102479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C6E7C9108470409868AFD661107E3B" ma:contentTypeVersion="" ma:contentTypeDescription="Create a new document." ma:contentTypeScope="" ma:versionID="56be38c69d940493d00550fa6a0e7cc2">
  <xsd:schema xmlns:xsd="http://www.w3.org/2001/XMLSchema" xmlns:xs="http://www.w3.org/2001/XMLSchema" xmlns:p="http://schemas.microsoft.com/office/2006/metadata/properties" targetNamespace="http://schemas.microsoft.com/office/2006/metadata/properties" ma:root="true" ma:fieldsID="09c34520ff7b78b8939da045ead5dd0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D913E-EE20-4B34-A7F7-A7E411A180D2}">
  <ds:schemaRefs>
    <ds:schemaRef ds:uri="http://schemas.microsoft.com/sharepoint/v3/contenttype/forms"/>
  </ds:schemaRefs>
</ds:datastoreItem>
</file>

<file path=customXml/itemProps2.xml><?xml version="1.0" encoding="utf-8"?>
<ds:datastoreItem xmlns:ds="http://schemas.openxmlformats.org/officeDocument/2006/customXml" ds:itemID="{8A37D3F1-5043-44F2-997D-6874DDAEE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63FDFC5-9705-4FC0-BAD9-A1BD6FE08DF6}">
  <ds:schemaRefs>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http://schemas.openxmlformats.org/package/2006/metadata/core-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ECC7F17A-A4A5-429B-9C2C-40E777D96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2769</Words>
  <Characters>15217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2</cp:revision>
  <dcterms:created xsi:type="dcterms:W3CDTF">2015-06-01T12:34:00Z</dcterms:created>
  <dcterms:modified xsi:type="dcterms:W3CDTF">2015-06-01T12:34:00Z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336525507</vt:i4>
  </property>
  <property fmtid="{D5CDD505-2E9C-101B-9397-08002B2CF9AE}" pid="3" name="_NewReviewCycle">
    <vt:lpwstr/>
  </property>
  <property fmtid="{D5CDD505-2E9C-101B-9397-08002B2CF9AE}" pid="4" name="_EmailSubject">
    <vt:lpwstr>4-2-15 DQEHO Yellow folder for 508 compliance sgnature- New PRA Package CMS-10553 Comprehensive Quality Strategy</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350098745</vt:i4>
  </property>
  <property fmtid="{D5CDD505-2E9C-101B-9397-08002B2CF9AE}" pid="8" name="_ReviewingToolsShownOnce">
    <vt:lpwstr/>
  </property>
</Properties>
</file>