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1A1" w:rsidRPr="0004065C" w:rsidRDefault="002949DF" w:rsidP="009D0282">
      <w:pPr>
        <w:rPr>
          <w:rFonts w:ascii="Times New Roman" w:hAnsi="Times New Roman"/>
          <w:sz w:val="24"/>
          <w:szCs w:val="24"/>
        </w:rPr>
      </w:pPr>
      <w:bookmarkStart w:id="0" w:name="_GoBack"/>
      <w:bookmarkEnd w:id="0"/>
      <w:r>
        <w:rPr>
          <w:rFonts w:ascii="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9.6pt;margin-top:14.4pt;width:365pt;height:78.7pt;z-index:251658240;mso-position-horizontal:absolute;mso-position-horizontal-relative:right-margin-area;mso-position-vertical:absolute;mso-position-vertical-relative:top-margin-area">
            <v:imagedata r:id="rId8" o:title=""/>
            <w10:wrap type="topAndBottom" anchorx="page" anchory="margin"/>
          </v:shape>
          <o:OLEObject Type="Embed" ProgID="PBrush" ShapeID="_x0000_s1030" DrawAspect="Content" ObjectID="_1465813886" r:id="rId9"/>
        </w:object>
      </w:r>
      <w:r w:rsidR="00C827AC" w:rsidRPr="00C827AC">
        <w:rPr>
          <w:rFonts w:ascii="Times New Roman" w:hAnsi="Times New Roman"/>
          <w:sz w:val="24"/>
          <w:szCs w:val="24"/>
        </w:rPr>
        <w:t>February</w:t>
      </w:r>
      <w:r w:rsidR="00C827AC">
        <w:rPr>
          <w:rFonts w:ascii="Times New Roman" w:hAnsi="Times New Roman"/>
          <w:sz w:val="24"/>
          <w:szCs w:val="24"/>
        </w:rPr>
        <w:t xml:space="preserve"> 5</w:t>
      </w:r>
      <w:r w:rsidR="0004065C" w:rsidRPr="0004065C">
        <w:rPr>
          <w:rFonts w:ascii="Times New Roman" w:hAnsi="Times New Roman"/>
          <w:sz w:val="24"/>
          <w:szCs w:val="24"/>
        </w:rPr>
        <w:t>, 2014</w:t>
      </w:r>
    </w:p>
    <w:p w:rsidR="005B41A1" w:rsidRPr="009D0282" w:rsidRDefault="005B41A1" w:rsidP="005B41A1">
      <w:pPr>
        <w:rPr>
          <w:rFonts w:ascii="Times New Roman" w:hAnsi="Times New Roman"/>
          <w:sz w:val="24"/>
          <w:szCs w:val="24"/>
        </w:rPr>
      </w:pPr>
    </w:p>
    <w:p w:rsidR="00123DCE" w:rsidRPr="00B164CD" w:rsidRDefault="00C64B7B" w:rsidP="00123DCE">
      <w:pPr>
        <w:tabs>
          <w:tab w:val="left" w:pos="2880"/>
        </w:tabs>
        <w:rPr>
          <w:rFonts w:ascii="Times New Roman" w:hAnsi="Times New Roman"/>
          <w:sz w:val="24"/>
          <w:szCs w:val="24"/>
        </w:rPr>
      </w:pPr>
      <w:r>
        <w:rPr>
          <w:rFonts w:ascii="Times New Roman" w:hAnsi="Times New Roman"/>
          <w:noProof/>
          <w:sz w:val="24"/>
          <w:szCs w:val="24"/>
        </w:rPr>
        <w:drawing>
          <wp:anchor distT="57150" distB="57150" distL="57150" distR="57150" simplePos="0" relativeHeight="251660288" behindDoc="0" locked="0" layoutInCell="1" allowOverlap="1" wp14:anchorId="1E882CC4" wp14:editId="692A272E">
            <wp:simplePos x="0" y="0"/>
            <wp:positionH relativeFrom="margin">
              <wp:posOffset>5514975</wp:posOffset>
            </wp:positionH>
            <wp:positionV relativeFrom="page">
              <wp:posOffset>1615440</wp:posOffset>
            </wp:positionV>
            <wp:extent cx="685800" cy="647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14:sizeRelH relativeFrom="page">
              <wp14:pctWidth>0</wp14:pctWidth>
            </wp14:sizeRelH>
            <wp14:sizeRelV relativeFrom="page">
              <wp14:pctHeight>0</wp14:pctHeight>
            </wp14:sizeRelV>
          </wp:anchor>
        </w:drawing>
      </w:r>
      <w:r w:rsidR="00123DCE" w:rsidRPr="00B164CD">
        <w:rPr>
          <w:rFonts w:ascii="Times New Roman" w:hAnsi="Times New Roman"/>
          <w:sz w:val="24"/>
          <w:szCs w:val="24"/>
        </w:rPr>
        <w:t>MEMORANDUM FOR</w:t>
      </w:r>
      <w:r w:rsidR="00123DCE" w:rsidRPr="00B164CD">
        <w:rPr>
          <w:rFonts w:ascii="Times New Roman" w:hAnsi="Times New Roman"/>
          <w:sz w:val="24"/>
          <w:szCs w:val="24"/>
        </w:rPr>
        <w:tab/>
        <w:t>Jay Ryan</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Chief, Division of Consumer Expenditure Surveys</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Office of Prices and Living Conditions</w:t>
      </w:r>
    </w:p>
    <w:p w:rsidR="00123DCE" w:rsidRPr="00B164CD" w:rsidRDefault="00123DCE" w:rsidP="00123DCE">
      <w:pPr>
        <w:tabs>
          <w:tab w:val="left" w:pos="2880"/>
        </w:tabs>
        <w:ind w:left="2880"/>
        <w:rPr>
          <w:rFonts w:ascii="Times New Roman" w:hAnsi="Times New Roman"/>
          <w:sz w:val="24"/>
          <w:szCs w:val="24"/>
        </w:rPr>
      </w:pPr>
      <w:r w:rsidRPr="00B164CD">
        <w:rPr>
          <w:rFonts w:ascii="Times New Roman" w:hAnsi="Times New Roman"/>
          <w:sz w:val="24"/>
          <w:szCs w:val="24"/>
        </w:rPr>
        <w:t>Bureau of Labor Statistics</w:t>
      </w:r>
    </w:p>
    <w:p w:rsidR="00123DCE" w:rsidRPr="00B164CD" w:rsidRDefault="00123DCE" w:rsidP="00123DCE">
      <w:pPr>
        <w:tabs>
          <w:tab w:val="left" w:pos="2880"/>
        </w:tabs>
        <w:ind w:left="2880"/>
        <w:rPr>
          <w:rFonts w:ascii="Times New Roman" w:hAnsi="Times New Roman"/>
          <w:sz w:val="24"/>
          <w:szCs w:val="24"/>
        </w:rPr>
      </w:pP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Through:</w:t>
      </w:r>
      <w:r w:rsidRPr="00B164CD">
        <w:rPr>
          <w:rFonts w:ascii="Times New Roman" w:hAnsi="Times New Roman"/>
          <w:sz w:val="24"/>
          <w:szCs w:val="24"/>
        </w:rPr>
        <w:tab/>
        <w:t>Carolyn Pickering</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Survey Director, Consumer Expenditure Survey</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U.S. Census Bureau</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From:</w:t>
      </w:r>
      <w:r w:rsidRPr="00B164CD">
        <w:rPr>
          <w:rFonts w:ascii="Times New Roman" w:hAnsi="Times New Roman"/>
          <w:sz w:val="24"/>
          <w:szCs w:val="24"/>
        </w:rPr>
        <w:tab/>
        <w:t>Ruth Ann Killion</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Chief, Demographic Statistical Methods Division</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U.S. Census Bureau</w:t>
      </w:r>
    </w:p>
    <w:p w:rsidR="00123DCE" w:rsidRPr="00B164CD" w:rsidRDefault="00123DCE" w:rsidP="00123DCE">
      <w:pPr>
        <w:tabs>
          <w:tab w:val="left" w:pos="2880"/>
        </w:tabs>
        <w:rPr>
          <w:rFonts w:ascii="Times New Roman" w:hAnsi="Times New Roman"/>
          <w:sz w:val="24"/>
          <w:szCs w:val="24"/>
        </w:rPr>
      </w:pP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Prepared by:</w:t>
      </w:r>
      <w:r w:rsidRPr="00B164CD">
        <w:rPr>
          <w:rFonts w:ascii="Times New Roman" w:hAnsi="Times New Roman"/>
          <w:sz w:val="24"/>
          <w:szCs w:val="24"/>
        </w:rPr>
        <w:tab/>
        <w:t xml:space="preserve">Jacob Enriquez </w:t>
      </w:r>
    </w:p>
    <w:p w:rsidR="00123DCE" w:rsidRPr="00B164CD" w:rsidRDefault="00123DCE" w:rsidP="00123DCE">
      <w:pPr>
        <w:tabs>
          <w:tab w:val="left" w:pos="2880"/>
        </w:tabs>
        <w:rPr>
          <w:rFonts w:ascii="Times New Roman" w:hAnsi="Times New Roman"/>
          <w:sz w:val="24"/>
          <w:szCs w:val="24"/>
        </w:rPr>
      </w:pPr>
      <w:r w:rsidRPr="00B164CD">
        <w:rPr>
          <w:rFonts w:ascii="Times New Roman" w:hAnsi="Times New Roman"/>
          <w:sz w:val="24"/>
          <w:szCs w:val="24"/>
        </w:rPr>
        <w:tab/>
        <w:t>Demographic Statistical Methods Division</w:t>
      </w:r>
    </w:p>
    <w:p w:rsidR="00123DCE" w:rsidRPr="00B164CD" w:rsidRDefault="00123DCE" w:rsidP="00123DCE">
      <w:pPr>
        <w:tabs>
          <w:tab w:val="left" w:pos="2880"/>
        </w:tabs>
        <w:ind w:left="2880"/>
        <w:rPr>
          <w:rFonts w:ascii="Times New Roman" w:hAnsi="Times New Roman"/>
          <w:sz w:val="24"/>
          <w:szCs w:val="24"/>
        </w:rPr>
      </w:pPr>
      <w:r w:rsidRPr="00B164CD">
        <w:rPr>
          <w:rFonts w:ascii="Times New Roman" w:hAnsi="Times New Roman"/>
          <w:sz w:val="24"/>
          <w:szCs w:val="24"/>
        </w:rPr>
        <w:t>U.S. Census Bureau</w:t>
      </w:r>
    </w:p>
    <w:p w:rsidR="000E4AB3" w:rsidRPr="00B164CD" w:rsidRDefault="000E4AB3" w:rsidP="00123DCE">
      <w:pPr>
        <w:rPr>
          <w:rFonts w:ascii="Times New Roman" w:hAnsi="Times New Roman"/>
          <w:sz w:val="24"/>
          <w:szCs w:val="24"/>
        </w:rPr>
      </w:pPr>
    </w:p>
    <w:p w:rsidR="005B41A1" w:rsidRPr="00B164CD" w:rsidRDefault="00123DCE" w:rsidP="00FE084A">
      <w:pPr>
        <w:ind w:left="2880" w:hanging="2880"/>
        <w:rPr>
          <w:rFonts w:ascii="Times New Roman" w:hAnsi="Times New Roman"/>
          <w:sz w:val="24"/>
          <w:szCs w:val="24"/>
        </w:rPr>
      </w:pPr>
      <w:r w:rsidRPr="00B164CD">
        <w:rPr>
          <w:rFonts w:ascii="Times New Roman" w:hAnsi="Times New Roman"/>
          <w:sz w:val="24"/>
          <w:szCs w:val="24"/>
        </w:rPr>
        <w:t>Subject:</w:t>
      </w:r>
      <w:r w:rsidRPr="00B164CD">
        <w:rPr>
          <w:rFonts w:ascii="Times New Roman" w:hAnsi="Times New Roman"/>
          <w:sz w:val="24"/>
          <w:szCs w:val="24"/>
        </w:rPr>
        <w:tab/>
      </w:r>
      <w:r w:rsidR="000E4AB3" w:rsidRPr="00B164CD">
        <w:rPr>
          <w:rFonts w:ascii="Times New Roman" w:hAnsi="Times New Roman"/>
          <w:sz w:val="24"/>
          <w:szCs w:val="24"/>
        </w:rPr>
        <w:t>Consumer Expenditure Surveys Sample Allocation for the 2010 Census-Based Sample Design</w:t>
      </w:r>
    </w:p>
    <w:p w:rsidR="005B41A1" w:rsidRPr="00B164CD" w:rsidRDefault="005B41A1" w:rsidP="005B41A1">
      <w:pPr>
        <w:tabs>
          <w:tab w:val="left" w:pos="4410"/>
        </w:tabs>
        <w:rPr>
          <w:rFonts w:ascii="Times New Roman" w:hAnsi="Times New Roman"/>
          <w:sz w:val="24"/>
          <w:szCs w:val="24"/>
        </w:rPr>
      </w:pPr>
    </w:p>
    <w:p w:rsidR="006C0BEC" w:rsidRPr="005B3E49" w:rsidRDefault="006C0BEC" w:rsidP="00A270C5">
      <w:pPr>
        <w:rPr>
          <w:rFonts w:ascii="Times New Roman" w:hAnsi="Times New Roman"/>
          <w:sz w:val="24"/>
          <w:szCs w:val="24"/>
        </w:rPr>
      </w:pPr>
    </w:p>
    <w:p w:rsidR="00A270C5" w:rsidRPr="00B164CD" w:rsidRDefault="00A270C5" w:rsidP="00A270C5">
      <w:pPr>
        <w:rPr>
          <w:rFonts w:ascii="Times New Roman" w:hAnsi="Times New Roman"/>
          <w:b/>
          <w:sz w:val="24"/>
          <w:szCs w:val="24"/>
        </w:rPr>
      </w:pPr>
      <w:r w:rsidRPr="00B164CD">
        <w:rPr>
          <w:rFonts w:ascii="Times New Roman" w:hAnsi="Times New Roman"/>
          <w:b/>
          <w:sz w:val="24"/>
          <w:szCs w:val="24"/>
        </w:rPr>
        <w:t>Introduction</w:t>
      </w:r>
    </w:p>
    <w:p w:rsidR="005B41A1" w:rsidRPr="000029D6" w:rsidRDefault="005B41A1" w:rsidP="005B41A1">
      <w:pPr>
        <w:tabs>
          <w:tab w:val="left" w:pos="4410"/>
        </w:tabs>
        <w:rPr>
          <w:rFonts w:ascii="Times New Roman" w:hAnsi="Times New Roman"/>
          <w:sz w:val="24"/>
          <w:szCs w:val="24"/>
        </w:rPr>
      </w:pPr>
    </w:p>
    <w:p w:rsidR="00810258" w:rsidRPr="000029D6" w:rsidRDefault="00A270C5" w:rsidP="00A270C5">
      <w:pPr>
        <w:rPr>
          <w:rFonts w:ascii="Times New Roman" w:hAnsi="Times New Roman"/>
          <w:sz w:val="24"/>
          <w:szCs w:val="24"/>
        </w:rPr>
      </w:pPr>
      <w:r w:rsidRPr="000029D6">
        <w:rPr>
          <w:rFonts w:ascii="Times New Roman" w:hAnsi="Times New Roman"/>
          <w:sz w:val="24"/>
          <w:szCs w:val="24"/>
        </w:rPr>
        <w:t>This memo</w:t>
      </w:r>
      <w:r w:rsidR="002F7D98" w:rsidRPr="000029D6">
        <w:rPr>
          <w:rFonts w:ascii="Times New Roman" w:hAnsi="Times New Roman"/>
          <w:sz w:val="24"/>
          <w:szCs w:val="24"/>
        </w:rPr>
        <w:t>randum</w:t>
      </w:r>
      <w:r w:rsidRPr="000029D6">
        <w:rPr>
          <w:rFonts w:ascii="Times New Roman" w:hAnsi="Times New Roman"/>
          <w:sz w:val="24"/>
          <w:szCs w:val="24"/>
        </w:rPr>
        <w:t xml:space="preserve"> gives the sample sizes for the 91 primary sampling units (PSU) in the Consumer Expenditure Survey’s (CE) upcoming 2010 Census-based sample design.  </w:t>
      </w:r>
      <w:r w:rsidR="002759B6" w:rsidRPr="002759B6">
        <w:rPr>
          <w:rFonts w:ascii="Times New Roman" w:hAnsi="Times New Roman"/>
          <w:sz w:val="24"/>
          <w:szCs w:val="24"/>
        </w:rPr>
        <w:t xml:space="preserve">They are scheduled to be used starting in 2015.  </w:t>
      </w:r>
      <w:r w:rsidR="00EE5BD4" w:rsidRPr="00EE5BD4">
        <w:rPr>
          <w:rFonts w:ascii="Times New Roman" w:hAnsi="Times New Roman"/>
          <w:sz w:val="24"/>
          <w:szCs w:val="24"/>
        </w:rPr>
        <w:t>The CE program budget allows for the selection of 12,000 addresses per year for the Interview survey and 12,000 addresses per year for the Diary survey.  This sample size is expected to yield 6,</w:t>
      </w:r>
      <w:r w:rsidR="00F827BE">
        <w:rPr>
          <w:rFonts w:ascii="Times New Roman" w:hAnsi="Times New Roman"/>
          <w:sz w:val="24"/>
          <w:szCs w:val="24"/>
        </w:rPr>
        <w:t>9</w:t>
      </w:r>
      <w:r w:rsidR="00EE5BD4" w:rsidRPr="00EE5BD4">
        <w:rPr>
          <w:rFonts w:ascii="Times New Roman" w:hAnsi="Times New Roman"/>
          <w:sz w:val="24"/>
          <w:szCs w:val="24"/>
        </w:rPr>
        <w:t>00 interviewed households per quarter for the Interview survey and 6,</w:t>
      </w:r>
      <w:r w:rsidR="0060386C">
        <w:rPr>
          <w:rFonts w:ascii="Times New Roman" w:hAnsi="Times New Roman"/>
          <w:sz w:val="24"/>
          <w:szCs w:val="24"/>
        </w:rPr>
        <w:t>9</w:t>
      </w:r>
      <w:r w:rsidR="00EE5BD4" w:rsidRPr="00EE5BD4">
        <w:rPr>
          <w:rFonts w:ascii="Times New Roman" w:hAnsi="Times New Roman"/>
          <w:sz w:val="24"/>
          <w:szCs w:val="24"/>
        </w:rPr>
        <w:t>00 interviewed household</w:t>
      </w:r>
      <w:r w:rsidR="00622280">
        <w:rPr>
          <w:rFonts w:ascii="Times New Roman" w:hAnsi="Times New Roman"/>
          <w:sz w:val="24"/>
          <w:szCs w:val="24"/>
        </w:rPr>
        <w:t>s per year for the Diary survey</w:t>
      </w:r>
      <w:r w:rsidRPr="000029D6">
        <w:rPr>
          <w:rFonts w:ascii="Times New Roman" w:hAnsi="Times New Roman"/>
          <w:sz w:val="24"/>
          <w:szCs w:val="24"/>
        </w:rPr>
        <w:t>.  This memo</w:t>
      </w:r>
      <w:r w:rsidR="002F7D98" w:rsidRPr="000029D6">
        <w:rPr>
          <w:rFonts w:ascii="Times New Roman" w:hAnsi="Times New Roman"/>
          <w:sz w:val="24"/>
          <w:szCs w:val="24"/>
        </w:rPr>
        <w:t>randum</w:t>
      </w:r>
      <w:r w:rsidRPr="000029D6">
        <w:rPr>
          <w:rFonts w:ascii="Times New Roman" w:hAnsi="Times New Roman"/>
          <w:sz w:val="24"/>
          <w:szCs w:val="24"/>
        </w:rPr>
        <w:t xml:space="preserve"> describes the allocation of 12,000 addresses to the 91 individual PSUs for both the Interview and Diary surveys.   </w:t>
      </w:r>
      <w:r w:rsidR="00F1481C" w:rsidRPr="00F1481C">
        <w:rPr>
          <w:rFonts w:ascii="Times New Roman" w:hAnsi="Times New Roman"/>
          <w:sz w:val="24"/>
          <w:szCs w:val="24"/>
        </w:rPr>
        <w:t>The 12,000 addresses are from the unit frame only, as the sampling for the group quarters frame will be handled separately.</w:t>
      </w:r>
      <w:r w:rsidR="00F1481C">
        <w:rPr>
          <w:rFonts w:ascii="Times New Roman" w:hAnsi="Times New Roman"/>
          <w:sz w:val="24"/>
          <w:szCs w:val="24"/>
        </w:rPr>
        <w:t xml:space="preserve">  </w:t>
      </w:r>
      <w:r w:rsidRPr="000029D6">
        <w:rPr>
          <w:rFonts w:ascii="Times New Roman" w:hAnsi="Times New Roman"/>
          <w:sz w:val="24"/>
          <w:szCs w:val="24"/>
        </w:rPr>
        <w:t>Much of this memo</w:t>
      </w:r>
      <w:r w:rsidR="002F7D98" w:rsidRPr="000029D6">
        <w:rPr>
          <w:rFonts w:ascii="Times New Roman" w:hAnsi="Times New Roman"/>
          <w:sz w:val="24"/>
          <w:szCs w:val="24"/>
        </w:rPr>
        <w:t>randum</w:t>
      </w:r>
      <w:r w:rsidRPr="000029D6">
        <w:rPr>
          <w:rFonts w:ascii="Times New Roman" w:hAnsi="Times New Roman"/>
          <w:sz w:val="24"/>
          <w:szCs w:val="24"/>
        </w:rPr>
        <w:t xml:space="preserve"> is from</w:t>
      </w:r>
      <w:r w:rsidRPr="000029D6">
        <w:rPr>
          <w:rFonts w:ascii="Times New Roman" w:hAnsi="Times New Roman"/>
          <w:b/>
          <w:sz w:val="24"/>
          <w:szCs w:val="24"/>
        </w:rPr>
        <w:t xml:space="preserve"> </w:t>
      </w:r>
      <w:r w:rsidRPr="000029D6">
        <w:rPr>
          <w:rFonts w:ascii="Times New Roman" w:hAnsi="Times New Roman"/>
          <w:sz w:val="24"/>
          <w:szCs w:val="24"/>
        </w:rPr>
        <w:t>Swanson</w:t>
      </w:r>
      <w:r w:rsidR="00735432" w:rsidRPr="000029D6">
        <w:rPr>
          <w:rFonts w:ascii="Times New Roman" w:hAnsi="Times New Roman"/>
          <w:sz w:val="24"/>
          <w:szCs w:val="24"/>
        </w:rPr>
        <w:t xml:space="preserve"> (2013).</w:t>
      </w:r>
    </w:p>
    <w:p w:rsidR="001A7160" w:rsidRPr="000029D6" w:rsidRDefault="001A7160" w:rsidP="00810258">
      <w:pPr>
        <w:jc w:val="both"/>
        <w:rPr>
          <w:rFonts w:ascii="Times New Roman" w:hAnsi="Times New Roman"/>
          <w:sz w:val="24"/>
          <w:szCs w:val="24"/>
        </w:rPr>
      </w:pPr>
    </w:p>
    <w:p w:rsidR="002E06D8" w:rsidRPr="000029D6" w:rsidRDefault="002E06D8" w:rsidP="00810258">
      <w:pPr>
        <w:jc w:val="both"/>
        <w:rPr>
          <w:rFonts w:ascii="Times New Roman" w:hAnsi="Times New Roman"/>
          <w:b/>
          <w:sz w:val="24"/>
          <w:szCs w:val="24"/>
        </w:rPr>
      </w:pPr>
    </w:p>
    <w:p w:rsidR="001A7160" w:rsidRPr="000029D6" w:rsidRDefault="00E6335D" w:rsidP="00810258">
      <w:pPr>
        <w:jc w:val="both"/>
        <w:rPr>
          <w:rFonts w:ascii="Times New Roman" w:hAnsi="Times New Roman"/>
          <w:b/>
          <w:sz w:val="24"/>
          <w:szCs w:val="24"/>
        </w:rPr>
      </w:pPr>
      <w:r w:rsidRPr="000029D6">
        <w:rPr>
          <w:rFonts w:ascii="Times New Roman" w:hAnsi="Times New Roman"/>
          <w:b/>
          <w:sz w:val="24"/>
          <w:szCs w:val="24"/>
        </w:rPr>
        <w:t>Background</w:t>
      </w:r>
    </w:p>
    <w:p w:rsidR="001A7160" w:rsidRPr="000029D6" w:rsidRDefault="001A7160" w:rsidP="00810258">
      <w:pPr>
        <w:jc w:val="both"/>
        <w:rPr>
          <w:rFonts w:ascii="Times New Roman" w:hAnsi="Times New Roman"/>
          <w:b/>
          <w:sz w:val="24"/>
          <w:szCs w:val="24"/>
        </w:rPr>
      </w:pPr>
    </w:p>
    <w:p w:rsidR="00E6335D" w:rsidRPr="000029D6" w:rsidRDefault="00E6335D" w:rsidP="00E6335D">
      <w:pPr>
        <w:rPr>
          <w:rFonts w:ascii="Times New Roman" w:hAnsi="Times New Roman"/>
          <w:sz w:val="24"/>
          <w:szCs w:val="24"/>
        </w:rPr>
      </w:pPr>
      <w:r w:rsidRPr="000029D6">
        <w:rPr>
          <w:rFonts w:ascii="Times New Roman" w:hAnsi="Times New Roman"/>
          <w:sz w:val="24"/>
          <w:szCs w:val="24"/>
        </w:rPr>
        <w:t xml:space="preserve">Research by </w:t>
      </w:r>
      <w:r w:rsidR="00B050C1" w:rsidRPr="00B050C1">
        <w:rPr>
          <w:rFonts w:ascii="Times New Roman" w:hAnsi="Times New Roman"/>
          <w:sz w:val="24"/>
          <w:szCs w:val="24"/>
        </w:rPr>
        <w:t>Consumer Expenditure Statistical Methods Division</w:t>
      </w:r>
      <w:r w:rsidR="00952DA7">
        <w:rPr>
          <w:rFonts w:ascii="Times New Roman" w:hAnsi="Times New Roman"/>
          <w:sz w:val="24"/>
          <w:szCs w:val="24"/>
        </w:rPr>
        <w:t xml:space="preserve"> (</w:t>
      </w:r>
      <w:r w:rsidRPr="000029D6">
        <w:rPr>
          <w:rFonts w:ascii="Times New Roman" w:hAnsi="Times New Roman"/>
          <w:sz w:val="24"/>
          <w:szCs w:val="24"/>
        </w:rPr>
        <w:t>CESMD</w:t>
      </w:r>
      <w:r w:rsidR="00952DA7">
        <w:rPr>
          <w:rFonts w:ascii="Times New Roman" w:hAnsi="Times New Roman"/>
          <w:sz w:val="24"/>
          <w:szCs w:val="24"/>
        </w:rPr>
        <w:t>)</w:t>
      </w:r>
      <w:r w:rsidRPr="000029D6">
        <w:rPr>
          <w:rFonts w:ascii="Times New Roman" w:hAnsi="Times New Roman"/>
          <w:sz w:val="24"/>
          <w:szCs w:val="24"/>
        </w:rPr>
        <w:t xml:space="preserve"> and </w:t>
      </w:r>
      <w:r w:rsidR="00DD5785" w:rsidRPr="000029D6">
        <w:rPr>
          <w:sz w:val="24"/>
          <w:szCs w:val="24"/>
        </w:rPr>
        <w:t>Demographic Statistical Methods Division</w:t>
      </w:r>
      <w:r w:rsidR="00DD5785">
        <w:rPr>
          <w:rFonts w:ascii="Times New Roman" w:hAnsi="Times New Roman"/>
          <w:sz w:val="24"/>
          <w:szCs w:val="24"/>
        </w:rPr>
        <w:t xml:space="preserve">  (</w:t>
      </w:r>
      <w:r w:rsidRPr="000029D6">
        <w:rPr>
          <w:rFonts w:ascii="Times New Roman" w:hAnsi="Times New Roman"/>
          <w:sz w:val="24"/>
          <w:szCs w:val="24"/>
        </w:rPr>
        <w:t>DSMD</w:t>
      </w:r>
      <w:r w:rsidR="00DD5785">
        <w:rPr>
          <w:rFonts w:ascii="Times New Roman" w:hAnsi="Times New Roman"/>
          <w:sz w:val="24"/>
          <w:szCs w:val="24"/>
        </w:rPr>
        <w:t xml:space="preserve">) </w:t>
      </w:r>
      <w:r w:rsidRPr="000029D6">
        <w:rPr>
          <w:rFonts w:ascii="Times New Roman" w:hAnsi="Times New Roman"/>
          <w:sz w:val="24"/>
          <w:szCs w:val="24"/>
        </w:rPr>
        <w:t>in recent years showed that allocating the nationwide sample of households to PSUs directly proportional to the populations they represent (i.e. their stratum populations) is a simple and effective way of producing expenditure estimates with small variances at the nationwide level.  It is how CE’s sample has always been allocated, and the research confirmed its appropriateness</w:t>
      </w:r>
      <w:r w:rsidR="0032106B" w:rsidRPr="000029D6">
        <w:rPr>
          <w:rFonts w:ascii="Times New Roman" w:hAnsi="Times New Roman"/>
          <w:sz w:val="24"/>
          <w:szCs w:val="24"/>
        </w:rPr>
        <w:t xml:space="preserve"> (Swanson 2009a, Swanson 2009b, and Killion 2012)</w:t>
      </w:r>
      <w:r w:rsidRPr="000029D6">
        <w:rPr>
          <w:rFonts w:ascii="Times New Roman" w:hAnsi="Times New Roman"/>
          <w:sz w:val="24"/>
          <w:szCs w:val="24"/>
        </w:rPr>
        <w:t>.</w:t>
      </w:r>
      <w:r w:rsidR="0080541A">
        <w:rPr>
          <w:rFonts w:ascii="Times New Roman" w:hAnsi="Times New Roman"/>
          <w:sz w:val="24"/>
          <w:szCs w:val="24"/>
        </w:rPr>
        <w:t xml:space="preserve">  </w:t>
      </w:r>
      <w:r w:rsidRPr="000029D6">
        <w:rPr>
          <w:rFonts w:ascii="Times New Roman" w:hAnsi="Times New Roman"/>
          <w:sz w:val="24"/>
          <w:szCs w:val="24"/>
        </w:rPr>
        <w:lastRenderedPageBreak/>
        <w:t>This allocation process is formalized in the language of mathematics by expressing the process as a constrained optimization problem.</w:t>
      </w:r>
    </w:p>
    <w:p w:rsidR="00E6335D" w:rsidRPr="000029D6" w:rsidRDefault="00E6335D" w:rsidP="00E6335D">
      <w:pPr>
        <w:rPr>
          <w:rFonts w:ascii="Times New Roman" w:hAnsi="Times New Roman"/>
          <w:sz w:val="24"/>
          <w:szCs w:val="24"/>
        </w:rPr>
      </w:pPr>
    </w:p>
    <w:p w:rsidR="00E6335D" w:rsidRPr="000029D6" w:rsidRDefault="00E6335D" w:rsidP="00E6335D">
      <w:pPr>
        <w:rPr>
          <w:rFonts w:ascii="Times New Roman" w:hAnsi="Times New Roman"/>
          <w:sz w:val="24"/>
          <w:szCs w:val="24"/>
        </w:rPr>
      </w:pPr>
      <w:r w:rsidRPr="000029D6">
        <w:rPr>
          <w:rFonts w:ascii="Times New Roman" w:hAnsi="Times New Roman"/>
          <w:sz w:val="24"/>
          <w:szCs w:val="24"/>
        </w:rPr>
        <w:t xml:space="preserve">One subtle change in the upcoming sample design is that </w:t>
      </w:r>
      <w:r w:rsidRPr="000029D6">
        <w:rPr>
          <w:rFonts w:ascii="Times New Roman" w:hAnsi="Times New Roman"/>
          <w:i/>
          <w:sz w:val="24"/>
          <w:szCs w:val="24"/>
        </w:rPr>
        <w:t>addresses</w:t>
      </w:r>
      <w:r w:rsidRPr="000029D6">
        <w:rPr>
          <w:rFonts w:ascii="Times New Roman" w:hAnsi="Times New Roman"/>
          <w:sz w:val="24"/>
          <w:szCs w:val="24"/>
        </w:rPr>
        <w:t xml:space="preserve"> will be allocated instead of </w:t>
      </w:r>
      <w:r w:rsidRPr="000029D6">
        <w:rPr>
          <w:rFonts w:ascii="Times New Roman" w:hAnsi="Times New Roman"/>
          <w:i/>
          <w:sz w:val="24"/>
          <w:szCs w:val="24"/>
        </w:rPr>
        <w:t>usable interviews</w:t>
      </w:r>
      <w:r w:rsidRPr="000029D6">
        <w:rPr>
          <w:rFonts w:ascii="Times New Roman" w:hAnsi="Times New Roman"/>
          <w:sz w:val="24"/>
          <w:szCs w:val="24"/>
        </w:rPr>
        <w:t>.  In the past the nationwide target number of usable interviews was allocated to individual PSUs in a two-step process – by first allocating them to CPI index areas</w:t>
      </w:r>
      <w:r w:rsidR="00057754">
        <w:rPr>
          <w:rStyle w:val="FootnoteReference"/>
          <w:rFonts w:ascii="Times New Roman" w:hAnsi="Times New Roman"/>
          <w:sz w:val="24"/>
          <w:szCs w:val="24"/>
        </w:rPr>
        <w:footnoteReference w:id="1"/>
      </w:r>
      <w:r w:rsidRPr="000029D6">
        <w:rPr>
          <w:rFonts w:ascii="Times New Roman" w:hAnsi="Times New Roman"/>
          <w:sz w:val="24"/>
          <w:szCs w:val="24"/>
        </w:rPr>
        <w:t xml:space="preserve">, and then sub-allocating them to individual PSUs.  Then a nonresponse adjustment was made to inflate the number of usable interviews up to the number of addresses that needed to be selected.  This time the allocation process will be done in a similar manner, except that </w:t>
      </w:r>
      <w:r w:rsidRPr="000029D6">
        <w:rPr>
          <w:rFonts w:ascii="Times New Roman" w:hAnsi="Times New Roman"/>
          <w:i/>
          <w:sz w:val="24"/>
          <w:szCs w:val="24"/>
        </w:rPr>
        <w:t>addresses</w:t>
      </w:r>
      <w:r w:rsidRPr="000029D6">
        <w:rPr>
          <w:rFonts w:ascii="Times New Roman" w:hAnsi="Times New Roman"/>
          <w:sz w:val="24"/>
          <w:szCs w:val="24"/>
        </w:rPr>
        <w:t xml:space="preserve"> will be allocated instead of </w:t>
      </w:r>
      <w:r w:rsidRPr="000029D6">
        <w:rPr>
          <w:rFonts w:ascii="Times New Roman" w:hAnsi="Times New Roman"/>
          <w:i/>
          <w:sz w:val="24"/>
          <w:szCs w:val="24"/>
        </w:rPr>
        <w:t>usable interviews</w:t>
      </w:r>
      <w:r w:rsidRPr="000029D6">
        <w:rPr>
          <w:rFonts w:ascii="Times New Roman" w:hAnsi="Times New Roman"/>
          <w:sz w:val="24"/>
          <w:szCs w:val="24"/>
        </w:rPr>
        <w:t>.  This change will move the nonresponse adjustment to an earlier step in the process</w:t>
      </w:r>
      <w:r w:rsidR="005B45C1" w:rsidRPr="000029D6">
        <w:rPr>
          <w:rFonts w:ascii="Times New Roman" w:hAnsi="Times New Roman"/>
          <w:sz w:val="24"/>
          <w:szCs w:val="24"/>
        </w:rPr>
        <w:t xml:space="preserve"> (</w:t>
      </w:r>
      <w:r w:rsidR="00170C7C" w:rsidRPr="000029D6">
        <w:rPr>
          <w:rFonts w:ascii="Times New Roman" w:hAnsi="Times New Roman"/>
          <w:sz w:val="24"/>
          <w:szCs w:val="24"/>
        </w:rPr>
        <w:t>Johnson-Herring 2001, Swanson 2002, and Johnson-Herring, Krieger, Swanson 2005</w:t>
      </w:r>
      <w:r w:rsidR="005B45C1" w:rsidRPr="000029D6">
        <w:rPr>
          <w:rFonts w:ascii="Times New Roman" w:hAnsi="Times New Roman"/>
          <w:sz w:val="24"/>
          <w:szCs w:val="24"/>
        </w:rPr>
        <w:t>)</w:t>
      </w:r>
      <w:r w:rsidRPr="000029D6">
        <w:rPr>
          <w:rFonts w:ascii="Times New Roman" w:hAnsi="Times New Roman"/>
          <w:sz w:val="24"/>
          <w:szCs w:val="24"/>
        </w:rPr>
        <w:t>.</w:t>
      </w:r>
    </w:p>
    <w:p w:rsidR="00435EC5" w:rsidRPr="00747952" w:rsidRDefault="00435EC5" w:rsidP="002E06D8">
      <w:pPr>
        <w:jc w:val="both"/>
        <w:rPr>
          <w:rFonts w:ascii="Times New Roman" w:hAnsi="Times New Roman"/>
          <w:sz w:val="24"/>
          <w:szCs w:val="24"/>
        </w:rPr>
      </w:pPr>
    </w:p>
    <w:p w:rsidR="00D74AB6" w:rsidRPr="00747952" w:rsidRDefault="00D74AB6" w:rsidP="002E06D8">
      <w:pPr>
        <w:jc w:val="both"/>
        <w:rPr>
          <w:rFonts w:ascii="Times New Roman" w:hAnsi="Times New Roman"/>
          <w:sz w:val="24"/>
          <w:szCs w:val="24"/>
        </w:rPr>
      </w:pPr>
    </w:p>
    <w:p w:rsidR="00E6335D" w:rsidRPr="000029D6" w:rsidRDefault="00E6335D" w:rsidP="002E06D8">
      <w:pPr>
        <w:jc w:val="both"/>
        <w:rPr>
          <w:rFonts w:ascii="Times New Roman" w:hAnsi="Times New Roman"/>
          <w:b/>
          <w:sz w:val="24"/>
          <w:szCs w:val="24"/>
        </w:rPr>
      </w:pPr>
      <w:r w:rsidRPr="000029D6">
        <w:rPr>
          <w:rFonts w:ascii="Times New Roman" w:hAnsi="Times New Roman"/>
          <w:b/>
          <w:sz w:val="24"/>
          <w:szCs w:val="24"/>
        </w:rPr>
        <w:t>A Mathematical Description of the Allocation Process</w:t>
      </w:r>
    </w:p>
    <w:p w:rsidR="003F5ADC" w:rsidRPr="000029D6" w:rsidRDefault="003F5ADC" w:rsidP="00E6335D">
      <w:pPr>
        <w:rPr>
          <w:rFonts w:ascii="Times New Roman" w:hAnsi="Times New Roman"/>
          <w:sz w:val="24"/>
          <w:szCs w:val="24"/>
        </w:rPr>
      </w:pPr>
    </w:p>
    <w:p w:rsidR="00E6335D" w:rsidRPr="000029D6" w:rsidRDefault="00E6335D" w:rsidP="00E6335D">
      <w:pPr>
        <w:rPr>
          <w:rFonts w:ascii="Times New Roman" w:hAnsi="Times New Roman"/>
          <w:sz w:val="24"/>
          <w:szCs w:val="24"/>
        </w:rPr>
      </w:pPr>
      <w:r w:rsidRPr="000029D6">
        <w:rPr>
          <w:rFonts w:ascii="Times New Roman" w:hAnsi="Times New Roman"/>
          <w:sz w:val="24"/>
          <w:szCs w:val="24"/>
        </w:rPr>
        <w:t>Here is a mathematical description of the allocation process for the upcoming 2010 Census-based sample design.  Let</w:t>
      </w:r>
    </w:p>
    <w:p w:rsidR="002E06D8" w:rsidRPr="000029D6" w:rsidRDefault="002E06D8" w:rsidP="00E6335D">
      <w:pPr>
        <w:rPr>
          <w:rFonts w:ascii="Times New Roman" w:hAnsi="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352"/>
        <w:gridCol w:w="5645"/>
      </w:tblGrid>
      <w:tr w:rsidR="00E6335D" w:rsidRPr="000029D6" w:rsidTr="00D55239">
        <w:trPr>
          <w:jc w:val="center"/>
        </w:trPr>
        <w:tc>
          <w:tcPr>
            <w:tcW w:w="394" w:type="dxa"/>
            <w:vAlign w:val="center"/>
          </w:tcPr>
          <w:p w:rsidR="00E6335D" w:rsidRPr="000029D6" w:rsidRDefault="00E6335D" w:rsidP="00033601">
            <w:pPr>
              <w:jc w:val="center"/>
              <w:rPr>
                <w:rFonts w:ascii="Times New Roman" w:hAnsi="Times New Roman"/>
                <w:sz w:val="24"/>
                <w:szCs w:val="24"/>
              </w:rPr>
            </w:pPr>
            <w:r w:rsidRPr="000029D6">
              <w:rPr>
                <w:rFonts w:ascii="Times New Roman" w:hAnsi="Times New Roman"/>
                <w:i/>
                <w:sz w:val="24"/>
                <w:szCs w:val="24"/>
              </w:rPr>
              <w:t>p</w:t>
            </w:r>
            <w:r w:rsidRPr="000029D6">
              <w:rPr>
                <w:rFonts w:ascii="Times New Roman" w:hAnsi="Times New Roman"/>
                <w:i/>
                <w:sz w:val="24"/>
                <w:szCs w:val="24"/>
                <w:vertAlign w:val="subscript"/>
              </w:rPr>
              <w:t>i</w:t>
            </w:r>
          </w:p>
        </w:tc>
        <w:tc>
          <w:tcPr>
            <w:tcW w:w="352" w:type="dxa"/>
            <w:vAlign w:val="center"/>
          </w:tcPr>
          <w:p w:rsidR="00E6335D" w:rsidRPr="000029D6" w:rsidRDefault="00E6335D" w:rsidP="00033601">
            <w:pPr>
              <w:jc w:val="center"/>
              <w:rPr>
                <w:rFonts w:ascii="Times New Roman" w:hAnsi="Times New Roman"/>
                <w:sz w:val="24"/>
                <w:szCs w:val="24"/>
              </w:rPr>
            </w:pPr>
            <w:r w:rsidRPr="000029D6">
              <w:rPr>
                <w:rFonts w:ascii="Times New Roman" w:hAnsi="Times New Roman"/>
                <w:sz w:val="24"/>
                <w:szCs w:val="24"/>
              </w:rPr>
              <w:t>=</w:t>
            </w:r>
          </w:p>
        </w:tc>
        <w:tc>
          <w:tcPr>
            <w:tcW w:w="5645" w:type="dxa"/>
            <w:vAlign w:val="center"/>
          </w:tcPr>
          <w:p w:rsidR="00E6335D" w:rsidRPr="000029D6" w:rsidRDefault="00E6335D" w:rsidP="00033601">
            <w:pPr>
              <w:rPr>
                <w:rFonts w:ascii="Times New Roman" w:hAnsi="Times New Roman"/>
                <w:sz w:val="24"/>
                <w:szCs w:val="24"/>
              </w:rPr>
            </w:pPr>
            <w:r w:rsidRPr="000029D6">
              <w:rPr>
                <w:rFonts w:ascii="Times New Roman" w:hAnsi="Times New Roman"/>
                <w:sz w:val="24"/>
                <w:szCs w:val="24"/>
              </w:rPr>
              <w:t xml:space="preserve">population of the </w:t>
            </w:r>
            <w:r w:rsidRPr="000029D6">
              <w:rPr>
                <w:rFonts w:ascii="Times New Roman" w:hAnsi="Times New Roman"/>
                <w:i/>
                <w:sz w:val="24"/>
                <w:szCs w:val="24"/>
              </w:rPr>
              <w:t>i</w:t>
            </w:r>
            <w:r w:rsidRPr="000029D6">
              <w:rPr>
                <w:rFonts w:ascii="Times New Roman" w:hAnsi="Times New Roman"/>
                <w:sz w:val="24"/>
                <w:szCs w:val="24"/>
              </w:rPr>
              <w:t>-th index area,</w:t>
            </w:r>
          </w:p>
        </w:tc>
      </w:tr>
      <w:tr w:rsidR="00E6335D" w:rsidRPr="000029D6" w:rsidTr="00D55239">
        <w:trPr>
          <w:jc w:val="center"/>
        </w:trPr>
        <w:tc>
          <w:tcPr>
            <w:tcW w:w="394" w:type="dxa"/>
            <w:vAlign w:val="center"/>
          </w:tcPr>
          <w:p w:rsidR="00E6335D" w:rsidRPr="000029D6" w:rsidRDefault="00E6335D" w:rsidP="00033601">
            <w:pPr>
              <w:jc w:val="center"/>
              <w:rPr>
                <w:rFonts w:ascii="Times New Roman" w:hAnsi="Times New Roman"/>
                <w:sz w:val="24"/>
                <w:szCs w:val="24"/>
              </w:rPr>
            </w:pPr>
            <w:r w:rsidRPr="000029D6">
              <w:rPr>
                <w:rFonts w:ascii="Times New Roman" w:hAnsi="Times New Roman"/>
                <w:i/>
                <w:sz w:val="24"/>
                <w:szCs w:val="24"/>
              </w:rPr>
              <w:t>r</w:t>
            </w:r>
            <w:r w:rsidRPr="000029D6">
              <w:rPr>
                <w:rFonts w:ascii="Times New Roman" w:hAnsi="Times New Roman"/>
                <w:i/>
                <w:sz w:val="24"/>
                <w:szCs w:val="24"/>
                <w:vertAlign w:val="subscript"/>
              </w:rPr>
              <w:t>i</w:t>
            </w:r>
          </w:p>
        </w:tc>
        <w:tc>
          <w:tcPr>
            <w:tcW w:w="352" w:type="dxa"/>
            <w:vAlign w:val="center"/>
          </w:tcPr>
          <w:p w:rsidR="00E6335D" w:rsidRPr="000029D6" w:rsidRDefault="00E6335D" w:rsidP="00033601">
            <w:pPr>
              <w:jc w:val="center"/>
              <w:rPr>
                <w:rFonts w:ascii="Times New Roman" w:hAnsi="Times New Roman"/>
                <w:sz w:val="24"/>
                <w:szCs w:val="24"/>
              </w:rPr>
            </w:pPr>
            <w:r w:rsidRPr="000029D6">
              <w:rPr>
                <w:rFonts w:ascii="Times New Roman" w:hAnsi="Times New Roman"/>
                <w:sz w:val="24"/>
                <w:szCs w:val="24"/>
              </w:rPr>
              <w:t>=</w:t>
            </w:r>
          </w:p>
        </w:tc>
        <w:tc>
          <w:tcPr>
            <w:tcW w:w="5645" w:type="dxa"/>
            <w:vAlign w:val="center"/>
          </w:tcPr>
          <w:p w:rsidR="00E6335D" w:rsidRPr="000029D6" w:rsidRDefault="00E6335D" w:rsidP="00033601">
            <w:pPr>
              <w:rPr>
                <w:rFonts w:ascii="Times New Roman" w:hAnsi="Times New Roman"/>
                <w:sz w:val="24"/>
                <w:szCs w:val="24"/>
              </w:rPr>
            </w:pPr>
            <w:r w:rsidRPr="000029D6">
              <w:rPr>
                <w:rFonts w:ascii="Times New Roman" w:hAnsi="Times New Roman"/>
                <w:sz w:val="24"/>
                <w:szCs w:val="24"/>
              </w:rPr>
              <w:t xml:space="preserve">participation rate of the </w:t>
            </w:r>
            <w:r w:rsidRPr="000029D6">
              <w:rPr>
                <w:rFonts w:ascii="Times New Roman" w:hAnsi="Times New Roman"/>
                <w:i/>
                <w:sz w:val="24"/>
                <w:szCs w:val="24"/>
              </w:rPr>
              <w:t>i</w:t>
            </w:r>
            <w:r w:rsidRPr="000029D6">
              <w:rPr>
                <w:rFonts w:ascii="Times New Roman" w:hAnsi="Times New Roman"/>
                <w:sz w:val="24"/>
                <w:szCs w:val="24"/>
              </w:rPr>
              <w:t xml:space="preserve">-th index area (0 </w:t>
            </w:r>
            <w:r w:rsidRPr="000029D6">
              <w:rPr>
                <w:rFonts w:ascii="Times New Roman" w:hAnsi="Times New Roman"/>
                <w:sz w:val="24"/>
                <w:szCs w:val="24"/>
              </w:rPr>
              <w:sym w:font="Symbol" w:char="F0A3"/>
            </w:r>
            <w:r w:rsidRPr="000029D6">
              <w:rPr>
                <w:rFonts w:ascii="Times New Roman" w:hAnsi="Times New Roman"/>
                <w:sz w:val="24"/>
                <w:szCs w:val="24"/>
              </w:rPr>
              <w:t xml:space="preserve"> </w:t>
            </w:r>
            <w:r w:rsidRPr="000029D6">
              <w:rPr>
                <w:rFonts w:ascii="Times New Roman" w:hAnsi="Times New Roman"/>
                <w:i/>
                <w:sz w:val="24"/>
                <w:szCs w:val="24"/>
              </w:rPr>
              <w:t>r</w:t>
            </w:r>
            <w:r w:rsidRPr="000029D6">
              <w:rPr>
                <w:rFonts w:ascii="Times New Roman" w:hAnsi="Times New Roman"/>
                <w:i/>
                <w:sz w:val="24"/>
                <w:szCs w:val="24"/>
                <w:vertAlign w:val="subscript"/>
              </w:rPr>
              <w:t>i</w:t>
            </w:r>
            <w:r w:rsidRPr="000029D6">
              <w:rPr>
                <w:rFonts w:ascii="Times New Roman" w:hAnsi="Times New Roman"/>
                <w:sz w:val="24"/>
                <w:szCs w:val="24"/>
              </w:rPr>
              <w:t xml:space="preserve"> </w:t>
            </w:r>
            <w:r w:rsidRPr="000029D6">
              <w:rPr>
                <w:rFonts w:ascii="Times New Roman" w:hAnsi="Times New Roman"/>
                <w:sz w:val="24"/>
                <w:szCs w:val="24"/>
              </w:rPr>
              <w:sym w:font="Symbol" w:char="F0A3"/>
            </w:r>
            <w:r w:rsidRPr="000029D6">
              <w:rPr>
                <w:rFonts w:ascii="Times New Roman" w:hAnsi="Times New Roman"/>
                <w:sz w:val="24"/>
                <w:szCs w:val="24"/>
              </w:rPr>
              <w:t xml:space="preserve"> 1), and</w:t>
            </w:r>
          </w:p>
        </w:tc>
      </w:tr>
      <w:tr w:rsidR="00E6335D" w:rsidRPr="000029D6" w:rsidTr="00D55239">
        <w:trPr>
          <w:jc w:val="center"/>
        </w:trPr>
        <w:tc>
          <w:tcPr>
            <w:tcW w:w="394" w:type="dxa"/>
            <w:vAlign w:val="center"/>
          </w:tcPr>
          <w:p w:rsidR="00E6335D" w:rsidRPr="000029D6" w:rsidRDefault="00E6335D" w:rsidP="00033601">
            <w:pPr>
              <w:jc w:val="center"/>
              <w:rPr>
                <w:rFonts w:ascii="Times New Roman" w:hAnsi="Times New Roman"/>
                <w:sz w:val="24"/>
                <w:szCs w:val="24"/>
              </w:rPr>
            </w:pPr>
            <w:r w:rsidRPr="000029D6">
              <w:rPr>
                <w:rFonts w:ascii="Times New Roman" w:hAnsi="Times New Roman"/>
                <w:i/>
                <w:sz w:val="24"/>
                <w:szCs w:val="24"/>
              </w:rPr>
              <w:t>n</w:t>
            </w:r>
            <w:r w:rsidRPr="000029D6">
              <w:rPr>
                <w:rFonts w:ascii="Times New Roman" w:hAnsi="Times New Roman"/>
                <w:i/>
                <w:sz w:val="24"/>
                <w:szCs w:val="24"/>
                <w:vertAlign w:val="subscript"/>
              </w:rPr>
              <w:t>i</w:t>
            </w:r>
          </w:p>
        </w:tc>
        <w:tc>
          <w:tcPr>
            <w:tcW w:w="352" w:type="dxa"/>
            <w:vAlign w:val="center"/>
          </w:tcPr>
          <w:p w:rsidR="00E6335D" w:rsidRPr="000029D6" w:rsidRDefault="00E6335D" w:rsidP="00033601">
            <w:pPr>
              <w:jc w:val="center"/>
              <w:rPr>
                <w:rFonts w:ascii="Times New Roman" w:hAnsi="Times New Roman"/>
                <w:sz w:val="24"/>
                <w:szCs w:val="24"/>
              </w:rPr>
            </w:pPr>
            <w:r w:rsidRPr="000029D6">
              <w:rPr>
                <w:rFonts w:ascii="Times New Roman" w:hAnsi="Times New Roman"/>
                <w:sz w:val="24"/>
                <w:szCs w:val="24"/>
              </w:rPr>
              <w:t>=</w:t>
            </w:r>
          </w:p>
        </w:tc>
        <w:tc>
          <w:tcPr>
            <w:tcW w:w="5645" w:type="dxa"/>
            <w:vAlign w:val="center"/>
          </w:tcPr>
          <w:p w:rsidR="00E6335D" w:rsidRPr="000029D6" w:rsidRDefault="00E6335D" w:rsidP="00033601">
            <w:pPr>
              <w:rPr>
                <w:rFonts w:ascii="Times New Roman" w:hAnsi="Times New Roman"/>
                <w:sz w:val="24"/>
                <w:szCs w:val="24"/>
              </w:rPr>
            </w:pPr>
            <w:r w:rsidRPr="000029D6">
              <w:rPr>
                <w:rFonts w:ascii="Times New Roman" w:hAnsi="Times New Roman"/>
                <w:sz w:val="24"/>
                <w:szCs w:val="24"/>
              </w:rPr>
              <w:t xml:space="preserve">number of addresses allocated to the </w:t>
            </w:r>
            <w:r w:rsidRPr="000029D6">
              <w:rPr>
                <w:rFonts w:ascii="Times New Roman" w:hAnsi="Times New Roman"/>
                <w:i/>
                <w:sz w:val="24"/>
                <w:szCs w:val="24"/>
              </w:rPr>
              <w:t>i</w:t>
            </w:r>
            <w:r w:rsidRPr="000029D6">
              <w:rPr>
                <w:rFonts w:ascii="Times New Roman" w:hAnsi="Times New Roman"/>
                <w:sz w:val="24"/>
                <w:szCs w:val="24"/>
              </w:rPr>
              <w:t>-th index area.</w:t>
            </w:r>
          </w:p>
        </w:tc>
      </w:tr>
    </w:tbl>
    <w:p w:rsidR="00E6335D" w:rsidRPr="000029D6" w:rsidRDefault="00E6335D" w:rsidP="00E6335D">
      <w:pPr>
        <w:rPr>
          <w:rFonts w:ascii="Times New Roman" w:hAnsi="Times New Roman"/>
          <w:sz w:val="24"/>
          <w:szCs w:val="24"/>
        </w:rPr>
      </w:pPr>
    </w:p>
    <w:p w:rsidR="00E6335D" w:rsidRPr="000029D6" w:rsidRDefault="00E6335D" w:rsidP="00E6335D">
      <w:pPr>
        <w:rPr>
          <w:rFonts w:ascii="Times New Roman" w:hAnsi="Times New Roman"/>
          <w:sz w:val="24"/>
          <w:szCs w:val="24"/>
        </w:rPr>
      </w:pPr>
      <w:r w:rsidRPr="000029D6">
        <w:rPr>
          <w:rFonts w:ascii="Times New Roman" w:hAnsi="Times New Roman"/>
          <w:sz w:val="24"/>
          <w:szCs w:val="24"/>
        </w:rPr>
        <w:t xml:space="preserve">We assume the </w:t>
      </w:r>
      <w:r w:rsidRPr="000029D6">
        <w:rPr>
          <w:rFonts w:ascii="Times New Roman" w:hAnsi="Times New Roman"/>
          <w:i/>
          <w:sz w:val="24"/>
          <w:szCs w:val="24"/>
        </w:rPr>
        <w:t>p</w:t>
      </w:r>
      <w:r w:rsidRPr="000029D6">
        <w:rPr>
          <w:rFonts w:ascii="Times New Roman" w:hAnsi="Times New Roman"/>
          <w:i/>
          <w:sz w:val="24"/>
          <w:szCs w:val="24"/>
          <w:vertAlign w:val="subscript"/>
        </w:rPr>
        <w:t>i</w:t>
      </w:r>
      <w:r w:rsidRPr="000029D6">
        <w:rPr>
          <w:rFonts w:ascii="Times New Roman" w:hAnsi="Times New Roman"/>
          <w:sz w:val="24"/>
          <w:szCs w:val="24"/>
        </w:rPr>
        <w:t xml:space="preserve">’s and </w:t>
      </w:r>
      <w:r w:rsidRPr="000029D6">
        <w:rPr>
          <w:rFonts w:ascii="Times New Roman" w:hAnsi="Times New Roman"/>
          <w:i/>
          <w:sz w:val="24"/>
          <w:szCs w:val="24"/>
        </w:rPr>
        <w:t>r</w:t>
      </w:r>
      <w:r w:rsidRPr="000029D6">
        <w:rPr>
          <w:rFonts w:ascii="Times New Roman" w:hAnsi="Times New Roman"/>
          <w:i/>
          <w:sz w:val="24"/>
          <w:szCs w:val="24"/>
          <w:vertAlign w:val="subscript"/>
        </w:rPr>
        <w:t>i</w:t>
      </w:r>
      <w:r w:rsidRPr="000029D6">
        <w:rPr>
          <w:rFonts w:ascii="Times New Roman" w:hAnsi="Times New Roman"/>
          <w:sz w:val="24"/>
          <w:szCs w:val="24"/>
        </w:rPr>
        <w:t xml:space="preserve">’s are given, and we want to find the </w:t>
      </w:r>
      <w:r w:rsidRPr="000029D6">
        <w:rPr>
          <w:rFonts w:ascii="Times New Roman" w:hAnsi="Times New Roman"/>
          <w:i/>
          <w:sz w:val="24"/>
          <w:szCs w:val="24"/>
        </w:rPr>
        <w:t>n</w:t>
      </w:r>
      <w:r w:rsidRPr="000029D6">
        <w:rPr>
          <w:rFonts w:ascii="Times New Roman" w:hAnsi="Times New Roman"/>
          <w:i/>
          <w:sz w:val="24"/>
          <w:szCs w:val="24"/>
          <w:vertAlign w:val="subscript"/>
        </w:rPr>
        <w:t>i</w:t>
      </w:r>
      <w:r w:rsidRPr="000029D6">
        <w:rPr>
          <w:rFonts w:ascii="Times New Roman" w:hAnsi="Times New Roman"/>
          <w:sz w:val="24"/>
          <w:szCs w:val="24"/>
        </w:rPr>
        <w:t xml:space="preserve">’s that minimize CE’s nationwide variance.  The </w:t>
      </w:r>
      <w:r w:rsidRPr="000029D6">
        <w:rPr>
          <w:rFonts w:ascii="Times New Roman" w:hAnsi="Times New Roman"/>
          <w:i/>
          <w:sz w:val="24"/>
          <w:szCs w:val="24"/>
        </w:rPr>
        <w:t>n</w:t>
      </w:r>
      <w:r w:rsidRPr="000029D6">
        <w:rPr>
          <w:rFonts w:ascii="Times New Roman" w:hAnsi="Times New Roman"/>
          <w:i/>
          <w:sz w:val="24"/>
          <w:szCs w:val="24"/>
          <w:vertAlign w:val="subscript"/>
        </w:rPr>
        <w:t>i</w:t>
      </w:r>
      <w:r w:rsidRPr="000029D6">
        <w:rPr>
          <w:rFonts w:ascii="Times New Roman" w:hAnsi="Times New Roman"/>
          <w:sz w:val="24"/>
          <w:szCs w:val="24"/>
        </w:rPr>
        <w:t>’s add up to 12,000.  As mentioned above, the CESMD/DSMD research showed that allocating the nationwide sample to individual PSUs directly proportional to the populations they represent (their stratum populations) is a simple and effective way of producing expenditure estimates with small variances at the nationwide level.  This suggests solving the following constrained least squares problem:</w:t>
      </w:r>
    </w:p>
    <w:p w:rsidR="006C0BEC" w:rsidRDefault="006C0BEC" w:rsidP="00E6335D">
      <w:pPr>
        <w:rPr>
          <w:rFonts w:ascii="Times New Roman" w:hAnsi="Times New Roman"/>
          <w:sz w:val="24"/>
          <w:szCs w:val="24"/>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2415"/>
        <w:gridCol w:w="1620"/>
        <w:gridCol w:w="3512"/>
      </w:tblGrid>
      <w:tr w:rsidR="00E6335D" w:rsidRPr="006E4F1B" w:rsidTr="000F00CF">
        <w:trPr>
          <w:trHeight w:val="422"/>
          <w:jc w:val="center"/>
        </w:trPr>
        <w:tc>
          <w:tcPr>
            <w:tcW w:w="7547" w:type="dxa"/>
            <w:gridSpan w:val="3"/>
            <w:vAlign w:val="center"/>
          </w:tcPr>
          <w:p w:rsidR="00E6335D" w:rsidRPr="006E4F1B" w:rsidRDefault="00E6335D" w:rsidP="00033601">
            <w:pPr>
              <w:rPr>
                <w:rFonts w:ascii="Times New Roman" w:hAnsi="Times New Roman"/>
                <w:sz w:val="24"/>
                <w:szCs w:val="24"/>
              </w:rPr>
            </w:pPr>
            <w:r w:rsidRPr="006E4F1B">
              <w:rPr>
                <w:rFonts w:ascii="Times New Roman" w:hAnsi="Times New Roman"/>
                <w:sz w:val="24"/>
                <w:szCs w:val="24"/>
              </w:rPr>
              <w:t xml:space="preserve">Given values of </w:t>
            </w:r>
            <w:r w:rsidRPr="006E4F1B">
              <w:rPr>
                <w:rFonts w:ascii="Times New Roman" w:hAnsi="Times New Roman"/>
                <w:i/>
                <w:sz w:val="24"/>
                <w:szCs w:val="24"/>
              </w:rPr>
              <w:t>p</w:t>
            </w:r>
            <w:r w:rsidRPr="006E4F1B">
              <w:rPr>
                <w:rFonts w:ascii="Times New Roman" w:hAnsi="Times New Roman"/>
                <w:i/>
                <w:sz w:val="24"/>
                <w:szCs w:val="24"/>
                <w:vertAlign w:val="subscript"/>
              </w:rPr>
              <w:t>i</w:t>
            </w:r>
            <w:r w:rsidRPr="006E4F1B">
              <w:rPr>
                <w:rFonts w:ascii="Times New Roman" w:hAnsi="Times New Roman"/>
                <w:sz w:val="24"/>
                <w:szCs w:val="24"/>
              </w:rPr>
              <w:t xml:space="preserve"> and </w:t>
            </w:r>
            <w:r w:rsidRPr="006E4F1B">
              <w:rPr>
                <w:rFonts w:ascii="Times New Roman" w:hAnsi="Times New Roman"/>
                <w:i/>
                <w:sz w:val="24"/>
                <w:szCs w:val="24"/>
              </w:rPr>
              <w:t>r</w:t>
            </w:r>
            <w:r w:rsidRPr="006E4F1B">
              <w:rPr>
                <w:rFonts w:ascii="Times New Roman" w:hAnsi="Times New Roman"/>
                <w:i/>
                <w:sz w:val="24"/>
                <w:szCs w:val="24"/>
                <w:vertAlign w:val="subscript"/>
              </w:rPr>
              <w:t>i</w:t>
            </w:r>
            <w:r w:rsidRPr="006E4F1B">
              <w:rPr>
                <w:rFonts w:ascii="Times New Roman" w:hAnsi="Times New Roman"/>
                <w:sz w:val="24"/>
                <w:szCs w:val="24"/>
              </w:rPr>
              <w:t xml:space="preserve"> for every index area </w:t>
            </w:r>
            <w:r w:rsidRPr="006E4F1B">
              <w:rPr>
                <w:rFonts w:ascii="Times New Roman" w:hAnsi="Times New Roman"/>
                <w:i/>
                <w:sz w:val="24"/>
                <w:szCs w:val="24"/>
              </w:rPr>
              <w:t>i</w:t>
            </w:r>
            <w:r w:rsidRPr="006E4F1B">
              <w:rPr>
                <w:rFonts w:ascii="Times New Roman" w:hAnsi="Times New Roman"/>
                <w:sz w:val="24"/>
                <w:szCs w:val="24"/>
              </w:rPr>
              <w:t xml:space="preserve">, find the values of </w:t>
            </w:r>
            <w:r w:rsidRPr="006E4F1B">
              <w:rPr>
                <w:rFonts w:ascii="Times New Roman" w:hAnsi="Times New Roman"/>
                <w:i/>
                <w:sz w:val="24"/>
                <w:szCs w:val="24"/>
              </w:rPr>
              <w:t>n</w:t>
            </w:r>
            <w:r w:rsidRPr="006E4F1B">
              <w:rPr>
                <w:rFonts w:ascii="Times New Roman" w:hAnsi="Times New Roman"/>
                <w:i/>
                <w:sz w:val="24"/>
                <w:szCs w:val="24"/>
                <w:vertAlign w:val="subscript"/>
              </w:rPr>
              <w:t>i</w:t>
            </w:r>
            <w:r w:rsidRPr="006E4F1B">
              <w:rPr>
                <w:rFonts w:ascii="Times New Roman" w:hAnsi="Times New Roman"/>
                <w:sz w:val="24"/>
                <w:szCs w:val="24"/>
              </w:rPr>
              <w:t xml:space="preserve"> that…</w:t>
            </w:r>
          </w:p>
        </w:tc>
      </w:tr>
      <w:tr w:rsidR="00E6335D" w:rsidRPr="006E4F1B" w:rsidTr="000F00CF">
        <w:trPr>
          <w:trHeight w:val="755"/>
          <w:jc w:val="center"/>
        </w:trPr>
        <w:tc>
          <w:tcPr>
            <w:tcW w:w="2415" w:type="dxa"/>
            <w:vAlign w:val="center"/>
          </w:tcPr>
          <w:p w:rsidR="00E6335D" w:rsidRPr="006E4F1B" w:rsidRDefault="00E6335D" w:rsidP="000F00CF">
            <w:pPr>
              <w:jc w:val="right"/>
              <w:rPr>
                <w:rFonts w:ascii="Times New Roman" w:hAnsi="Times New Roman"/>
                <w:sz w:val="24"/>
                <w:szCs w:val="24"/>
              </w:rPr>
            </w:pPr>
            <w:r w:rsidRPr="006E4F1B">
              <w:rPr>
                <w:rFonts w:ascii="Times New Roman" w:hAnsi="Times New Roman"/>
                <w:sz w:val="24"/>
                <w:szCs w:val="24"/>
              </w:rPr>
              <w:t>Minimize</w:t>
            </w:r>
          </w:p>
        </w:tc>
        <w:tc>
          <w:tcPr>
            <w:tcW w:w="1620" w:type="dxa"/>
            <w:vAlign w:val="bottom"/>
          </w:tcPr>
          <w:p w:rsidR="00E6335D" w:rsidRPr="006E4F1B" w:rsidRDefault="00E6335D" w:rsidP="006E4F1B">
            <w:pPr>
              <w:jc w:val="center"/>
              <w:rPr>
                <w:rFonts w:ascii="Times New Roman" w:hAnsi="Times New Roman"/>
                <w:sz w:val="24"/>
                <w:szCs w:val="24"/>
              </w:rPr>
            </w:pPr>
            <w:r w:rsidRPr="006E4F1B">
              <w:rPr>
                <w:rFonts w:ascii="Times New Roman" w:eastAsiaTheme="minorHAnsi" w:hAnsi="Times New Roman"/>
                <w:position w:val="-28"/>
                <w:sz w:val="24"/>
                <w:szCs w:val="24"/>
              </w:rPr>
              <w:object w:dxaOrig="1460" w:dyaOrig="700">
                <v:shape id="_x0000_i1026" type="#_x0000_t75" style="width:72.5pt;height:35.25pt" o:ole="">
                  <v:imagedata r:id="rId11" o:title=""/>
                </v:shape>
                <o:OLEObject Type="Embed" ProgID="Equation.3" ShapeID="_x0000_i1026" DrawAspect="Content" ObjectID="_1465813882" r:id="rId12"/>
              </w:object>
            </w:r>
          </w:p>
        </w:tc>
        <w:tc>
          <w:tcPr>
            <w:tcW w:w="3512" w:type="dxa"/>
            <w:vAlign w:val="center"/>
          </w:tcPr>
          <w:p w:rsidR="00E6335D" w:rsidRPr="006E4F1B" w:rsidRDefault="00E6335D" w:rsidP="006E4F1B">
            <w:pPr>
              <w:jc w:val="center"/>
              <w:rPr>
                <w:rFonts w:ascii="Times New Roman" w:hAnsi="Times New Roman"/>
                <w:sz w:val="24"/>
                <w:szCs w:val="24"/>
              </w:rPr>
            </w:pPr>
          </w:p>
        </w:tc>
      </w:tr>
      <w:tr w:rsidR="00E6335D" w:rsidRPr="006E4F1B" w:rsidTr="000F00CF">
        <w:trPr>
          <w:trHeight w:val="80"/>
          <w:jc w:val="center"/>
        </w:trPr>
        <w:tc>
          <w:tcPr>
            <w:tcW w:w="2415" w:type="dxa"/>
            <w:vAlign w:val="center"/>
          </w:tcPr>
          <w:p w:rsidR="00E6335D" w:rsidRPr="006E4F1B" w:rsidRDefault="00E6335D" w:rsidP="000F00CF">
            <w:pPr>
              <w:jc w:val="right"/>
              <w:rPr>
                <w:rFonts w:ascii="Times New Roman" w:hAnsi="Times New Roman"/>
                <w:sz w:val="24"/>
                <w:szCs w:val="24"/>
              </w:rPr>
            </w:pPr>
            <w:r w:rsidRPr="006E4F1B">
              <w:rPr>
                <w:rFonts w:ascii="Times New Roman" w:hAnsi="Times New Roman"/>
                <w:sz w:val="24"/>
                <w:szCs w:val="24"/>
              </w:rPr>
              <w:t>Subject to:</w:t>
            </w:r>
          </w:p>
        </w:tc>
        <w:tc>
          <w:tcPr>
            <w:tcW w:w="1620" w:type="dxa"/>
            <w:vAlign w:val="center"/>
          </w:tcPr>
          <w:p w:rsidR="00E6335D" w:rsidRPr="006E4F1B" w:rsidRDefault="00E6335D" w:rsidP="009D739B">
            <w:pPr>
              <w:rPr>
                <w:rFonts w:ascii="Times New Roman" w:hAnsi="Times New Roman"/>
                <w:sz w:val="24"/>
                <w:szCs w:val="24"/>
              </w:rPr>
            </w:pPr>
            <w:r w:rsidRPr="006E4F1B">
              <w:rPr>
                <w:rFonts w:ascii="Times New Roman" w:eastAsiaTheme="minorHAnsi" w:hAnsi="Times New Roman"/>
                <w:position w:val="-24"/>
                <w:sz w:val="24"/>
                <w:szCs w:val="24"/>
              </w:rPr>
              <w:object w:dxaOrig="1380" w:dyaOrig="460">
                <v:shape id="_x0000_i1027" type="#_x0000_t75" style="width:67.45pt;height:22.65pt" o:ole="">
                  <v:imagedata r:id="rId13" o:title=""/>
                </v:shape>
                <o:OLEObject Type="Embed" ProgID="Equation.3" ShapeID="_x0000_i1027" DrawAspect="Content" ObjectID="_1465813883" r:id="rId14"/>
              </w:object>
            </w:r>
          </w:p>
        </w:tc>
        <w:tc>
          <w:tcPr>
            <w:tcW w:w="3512" w:type="dxa"/>
            <w:vAlign w:val="center"/>
          </w:tcPr>
          <w:p w:rsidR="00E6335D" w:rsidRPr="006E4F1B" w:rsidRDefault="00E6335D" w:rsidP="00033601">
            <w:pPr>
              <w:rPr>
                <w:rFonts w:ascii="Times New Roman" w:hAnsi="Times New Roman"/>
                <w:sz w:val="24"/>
                <w:szCs w:val="24"/>
              </w:rPr>
            </w:pPr>
          </w:p>
        </w:tc>
      </w:tr>
      <w:tr w:rsidR="00E6335D" w:rsidRPr="006E4F1B" w:rsidTr="000F00CF">
        <w:trPr>
          <w:trHeight w:val="60"/>
          <w:jc w:val="center"/>
        </w:trPr>
        <w:tc>
          <w:tcPr>
            <w:tcW w:w="2415" w:type="dxa"/>
            <w:vAlign w:val="center"/>
          </w:tcPr>
          <w:p w:rsidR="00E6335D" w:rsidRPr="006E4F1B" w:rsidRDefault="00E6335D" w:rsidP="00033601">
            <w:pPr>
              <w:jc w:val="right"/>
              <w:rPr>
                <w:rFonts w:ascii="Times New Roman" w:hAnsi="Times New Roman"/>
                <w:sz w:val="24"/>
                <w:szCs w:val="24"/>
              </w:rPr>
            </w:pPr>
          </w:p>
        </w:tc>
        <w:tc>
          <w:tcPr>
            <w:tcW w:w="1620" w:type="dxa"/>
            <w:vAlign w:val="center"/>
          </w:tcPr>
          <w:p w:rsidR="00E6335D" w:rsidRPr="006E4F1B" w:rsidRDefault="00E6335D" w:rsidP="009D739B">
            <w:pPr>
              <w:rPr>
                <w:rFonts w:ascii="Times New Roman" w:hAnsi="Times New Roman"/>
                <w:sz w:val="24"/>
                <w:szCs w:val="24"/>
              </w:rPr>
            </w:pPr>
            <w:r w:rsidRPr="006E4F1B">
              <w:rPr>
                <w:rFonts w:ascii="Times New Roman" w:hAnsi="Times New Roman"/>
                <w:i/>
                <w:sz w:val="24"/>
                <w:szCs w:val="24"/>
              </w:rPr>
              <w:t>n</w:t>
            </w:r>
            <w:r w:rsidRPr="006E4F1B">
              <w:rPr>
                <w:rFonts w:ascii="Times New Roman" w:hAnsi="Times New Roman"/>
                <w:i/>
                <w:sz w:val="24"/>
                <w:szCs w:val="24"/>
                <w:vertAlign w:val="subscript"/>
              </w:rPr>
              <w:t>i</w:t>
            </w:r>
            <w:r w:rsidRPr="006E4F1B">
              <w:rPr>
                <w:rFonts w:ascii="Times New Roman" w:hAnsi="Times New Roman"/>
                <w:i/>
                <w:sz w:val="24"/>
                <w:szCs w:val="24"/>
              </w:rPr>
              <w:t>r</w:t>
            </w:r>
            <w:r w:rsidRPr="006E4F1B">
              <w:rPr>
                <w:rFonts w:ascii="Times New Roman" w:hAnsi="Times New Roman"/>
                <w:i/>
                <w:sz w:val="24"/>
                <w:szCs w:val="24"/>
                <w:vertAlign w:val="subscript"/>
              </w:rPr>
              <w:t>i</w:t>
            </w:r>
            <w:r w:rsidRPr="006E4F1B">
              <w:rPr>
                <w:rFonts w:ascii="Times New Roman" w:hAnsi="Times New Roman"/>
                <w:sz w:val="24"/>
                <w:szCs w:val="24"/>
              </w:rPr>
              <w:t xml:space="preserve">  </w:t>
            </w:r>
            <w:r w:rsidRPr="006E4F1B">
              <w:rPr>
                <w:rFonts w:ascii="Times New Roman" w:hAnsi="Times New Roman"/>
                <w:sz w:val="24"/>
                <w:szCs w:val="24"/>
              </w:rPr>
              <w:sym w:font="Symbol" w:char="F0B3"/>
            </w:r>
            <w:r w:rsidR="00787261">
              <w:rPr>
                <w:rFonts w:ascii="Times New Roman" w:hAnsi="Times New Roman"/>
                <w:sz w:val="24"/>
                <w:szCs w:val="24"/>
              </w:rPr>
              <w:t xml:space="preserve">  8</w:t>
            </w:r>
            <w:r w:rsidRPr="006E4F1B">
              <w:rPr>
                <w:rFonts w:ascii="Times New Roman" w:hAnsi="Times New Roman"/>
                <w:sz w:val="24"/>
                <w:szCs w:val="24"/>
              </w:rPr>
              <w:t>0</w:t>
            </w:r>
          </w:p>
        </w:tc>
        <w:tc>
          <w:tcPr>
            <w:tcW w:w="3512" w:type="dxa"/>
            <w:vAlign w:val="center"/>
          </w:tcPr>
          <w:p w:rsidR="00E6335D" w:rsidRPr="000F00CF" w:rsidRDefault="00E6335D" w:rsidP="00787261">
            <w:pPr>
              <w:rPr>
                <w:rFonts w:ascii="Times New Roman" w:hAnsi="Times New Roman"/>
                <w:sz w:val="24"/>
                <w:szCs w:val="24"/>
              </w:rPr>
            </w:pPr>
            <w:r w:rsidRPr="000F00CF">
              <w:rPr>
                <w:rFonts w:ascii="Times New Roman" w:hAnsi="Times New Roman"/>
                <w:sz w:val="24"/>
                <w:szCs w:val="24"/>
              </w:rPr>
              <w:t xml:space="preserve">for </w:t>
            </w:r>
            <w:r w:rsidR="00166A6A">
              <w:rPr>
                <w:rFonts w:ascii="Times New Roman" w:hAnsi="Times New Roman"/>
                <w:sz w:val="24"/>
                <w:szCs w:val="24"/>
              </w:rPr>
              <w:t xml:space="preserve">all </w:t>
            </w:r>
            <w:r w:rsidR="00C72B19" w:rsidRPr="000F00CF">
              <w:rPr>
                <w:rFonts w:ascii="Times New Roman" w:hAnsi="Times New Roman"/>
                <w:i/>
                <w:sz w:val="24"/>
                <w:szCs w:val="24"/>
              </w:rPr>
              <w:t>i</w:t>
            </w:r>
            <w:r w:rsidR="000F00CF" w:rsidRPr="000F00CF">
              <w:rPr>
                <w:rFonts w:ascii="Times New Roman" w:hAnsi="Times New Roman"/>
                <w:i/>
                <w:sz w:val="24"/>
                <w:szCs w:val="24"/>
              </w:rPr>
              <w:t xml:space="preserve"> </w:t>
            </w:r>
            <w:r w:rsidRPr="000F00CF">
              <w:rPr>
                <w:rFonts w:ascii="Times New Roman" w:hAnsi="Times New Roman"/>
                <w:sz w:val="24"/>
                <w:szCs w:val="24"/>
              </w:rPr>
              <w:sym w:font="Symbol" w:char="F0CE"/>
            </w:r>
            <w:r w:rsidR="000F00CF" w:rsidRPr="000F00CF">
              <w:rPr>
                <w:rFonts w:ascii="Times New Roman" w:hAnsi="Times New Roman"/>
                <w:sz w:val="24"/>
                <w:szCs w:val="24"/>
              </w:rPr>
              <w:t xml:space="preserve"> </w:t>
            </w:r>
            <w:r w:rsidR="00787261">
              <w:rPr>
                <w:rFonts w:ascii="Times New Roman" w:hAnsi="Times New Roman"/>
                <w:i/>
                <w:sz w:val="24"/>
                <w:szCs w:val="24"/>
              </w:rPr>
              <w:t>urban</w:t>
            </w:r>
            <w:r w:rsidR="00C72B19" w:rsidRPr="000F00CF">
              <w:rPr>
                <w:rFonts w:ascii="Times New Roman" w:hAnsi="Times New Roman"/>
                <w:i/>
                <w:sz w:val="24"/>
                <w:szCs w:val="24"/>
              </w:rPr>
              <w:t xml:space="preserve"> </w:t>
            </w:r>
            <w:r w:rsidR="002444A0" w:rsidRPr="00166A6A">
              <w:rPr>
                <w:rFonts w:ascii="Times New Roman" w:hAnsi="Times New Roman"/>
                <w:sz w:val="24"/>
                <w:szCs w:val="24"/>
              </w:rPr>
              <w:t>index areas</w:t>
            </w:r>
          </w:p>
        </w:tc>
      </w:tr>
      <w:tr w:rsidR="00C72B19" w:rsidRPr="006E4F1B" w:rsidTr="000F00CF">
        <w:trPr>
          <w:trHeight w:val="60"/>
          <w:jc w:val="center"/>
        </w:trPr>
        <w:tc>
          <w:tcPr>
            <w:tcW w:w="2415" w:type="dxa"/>
            <w:vAlign w:val="center"/>
          </w:tcPr>
          <w:p w:rsidR="00C72B19" w:rsidRPr="006E4F1B" w:rsidRDefault="00C72B19" w:rsidP="00033601">
            <w:pPr>
              <w:jc w:val="right"/>
              <w:rPr>
                <w:rFonts w:ascii="Times New Roman" w:hAnsi="Times New Roman"/>
                <w:sz w:val="24"/>
                <w:szCs w:val="24"/>
              </w:rPr>
            </w:pPr>
          </w:p>
        </w:tc>
        <w:tc>
          <w:tcPr>
            <w:tcW w:w="1620" w:type="dxa"/>
            <w:vAlign w:val="center"/>
          </w:tcPr>
          <w:p w:rsidR="00C72B19" w:rsidRPr="006E4F1B" w:rsidRDefault="000F0FC7" w:rsidP="009D739B">
            <w:pPr>
              <w:rPr>
                <w:rFonts w:ascii="Times New Roman" w:hAnsi="Times New Roman"/>
                <w:i/>
                <w:sz w:val="24"/>
                <w:szCs w:val="24"/>
              </w:rPr>
            </w:pPr>
            <w:r>
              <w:rPr>
                <w:rFonts w:ascii="Times New Roman" w:hAnsi="Times New Roman"/>
                <w:i/>
                <w:sz w:val="24"/>
                <w:szCs w:val="24"/>
              </w:rPr>
              <w:t>n</w:t>
            </w:r>
            <w:r>
              <w:rPr>
                <w:rFonts w:ascii="Times New Roman" w:hAnsi="Times New Roman"/>
                <w:i/>
                <w:sz w:val="24"/>
                <w:szCs w:val="24"/>
                <w:vertAlign w:val="subscript"/>
              </w:rPr>
              <w:t>i</w:t>
            </w:r>
            <w:r w:rsidR="00C72B19" w:rsidRPr="006E4F1B">
              <w:rPr>
                <w:rFonts w:ascii="Times New Roman" w:hAnsi="Times New Roman"/>
                <w:i/>
                <w:sz w:val="24"/>
                <w:szCs w:val="24"/>
              </w:rPr>
              <w:t>r</w:t>
            </w:r>
            <w:r>
              <w:rPr>
                <w:rFonts w:ascii="Times New Roman" w:hAnsi="Times New Roman"/>
                <w:i/>
                <w:sz w:val="24"/>
                <w:szCs w:val="24"/>
                <w:vertAlign w:val="subscript"/>
              </w:rPr>
              <w:t>i</w:t>
            </w:r>
            <w:r w:rsidR="00C72B19" w:rsidRPr="006E4F1B">
              <w:rPr>
                <w:rFonts w:ascii="Times New Roman" w:hAnsi="Times New Roman"/>
                <w:sz w:val="24"/>
                <w:szCs w:val="24"/>
              </w:rPr>
              <w:t xml:space="preserve">  </w:t>
            </w:r>
            <w:r w:rsidR="00C72B19" w:rsidRPr="006E4F1B">
              <w:rPr>
                <w:rFonts w:ascii="Times New Roman" w:hAnsi="Times New Roman"/>
                <w:sz w:val="24"/>
                <w:szCs w:val="24"/>
              </w:rPr>
              <w:sym w:font="Symbol" w:char="F0B3"/>
            </w:r>
            <w:r w:rsidR="00787261">
              <w:rPr>
                <w:rFonts w:ascii="Times New Roman" w:hAnsi="Times New Roman"/>
                <w:sz w:val="24"/>
                <w:szCs w:val="24"/>
              </w:rPr>
              <w:t xml:space="preserve">  4</w:t>
            </w:r>
            <w:r w:rsidR="00C72B19" w:rsidRPr="006E4F1B">
              <w:rPr>
                <w:rFonts w:ascii="Times New Roman" w:hAnsi="Times New Roman"/>
                <w:sz w:val="24"/>
                <w:szCs w:val="24"/>
              </w:rPr>
              <w:t>0</w:t>
            </w:r>
          </w:p>
        </w:tc>
        <w:tc>
          <w:tcPr>
            <w:tcW w:w="3512" w:type="dxa"/>
            <w:vAlign w:val="center"/>
          </w:tcPr>
          <w:p w:rsidR="00C72B19" w:rsidRPr="006E4F1B" w:rsidRDefault="00C72B19" w:rsidP="00787261">
            <w:pPr>
              <w:rPr>
                <w:rFonts w:ascii="Times New Roman" w:hAnsi="Times New Roman"/>
                <w:sz w:val="24"/>
                <w:szCs w:val="24"/>
              </w:rPr>
            </w:pPr>
            <w:r w:rsidRPr="006E4F1B">
              <w:rPr>
                <w:rFonts w:ascii="Times New Roman" w:hAnsi="Times New Roman"/>
                <w:sz w:val="24"/>
                <w:szCs w:val="24"/>
              </w:rPr>
              <w:t xml:space="preserve">for </w:t>
            </w:r>
            <w:r w:rsidR="00166A6A">
              <w:rPr>
                <w:rFonts w:ascii="Times New Roman" w:hAnsi="Times New Roman"/>
                <w:sz w:val="24"/>
                <w:szCs w:val="24"/>
              </w:rPr>
              <w:t xml:space="preserve">all </w:t>
            </w:r>
            <w:r w:rsidR="000F0FC7">
              <w:rPr>
                <w:rFonts w:ascii="Times New Roman" w:hAnsi="Times New Roman"/>
                <w:i/>
                <w:sz w:val="24"/>
                <w:szCs w:val="24"/>
              </w:rPr>
              <w:t>i</w:t>
            </w:r>
            <w:r w:rsidR="000F00CF">
              <w:rPr>
                <w:rFonts w:ascii="Times New Roman" w:hAnsi="Times New Roman"/>
                <w:i/>
                <w:sz w:val="24"/>
                <w:szCs w:val="24"/>
              </w:rPr>
              <w:t xml:space="preserve"> </w:t>
            </w:r>
            <w:r w:rsidRPr="006E4F1B">
              <w:rPr>
                <w:rFonts w:ascii="Times New Roman" w:hAnsi="Times New Roman"/>
                <w:sz w:val="24"/>
                <w:szCs w:val="24"/>
              </w:rPr>
              <w:sym w:font="Symbol" w:char="F0CE"/>
            </w:r>
            <w:r w:rsidR="000F00CF">
              <w:rPr>
                <w:rFonts w:ascii="Times New Roman" w:hAnsi="Times New Roman"/>
                <w:sz w:val="24"/>
                <w:szCs w:val="24"/>
              </w:rPr>
              <w:t xml:space="preserve"> </w:t>
            </w:r>
            <w:r w:rsidR="00787261">
              <w:rPr>
                <w:rFonts w:ascii="Times New Roman" w:hAnsi="Times New Roman"/>
                <w:i/>
                <w:sz w:val="24"/>
                <w:szCs w:val="24"/>
              </w:rPr>
              <w:t xml:space="preserve">rural </w:t>
            </w:r>
            <w:r w:rsidR="000F00CF" w:rsidRPr="00166A6A">
              <w:rPr>
                <w:rFonts w:ascii="Times New Roman" w:hAnsi="Times New Roman"/>
                <w:sz w:val="24"/>
                <w:szCs w:val="24"/>
              </w:rPr>
              <w:t>index areas</w:t>
            </w:r>
          </w:p>
        </w:tc>
      </w:tr>
    </w:tbl>
    <w:p w:rsidR="00E83141" w:rsidRPr="00747952" w:rsidRDefault="00E83141" w:rsidP="00E6335D">
      <w:pPr>
        <w:rPr>
          <w:rFonts w:ascii="Times New Roman" w:hAnsi="Times New Roman"/>
          <w:sz w:val="24"/>
          <w:szCs w:val="24"/>
        </w:rPr>
      </w:pPr>
    </w:p>
    <w:p w:rsidR="00E6335D" w:rsidRPr="000029D6" w:rsidRDefault="00E6335D" w:rsidP="00E6335D">
      <w:pPr>
        <w:rPr>
          <w:rFonts w:ascii="Times New Roman" w:hAnsi="Times New Roman"/>
          <w:sz w:val="24"/>
          <w:szCs w:val="24"/>
        </w:rPr>
      </w:pPr>
      <w:r w:rsidRPr="000029D6">
        <w:rPr>
          <w:rFonts w:ascii="Times New Roman" w:hAnsi="Times New Roman"/>
          <w:sz w:val="24"/>
          <w:szCs w:val="24"/>
        </w:rPr>
        <w:t xml:space="preserve">Here </w:t>
      </w:r>
      <w:r w:rsidRPr="000029D6">
        <w:rPr>
          <w:rFonts w:ascii="Times New Roman" w:hAnsi="Times New Roman"/>
          <w:position w:val="-24"/>
          <w:sz w:val="24"/>
          <w:szCs w:val="24"/>
        </w:rPr>
        <w:object w:dxaOrig="920" w:dyaOrig="460">
          <v:shape id="_x0000_i1028" type="#_x0000_t75" style="width:44.8pt;height:22.65pt" o:ole="">
            <v:imagedata r:id="rId15" o:title=""/>
          </v:shape>
          <o:OLEObject Type="Embed" ProgID="Equation.3" ShapeID="_x0000_i1028" DrawAspect="Content" ObjectID="_1465813884" r:id="rId16"/>
        </w:object>
      </w:r>
      <w:r w:rsidRPr="000029D6">
        <w:rPr>
          <w:rFonts w:ascii="Times New Roman" w:hAnsi="Times New Roman"/>
          <w:sz w:val="24"/>
          <w:szCs w:val="24"/>
        </w:rPr>
        <w:t xml:space="preserve"> is the total U.S. population; </w:t>
      </w:r>
      <w:r w:rsidRPr="000029D6">
        <w:rPr>
          <w:rFonts w:ascii="Times New Roman" w:hAnsi="Times New Roman"/>
          <w:i/>
          <w:sz w:val="24"/>
          <w:szCs w:val="24"/>
        </w:rPr>
        <w:t>n</w:t>
      </w:r>
      <w:r w:rsidRPr="000029D6">
        <w:rPr>
          <w:rFonts w:ascii="Times New Roman" w:hAnsi="Times New Roman"/>
          <w:i/>
          <w:sz w:val="24"/>
          <w:szCs w:val="24"/>
          <w:vertAlign w:val="subscript"/>
        </w:rPr>
        <w:t>i</w:t>
      </w:r>
      <w:r w:rsidRPr="000029D6">
        <w:rPr>
          <w:rFonts w:ascii="Times New Roman" w:hAnsi="Times New Roman"/>
          <w:i/>
          <w:sz w:val="24"/>
          <w:szCs w:val="24"/>
        </w:rPr>
        <w:t>r</w:t>
      </w:r>
      <w:r w:rsidRPr="000029D6">
        <w:rPr>
          <w:rFonts w:ascii="Times New Roman" w:hAnsi="Times New Roman"/>
          <w:i/>
          <w:sz w:val="24"/>
          <w:szCs w:val="24"/>
          <w:vertAlign w:val="subscript"/>
        </w:rPr>
        <w:t>i</w:t>
      </w:r>
      <w:r w:rsidRPr="000029D6">
        <w:rPr>
          <w:rFonts w:ascii="Times New Roman" w:hAnsi="Times New Roman"/>
          <w:sz w:val="24"/>
          <w:szCs w:val="24"/>
        </w:rPr>
        <w:t xml:space="preserve">  is the expected number of interviewed households in the </w:t>
      </w:r>
      <w:r w:rsidRPr="000029D6">
        <w:rPr>
          <w:rFonts w:ascii="Times New Roman" w:hAnsi="Times New Roman"/>
          <w:i/>
          <w:sz w:val="24"/>
          <w:szCs w:val="24"/>
        </w:rPr>
        <w:t>i</w:t>
      </w:r>
      <w:r w:rsidRPr="000029D6">
        <w:rPr>
          <w:rFonts w:ascii="Times New Roman" w:hAnsi="Times New Roman"/>
          <w:sz w:val="24"/>
          <w:szCs w:val="24"/>
        </w:rPr>
        <w:t xml:space="preserve">-th index area; and </w:t>
      </w:r>
      <w:r w:rsidRPr="000029D6">
        <w:rPr>
          <w:rFonts w:ascii="Times New Roman" w:hAnsi="Times New Roman"/>
          <w:position w:val="-24"/>
          <w:sz w:val="24"/>
          <w:szCs w:val="24"/>
        </w:rPr>
        <w:object w:dxaOrig="1140" w:dyaOrig="460">
          <v:shape id="_x0000_i1029" type="#_x0000_t75" style="width:56.9pt;height:22.65pt" o:ole="">
            <v:imagedata r:id="rId17" o:title=""/>
          </v:shape>
          <o:OLEObject Type="Embed" ProgID="Equation.3" ShapeID="_x0000_i1029" DrawAspect="Content" ObjectID="_1465813885" r:id="rId18"/>
        </w:object>
      </w:r>
      <w:r w:rsidRPr="000029D6">
        <w:rPr>
          <w:rFonts w:ascii="Times New Roman" w:hAnsi="Times New Roman"/>
          <w:sz w:val="24"/>
          <w:szCs w:val="24"/>
        </w:rPr>
        <w:t xml:space="preserve"> is the expected number of interviewed households nationwide.  The ratio </w:t>
      </w:r>
      <w:r w:rsidRPr="000029D6">
        <w:rPr>
          <w:rFonts w:ascii="Times New Roman" w:hAnsi="Times New Roman"/>
          <w:i/>
          <w:sz w:val="24"/>
          <w:szCs w:val="24"/>
        </w:rPr>
        <w:t>p</w:t>
      </w:r>
      <w:r w:rsidRPr="000029D6">
        <w:rPr>
          <w:rFonts w:ascii="Times New Roman" w:hAnsi="Times New Roman"/>
          <w:i/>
          <w:sz w:val="24"/>
          <w:szCs w:val="24"/>
          <w:vertAlign w:val="subscript"/>
        </w:rPr>
        <w:t>i</w:t>
      </w:r>
      <w:r w:rsidRPr="000029D6">
        <w:rPr>
          <w:rFonts w:ascii="Times New Roman" w:hAnsi="Times New Roman"/>
          <w:sz w:val="24"/>
          <w:szCs w:val="24"/>
        </w:rPr>
        <w:t>/</w:t>
      </w:r>
      <w:r w:rsidRPr="000029D6">
        <w:rPr>
          <w:rFonts w:ascii="Times New Roman" w:hAnsi="Times New Roman"/>
          <w:i/>
          <w:sz w:val="24"/>
          <w:szCs w:val="24"/>
        </w:rPr>
        <w:t>p</w:t>
      </w:r>
      <w:r w:rsidRPr="000029D6">
        <w:rPr>
          <w:rFonts w:ascii="Times New Roman" w:hAnsi="Times New Roman"/>
          <w:sz w:val="24"/>
          <w:szCs w:val="24"/>
        </w:rPr>
        <w:t xml:space="preserve"> is the </w:t>
      </w:r>
      <w:r w:rsidRPr="000029D6">
        <w:rPr>
          <w:rFonts w:ascii="Times New Roman" w:hAnsi="Times New Roman"/>
          <w:i/>
          <w:sz w:val="24"/>
          <w:szCs w:val="24"/>
        </w:rPr>
        <w:t>i</w:t>
      </w:r>
      <w:r w:rsidRPr="000029D6">
        <w:rPr>
          <w:rFonts w:ascii="Times New Roman" w:hAnsi="Times New Roman"/>
          <w:sz w:val="24"/>
          <w:szCs w:val="24"/>
        </w:rPr>
        <w:t xml:space="preserve">-th index area’s proportion of the total population, and the ratio </w:t>
      </w:r>
      <w:r w:rsidRPr="000029D6">
        <w:rPr>
          <w:rFonts w:ascii="Times New Roman" w:hAnsi="Times New Roman"/>
          <w:i/>
          <w:sz w:val="24"/>
          <w:szCs w:val="24"/>
        </w:rPr>
        <w:t>n</w:t>
      </w:r>
      <w:r w:rsidRPr="000029D6">
        <w:rPr>
          <w:rFonts w:ascii="Times New Roman" w:hAnsi="Times New Roman"/>
          <w:i/>
          <w:sz w:val="24"/>
          <w:szCs w:val="24"/>
          <w:vertAlign w:val="subscript"/>
        </w:rPr>
        <w:t>i</w:t>
      </w:r>
      <w:r w:rsidRPr="000029D6">
        <w:rPr>
          <w:rFonts w:ascii="Times New Roman" w:hAnsi="Times New Roman"/>
          <w:i/>
          <w:sz w:val="24"/>
          <w:szCs w:val="24"/>
        </w:rPr>
        <w:t>r</w:t>
      </w:r>
      <w:r w:rsidRPr="000029D6">
        <w:rPr>
          <w:rFonts w:ascii="Times New Roman" w:hAnsi="Times New Roman"/>
          <w:i/>
          <w:sz w:val="24"/>
          <w:szCs w:val="24"/>
          <w:vertAlign w:val="subscript"/>
        </w:rPr>
        <w:t>i</w:t>
      </w:r>
      <w:r w:rsidRPr="000029D6">
        <w:rPr>
          <w:rFonts w:ascii="Times New Roman" w:hAnsi="Times New Roman"/>
          <w:sz w:val="24"/>
          <w:szCs w:val="24"/>
        </w:rPr>
        <w:t>/</w:t>
      </w:r>
      <w:r w:rsidRPr="000029D6">
        <w:rPr>
          <w:rFonts w:ascii="Times New Roman" w:hAnsi="Times New Roman"/>
          <w:i/>
          <w:sz w:val="24"/>
          <w:szCs w:val="24"/>
        </w:rPr>
        <w:t>NR</w:t>
      </w:r>
      <w:r w:rsidRPr="000029D6">
        <w:rPr>
          <w:rFonts w:ascii="Times New Roman" w:hAnsi="Times New Roman"/>
          <w:sz w:val="24"/>
          <w:szCs w:val="24"/>
        </w:rPr>
        <w:t xml:space="preserve"> is the </w:t>
      </w:r>
      <w:r w:rsidRPr="000029D6">
        <w:rPr>
          <w:rFonts w:ascii="Times New Roman" w:hAnsi="Times New Roman"/>
          <w:i/>
          <w:sz w:val="24"/>
          <w:szCs w:val="24"/>
        </w:rPr>
        <w:t>i</w:t>
      </w:r>
      <w:r w:rsidRPr="000029D6">
        <w:rPr>
          <w:rFonts w:ascii="Times New Roman" w:hAnsi="Times New Roman"/>
          <w:sz w:val="24"/>
          <w:szCs w:val="24"/>
        </w:rPr>
        <w:t>-th index area’s proportion of the total number of interviewed households.  Minimizing the sum of squared differences produces an allocation as close to population proportionality as possible.</w:t>
      </w:r>
    </w:p>
    <w:p w:rsidR="00E6335D" w:rsidRPr="000029D6" w:rsidRDefault="00E6335D" w:rsidP="00E6335D">
      <w:pPr>
        <w:rPr>
          <w:rFonts w:ascii="Times New Roman" w:hAnsi="Times New Roman"/>
          <w:sz w:val="24"/>
          <w:szCs w:val="24"/>
        </w:rPr>
      </w:pPr>
    </w:p>
    <w:p w:rsidR="003F5ADC" w:rsidRDefault="00122551" w:rsidP="00E6335D">
      <w:pPr>
        <w:rPr>
          <w:rFonts w:ascii="Times New Roman" w:hAnsi="Times New Roman"/>
          <w:sz w:val="24"/>
          <w:szCs w:val="24"/>
        </w:rPr>
      </w:pPr>
      <w:r w:rsidRPr="00122551">
        <w:rPr>
          <w:rFonts w:ascii="Times New Roman" w:hAnsi="Times New Roman"/>
          <w:sz w:val="24"/>
          <w:szCs w:val="24"/>
        </w:rPr>
        <w:t xml:space="preserve">The minimum required sample size for rural index </w:t>
      </w:r>
      <w:r w:rsidR="00987C5C">
        <w:rPr>
          <w:rFonts w:ascii="Times New Roman" w:hAnsi="Times New Roman"/>
          <w:sz w:val="24"/>
          <w:szCs w:val="24"/>
        </w:rPr>
        <w:t xml:space="preserve">areas </w:t>
      </w:r>
      <w:r>
        <w:rPr>
          <w:rFonts w:ascii="Times New Roman" w:hAnsi="Times New Roman"/>
          <w:sz w:val="24"/>
          <w:szCs w:val="24"/>
        </w:rPr>
        <w:t xml:space="preserve">is smaller </w:t>
      </w:r>
      <w:r w:rsidR="00787261">
        <w:rPr>
          <w:rFonts w:ascii="Times New Roman" w:hAnsi="Times New Roman"/>
          <w:sz w:val="24"/>
          <w:szCs w:val="24"/>
        </w:rPr>
        <w:t xml:space="preserve">than the rest of the index areas </w:t>
      </w:r>
      <w:r w:rsidRPr="00122551">
        <w:rPr>
          <w:rFonts w:ascii="Times New Roman" w:hAnsi="Times New Roman"/>
          <w:sz w:val="24"/>
          <w:szCs w:val="24"/>
        </w:rPr>
        <w:t xml:space="preserve">in order to avoid over allocating </w:t>
      </w:r>
      <w:r w:rsidR="00987C5C">
        <w:rPr>
          <w:rFonts w:ascii="Times New Roman" w:hAnsi="Times New Roman"/>
          <w:sz w:val="24"/>
          <w:szCs w:val="24"/>
        </w:rPr>
        <w:t>to these</w:t>
      </w:r>
      <w:r>
        <w:rPr>
          <w:rFonts w:ascii="Times New Roman" w:hAnsi="Times New Roman"/>
          <w:sz w:val="24"/>
          <w:szCs w:val="24"/>
        </w:rPr>
        <w:t xml:space="preserve"> </w:t>
      </w:r>
      <w:r w:rsidR="00787261">
        <w:rPr>
          <w:rFonts w:ascii="Times New Roman" w:hAnsi="Times New Roman"/>
          <w:sz w:val="24"/>
          <w:szCs w:val="24"/>
        </w:rPr>
        <w:t>index areas</w:t>
      </w:r>
      <w:r w:rsidRPr="00122551">
        <w:rPr>
          <w:rFonts w:ascii="Times New Roman" w:hAnsi="Times New Roman"/>
          <w:sz w:val="24"/>
          <w:szCs w:val="24"/>
        </w:rPr>
        <w:t xml:space="preserve"> </w:t>
      </w:r>
      <w:r w:rsidR="00787261">
        <w:rPr>
          <w:rFonts w:ascii="Times New Roman" w:hAnsi="Times New Roman"/>
          <w:sz w:val="24"/>
          <w:szCs w:val="24"/>
        </w:rPr>
        <w:t>as well as</w:t>
      </w:r>
      <w:r w:rsidRPr="00122551">
        <w:rPr>
          <w:rFonts w:ascii="Times New Roman" w:hAnsi="Times New Roman"/>
          <w:sz w:val="24"/>
          <w:szCs w:val="24"/>
        </w:rPr>
        <w:t xml:space="preserve"> have their sample sizes more in-line with their populations.</w:t>
      </w:r>
    </w:p>
    <w:p w:rsidR="00122551" w:rsidRDefault="00122551" w:rsidP="00E6335D">
      <w:pPr>
        <w:rPr>
          <w:rFonts w:ascii="Times New Roman" w:hAnsi="Times New Roman"/>
          <w:sz w:val="24"/>
          <w:szCs w:val="24"/>
        </w:rPr>
      </w:pPr>
    </w:p>
    <w:p w:rsidR="00122551" w:rsidRPr="000029D6" w:rsidRDefault="00122551" w:rsidP="00E6335D">
      <w:pPr>
        <w:rPr>
          <w:rFonts w:ascii="Times New Roman" w:hAnsi="Times New Roman"/>
          <w:sz w:val="24"/>
          <w:szCs w:val="24"/>
        </w:rPr>
      </w:pPr>
    </w:p>
    <w:p w:rsidR="00E6335D" w:rsidRPr="000029D6" w:rsidRDefault="00E6335D" w:rsidP="00F542F1">
      <w:pPr>
        <w:rPr>
          <w:rFonts w:ascii="Times New Roman" w:hAnsi="Times New Roman"/>
          <w:b/>
          <w:sz w:val="24"/>
          <w:szCs w:val="24"/>
        </w:rPr>
      </w:pPr>
      <w:r w:rsidRPr="000029D6">
        <w:rPr>
          <w:rFonts w:ascii="Times New Roman" w:hAnsi="Times New Roman"/>
          <w:b/>
          <w:sz w:val="24"/>
          <w:szCs w:val="24"/>
        </w:rPr>
        <w:t>Computing the participation rates</w:t>
      </w:r>
    </w:p>
    <w:p w:rsidR="005B3E49" w:rsidRDefault="005B3E49" w:rsidP="00F542F1">
      <w:pPr>
        <w:rPr>
          <w:rFonts w:ascii="Times New Roman" w:hAnsi="Times New Roman"/>
          <w:sz w:val="24"/>
          <w:szCs w:val="24"/>
        </w:rPr>
      </w:pPr>
    </w:p>
    <w:p w:rsidR="00E6335D" w:rsidRPr="000029D6" w:rsidRDefault="00E6335D" w:rsidP="00F542F1">
      <w:pPr>
        <w:rPr>
          <w:rFonts w:ascii="Times New Roman" w:hAnsi="Times New Roman"/>
          <w:sz w:val="24"/>
          <w:szCs w:val="24"/>
        </w:rPr>
      </w:pPr>
      <w:r w:rsidRPr="000029D6">
        <w:rPr>
          <w:rFonts w:ascii="Times New Roman" w:hAnsi="Times New Roman"/>
          <w:sz w:val="24"/>
          <w:szCs w:val="24"/>
        </w:rPr>
        <w:t xml:space="preserve">Participation rates (0 </w:t>
      </w:r>
      <w:r w:rsidRPr="000029D6">
        <w:rPr>
          <w:rFonts w:ascii="Times New Roman" w:hAnsi="Times New Roman"/>
          <w:sz w:val="24"/>
          <w:szCs w:val="24"/>
        </w:rPr>
        <w:sym w:font="Symbol" w:char="F0A3"/>
      </w:r>
      <w:r w:rsidRPr="000029D6">
        <w:rPr>
          <w:rFonts w:ascii="Times New Roman" w:hAnsi="Times New Roman"/>
          <w:sz w:val="24"/>
          <w:szCs w:val="24"/>
        </w:rPr>
        <w:t xml:space="preserve"> </w:t>
      </w:r>
      <w:r w:rsidRPr="000029D6">
        <w:rPr>
          <w:rFonts w:ascii="Times New Roman" w:hAnsi="Times New Roman"/>
          <w:i/>
          <w:sz w:val="24"/>
          <w:szCs w:val="24"/>
        </w:rPr>
        <w:t>r</w:t>
      </w:r>
      <w:r w:rsidRPr="000029D6">
        <w:rPr>
          <w:rFonts w:ascii="Times New Roman" w:hAnsi="Times New Roman"/>
          <w:i/>
          <w:sz w:val="24"/>
          <w:szCs w:val="24"/>
          <w:vertAlign w:val="subscript"/>
        </w:rPr>
        <w:t>i</w:t>
      </w:r>
      <w:r w:rsidRPr="000029D6">
        <w:rPr>
          <w:rFonts w:ascii="Times New Roman" w:hAnsi="Times New Roman"/>
          <w:sz w:val="24"/>
          <w:szCs w:val="24"/>
        </w:rPr>
        <w:t xml:space="preserve"> </w:t>
      </w:r>
      <w:r w:rsidRPr="000029D6">
        <w:rPr>
          <w:rFonts w:ascii="Times New Roman" w:hAnsi="Times New Roman"/>
          <w:sz w:val="24"/>
          <w:szCs w:val="24"/>
        </w:rPr>
        <w:sym w:font="Symbol" w:char="F0A3"/>
      </w:r>
      <w:r w:rsidRPr="000029D6">
        <w:rPr>
          <w:rFonts w:ascii="Times New Roman" w:hAnsi="Times New Roman"/>
          <w:sz w:val="24"/>
          <w:szCs w:val="24"/>
        </w:rPr>
        <w:t xml:space="preserve"> 1) are required in the optimization problem in order to determine the expected number of interviewed households in the </w:t>
      </w:r>
      <w:r w:rsidRPr="000029D6">
        <w:rPr>
          <w:rFonts w:ascii="Times New Roman" w:hAnsi="Times New Roman"/>
          <w:i/>
          <w:sz w:val="24"/>
          <w:szCs w:val="24"/>
        </w:rPr>
        <w:t>i</w:t>
      </w:r>
      <w:r w:rsidRPr="000029D6">
        <w:rPr>
          <w:rFonts w:ascii="Times New Roman" w:hAnsi="Times New Roman"/>
          <w:sz w:val="24"/>
          <w:szCs w:val="24"/>
        </w:rPr>
        <w:t>-th index area (</w:t>
      </w:r>
      <w:r w:rsidRPr="000029D6">
        <w:rPr>
          <w:rFonts w:ascii="Times New Roman" w:hAnsi="Times New Roman"/>
          <w:i/>
          <w:sz w:val="24"/>
          <w:szCs w:val="24"/>
        </w:rPr>
        <w:t>n</w:t>
      </w:r>
      <w:r w:rsidRPr="000029D6">
        <w:rPr>
          <w:rFonts w:ascii="Times New Roman" w:hAnsi="Times New Roman"/>
          <w:i/>
          <w:sz w:val="24"/>
          <w:szCs w:val="24"/>
          <w:vertAlign w:val="subscript"/>
        </w:rPr>
        <w:t>i</w:t>
      </w:r>
      <w:r w:rsidRPr="000029D6">
        <w:rPr>
          <w:rFonts w:ascii="Times New Roman" w:hAnsi="Times New Roman"/>
          <w:i/>
          <w:sz w:val="24"/>
          <w:szCs w:val="24"/>
        </w:rPr>
        <w:t>r</w:t>
      </w:r>
      <w:r w:rsidRPr="000029D6">
        <w:rPr>
          <w:rFonts w:ascii="Times New Roman" w:hAnsi="Times New Roman"/>
          <w:i/>
          <w:sz w:val="24"/>
          <w:szCs w:val="24"/>
          <w:vertAlign w:val="subscript"/>
        </w:rPr>
        <w:t>i</w:t>
      </w:r>
      <w:r w:rsidRPr="000029D6">
        <w:rPr>
          <w:rFonts w:ascii="Times New Roman" w:hAnsi="Times New Roman"/>
          <w:sz w:val="24"/>
          <w:szCs w:val="24"/>
        </w:rPr>
        <w:t>).  The participation rate is the eligibility</w:t>
      </w:r>
      <w:r w:rsidR="007D3DAF">
        <w:rPr>
          <w:rFonts w:ascii="Times New Roman" w:hAnsi="Times New Roman"/>
          <w:sz w:val="24"/>
          <w:szCs w:val="24"/>
        </w:rPr>
        <w:t xml:space="preserve"> rate times the response rate.</w:t>
      </w:r>
      <w:r w:rsidR="000918DB">
        <w:rPr>
          <w:rFonts w:ascii="Times New Roman" w:hAnsi="Times New Roman"/>
          <w:sz w:val="24"/>
          <w:szCs w:val="24"/>
        </w:rPr>
        <w:t xml:space="preserve">  </w:t>
      </w:r>
      <w:r w:rsidR="007C45CC">
        <w:rPr>
          <w:rFonts w:ascii="Times New Roman" w:hAnsi="Times New Roman"/>
          <w:sz w:val="24"/>
          <w:szCs w:val="24"/>
        </w:rPr>
        <w:t xml:space="preserve">It </w:t>
      </w:r>
      <w:r w:rsidR="000918DB" w:rsidRPr="000918DB">
        <w:rPr>
          <w:rFonts w:ascii="Times New Roman" w:hAnsi="Times New Roman"/>
          <w:sz w:val="24"/>
          <w:szCs w:val="24"/>
        </w:rPr>
        <w:t>is the percent of sample addresses from which u</w:t>
      </w:r>
      <w:r w:rsidR="009D0E90">
        <w:rPr>
          <w:rFonts w:ascii="Times New Roman" w:hAnsi="Times New Roman"/>
          <w:sz w:val="24"/>
          <w:szCs w:val="24"/>
        </w:rPr>
        <w:t>sable interviews are collected.</w:t>
      </w:r>
    </w:p>
    <w:p w:rsidR="00E6335D" w:rsidRDefault="00E6335D" w:rsidP="00F542F1">
      <w:pPr>
        <w:rPr>
          <w:rFonts w:ascii="Times New Roman" w:hAnsi="Times New Roman"/>
          <w:sz w:val="24"/>
          <w:szCs w:val="24"/>
        </w:rPr>
      </w:pPr>
    </w:p>
    <w:p w:rsidR="00D313A7" w:rsidRPr="000029D6" w:rsidRDefault="00D313A7" w:rsidP="00F542F1">
      <w:pPr>
        <w:rPr>
          <w:rFonts w:ascii="Times New Roman" w:hAnsi="Times New Roman"/>
          <w:sz w:val="24"/>
          <w:szCs w:val="24"/>
        </w:rPr>
      </w:pPr>
    </w:p>
    <w:p w:rsidR="00E6335D" w:rsidRPr="000029D6" w:rsidRDefault="00E6335D" w:rsidP="00F542F1">
      <w:pPr>
        <w:rPr>
          <w:rFonts w:ascii="Times New Roman" w:hAnsi="Times New Roman"/>
          <w:b/>
          <w:sz w:val="24"/>
          <w:szCs w:val="24"/>
        </w:rPr>
      </w:pPr>
      <w:r w:rsidRPr="000029D6">
        <w:rPr>
          <w:rFonts w:ascii="Times New Roman" w:hAnsi="Times New Roman"/>
          <w:b/>
          <w:sz w:val="24"/>
          <w:szCs w:val="24"/>
        </w:rPr>
        <w:t>Computing the response rates</w:t>
      </w:r>
    </w:p>
    <w:p w:rsidR="005B3E49" w:rsidRDefault="005B3E49" w:rsidP="00F542F1">
      <w:pPr>
        <w:widowControl w:val="0"/>
        <w:rPr>
          <w:rFonts w:ascii="Times New Roman" w:hAnsi="Times New Roman"/>
          <w:bCs/>
          <w:sz w:val="24"/>
          <w:szCs w:val="24"/>
          <w:lang w:val="en"/>
        </w:rPr>
      </w:pPr>
    </w:p>
    <w:p w:rsidR="00E6335D" w:rsidRPr="000029D6" w:rsidRDefault="00E6335D" w:rsidP="00F542F1">
      <w:pPr>
        <w:widowControl w:val="0"/>
        <w:rPr>
          <w:rFonts w:ascii="Times New Roman" w:hAnsi="Times New Roman"/>
          <w:bCs/>
          <w:sz w:val="24"/>
          <w:szCs w:val="24"/>
          <w:lang w:val="en"/>
        </w:rPr>
      </w:pPr>
      <w:r w:rsidRPr="000029D6">
        <w:rPr>
          <w:rFonts w:ascii="Times New Roman" w:hAnsi="Times New Roman"/>
          <w:bCs/>
          <w:sz w:val="24"/>
          <w:szCs w:val="24"/>
          <w:lang w:val="en"/>
        </w:rPr>
        <w:t>The response rate is the number of interviews divided by the number of eligible cases,</w:t>
      </w:r>
    </w:p>
    <w:p w:rsidR="00D32586" w:rsidRPr="000029D6" w:rsidRDefault="00D32586" w:rsidP="00F542F1">
      <w:pPr>
        <w:widowControl w:val="0"/>
        <w:rPr>
          <w:rFonts w:ascii="Times New Roman" w:hAnsi="Times New Roman"/>
          <w:bCs/>
          <w:sz w:val="24"/>
          <w:szCs w:val="24"/>
          <w:lang w:val="en"/>
        </w:rPr>
      </w:pPr>
    </w:p>
    <w:p w:rsidR="00E6335D" w:rsidRPr="000029D6" w:rsidRDefault="00E6335D" w:rsidP="00F542F1">
      <w:pPr>
        <w:rPr>
          <w:rFonts w:ascii="Times New Roman" w:hAnsi="Times New Roman"/>
          <w:sz w:val="24"/>
          <w:szCs w:val="24"/>
        </w:rPr>
      </w:pPr>
      <m:oMathPara>
        <m:oMath>
          <m:r>
            <w:rPr>
              <w:rFonts w:ascii="Cambria Math" w:hAnsi="Cambria Math"/>
              <w:sz w:val="24"/>
              <w:szCs w:val="24"/>
            </w:rPr>
            <m:t>Response Rate=</m:t>
          </m:r>
          <m:f>
            <m:fPr>
              <m:ctrlPr>
                <w:rPr>
                  <w:rFonts w:ascii="Cambria Math" w:hAnsi="Cambria Math"/>
                  <w:i/>
                  <w:sz w:val="24"/>
                  <w:szCs w:val="24"/>
                </w:rPr>
              </m:ctrlPr>
            </m:fPr>
            <m:num>
              <m:r>
                <w:rPr>
                  <w:rFonts w:ascii="Cambria Math" w:hAnsi="Cambria Math"/>
                  <w:sz w:val="24"/>
                  <w:szCs w:val="24"/>
                </w:rPr>
                <m:t>Interviews</m:t>
              </m:r>
            </m:num>
            <m:den>
              <m:r>
                <w:rPr>
                  <w:rFonts w:ascii="Cambria Math" w:hAnsi="Cambria Math"/>
                  <w:sz w:val="24"/>
                  <w:szCs w:val="24"/>
                </w:rPr>
                <m:t>Eligible cases</m:t>
              </m:r>
            </m:den>
          </m:f>
        </m:oMath>
      </m:oMathPara>
    </w:p>
    <w:p w:rsidR="00D32586" w:rsidRPr="000029D6" w:rsidRDefault="00D32586" w:rsidP="00F542F1">
      <w:pPr>
        <w:widowControl w:val="0"/>
        <w:rPr>
          <w:rFonts w:ascii="Times New Roman" w:hAnsi="Times New Roman"/>
          <w:bCs/>
          <w:sz w:val="24"/>
          <w:szCs w:val="24"/>
          <w:lang w:val="en"/>
        </w:rPr>
      </w:pPr>
    </w:p>
    <w:p w:rsidR="00E6335D" w:rsidRPr="000029D6" w:rsidRDefault="00E6335D" w:rsidP="00F542F1">
      <w:pPr>
        <w:widowControl w:val="0"/>
        <w:rPr>
          <w:rFonts w:ascii="Times New Roman" w:hAnsi="Times New Roman"/>
          <w:bCs/>
          <w:sz w:val="24"/>
          <w:szCs w:val="24"/>
          <w:lang w:val="en"/>
        </w:rPr>
      </w:pPr>
      <w:r w:rsidRPr="000029D6">
        <w:rPr>
          <w:rFonts w:ascii="Times New Roman" w:hAnsi="Times New Roman"/>
          <w:bCs/>
          <w:sz w:val="24"/>
          <w:szCs w:val="24"/>
          <w:lang w:val="en"/>
        </w:rPr>
        <w:t>where Eligible cases = Interviews + Type A non-interviews.</w:t>
      </w:r>
    </w:p>
    <w:p w:rsidR="00D32586" w:rsidRPr="000029D6" w:rsidRDefault="00D32586" w:rsidP="00F542F1">
      <w:pPr>
        <w:rPr>
          <w:rFonts w:ascii="Times New Roman" w:hAnsi="Times New Roman"/>
          <w:bCs/>
          <w:sz w:val="24"/>
          <w:szCs w:val="24"/>
          <w:lang w:val="en"/>
        </w:rPr>
      </w:pPr>
    </w:p>
    <w:p w:rsidR="0043543E" w:rsidRDefault="00E6335D" w:rsidP="00F542F1">
      <w:pPr>
        <w:rPr>
          <w:rFonts w:ascii="Times New Roman" w:hAnsi="Times New Roman"/>
          <w:sz w:val="24"/>
          <w:szCs w:val="24"/>
        </w:rPr>
      </w:pPr>
      <w:r w:rsidRPr="000029D6">
        <w:rPr>
          <w:rFonts w:ascii="Times New Roman" w:hAnsi="Times New Roman"/>
          <w:bCs/>
          <w:sz w:val="24"/>
          <w:szCs w:val="24"/>
          <w:lang w:val="en"/>
        </w:rPr>
        <w:t xml:space="preserve">DSMD computed the response rates for each index area using interview outcomes of the past five years (2008 – 2012), and selecting unit frame cases located in the counties for the 2010 sample design.  The Interview survey response rates include interviews one to five.  </w:t>
      </w:r>
      <w:r w:rsidRPr="000029D6">
        <w:rPr>
          <w:rFonts w:ascii="Times New Roman" w:hAnsi="Times New Roman"/>
          <w:sz w:val="24"/>
          <w:szCs w:val="24"/>
        </w:rPr>
        <w:t xml:space="preserve">The Diary survey response rate is per household unit and not per interview since </w:t>
      </w:r>
      <w:r w:rsidRPr="000029D6">
        <w:rPr>
          <w:rFonts w:ascii="Times New Roman" w:hAnsi="Times New Roman"/>
          <w:i/>
          <w:sz w:val="24"/>
          <w:szCs w:val="24"/>
        </w:rPr>
        <w:t>addresses</w:t>
      </w:r>
      <w:r w:rsidRPr="000029D6">
        <w:rPr>
          <w:rFonts w:ascii="Times New Roman" w:hAnsi="Times New Roman"/>
          <w:sz w:val="24"/>
          <w:szCs w:val="24"/>
        </w:rPr>
        <w:t xml:space="preserve"> are allocated instead of </w:t>
      </w:r>
      <w:r w:rsidRPr="000029D6">
        <w:rPr>
          <w:rFonts w:ascii="Times New Roman" w:hAnsi="Times New Roman"/>
          <w:i/>
          <w:sz w:val="24"/>
          <w:szCs w:val="24"/>
        </w:rPr>
        <w:t>usable interviews</w:t>
      </w:r>
      <w:r w:rsidR="005034FB" w:rsidRPr="000029D6">
        <w:rPr>
          <w:rFonts w:ascii="Times New Roman" w:hAnsi="Times New Roman"/>
          <w:sz w:val="24"/>
          <w:szCs w:val="24"/>
        </w:rPr>
        <w:t xml:space="preserve">.  </w:t>
      </w:r>
      <w:r w:rsidR="0043543E" w:rsidRPr="0043543E">
        <w:rPr>
          <w:rFonts w:ascii="Times New Roman" w:hAnsi="Times New Roman"/>
          <w:sz w:val="24"/>
          <w:szCs w:val="24"/>
        </w:rPr>
        <w:t>Since response rates have been decreasing over time, the 5-year historical response rates are reduced by 5 percentage points in order to account for this downward trend.</w:t>
      </w:r>
    </w:p>
    <w:p w:rsidR="0043543E" w:rsidRDefault="0043543E" w:rsidP="00F542F1">
      <w:pPr>
        <w:rPr>
          <w:rFonts w:ascii="Times New Roman" w:hAnsi="Times New Roman"/>
          <w:sz w:val="24"/>
          <w:szCs w:val="24"/>
        </w:rPr>
      </w:pPr>
    </w:p>
    <w:p w:rsidR="0078323B" w:rsidRDefault="00176EC2" w:rsidP="00F542F1">
      <w:pPr>
        <w:rPr>
          <w:rFonts w:ascii="Times New Roman" w:hAnsi="Times New Roman"/>
          <w:sz w:val="24"/>
          <w:szCs w:val="24"/>
        </w:rPr>
      </w:pPr>
      <w:r w:rsidRPr="00176EC2">
        <w:rPr>
          <w:rFonts w:ascii="Times New Roman" w:hAnsi="Times New Roman"/>
          <w:sz w:val="24"/>
          <w:szCs w:val="24"/>
        </w:rPr>
        <w:t xml:space="preserve">Some counties in sample for the 2010 design do not have historical data, this is </w:t>
      </w:r>
      <w:r w:rsidR="0078750D">
        <w:rPr>
          <w:rFonts w:ascii="Times New Roman" w:hAnsi="Times New Roman"/>
          <w:sz w:val="24"/>
          <w:szCs w:val="24"/>
        </w:rPr>
        <w:t xml:space="preserve">because </w:t>
      </w:r>
      <w:r w:rsidRPr="00176EC2">
        <w:rPr>
          <w:rFonts w:ascii="Times New Roman" w:hAnsi="Times New Roman"/>
          <w:sz w:val="24"/>
          <w:szCs w:val="24"/>
        </w:rPr>
        <w:t>some of the counties selected are new for the 2010 sample design and are not in the current sample design.  For such instances, the response rate is computed using data from counties within the same index area, and are also in the current sample design.  For example, the 2010 sample design includes only Addison County,</w:t>
      </w:r>
      <w:r>
        <w:rPr>
          <w:rFonts w:ascii="Times New Roman" w:hAnsi="Times New Roman"/>
          <w:sz w:val="24"/>
          <w:szCs w:val="24"/>
        </w:rPr>
        <w:t xml:space="preserve"> Vermont for the index area R110</w:t>
      </w:r>
      <w:r w:rsidRPr="00176EC2">
        <w:rPr>
          <w:rFonts w:ascii="Times New Roman" w:hAnsi="Times New Roman"/>
          <w:sz w:val="24"/>
          <w:szCs w:val="24"/>
        </w:rPr>
        <w:t xml:space="preserve">.  This county is not in the current sample design and therefore has no historical data.  However, Somerset County, Maine is </w:t>
      </w:r>
      <w:r w:rsidRPr="00176EC2">
        <w:rPr>
          <w:rFonts w:ascii="Times New Roman" w:hAnsi="Times New Roman"/>
          <w:sz w:val="24"/>
          <w:szCs w:val="24"/>
        </w:rPr>
        <w:lastRenderedPageBreak/>
        <w:t>in the same index area and is in the current sample design.  Hence, the r</w:t>
      </w:r>
      <w:r w:rsidR="00C324FC">
        <w:rPr>
          <w:rFonts w:ascii="Times New Roman" w:hAnsi="Times New Roman"/>
          <w:sz w:val="24"/>
          <w:szCs w:val="24"/>
        </w:rPr>
        <w:t>esponse rate for index area R110</w:t>
      </w:r>
      <w:r w:rsidRPr="00176EC2">
        <w:rPr>
          <w:rFonts w:ascii="Times New Roman" w:hAnsi="Times New Roman"/>
          <w:sz w:val="24"/>
          <w:szCs w:val="24"/>
        </w:rPr>
        <w:t xml:space="preserve"> uses historical data from Somerset County, Maine.</w:t>
      </w:r>
    </w:p>
    <w:p w:rsidR="0043543E" w:rsidRDefault="0043543E" w:rsidP="00F542F1">
      <w:pPr>
        <w:rPr>
          <w:rFonts w:ascii="Times New Roman" w:hAnsi="Times New Roman"/>
          <w:sz w:val="24"/>
          <w:szCs w:val="24"/>
        </w:rPr>
      </w:pPr>
    </w:p>
    <w:p w:rsidR="00E6335D" w:rsidRPr="000029D6" w:rsidRDefault="00E6335D" w:rsidP="00F542F1">
      <w:pPr>
        <w:rPr>
          <w:rFonts w:ascii="Times New Roman" w:hAnsi="Times New Roman"/>
          <w:sz w:val="24"/>
          <w:szCs w:val="24"/>
        </w:rPr>
      </w:pPr>
      <w:r w:rsidRPr="000029D6">
        <w:rPr>
          <w:rFonts w:ascii="Times New Roman" w:hAnsi="Times New Roman"/>
          <w:bCs/>
          <w:sz w:val="24"/>
          <w:szCs w:val="24"/>
          <w:lang w:val="en"/>
        </w:rPr>
        <w:t>A</w:t>
      </w:r>
      <w:r w:rsidR="005034FB" w:rsidRPr="000029D6">
        <w:rPr>
          <w:rFonts w:ascii="Times New Roman" w:hAnsi="Times New Roman"/>
          <w:bCs/>
          <w:sz w:val="24"/>
          <w:szCs w:val="24"/>
          <w:lang w:val="en"/>
        </w:rPr>
        <w:t>ttachment</w:t>
      </w:r>
      <w:r w:rsidRPr="000029D6">
        <w:rPr>
          <w:rFonts w:ascii="Times New Roman" w:hAnsi="Times New Roman"/>
          <w:bCs/>
          <w:sz w:val="24"/>
          <w:szCs w:val="24"/>
          <w:lang w:val="en"/>
        </w:rPr>
        <w:t xml:space="preserve"> </w:t>
      </w:r>
      <w:r w:rsidR="00B164CD">
        <w:rPr>
          <w:rFonts w:ascii="Times New Roman" w:hAnsi="Times New Roman"/>
          <w:bCs/>
          <w:sz w:val="24"/>
          <w:szCs w:val="24"/>
          <w:lang w:val="en"/>
        </w:rPr>
        <w:t>C</w:t>
      </w:r>
      <w:r w:rsidRPr="000029D6">
        <w:rPr>
          <w:rFonts w:ascii="Times New Roman" w:hAnsi="Times New Roman"/>
          <w:bCs/>
          <w:sz w:val="24"/>
          <w:szCs w:val="24"/>
          <w:lang w:val="en"/>
        </w:rPr>
        <w:t xml:space="preserve"> shows the </w:t>
      </w:r>
      <w:r w:rsidR="00C52940">
        <w:rPr>
          <w:rFonts w:ascii="Times New Roman" w:hAnsi="Times New Roman"/>
          <w:bCs/>
          <w:sz w:val="24"/>
          <w:szCs w:val="24"/>
          <w:lang w:val="en"/>
        </w:rPr>
        <w:t>5-year historical</w:t>
      </w:r>
      <w:r w:rsidRPr="000029D6">
        <w:rPr>
          <w:rFonts w:ascii="Times New Roman" w:hAnsi="Times New Roman"/>
          <w:bCs/>
          <w:sz w:val="24"/>
          <w:szCs w:val="24"/>
          <w:lang w:val="en"/>
        </w:rPr>
        <w:t xml:space="preserve"> </w:t>
      </w:r>
      <w:r w:rsidR="007D3DAF">
        <w:rPr>
          <w:rFonts w:ascii="Times New Roman" w:hAnsi="Times New Roman"/>
          <w:bCs/>
          <w:sz w:val="24"/>
          <w:szCs w:val="24"/>
          <w:lang w:val="en"/>
        </w:rPr>
        <w:t>response rates per index area</w:t>
      </w:r>
      <w:r w:rsidR="00C52940">
        <w:rPr>
          <w:rFonts w:ascii="Times New Roman" w:hAnsi="Times New Roman"/>
          <w:bCs/>
          <w:sz w:val="24"/>
          <w:szCs w:val="24"/>
          <w:lang w:val="en"/>
        </w:rPr>
        <w:t>, without the reduction of 5 percentage points.</w:t>
      </w:r>
    </w:p>
    <w:p w:rsidR="00E6335D" w:rsidRDefault="00E6335D" w:rsidP="00F542F1">
      <w:pPr>
        <w:rPr>
          <w:rFonts w:ascii="Times New Roman" w:hAnsi="Times New Roman"/>
          <w:sz w:val="24"/>
          <w:szCs w:val="24"/>
        </w:rPr>
      </w:pPr>
    </w:p>
    <w:p w:rsidR="00D313A7" w:rsidRDefault="00D313A7" w:rsidP="00F542F1">
      <w:pPr>
        <w:rPr>
          <w:rFonts w:ascii="Times New Roman" w:hAnsi="Times New Roman"/>
          <w:sz w:val="24"/>
          <w:szCs w:val="24"/>
        </w:rPr>
      </w:pPr>
    </w:p>
    <w:p w:rsidR="00E6335D" w:rsidRPr="000029D6" w:rsidRDefault="00E6335D" w:rsidP="00F542F1">
      <w:pPr>
        <w:rPr>
          <w:rFonts w:ascii="Times New Roman" w:hAnsi="Times New Roman"/>
          <w:b/>
          <w:sz w:val="24"/>
          <w:szCs w:val="24"/>
        </w:rPr>
      </w:pPr>
      <w:r w:rsidRPr="000029D6">
        <w:rPr>
          <w:rFonts w:ascii="Times New Roman" w:hAnsi="Times New Roman"/>
          <w:b/>
          <w:sz w:val="24"/>
          <w:szCs w:val="24"/>
        </w:rPr>
        <w:t>Computing the eligibility rates</w:t>
      </w:r>
    </w:p>
    <w:p w:rsidR="005B3E49" w:rsidRDefault="005B3E49" w:rsidP="00F542F1">
      <w:pPr>
        <w:pStyle w:val="NoSpacing"/>
        <w:rPr>
          <w:rFonts w:ascii="Times New Roman" w:hAnsi="Times New Roman" w:cs="Times New Roman"/>
          <w:sz w:val="24"/>
          <w:szCs w:val="24"/>
        </w:rPr>
      </w:pPr>
    </w:p>
    <w:p w:rsidR="00E6335D" w:rsidRPr="000029D6" w:rsidRDefault="00E6335D" w:rsidP="00F542F1">
      <w:pPr>
        <w:pStyle w:val="NoSpacing"/>
        <w:rPr>
          <w:rFonts w:ascii="Times New Roman" w:hAnsi="Times New Roman" w:cs="Times New Roman"/>
          <w:sz w:val="24"/>
          <w:szCs w:val="24"/>
        </w:rPr>
      </w:pPr>
      <w:r w:rsidRPr="000029D6">
        <w:rPr>
          <w:rFonts w:ascii="Times New Roman" w:hAnsi="Times New Roman" w:cs="Times New Roman"/>
          <w:sz w:val="24"/>
          <w:szCs w:val="24"/>
        </w:rPr>
        <w:t xml:space="preserve">The eligibility rate is the </w:t>
      </w:r>
      <w:r w:rsidR="00B56075">
        <w:rPr>
          <w:rFonts w:ascii="Times New Roman" w:hAnsi="Times New Roman" w:cs="Times New Roman"/>
          <w:sz w:val="24"/>
          <w:szCs w:val="24"/>
        </w:rPr>
        <w:t>percent of addresses with occupied housing units</w:t>
      </w:r>
      <w:r w:rsidRPr="000029D6">
        <w:rPr>
          <w:rFonts w:ascii="Times New Roman" w:hAnsi="Times New Roman" w:cs="Times New Roman"/>
          <w:sz w:val="24"/>
          <w:szCs w:val="24"/>
        </w:rPr>
        <w:t>,</w:t>
      </w:r>
    </w:p>
    <w:p w:rsidR="00E6335D" w:rsidRPr="000029D6" w:rsidRDefault="00E6335D" w:rsidP="00F542F1">
      <w:pPr>
        <w:pStyle w:val="NoSpacing"/>
        <w:rPr>
          <w:rFonts w:ascii="Times New Roman" w:hAnsi="Times New Roman" w:cs="Times New Roman"/>
          <w:sz w:val="24"/>
          <w:szCs w:val="24"/>
        </w:rPr>
      </w:pPr>
    </w:p>
    <w:p w:rsidR="00E6335D" w:rsidRPr="000029D6" w:rsidRDefault="00E6335D" w:rsidP="00F542F1">
      <w:pPr>
        <w:pStyle w:val="NoSpacing"/>
        <w:rPr>
          <w:rFonts w:ascii="Times New Roman" w:hAnsi="Times New Roman" w:cs="Times New Roman"/>
          <w:sz w:val="24"/>
          <w:szCs w:val="24"/>
        </w:rPr>
      </w:pPr>
      <m:oMathPara>
        <m:oMathParaPr>
          <m:jc m:val="center"/>
        </m:oMathParaPr>
        <m:oMath>
          <m:r>
            <w:rPr>
              <w:rFonts w:ascii="Cambria Math" w:hAnsi="Cambria Math" w:cs="Times New Roman"/>
              <w:sz w:val="24"/>
              <w:szCs w:val="24"/>
            </w:rPr>
            <m:t>Eligibility</m:t>
          </m:r>
          <m:r>
            <m:rPr>
              <m:sty m:val="p"/>
            </m:rPr>
            <w:rPr>
              <w:rFonts w:ascii="Cambria Math" w:hAnsi="Cambria Math" w:cs="Times New Roman"/>
              <w:sz w:val="24"/>
              <w:szCs w:val="24"/>
            </w:rPr>
            <m:t xml:space="preserve"> </m:t>
          </m:r>
          <m:r>
            <w:rPr>
              <w:rFonts w:ascii="Cambria Math" w:hAnsi="Cambria Math" w:cs="Times New Roman"/>
              <w:sz w:val="24"/>
              <w:szCs w:val="24"/>
            </w:rPr>
            <m:t>rate</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Eligible cases</m:t>
              </m:r>
            </m:num>
            <m:den>
              <m:r>
                <w:rPr>
                  <w:rFonts w:ascii="Cambria Math" w:hAnsi="Cambria Math" w:cs="Times New Roman"/>
                  <w:sz w:val="24"/>
                  <w:szCs w:val="24"/>
                </w:rPr>
                <m:t>Total</m:t>
              </m:r>
              <m:r>
                <m:rPr>
                  <m:sty m:val="p"/>
                </m:rPr>
                <w:rPr>
                  <w:rFonts w:ascii="Cambria Math" w:hAnsi="Cambria Math" w:cs="Times New Roman"/>
                  <w:sz w:val="24"/>
                  <w:szCs w:val="24"/>
                </w:rPr>
                <m:t xml:space="preserve"> </m:t>
              </m:r>
              <m:r>
                <w:rPr>
                  <w:rFonts w:ascii="Cambria Math" w:hAnsi="Cambria Math" w:cs="Times New Roman"/>
                  <w:sz w:val="24"/>
                  <w:szCs w:val="24"/>
                </w:rPr>
                <m:t>cases</m:t>
              </m:r>
              <m:r>
                <m:rPr>
                  <m:sty m:val="p"/>
                </m:rPr>
                <w:rPr>
                  <w:rFonts w:ascii="Cambria Math" w:hAnsi="Cambria Math" w:cs="Times New Roman"/>
                  <w:sz w:val="24"/>
                  <w:szCs w:val="24"/>
                </w:rPr>
                <m:t xml:space="preserve"> </m:t>
              </m:r>
              <m:r>
                <w:rPr>
                  <w:rFonts w:ascii="Cambria Math" w:hAnsi="Cambria Math" w:cs="Times New Roman"/>
                  <w:sz w:val="24"/>
                  <w:szCs w:val="24"/>
                </w:rPr>
                <m:t>in</m:t>
              </m:r>
              <m:r>
                <m:rPr>
                  <m:sty m:val="p"/>
                </m:rPr>
                <w:rPr>
                  <w:rFonts w:ascii="Cambria Math" w:hAnsi="Cambria Math" w:cs="Times New Roman"/>
                  <w:sz w:val="24"/>
                  <w:szCs w:val="24"/>
                </w:rPr>
                <m:t xml:space="preserve"> </m:t>
              </m:r>
              <m:r>
                <w:rPr>
                  <w:rFonts w:ascii="Cambria Math" w:hAnsi="Cambria Math" w:cs="Times New Roman"/>
                  <w:sz w:val="24"/>
                  <w:szCs w:val="24"/>
                </w:rPr>
                <m:t>the</m:t>
              </m:r>
              <m:r>
                <m:rPr>
                  <m:sty m:val="p"/>
                </m:rPr>
                <w:rPr>
                  <w:rFonts w:ascii="Cambria Math" w:hAnsi="Cambria Math" w:cs="Times New Roman"/>
                  <w:sz w:val="24"/>
                  <w:szCs w:val="24"/>
                </w:rPr>
                <m:t xml:space="preserve"> </m:t>
              </m:r>
              <m:r>
                <w:rPr>
                  <w:rFonts w:ascii="Cambria Math" w:hAnsi="Cambria Math" w:cs="Times New Roman"/>
                  <w:sz w:val="24"/>
                  <w:szCs w:val="24"/>
                </w:rPr>
                <m:t>sample</m:t>
              </m:r>
            </m:den>
          </m:f>
        </m:oMath>
      </m:oMathPara>
    </w:p>
    <w:p w:rsidR="00E6335D" w:rsidRPr="000029D6" w:rsidRDefault="00E6335D" w:rsidP="00F542F1">
      <w:pPr>
        <w:pStyle w:val="NoSpacing"/>
        <w:rPr>
          <w:rFonts w:ascii="Times New Roman" w:hAnsi="Times New Roman" w:cs="Times New Roman"/>
          <w:sz w:val="24"/>
          <w:szCs w:val="24"/>
        </w:rPr>
      </w:pPr>
    </w:p>
    <w:p w:rsidR="00E6335D" w:rsidRPr="000029D6" w:rsidRDefault="00E6335D" w:rsidP="00F542F1">
      <w:pPr>
        <w:pStyle w:val="NoSpacing"/>
        <w:rPr>
          <w:rFonts w:ascii="Times New Roman" w:hAnsi="Times New Roman" w:cs="Times New Roman"/>
          <w:bCs/>
          <w:sz w:val="24"/>
          <w:szCs w:val="24"/>
          <w:lang w:val="en"/>
        </w:rPr>
      </w:pPr>
      <w:r w:rsidRPr="000029D6">
        <w:rPr>
          <w:rFonts w:ascii="Times New Roman" w:hAnsi="Times New Roman" w:cs="Times New Roman"/>
          <w:bCs/>
          <w:sz w:val="24"/>
          <w:szCs w:val="24"/>
          <w:lang w:val="en"/>
        </w:rPr>
        <w:t>where Eligible cases = Interviews + Type A non-interviews.</w:t>
      </w:r>
    </w:p>
    <w:p w:rsidR="00E6335D" w:rsidRPr="000029D6" w:rsidRDefault="00E6335D" w:rsidP="00F542F1">
      <w:pPr>
        <w:pStyle w:val="NoSpacing"/>
        <w:rPr>
          <w:rFonts w:ascii="Times New Roman" w:hAnsi="Times New Roman" w:cs="Times New Roman"/>
          <w:bCs/>
          <w:sz w:val="24"/>
          <w:szCs w:val="24"/>
          <w:lang w:val="en"/>
        </w:rPr>
      </w:pPr>
    </w:p>
    <w:p w:rsidR="00E6335D" w:rsidRPr="000029D6" w:rsidRDefault="003D6833" w:rsidP="00F542F1">
      <w:pPr>
        <w:rPr>
          <w:rFonts w:ascii="Times New Roman" w:hAnsi="Times New Roman"/>
          <w:sz w:val="24"/>
          <w:szCs w:val="24"/>
        </w:rPr>
      </w:pPr>
      <w:r>
        <w:rPr>
          <w:rFonts w:ascii="Times New Roman" w:hAnsi="Times New Roman"/>
          <w:sz w:val="24"/>
          <w:szCs w:val="24"/>
        </w:rPr>
        <w:t xml:space="preserve">For the 2010 </w:t>
      </w:r>
      <w:r w:rsidRPr="003D6833">
        <w:rPr>
          <w:rFonts w:ascii="Times New Roman" w:hAnsi="Times New Roman"/>
          <w:sz w:val="24"/>
          <w:szCs w:val="24"/>
        </w:rPr>
        <w:t>sample redesign, CE will be using a frame based on the Census Burea</w:t>
      </w:r>
      <w:r w:rsidR="00897F27">
        <w:rPr>
          <w:rFonts w:ascii="Times New Roman" w:hAnsi="Times New Roman"/>
          <w:sz w:val="24"/>
          <w:szCs w:val="24"/>
        </w:rPr>
        <w:t>u’s Master Address File (MAF)</w:t>
      </w:r>
      <w:r w:rsidR="001D35C6">
        <w:rPr>
          <w:rFonts w:ascii="Times New Roman" w:hAnsi="Times New Roman"/>
          <w:sz w:val="24"/>
          <w:szCs w:val="24"/>
        </w:rPr>
        <w:t>;</w:t>
      </w:r>
      <w:r w:rsidR="00897F27">
        <w:rPr>
          <w:rFonts w:ascii="Times New Roman" w:hAnsi="Times New Roman"/>
          <w:sz w:val="24"/>
          <w:szCs w:val="24"/>
        </w:rPr>
        <w:t xml:space="preserve"> </w:t>
      </w:r>
      <w:r w:rsidR="001D35C6">
        <w:rPr>
          <w:rFonts w:ascii="Times New Roman" w:hAnsi="Times New Roman"/>
          <w:sz w:val="24"/>
          <w:szCs w:val="24"/>
        </w:rPr>
        <w:t>h</w:t>
      </w:r>
      <w:r w:rsidR="001D35C6" w:rsidRPr="003D6833">
        <w:rPr>
          <w:rFonts w:ascii="Times New Roman" w:hAnsi="Times New Roman"/>
          <w:sz w:val="24"/>
          <w:szCs w:val="24"/>
        </w:rPr>
        <w:t>ence,</w:t>
      </w:r>
      <w:r w:rsidRPr="003D6833">
        <w:rPr>
          <w:rFonts w:ascii="Times New Roman" w:hAnsi="Times New Roman"/>
          <w:sz w:val="24"/>
          <w:szCs w:val="24"/>
        </w:rPr>
        <w:t xml:space="preserve"> the eligibility rates reflect the MAF and not historical CE interviews</w:t>
      </w:r>
      <w:r w:rsidR="00E6335D" w:rsidRPr="000029D6">
        <w:rPr>
          <w:rFonts w:ascii="Times New Roman" w:hAnsi="Times New Roman"/>
          <w:sz w:val="24"/>
          <w:szCs w:val="24"/>
        </w:rPr>
        <w:t xml:space="preserve">.  </w:t>
      </w:r>
      <w:r w:rsidR="003652E3">
        <w:rPr>
          <w:rFonts w:ascii="Times New Roman" w:hAnsi="Times New Roman"/>
          <w:sz w:val="24"/>
          <w:szCs w:val="24"/>
        </w:rPr>
        <w:t>As a result,</w:t>
      </w:r>
      <w:r w:rsidR="00E6335D" w:rsidRPr="000029D6">
        <w:rPr>
          <w:rFonts w:ascii="Times New Roman" w:hAnsi="Times New Roman"/>
          <w:sz w:val="24"/>
          <w:szCs w:val="24"/>
        </w:rPr>
        <w:t xml:space="preserve"> DSMD computed the eligibility rates from the American Community Survey (ACS) sample, which uses the MAF as its frame.  The computation is based on five years of ACS control files (2008-2012), and applies ACS base weights and CAPI sub sampling factors.  The eligibility rate per index area is the weighted average</w:t>
      </w:r>
      <w:r w:rsidR="00577C43">
        <w:rPr>
          <w:rFonts w:ascii="Times New Roman" w:hAnsi="Times New Roman"/>
          <w:sz w:val="24"/>
          <w:szCs w:val="24"/>
        </w:rPr>
        <w:t xml:space="preserve"> of the PSU eligibility rates.</w:t>
      </w:r>
    </w:p>
    <w:p w:rsidR="00DF1BC5" w:rsidRDefault="00DF1BC5" w:rsidP="00F542F1">
      <w:pPr>
        <w:rPr>
          <w:rFonts w:ascii="Times New Roman" w:hAnsi="Times New Roman"/>
          <w:sz w:val="24"/>
          <w:szCs w:val="24"/>
        </w:rPr>
      </w:pPr>
    </w:p>
    <w:p w:rsidR="00577C43" w:rsidRDefault="00577C43" w:rsidP="00F542F1">
      <w:pPr>
        <w:rPr>
          <w:rFonts w:ascii="Times New Roman" w:hAnsi="Times New Roman"/>
          <w:sz w:val="24"/>
          <w:szCs w:val="24"/>
        </w:rPr>
      </w:pPr>
    </w:p>
    <w:p w:rsidR="00E6335D" w:rsidRPr="00804B37" w:rsidRDefault="00E6335D" w:rsidP="00E6335D">
      <w:pPr>
        <w:rPr>
          <w:rFonts w:ascii="Times New Roman" w:hAnsi="Times New Roman"/>
          <w:b/>
          <w:sz w:val="24"/>
          <w:szCs w:val="24"/>
        </w:rPr>
      </w:pPr>
      <w:r w:rsidRPr="00804B37">
        <w:rPr>
          <w:rFonts w:ascii="Times New Roman" w:hAnsi="Times New Roman"/>
          <w:b/>
          <w:sz w:val="24"/>
          <w:szCs w:val="24"/>
        </w:rPr>
        <w:t>The Sub-Allocation Process</w:t>
      </w:r>
    </w:p>
    <w:p w:rsidR="003F5ADC" w:rsidRPr="005B3E49" w:rsidRDefault="003F5ADC" w:rsidP="00E6335D">
      <w:pPr>
        <w:rPr>
          <w:rFonts w:ascii="Times New Roman" w:hAnsi="Times New Roman"/>
          <w:sz w:val="24"/>
          <w:szCs w:val="24"/>
        </w:rPr>
      </w:pPr>
    </w:p>
    <w:p w:rsidR="00E6335D" w:rsidRPr="000029D6" w:rsidRDefault="00E6335D" w:rsidP="00E6335D">
      <w:pPr>
        <w:rPr>
          <w:rFonts w:ascii="Times New Roman" w:hAnsi="Times New Roman"/>
          <w:sz w:val="24"/>
          <w:szCs w:val="24"/>
        </w:rPr>
      </w:pPr>
      <w:r w:rsidRPr="000029D6">
        <w:rPr>
          <w:rFonts w:ascii="Times New Roman" w:hAnsi="Times New Roman"/>
          <w:sz w:val="24"/>
          <w:szCs w:val="24"/>
        </w:rPr>
        <w:t>After allocating the nationwide sample of 12,000 addresses to the 41 index areas, the next step is sub-allocating to the individual PSUs in the index area.  It is done directly proportional to each PSU’s share of the index area’s population.  For example, index area N120 represents 15,036,701 people and Pittsburgh represents 27.04% of the index area’s population so it is given 27.04% of its sample.  Likewise, Buffalo represents 23.16% of N120’s population so it is given 23.16% of its sample, Rochester is given 26.10% of its sample, and Reading is given 23.69% of its sample.</w:t>
      </w:r>
    </w:p>
    <w:p w:rsidR="008D5EE6" w:rsidRPr="00747952" w:rsidRDefault="008D5EE6" w:rsidP="00E6335D">
      <w:pPr>
        <w:rPr>
          <w:rFonts w:ascii="Times New Roman" w:hAnsi="Times New Roman"/>
          <w:sz w:val="24"/>
          <w:szCs w:val="24"/>
        </w:rPr>
      </w:pPr>
    </w:p>
    <w:tbl>
      <w:tblPr>
        <w:tblStyle w:val="TableGrid"/>
        <w:tblW w:w="8159" w:type="dxa"/>
        <w:jc w:val="center"/>
        <w:tblLook w:val="04A0" w:firstRow="1" w:lastRow="0" w:firstColumn="1" w:lastColumn="0" w:noHBand="0" w:noVBand="1"/>
      </w:tblPr>
      <w:tblGrid>
        <w:gridCol w:w="803"/>
        <w:gridCol w:w="803"/>
        <w:gridCol w:w="4001"/>
        <w:gridCol w:w="1440"/>
        <w:gridCol w:w="1112"/>
      </w:tblGrid>
      <w:tr w:rsidR="004A78B1" w:rsidRPr="00F82B9B" w:rsidTr="005B3E49">
        <w:trPr>
          <w:trHeight w:hRule="exact" w:val="259"/>
          <w:jc w:val="center"/>
        </w:trPr>
        <w:tc>
          <w:tcPr>
            <w:tcW w:w="803" w:type="dxa"/>
            <w:tcBorders>
              <w:top w:val="single" w:sz="4" w:space="0" w:color="auto"/>
              <w:left w:val="single" w:sz="4" w:space="0" w:color="auto"/>
              <w:bottom w:val="nil"/>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Index</w:t>
            </w:r>
          </w:p>
        </w:tc>
        <w:tc>
          <w:tcPr>
            <w:tcW w:w="803" w:type="dxa"/>
            <w:tcBorders>
              <w:top w:val="single" w:sz="4" w:space="0" w:color="auto"/>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PSU</w:t>
            </w:r>
          </w:p>
        </w:tc>
        <w:tc>
          <w:tcPr>
            <w:tcW w:w="4001" w:type="dxa"/>
            <w:tcBorders>
              <w:top w:val="single" w:sz="4" w:space="0" w:color="auto"/>
              <w:left w:val="nil"/>
              <w:bottom w:val="nil"/>
              <w:right w:val="nil"/>
            </w:tcBorders>
            <w:vAlign w:val="center"/>
          </w:tcPr>
          <w:p w:rsidR="00E6335D" w:rsidRPr="00F82B9B" w:rsidRDefault="00E6335D" w:rsidP="00033601">
            <w:pPr>
              <w:pStyle w:val="PlainText"/>
              <w:ind w:left="0"/>
              <w:rPr>
                <w:rFonts w:ascii="Times New Roman" w:hAnsi="Times New Roman" w:cs="Times New Roman"/>
                <w:b/>
                <w:sz w:val="22"/>
                <w:szCs w:val="24"/>
              </w:rPr>
            </w:pPr>
          </w:p>
        </w:tc>
        <w:tc>
          <w:tcPr>
            <w:tcW w:w="1440" w:type="dxa"/>
            <w:tcBorders>
              <w:top w:val="single" w:sz="4" w:space="0" w:color="auto"/>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Stratum</w:t>
            </w:r>
          </w:p>
        </w:tc>
        <w:tc>
          <w:tcPr>
            <w:tcW w:w="1112" w:type="dxa"/>
            <w:tcBorders>
              <w:top w:val="single" w:sz="4" w:space="0" w:color="auto"/>
              <w:left w:val="nil"/>
              <w:bottom w:val="nil"/>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Percent</w:t>
            </w:r>
          </w:p>
        </w:tc>
      </w:tr>
      <w:tr w:rsidR="004A78B1" w:rsidRPr="00F82B9B" w:rsidTr="005B3E49">
        <w:trPr>
          <w:trHeight w:hRule="exact" w:val="274"/>
          <w:jc w:val="center"/>
        </w:trPr>
        <w:tc>
          <w:tcPr>
            <w:tcW w:w="803" w:type="dxa"/>
            <w:tcBorders>
              <w:top w:val="nil"/>
              <w:left w:val="single" w:sz="4" w:space="0" w:color="auto"/>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Area</w:t>
            </w:r>
          </w:p>
        </w:tc>
        <w:tc>
          <w:tcPr>
            <w:tcW w:w="803" w:type="dxa"/>
            <w:tcBorders>
              <w:top w:val="nil"/>
              <w:left w:val="nil"/>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Code</w:t>
            </w:r>
          </w:p>
        </w:tc>
        <w:tc>
          <w:tcPr>
            <w:tcW w:w="4001" w:type="dxa"/>
            <w:tcBorders>
              <w:top w:val="nil"/>
              <w:left w:val="nil"/>
              <w:bottom w:val="single" w:sz="4" w:space="0" w:color="auto"/>
              <w:right w:val="nil"/>
            </w:tcBorders>
            <w:vAlign w:val="center"/>
          </w:tcPr>
          <w:p w:rsidR="00E6335D" w:rsidRPr="00F82B9B" w:rsidRDefault="00E6335D" w:rsidP="00033601">
            <w:pPr>
              <w:pStyle w:val="PlainText"/>
              <w:ind w:left="0"/>
              <w:rPr>
                <w:rFonts w:ascii="Times New Roman" w:hAnsi="Times New Roman" w:cs="Times New Roman"/>
                <w:b/>
                <w:sz w:val="22"/>
                <w:szCs w:val="24"/>
              </w:rPr>
            </w:pPr>
            <w:r w:rsidRPr="00F82B9B">
              <w:rPr>
                <w:rFonts w:ascii="Times New Roman" w:hAnsi="Times New Roman" w:cs="Times New Roman"/>
                <w:b/>
                <w:sz w:val="22"/>
                <w:szCs w:val="24"/>
              </w:rPr>
              <w:t>PSU Name</w:t>
            </w:r>
          </w:p>
        </w:tc>
        <w:tc>
          <w:tcPr>
            <w:tcW w:w="1440" w:type="dxa"/>
            <w:tcBorders>
              <w:top w:val="nil"/>
              <w:left w:val="nil"/>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Population</w:t>
            </w:r>
          </w:p>
        </w:tc>
        <w:tc>
          <w:tcPr>
            <w:tcW w:w="1112" w:type="dxa"/>
            <w:tcBorders>
              <w:top w:val="nil"/>
              <w:left w:val="nil"/>
              <w:bottom w:val="single" w:sz="4" w:space="0" w:color="auto"/>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of Total</w:t>
            </w:r>
          </w:p>
        </w:tc>
      </w:tr>
      <w:tr w:rsidR="004A78B1" w:rsidRPr="00F82B9B" w:rsidTr="005B3E49">
        <w:trPr>
          <w:trHeight w:hRule="exact" w:val="274"/>
          <w:jc w:val="center"/>
        </w:trPr>
        <w:tc>
          <w:tcPr>
            <w:tcW w:w="803" w:type="dxa"/>
            <w:tcBorders>
              <w:top w:val="nil"/>
              <w:left w:val="single" w:sz="4" w:space="0" w:color="auto"/>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N120</w:t>
            </w:r>
          </w:p>
        </w:tc>
        <w:tc>
          <w:tcPr>
            <w:tcW w:w="803" w:type="dxa"/>
            <w:tcBorders>
              <w:top w:val="nil"/>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N12C</w:t>
            </w:r>
          </w:p>
        </w:tc>
        <w:tc>
          <w:tcPr>
            <w:tcW w:w="4001" w:type="dxa"/>
            <w:tcBorders>
              <w:top w:val="nil"/>
              <w:left w:val="nil"/>
              <w:bottom w:val="nil"/>
              <w:right w:val="nil"/>
            </w:tcBorders>
            <w:vAlign w:val="center"/>
          </w:tcPr>
          <w:p w:rsidR="00E6335D" w:rsidRPr="00F82B9B" w:rsidRDefault="00E6335D" w:rsidP="00033601">
            <w:pPr>
              <w:pStyle w:val="PlainText"/>
              <w:ind w:left="0"/>
              <w:rPr>
                <w:rFonts w:ascii="Times New Roman" w:hAnsi="Times New Roman" w:cs="Times New Roman"/>
                <w:sz w:val="22"/>
                <w:szCs w:val="24"/>
              </w:rPr>
            </w:pPr>
            <w:r w:rsidRPr="00F82B9B">
              <w:rPr>
                <w:rFonts w:ascii="Times New Roman" w:hAnsi="Times New Roman" w:cs="Times New Roman"/>
                <w:sz w:val="22"/>
                <w:szCs w:val="24"/>
              </w:rPr>
              <w:t>Pittsburgh, PA</w:t>
            </w:r>
          </w:p>
        </w:tc>
        <w:tc>
          <w:tcPr>
            <w:tcW w:w="1440" w:type="dxa"/>
            <w:tcBorders>
              <w:top w:val="nil"/>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4,065,877</w:t>
            </w:r>
          </w:p>
        </w:tc>
        <w:tc>
          <w:tcPr>
            <w:tcW w:w="1112" w:type="dxa"/>
            <w:tcBorders>
              <w:top w:val="nil"/>
              <w:left w:val="nil"/>
              <w:bottom w:val="nil"/>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27.04%</w:t>
            </w:r>
          </w:p>
        </w:tc>
      </w:tr>
      <w:tr w:rsidR="004A78B1" w:rsidRPr="00F82B9B" w:rsidTr="005B3E49">
        <w:trPr>
          <w:trHeight w:hRule="exact" w:val="274"/>
          <w:jc w:val="center"/>
        </w:trPr>
        <w:tc>
          <w:tcPr>
            <w:tcW w:w="803" w:type="dxa"/>
            <w:tcBorders>
              <w:top w:val="nil"/>
              <w:left w:val="single" w:sz="4" w:space="0" w:color="auto"/>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N120</w:t>
            </w:r>
          </w:p>
        </w:tc>
        <w:tc>
          <w:tcPr>
            <w:tcW w:w="803" w:type="dxa"/>
            <w:tcBorders>
              <w:top w:val="nil"/>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N12D</w:t>
            </w:r>
          </w:p>
        </w:tc>
        <w:tc>
          <w:tcPr>
            <w:tcW w:w="4001" w:type="dxa"/>
            <w:tcBorders>
              <w:top w:val="nil"/>
              <w:left w:val="nil"/>
              <w:bottom w:val="nil"/>
              <w:right w:val="nil"/>
            </w:tcBorders>
            <w:vAlign w:val="center"/>
          </w:tcPr>
          <w:p w:rsidR="00E6335D" w:rsidRPr="00F82B9B" w:rsidRDefault="00E6335D" w:rsidP="00033601">
            <w:pPr>
              <w:pStyle w:val="PlainText"/>
              <w:ind w:left="0"/>
              <w:rPr>
                <w:rFonts w:ascii="Times New Roman" w:hAnsi="Times New Roman" w:cs="Times New Roman"/>
                <w:sz w:val="22"/>
                <w:szCs w:val="24"/>
              </w:rPr>
            </w:pPr>
            <w:r w:rsidRPr="00F82B9B">
              <w:rPr>
                <w:rFonts w:ascii="Times New Roman" w:hAnsi="Times New Roman" w:cs="Times New Roman"/>
                <w:sz w:val="22"/>
                <w:szCs w:val="24"/>
              </w:rPr>
              <w:t>Buffalo-Cheektowaga-Niagara Falls, NY</w:t>
            </w:r>
          </w:p>
        </w:tc>
        <w:tc>
          <w:tcPr>
            <w:tcW w:w="1440" w:type="dxa"/>
            <w:tcBorders>
              <w:top w:val="nil"/>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3,483,174</w:t>
            </w:r>
          </w:p>
        </w:tc>
        <w:tc>
          <w:tcPr>
            <w:tcW w:w="1112" w:type="dxa"/>
            <w:tcBorders>
              <w:top w:val="nil"/>
              <w:left w:val="nil"/>
              <w:bottom w:val="nil"/>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23.16</w:t>
            </w:r>
            <w:r w:rsidR="007D1C2D" w:rsidRPr="00F82B9B">
              <w:rPr>
                <w:rFonts w:ascii="Times New Roman" w:hAnsi="Times New Roman" w:cs="Times New Roman"/>
                <w:sz w:val="22"/>
                <w:szCs w:val="24"/>
              </w:rPr>
              <w:t>%</w:t>
            </w:r>
          </w:p>
        </w:tc>
      </w:tr>
      <w:tr w:rsidR="004A78B1" w:rsidRPr="00F82B9B" w:rsidTr="005B3E49">
        <w:trPr>
          <w:trHeight w:hRule="exact" w:val="274"/>
          <w:jc w:val="center"/>
        </w:trPr>
        <w:tc>
          <w:tcPr>
            <w:tcW w:w="803" w:type="dxa"/>
            <w:tcBorders>
              <w:top w:val="nil"/>
              <w:left w:val="single" w:sz="4" w:space="0" w:color="auto"/>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N120</w:t>
            </w:r>
          </w:p>
        </w:tc>
        <w:tc>
          <w:tcPr>
            <w:tcW w:w="803" w:type="dxa"/>
            <w:tcBorders>
              <w:top w:val="nil"/>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N12E</w:t>
            </w:r>
          </w:p>
        </w:tc>
        <w:tc>
          <w:tcPr>
            <w:tcW w:w="4001" w:type="dxa"/>
            <w:tcBorders>
              <w:top w:val="nil"/>
              <w:left w:val="nil"/>
              <w:bottom w:val="nil"/>
              <w:right w:val="nil"/>
            </w:tcBorders>
            <w:vAlign w:val="center"/>
          </w:tcPr>
          <w:p w:rsidR="00E6335D" w:rsidRPr="00F82B9B" w:rsidRDefault="00E6335D" w:rsidP="00033601">
            <w:pPr>
              <w:pStyle w:val="PlainText"/>
              <w:ind w:left="0"/>
              <w:rPr>
                <w:rFonts w:ascii="Times New Roman" w:hAnsi="Times New Roman" w:cs="Times New Roman"/>
                <w:sz w:val="22"/>
                <w:szCs w:val="24"/>
              </w:rPr>
            </w:pPr>
            <w:r w:rsidRPr="00F82B9B">
              <w:rPr>
                <w:rFonts w:ascii="Times New Roman" w:hAnsi="Times New Roman" w:cs="Times New Roman"/>
                <w:sz w:val="22"/>
                <w:szCs w:val="24"/>
              </w:rPr>
              <w:t>Rochester, NY</w:t>
            </w:r>
          </w:p>
        </w:tc>
        <w:tc>
          <w:tcPr>
            <w:tcW w:w="1440" w:type="dxa"/>
            <w:tcBorders>
              <w:top w:val="nil"/>
              <w:left w:val="nil"/>
              <w:bottom w:val="nil"/>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3,925,318</w:t>
            </w:r>
          </w:p>
        </w:tc>
        <w:tc>
          <w:tcPr>
            <w:tcW w:w="1112" w:type="dxa"/>
            <w:tcBorders>
              <w:top w:val="nil"/>
              <w:left w:val="nil"/>
              <w:bottom w:val="nil"/>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26.10</w:t>
            </w:r>
            <w:r w:rsidR="007D1C2D" w:rsidRPr="00F82B9B">
              <w:rPr>
                <w:rFonts w:ascii="Times New Roman" w:hAnsi="Times New Roman" w:cs="Times New Roman"/>
                <w:sz w:val="22"/>
                <w:szCs w:val="24"/>
              </w:rPr>
              <w:t>%</w:t>
            </w:r>
          </w:p>
        </w:tc>
      </w:tr>
      <w:tr w:rsidR="004A78B1" w:rsidRPr="00F82B9B" w:rsidTr="005B3E49">
        <w:trPr>
          <w:trHeight w:hRule="exact" w:val="274"/>
          <w:jc w:val="center"/>
        </w:trPr>
        <w:tc>
          <w:tcPr>
            <w:tcW w:w="803" w:type="dxa"/>
            <w:tcBorders>
              <w:top w:val="nil"/>
              <w:left w:val="single" w:sz="4" w:space="0" w:color="auto"/>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N120</w:t>
            </w:r>
          </w:p>
        </w:tc>
        <w:tc>
          <w:tcPr>
            <w:tcW w:w="803" w:type="dxa"/>
            <w:tcBorders>
              <w:top w:val="nil"/>
              <w:left w:val="nil"/>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N12F</w:t>
            </w:r>
          </w:p>
        </w:tc>
        <w:tc>
          <w:tcPr>
            <w:tcW w:w="4001" w:type="dxa"/>
            <w:tcBorders>
              <w:top w:val="nil"/>
              <w:left w:val="nil"/>
              <w:bottom w:val="single" w:sz="4" w:space="0" w:color="auto"/>
              <w:right w:val="nil"/>
            </w:tcBorders>
            <w:vAlign w:val="center"/>
          </w:tcPr>
          <w:p w:rsidR="00E6335D" w:rsidRPr="00F82B9B" w:rsidRDefault="00E6335D" w:rsidP="00033601">
            <w:pPr>
              <w:pStyle w:val="PlainText"/>
              <w:ind w:left="0"/>
              <w:rPr>
                <w:rFonts w:ascii="Times New Roman" w:hAnsi="Times New Roman" w:cs="Times New Roman"/>
                <w:sz w:val="22"/>
                <w:szCs w:val="24"/>
              </w:rPr>
            </w:pPr>
            <w:r w:rsidRPr="00F82B9B">
              <w:rPr>
                <w:rFonts w:ascii="Times New Roman" w:hAnsi="Times New Roman" w:cs="Times New Roman"/>
                <w:sz w:val="22"/>
                <w:szCs w:val="24"/>
              </w:rPr>
              <w:t>Reading, PA</w:t>
            </w:r>
          </w:p>
        </w:tc>
        <w:tc>
          <w:tcPr>
            <w:tcW w:w="1440" w:type="dxa"/>
            <w:tcBorders>
              <w:top w:val="nil"/>
              <w:left w:val="nil"/>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3,562,332</w:t>
            </w:r>
          </w:p>
        </w:tc>
        <w:tc>
          <w:tcPr>
            <w:tcW w:w="1112" w:type="dxa"/>
            <w:tcBorders>
              <w:top w:val="nil"/>
              <w:left w:val="nil"/>
              <w:bottom w:val="single" w:sz="4" w:space="0" w:color="auto"/>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sz w:val="22"/>
                <w:szCs w:val="24"/>
              </w:rPr>
            </w:pPr>
            <w:r w:rsidRPr="00F82B9B">
              <w:rPr>
                <w:rFonts w:ascii="Times New Roman" w:hAnsi="Times New Roman" w:cs="Times New Roman"/>
                <w:sz w:val="22"/>
                <w:szCs w:val="24"/>
              </w:rPr>
              <w:t>23.69</w:t>
            </w:r>
            <w:r w:rsidR="007D1C2D" w:rsidRPr="00F82B9B">
              <w:rPr>
                <w:rFonts w:ascii="Times New Roman" w:hAnsi="Times New Roman" w:cs="Times New Roman"/>
                <w:sz w:val="22"/>
                <w:szCs w:val="24"/>
              </w:rPr>
              <w:t>%</w:t>
            </w:r>
          </w:p>
        </w:tc>
      </w:tr>
      <w:tr w:rsidR="004A78B1" w:rsidRPr="00F82B9B" w:rsidTr="005B3E49">
        <w:trPr>
          <w:trHeight w:hRule="exact" w:val="274"/>
          <w:jc w:val="center"/>
        </w:trPr>
        <w:tc>
          <w:tcPr>
            <w:tcW w:w="803" w:type="dxa"/>
            <w:tcBorders>
              <w:top w:val="single" w:sz="4" w:space="0" w:color="auto"/>
              <w:left w:val="single" w:sz="4" w:space="0" w:color="auto"/>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N120</w:t>
            </w:r>
          </w:p>
        </w:tc>
        <w:tc>
          <w:tcPr>
            <w:tcW w:w="803" w:type="dxa"/>
            <w:tcBorders>
              <w:top w:val="single" w:sz="4" w:space="0" w:color="auto"/>
              <w:left w:val="nil"/>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w:t>
            </w:r>
          </w:p>
        </w:tc>
        <w:tc>
          <w:tcPr>
            <w:tcW w:w="4001" w:type="dxa"/>
            <w:tcBorders>
              <w:top w:val="single" w:sz="4" w:space="0" w:color="auto"/>
              <w:left w:val="nil"/>
              <w:bottom w:val="single" w:sz="4" w:space="0" w:color="auto"/>
              <w:right w:val="nil"/>
            </w:tcBorders>
            <w:vAlign w:val="center"/>
          </w:tcPr>
          <w:p w:rsidR="00E6335D" w:rsidRPr="00F82B9B" w:rsidRDefault="00E6335D" w:rsidP="00033601">
            <w:pPr>
              <w:pStyle w:val="PlainText"/>
              <w:ind w:left="0"/>
              <w:rPr>
                <w:rFonts w:ascii="Times New Roman" w:hAnsi="Times New Roman" w:cs="Times New Roman"/>
                <w:b/>
                <w:sz w:val="22"/>
                <w:szCs w:val="24"/>
              </w:rPr>
            </w:pPr>
            <w:r w:rsidRPr="00F82B9B">
              <w:rPr>
                <w:rFonts w:ascii="Times New Roman" w:hAnsi="Times New Roman" w:cs="Times New Roman"/>
                <w:b/>
                <w:sz w:val="22"/>
                <w:szCs w:val="24"/>
              </w:rPr>
              <w:t>Total</w:t>
            </w:r>
          </w:p>
        </w:tc>
        <w:tc>
          <w:tcPr>
            <w:tcW w:w="1440" w:type="dxa"/>
            <w:tcBorders>
              <w:top w:val="single" w:sz="4" w:space="0" w:color="auto"/>
              <w:left w:val="nil"/>
              <w:bottom w:val="single" w:sz="4" w:space="0" w:color="auto"/>
              <w:right w:val="nil"/>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15,036,701</w:t>
            </w:r>
          </w:p>
        </w:tc>
        <w:tc>
          <w:tcPr>
            <w:tcW w:w="1112" w:type="dxa"/>
            <w:tcBorders>
              <w:top w:val="single" w:sz="4" w:space="0" w:color="auto"/>
              <w:left w:val="nil"/>
              <w:bottom w:val="single" w:sz="4" w:space="0" w:color="auto"/>
              <w:right w:val="single" w:sz="4" w:space="0" w:color="auto"/>
            </w:tcBorders>
            <w:vAlign w:val="center"/>
          </w:tcPr>
          <w:p w:rsidR="00E6335D" w:rsidRPr="00F82B9B" w:rsidRDefault="00E6335D" w:rsidP="00033601">
            <w:pPr>
              <w:pStyle w:val="PlainText"/>
              <w:ind w:left="0"/>
              <w:jc w:val="center"/>
              <w:rPr>
                <w:rFonts w:ascii="Times New Roman" w:hAnsi="Times New Roman" w:cs="Times New Roman"/>
                <w:b/>
                <w:sz w:val="22"/>
                <w:szCs w:val="24"/>
              </w:rPr>
            </w:pPr>
            <w:r w:rsidRPr="00F82B9B">
              <w:rPr>
                <w:rFonts w:ascii="Times New Roman" w:hAnsi="Times New Roman" w:cs="Times New Roman"/>
                <w:b/>
                <w:sz w:val="22"/>
                <w:szCs w:val="24"/>
              </w:rPr>
              <w:t>100.00%</w:t>
            </w:r>
          </w:p>
        </w:tc>
      </w:tr>
    </w:tbl>
    <w:p w:rsidR="00E6335D" w:rsidRPr="000029D6" w:rsidRDefault="00E6335D" w:rsidP="00E6335D">
      <w:pPr>
        <w:pStyle w:val="PlainText"/>
        <w:ind w:left="0"/>
        <w:rPr>
          <w:rFonts w:ascii="Times New Roman" w:hAnsi="Times New Roman" w:cs="Times New Roman"/>
          <w:sz w:val="24"/>
          <w:szCs w:val="24"/>
        </w:rPr>
      </w:pPr>
    </w:p>
    <w:p w:rsidR="00E6335D" w:rsidRPr="000029D6" w:rsidRDefault="005034FB" w:rsidP="00E6335D">
      <w:pPr>
        <w:rPr>
          <w:rFonts w:ascii="Times New Roman" w:hAnsi="Times New Roman"/>
          <w:sz w:val="24"/>
          <w:szCs w:val="24"/>
        </w:rPr>
      </w:pPr>
      <w:r w:rsidRPr="000029D6">
        <w:rPr>
          <w:rFonts w:ascii="Times New Roman" w:hAnsi="Times New Roman"/>
          <w:sz w:val="24"/>
          <w:szCs w:val="24"/>
        </w:rPr>
        <w:t>Attachment</w:t>
      </w:r>
      <w:r w:rsidR="00590DBB">
        <w:rPr>
          <w:rFonts w:ascii="Times New Roman" w:hAnsi="Times New Roman"/>
          <w:sz w:val="24"/>
          <w:szCs w:val="24"/>
        </w:rPr>
        <w:t xml:space="preserve"> </w:t>
      </w:r>
      <w:r w:rsidR="00B164CD">
        <w:rPr>
          <w:rFonts w:ascii="Times New Roman" w:hAnsi="Times New Roman"/>
          <w:sz w:val="24"/>
          <w:szCs w:val="24"/>
        </w:rPr>
        <w:t>B</w:t>
      </w:r>
      <w:r w:rsidR="00F5015F" w:rsidRPr="000029D6">
        <w:rPr>
          <w:rFonts w:ascii="Times New Roman" w:hAnsi="Times New Roman"/>
          <w:sz w:val="24"/>
          <w:szCs w:val="24"/>
        </w:rPr>
        <w:t xml:space="preserve"> shows the results of the sub-allocation</w:t>
      </w:r>
      <w:r w:rsidR="00D967DB">
        <w:rPr>
          <w:rFonts w:ascii="Times New Roman" w:hAnsi="Times New Roman"/>
          <w:sz w:val="24"/>
          <w:szCs w:val="24"/>
        </w:rPr>
        <w:t>.</w:t>
      </w:r>
    </w:p>
    <w:p w:rsidR="00E6335D" w:rsidRPr="00CB6D4B" w:rsidRDefault="00E6335D" w:rsidP="00E6335D">
      <w:pPr>
        <w:pStyle w:val="PlainText"/>
        <w:ind w:left="0"/>
        <w:rPr>
          <w:rFonts w:ascii="Times New Roman" w:eastAsiaTheme="minorHAnsi" w:hAnsi="Times New Roman" w:cs="Times New Roman"/>
          <w:sz w:val="24"/>
          <w:szCs w:val="24"/>
        </w:rPr>
      </w:pPr>
    </w:p>
    <w:p w:rsidR="00797600" w:rsidRPr="00CB6D4B" w:rsidRDefault="00797600" w:rsidP="00E6335D">
      <w:pPr>
        <w:pStyle w:val="PlainText"/>
        <w:ind w:left="0"/>
        <w:rPr>
          <w:rFonts w:ascii="Times New Roman" w:eastAsiaTheme="minorHAnsi" w:hAnsi="Times New Roman" w:cs="Times New Roman"/>
          <w:sz w:val="24"/>
          <w:szCs w:val="24"/>
        </w:rPr>
      </w:pPr>
    </w:p>
    <w:p w:rsidR="00AD3B53" w:rsidRDefault="00AD3B53" w:rsidP="00E6335D">
      <w:pPr>
        <w:pStyle w:val="PlainText"/>
        <w:ind w:left="0"/>
        <w:rPr>
          <w:rFonts w:ascii="Times New Roman" w:eastAsiaTheme="minorHAnsi" w:hAnsi="Times New Roman" w:cs="Times New Roman"/>
          <w:b/>
          <w:sz w:val="24"/>
          <w:szCs w:val="24"/>
        </w:rPr>
      </w:pPr>
    </w:p>
    <w:p w:rsidR="00E6335D" w:rsidRPr="00804B37" w:rsidRDefault="00E6335D" w:rsidP="00E6335D">
      <w:pPr>
        <w:pStyle w:val="PlainText"/>
        <w:ind w:left="0"/>
        <w:rPr>
          <w:rFonts w:ascii="Times New Roman" w:eastAsiaTheme="minorHAnsi" w:hAnsi="Times New Roman" w:cs="Times New Roman"/>
          <w:b/>
          <w:sz w:val="24"/>
          <w:szCs w:val="24"/>
        </w:rPr>
      </w:pPr>
      <w:r w:rsidRPr="00804B37">
        <w:rPr>
          <w:rFonts w:ascii="Times New Roman" w:eastAsiaTheme="minorHAnsi" w:hAnsi="Times New Roman" w:cs="Times New Roman"/>
          <w:b/>
          <w:sz w:val="24"/>
          <w:szCs w:val="24"/>
        </w:rPr>
        <w:lastRenderedPageBreak/>
        <w:t>Number of addresses that need to be sampled</w:t>
      </w:r>
    </w:p>
    <w:p w:rsidR="00E6335D" w:rsidRPr="000029D6" w:rsidRDefault="00E6335D" w:rsidP="00E6335D">
      <w:pPr>
        <w:pStyle w:val="PlainText"/>
        <w:ind w:left="0"/>
        <w:rPr>
          <w:rFonts w:ascii="Times New Roman" w:eastAsiaTheme="minorHAnsi" w:hAnsi="Times New Roman" w:cs="Times New Roman"/>
          <w:sz w:val="24"/>
          <w:szCs w:val="24"/>
        </w:rPr>
      </w:pPr>
    </w:p>
    <w:p w:rsidR="00E6335D" w:rsidRPr="000029D6" w:rsidRDefault="00E6335D" w:rsidP="00E6335D">
      <w:pPr>
        <w:pStyle w:val="PlainText"/>
        <w:ind w:left="0"/>
        <w:rPr>
          <w:rFonts w:ascii="Times New Roman" w:eastAsiaTheme="minorHAnsi" w:hAnsi="Times New Roman" w:cs="Times New Roman"/>
          <w:sz w:val="24"/>
          <w:szCs w:val="24"/>
        </w:rPr>
      </w:pPr>
      <w:r w:rsidRPr="000029D6">
        <w:rPr>
          <w:rFonts w:ascii="Times New Roman" w:eastAsiaTheme="minorHAnsi" w:hAnsi="Times New Roman" w:cs="Times New Roman"/>
          <w:sz w:val="24"/>
          <w:szCs w:val="24"/>
        </w:rPr>
        <w:t>DSMD draws a single sample of addresses for both surveys, with the even-numbered addresses going to the Interview survey and the odd-numbered addresses going to the Diary survey.  The number of addresses that need to be sampled is the larger of the two sample sizes.</w:t>
      </w:r>
      <w:r w:rsidR="00BB7619">
        <w:rPr>
          <w:rFonts w:ascii="Times New Roman" w:eastAsiaTheme="minorHAnsi" w:hAnsi="Times New Roman" w:cs="Times New Roman"/>
          <w:sz w:val="24"/>
          <w:szCs w:val="24"/>
        </w:rPr>
        <w:t xml:space="preserve">  </w:t>
      </w:r>
      <w:r w:rsidR="00BB7619" w:rsidRPr="00BB7619">
        <w:rPr>
          <w:rFonts w:ascii="Times New Roman" w:eastAsiaTheme="minorHAnsi" w:hAnsi="Times New Roman" w:cs="Times New Roman"/>
          <w:sz w:val="24"/>
          <w:szCs w:val="24"/>
        </w:rPr>
        <w:t xml:space="preserve">For example, the allocation results in Attachment B show that the Boston PSU (S11A) needs </w:t>
      </w:r>
      <w:r w:rsidR="00C70665">
        <w:rPr>
          <w:rFonts w:ascii="Times New Roman" w:eastAsiaTheme="minorHAnsi" w:hAnsi="Times New Roman" w:cs="Times New Roman"/>
          <w:sz w:val="24"/>
          <w:szCs w:val="24"/>
        </w:rPr>
        <w:t>171</w:t>
      </w:r>
      <w:r w:rsidR="00BB7619" w:rsidRPr="00BB7619">
        <w:rPr>
          <w:rFonts w:ascii="Times New Roman" w:eastAsiaTheme="minorHAnsi" w:hAnsi="Times New Roman" w:cs="Times New Roman"/>
          <w:sz w:val="24"/>
          <w:szCs w:val="24"/>
        </w:rPr>
        <w:t xml:space="preserve"> addresses </w:t>
      </w:r>
      <w:r w:rsidR="00030F7B">
        <w:rPr>
          <w:rFonts w:ascii="Times New Roman" w:eastAsiaTheme="minorHAnsi" w:hAnsi="Times New Roman" w:cs="Times New Roman"/>
          <w:sz w:val="24"/>
          <w:szCs w:val="24"/>
        </w:rPr>
        <w:t xml:space="preserve">for the Interview survey and </w:t>
      </w:r>
      <w:r w:rsidR="00C70665">
        <w:rPr>
          <w:rFonts w:ascii="Times New Roman" w:eastAsiaTheme="minorHAnsi" w:hAnsi="Times New Roman" w:cs="Times New Roman"/>
          <w:sz w:val="24"/>
          <w:szCs w:val="24"/>
        </w:rPr>
        <w:t>161</w:t>
      </w:r>
      <w:r w:rsidR="00BB7619" w:rsidRPr="00BB7619">
        <w:rPr>
          <w:rFonts w:ascii="Times New Roman" w:eastAsiaTheme="minorHAnsi" w:hAnsi="Times New Roman" w:cs="Times New Roman"/>
          <w:sz w:val="24"/>
          <w:szCs w:val="24"/>
        </w:rPr>
        <w:t xml:space="preserve"> addresses for the Diary survey.  DSMD draws the larger of the two sample sizes, which is the </w:t>
      </w:r>
      <w:r w:rsidR="00030F7B">
        <w:rPr>
          <w:rFonts w:ascii="Times New Roman" w:eastAsiaTheme="minorHAnsi" w:hAnsi="Times New Roman" w:cs="Times New Roman"/>
          <w:sz w:val="24"/>
          <w:szCs w:val="24"/>
        </w:rPr>
        <w:t xml:space="preserve">Interview survey’s </w:t>
      </w:r>
      <w:r w:rsidR="00C70665">
        <w:rPr>
          <w:rFonts w:ascii="Times New Roman" w:eastAsiaTheme="minorHAnsi" w:hAnsi="Times New Roman" w:cs="Times New Roman"/>
          <w:sz w:val="24"/>
          <w:szCs w:val="24"/>
        </w:rPr>
        <w:t>171</w:t>
      </w:r>
      <w:r w:rsidR="00BB7619" w:rsidRPr="00BB7619">
        <w:rPr>
          <w:rFonts w:ascii="Times New Roman" w:eastAsiaTheme="minorHAnsi" w:hAnsi="Times New Roman" w:cs="Times New Roman"/>
          <w:sz w:val="24"/>
          <w:szCs w:val="24"/>
        </w:rPr>
        <w:t xml:space="preserve"> addresses, for both surveys.  Then </w:t>
      </w:r>
      <w:r w:rsidR="00030F7B">
        <w:rPr>
          <w:rFonts w:ascii="Times New Roman" w:eastAsiaTheme="minorHAnsi" w:hAnsi="Times New Roman" w:cs="Times New Roman"/>
          <w:sz w:val="24"/>
          <w:szCs w:val="24"/>
        </w:rPr>
        <w:t xml:space="preserve">a sample </w:t>
      </w:r>
      <w:r w:rsidR="00BB7619" w:rsidRPr="00BB7619">
        <w:rPr>
          <w:rFonts w:ascii="Times New Roman" w:eastAsiaTheme="minorHAnsi" w:hAnsi="Times New Roman" w:cs="Times New Roman"/>
          <w:sz w:val="24"/>
          <w:szCs w:val="24"/>
        </w:rPr>
        <w:t>reduction</w:t>
      </w:r>
      <w:r w:rsidR="00030F7B">
        <w:rPr>
          <w:rFonts w:ascii="Times New Roman" w:eastAsiaTheme="minorHAnsi" w:hAnsi="Times New Roman" w:cs="Times New Roman"/>
          <w:sz w:val="24"/>
          <w:szCs w:val="24"/>
        </w:rPr>
        <w:t xml:space="preserve"> process </w:t>
      </w:r>
      <w:r w:rsidR="00BB7619" w:rsidRPr="00BB7619">
        <w:rPr>
          <w:rFonts w:ascii="Times New Roman" w:eastAsiaTheme="minorHAnsi" w:hAnsi="Times New Roman" w:cs="Times New Roman"/>
          <w:sz w:val="24"/>
          <w:szCs w:val="24"/>
        </w:rPr>
        <w:t>remov</w:t>
      </w:r>
      <w:r w:rsidR="00030F7B">
        <w:rPr>
          <w:rFonts w:ascii="Times New Roman" w:eastAsiaTheme="minorHAnsi" w:hAnsi="Times New Roman" w:cs="Times New Roman"/>
          <w:sz w:val="24"/>
          <w:szCs w:val="24"/>
        </w:rPr>
        <w:t>es</w:t>
      </w:r>
      <w:r w:rsidR="004403CB">
        <w:rPr>
          <w:rFonts w:ascii="Times New Roman" w:eastAsiaTheme="minorHAnsi" w:hAnsi="Times New Roman" w:cs="Times New Roman"/>
          <w:sz w:val="24"/>
          <w:szCs w:val="24"/>
        </w:rPr>
        <w:t xml:space="preserve"> </w:t>
      </w:r>
      <w:r w:rsidR="00C70665">
        <w:rPr>
          <w:rFonts w:ascii="Times New Roman" w:eastAsiaTheme="minorHAnsi" w:hAnsi="Times New Roman" w:cs="Times New Roman"/>
          <w:sz w:val="24"/>
          <w:szCs w:val="24"/>
        </w:rPr>
        <w:t>ten</w:t>
      </w:r>
      <w:r w:rsidR="00BB7619" w:rsidRPr="00BB7619">
        <w:rPr>
          <w:rFonts w:ascii="Times New Roman" w:eastAsiaTheme="minorHAnsi" w:hAnsi="Times New Roman" w:cs="Times New Roman"/>
          <w:sz w:val="24"/>
          <w:szCs w:val="24"/>
        </w:rPr>
        <w:t xml:space="preserve"> random addresses from the </w:t>
      </w:r>
      <w:r w:rsidR="00030F7B">
        <w:rPr>
          <w:rFonts w:ascii="Times New Roman" w:eastAsiaTheme="minorHAnsi" w:hAnsi="Times New Roman" w:cs="Times New Roman"/>
          <w:sz w:val="24"/>
          <w:szCs w:val="24"/>
        </w:rPr>
        <w:t>Diary</w:t>
      </w:r>
      <w:r w:rsidR="00BB7619" w:rsidRPr="00BB7619">
        <w:rPr>
          <w:rFonts w:ascii="Times New Roman" w:eastAsiaTheme="minorHAnsi" w:hAnsi="Times New Roman" w:cs="Times New Roman"/>
          <w:sz w:val="24"/>
          <w:szCs w:val="24"/>
        </w:rPr>
        <w:t xml:space="preserve"> survey.</w:t>
      </w:r>
    </w:p>
    <w:p w:rsidR="00E6335D" w:rsidRDefault="00E6335D" w:rsidP="00E6335D">
      <w:pPr>
        <w:pStyle w:val="PlainText"/>
        <w:ind w:left="0"/>
        <w:rPr>
          <w:rFonts w:ascii="Times New Roman" w:eastAsiaTheme="minorHAnsi" w:hAnsi="Times New Roman" w:cs="Times New Roman"/>
          <w:sz w:val="24"/>
          <w:szCs w:val="24"/>
        </w:rPr>
      </w:pPr>
    </w:p>
    <w:p w:rsidR="0090469B" w:rsidRDefault="0090469B" w:rsidP="00E6335D">
      <w:pPr>
        <w:pStyle w:val="PlainText"/>
        <w:ind w:left="0"/>
        <w:rPr>
          <w:rFonts w:ascii="Times New Roman" w:eastAsiaTheme="minorHAnsi" w:hAnsi="Times New Roman" w:cs="Times New Roman"/>
          <w:sz w:val="24"/>
          <w:szCs w:val="24"/>
        </w:rPr>
      </w:pPr>
      <w:r w:rsidRPr="0090469B">
        <w:rPr>
          <w:rFonts w:ascii="Times New Roman" w:eastAsiaTheme="minorHAnsi" w:hAnsi="Times New Roman" w:cs="Times New Roman"/>
          <w:sz w:val="24"/>
          <w:szCs w:val="24"/>
        </w:rPr>
        <w:t>The expected number of usable interviews is the number of sampled add</w:t>
      </w:r>
      <w:r w:rsidR="00826B82">
        <w:rPr>
          <w:rFonts w:ascii="Times New Roman" w:eastAsiaTheme="minorHAnsi" w:hAnsi="Times New Roman" w:cs="Times New Roman"/>
          <w:sz w:val="24"/>
          <w:szCs w:val="24"/>
        </w:rPr>
        <w:t xml:space="preserve">resses times the </w:t>
      </w:r>
      <w:r w:rsidR="00EF63DE">
        <w:rPr>
          <w:rFonts w:ascii="Times New Roman" w:eastAsiaTheme="minorHAnsi" w:hAnsi="Times New Roman" w:cs="Times New Roman"/>
          <w:sz w:val="24"/>
          <w:szCs w:val="24"/>
        </w:rPr>
        <w:t xml:space="preserve">eligibility </w:t>
      </w:r>
      <w:r w:rsidR="00EF63DE" w:rsidRPr="0090469B">
        <w:rPr>
          <w:rFonts w:ascii="Times New Roman" w:eastAsiaTheme="minorHAnsi" w:hAnsi="Times New Roman" w:cs="Times New Roman"/>
          <w:sz w:val="24"/>
          <w:szCs w:val="24"/>
        </w:rPr>
        <w:t>rate</w:t>
      </w:r>
      <w:r w:rsidR="00EF63DE">
        <w:rPr>
          <w:rFonts w:ascii="Times New Roman" w:eastAsiaTheme="minorHAnsi" w:hAnsi="Times New Roman" w:cs="Times New Roman"/>
          <w:sz w:val="24"/>
          <w:szCs w:val="24"/>
        </w:rPr>
        <w:t xml:space="preserve">, times the </w:t>
      </w:r>
      <w:r w:rsidR="00826B82">
        <w:rPr>
          <w:rFonts w:ascii="Times New Roman" w:eastAsiaTheme="minorHAnsi" w:hAnsi="Times New Roman" w:cs="Times New Roman"/>
          <w:sz w:val="24"/>
          <w:szCs w:val="24"/>
        </w:rPr>
        <w:t>response rate (</w:t>
      </w:r>
      <w:r w:rsidRPr="0090469B">
        <w:rPr>
          <w:rFonts w:ascii="Times New Roman" w:eastAsiaTheme="minorHAnsi" w:hAnsi="Times New Roman" w:cs="Times New Roman"/>
          <w:sz w:val="24"/>
          <w:szCs w:val="24"/>
        </w:rPr>
        <w:t>after the five percentage poi</w:t>
      </w:r>
      <w:r w:rsidR="00826B82">
        <w:rPr>
          <w:rFonts w:ascii="Times New Roman" w:eastAsiaTheme="minorHAnsi" w:hAnsi="Times New Roman" w:cs="Times New Roman"/>
          <w:sz w:val="24"/>
          <w:szCs w:val="24"/>
        </w:rPr>
        <w:t>nt reduction)</w:t>
      </w:r>
      <w:r w:rsidRPr="0090469B">
        <w:rPr>
          <w:rFonts w:ascii="Times New Roman" w:eastAsiaTheme="minorHAnsi" w:hAnsi="Times New Roman" w:cs="Times New Roman"/>
          <w:sz w:val="24"/>
          <w:szCs w:val="24"/>
        </w:rPr>
        <w:t>.</w:t>
      </w:r>
    </w:p>
    <w:p w:rsidR="0090469B" w:rsidRPr="000029D6" w:rsidRDefault="0090469B" w:rsidP="00E6335D">
      <w:pPr>
        <w:pStyle w:val="PlainText"/>
        <w:ind w:left="0"/>
        <w:rPr>
          <w:rFonts w:ascii="Times New Roman" w:eastAsiaTheme="minorHAnsi" w:hAnsi="Times New Roman" w:cs="Times New Roman"/>
          <w:sz w:val="24"/>
          <w:szCs w:val="24"/>
        </w:rPr>
      </w:pPr>
    </w:p>
    <w:p w:rsidR="00E6335D" w:rsidRPr="000029D6" w:rsidRDefault="009D0282" w:rsidP="00E6335D">
      <w:pPr>
        <w:pStyle w:val="PlainText"/>
        <w:ind w:left="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take-every </w:t>
      </w:r>
      <w:r w:rsidR="00E6335D" w:rsidRPr="000029D6">
        <w:rPr>
          <w:rFonts w:ascii="Times New Roman" w:eastAsiaTheme="minorHAnsi" w:hAnsi="Times New Roman" w:cs="Times New Roman"/>
          <w:sz w:val="24"/>
          <w:szCs w:val="24"/>
        </w:rPr>
        <w:t>is the total household units in the MAF divided by the number of addresses that need to be sampled.</w:t>
      </w:r>
    </w:p>
    <w:p w:rsidR="00E6335D" w:rsidRDefault="00E6335D" w:rsidP="00E6335D">
      <w:pPr>
        <w:rPr>
          <w:rFonts w:ascii="Times New Roman" w:hAnsi="Times New Roman"/>
          <w:sz w:val="24"/>
          <w:szCs w:val="24"/>
        </w:rPr>
      </w:pPr>
    </w:p>
    <w:p w:rsidR="00797600" w:rsidRPr="000029D6" w:rsidRDefault="00797600" w:rsidP="00E6335D">
      <w:pPr>
        <w:rPr>
          <w:rFonts w:ascii="Times New Roman" w:hAnsi="Times New Roman"/>
          <w:sz w:val="24"/>
          <w:szCs w:val="24"/>
        </w:rPr>
      </w:pPr>
    </w:p>
    <w:p w:rsidR="00E6335D" w:rsidRDefault="00E6335D" w:rsidP="00E6335D">
      <w:pPr>
        <w:rPr>
          <w:rFonts w:ascii="Times New Roman" w:hAnsi="Times New Roman"/>
          <w:b/>
          <w:sz w:val="24"/>
          <w:szCs w:val="24"/>
        </w:rPr>
      </w:pPr>
      <w:r w:rsidRPr="00804B37">
        <w:rPr>
          <w:rFonts w:ascii="Times New Roman" w:hAnsi="Times New Roman"/>
          <w:b/>
          <w:sz w:val="24"/>
          <w:szCs w:val="24"/>
        </w:rPr>
        <w:t>Results</w:t>
      </w:r>
    </w:p>
    <w:p w:rsidR="00797600" w:rsidRPr="00747952" w:rsidRDefault="00797600" w:rsidP="00E6335D">
      <w:pPr>
        <w:rPr>
          <w:rFonts w:ascii="Times New Roman" w:hAnsi="Times New Roman"/>
          <w:sz w:val="24"/>
          <w:szCs w:val="24"/>
        </w:rPr>
      </w:pPr>
    </w:p>
    <w:p w:rsidR="00E6335D" w:rsidRPr="000029D6" w:rsidRDefault="005B2BD2" w:rsidP="00E6335D">
      <w:pPr>
        <w:rPr>
          <w:rFonts w:ascii="Times New Roman" w:hAnsi="Times New Roman"/>
          <w:sz w:val="24"/>
          <w:szCs w:val="24"/>
        </w:rPr>
      </w:pPr>
      <w:r w:rsidRPr="000029D6">
        <w:rPr>
          <w:rFonts w:ascii="Times New Roman" w:hAnsi="Times New Roman"/>
          <w:sz w:val="24"/>
          <w:szCs w:val="24"/>
        </w:rPr>
        <w:t xml:space="preserve">Attachments </w:t>
      </w:r>
      <w:r w:rsidR="00B164CD">
        <w:rPr>
          <w:rFonts w:ascii="Times New Roman" w:hAnsi="Times New Roman"/>
          <w:sz w:val="24"/>
          <w:szCs w:val="24"/>
        </w:rPr>
        <w:t>A and B</w:t>
      </w:r>
      <w:r w:rsidRPr="000029D6">
        <w:rPr>
          <w:rFonts w:ascii="Times New Roman" w:hAnsi="Times New Roman"/>
          <w:sz w:val="24"/>
          <w:szCs w:val="24"/>
        </w:rPr>
        <w:t xml:space="preserve"> show the allocation results of </w:t>
      </w:r>
      <w:r w:rsidR="005E79CD" w:rsidRPr="000029D6">
        <w:rPr>
          <w:rFonts w:ascii="Times New Roman" w:hAnsi="Times New Roman"/>
          <w:sz w:val="24"/>
          <w:szCs w:val="24"/>
        </w:rPr>
        <w:t>this memo.  Attachment</w:t>
      </w:r>
      <w:r w:rsidR="00E6335D" w:rsidRPr="000029D6">
        <w:rPr>
          <w:rFonts w:ascii="Times New Roman" w:hAnsi="Times New Roman"/>
          <w:sz w:val="24"/>
          <w:szCs w:val="24"/>
        </w:rPr>
        <w:t xml:space="preserve"> </w:t>
      </w:r>
      <w:r w:rsidR="00B164CD">
        <w:rPr>
          <w:rFonts w:ascii="Times New Roman" w:hAnsi="Times New Roman"/>
          <w:sz w:val="24"/>
          <w:szCs w:val="24"/>
        </w:rPr>
        <w:t>A</w:t>
      </w:r>
      <w:r w:rsidR="00E6335D" w:rsidRPr="000029D6">
        <w:rPr>
          <w:rFonts w:ascii="Times New Roman" w:hAnsi="Times New Roman"/>
          <w:sz w:val="24"/>
          <w:szCs w:val="24"/>
        </w:rPr>
        <w:t xml:space="preserve"> shows the number of addresses and the expected number of usable interviews in the 41 </w:t>
      </w:r>
      <w:r w:rsidR="00E6335D" w:rsidRPr="000029D6">
        <w:rPr>
          <w:rFonts w:ascii="Times New Roman" w:hAnsi="Times New Roman"/>
          <w:i/>
          <w:sz w:val="24"/>
          <w:szCs w:val="24"/>
        </w:rPr>
        <w:t>index areas</w:t>
      </w:r>
      <w:r w:rsidR="00E6335D" w:rsidRPr="000029D6">
        <w:rPr>
          <w:rFonts w:ascii="Times New Roman" w:hAnsi="Times New Roman"/>
          <w:sz w:val="24"/>
          <w:szCs w:val="24"/>
        </w:rPr>
        <w:t>, and A</w:t>
      </w:r>
      <w:r w:rsidR="005E79CD" w:rsidRPr="000029D6">
        <w:rPr>
          <w:rFonts w:ascii="Times New Roman" w:hAnsi="Times New Roman"/>
          <w:sz w:val="24"/>
          <w:szCs w:val="24"/>
        </w:rPr>
        <w:t>ttachment</w:t>
      </w:r>
      <w:r w:rsidR="00E6335D" w:rsidRPr="000029D6">
        <w:rPr>
          <w:rFonts w:ascii="Times New Roman" w:hAnsi="Times New Roman"/>
          <w:sz w:val="24"/>
          <w:szCs w:val="24"/>
        </w:rPr>
        <w:t xml:space="preserve"> </w:t>
      </w:r>
      <w:r w:rsidR="00B164CD">
        <w:rPr>
          <w:rFonts w:ascii="Times New Roman" w:hAnsi="Times New Roman"/>
          <w:sz w:val="24"/>
          <w:szCs w:val="24"/>
        </w:rPr>
        <w:t>B</w:t>
      </w:r>
      <w:r w:rsidR="00E6335D" w:rsidRPr="000029D6">
        <w:rPr>
          <w:rFonts w:ascii="Times New Roman" w:hAnsi="Times New Roman"/>
          <w:sz w:val="24"/>
          <w:szCs w:val="24"/>
        </w:rPr>
        <w:t xml:space="preserve"> shows the same numbers for the 91 </w:t>
      </w:r>
      <w:r w:rsidR="00E6335D" w:rsidRPr="000029D6">
        <w:rPr>
          <w:rFonts w:ascii="Times New Roman" w:hAnsi="Times New Roman"/>
          <w:i/>
          <w:sz w:val="24"/>
          <w:szCs w:val="24"/>
        </w:rPr>
        <w:t>PSUs</w:t>
      </w:r>
      <w:r w:rsidR="00E6335D" w:rsidRPr="000029D6">
        <w:rPr>
          <w:rFonts w:ascii="Times New Roman" w:hAnsi="Times New Roman"/>
          <w:sz w:val="24"/>
          <w:szCs w:val="24"/>
        </w:rPr>
        <w:t xml:space="preserve">.  </w:t>
      </w:r>
      <w:r w:rsidR="005034FB" w:rsidRPr="000029D6">
        <w:rPr>
          <w:rFonts w:ascii="Times New Roman" w:hAnsi="Times New Roman"/>
          <w:sz w:val="24"/>
          <w:szCs w:val="24"/>
        </w:rPr>
        <w:t>Attachment</w:t>
      </w:r>
      <w:r w:rsidR="00E6335D" w:rsidRPr="000029D6">
        <w:rPr>
          <w:rFonts w:ascii="Times New Roman" w:hAnsi="Times New Roman"/>
          <w:sz w:val="24"/>
          <w:szCs w:val="24"/>
        </w:rPr>
        <w:t xml:space="preserve"> </w:t>
      </w:r>
      <w:r w:rsidR="00B164CD">
        <w:rPr>
          <w:rFonts w:ascii="Times New Roman" w:hAnsi="Times New Roman"/>
          <w:sz w:val="24"/>
          <w:szCs w:val="24"/>
        </w:rPr>
        <w:t>C</w:t>
      </w:r>
      <w:r w:rsidR="00E6335D" w:rsidRPr="000029D6">
        <w:rPr>
          <w:rFonts w:ascii="Times New Roman" w:hAnsi="Times New Roman"/>
          <w:sz w:val="24"/>
          <w:szCs w:val="24"/>
        </w:rPr>
        <w:t xml:space="preserve"> shows the participation rates.</w:t>
      </w:r>
    </w:p>
    <w:p w:rsidR="00D74AB6" w:rsidRPr="00170BE1" w:rsidRDefault="00D74AB6">
      <w:pPr>
        <w:overflowPunct/>
        <w:autoSpaceDE/>
        <w:autoSpaceDN/>
        <w:adjustRightInd/>
        <w:textAlignment w:val="auto"/>
        <w:rPr>
          <w:rFonts w:ascii="Times New Roman" w:hAnsi="Times New Roman"/>
          <w:sz w:val="24"/>
          <w:szCs w:val="24"/>
        </w:rPr>
      </w:pPr>
    </w:p>
    <w:p w:rsidR="000F14D9" w:rsidRPr="00170BE1" w:rsidRDefault="000F14D9">
      <w:pPr>
        <w:overflowPunct/>
        <w:autoSpaceDE/>
        <w:autoSpaceDN/>
        <w:adjustRightInd/>
        <w:textAlignment w:val="auto"/>
        <w:rPr>
          <w:rFonts w:ascii="Times New Roman" w:hAnsi="Times New Roman"/>
          <w:sz w:val="24"/>
          <w:szCs w:val="24"/>
        </w:rPr>
      </w:pPr>
    </w:p>
    <w:p w:rsidR="00D74AB6" w:rsidRDefault="00CC19DA">
      <w:pPr>
        <w:overflowPunct/>
        <w:autoSpaceDE/>
        <w:autoSpaceDN/>
        <w:adjustRightInd/>
        <w:textAlignment w:val="auto"/>
        <w:rPr>
          <w:rFonts w:ascii="Times New Roman" w:hAnsi="Times New Roman"/>
          <w:b/>
          <w:sz w:val="24"/>
          <w:szCs w:val="24"/>
        </w:rPr>
      </w:pPr>
      <w:r w:rsidRPr="00CC19DA">
        <w:rPr>
          <w:rFonts w:ascii="Times New Roman" w:hAnsi="Times New Roman"/>
          <w:b/>
          <w:sz w:val="24"/>
          <w:szCs w:val="24"/>
        </w:rPr>
        <w:t>References</w:t>
      </w:r>
    </w:p>
    <w:p w:rsidR="0079125E" w:rsidRDefault="0079125E">
      <w:pPr>
        <w:overflowPunct/>
        <w:autoSpaceDE/>
        <w:autoSpaceDN/>
        <w:adjustRightInd/>
        <w:textAlignment w:val="auto"/>
        <w:rPr>
          <w:rFonts w:ascii="Times New Roman" w:hAnsi="Times New Roman"/>
          <w:sz w:val="24"/>
          <w:szCs w:val="24"/>
        </w:rPr>
      </w:pPr>
    </w:p>
    <w:p w:rsidR="000F7F41" w:rsidRPr="006712FB" w:rsidRDefault="009D0282" w:rsidP="000F7F41">
      <w:pPr>
        <w:pStyle w:val="FootnoteText"/>
        <w:rPr>
          <w:rFonts w:ascii="Times New Roman" w:hAnsi="Times New Roman"/>
          <w:sz w:val="24"/>
          <w:szCs w:val="24"/>
        </w:rPr>
      </w:pPr>
      <w:r>
        <w:rPr>
          <w:rFonts w:ascii="Times New Roman" w:hAnsi="Times New Roman"/>
          <w:sz w:val="24"/>
          <w:szCs w:val="24"/>
        </w:rPr>
        <w:t>Johnson-Herring</w:t>
      </w:r>
      <w:r w:rsidR="000F7F41" w:rsidRPr="006712FB">
        <w:rPr>
          <w:rFonts w:ascii="Times New Roman" w:hAnsi="Times New Roman"/>
          <w:sz w:val="24"/>
          <w:szCs w:val="24"/>
        </w:rPr>
        <w:t xml:space="preserve">, S. (2001). Bureau of Labor Statistics memorandum, “CE Minimum Within-PSU Sample Size,” from Sylvia Johnson-Herring to David Swanson, dated December 14, 2001.  </w:t>
      </w:r>
    </w:p>
    <w:p w:rsidR="000F7F41" w:rsidRPr="006712FB" w:rsidRDefault="000F7F41" w:rsidP="000F7F41">
      <w:pPr>
        <w:pStyle w:val="FootnoteText"/>
        <w:rPr>
          <w:rFonts w:ascii="Times New Roman" w:hAnsi="Times New Roman"/>
          <w:sz w:val="24"/>
          <w:szCs w:val="24"/>
        </w:rPr>
      </w:pPr>
    </w:p>
    <w:p w:rsidR="000F7F41" w:rsidRDefault="009D0282" w:rsidP="000F7F41">
      <w:pPr>
        <w:pStyle w:val="FootnoteText"/>
        <w:rPr>
          <w:rFonts w:ascii="Times New Roman" w:hAnsi="Times New Roman"/>
          <w:sz w:val="24"/>
          <w:szCs w:val="24"/>
        </w:rPr>
      </w:pPr>
      <w:r>
        <w:rPr>
          <w:rFonts w:ascii="Times New Roman" w:hAnsi="Times New Roman"/>
          <w:sz w:val="24"/>
          <w:szCs w:val="24"/>
        </w:rPr>
        <w:t>Johnson-Herring</w:t>
      </w:r>
      <w:r w:rsidR="000F7F41" w:rsidRPr="006712FB">
        <w:rPr>
          <w:rFonts w:ascii="Times New Roman" w:hAnsi="Times New Roman"/>
          <w:sz w:val="24"/>
          <w:szCs w:val="24"/>
        </w:rPr>
        <w:t>, S., Krieger, S., and Swanson, D.</w:t>
      </w:r>
      <w:r w:rsidR="000F7F41">
        <w:rPr>
          <w:rFonts w:ascii="Times New Roman" w:hAnsi="Times New Roman"/>
          <w:sz w:val="24"/>
          <w:szCs w:val="24"/>
        </w:rPr>
        <w:t xml:space="preserve"> (2005).</w:t>
      </w:r>
      <w:r w:rsidR="000F7F41" w:rsidRPr="006712FB">
        <w:rPr>
          <w:rFonts w:ascii="Times New Roman" w:hAnsi="Times New Roman"/>
          <w:sz w:val="24"/>
          <w:szCs w:val="24"/>
        </w:rPr>
        <w:t xml:space="preserve"> “Determining Area Sample Sizes for the Consumer Expenditure Survey,” Consumer Expenditure Survey Anthology, 2005.</w:t>
      </w:r>
    </w:p>
    <w:p w:rsidR="000F7F41" w:rsidRPr="006712FB" w:rsidRDefault="000F7F41" w:rsidP="000F7F41">
      <w:pPr>
        <w:pStyle w:val="FootnoteText"/>
        <w:rPr>
          <w:rFonts w:ascii="Times New Roman" w:hAnsi="Times New Roman"/>
          <w:sz w:val="24"/>
          <w:szCs w:val="24"/>
        </w:rPr>
      </w:pPr>
    </w:p>
    <w:p w:rsidR="000F7F41" w:rsidRDefault="000F7F41" w:rsidP="000F7F41">
      <w:pPr>
        <w:pStyle w:val="FootnoteText"/>
        <w:rPr>
          <w:rFonts w:ascii="Times New Roman" w:hAnsi="Times New Roman"/>
          <w:sz w:val="24"/>
          <w:szCs w:val="24"/>
        </w:rPr>
      </w:pPr>
      <w:r w:rsidRPr="006712FB">
        <w:rPr>
          <w:rFonts w:ascii="Times New Roman" w:hAnsi="Times New Roman"/>
          <w:sz w:val="24"/>
          <w:szCs w:val="24"/>
        </w:rPr>
        <w:t>Killion, R.</w:t>
      </w:r>
      <w:r w:rsidR="00DE7EBE">
        <w:rPr>
          <w:rFonts w:ascii="Times New Roman" w:hAnsi="Times New Roman"/>
          <w:sz w:val="24"/>
          <w:szCs w:val="24"/>
        </w:rPr>
        <w:t xml:space="preserve">A. (2012). </w:t>
      </w:r>
      <w:r w:rsidRPr="006712FB">
        <w:rPr>
          <w:rFonts w:ascii="Times New Roman" w:hAnsi="Times New Roman"/>
          <w:sz w:val="24"/>
          <w:szCs w:val="24"/>
        </w:rPr>
        <w:t>U.S. Census Bureau memorandum, “Sample Allocation Research for the Consumer Expenditures Interview Survey,” from Ruth Ann Killion to Jay Ryan, dated March 20, 2012.</w:t>
      </w:r>
    </w:p>
    <w:p w:rsidR="000F7F41" w:rsidRDefault="000F7F41" w:rsidP="00487EC2">
      <w:pPr>
        <w:pStyle w:val="FootnoteText"/>
        <w:rPr>
          <w:rFonts w:ascii="Times New Roman" w:hAnsi="Times New Roman"/>
          <w:sz w:val="24"/>
          <w:szCs w:val="24"/>
        </w:rPr>
      </w:pPr>
    </w:p>
    <w:p w:rsidR="000F7F41" w:rsidRDefault="00DE7EBE" w:rsidP="00487EC2">
      <w:pPr>
        <w:pStyle w:val="FootnoteText"/>
        <w:rPr>
          <w:rFonts w:ascii="Times New Roman" w:hAnsi="Times New Roman"/>
          <w:sz w:val="24"/>
          <w:szCs w:val="24"/>
        </w:rPr>
      </w:pPr>
      <w:r w:rsidRPr="00DE7EBE">
        <w:rPr>
          <w:rFonts w:ascii="Times New Roman" w:hAnsi="Times New Roman"/>
          <w:sz w:val="24"/>
          <w:szCs w:val="24"/>
        </w:rPr>
        <w:t>Rya</w:t>
      </w:r>
      <w:r>
        <w:rPr>
          <w:rFonts w:ascii="Times New Roman" w:hAnsi="Times New Roman"/>
          <w:sz w:val="24"/>
          <w:szCs w:val="24"/>
        </w:rPr>
        <w:t>n, J. (</w:t>
      </w:r>
      <w:r w:rsidRPr="00DE7EBE">
        <w:rPr>
          <w:rFonts w:ascii="Times New Roman" w:hAnsi="Times New Roman"/>
          <w:sz w:val="24"/>
          <w:szCs w:val="24"/>
        </w:rPr>
        <w:t>2012)</w:t>
      </w:r>
      <w:r>
        <w:rPr>
          <w:rFonts w:ascii="Times New Roman" w:hAnsi="Times New Roman"/>
          <w:sz w:val="24"/>
          <w:szCs w:val="24"/>
        </w:rPr>
        <w:t xml:space="preserve">. </w:t>
      </w:r>
      <w:r w:rsidRPr="00DE7EBE">
        <w:rPr>
          <w:rFonts w:ascii="Times New Roman" w:hAnsi="Times New Roman"/>
          <w:sz w:val="24"/>
          <w:szCs w:val="24"/>
        </w:rPr>
        <w:t>Bureau of Labor Statistics Memorandum “PSUs for the Consumer Expenditure Survey’s 2010 Census-Based Sample Design” from Jay Ryan to Richard Schwartz, dated December 19, 2012.</w:t>
      </w:r>
    </w:p>
    <w:p w:rsidR="000F7F41" w:rsidRDefault="000F7F41" w:rsidP="00487EC2">
      <w:pPr>
        <w:pStyle w:val="FootnoteText"/>
        <w:rPr>
          <w:rFonts w:ascii="Times New Roman" w:hAnsi="Times New Roman"/>
          <w:sz w:val="24"/>
          <w:szCs w:val="24"/>
        </w:rPr>
      </w:pPr>
    </w:p>
    <w:p w:rsidR="00487EC2" w:rsidRPr="006712FB" w:rsidRDefault="00487EC2" w:rsidP="00487EC2">
      <w:pPr>
        <w:pStyle w:val="FootnoteText"/>
        <w:rPr>
          <w:rFonts w:ascii="Times New Roman" w:hAnsi="Times New Roman"/>
          <w:sz w:val="24"/>
          <w:szCs w:val="24"/>
        </w:rPr>
      </w:pPr>
      <w:r w:rsidRPr="006712FB">
        <w:rPr>
          <w:rFonts w:ascii="Times New Roman" w:hAnsi="Times New Roman"/>
          <w:sz w:val="24"/>
          <w:szCs w:val="24"/>
        </w:rPr>
        <w:t>Swanson, D. (2001). Bureau of Labor Statistics memorandum, “Automating the CE Sample Allocation Process,” from David Swanson to SMD Files, dated January 10, 2001</w:t>
      </w:r>
    </w:p>
    <w:p w:rsidR="00487EC2" w:rsidRDefault="00487EC2">
      <w:pPr>
        <w:overflowPunct/>
        <w:autoSpaceDE/>
        <w:autoSpaceDN/>
        <w:adjustRightInd/>
        <w:textAlignment w:val="auto"/>
        <w:rPr>
          <w:rFonts w:ascii="Times New Roman" w:hAnsi="Times New Roman"/>
          <w:sz w:val="24"/>
          <w:szCs w:val="24"/>
        </w:rPr>
      </w:pPr>
    </w:p>
    <w:p w:rsidR="00487EC2" w:rsidRPr="006712FB" w:rsidRDefault="00487EC2" w:rsidP="00487EC2">
      <w:pPr>
        <w:pStyle w:val="FootnoteText"/>
        <w:rPr>
          <w:rFonts w:ascii="Times New Roman" w:hAnsi="Times New Roman"/>
          <w:sz w:val="24"/>
          <w:szCs w:val="24"/>
        </w:rPr>
      </w:pPr>
      <w:r w:rsidRPr="006712FB">
        <w:rPr>
          <w:rFonts w:ascii="Times New Roman" w:hAnsi="Times New Roman"/>
          <w:sz w:val="24"/>
          <w:szCs w:val="24"/>
        </w:rPr>
        <w:t>Swanson, D. (2002). “Determining Within-PSU Sample Sizes for the Consumer Expenditure Survey,” Proceedings of the Section on Government Statistics, American Statistical Association, 2002.</w:t>
      </w:r>
    </w:p>
    <w:p w:rsidR="00487EC2" w:rsidRPr="0079125E" w:rsidRDefault="00487EC2">
      <w:pPr>
        <w:overflowPunct/>
        <w:autoSpaceDE/>
        <w:autoSpaceDN/>
        <w:adjustRightInd/>
        <w:textAlignment w:val="auto"/>
        <w:rPr>
          <w:rFonts w:ascii="Times New Roman" w:hAnsi="Times New Roman"/>
          <w:sz w:val="24"/>
          <w:szCs w:val="24"/>
        </w:rPr>
      </w:pPr>
    </w:p>
    <w:p w:rsidR="007D4DBD" w:rsidRPr="006712FB" w:rsidRDefault="00E11DF3" w:rsidP="00E11DF3">
      <w:pPr>
        <w:overflowPunct/>
        <w:autoSpaceDE/>
        <w:autoSpaceDN/>
        <w:adjustRightInd/>
        <w:textAlignment w:val="auto"/>
        <w:rPr>
          <w:rFonts w:ascii="Times New Roman" w:hAnsi="Times New Roman"/>
          <w:sz w:val="24"/>
          <w:szCs w:val="24"/>
        </w:rPr>
      </w:pPr>
      <w:r w:rsidRPr="006712FB">
        <w:rPr>
          <w:rFonts w:ascii="Times New Roman" w:hAnsi="Times New Roman"/>
          <w:sz w:val="24"/>
          <w:szCs w:val="24"/>
        </w:rPr>
        <w:t xml:space="preserve">Swanson, D. (2009a). </w:t>
      </w:r>
      <w:r w:rsidR="00A95E14" w:rsidRPr="006712FB">
        <w:rPr>
          <w:rFonts w:ascii="Times New Roman" w:hAnsi="Times New Roman"/>
          <w:sz w:val="24"/>
          <w:szCs w:val="24"/>
        </w:rPr>
        <w:t>Bureau of Labor Statistics m</w:t>
      </w:r>
      <w:r w:rsidRPr="006712FB">
        <w:rPr>
          <w:rFonts w:ascii="Times New Roman" w:hAnsi="Times New Roman"/>
          <w:sz w:val="24"/>
          <w:szCs w:val="24"/>
        </w:rPr>
        <w:t>emorandum,</w:t>
      </w:r>
      <w:r w:rsidR="004003A8" w:rsidRPr="006712FB">
        <w:rPr>
          <w:rFonts w:ascii="Times New Roman" w:hAnsi="Times New Roman"/>
          <w:sz w:val="24"/>
          <w:szCs w:val="24"/>
        </w:rPr>
        <w:t xml:space="preserve"> “Allocating CE’s Nationwide Sample to Individual PSUs,” from David Swanson to</w:t>
      </w:r>
      <w:r w:rsidR="007D4DBD" w:rsidRPr="006712FB">
        <w:rPr>
          <w:rFonts w:ascii="Times New Roman" w:hAnsi="Times New Roman"/>
          <w:sz w:val="24"/>
          <w:szCs w:val="24"/>
        </w:rPr>
        <w:t xml:space="preserve"> Jay Ryan, </w:t>
      </w:r>
      <w:r w:rsidRPr="006712FB">
        <w:rPr>
          <w:rFonts w:ascii="Times New Roman" w:hAnsi="Times New Roman"/>
          <w:sz w:val="24"/>
          <w:szCs w:val="24"/>
        </w:rPr>
        <w:t xml:space="preserve">dated </w:t>
      </w:r>
      <w:r w:rsidR="007D4DBD" w:rsidRPr="006712FB">
        <w:rPr>
          <w:rFonts w:ascii="Times New Roman" w:hAnsi="Times New Roman"/>
          <w:sz w:val="24"/>
          <w:szCs w:val="24"/>
        </w:rPr>
        <w:t>September 15, 2009.</w:t>
      </w:r>
    </w:p>
    <w:p w:rsidR="007D4DBD" w:rsidRPr="006712FB" w:rsidRDefault="007D4DBD" w:rsidP="004003A8">
      <w:pPr>
        <w:pStyle w:val="FootnoteText"/>
        <w:rPr>
          <w:rFonts w:ascii="Times New Roman" w:hAnsi="Times New Roman"/>
          <w:sz w:val="24"/>
          <w:szCs w:val="24"/>
        </w:rPr>
      </w:pPr>
    </w:p>
    <w:p w:rsidR="007D4DBD" w:rsidRPr="006712FB" w:rsidRDefault="004C3634" w:rsidP="004003A8">
      <w:pPr>
        <w:pStyle w:val="FootnoteText"/>
        <w:rPr>
          <w:rFonts w:ascii="Times New Roman" w:hAnsi="Times New Roman"/>
          <w:sz w:val="24"/>
          <w:szCs w:val="24"/>
        </w:rPr>
      </w:pPr>
      <w:r w:rsidRPr="006712FB">
        <w:rPr>
          <w:rFonts w:ascii="Times New Roman" w:hAnsi="Times New Roman"/>
          <w:sz w:val="24"/>
          <w:szCs w:val="24"/>
        </w:rPr>
        <w:t xml:space="preserve">Swanson, D. (2009b). </w:t>
      </w:r>
      <w:r w:rsidR="00F32856" w:rsidRPr="006712FB">
        <w:rPr>
          <w:rFonts w:ascii="Times New Roman" w:hAnsi="Times New Roman"/>
          <w:sz w:val="24"/>
          <w:szCs w:val="24"/>
        </w:rPr>
        <w:t>Bureau of Labor Statistics m</w:t>
      </w:r>
      <w:r w:rsidRPr="006712FB">
        <w:rPr>
          <w:rFonts w:ascii="Times New Roman" w:hAnsi="Times New Roman"/>
          <w:sz w:val="24"/>
          <w:szCs w:val="24"/>
        </w:rPr>
        <w:t>emorandum, “Allocating CE’s Nationwide Sample to Individual PSUs,” from David Swanson to Jay Ryan, dated December 17, 2009.</w:t>
      </w:r>
    </w:p>
    <w:p w:rsidR="004C3634" w:rsidRDefault="004C3634" w:rsidP="004003A8">
      <w:pPr>
        <w:pStyle w:val="FootnoteText"/>
        <w:rPr>
          <w:rFonts w:ascii="Times New Roman" w:hAnsi="Times New Roman"/>
          <w:sz w:val="24"/>
          <w:szCs w:val="24"/>
        </w:rPr>
      </w:pPr>
    </w:p>
    <w:p w:rsidR="00487EC2" w:rsidRPr="006712FB" w:rsidRDefault="00487EC2" w:rsidP="00487EC2">
      <w:pPr>
        <w:overflowPunct/>
        <w:autoSpaceDE/>
        <w:autoSpaceDN/>
        <w:adjustRightInd/>
        <w:textAlignment w:val="auto"/>
        <w:rPr>
          <w:rFonts w:ascii="Times New Roman" w:hAnsi="Times New Roman"/>
          <w:sz w:val="24"/>
          <w:szCs w:val="24"/>
        </w:rPr>
      </w:pPr>
      <w:r w:rsidRPr="006712FB">
        <w:rPr>
          <w:rFonts w:ascii="Times New Roman" w:hAnsi="Times New Roman"/>
          <w:sz w:val="24"/>
          <w:szCs w:val="24"/>
        </w:rPr>
        <w:t>Swanson, D. (2013). Bureau of Labor Statistics memorandum, “Allocating CE’s Nationwide Sample to Individual PSUs,” dated July 19, 2013.</w:t>
      </w:r>
    </w:p>
    <w:p w:rsidR="00487EC2" w:rsidRDefault="00487EC2" w:rsidP="004003A8">
      <w:pPr>
        <w:pStyle w:val="FootnoteText"/>
        <w:rPr>
          <w:rFonts w:ascii="Times New Roman" w:hAnsi="Times New Roman"/>
          <w:sz w:val="24"/>
          <w:szCs w:val="24"/>
        </w:rPr>
      </w:pPr>
    </w:p>
    <w:p w:rsidR="004003A8" w:rsidRPr="006712FB" w:rsidRDefault="004003A8" w:rsidP="004003A8">
      <w:pPr>
        <w:pStyle w:val="FootnoteText"/>
        <w:rPr>
          <w:rFonts w:ascii="Times New Roman" w:hAnsi="Times New Roman"/>
          <w:sz w:val="24"/>
          <w:szCs w:val="24"/>
        </w:rPr>
      </w:pPr>
    </w:p>
    <w:p w:rsidR="00797600" w:rsidRDefault="00797600" w:rsidP="004003A8">
      <w:pPr>
        <w:pStyle w:val="FootnoteText"/>
        <w:rPr>
          <w:rFonts w:ascii="Times New Roman" w:hAnsi="Times New Roman"/>
          <w:sz w:val="24"/>
          <w:szCs w:val="24"/>
        </w:rPr>
      </w:pPr>
      <w:r>
        <w:rPr>
          <w:rFonts w:ascii="Times New Roman" w:hAnsi="Times New Roman"/>
          <w:sz w:val="24"/>
          <w:szCs w:val="24"/>
        </w:rPr>
        <w:t>Attachments</w:t>
      </w:r>
    </w:p>
    <w:p w:rsidR="00797600" w:rsidRDefault="00797600" w:rsidP="004003A8">
      <w:pPr>
        <w:pStyle w:val="FootnoteText"/>
        <w:rPr>
          <w:rFonts w:ascii="Times New Roman" w:hAnsi="Times New Roman"/>
          <w:sz w:val="24"/>
          <w:szCs w:val="24"/>
        </w:rPr>
      </w:pPr>
    </w:p>
    <w:p w:rsidR="002F1B16" w:rsidRDefault="002F1B16" w:rsidP="004003A8">
      <w:pPr>
        <w:pStyle w:val="FootnoteText"/>
        <w:rPr>
          <w:rFonts w:ascii="Times New Roman" w:hAnsi="Times New Roman"/>
          <w:sz w:val="24"/>
          <w:szCs w:val="24"/>
        </w:rPr>
      </w:pPr>
    </w:p>
    <w:p w:rsidR="00797600" w:rsidRPr="00797600" w:rsidRDefault="00797600" w:rsidP="00797600">
      <w:pPr>
        <w:pStyle w:val="FootnoteText"/>
        <w:rPr>
          <w:rFonts w:ascii="Times New Roman" w:hAnsi="Times New Roman"/>
          <w:sz w:val="24"/>
          <w:szCs w:val="24"/>
        </w:rPr>
      </w:pPr>
      <w:r w:rsidRPr="00797600">
        <w:rPr>
          <w:rFonts w:ascii="Times New Roman" w:hAnsi="Times New Roman"/>
          <w:sz w:val="24"/>
          <w:szCs w:val="24"/>
        </w:rPr>
        <w:t>cc: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190"/>
      </w:tblGrid>
      <w:tr w:rsidR="00455266" w:rsidRPr="00774DD4" w:rsidTr="00BE1F3D">
        <w:tc>
          <w:tcPr>
            <w:tcW w:w="1590" w:type="dxa"/>
          </w:tcPr>
          <w:p w:rsidR="00455266" w:rsidRPr="00774DD4" w:rsidRDefault="00455266" w:rsidP="004003A8">
            <w:pPr>
              <w:pStyle w:val="FootnoteText"/>
              <w:rPr>
                <w:rFonts w:ascii="Times New Roman" w:hAnsi="Times New Roman"/>
                <w:sz w:val="24"/>
                <w:szCs w:val="24"/>
              </w:rPr>
            </w:pPr>
            <w:r w:rsidRPr="00774DD4">
              <w:rPr>
                <w:rFonts w:ascii="Times New Roman" w:hAnsi="Times New Roman"/>
                <w:sz w:val="24"/>
                <w:szCs w:val="24"/>
              </w:rPr>
              <w:t>D. Castelo</w:t>
            </w:r>
          </w:p>
        </w:tc>
        <w:tc>
          <w:tcPr>
            <w:tcW w:w="1190" w:type="dxa"/>
          </w:tcPr>
          <w:p w:rsidR="00455266" w:rsidRPr="00774DD4" w:rsidRDefault="00455266" w:rsidP="004003A8">
            <w:pPr>
              <w:pStyle w:val="FootnoteText"/>
              <w:rPr>
                <w:rFonts w:ascii="Times New Roman" w:hAnsi="Times New Roman"/>
                <w:sz w:val="24"/>
                <w:szCs w:val="24"/>
              </w:rPr>
            </w:pPr>
            <w:r w:rsidRPr="00774DD4">
              <w:rPr>
                <w:rFonts w:ascii="Times New Roman" w:hAnsi="Times New Roman"/>
                <w:sz w:val="24"/>
                <w:szCs w:val="24"/>
              </w:rPr>
              <w:t>(DSMD)</w:t>
            </w:r>
          </w:p>
        </w:tc>
      </w:tr>
      <w:tr w:rsidR="00455266" w:rsidRPr="00774DD4" w:rsidTr="00BE1F3D">
        <w:tc>
          <w:tcPr>
            <w:tcW w:w="1590" w:type="dxa"/>
          </w:tcPr>
          <w:p w:rsidR="00455266" w:rsidRPr="00774DD4" w:rsidRDefault="004058C7" w:rsidP="004003A8">
            <w:pPr>
              <w:pStyle w:val="FootnoteText"/>
              <w:rPr>
                <w:rFonts w:ascii="Times New Roman" w:hAnsi="Times New Roman"/>
                <w:sz w:val="24"/>
                <w:szCs w:val="24"/>
              </w:rPr>
            </w:pPr>
            <w:r w:rsidRPr="00774DD4">
              <w:rPr>
                <w:rFonts w:ascii="Times New Roman" w:hAnsi="Times New Roman"/>
                <w:sz w:val="24"/>
                <w:szCs w:val="24"/>
              </w:rPr>
              <w:t>S. Ash</w:t>
            </w:r>
          </w:p>
        </w:tc>
        <w:tc>
          <w:tcPr>
            <w:tcW w:w="1190" w:type="dxa"/>
          </w:tcPr>
          <w:p w:rsidR="00455266" w:rsidRPr="00774DD4" w:rsidRDefault="00455266" w:rsidP="004003A8">
            <w:pPr>
              <w:pStyle w:val="FootnoteText"/>
              <w:rPr>
                <w:rFonts w:ascii="Times New Roman" w:hAnsi="Times New Roman"/>
                <w:sz w:val="24"/>
                <w:szCs w:val="24"/>
              </w:rPr>
            </w:pPr>
          </w:p>
        </w:tc>
      </w:tr>
      <w:tr w:rsidR="00455266" w:rsidRPr="00774DD4" w:rsidTr="00BE1F3D">
        <w:tc>
          <w:tcPr>
            <w:tcW w:w="1590" w:type="dxa"/>
          </w:tcPr>
          <w:p w:rsidR="00455266" w:rsidRPr="00774DD4" w:rsidRDefault="004058C7" w:rsidP="004003A8">
            <w:pPr>
              <w:pStyle w:val="FootnoteText"/>
              <w:rPr>
                <w:rFonts w:ascii="Times New Roman" w:hAnsi="Times New Roman"/>
                <w:sz w:val="24"/>
                <w:szCs w:val="24"/>
              </w:rPr>
            </w:pPr>
            <w:r w:rsidRPr="00774DD4">
              <w:rPr>
                <w:rFonts w:ascii="Times New Roman" w:hAnsi="Times New Roman"/>
                <w:sz w:val="24"/>
                <w:szCs w:val="24"/>
              </w:rPr>
              <w:t>J. Farber</w:t>
            </w:r>
          </w:p>
        </w:tc>
        <w:tc>
          <w:tcPr>
            <w:tcW w:w="1190" w:type="dxa"/>
          </w:tcPr>
          <w:p w:rsidR="00455266" w:rsidRPr="00774DD4" w:rsidRDefault="00455266" w:rsidP="004003A8">
            <w:pPr>
              <w:pStyle w:val="FootnoteText"/>
              <w:rPr>
                <w:rFonts w:ascii="Times New Roman" w:hAnsi="Times New Roman"/>
                <w:sz w:val="24"/>
                <w:szCs w:val="24"/>
              </w:rPr>
            </w:pPr>
          </w:p>
        </w:tc>
      </w:tr>
      <w:tr w:rsidR="00455266" w:rsidRPr="00774DD4" w:rsidTr="00BE1F3D">
        <w:tc>
          <w:tcPr>
            <w:tcW w:w="1590" w:type="dxa"/>
          </w:tcPr>
          <w:p w:rsidR="00455266" w:rsidRPr="00774DD4" w:rsidRDefault="00455266" w:rsidP="004003A8">
            <w:pPr>
              <w:pStyle w:val="FootnoteText"/>
              <w:rPr>
                <w:rFonts w:ascii="Times New Roman" w:hAnsi="Times New Roman"/>
                <w:sz w:val="24"/>
                <w:szCs w:val="24"/>
              </w:rPr>
            </w:pPr>
            <w:r w:rsidRPr="00774DD4">
              <w:rPr>
                <w:rFonts w:ascii="Times New Roman" w:hAnsi="Times New Roman"/>
                <w:sz w:val="24"/>
                <w:szCs w:val="24"/>
              </w:rPr>
              <w:t>S. Bechtle</w:t>
            </w:r>
          </w:p>
        </w:tc>
        <w:tc>
          <w:tcPr>
            <w:tcW w:w="1190" w:type="dxa"/>
          </w:tcPr>
          <w:p w:rsidR="00455266" w:rsidRPr="00774DD4" w:rsidRDefault="00455266" w:rsidP="004003A8">
            <w:pPr>
              <w:pStyle w:val="FootnoteText"/>
              <w:rPr>
                <w:rFonts w:ascii="Times New Roman" w:hAnsi="Times New Roman"/>
                <w:sz w:val="24"/>
                <w:szCs w:val="24"/>
              </w:rPr>
            </w:pPr>
          </w:p>
        </w:tc>
      </w:tr>
      <w:tr w:rsidR="00455266" w:rsidRPr="00774DD4" w:rsidTr="00BE1F3D">
        <w:tc>
          <w:tcPr>
            <w:tcW w:w="1590" w:type="dxa"/>
          </w:tcPr>
          <w:p w:rsidR="00455266" w:rsidRPr="00774DD4" w:rsidRDefault="00774DD4" w:rsidP="004003A8">
            <w:pPr>
              <w:pStyle w:val="FootnoteText"/>
              <w:rPr>
                <w:rFonts w:ascii="Times New Roman" w:hAnsi="Times New Roman"/>
                <w:sz w:val="24"/>
                <w:szCs w:val="24"/>
              </w:rPr>
            </w:pPr>
            <w:r w:rsidRPr="00774DD4">
              <w:rPr>
                <w:rFonts w:ascii="Times New Roman" w:hAnsi="Times New Roman"/>
                <w:sz w:val="24"/>
                <w:szCs w:val="24"/>
              </w:rPr>
              <w:t>C. Pickering</w:t>
            </w:r>
          </w:p>
        </w:tc>
        <w:tc>
          <w:tcPr>
            <w:tcW w:w="1190" w:type="dxa"/>
          </w:tcPr>
          <w:p w:rsidR="00455266" w:rsidRPr="00774DD4" w:rsidRDefault="00455266" w:rsidP="004003A8">
            <w:pPr>
              <w:pStyle w:val="FootnoteText"/>
              <w:rPr>
                <w:rFonts w:ascii="Times New Roman" w:hAnsi="Times New Roman"/>
                <w:sz w:val="24"/>
                <w:szCs w:val="24"/>
              </w:rPr>
            </w:pPr>
            <w:r w:rsidRPr="00774DD4">
              <w:rPr>
                <w:rFonts w:ascii="Times New Roman" w:hAnsi="Times New Roman"/>
                <w:sz w:val="24"/>
                <w:szCs w:val="24"/>
              </w:rPr>
              <w:t>(ADDP)</w:t>
            </w:r>
          </w:p>
        </w:tc>
      </w:tr>
      <w:tr w:rsidR="00774DD4" w:rsidRPr="00774DD4" w:rsidTr="00BE1F3D">
        <w:tc>
          <w:tcPr>
            <w:tcW w:w="1590" w:type="dxa"/>
          </w:tcPr>
          <w:p w:rsidR="00774DD4" w:rsidRPr="00774DD4" w:rsidRDefault="004058C7" w:rsidP="004058C7">
            <w:pPr>
              <w:pStyle w:val="FootnoteText"/>
              <w:rPr>
                <w:rFonts w:ascii="Times New Roman" w:hAnsi="Times New Roman"/>
                <w:sz w:val="24"/>
                <w:szCs w:val="24"/>
              </w:rPr>
            </w:pPr>
            <w:r w:rsidRPr="00774DD4">
              <w:rPr>
                <w:rFonts w:ascii="Times New Roman" w:hAnsi="Times New Roman"/>
                <w:sz w:val="24"/>
                <w:szCs w:val="24"/>
              </w:rPr>
              <w:t>R. Schwartz</w:t>
            </w:r>
          </w:p>
        </w:tc>
        <w:tc>
          <w:tcPr>
            <w:tcW w:w="1190" w:type="dxa"/>
          </w:tcPr>
          <w:p w:rsidR="00774DD4" w:rsidRPr="00774DD4" w:rsidRDefault="00774DD4" w:rsidP="004003A8">
            <w:pPr>
              <w:pStyle w:val="FootnoteText"/>
              <w:rPr>
                <w:rFonts w:ascii="Times New Roman" w:hAnsi="Times New Roman"/>
                <w:sz w:val="24"/>
                <w:szCs w:val="24"/>
              </w:rPr>
            </w:pPr>
          </w:p>
        </w:tc>
      </w:tr>
      <w:tr w:rsidR="00774DD4" w:rsidRPr="00774DD4" w:rsidTr="00BE1F3D">
        <w:tc>
          <w:tcPr>
            <w:tcW w:w="1590" w:type="dxa"/>
          </w:tcPr>
          <w:p w:rsidR="00774DD4" w:rsidRPr="00774DD4" w:rsidRDefault="004058C7" w:rsidP="004058C7">
            <w:pPr>
              <w:pStyle w:val="FootnoteText"/>
              <w:rPr>
                <w:rFonts w:ascii="Times New Roman" w:hAnsi="Times New Roman"/>
                <w:sz w:val="24"/>
                <w:szCs w:val="24"/>
              </w:rPr>
            </w:pPr>
            <w:r w:rsidRPr="00774DD4">
              <w:rPr>
                <w:rFonts w:ascii="Times New Roman" w:hAnsi="Times New Roman"/>
                <w:sz w:val="24"/>
                <w:szCs w:val="24"/>
              </w:rPr>
              <w:t>C. Seamands</w:t>
            </w:r>
          </w:p>
        </w:tc>
        <w:tc>
          <w:tcPr>
            <w:tcW w:w="1190" w:type="dxa"/>
          </w:tcPr>
          <w:p w:rsidR="00774DD4" w:rsidRPr="00774DD4" w:rsidRDefault="00774DD4" w:rsidP="004003A8">
            <w:pPr>
              <w:pStyle w:val="FootnoteText"/>
              <w:rPr>
                <w:rFonts w:ascii="Times New Roman" w:hAnsi="Times New Roman"/>
                <w:sz w:val="24"/>
                <w:szCs w:val="24"/>
              </w:rPr>
            </w:pPr>
          </w:p>
        </w:tc>
      </w:tr>
      <w:tr w:rsidR="00774DD4" w:rsidRPr="00774DD4" w:rsidTr="00BE1F3D">
        <w:tc>
          <w:tcPr>
            <w:tcW w:w="1590" w:type="dxa"/>
          </w:tcPr>
          <w:p w:rsidR="00774DD4" w:rsidRPr="00774DD4" w:rsidRDefault="00774DD4" w:rsidP="004058C7">
            <w:pPr>
              <w:pStyle w:val="FootnoteText"/>
              <w:rPr>
                <w:rFonts w:ascii="Times New Roman" w:hAnsi="Times New Roman"/>
                <w:sz w:val="24"/>
                <w:szCs w:val="24"/>
              </w:rPr>
            </w:pPr>
            <w:r w:rsidRPr="00774DD4">
              <w:rPr>
                <w:rFonts w:ascii="Times New Roman" w:hAnsi="Times New Roman"/>
                <w:sz w:val="24"/>
                <w:szCs w:val="24"/>
              </w:rPr>
              <w:t>D. Swanson</w:t>
            </w:r>
          </w:p>
        </w:tc>
        <w:tc>
          <w:tcPr>
            <w:tcW w:w="1190" w:type="dxa"/>
          </w:tcPr>
          <w:p w:rsidR="00774DD4" w:rsidRPr="00774DD4" w:rsidRDefault="00774DD4" w:rsidP="004003A8">
            <w:pPr>
              <w:pStyle w:val="FootnoteText"/>
              <w:rPr>
                <w:rFonts w:ascii="Times New Roman" w:hAnsi="Times New Roman"/>
                <w:sz w:val="24"/>
                <w:szCs w:val="24"/>
              </w:rPr>
            </w:pPr>
            <w:r w:rsidRPr="00774DD4">
              <w:rPr>
                <w:rFonts w:ascii="Times New Roman" w:hAnsi="Times New Roman"/>
                <w:sz w:val="24"/>
                <w:szCs w:val="24"/>
              </w:rPr>
              <w:t>(BLS)</w:t>
            </w:r>
          </w:p>
        </w:tc>
      </w:tr>
      <w:tr w:rsidR="00774DD4" w:rsidRPr="00774DD4" w:rsidTr="00BE1F3D">
        <w:tc>
          <w:tcPr>
            <w:tcW w:w="1590" w:type="dxa"/>
          </w:tcPr>
          <w:p w:rsidR="00774DD4" w:rsidRPr="00774DD4" w:rsidRDefault="00774DD4" w:rsidP="004058C7">
            <w:pPr>
              <w:pStyle w:val="FootnoteText"/>
              <w:rPr>
                <w:rFonts w:ascii="Times New Roman" w:hAnsi="Times New Roman"/>
                <w:sz w:val="24"/>
                <w:szCs w:val="24"/>
              </w:rPr>
            </w:pPr>
            <w:r w:rsidRPr="00774DD4">
              <w:rPr>
                <w:rFonts w:ascii="Times New Roman" w:hAnsi="Times New Roman"/>
                <w:sz w:val="24"/>
                <w:szCs w:val="24"/>
              </w:rPr>
              <w:t>S. Paben</w:t>
            </w:r>
          </w:p>
        </w:tc>
        <w:tc>
          <w:tcPr>
            <w:tcW w:w="1190" w:type="dxa"/>
          </w:tcPr>
          <w:p w:rsidR="00774DD4" w:rsidRPr="00774DD4" w:rsidRDefault="00774DD4" w:rsidP="004003A8">
            <w:pPr>
              <w:pStyle w:val="FootnoteText"/>
              <w:rPr>
                <w:rFonts w:ascii="Times New Roman" w:hAnsi="Times New Roman"/>
                <w:sz w:val="24"/>
                <w:szCs w:val="24"/>
              </w:rPr>
            </w:pPr>
          </w:p>
        </w:tc>
      </w:tr>
      <w:tr w:rsidR="00774DD4" w:rsidRPr="00774DD4" w:rsidTr="00BE1F3D">
        <w:tc>
          <w:tcPr>
            <w:tcW w:w="1590" w:type="dxa"/>
          </w:tcPr>
          <w:p w:rsidR="00774DD4" w:rsidRPr="00774DD4" w:rsidRDefault="00774DD4" w:rsidP="004058C7">
            <w:pPr>
              <w:pStyle w:val="FootnoteText"/>
              <w:rPr>
                <w:rFonts w:ascii="Times New Roman" w:hAnsi="Times New Roman"/>
                <w:sz w:val="24"/>
                <w:szCs w:val="24"/>
              </w:rPr>
            </w:pPr>
            <w:r w:rsidRPr="00774DD4">
              <w:rPr>
                <w:rFonts w:ascii="Times New Roman" w:hAnsi="Times New Roman"/>
                <w:sz w:val="24"/>
                <w:szCs w:val="24"/>
              </w:rPr>
              <w:t>T. Olson</w:t>
            </w:r>
          </w:p>
        </w:tc>
        <w:tc>
          <w:tcPr>
            <w:tcW w:w="1190" w:type="dxa"/>
          </w:tcPr>
          <w:p w:rsidR="00774DD4" w:rsidRPr="00774DD4" w:rsidRDefault="00774DD4" w:rsidP="004003A8">
            <w:pPr>
              <w:pStyle w:val="FootnoteText"/>
              <w:rPr>
                <w:rFonts w:ascii="Times New Roman" w:hAnsi="Times New Roman"/>
                <w:sz w:val="24"/>
                <w:szCs w:val="24"/>
              </w:rPr>
            </w:pPr>
          </w:p>
        </w:tc>
      </w:tr>
    </w:tbl>
    <w:p w:rsidR="00F1442A" w:rsidRDefault="00F1442A" w:rsidP="004003A8">
      <w:pPr>
        <w:pStyle w:val="FootnoteText"/>
      </w:pPr>
    </w:p>
    <w:p w:rsidR="00F1442A" w:rsidRDefault="00F1442A">
      <w:pPr>
        <w:overflowPunct/>
        <w:autoSpaceDE/>
        <w:autoSpaceDN/>
        <w:adjustRightInd/>
        <w:textAlignment w:val="auto"/>
        <w:sectPr w:rsidR="00F1442A" w:rsidSect="00190FF8">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60"/>
        </w:sectPr>
      </w:pPr>
    </w:p>
    <w:p w:rsidR="00E6335D" w:rsidRDefault="00E6335D" w:rsidP="00E6335D"/>
    <w:p w:rsidR="00E6335D" w:rsidRPr="00F1442A" w:rsidRDefault="00E6335D" w:rsidP="00E6335D">
      <w:pPr>
        <w:jc w:val="center"/>
        <w:rPr>
          <w:rFonts w:ascii="Times New Roman" w:hAnsi="Times New Roman"/>
          <w:b/>
          <w:sz w:val="24"/>
          <w:szCs w:val="24"/>
        </w:rPr>
      </w:pPr>
      <w:r w:rsidRPr="00F1442A">
        <w:rPr>
          <w:rFonts w:ascii="Times New Roman" w:hAnsi="Times New Roman"/>
          <w:b/>
          <w:sz w:val="24"/>
          <w:szCs w:val="24"/>
        </w:rPr>
        <w:t xml:space="preserve">Number of Sample Addresses and </w:t>
      </w:r>
    </w:p>
    <w:p w:rsidR="00E6335D" w:rsidRPr="00F1442A" w:rsidRDefault="00E6335D" w:rsidP="00E6335D">
      <w:pPr>
        <w:jc w:val="center"/>
        <w:rPr>
          <w:rFonts w:ascii="Times New Roman" w:hAnsi="Times New Roman"/>
          <w:b/>
          <w:sz w:val="24"/>
          <w:szCs w:val="24"/>
          <w:u w:val="single"/>
        </w:rPr>
      </w:pPr>
      <w:r w:rsidRPr="00F1442A">
        <w:rPr>
          <w:rFonts w:ascii="Times New Roman" w:hAnsi="Times New Roman"/>
          <w:b/>
          <w:sz w:val="24"/>
          <w:szCs w:val="24"/>
        </w:rPr>
        <w:t>Expected Number of Usable Interviews in the 41 Index Areas</w:t>
      </w:r>
    </w:p>
    <w:p w:rsidR="00E6335D" w:rsidRPr="00F1442A" w:rsidRDefault="00E6335D" w:rsidP="00E6335D">
      <w:pPr>
        <w:pStyle w:val="NoSpacing"/>
        <w:rPr>
          <w:rFonts w:ascii="Times New Roman" w:hAnsi="Times New Roman" w:cs="Times New Roman"/>
          <w:sz w:val="24"/>
          <w:szCs w:val="24"/>
        </w:rPr>
      </w:pPr>
    </w:p>
    <w:p w:rsidR="00E6335D" w:rsidRPr="00F1442A" w:rsidRDefault="00E6335D" w:rsidP="00E6335D">
      <w:pPr>
        <w:pStyle w:val="NoSpacing"/>
        <w:jc w:val="center"/>
        <w:rPr>
          <w:rFonts w:ascii="Times New Roman" w:hAnsi="Times New Roman" w:cs="Times New Roman"/>
          <w:sz w:val="24"/>
          <w:szCs w:val="24"/>
        </w:rPr>
      </w:pPr>
      <w:r w:rsidRPr="00F1442A">
        <w:rPr>
          <w:rFonts w:ascii="Times New Roman" w:hAnsi="Times New Roman" w:cs="Times New Roman"/>
          <w:sz w:val="24"/>
          <w:szCs w:val="24"/>
        </w:rPr>
        <w:t>This is the nationwide sample of 12,000 addresses allocated to the</w:t>
      </w:r>
    </w:p>
    <w:p w:rsidR="00E6335D" w:rsidRDefault="00E6335D" w:rsidP="00E6335D">
      <w:pPr>
        <w:pStyle w:val="NoSpacing"/>
        <w:jc w:val="center"/>
        <w:rPr>
          <w:rFonts w:ascii="Times New Roman" w:hAnsi="Times New Roman" w:cs="Times New Roman"/>
          <w:sz w:val="24"/>
          <w:szCs w:val="24"/>
        </w:rPr>
      </w:pPr>
      <w:r w:rsidRPr="00F1442A">
        <w:rPr>
          <w:rFonts w:ascii="Times New Roman" w:hAnsi="Times New Roman" w:cs="Times New Roman"/>
          <w:sz w:val="24"/>
          <w:szCs w:val="24"/>
        </w:rPr>
        <w:t>41 index areas along with the expected number of usable interviews.</w:t>
      </w:r>
    </w:p>
    <w:p w:rsidR="00F1442A" w:rsidRPr="00F1442A" w:rsidRDefault="00F1442A" w:rsidP="00E6335D">
      <w:pPr>
        <w:pStyle w:val="NoSpacing"/>
        <w:jc w:val="center"/>
        <w:rPr>
          <w:rFonts w:ascii="Times New Roman" w:hAnsi="Times New Roman" w:cs="Times New Roman"/>
          <w:sz w:val="24"/>
          <w:szCs w:val="24"/>
        </w:rPr>
      </w:pPr>
    </w:p>
    <w:p w:rsidR="00E6335D" w:rsidRDefault="00E6335D" w:rsidP="00E6335D">
      <w:pPr>
        <w:pStyle w:val="PlainText"/>
        <w:ind w:left="0"/>
        <w:jc w:val="center"/>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0"/>
        <w:gridCol w:w="657"/>
        <w:gridCol w:w="1116"/>
        <w:gridCol w:w="956"/>
        <w:gridCol w:w="936"/>
        <w:gridCol w:w="1012"/>
        <w:gridCol w:w="878"/>
      </w:tblGrid>
      <w:tr w:rsidR="00E6335D" w:rsidRPr="00606F55" w:rsidTr="00A6636B">
        <w:trPr>
          <w:jc w:val="center"/>
        </w:trPr>
        <w:tc>
          <w:tcPr>
            <w:tcW w:w="450" w:type="dxa"/>
            <w:tcBorders>
              <w:top w:val="single" w:sz="4" w:space="0" w:color="auto"/>
              <w:left w:val="single" w:sz="4" w:space="0" w:color="auto"/>
              <w:bottom w:val="nil"/>
              <w:right w:val="nil"/>
            </w:tcBorders>
            <w:vAlign w:val="center"/>
          </w:tcPr>
          <w:p w:rsidR="00E6335D" w:rsidRPr="00606F55" w:rsidRDefault="00E6335D" w:rsidP="00033601">
            <w:pPr>
              <w:pStyle w:val="PlainText"/>
              <w:ind w:left="0"/>
              <w:jc w:val="center"/>
              <w:rPr>
                <w:rFonts w:ascii="Times New Roman" w:hAnsi="Times New Roman" w:cs="Times New Roman"/>
                <w:b/>
                <w:sz w:val="18"/>
              </w:rPr>
            </w:pPr>
            <w:bookmarkStart w:id="1" w:name="OLE_LINK1"/>
            <w:bookmarkStart w:id="2" w:name="OLE_LINK4"/>
            <w:bookmarkStart w:id="3" w:name="OLE_LINK6"/>
            <w:bookmarkStart w:id="4" w:name="OLE_LINK8"/>
            <w:bookmarkStart w:id="5" w:name="OLE_LINK9"/>
            <w:bookmarkStart w:id="6" w:name="OLE_LINK17"/>
            <w:bookmarkStart w:id="7" w:name="OLE_LINK18"/>
          </w:p>
        </w:tc>
        <w:tc>
          <w:tcPr>
            <w:tcW w:w="657" w:type="dxa"/>
            <w:tcBorders>
              <w:top w:val="single" w:sz="4" w:space="0" w:color="auto"/>
              <w:left w:val="nil"/>
              <w:bottom w:val="nil"/>
              <w:right w:val="nil"/>
            </w:tcBorders>
            <w:vAlign w:val="center"/>
            <w:hideMark/>
          </w:tcPr>
          <w:p w:rsidR="00E6335D" w:rsidRPr="00606F55" w:rsidRDefault="00E6335D" w:rsidP="00033601">
            <w:pPr>
              <w:pStyle w:val="PlainText"/>
              <w:ind w:left="0"/>
              <w:jc w:val="center"/>
              <w:rPr>
                <w:rFonts w:ascii="Times New Roman" w:hAnsi="Times New Roman" w:cs="Times New Roman"/>
                <w:b/>
                <w:sz w:val="18"/>
              </w:rPr>
            </w:pPr>
            <w:r w:rsidRPr="00606F55">
              <w:rPr>
                <w:rFonts w:ascii="Times New Roman" w:hAnsi="Times New Roman" w:cs="Times New Roman"/>
                <w:b/>
                <w:sz w:val="18"/>
              </w:rPr>
              <w:t>Index</w:t>
            </w:r>
          </w:p>
        </w:tc>
        <w:tc>
          <w:tcPr>
            <w:tcW w:w="1116" w:type="dxa"/>
            <w:tcBorders>
              <w:top w:val="single" w:sz="4" w:space="0" w:color="auto"/>
              <w:left w:val="nil"/>
              <w:bottom w:val="nil"/>
              <w:right w:val="nil"/>
            </w:tcBorders>
            <w:vAlign w:val="center"/>
          </w:tcPr>
          <w:p w:rsidR="00E6335D" w:rsidRPr="00606F55" w:rsidRDefault="00E6335D" w:rsidP="00033601">
            <w:pPr>
              <w:pStyle w:val="PlainText"/>
              <w:ind w:left="0"/>
              <w:jc w:val="center"/>
              <w:rPr>
                <w:rFonts w:ascii="Times New Roman" w:hAnsi="Times New Roman" w:cs="Times New Roman"/>
                <w:b/>
                <w:sz w:val="18"/>
              </w:rPr>
            </w:pPr>
          </w:p>
        </w:tc>
        <w:tc>
          <w:tcPr>
            <w:tcW w:w="1892" w:type="dxa"/>
            <w:gridSpan w:val="2"/>
            <w:tcBorders>
              <w:top w:val="single" w:sz="4" w:space="0" w:color="auto"/>
              <w:left w:val="nil"/>
              <w:bottom w:val="nil"/>
              <w:right w:val="nil"/>
            </w:tcBorders>
            <w:vAlign w:val="center"/>
            <w:hideMark/>
          </w:tcPr>
          <w:p w:rsidR="00E6335D" w:rsidRPr="00606F55" w:rsidRDefault="00E6335D" w:rsidP="00033601">
            <w:pPr>
              <w:pStyle w:val="PlainText"/>
              <w:ind w:left="0"/>
              <w:jc w:val="center"/>
              <w:rPr>
                <w:rFonts w:ascii="Times New Roman" w:hAnsi="Times New Roman" w:cs="Times New Roman"/>
                <w:b/>
                <w:sz w:val="18"/>
                <w:u w:val="single"/>
              </w:rPr>
            </w:pPr>
            <w:r w:rsidRPr="00606F55">
              <w:rPr>
                <w:rFonts w:ascii="Times New Roman" w:hAnsi="Times New Roman" w:cs="Times New Roman"/>
                <w:b/>
                <w:sz w:val="18"/>
                <w:u w:val="single"/>
              </w:rPr>
              <w:t># Addresses</w:t>
            </w:r>
          </w:p>
        </w:tc>
        <w:tc>
          <w:tcPr>
            <w:tcW w:w="1890" w:type="dxa"/>
            <w:gridSpan w:val="2"/>
            <w:tcBorders>
              <w:top w:val="single" w:sz="4" w:space="0" w:color="auto"/>
              <w:left w:val="nil"/>
              <w:bottom w:val="nil"/>
              <w:right w:val="single" w:sz="4" w:space="0" w:color="auto"/>
            </w:tcBorders>
            <w:vAlign w:val="center"/>
            <w:hideMark/>
          </w:tcPr>
          <w:p w:rsidR="00E6335D" w:rsidRPr="00606F55" w:rsidRDefault="00E6335D" w:rsidP="00016AAD">
            <w:pPr>
              <w:pStyle w:val="PlainText"/>
              <w:ind w:left="0"/>
              <w:jc w:val="center"/>
              <w:rPr>
                <w:rFonts w:ascii="Times New Roman" w:hAnsi="Times New Roman" w:cs="Times New Roman"/>
                <w:b/>
                <w:sz w:val="18"/>
                <w:u w:val="single"/>
              </w:rPr>
            </w:pPr>
            <w:r w:rsidRPr="00606F55">
              <w:rPr>
                <w:rFonts w:ascii="Times New Roman" w:hAnsi="Times New Roman" w:cs="Times New Roman"/>
                <w:b/>
                <w:sz w:val="18"/>
                <w:u w:val="single"/>
              </w:rPr>
              <w:t># Usable Interviews</w:t>
            </w:r>
          </w:p>
        </w:tc>
      </w:tr>
      <w:tr w:rsidR="00E6335D" w:rsidRPr="00606F55" w:rsidTr="00A6636B">
        <w:trPr>
          <w:jc w:val="center"/>
        </w:trPr>
        <w:tc>
          <w:tcPr>
            <w:tcW w:w="450" w:type="dxa"/>
            <w:tcBorders>
              <w:top w:val="nil"/>
              <w:left w:val="single" w:sz="4" w:space="0" w:color="auto"/>
              <w:bottom w:val="single" w:sz="4" w:space="0" w:color="auto"/>
              <w:right w:val="nil"/>
            </w:tcBorders>
            <w:vAlign w:val="center"/>
          </w:tcPr>
          <w:p w:rsidR="00E6335D" w:rsidRPr="00606F55" w:rsidRDefault="00E6335D" w:rsidP="00033601">
            <w:pPr>
              <w:pStyle w:val="PlainText"/>
              <w:ind w:left="0"/>
              <w:jc w:val="center"/>
              <w:rPr>
                <w:rFonts w:ascii="Times New Roman" w:hAnsi="Times New Roman" w:cs="Times New Roman"/>
                <w:b/>
                <w:sz w:val="18"/>
              </w:rPr>
            </w:pPr>
          </w:p>
        </w:tc>
        <w:tc>
          <w:tcPr>
            <w:tcW w:w="657" w:type="dxa"/>
            <w:tcBorders>
              <w:top w:val="nil"/>
              <w:left w:val="nil"/>
              <w:bottom w:val="single" w:sz="4" w:space="0" w:color="auto"/>
              <w:right w:val="nil"/>
            </w:tcBorders>
            <w:vAlign w:val="center"/>
            <w:hideMark/>
          </w:tcPr>
          <w:p w:rsidR="00E6335D" w:rsidRPr="00606F55" w:rsidRDefault="00E6335D" w:rsidP="00033601">
            <w:pPr>
              <w:pStyle w:val="PlainText"/>
              <w:ind w:left="0"/>
              <w:jc w:val="center"/>
              <w:rPr>
                <w:rFonts w:ascii="Times New Roman" w:hAnsi="Times New Roman" w:cs="Times New Roman"/>
                <w:b/>
                <w:sz w:val="18"/>
              </w:rPr>
            </w:pPr>
            <w:r w:rsidRPr="00606F55">
              <w:rPr>
                <w:rFonts w:ascii="Times New Roman" w:hAnsi="Times New Roman" w:cs="Times New Roman"/>
                <w:b/>
                <w:sz w:val="18"/>
              </w:rPr>
              <w:t>Area</w:t>
            </w:r>
          </w:p>
        </w:tc>
        <w:tc>
          <w:tcPr>
            <w:tcW w:w="1116" w:type="dxa"/>
            <w:tcBorders>
              <w:top w:val="nil"/>
              <w:left w:val="nil"/>
              <w:bottom w:val="single" w:sz="4" w:space="0" w:color="auto"/>
              <w:right w:val="nil"/>
            </w:tcBorders>
            <w:vAlign w:val="center"/>
            <w:hideMark/>
          </w:tcPr>
          <w:p w:rsidR="00E6335D" w:rsidRPr="00606F55" w:rsidRDefault="00E6335D" w:rsidP="00033601">
            <w:pPr>
              <w:pStyle w:val="PlainText"/>
              <w:ind w:left="0"/>
              <w:jc w:val="center"/>
              <w:rPr>
                <w:rFonts w:ascii="Times New Roman" w:hAnsi="Times New Roman" w:cs="Times New Roman"/>
                <w:b/>
                <w:sz w:val="18"/>
              </w:rPr>
            </w:pPr>
            <w:r w:rsidRPr="00606F55">
              <w:rPr>
                <w:rFonts w:ascii="Times New Roman" w:hAnsi="Times New Roman" w:cs="Times New Roman"/>
                <w:b/>
                <w:sz w:val="18"/>
              </w:rPr>
              <w:t>Population</w:t>
            </w:r>
          </w:p>
        </w:tc>
        <w:tc>
          <w:tcPr>
            <w:tcW w:w="956" w:type="dxa"/>
            <w:tcBorders>
              <w:top w:val="nil"/>
              <w:left w:val="nil"/>
              <w:bottom w:val="single" w:sz="4" w:space="0" w:color="auto"/>
              <w:right w:val="nil"/>
            </w:tcBorders>
            <w:vAlign w:val="center"/>
            <w:hideMark/>
          </w:tcPr>
          <w:p w:rsidR="00E6335D" w:rsidRPr="00606F55" w:rsidRDefault="00E6335D" w:rsidP="00BA352C">
            <w:pPr>
              <w:pStyle w:val="PlainText"/>
              <w:ind w:left="0"/>
              <w:jc w:val="right"/>
              <w:rPr>
                <w:rFonts w:ascii="Times New Roman" w:hAnsi="Times New Roman" w:cs="Times New Roman"/>
                <w:b/>
                <w:sz w:val="18"/>
              </w:rPr>
            </w:pPr>
            <w:r w:rsidRPr="00606F55">
              <w:rPr>
                <w:rFonts w:ascii="Times New Roman" w:hAnsi="Times New Roman" w:cs="Times New Roman"/>
                <w:b/>
                <w:sz w:val="18"/>
              </w:rPr>
              <w:t>Interview</w:t>
            </w:r>
          </w:p>
        </w:tc>
        <w:tc>
          <w:tcPr>
            <w:tcW w:w="936" w:type="dxa"/>
            <w:tcBorders>
              <w:top w:val="nil"/>
              <w:left w:val="nil"/>
              <w:bottom w:val="single" w:sz="4" w:space="0" w:color="auto"/>
              <w:right w:val="nil"/>
            </w:tcBorders>
            <w:vAlign w:val="center"/>
            <w:hideMark/>
          </w:tcPr>
          <w:p w:rsidR="00E6335D" w:rsidRPr="00606F55" w:rsidRDefault="00E6335D" w:rsidP="00BA352C">
            <w:pPr>
              <w:pStyle w:val="PlainText"/>
              <w:ind w:left="0"/>
              <w:jc w:val="right"/>
              <w:rPr>
                <w:rFonts w:ascii="Times New Roman" w:hAnsi="Times New Roman" w:cs="Times New Roman"/>
                <w:b/>
                <w:sz w:val="18"/>
              </w:rPr>
            </w:pPr>
            <w:r w:rsidRPr="00606F55">
              <w:rPr>
                <w:rFonts w:ascii="Times New Roman" w:hAnsi="Times New Roman" w:cs="Times New Roman"/>
                <w:b/>
                <w:sz w:val="18"/>
              </w:rPr>
              <w:t>Diary</w:t>
            </w:r>
          </w:p>
        </w:tc>
        <w:tc>
          <w:tcPr>
            <w:tcW w:w="1012" w:type="dxa"/>
            <w:tcBorders>
              <w:top w:val="nil"/>
              <w:left w:val="nil"/>
              <w:bottom w:val="single" w:sz="4" w:space="0" w:color="auto"/>
              <w:right w:val="nil"/>
            </w:tcBorders>
            <w:vAlign w:val="center"/>
            <w:hideMark/>
          </w:tcPr>
          <w:p w:rsidR="00E6335D" w:rsidRPr="00606F55" w:rsidRDefault="00E6335D" w:rsidP="00BA352C">
            <w:pPr>
              <w:pStyle w:val="PlainText"/>
              <w:ind w:left="0"/>
              <w:jc w:val="right"/>
              <w:rPr>
                <w:rFonts w:ascii="Times New Roman" w:hAnsi="Times New Roman" w:cs="Times New Roman"/>
                <w:b/>
                <w:sz w:val="18"/>
              </w:rPr>
            </w:pPr>
            <w:r w:rsidRPr="00606F55">
              <w:rPr>
                <w:rFonts w:ascii="Times New Roman" w:hAnsi="Times New Roman" w:cs="Times New Roman"/>
                <w:b/>
                <w:sz w:val="18"/>
              </w:rPr>
              <w:t>Interview</w:t>
            </w:r>
          </w:p>
        </w:tc>
        <w:tc>
          <w:tcPr>
            <w:tcW w:w="878" w:type="dxa"/>
            <w:tcBorders>
              <w:top w:val="nil"/>
              <w:left w:val="nil"/>
              <w:bottom w:val="single" w:sz="4" w:space="0" w:color="auto"/>
              <w:right w:val="single" w:sz="4" w:space="0" w:color="auto"/>
            </w:tcBorders>
            <w:vAlign w:val="center"/>
            <w:hideMark/>
          </w:tcPr>
          <w:p w:rsidR="00E6335D" w:rsidRPr="00606F55" w:rsidRDefault="00E6335D" w:rsidP="00BA352C">
            <w:pPr>
              <w:pStyle w:val="PlainText"/>
              <w:ind w:left="0"/>
              <w:jc w:val="right"/>
              <w:rPr>
                <w:rFonts w:ascii="Times New Roman" w:hAnsi="Times New Roman" w:cs="Times New Roman"/>
                <w:b/>
                <w:sz w:val="18"/>
              </w:rPr>
            </w:pPr>
            <w:r w:rsidRPr="00606F55">
              <w:rPr>
                <w:rFonts w:ascii="Times New Roman" w:hAnsi="Times New Roman" w:cs="Times New Roman"/>
                <w:b/>
                <w:sz w:val="18"/>
              </w:rPr>
              <w:t>Diary</w:t>
            </w:r>
          </w:p>
        </w:tc>
      </w:tr>
      <w:tr w:rsidR="00585091" w:rsidRPr="00606F55" w:rsidTr="00A6636B">
        <w:trPr>
          <w:jc w:val="center"/>
        </w:trPr>
        <w:tc>
          <w:tcPr>
            <w:tcW w:w="450" w:type="dxa"/>
            <w:tcBorders>
              <w:top w:val="single" w:sz="4" w:space="0" w:color="auto"/>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w:t>
            </w:r>
          </w:p>
        </w:tc>
        <w:tc>
          <w:tcPr>
            <w:tcW w:w="657" w:type="dxa"/>
            <w:tcBorders>
              <w:top w:val="single" w:sz="4" w:space="0" w:color="auto"/>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N110</w:t>
            </w:r>
          </w:p>
        </w:tc>
        <w:tc>
          <w:tcPr>
            <w:tcW w:w="1116" w:type="dxa"/>
            <w:tcBorders>
              <w:top w:val="single" w:sz="4" w:space="0" w:color="auto"/>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9,239,719</w:t>
            </w:r>
          </w:p>
        </w:tc>
        <w:tc>
          <w:tcPr>
            <w:tcW w:w="956" w:type="dxa"/>
            <w:tcBorders>
              <w:top w:val="single" w:sz="4" w:space="0" w:color="auto"/>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318.79</w:t>
            </w:r>
          </w:p>
        </w:tc>
        <w:tc>
          <w:tcPr>
            <w:tcW w:w="936" w:type="dxa"/>
            <w:tcBorders>
              <w:top w:val="single" w:sz="4" w:space="0" w:color="auto"/>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284.73</w:t>
            </w:r>
          </w:p>
        </w:tc>
        <w:tc>
          <w:tcPr>
            <w:tcW w:w="1012" w:type="dxa"/>
            <w:tcBorders>
              <w:top w:val="single" w:sz="4" w:space="0" w:color="auto"/>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193.44</w:t>
            </w:r>
          </w:p>
        </w:tc>
        <w:tc>
          <w:tcPr>
            <w:tcW w:w="878" w:type="dxa"/>
            <w:tcBorders>
              <w:top w:val="single" w:sz="4" w:space="0" w:color="auto"/>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192.90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N120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15,036,701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547.82</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548.02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314.49</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316.01</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N230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28,676,810</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1,062.20</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1,071.07</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647.83</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696.45</w:t>
            </w:r>
          </w:p>
        </w:tc>
      </w:tr>
      <w:tr w:rsidR="00585091" w:rsidRPr="00606F55" w:rsidTr="001948EF">
        <w:trPr>
          <w:jc w:val="center"/>
        </w:trPr>
        <w:tc>
          <w:tcPr>
            <w:tcW w:w="450" w:type="dxa"/>
            <w:tcBorders>
              <w:top w:val="nil"/>
              <w:left w:val="single" w:sz="4" w:space="0" w:color="auto"/>
              <w:bottom w:val="nil"/>
              <w:right w:val="nil"/>
            </w:tcBorders>
            <w:vAlign w:val="bottom"/>
            <w:hideMark/>
          </w:tcPr>
          <w:p w:rsidR="00585091" w:rsidRPr="00606F55" w:rsidRDefault="00585091" w:rsidP="001948EF">
            <w:pPr>
              <w:pStyle w:val="PlainText"/>
              <w:ind w:left="0"/>
              <w:jc w:val="center"/>
              <w:rPr>
                <w:rFonts w:ascii="Times New Roman" w:hAnsi="Times New Roman" w:cs="Times New Roman"/>
                <w:sz w:val="18"/>
              </w:rPr>
            </w:pPr>
            <w:r w:rsidRPr="00606F55">
              <w:rPr>
                <w:rFonts w:ascii="Times New Roman" w:hAnsi="Times New Roman" w:cs="Times New Roman"/>
                <w:sz w:val="18"/>
              </w:rPr>
              <w:t>4.</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N240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12,053,008</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445.41</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434.97</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244.21</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254.72</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5.</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N350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33,959,783</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1,256.04</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1,249.31</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742.70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725.20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6.</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N360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15,382,945</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560.48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553.92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322.22</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338.03</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7.</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N370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21,047,585</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765.99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754.20</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409.25</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367.93</w:t>
            </w:r>
          </w:p>
        </w:tc>
      </w:tr>
      <w:tr w:rsidR="00585091" w:rsidRPr="00606F55" w:rsidTr="001948EF">
        <w:trPr>
          <w:jc w:val="center"/>
        </w:trPr>
        <w:tc>
          <w:tcPr>
            <w:tcW w:w="450" w:type="dxa"/>
            <w:tcBorders>
              <w:top w:val="nil"/>
              <w:left w:val="single" w:sz="4" w:space="0" w:color="auto"/>
              <w:bottom w:val="nil"/>
              <w:right w:val="nil"/>
            </w:tcBorders>
            <w:vAlign w:val="bottom"/>
            <w:hideMark/>
          </w:tcPr>
          <w:p w:rsidR="00585091" w:rsidRPr="00606F55" w:rsidRDefault="00585091" w:rsidP="001948EF">
            <w:pPr>
              <w:pStyle w:val="PlainText"/>
              <w:ind w:left="0"/>
              <w:jc w:val="center"/>
              <w:rPr>
                <w:rFonts w:ascii="Times New Roman" w:hAnsi="Times New Roman" w:cs="Times New Roman"/>
                <w:sz w:val="18"/>
              </w:rPr>
            </w:pPr>
            <w:r w:rsidRPr="00606F55">
              <w:rPr>
                <w:rFonts w:ascii="Times New Roman" w:hAnsi="Times New Roman" w:cs="Times New Roman"/>
                <w:sz w:val="18"/>
              </w:rPr>
              <w:t>8.</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N480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13,999,691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511.35</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512.59</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289.59</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288.92</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9.</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N490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19,359,051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700.29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699.69</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450.69</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460.41</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10.</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R110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652,744</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69.65</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71.73</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40.00</w:t>
            </w:r>
          </w:p>
        </w:tc>
      </w:tr>
      <w:tr w:rsidR="00585091" w:rsidRPr="00606F55" w:rsidTr="001948EF">
        <w:trPr>
          <w:jc w:val="center"/>
        </w:trPr>
        <w:tc>
          <w:tcPr>
            <w:tcW w:w="450" w:type="dxa"/>
            <w:tcBorders>
              <w:top w:val="nil"/>
              <w:left w:val="single" w:sz="4" w:space="0" w:color="auto"/>
              <w:bottom w:val="nil"/>
              <w:right w:val="nil"/>
            </w:tcBorders>
            <w:vAlign w:val="bottom"/>
            <w:hideMark/>
          </w:tcPr>
          <w:p w:rsidR="00585091" w:rsidRPr="00606F55" w:rsidRDefault="00585091" w:rsidP="001948EF">
            <w:pPr>
              <w:pStyle w:val="PlainText"/>
              <w:ind w:left="0"/>
              <w:jc w:val="center"/>
              <w:rPr>
                <w:rFonts w:ascii="Times New Roman" w:hAnsi="Times New Roman" w:cs="Times New Roman"/>
                <w:sz w:val="18"/>
              </w:rPr>
            </w:pPr>
            <w:r w:rsidRPr="00606F55">
              <w:rPr>
                <w:rFonts w:ascii="Times New Roman" w:hAnsi="Times New Roman" w:cs="Times New Roman"/>
                <w:sz w:val="18"/>
              </w:rPr>
              <w:t>11.</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R120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825,870</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131.25</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150.28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56.08</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60.32</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12.</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R230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2,957,143</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146.64</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140.06</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74.30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72.79</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13.</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R240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3,385,874</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137.69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147.88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74.84</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78.47</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14.</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R350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3,396,724</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72.09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101.68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46.18</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61.08</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15.</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R360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2,974,706</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207.86</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187.85</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83.93</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83.15</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16.</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R370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2,903,346</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64.04</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103.21</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59.02</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17.</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R480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1,328,391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92.20</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158.52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46.63</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65.15</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18.</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R490</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714,395</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101.75</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80.57</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47.27</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19.</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S11A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4,552,402</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171.73</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161.92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95.50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93.08</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20.</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S12A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19,567,410</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714.41</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714.35</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387.89</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391.80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21.</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S12B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5,965,343</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233.67</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229.30</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125.32</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125.48</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22.</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S23A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9,461,105</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323.62</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310.72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198.85</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200.24</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23.</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S23B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4,296,250</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156.49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144.88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88.51</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85.00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24.</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S24A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3,348,859</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119.03</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116.31</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25.</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S24B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2,787,701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147.78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129.38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26.</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S35A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5,636,232</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199.28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195.39</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114.86</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114.48</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27.</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S35B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5,564,635</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183.45</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169.22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109.78</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105.69</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28.</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S35C</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5,286,728</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174.02</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150.93</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103.83</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96.04</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29.</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S35D</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2,783,243</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142.00</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127.31</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30.</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S35E</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2,710,489</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154.90</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202.57</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92.61</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31.</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S37A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6,426,214</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221.28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240.72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130.41</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134.00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32.</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S37B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5,920,416</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234.19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237.15</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124.64</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125.53</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33.</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S48A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4,192,887</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180.48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183.13</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94.00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95.08</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34.</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S48B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2,543,482</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131.52</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118.56</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35.</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S49A</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12,828,837</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467.90</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470.51</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265.98</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264.28</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36.</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S49B</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4,335,391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169.42</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167.19</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106.18</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92.56</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37.</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S49C</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4,224,851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175.48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162.48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93.17</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90.16</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38.</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S49D</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3,439,809</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117.98</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115.95</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39.</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S49E</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3,095,313</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127.49</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128.72</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nil"/>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40.</w:t>
            </w:r>
          </w:p>
        </w:tc>
        <w:tc>
          <w:tcPr>
            <w:tcW w:w="657" w:type="dxa"/>
            <w:tcBorders>
              <w:top w:val="nil"/>
              <w:left w:val="nil"/>
              <w:bottom w:val="nil"/>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S49F</w:t>
            </w:r>
          </w:p>
        </w:tc>
        <w:tc>
          <w:tcPr>
            <w:tcW w:w="1116" w:type="dxa"/>
            <w:tcBorders>
              <w:top w:val="nil"/>
              <w:left w:val="nil"/>
              <w:bottom w:val="nil"/>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1,360,301</w:t>
            </w:r>
          </w:p>
        </w:tc>
        <w:tc>
          <w:tcPr>
            <w:tcW w:w="95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127.31</w:t>
            </w:r>
          </w:p>
        </w:tc>
        <w:tc>
          <w:tcPr>
            <w:tcW w:w="936"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134.08</w:t>
            </w:r>
          </w:p>
        </w:tc>
        <w:tc>
          <w:tcPr>
            <w:tcW w:w="1012" w:type="dxa"/>
            <w:tcBorders>
              <w:top w:val="nil"/>
              <w:left w:val="nil"/>
              <w:bottom w:val="nil"/>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nil"/>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585091" w:rsidRPr="00606F55" w:rsidTr="00A6636B">
        <w:trPr>
          <w:jc w:val="center"/>
        </w:trPr>
        <w:tc>
          <w:tcPr>
            <w:tcW w:w="450" w:type="dxa"/>
            <w:tcBorders>
              <w:top w:val="nil"/>
              <w:left w:val="single" w:sz="4" w:space="0" w:color="auto"/>
              <w:bottom w:val="single" w:sz="4" w:space="0" w:color="auto"/>
              <w:right w:val="nil"/>
            </w:tcBorders>
            <w:vAlign w:val="center"/>
            <w:hideMark/>
          </w:tcPr>
          <w:p w:rsidR="00585091" w:rsidRPr="00606F55" w:rsidRDefault="00585091" w:rsidP="00033601">
            <w:pPr>
              <w:pStyle w:val="PlainText"/>
              <w:ind w:left="0"/>
              <w:jc w:val="center"/>
              <w:rPr>
                <w:rFonts w:ascii="Times New Roman" w:hAnsi="Times New Roman" w:cs="Times New Roman"/>
                <w:sz w:val="18"/>
              </w:rPr>
            </w:pPr>
            <w:r w:rsidRPr="00606F55">
              <w:rPr>
                <w:rFonts w:ascii="Times New Roman" w:hAnsi="Times New Roman" w:cs="Times New Roman"/>
                <w:sz w:val="18"/>
              </w:rPr>
              <w:t>41.</w:t>
            </w:r>
          </w:p>
        </w:tc>
        <w:tc>
          <w:tcPr>
            <w:tcW w:w="657" w:type="dxa"/>
            <w:tcBorders>
              <w:top w:val="nil"/>
              <w:left w:val="nil"/>
              <w:bottom w:val="single" w:sz="4" w:space="0" w:color="auto"/>
              <w:right w:val="nil"/>
            </w:tcBorders>
            <w:vAlign w:val="bottom"/>
          </w:tcPr>
          <w:p w:rsidR="00585091" w:rsidRPr="00A6636B" w:rsidRDefault="00585091">
            <w:pPr>
              <w:rPr>
                <w:rFonts w:ascii="Times New Roman" w:hAnsi="Times New Roman"/>
                <w:color w:val="000000"/>
                <w:sz w:val="18"/>
                <w:szCs w:val="18"/>
              </w:rPr>
            </w:pPr>
            <w:r w:rsidRPr="00A6636B">
              <w:rPr>
                <w:rFonts w:ascii="Times New Roman" w:hAnsi="Times New Roman"/>
                <w:color w:val="000000"/>
                <w:sz w:val="18"/>
                <w:szCs w:val="18"/>
              </w:rPr>
              <w:t>S49G</w:t>
            </w:r>
          </w:p>
        </w:tc>
        <w:tc>
          <w:tcPr>
            <w:tcW w:w="1116" w:type="dxa"/>
            <w:tcBorders>
              <w:top w:val="nil"/>
              <w:left w:val="nil"/>
              <w:bottom w:val="single" w:sz="4" w:space="0" w:color="auto"/>
              <w:right w:val="nil"/>
            </w:tcBorders>
            <w:vAlign w:val="bottom"/>
          </w:tcPr>
          <w:p w:rsidR="00585091" w:rsidRPr="00A6636B" w:rsidRDefault="00585091">
            <w:pPr>
              <w:jc w:val="right"/>
              <w:rPr>
                <w:rFonts w:ascii="Times New Roman" w:hAnsi="Times New Roman"/>
                <w:color w:val="000000"/>
                <w:sz w:val="18"/>
                <w:szCs w:val="18"/>
              </w:rPr>
            </w:pPr>
            <w:r w:rsidRPr="00A6636B">
              <w:rPr>
                <w:rFonts w:ascii="Times New Roman" w:hAnsi="Times New Roman"/>
                <w:color w:val="000000"/>
                <w:sz w:val="18"/>
                <w:szCs w:val="18"/>
              </w:rPr>
              <w:t>523,154</w:t>
            </w:r>
          </w:p>
        </w:tc>
        <w:tc>
          <w:tcPr>
            <w:tcW w:w="956" w:type="dxa"/>
            <w:tcBorders>
              <w:top w:val="nil"/>
              <w:left w:val="nil"/>
              <w:bottom w:val="single" w:sz="4" w:space="0" w:color="auto"/>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135.02</w:t>
            </w:r>
          </w:p>
        </w:tc>
        <w:tc>
          <w:tcPr>
            <w:tcW w:w="936" w:type="dxa"/>
            <w:tcBorders>
              <w:top w:val="nil"/>
              <w:left w:val="nil"/>
              <w:bottom w:val="single" w:sz="4" w:space="0" w:color="auto"/>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138.95</w:t>
            </w:r>
          </w:p>
        </w:tc>
        <w:tc>
          <w:tcPr>
            <w:tcW w:w="1012" w:type="dxa"/>
            <w:tcBorders>
              <w:top w:val="nil"/>
              <w:left w:val="nil"/>
              <w:bottom w:val="single" w:sz="4" w:space="0" w:color="auto"/>
              <w:right w:val="nil"/>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c>
          <w:tcPr>
            <w:tcW w:w="878" w:type="dxa"/>
            <w:tcBorders>
              <w:top w:val="nil"/>
              <w:left w:val="nil"/>
              <w:bottom w:val="single" w:sz="4" w:space="0" w:color="auto"/>
              <w:right w:val="single" w:sz="4" w:space="0" w:color="auto"/>
            </w:tcBorders>
            <w:vAlign w:val="bottom"/>
          </w:tcPr>
          <w:p w:rsidR="00585091" w:rsidRPr="00585091" w:rsidRDefault="00585091">
            <w:pPr>
              <w:jc w:val="right"/>
              <w:rPr>
                <w:rFonts w:ascii="Times New Roman" w:hAnsi="Times New Roman"/>
                <w:color w:val="000000"/>
                <w:sz w:val="18"/>
                <w:szCs w:val="18"/>
              </w:rPr>
            </w:pPr>
            <w:r w:rsidRPr="00585091">
              <w:rPr>
                <w:rFonts w:ascii="Times New Roman" w:hAnsi="Times New Roman"/>
                <w:color w:val="000000"/>
                <w:sz w:val="18"/>
                <w:szCs w:val="18"/>
              </w:rPr>
              <w:t>80.00</w:t>
            </w:r>
          </w:p>
        </w:tc>
      </w:tr>
      <w:tr w:rsidR="00E6335D" w:rsidRPr="00606F55" w:rsidTr="00A6636B">
        <w:trPr>
          <w:jc w:val="center"/>
        </w:trPr>
        <w:tc>
          <w:tcPr>
            <w:tcW w:w="450" w:type="dxa"/>
            <w:tcBorders>
              <w:top w:val="single" w:sz="4" w:space="0" w:color="auto"/>
              <w:left w:val="single" w:sz="4" w:space="0" w:color="auto"/>
              <w:bottom w:val="single" w:sz="4" w:space="0" w:color="auto"/>
              <w:right w:val="nil"/>
            </w:tcBorders>
            <w:vAlign w:val="center"/>
          </w:tcPr>
          <w:p w:rsidR="00E6335D" w:rsidRPr="00606F55" w:rsidRDefault="00E6335D" w:rsidP="00033601">
            <w:pPr>
              <w:pStyle w:val="PlainText"/>
              <w:ind w:left="0"/>
              <w:jc w:val="center"/>
              <w:rPr>
                <w:rFonts w:ascii="Times New Roman" w:hAnsi="Times New Roman" w:cs="Times New Roman"/>
                <w:b/>
                <w:sz w:val="18"/>
              </w:rPr>
            </w:pPr>
          </w:p>
        </w:tc>
        <w:tc>
          <w:tcPr>
            <w:tcW w:w="657" w:type="dxa"/>
            <w:tcBorders>
              <w:top w:val="single" w:sz="4" w:space="0" w:color="auto"/>
              <w:left w:val="nil"/>
              <w:bottom w:val="single" w:sz="4" w:space="0" w:color="auto"/>
              <w:right w:val="nil"/>
            </w:tcBorders>
            <w:vAlign w:val="center"/>
            <w:hideMark/>
          </w:tcPr>
          <w:p w:rsidR="00E6335D" w:rsidRPr="00606F55" w:rsidRDefault="00E6335D" w:rsidP="00033601">
            <w:pPr>
              <w:pStyle w:val="PlainText"/>
              <w:ind w:left="0"/>
              <w:jc w:val="right"/>
              <w:rPr>
                <w:rFonts w:ascii="Times New Roman" w:hAnsi="Times New Roman" w:cs="Times New Roman"/>
                <w:b/>
                <w:sz w:val="18"/>
              </w:rPr>
            </w:pPr>
            <w:r w:rsidRPr="00606F55">
              <w:rPr>
                <w:rFonts w:ascii="Times New Roman" w:hAnsi="Times New Roman" w:cs="Times New Roman"/>
                <w:b/>
                <w:sz w:val="18"/>
              </w:rPr>
              <w:t>Total</w:t>
            </w:r>
          </w:p>
        </w:tc>
        <w:tc>
          <w:tcPr>
            <w:tcW w:w="1116" w:type="dxa"/>
            <w:tcBorders>
              <w:top w:val="single" w:sz="4" w:space="0" w:color="auto"/>
              <w:left w:val="nil"/>
              <w:bottom w:val="single" w:sz="4" w:space="0" w:color="auto"/>
              <w:right w:val="nil"/>
            </w:tcBorders>
            <w:vAlign w:val="center"/>
            <w:hideMark/>
          </w:tcPr>
          <w:p w:rsidR="00E6335D" w:rsidRPr="00606F55" w:rsidRDefault="00E6335D" w:rsidP="00033601">
            <w:pPr>
              <w:pStyle w:val="PlainText"/>
              <w:ind w:left="0"/>
              <w:jc w:val="right"/>
              <w:rPr>
                <w:rFonts w:ascii="Times New Roman" w:hAnsi="Times New Roman" w:cs="Times New Roman"/>
                <w:b/>
                <w:sz w:val="18"/>
              </w:rPr>
            </w:pPr>
            <w:r w:rsidRPr="00606F55">
              <w:rPr>
                <w:rFonts w:ascii="Times New Roman" w:hAnsi="Times New Roman" w:cs="Times New Roman"/>
                <w:b/>
                <w:sz w:val="18"/>
              </w:rPr>
              <w:t>308,745,538</w:t>
            </w:r>
          </w:p>
        </w:tc>
        <w:tc>
          <w:tcPr>
            <w:tcW w:w="956" w:type="dxa"/>
            <w:tcBorders>
              <w:top w:val="single" w:sz="4" w:space="0" w:color="auto"/>
              <w:left w:val="nil"/>
              <w:bottom w:val="single" w:sz="4" w:space="0" w:color="auto"/>
              <w:right w:val="nil"/>
            </w:tcBorders>
            <w:vAlign w:val="center"/>
            <w:hideMark/>
          </w:tcPr>
          <w:p w:rsidR="00E6335D" w:rsidRPr="00606F55" w:rsidRDefault="00E6335D" w:rsidP="00033601">
            <w:pPr>
              <w:pStyle w:val="PlainText"/>
              <w:ind w:left="0"/>
              <w:jc w:val="right"/>
              <w:rPr>
                <w:rFonts w:ascii="Times New Roman" w:hAnsi="Times New Roman" w:cs="Times New Roman"/>
                <w:b/>
                <w:sz w:val="18"/>
              </w:rPr>
            </w:pPr>
            <w:r w:rsidRPr="00606F55">
              <w:rPr>
                <w:rFonts w:ascii="Times New Roman" w:hAnsi="Times New Roman" w:cs="Times New Roman"/>
                <w:b/>
                <w:sz w:val="18"/>
              </w:rPr>
              <w:t>12,000.00</w:t>
            </w:r>
          </w:p>
        </w:tc>
        <w:tc>
          <w:tcPr>
            <w:tcW w:w="936" w:type="dxa"/>
            <w:tcBorders>
              <w:top w:val="single" w:sz="4" w:space="0" w:color="auto"/>
              <w:left w:val="nil"/>
              <w:bottom w:val="single" w:sz="4" w:space="0" w:color="auto"/>
              <w:right w:val="nil"/>
            </w:tcBorders>
            <w:vAlign w:val="center"/>
            <w:hideMark/>
          </w:tcPr>
          <w:p w:rsidR="00E6335D" w:rsidRPr="00606F55" w:rsidRDefault="00E6335D" w:rsidP="00033601">
            <w:pPr>
              <w:pStyle w:val="PlainText"/>
              <w:ind w:left="0"/>
              <w:jc w:val="right"/>
              <w:rPr>
                <w:rFonts w:ascii="Times New Roman" w:hAnsi="Times New Roman" w:cs="Times New Roman"/>
                <w:b/>
                <w:sz w:val="18"/>
              </w:rPr>
            </w:pPr>
            <w:r w:rsidRPr="00606F55">
              <w:rPr>
                <w:rFonts w:ascii="Times New Roman" w:hAnsi="Times New Roman" w:cs="Times New Roman"/>
                <w:b/>
                <w:sz w:val="18"/>
              </w:rPr>
              <w:t>12,000.00</w:t>
            </w:r>
          </w:p>
        </w:tc>
        <w:tc>
          <w:tcPr>
            <w:tcW w:w="1012" w:type="dxa"/>
            <w:tcBorders>
              <w:top w:val="single" w:sz="4" w:space="0" w:color="auto"/>
              <w:left w:val="nil"/>
              <w:bottom w:val="single" w:sz="4" w:space="0" w:color="auto"/>
              <w:right w:val="nil"/>
            </w:tcBorders>
            <w:vAlign w:val="center"/>
            <w:hideMark/>
          </w:tcPr>
          <w:p w:rsidR="00E6335D" w:rsidRPr="00606F55" w:rsidRDefault="00585091" w:rsidP="00033601">
            <w:pPr>
              <w:jc w:val="right"/>
              <w:rPr>
                <w:b/>
                <w:sz w:val="18"/>
              </w:rPr>
            </w:pPr>
            <w:r>
              <w:rPr>
                <w:b/>
                <w:sz w:val="18"/>
              </w:rPr>
              <w:t>6,8</w:t>
            </w:r>
            <w:r w:rsidR="00244263">
              <w:rPr>
                <w:b/>
                <w:sz w:val="18"/>
              </w:rPr>
              <w:t>82.57</w:t>
            </w:r>
          </w:p>
        </w:tc>
        <w:tc>
          <w:tcPr>
            <w:tcW w:w="878" w:type="dxa"/>
            <w:tcBorders>
              <w:top w:val="single" w:sz="4" w:space="0" w:color="auto"/>
              <w:left w:val="nil"/>
              <w:bottom w:val="single" w:sz="4" w:space="0" w:color="auto"/>
              <w:right w:val="single" w:sz="4" w:space="0" w:color="auto"/>
            </w:tcBorders>
            <w:vAlign w:val="center"/>
            <w:hideMark/>
          </w:tcPr>
          <w:p w:rsidR="00E6335D" w:rsidRPr="00606F55" w:rsidRDefault="007173AE" w:rsidP="007173AE">
            <w:pPr>
              <w:jc w:val="right"/>
              <w:rPr>
                <w:b/>
                <w:sz w:val="18"/>
              </w:rPr>
            </w:pPr>
            <w:r>
              <w:rPr>
                <w:b/>
                <w:sz w:val="18"/>
              </w:rPr>
              <w:t>6</w:t>
            </w:r>
            <w:r w:rsidR="00E6335D">
              <w:rPr>
                <w:b/>
                <w:sz w:val="18"/>
              </w:rPr>
              <w:t>,</w:t>
            </w:r>
            <w:r w:rsidR="00585091">
              <w:rPr>
                <w:b/>
                <w:sz w:val="18"/>
              </w:rPr>
              <w:t>946.58</w:t>
            </w:r>
          </w:p>
        </w:tc>
      </w:tr>
      <w:bookmarkEnd w:id="1"/>
      <w:bookmarkEnd w:id="2"/>
      <w:bookmarkEnd w:id="3"/>
      <w:bookmarkEnd w:id="4"/>
      <w:bookmarkEnd w:id="5"/>
      <w:bookmarkEnd w:id="6"/>
      <w:bookmarkEnd w:id="7"/>
    </w:tbl>
    <w:p w:rsidR="00E6335D" w:rsidRDefault="00E6335D" w:rsidP="00E6335D">
      <w:pPr>
        <w:pStyle w:val="PlainText"/>
        <w:ind w:left="0"/>
        <w:rPr>
          <w:rFonts w:ascii="Times New Roman" w:hAnsi="Times New Roman" w:cs="Times New Roman"/>
        </w:rPr>
      </w:pPr>
    </w:p>
    <w:p w:rsidR="00F1442A" w:rsidRDefault="00F1442A" w:rsidP="00E6335D">
      <w:pPr>
        <w:pStyle w:val="PlainText"/>
        <w:ind w:left="0"/>
        <w:rPr>
          <w:rFonts w:ascii="Times New Roman" w:hAnsi="Times New Roman" w:cs="Times New Roman"/>
        </w:rPr>
      </w:pPr>
    </w:p>
    <w:p w:rsidR="00F1442A" w:rsidRDefault="00F1442A" w:rsidP="00E6335D">
      <w:pPr>
        <w:pStyle w:val="PlainText"/>
        <w:ind w:left="0"/>
        <w:rPr>
          <w:rFonts w:ascii="Times New Roman" w:hAnsi="Times New Roman" w:cs="Times New Roman"/>
        </w:rPr>
        <w:sectPr w:rsidR="00F1442A" w:rsidSect="00950644">
          <w:headerReference w:type="first" r:id="rId25"/>
          <w:pgSz w:w="12240" w:h="15840"/>
          <w:pgMar w:top="1440" w:right="1440" w:bottom="1440" w:left="1440" w:header="720" w:footer="720" w:gutter="0"/>
          <w:pgNumType w:fmt="upperLetter" w:start="1"/>
          <w:cols w:space="720"/>
          <w:titlePg/>
          <w:docGrid w:linePitch="360"/>
        </w:sectPr>
      </w:pPr>
    </w:p>
    <w:p w:rsidR="00E6335D" w:rsidRPr="008335C8" w:rsidRDefault="00E6335D" w:rsidP="00E6335D">
      <w:pPr>
        <w:jc w:val="center"/>
        <w:rPr>
          <w:rFonts w:ascii="Times New Roman" w:hAnsi="Times New Roman"/>
          <w:b/>
          <w:sz w:val="24"/>
          <w:szCs w:val="24"/>
        </w:rPr>
      </w:pPr>
      <w:r w:rsidRPr="008335C8">
        <w:rPr>
          <w:rFonts w:ascii="Times New Roman" w:hAnsi="Times New Roman"/>
          <w:b/>
          <w:sz w:val="24"/>
          <w:szCs w:val="24"/>
        </w:rPr>
        <w:lastRenderedPageBreak/>
        <w:t>Number of Sample Addresses and</w:t>
      </w:r>
    </w:p>
    <w:p w:rsidR="00E6335D" w:rsidRPr="008335C8" w:rsidRDefault="00E6335D" w:rsidP="00E6335D">
      <w:pPr>
        <w:jc w:val="center"/>
        <w:rPr>
          <w:rFonts w:ascii="Times New Roman" w:hAnsi="Times New Roman"/>
          <w:b/>
          <w:sz w:val="24"/>
          <w:szCs w:val="24"/>
        </w:rPr>
      </w:pPr>
      <w:r w:rsidRPr="008335C8">
        <w:rPr>
          <w:rFonts w:ascii="Times New Roman" w:hAnsi="Times New Roman"/>
          <w:b/>
          <w:sz w:val="24"/>
          <w:szCs w:val="24"/>
        </w:rPr>
        <w:t>Expected Number of Usable Interviews in the 91 PSUs</w:t>
      </w:r>
    </w:p>
    <w:p w:rsidR="00E6335D" w:rsidRPr="008335C8" w:rsidRDefault="00E6335D" w:rsidP="00E6335D">
      <w:pPr>
        <w:pStyle w:val="NoSpacing"/>
        <w:rPr>
          <w:rFonts w:ascii="Times New Roman" w:hAnsi="Times New Roman" w:cs="Times New Roman"/>
          <w:sz w:val="24"/>
          <w:szCs w:val="24"/>
        </w:rPr>
      </w:pPr>
    </w:p>
    <w:p w:rsidR="00E6335D" w:rsidRPr="008335C8" w:rsidRDefault="00E6335D" w:rsidP="00E6335D">
      <w:pPr>
        <w:pStyle w:val="NoSpacing"/>
        <w:jc w:val="center"/>
        <w:rPr>
          <w:rFonts w:ascii="Times New Roman" w:hAnsi="Times New Roman" w:cs="Times New Roman"/>
          <w:sz w:val="24"/>
          <w:szCs w:val="24"/>
        </w:rPr>
      </w:pPr>
      <w:r w:rsidRPr="008335C8">
        <w:rPr>
          <w:rFonts w:ascii="Times New Roman" w:hAnsi="Times New Roman" w:cs="Times New Roman"/>
          <w:sz w:val="24"/>
          <w:szCs w:val="24"/>
        </w:rPr>
        <w:t>This is the nationwide sample of 12,000 addresses allocated to the</w:t>
      </w:r>
    </w:p>
    <w:p w:rsidR="00E6335D" w:rsidRDefault="00E6335D" w:rsidP="00E6335D">
      <w:pPr>
        <w:pStyle w:val="NoSpacing"/>
        <w:jc w:val="center"/>
      </w:pPr>
      <w:r w:rsidRPr="008335C8">
        <w:rPr>
          <w:rFonts w:ascii="Times New Roman" w:hAnsi="Times New Roman" w:cs="Times New Roman"/>
          <w:sz w:val="24"/>
          <w:szCs w:val="24"/>
        </w:rPr>
        <w:t>91 PSUs along with the expected number of usable interviews.</w:t>
      </w:r>
    </w:p>
    <w:p w:rsidR="00E6335D" w:rsidRDefault="00E6335D" w:rsidP="00E6335D">
      <w:pPr>
        <w:pStyle w:val="PlainText"/>
        <w:ind w:left="0"/>
        <w:rPr>
          <w:rFonts w:ascii="Times New Roman" w:hAnsi="Times New Roman" w:cs="Times New Roman"/>
        </w:rPr>
      </w:pPr>
    </w:p>
    <w:tbl>
      <w:tblPr>
        <w:tblW w:w="11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8"/>
        <w:gridCol w:w="630"/>
        <w:gridCol w:w="708"/>
        <w:gridCol w:w="3075"/>
        <w:gridCol w:w="1080"/>
        <w:gridCol w:w="900"/>
        <w:gridCol w:w="900"/>
        <w:gridCol w:w="930"/>
        <w:gridCol w:w="810"/>
        <w:gridCol w:w="990"/>
        <w:gridCol w:w="1050"/>
      </w:tblGrid>
      <w:tr w:rsidR="00E6335D" w:rsidRPr="008962FC" w:rsidTr="00033601">
        <w:trPr>
          <w:trHeight w:val="202"/>
          <w:jc w:val="center"/>
        </w:trPr>
        <w:tc>
          <w:tcPr>
            <w:tcW w:w="478" w:type="dxa"/>
            <w:tcBorders>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bookmarkStart w:id="8" w:name="OLE_LINK5"/>
            <w:bookmarkStart w:id="9" w:name="OLE_LINK11"/>
            <w:bookmarkStart w:id="10" w:name="OLE_LINK2"/>
            <w:r w:rsidRPr="008962FC">
              <w:rPr>
                <w:rFonts w:ascii="Times New Roman" w:hAnsi="Times New Roman"/>
                <w:b/>
                <w:bCs/>
                <w:color w:val="000000"/>
                <w:sz w:val="16"/>
                <w:szCs w:val="18"/>
              </w:rPr>
              <w:t> </w:t>
            </w:r>
          </w:p>
        </w:tc>
        <w:tc>
          <w:tcPr>
            <w:tcW w:w="630" w:type="dxa"/>
            <w:tcBorders>
              <w:left w:val="nil"/>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Index</w:t>
            </w:r>
          </w:p>
        </w:tc>
        <w:tc>
          <w:tcPr>
            <w:tcW w:w="708" w:type="dxa"/>
            <w:tcBorders>
              <w:left w:val="nil"/>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PSU</w:t>
            </w:r>
          </w:p>
        </w:tc>
        <w:tc>
          <w:tcPr>
            <w:tcW w:w="3075" w:type="dxa"/>
            <w:tcBorders>
              <w:left w:val="nil"/>
              <w:bottom w:val="nil"/>
              <w:right w:val="nil"/>
            </w:tcBorders>
            <w:shd w:val="clear" w:color="auto" w:fill="auto"/>
            <w:vAlign w:val="center"/>
            <w:hideMark/>
          </w:tcPr>
          <w:p w:rsidR="00E6335D" w:rsidRPr="008962FC" w:rsidRDefault="00E6335D" w:rsidP="00033601">
            <w:pP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1080" w:type="dxa"/>
            <w:tcBorders>
              <w:left w:val="nil"/>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1800" w:type="dxa"/>
            <w:gridSpan w:val="2"/>
            <w:tcBorders>
              <w:left w:val="nil"/>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Addresses</w:t>
            </w:r>
          </w:p>
        </w:tc>
        <w:tc>
          <w:tcPr>
            <w:tcW w:w="1740" w:type="dxa"/>
            <w:gridSpan w:val="2"/>
            <w:tcBorders>
              <w:left w:val="nil"/>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Usable Interviews</w:t>
            </w:r>
          </w:p>
        </w:tc>
        <w:tc>
          <w:tcPr>
            <w:tcW w:w="990" w:type="dxa"/>
            <w:tcBorders>
              <w:left w:val="nil"/>
              <w:bottom w:val="nil"/>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MAF</w:t>
            </w:r>
          </w:p>
        </w:tc>
        <w:tc>
          <w:tcPr>
            <w:tcW w:w="1050" w:type="dxa"/>
            <w:tcBorders>
              <w:left w:val="nil"/>
              <w:bottom w:val="nil"/>
            </w:tcBorders>
            <w:shd w:val="clear" w:color="auto" w:fill="auto"/>
            <w:vAlign w:val="center"/>
            <w:hideMark/>
          </w:tcPr>
          <w:p w:rsidR="00E6335D" w:rsidRPr="008962FC" w:rsidRDefault="002E25CC" w:rsidP="002E25CC">
            <w:pPr>
              <w:jc w:val="center"/>
              <w:rPr>
                <w:rFonts w:ascii="Times New Roman" w:hAnsi="Times New Roman"/>
                <w:b/>
                <w:bCs/>
                <w:color w:val="000000"/>
                <w:sz w:val="16"/>
                <w:szCs w:val="18"/>
              </w:rPr>
            </w:pPr>
            <w:r>
              <w:rPr>
                <w:rFonts w:ascii="Times New Roman" w:hAnsi="Times New Roman"/>
                <w:b/>
                <w:bCs/>
                <w:color w:val="000000"/>
                <w:sz w:val="16"/>
                <w:szCs w:val="18"/>
              </w:rPr>
              <w:t xml:space="preserve">     </w:t>
            </w:r>
            <w:r w:rsidR="00E6335D" w:rsidRPr="008962FC">
              <w:rPr>
                <w:rFonts w:ascii="Times New Roman" w:hAnsi="Times New Roman"/>
                <w:b/>
                <w:bCs/>
                <w:color w:val="000000"/>
                <w:sz w:val="16"/>
                <w:szCs w:val="18"/>
              </w:rPr>
              <w:t>Take</w:t>
            </w:r>
          </w:p>
        </w:tc>
      </w:tr>
      <w:tr w:rsidR="00E6335D" w:rsidRPr="008962FC" w:rsidTr="00033601">
        <w:trPr>
          <w:trHeight w:val="202"/>
          <w:jc w:val="center"/>
        </w:trPr>
        <w:tc>
          <w:tcPr>
            <w:tcW w:w="478" w:type="dxa"/>
            <w:tcBorders>
              <w:top w:val="nil"/>
              <w:bottom w:val="single" w:sz="4" w:space="0" w:color="auto"/>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630" w:type="dxa"/>
            <w:tcBorders>
              <w:top w:val="nil"/>
              <w:left w:val="nil"/>
              <w:bottom w:val="single" w:sz="4" w:space="0" w:color="auto"/>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Area</w:t>
            </w:r>
          </w:p>
        </w:tc>
        <w:tc>
          <w:tcPr>
            <w:tcW w:w="708" w:type="dxa"/>
            <w:tcBorders>
              <w:top w:val="nil"/>
              <w:left w:val="nil"/>
              <w:bottom w:val="single" w:sz="4" w:space="0" w:color="auto"/>
              <w:right w:val="nil"/>
            </w:tcBorders>
            <w:shd w:val="clear" w:color="auto" w:fill="auto"/>
            <w:vAlign w:val="center"/>
            <w:hideMark/>
          </w:tcPr>
          <w:p w:rsidR="00E6335D" w:rsidRPr="008962FC" w:rsidRDefault="00E6335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Code</w:t>
            </w:r>
          </w:p>
        </w:tc>
        <w:tc>
          <w:tcPr>
            <w:tcW w:w="3075" w:type="dxa"/>
            <w:tcBorders>
              <w:top w:val="nil"/>
              <w:left w:val="nil"/>
              <w:bottom w:val="single" w:sz="4" w:space="0" w:color="auto"/>
              <w:right w:val="nil"/>
            </w:tcBorders>
            <w:shd w:val="clear" w:color="auto" w:fill="auto"/>
            <w:vAlign w:val="center"/>
            <w:hideMark/>
          </w:tcPr>
          <w:p w:rsidR="00E6335D" w:rsidRPr="008962FC" w:rsidRDefault="00E6335D" w:rsidP="00033601">
            <w:pPr>
              <w:rPr>
                <w:rFonts w:ascii="Times New Roman" w:hAnsi="Times New Roman"/>
                <w:b/>
                <w:bCs/>
                <w:color w:val="000000"/>
                <w:sz w:val="16"/>
                <w:szCs w:val="18"/>
              </w:rPr>
            </w:pPr>
            <w:r w:rsidRPr="008962FC">
              <w:rPr>
                <w:rFonts w:ascii="Times New Roman" w:hAnsi="Times New Roman"/>
                <w:b/>
                <w:bCs/>
                <w:color w:val="000000"/>
                <w:sz w:val="16"/>
                <w:szCs w:val="18"/>
              </w:rPr>
              <w:t>PSU Name</w:t>
            </w:r>
          </w:p>
        </w:tc>
        <w:tc>
          <w:tcPr>
            <w:tcW w:w="1080" w:type="dxa"/>
            <w:tcBorders>
              <w:top w:val="nil"/>
              <w:left w:val="nil"/>
              <w:bottom w:val="single" w:sz="4" w:space="0" w:color="auto"/>
              <w:right w:val="nil"/>
            </w:tcBorders>
            <w:shd w:val="clear" w:color="auto" w:fill="auto"/>
            <w:vAlign w:val="center"/>
            <w:hideMark/>
          </w:tcPr>
          <w:p w:rsidR="00E6335D" w:rsidRPr="008962FC" w:rsidRDefault="00E6335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Population</w:t>
            </w:r>
          </w:p>
        </w:tc>
        <w:tc>
          <w:tcPr>
            <w:tcW w:w="900" w:type="dxa"/>
            <w:tcBorders>
              <w:top w:val="nil"/>
              <w:left w:val="nil"/>
              <w:bottom w:val="single" w:sz="4" w:space="0" w:color="auto"/>
              <w:right w:val="nil"/>
            </w:tcBorders>
            <w:shd w:val="clear" w:color="auto" w:fill="auto"/>
            <w:vAlign w:val="center"/>
            <w:hideMark/>
          </w:tcPr>
          <w:p w:rsidR="00E6335D" w:rsidRPr="008962FC" w:rsidRDefault="00E6335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Interview</w:t>
            </w:r>
          </w:p>
        </w:tc>
        <w:tc>
          <w:tcPr>
            <w:tcW w:w="900" w:type="dxa"/>
            <w:tcBorders>
              <w:top w:val="nil"/>
              <w:left w:val="nil"/>
              <w:bottom w:val="single" w:sz="4" w:space="0" w:color="auto"/>
              <w:right w:val="nil"/>
            </w:tcBorders>
            <w:shd w:val="clear" w:color="auto" w:fill="auto"/>
            <w:vAlign w:val="center"/>
            <w:hideMark/>
          </w:tcPr>
          <w:p w:rsidR="00E6335D" w:rsidRPr="008962FC" w:rsidRDefault="00E6335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Diary</w:t>
            </w:r>
          </w:p>
        </w:tc>
        <w:tc>
          <w:tcPr>
            <w:tcW w:w="930" w:type="dxa"/>
            <w:tcBorders>
              <w:top w:val="nil"/>
              <w:left w:val="nil"/>
              <w:bottom w:val="single" w:sz="4" w:space="0" w:color="auto"/>
              <w:right w:val="nil"/>
            </w:tcBorders>
            <w:shd w:val="clear" w:color="auto" w:fill="auto"/>
            <w:vAlign w:val="center"/>
            <w:hideMark/>
          </w:tcPr>
          <w:p w:rsidR="00E6335D" w:rsidRPr="008962FC" w:rsidRDefault="00E6335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Interview</w:t>
            </w:r>
          </w:p>
        </w:tc>
        <w:tc>
          <w:tcPr>
            <w:tcW w:w="810" w:type="dxa"/>
            <w:tcBorders>
              <w:top w:val="nil"/>
              <w:left w:val="nil"/>
              <w:bottom w:val="single" w:sz="4" w:space="0" w:color="auto"/>
              <w:right w:val="nil"/>
            </w:tcBorders>
            <w:shd w:val="clear" w:color="auto" w:fill="auto"/>
            <w:vAlign w:val="center"/>
            <w:hideMark/>
          </w:tcPr>
          <w:p w:rsidR="00E6335D" w:rsidRPr="008962FC" w:rsidRDefault="00E6335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Diary</w:t>
            </w:r>
          </w:p>
        </w:tc>
        <w:tc>
          <w:tcPr>
            <w:tcW w:w="990" w:type="dxa"/>
            <w:tcBorders>
              <w:top w:val="nil"/>
              <w:left w:val="nil"/>
              <w:bottom w:val="single" w:sz="4" w:space="0" w:color="auto"/>
              <w:right w:val="nil"/>
            </w:tcBorders>
            <w:shd w:val="clear" w:color="auto" w:fill="auto"/>
            <w:vAlign w:val="center"/>
            <w:hideMark/>
          </w:tcPr>
          <w:p w:rsidR="00E6335D" w:rsidRPr="008962FC" w:rsidRDefault="00E6335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 xml:space="preserve">HU counts </w:t>
            </w:r>
          </w:p>
        </w:tc>
        <w:tc>
          <w:tcPr>
            <w:tcW w:w="1050" w:type="dxa"/>
            <w:tcBorders>
              <w:top w:val="nil"/>
              <w:left w:val="nil"/>
              <w:bottom w:val="single" w:sz="4" w:space="0" w:color="auto"/>
            </w:tcBorders>
            <w:shd w:val="clear" w:color="auto" w:fill="auto"/>
            <w:vAlign w:val="center"/>
            <w:hideMark/>
          </w:tcPr>
          <w:p w:rsidR="00E6335D" w:rsidRPr="008962FC" w:rsidRDefault="00E6335D" w:rsidP="002E25CC">
            <w:pPr>
              <w:jc w:val="right"/>
              <w:rPr>
                <w:rFonts w:ascii="Times New Roman" w:hAnsi="Times New Roman"/>
                <w:b/>
                <w:bCs/>
                <w:color w:val="000000"/>
                <w:sz w:val="16"/>
                <w:szCs w:val="18"/>
              </w:rPr>
            </w:pPr>
            <w:r w:rsidRPr="008962FC">
              <w:rPr>
                <w:rFonts w:ascii="Times New Roman" w:hAnsi="Times New Roman"/>
                <w:b/>
                <w:bCs/>
                <w:color w:val="000000"/>
                <w:sz w:val="16"/>
                <w:szCs w:val="18"/>
              </w:rPr>
              <w:t>Every</w:t>
            </w:r>
            <w:r w:rsidR="002E25CC">
              <w:rPr>
                <w:rFonts w:ascii="Times New Roman" w:hAnsi="Times New Roman"/>
                <w:b/>
                <w:bCs/>
                <w:color w:val="000000"/>
                <w:sz w:val="16"/>
                <w:szCs w:val="18"/>
              </w:rPr>
              <w:t>*</w:t>
            </w:r>
          </w:p>
        </w:tc>
      </w:tr>
      <w:tr w:rsidR="00463772" w:rsidRPr="008962FC" w:rsidTr="00D64410">
        <w:trPr>
          <w:trHeight w:hRule="exact" w:val="202"/>
          <w:jc w:val="center"/>
        </w:trPr>
        <w:tc>
          <w:tcPr>
            <w:tcW w:w="478" w:type="dxa"/>
            <w:tcBorders>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w:t>
            </w:r>
          </w:p>
        </w:tc>
        <w:tc>
          <w:tcPr>
            <w:tcW w:w="630" w:type="dxa"/>
            <w:tcBorders>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N110</w:t>
            </w:r>
          </w:p>
        </w:tc>
        <w:tc>
          <w:tcPr>
            <w:tcW w:w="708" w:type="dxa"/>
            <w:tcBorders>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N11B</w:t>
            </w:r>
          </w:p>
        </w:tc>
        <w:tc>
          <w:tcPr>
            <w:tcW w:w="3075" w:type="dxa"/>
            <w:tcBorders>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Hartford-West Hartford-East Hartford, CT</w:t>
            </w:r>
          </w:p>
        </w:tc>
        <w:tc>
          <w:tcPr>
            <w:tcW w:w="1080" w:type="dxa"/>
            <w:tcBorders>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5,005,793</w:t>
            </w:r>
          </w:p>
        </w:tc>
        <w:tc>
          <w:tcPr>
            <w:tcW w:w="900" w:type="dxa"/>
            <w:tcBorders>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172.71</w:t>
            </w:r>
          </w:p>
        </w:tc>
        <w:tc>
          <w:tcPr>
            <w:tcW w:w="900" w:type="dxa"/>
            <w:tcBorders>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154.26</w:t>
            </w:r>
          </w:p>
        </w:tc>
        <w:tc>
          <w:tcPr>
            <w:tcW w:w="930" w:type="dxa"/>
            <w:tcBorders>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104.80</w:t>
            </w:r>
          </w:p>
        </w:tc>
        <w:tc>
          <w:tcPr>
            <w:tcW w:w="810" w:type="dxa"/>
            <w:tcBorders>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104.51</w:t>
            </w:r>
          </w:p>
        </w:tc>
        <w:tc>
          <w:tcPr>
            <w:tcW w:w="990" w:type="dxa"/>
            <w:tcBorders>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515,994</w:t>
            </w:r>
          </w:p>
        </w:tc>
        <w:tc>
          <w:tcPr>
            <w:tcW w:w="1050" w:type="dxa"/>
            <w:tcBorders>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2,987.58</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Pr>
                <w:rFonts w:ascii="Times New Roman" w:hAnsi="Times New Roman"/>
                <w:color w:val="000000"/>
                <w:sz w:val="16"/>
                <w:szCs w:val="16"/>
              </w:rPr>
              <w:t>2</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N110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N11C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Springfield, MA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4,233,926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146.08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130.47</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88.64</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88.39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258,410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1,768.94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Pittsburgh, PA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4,065,877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148.13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148.18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85.04</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85.45</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1,128,340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7,614.44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N12D</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Buffalo-Cheektowaga-Niagara Falls, NY</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3,483,174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126.90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126.95</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72.85</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73.20</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529,995</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4,174.93</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5</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N12E</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Rochester, NY</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3,925,318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143.01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143.06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82.10</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82.50</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478,996</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3,348.18</w:t>
            </w:r>
          </w:p>
        </w:tc>
      </w:tr>
      <w:tr w:rsidR="00463772" w:rsidRPr="008962FC" w:rsidTr="00D64410">
        <w:trPr>
          <w:trHeight w:hRule="exact" w:val="202"/>
          <w:jc w:val="center"/>
        </w:trPr>
        <w:tc>
          <w:tcPr>
            <w:tcW w:w="478" w:type="dxa"/>
            <w:tcBorders>
              <w:top w:val="nil"/>
              <w:left w:val="single" w:sz="4" w:space="0" w:color="auto"/>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6</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N12F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Reading, PA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3,562,332</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129.78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129.83</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74.51</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74.87</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167,922</w:t>
            </w:r>
          </w:p>
        </w:tc>
        <w:tc>
          <w:tcPr>
            <w:tcW w:w="1050" w:type="dxa"/>
            <w:tcBorders>
              <w:top w:val="nil"/>
              <w:left w:val="nil"/>
              <w:bottom w:val="nil"/>
              <w:right w:val="single" w:sz="4" w:space="0" w:color="auto"/>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1,293.38</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7</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Cincinnati, OH-KY-IN</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3,395,853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125.78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126.83</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76.71</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82.47</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933,932</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7,363.41</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8</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N23D</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Cleveland-Elyria, OH</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3,257,953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120.68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121.68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73.60</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79.12</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972,718</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7,993.82</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9</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N23E</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Columbus, OH</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3,758,510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139.22</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140.38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84.91</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91.28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847,347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6,036.12</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10</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Milwaukee-Waukesha-West Allis, WI</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3,256,494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120.62</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121.63</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73.57</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79.09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682,307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5,609.73</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11</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N23G</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Dayton, OH</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3,924,320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145.36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146.57</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88.65</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95.31</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373,576</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2,548.75</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12</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N23H</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Flint, MI</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3,911,189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144.87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146.08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88.36</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94.99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194,997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1,334.85</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13</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N23I</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Janesville-Beloit, WI</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3,745,126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138.72</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139.88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84.61</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90.96</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69,174</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494.53</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14</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N23J</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Frankfort, IN</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3,427,365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126.95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128.01</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77.43</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83.24</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13,529</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105.69</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15</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Omaha-Council Bluffs, NE-IA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2,974,017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109.90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107.33</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60.26</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62.85</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377,695</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3,436.63</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16</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N24D</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Wichita, KS</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2,842,770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105.05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102.59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57.60</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60.08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275,971</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2,626.98</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17</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N24E</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Lincoln, NE</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3,288,318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121.52</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118.67</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66.63</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69.49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132,440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1,089.89</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18</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N24F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Wahpeton, ND-MN</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2,947,903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108.94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106.38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59.73</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62.30</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10,798</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99.12</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19</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Charlotte-Concord-Gastonia, NC-SC</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3,035,149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112.26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111.66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66.38</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64.81</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975,700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8,691.57</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20</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N35G</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Orlando-Kissimmee-Sanford, FL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2,642,941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97.75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97.23</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57.80</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56.44</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974,388</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9,967.96</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21</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N35H</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Richmond, VA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3,027,856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111.99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111.39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66.22</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64.66</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527,383</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4,709.26</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22</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N35I</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Raleigh, NC</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2,549,176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94.28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93.78</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55.75</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54.44</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491,815</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5,216.31</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23</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N35J</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Greenville-Anderson-Mauldin, SC</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3,094,518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114.45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113.84</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67.68</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66.08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375,761</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3,283.07</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24</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N35K</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Winston-Salem, NC</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2,637,083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97.54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97.01</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57.67</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56.31</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295,307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3,027.69</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25</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N35L</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Cape Coral-Fort Myers, FL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3,091,153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114.33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113.72</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67.60</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66.01</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381,948</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3,340.76</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26</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N35M</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Ocala, FL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2,568,744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95.01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94.50</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56.18</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54.85</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169,498</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1,784.04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27</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N35N</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Gainesville, FL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2,913,140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107.75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107.17</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63.71</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62.21</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123,267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1,144.06</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28</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N35O</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Wilmington, NC</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2,736,321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101.21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100.66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59.84</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58.43</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132,731</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1,311.50</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29</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N35P</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Jacksonville, NC</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3,100,604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114.68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114.06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67.81</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66.21</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79,571</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693.86</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30</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N35Q</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Big Stone Gap, VA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2,563,098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94.80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94.29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56.05</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54.73</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28,745</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303.22</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31</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N36A</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Louisville/Jefferson County, KY-IN</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2,529,624</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92.17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91.09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52.99</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55.59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555,975</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6,032.19</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32</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N36B</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Birmingham-Hoover, AL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2,483,606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90.49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89.43</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52.02</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54.58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524,219</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5,793.03</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33</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Chattanooga, TN-GA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2,620,595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95.48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94.36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54.89</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57.59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242,424</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2,538.93</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34</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N36D</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Huntsville, AL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2,801,399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102.07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100.87</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58.68</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61.56</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195,582</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1,916.15</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35</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N36E</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Florence-Muscle Shoals, AL</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2,550,408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92.93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91.84</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53.42</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56.04</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72,916</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784.67</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36</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N36F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Meridian, MS</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2,397,313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87.35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86.32</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50.22</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52.68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49,690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568.88</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37</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San Antonio-New Braunfels, TX</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2,436,095</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88.66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87.29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47.37</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42.59</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899,396</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10,144.60</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38</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N37D</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Oklahoma City, OK</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2,812,948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102.37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100.80</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54.69</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49.17</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573,736</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5,604.39</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39</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N37E</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Baton Rouge, LA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2,543,610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92.57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91.15</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49.46</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44.46</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350,744</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3,788.94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40</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Lafayette, LA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2,444,837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88.98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87.61</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47.54</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42.74</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210,467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2,365.44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41</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N37G</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Brownsville-Harlingen, TX</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2,581,037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93.93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92.49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50.19</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45.12</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152,513</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1,623.64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42</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N37H</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Amarillo, TX</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2,756,117</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100.30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98.76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53.59</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48.18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107,779</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1,074.52</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43</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N37I</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Russellville, AR</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2,620,998</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95.39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93.92</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50.96</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45.82</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36,687</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384.61</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44</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N37J</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Paris, TX</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2,851,943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103.79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102.19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55.45</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49.85</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23,670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228.05</w:t>
            </w:r>
          </w:p>
        </w:tc>
      </w:tr>
      <w:tr w:rsidR="00463772" w:rsidRPr="00507D8E" w:rsidTr="00D64410">
        <w:trPr>
          <w:trHeight w:hRule="exact" w:val="202"/>
          <w:jc w:val="center"/>
        </w:trPr>
        <w:tc>
          <w:tcPr>
            <w:tcW w:w="478" w:type="dxa"/>
            <w:tcBorders>
              <w:top w:val="nil"/>
              <w:bottom w:val="nil"/>
              <w:right w:val="nil"/>
            </w:tcBorders>
            <w:shd w:val="clear" w:color="auto" w:fill="auto"/>
          </w:tcPr>
          <w:p w:rsidR="00463772" w:rsidRPr="00507D8E" w:rsidRDefault="00463772" w:rsidP="00033601">
            <w:pPr>
              <w:rPr>
                <w:rFonts w:ascii="Times New Roman" w:hAnsi="Times New Roman"/>
                <w:sz w:val="16"/>
                <w:szCs w:val="16"/>
              </w:rPr>
            </w:pPr>
            <w:r w:rsidRPr="00507D8E">
              <w:rPr>
                <w:rFonts w:ascii="Times New Roman" w:hAnsi="Times New Roman"/>
                <w:sz w:val="16"/>
                <w:szCs w:val="16"/>
              </w:rPr>
              <w:t>45</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N48C</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Las Vegas-Henderson-Paradise, NV</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3,227,960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117.90</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118.19</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66.77</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66.62</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870,033</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7,361.34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46</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N48D</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Provo-Orem, UT</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3,724,271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136.03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136.36</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77.04</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76.86</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161,723</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1,185.99</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47</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N48E</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Yuma, AZ</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3,840,701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140.29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140.62</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79.45</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79.26</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90,593</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644.22</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48</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N48F</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St. George, UT</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3,206,759</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117.13</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117.41</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66.33</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66.18</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61,470</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523.54</w:t>
            </w:r>
          </w:p>
        </w:tc>
      </w:tr>
      <w:tr w:rsidR="00463772" w:rsidRPr="008962FC" w:rsidTr="00D64410">
        <w:trPr>
          <w:trHeight w:hRule="exact" w:val="202"/>
          <w:jc w:val="center"/>
        </w:trPr>
        <w:tc>
          <w:tcPr>
            <w:tcW w:w="478" w:type="dxa"/>
            <w:tcBorders>
              <w:top w:val="nil"/>
              <w:bottom w:val="nil"/>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49</w:t>
            </w:r>
          </w:p>
        </w:tc>
        <w:tc>
          <w:tcPr>
            <w:tcW w:w="630"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N490</w:t>
            </w:r>
          </w:p>
        </w:tc>
        <w:tc>
          <w:tcPr>
            <w:tcW w:w="708"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N49H</w:t>
            </w:r>
          </w:p>
        </w:tc>
        <w:tc>
          <w:tcPr>
            <w:tcW w:w="3075" w:type="dxa"/>
            <w:tcBorders>
              <w:top w:val="nil"/>
              <w:left w:val="nil"/>
              <w:bottom w:val="nil"/>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Portland-Vancouver-Hillsboro, OR-WA</w:t>
            </w:r>
          </w:p>
        </w:tc>
        <w:tc>
          <w:tcPr>
            <w:tcW w:w="1080" w:type="dxa"/>
            <w:tcBorders>
              <w:top w:val="nil"/>
              <w:left w:val="nil"/>
              <w:bottom w:val="nil"/>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5,208,366</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188.41</w:t>
            </w:r>
          </w:p>
        </w:tc>
        <w:tc>
          <w:tcPr>
            <w:tcW w:w="90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188.25</w:t>
            </w:r>
          </w:p>
        </w:tc>
        <w:tc>
          <w:tcPr>
            <w:tcW w:w="93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121.26</w:t>
            </w:r>
          </w:p>
        </w:tc>
        <w:tc>
          <w:tcPr>
            <w:tcW w:w="81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123.87</w:t>
            </w:r>
          </w:p>
        </w:tc>
        <w:tc>
          <w:tcPr>
            <w:tcW w:w="990" w:type="dxa"/>
            <w:tcBorders>
              <w:top w:val="nil"/>
              <w:left w:val="nil"/>
              <w:bottom w:val="nil"/>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955,334</w:t>
            </w:r>
          </w:p>
        </w:tc>
        <w:tc>
          <w:tcPr>
            <w:tcW w:w="1050" w:type="dxa"/>
            <w:tcBorders>
              <w:top w:val="nil"/>
              <w:left w:val="nil"/>
              <w:bottom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5,070.59</w:t>
            </w:r>
          </w:p>
        </w:tc>
      </w:tr>
      <w:tr w:rsidR="00463772" w:rsidRPr="008962FC" w:rsidTr="00D64410">
        <w:trPr>
          <w:trHeight w:hRule="exact" w:val="202"/>
          <w:jc w:val="center"/>
        </w:trPr>
        <w:tc>
          <w:tcPr>
            <w:tcW w:w="478" w:type="dxa"/>
            <w:tcBorders>
              <w:top w:val="nil"/>
              <w:bottom w:val="single" w:sz="4" w:space="0" w:color="auto"/>
              <w:right w:val="nil"/>
            </w:tcBorders>
            <w:shd w:val="clear" w:color="auto" w:fill="auto"/>
          </w:tcPr>
          <w:p w:rsidR="00463772" w:rsidRPr="002E5BCA" w:rsidRDefault="00463772" w:rsidP="00033601">
            <w:pPr>
              <w:rPr>
                <w:rFonts w:ascii="Times New Roman" w:hAnsi="Times New Roman"/>
                <w:color w:val="000000"/>
                <w:sz w:val="16"/>
                <w:szCs w:val="16"/>
              </w:rPr>
            </w:pPr>
            <w:r w:rsidRPr="002E5BCA">
              <w:rPr>
                <w:rFonts w:ascii="Times New Roman" w:hAnsi="Times New Roman"/>
                <w:color w:val="000000"/>
                <w:sz w:val="16"/>
                <w:szCs w:val="16"/>
              </w:rPr>
              <w:t>50</w:t>
            </w:r>
          </w:p>
        </w:tc>
        <w:tc>
          <w:tcPr>
            <w:tcW w:w="630" w:type="dxa"/>
            <w:tcBorders>
              <w:top w:val="nil"/>
              <w:left w:val="nil"/>
              <w:bottom w:val="single" w:sz="4" w:space="0" w:color="auto"/>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N490</w:t>
            </w:r>
          </w:p>
        </w:tc>
        <w:tc>
          <w:tcPr>
            <w:tcW w:w="708" w:type="dxa"/>
            <w:tcBorders>
              <w:top w:val="nil"/>
              <w:left w:val="nil"/>
              <w:bottom w:val="single" w:sz="4" w:space="0" w:color="auto"/>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N49I</w:t>
            </w:r>
          </w:p>
        </w:tc>
        <w:tc>
          <w:tcPr>
            <w:tcW w:w="3075" w:type="dxa"/>
            <w:tcBorders>
              <w:top w:val="nil"/>
              <w:left w:val="nil"/>
              <w:bottom w:val="single" w:sz="4" w:space="0" w:color="auto"/>
              <w:right w:val="nil"/>
            </w:tcBorders>
            <w:shd w:val="clear" w:color="auto" w:fill="auto"/>
          </w:tcPr>
          <w:p w:rsidR="00463772" w:rsidRPr="006F5A7C" w:rsidRDefault="00463772">
            <w:pPr>
              <w:rPr>
                <w:rFonts w:ascii="Times New Roman" w:hAnsi="Times New Roman"/>
                <w:color w:val="000000"/>
                <w:sz w:val="16"/>
                <w:szCs w:val="16"/>
              </w:rPr>
            </w:pPr>
            <w:r w:rsidRPr="006F5A7C">
              <w:rPr>
                <w:rFonts w:ascii="Times New Roman" w:hAnsi="Times New Roman"/>
                <w:color w:val="000000"/>
                <w:sz w:val="16"/>
                <w:szCs w:val="16"/>
              </w:rPr>
              <w:t>Santa Rosa, CA</w:t>
            </w:r>
          </w:p>
        </w:tc>
        <w:tc>
          <w:tcPr>
            <w:tcW w:w="1080" w:type="dxa"/>
            <w:tcBorders>
              <w:top w:val="nil"/>
              <w:left w:val="nil"/>
              <w:bottom w:val="single" w:sz="4" w:space="0" w:color="auto"/>
              <w:right w:val="nil"/>
            </w:tcBorders>
            <w:shd w:val="clear" w:color="auto" w:fill="auto"/>
          </w:tcPr>
          <w:p w:rsidR="00463772" w:rsidRPr="006F5A7C" w:rsidRDefault="00463772">
            <w:pPr>
              <w:jc w:val="right"/>
              <w:rPr>
                <w:rFonts w:ascii="Times New Roman" w:hAnsi="Times New Roman"/>
                <w:color w:val="000000"/>
                <w:sz w:val="16"/>
                <w:szCs w:val="16"/>
              </w:rPr>
            </w:pPr>
            <w:r w:rsidRPr="006F5A7C">
              <w:rPr>
                <w:rFonts w:ascii="Times New Roman" w:hAnsi="Times New Roman"/>
                <w:color w:val="000000"/>
                <w:sz w:val="16"/>
                <w:szCs w:val="16"/>
              </w:rPr>
              <w:t>5,163,670</w:t>
            </w:r>
          </w:p>
        </w:tc>
        <w:tc>
          <w:tcPr>
            <w:tcW w:w="900" w:type="dxa"/>
            <w:tcBorders>
              <w:top w:val="nil"/>
              <w:left w:val="nil"/>
              <w:bottom w:val="single" w:sz="4" w:space="0" w:color="auto"/>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186.79</w:t>
            </w:r>
          </w:p>
        </w:tc>
        <w:tc>
          <w:tcPr>
            <w:tcW w:w="900" w:type="dxa"/>
            <w:tcBorders>
              <w:top w:val="nil"/>
              <w:left w:val="nil"/>
              <w:bottom w:val="single" w:sz="4" w:space="0" w:color="auto"/>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186.63</w:t>
            </w:r>
          </w:p>
        </w:tc>
        <w:tc>
          <w:tcPr>
            <w:tcW w:w="930" w:type="dxa"/>
            <w:tcBorders>
              <w:top w:val="nil"/>
              <w:left w:val="nil"/>
              <w:bottom w:val="single" w:sz="4" w:space="0" w:color="auto"/>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120.21</w:t>
            </w:r>
          </w:p>
        </w:tc>
        <w:tc>
          <w:tcPr>
            <w:tcW w:w="810" w:type="dxa"/>
            <w:tcBorders>
              <w:top w:val="nil"/>
              <w:left w:val="nil"/>
              <w:bottom w:val="single" w:sz="4" w:space="0" w:color="auto"/>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122.81</w:t>
            </w:r>
          </w:p>
        </w:tc>
        <w:tc>
          <w:tcPr>
            <w:tcW w:w="990" w:type="dxa"/>
            <w:tcBorders>
              <w:top w:val="nil"/>
              <w:left w:val="nil"/>
              <w:bottom w:val="single" w:sz="4" w:space="0" w:color="auto"/>
              <w:right w:val="nil"/>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207,317</w:t>
            </w:r>
          </w:p>
        </w:tc>
        <w:tc>
          <w:tcPr>
            <w:tcW w:w="1050" w:type="dxa"/>
            <w:tcBorders>
              <w:top w:val="nil"/>
              <w:left w:val="nil"/>
              <w:bottom w:val="single" w:sz="4" w:space="0" w:color="auto"/>
            </w:tcBorders>
            <w:shd w:val="clear" w:color="auto" w:fill="auto"/>
            <w:vAlign w:val="bottom"/>
          </w:tcPr>
          <w:p w:rsidR="00463772" w:rsidRPr="00463772" w:rsidRDefault="00463772">
            <w:pPr>
              <w:jc w:val="right"/>
              <w:rPr>
                <w:rFonts w:ascii="Times New Roman" w:hAnsi="Times New Roman"/>
                <w:color w:val="000000"/>
                <w:sz w:val="16"/>
                <w:szCs w:val="16"/>
              </w:rPr>
            </w:pPr>
            <w:r w:rsidRPr="00463772">
              <w:rPr>
                <w:rFonts w:ascii="Times New Roman" w:hAnsi="Times New Roman"/>
                <w:color w:val="000000"/>
                <w:sz w:val="16"/>
                <w:szCs w:val="16"/>
              </w:rPr>
              <w:t>1,109.89</w:t>
            </w:r>
          </w:p>
        </w:tc>
      </w:tr>
      <w:bookmarkEnd w:id="8"/>
      <w:bookmarkEnd w:id="9"/>
    </w:tbl>
    <w:p w:rsidR="00254034" w:rsidRDefault="00254034"/>
    <w:p w:rsidR="00254034" w:rsidRPr="000B6312" w:rsidRDefault="00655013" w:rsidP="00655013">
      <w:pPr>
        <w:pStyle w:val="ListParagraph"/>
        <w:rPr>
          <w:rFonts w:ascii="Times New Roman" w:hAnsi="Times New Roman"/>
        </w:rPr>
      </w:pPr>
      <w:r w:rsidRPr="000B6312">
        <w:rPr>
          <w:rFonts w:ascii="Times New Roman" w:hAnsi="Times New Roman"/>
        </w:rPr>
        <w:t>*The Take Everys will need to be divided by two when the final redesign file is created</w:t>
      </w:r>
      <w:r w:rsidR="00837B83">
        <w:rPr>
          <w:rFonts w:ascii="Times New Roman" w:hAnsi="Times New Roman"/>
        </w:rPr>
        <w:t xml:space="preserve"> </w:t>
      </w:r>
      <w:r w:rsidR="00760BE0">
        <w:rPr>
          <w:rFonts w:ascii="Times New Roman" w:hAnsi="Times New Roman"/>
        </w:rPr>
        <w:t xml:space="preserve">in order </w:t>
      </w:r>
      <w:r w:rsidR="00837B83" w:rsidRPr="00837B83">
        <w:rPr>
          <w:rFonts w:ascii="Times New Roman" w:hAnsi="Times New Roman"/>
        </w:rPr>
        <w:t>to take twice as much sample to account for both CED and CEQ being selected at the same time.</w:t>
      </w:r>
    </w:p>
    <w:p w:rsidR="00FF67A1" w:rsidRDefault="00FF67A1"/>
    <w:tbl>
      <w:tblPr>
        <w:tblW w:w="11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8"/>
        <w:gridCol w:w="630"/>
        <w:gridCol w:w="708"/>
        <w:gridCol w:w="3075"/>
        <w:gridCol w:w="1080"/>
        <w:gridCol w:w="900"/>
        <w:gridCol w:w="900"/>
        <w:gridCol w:w="930"/>
        <w:gridCol w:w="810"/>
        <w:gridCol w:w="990"/>
        <w:gridCol w:w="1050"/>
      </w:tblGrid>
      <w:tr w:rsidR="00254034" w:rsidRPr="008962FC" w:rsidTr="00BB7619">
        <w:trPr>
          <w:trHeight w:val="202"/>
          <w:jc w:val="center"/>
        </w:trPr>
        <w:tc>
          <w:tcPr>
            <w:tcW w:w="478" w:type="dxa"/>
            <w:tcBorders>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bookmarkStart w:id="11" w:name="OLE_LINK7"/>
            <w:r w:rsidRPr="008962FC">
              <w:rPr>
                <w:rFonts w:ascii="Times New Roman" w:hAnsi="Times New Roman"/>
                <w:b/>
                <w:bCs/>
                <w:color w:val="000000"/>
                <w:sz w:val="16"/>
                <w:szCs w:val="18"/>
              </w:rPr>
              <w:t> </w:t>
            </w:r>
          </w:p>
        </w:tc>
        <w:tc>
          <w:tcPr>
            <w:tcW w:w="630" w:type="dxa"/>
            <w:tcBorders>
              <w:left w:val="nil"/>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Index</w:t>
            </w:r>
          </w:p>
        </w:tc>
        <w:tc>
          <w:tcPr>
            <w:tcW w:w="708" w:type="dxa"/>
            <w:tcBorders>
              <w:left w:val="nil"/>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PSU</w:t>
            </w:r>
          </w:p>
        </w:tc>
        <w:tc>
          <w:tcPr>
            <w:tcW w:w="3075" w:type="dxa"/>
            <w:tcBorders>
              <w:left w:val="nil"/>
              <w:bottom w:val="nil"/>
              <w:right w:val="nil"/>
            </w:tcBorders>
            <w:shd w:val="clear" w:color="auto" w:fill="auto"/>
            <w:vAlign w:val="center"/>
            <w:hideMark/>
          </w:tcPr>
          <w:p w:rsidR="00254034" w:rsidRPr="008962FC" w:rsidRDefault="00254034" w:rsidP="00BB7619">
            <w:pP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1080" w:type="dxa"/>
            <w:tcBorders>
              <w:left w:val="nil"/>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1800" w:type="dxa"/>
            <w:gridSpan w:val="2"/>
            <w:tcBorders>
              <w:left w:val="nil"/>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 Addresses</w:t>
            </w:r>
          </w:p>
        </w:tc>
        <w:tc>
          <w:tcPr>
            <w:tcW w:w="1740" w:type="dxa"/>
            <w:gridSpan w:val="2"/>
            <w:tcBorders>
              <w:left w:val="nil"/>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 Usable Interviews</w:t>
            </w:r>
          </w:p>
        </w:tc>
        <w:tc>
          <w:tcPr>
            <w:tcW w:w="990" w:type="dxa"/>
            <w:tcBorders>
              <w:left w:val="nil"/>
              <w:bottom w:val="nil"/>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MAF</w:t>
            </w:r>
          </w:p>
        </w:tc>
        <w:tc>
          <w:tcPr>
            <w:tcW w:w="1050" w:type="dxa"/>
            <w:tcBorders>
              <w:left w:val="nil"/>
              <w:bottom w:val="nil"/>
            </w:tcBorders>
            <w:shd w:val="clear" w:color="auto" w:fill="auto"/>
            <w:vAlign w:val="center"/>
            <w:hideMark/>
          </w:tcPr>
          <w:p w:rsidR="00254034" w:rsidRPr="008962FC" w:rsidRDefault="000B6312" w:rsidP="000B6312">
            <w:pPr>
              <w:jc w:val="center"/>
              <w:rPr>
                <w:rFonts w:ascii="Times New Roman" w:hAnsi="Times New Roman"/>
                <w:b/>
                <w:bCs/>
                <w:color w:val="000000"/>
                <w:sz w:val="16"/>
                <w:szCs w:val="18"/>
              </w:rPr>
            </w:pPr>
            <w:r>
              <w:rPr>
                <w:rFonts w:ascii="Times New Roman" w:hAnsi="Times New Roman"/>
                <w:b/>
                <w:bCs/>
                <w:color w:val="000000"/>
                <w:sz w:val="16"/>
                <w:szCs w:val="18"/>
              </w:rPr>
              <w:t xml:space="preserve">     </w:t>
            </w:r>
            <w:r w:rsidR="00254034" w:rsidRPr="008962FC">
              <w:rPr>
                <w:rFonts w:ascii="Times New Roman" w:hAnsi="Times New Roman"/>
                <w:b/>
                <w:bCs/>
                <w:color w:val="000000"/>
                <w:sz w:val="16"/>
                <w:szCs w:val="18"/>
              </w:rPr>
              <w:t>Take</w:t>
            </w:r>
          </w:p>
        </w:tc>
      </w:tr>
      <w:tr w:rsidR="00254034" w:rsidRPr="008962FC" w:rsidTr="00BB7619">
        <w:trPr>
          <w:trHeight w:val="202"/>
          <w:jc w:val="center"/>
        </w:trPr>
        <w:tc>
          <w:tcPr>
            <w:tcW w:w="478" w:type="dxa"/>
            <w:tcBorders>
              <w:top w:val="nil"/>
              <w:bottom w:val="single" w:sz="4" w:space="0" w:color="auto"/>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630" w:type="dxa"/>
            <w:tcBorders>
              <w:top w:val="nil"/>
              <w:left w:val="nil"/>
              <w:bottom w:val="single" w:sz="4" w:space="0" w:color="auto"/>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Area</w:t>
            </w:r>
          </w:p>
        </w:tc>
        <w:tc>
          <w:tcPr>
            <w:tcW w:w="708" w:type="dxa"/>
            <w:tcBorders>
              <w:top w:val="nil"/>
              <w:left w:val="nil"/>
              <w:bottom w:val="single" w:sz="4" w:space="0" w:color="auto"/>
              <w:right w:val="nil"/>
            </w:tcBorders>
            <w:shd w:val="clear" w:color="auto" w:fill="auto"/>
            <w:vAlign w:val="center"/>
            <w:hideMark/>
          </w:tcPr>
          <w:p w:rsidR="00254034" w:rsidRPr="008962FC" w:rsidRDefault="00254034" w:rsidP="00BB7619">
            <w:pPr>
              <w:jc w:val="center"/>
              <w:rPr>
                <w:rFonts w:ascii="Times New Roman" w:hAnsi="Times New Roman"/>
                <w:b/>
                <w:bCs/>
                <w:color w:val="000000"/>
                <w:sz w:val="16"/>
                <w:szCs w:val="18"/>
              </w:rPr>
            </w:pPr>
            <w:r w:rsidRPr="008962FC">
              <w:rPr>
                <w:rFonts w:ascii="Times New Roman" w:hAnsi="Times New Roman"/>
                <w:b/>
                <w:bCs/>
                <w:color w:val="000000"/>
                <w:sz w:val="16"/>
                <w:szCs w:val="18"/>
              </w:rPr>
              <w:t>Code</w:t>
            </w:r>
          </w:p>
        </w:tc>
        <w:tc>
          <w:tcPr>
            <w:tcW w:w="3075" w:type="dxa"/>
            <w:tcBorders>
              <w:top w:val="nil"/>
              <w:left w:val="nil"/>
              <w:bottom w:val="single" w:sz="4" w:space="0" w:color="auto"/>
              <w:right w:val="nil"/>
            </w:tcBorders>
            <w:shd w:val="clear" w:color="auto" w:fill="auto"/>
            <w:vAlign w:val="center"/>
            <w:hideMark/>
          </w:tcPr>
          <w:p w:rsidR="00254034" w:rsidRPr="008962FC" w:rsidRDefault="00254034" w:rsidP="00BB7619">
            <w:pPr>
              <w:rPr>
                <w:rFonts w:ascii="Times New Roman" w:hAnsi="Times New Roman"/>
                <w:b/>
                <w:bCs/>
                <w:color w:val="000000"/>
                <w:sz w:val="16"/>
                <w:szCs w:val="18"/>
              </w:rPr>
            </w:pPr>
            <w:r w:rsidRPr="008962FC">
              <w:rPr>
                <w:rFonts w:ascii="Times New Roman" w:hAnsi="Times New Roman"/>
                <w:b/>
                <w:bCs/>
                <w:color w:val="000000"/>
                <w:sz w:val="16"/>
                <w:szCs w:val="18"/>
              </w:rPr>
              <w:t>PSU Name</w:t>
            </w:r>
          </w:p>
        </w:tc>
        <w:tc>
          <w:tcPr>
            <w:tcW w:w="1080" w:type="dxa"/>
            <w:tcBorders>
              <w:top w:val="nil"/>
              <w:left w:val="nil"/>
              <w:bottom w:val="single" w:sz="4" w:space="0" w:color="auto"/>
              <w:right w:val="nil"/>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Population</w:t>
            </w:r>
          </w:p>
        </w:tc>
        <w:tc>
          <w:tcPr>
            <w:tcW w:w="900" w:type="dxa"/>
            <w:tcBorders>
              <w:top w:val="nil"/>
              <w:left w:val="nil"/>
              <w:bottom w:val="single" w:sz="4" w:space="0" w:color="auto"/>
              <w:right w:val="nil"/>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Interview</w:t>
            </w:r>
          </w:p>
        </w:tc>
        <w:tc>
          <w:tcPr>
            <w:tcW w:w="900" w:type="dxa"/>
            <w:tcBorders>
              <w:top w:val="nil"/>
              <w:left w:val="nil"/>
              <w:bottom w:val="single" w:sz="4" w:space="0" w:color="auto"/>
              <w:right w:val="nil"/>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Diary</w:t>
            </w:r>
          </w:p>
        </w:tc>
        <w:tc>
          <w:tcPr>
            <w:tcW w:w="930" w:type="dxa"/>
            <w:tcBorders>
              <w:top w:val="nil"/>
              <w:left w:val="nil"/>
              <w:bottom w:val="single" w:sz="4" w:space="0" w:color="auto"/>
              <w:right w:val="nil"/>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Interview</w:t>
            </w:r>
          </w:p>
        </w:tc>
        <w:tc>
          <w:tcPr>
            <w:tcW w:w="810" w:type="dxa"/>
            <w:tcBorders>
              <w:top w:val="nil"/>
              <w:left w:val="nil"/>
              <w:bottom w:val="single" w:sz="4" w:space="0" w:color="auto"/>
              <w:right w:val="nil"/>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Diary</w:t>
            </w:r>
          </w:p>
        </w:tc>
        <w:tc>
          <w:tcPr>
            <w:tcW w:w="990" w:type="dxa"/>
            <w:tcBorders>
              <w:top w:val="nil"/>
              <w:left w:val="nil"/>
              <w:bottom w:val="single" w:sz="4" w:space="0" w:color="auto"/>
              <w:right w:val="nil"/>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 xml:space="preserve">HU counts </w:t>
            </w:r>
          </w:p>
        </w:tc>
        <w:tc>
          <w:tcPr>
            <w:tcW w:w="1050" w:type="dxa"/>
            <w:tcBorders>
              <w:top w:val="nil"/>
              <w:left w:val="nil"/>
              <w:bottom w:val="single" w:sz="4" w:space="0" w:color="auto"/>
            </w:tcBorders>
            <w:shd w:val="clear" w:color="auto" w:fill="auto"/>
            <w:vAlign w:val="center"/>
            <w:hideMark/>
          </w:tcPr>
          <w:p w:rsidR="00254034" w:rsidRPr="008962FC" w:rsidRDefault="00254034" w:rsidP="00BB7619">
            <w:pPr>
              <w:jc w:val="right"/>
              <w:rPr>
                <w:rFonts w:ascii="Times New Roman" w:hAnsi="Times New Roman"/>
                <w:b/>
                <w:bCs/>
                <w:color w:val="000000"/>
                <w:sz w:val="16"/>
                <w:szCs w:val="18"/>
              </w:rPr>
            </w:pPr>
            <w:r w:rsidRPr="008962FC">
              <w:rPr>
                <w:rFonts w:ascii="Times New Roman" w:hAnsi="Times New Roman"/>
                <w:b/>
                <w:bCs/>
                <w:color w:val="000000"/>
                <w:sz w:val="16"/>
                <w:szCs w:val="18"/>
              </w:rPr>
              <w:t>Every</w:t>
            </w:r>
            <w:r w:rsidR="000B6312">
              <w:rPr>
                <w:rFonts w:ascii="Times New Roman" w:hAnsi="Times New Roman"/>
                <w:b/>
                <w:bCs/>
                <w:color w:val="000000"/>
                <w:sz w:val="16"/>
                <w:szCs w:val="18"/>
              </w:rPr>
              <w:t>*</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BB7619">
            <w:pPr>
              <w:rPr>
                <w:rFonts w:ascii="Times New Roman" w:hAnsi="Times New Roman"/>
                <w:color w:val="000000"/>
                <w:sz w:val="16"/>
                <w:szCs w:val="16"/>
              </w:rPr>
            </w:pPr>
            <w:r w:rsidRPr="002E5BCA">
              <w:rPr>
                <w:rFonts w:ascii="Times New Roman" w:hAnsi="Times New Roman"/>
                <w:color w:val="000000"/>
                <w:sz w:val="16"/>
                <w:szCs w:val="16"/>
              </w:rPr>
              <w:t>51</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N490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N49J</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Chico, CA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4,623,339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167.24</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167.10</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107.64</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109.96</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97,357</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582.13</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52</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N490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N49K</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Moses Lake, WA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4,363,676</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157.85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157.72</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101.59</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103.78</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36,615</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231.96</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53</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R110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R11D</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Addison, VT</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652,744</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69.65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71.73</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17,271</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240.77</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54</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R120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R12G</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Northeast Pennsylvania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825,870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131.25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150.28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56.08</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60.32</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56,812</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378.05</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55</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R230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R23K</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Northern Michigan</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1,605,685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79.62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76.05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40.34</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39.52</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39,430</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495.22</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56</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R230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R23L</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Holmes, OH</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1,351,458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67.01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64.01</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33.95</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33.27</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14,268</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212.91</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57</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R240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R24G</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Northern Missouri</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1,838,073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74.75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80.28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40.63</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42.60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20,862</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259.87</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58</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R240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R24H</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Northeast Nebraska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1,547,801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62.94</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67.60</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34.21</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35.87</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9,196</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136.03</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59</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R350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R35R</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Southern Virginia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1,543,021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32.75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46.19</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20.98</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27.75</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64,826</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1,403.43</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60</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R350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R35S</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Southwest West Virginia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1,853,703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39.34</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55.49</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25.20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33.33</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37,689</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679.18</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61</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R360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R36G</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Eastern Kentucky</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1,567,733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109.55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99.00</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44.23</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43.82</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91,078</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831.40</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62</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R360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R36H</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Western Tennessee</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1,406,973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98.31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88.85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39.70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39.33</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49,746</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505.99</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63</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R370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R37K</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Northeast Texas</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1,315,398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29.02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46.76</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18.12</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26.74</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60,280</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1,289.17</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64</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R370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R37L</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Northern Arkansas</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1,587,948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35.03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56.45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21.88</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32.28</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45,063</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798.32</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65</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R480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R48G</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Ravalli, MT</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481,660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33.43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57.48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16.91</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23.62</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20,117</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350.01</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66</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R480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R48H</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Lincoln, NM</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399,341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27.72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47.65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14.02</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19.59</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18,341</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384.89</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67</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R480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R48I</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Gooding, ID</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447,390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31.05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53.39</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15.70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21.94</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6,230</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116.70</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68</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R490</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R49L</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Tillamook, OR</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714,395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101.75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80.57</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47.27</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21,220</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208.56</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69</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S11A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S11A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Boston-Cambridge-Newton, MA-NH</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4,552,402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171.73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161.92</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95.50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93.08</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1,927,112</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11,221.55</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7B525C">
            <w:pPr>
              <w:rPr>
                <w:rFonts w:ascii="Times New Roman" w:hAnsi="Times New Roman"/>
                <w:color w:val="000000"/>
                <w:sz w:val="16"/>
                <w:szCs w:val="16"/>
              </w:rPr>
            </w:pPr>
            <w:r w:rsidRPr="002E5BCA">
              <w:rPr>
                <w:rFonts w:ascii="Times New Roman" w:hAnsi="Times New Roman"/>
                <w:color w:val="000000"/>
                <w:sz w:val="16"/>
                <w:szCs w:val="16"/>
              </w:rPr>
              <w:t>70</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S12A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S12A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New York-Newark-Jersey City, NY-NJ-PA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19,567,410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714.41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714.35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387.89</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391.80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7,971,063</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11,157.47</w:t>
            </w:r>
          </w:p>
        </w:tc>
      </w:tr>
      <w:tr w:rsidR="00A97BCB" w:rsidRPr="008962FC" w:rsidTr="00631473">
        <w:trPr>
          <w:trHeight w:hRule="exact" w:val="414"/>
          <w:jc w:val="center"/>
        </w:trPr>
        <w:tc>
          <w:tcPr>
            <w:tcW w:w="478" w:type="dxa"/>
            <w:tcBorders>
              <w:top w:val="nil"/>
              <w:bottom w:val="nil"/>
              <w:right w:val="nil"/>
            </w:tcBorders>
            <w:shd w:val="clear" w:color="auto" w:fill="auto"/>
          </w:tcPr>
          <w:p w:rsidR="00A97BCB" w:rsidRPr="002E5BCA" w:rsidRDefault="00A97BCB" w:rsidP="007B525C">
            <w:pPr>
              <w:rPr>
                <w:rFonts w:ascii="Times New Roman" w:hAnsi="Times New Roman"/>
                <w:color w:val="000000"/>
                <w:sz w:val="16"/>
                <w:szCs w:val="16"/>
              </w:rPr>
            </w:pPr>
            <w:r w:rsidRPr="002E5BCA">
              <w:rPr>
                <w:rFonts w:ascii="Times New Roman" w:hAnsi="Times New Roman"/>
                <w:color w:val="000000"/>
                <w:sz w:val="16"/>
                <w:szCs w:val="16"/>
              </w:rPr>
              <w:t>71</w:t>
            </w:r>
          </w:p>
        </w:tc>
        <w:tc>
          <w:tcPr>
            <w:tcW w:w="630" w:type="dxa"/>
            <w:tcBorders>
              <w:top w:val="nil"/>
              <w:left w:val="nil"/>
              <w:bottom w:val="nil"/>
              <w:right w:val="nil"/>
            </w:tcBorders>
            <w:shd w:val="clear" w:color="auto" w:fill="auto"/>
          </w:tcPr>
          <w:p w:rsidR="00A97BCB" w:rsidRPr="006F5A7C" w:rsidRDefault="00A97BCB" w:rsidP="007B525C">
            <w:pPr>
              <w:rPr>
                <w:rFonts w:ascii="Times New Roman" w:hAnsi="Times New Roman"/>
                <w:color w:val="000000"/>
                <w:sz w:val="16"/>
                <w:szCs w:val="16"/>
              </w:rPr>
            </w:pPr>
            <w:r w:rsidRPr="006F5A7C">
              <w:rPr>
                <w:rFonts w:ascii="Times New Roman" w:hAnsi="Times New Roman"/>
                <w:color w:val="000000"/>
                <w:sz w:val="16"/>
                <w:szCs w:val="16"/>
              </w:rPr>
              <w:t>S12B</w:t>
            </w:r>
          </w:p>
        </w:tc>
        <w:tc>
          <w:tcPr>
            <w:tcW w:w="708" w:type="dxa"/>
            <w:tcBorders>
              <w:top w:val="nil"/>
              <w:left w:val="nil"/>
              <w:bottom w:val="nil"/>
              <w:right w:val="nil"/>
            </w:tcBorders>
            <w:shd w:val="clear" w:color="auto" w:fill="auto"/>
          </w:tcPr>
          <w:p w:rsidR="00A97BCB" w:rsidRPr="006F5A7C" w:rsidRDefault="00A97BCB" w:rsidP="007B525C">
            <w:pPr>
              <w:rPr>
                <w:rFonts w:ascii="Times New Roman" w:hAnsi="Times New Roman"/>
                <w:color w:val="000000"/>
                <w:sz w:val="16"/>
                <w:szCs w:val="16"/>
              </w:rPr>
            </w:pPr>
            <w:r w:rsidRPr="006F5A7C">
              <w:rPr>
                <w:rFonts w:ascii="Times New Roman" w:hAnsi="Times New Roman"/>
                <w:color w:val="000000"/>
                <w:sz w:val="16"/>
                <w:szCs w:val="16"/>
              </w:rPr>
              <w:t>S12B</w:t>
            </w:r>
          </w:p>
        </w:tc>
        <w:tc>
          <w:tcPr>
            <w:tcW w:w="3075" w:type="dxa"/>
            <w:tcBorders>
              <w:top w:val="nil"/>
              <w:left w:val="nil"/>
              <w:bottom w:val="nil"/>
              <w:right w:val="nil"/>
            </w:tcBorders>
            <w:shd w:val="clear" w:color="auto" w:fill="auto"/>
          </w:tcPr>
          <w:p w:rsidR="00A97BCB" w:rsidRPr="006F5A7C" w:rsidRDefault="00A97BCB" w:rsidP="007B525C">
            <w:pPr>
              <w:rPr>
                <w:rFonts w:ascii="Times New Roman" w:hAnsi="Times New Roman"/>
                <w:color w:val="000000"/>
                <w:sz w:val="16"/>
                <w:szCs w:val="16"/>
              </w:rPr>
            </w:pPr>
            <w:r w:rsidRPr="006F5A7C">
              <w:rPr>
                <w:rFonts w:ascii="Times New Roman" w:hAnsi="Times New Roman"/>
                <w:color w:val="000000"/>
                <w:sz w:val="16"/>
                <w:szCs w:val="16"/>
              </w:rPr>
              <w:t>Philadelphia-Camden-Wilmington, PA-NJ-DE-MD</w:t>
            </w:r>
          </w:p>
        </w:tc>
        <w:tc>
          <w:tcPr>
            <w:tcW w:w="1080" w:type="dxa"/>
            <w:tcBorders>
              <w:top w:val="nil"/>
              <w:left w:val="nil"/>
              <w:bottom w:val="nil"/>
              <w:right w:val="nil"/>
            </w:tcBorders>
            <w:shd w:val="clear" w:color="auto" w:fill="auto"/>
          </w:tcPr>
          <w:p w:rsidR="00A97BCB" w:rsidRPr="006F5A7C" w:rsidRDefault="00A97BCB" w:rsidP="007B525C">
            <w:pPr>
              <w:jc w:val="right"/>
              <w:rPr>
                <w:rFonts w:ascii="Times New Roman" w:hAnsi="Times New Roman"/>
                <w:color w:val="000000"/>
                <w:sz w:val="16"/>
                <w:szCs w:val="16"/>
              </w:rPr>
            </w:pPr>
            <w:r w:rsidRPr="006F5A7C">
              <w:rPr>
                <w:rFonts w:ascii="Times New Roman" w:hAnsi="Times New Roman"/>
                <w:color w:val="000000"/>
                <w:sz w:val="16"/>
                <w:szCs w:val="16"/>
              </w:rPr>
              <w:t>5,965,343</w:t>
            </w:r>
          </w:p>
        </w:tc>
        <w:tc>
          <w:tcPr>
            <w:tcW w:w="90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233.67</w:t>
            </w:r>
          </w:p>
        </w:tc>
        <w:tc>
          <w:tcPr>
            <w:tcW w:w="90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229.30</w:t>
            </w:r>
          </w:p>
        </w:tc>
        <w:tc>
          <w:tcPr>
            <w:tcW w:w="93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125.32</w:t>
            </w:r>
          </w:p>
        </w:tc>
        <w:tc>
          <w:tcPr>
            <w:tcW w:w="81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125.48</w:t>
            </w:r>
          </w:p>
        </w:tc>
        <w:tc>
          <w:tcPr>
            <w:tcW w:w="99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2,497,308</w:t>
            </w:r>
          </w:p>
        </w:tc>
        <w:tc>
          <w:tcPr>
            <w:tcW w:w="1050" w:type="dxa"/>
            <w:tcBorders>
              <w:top w:val="nil"/>
              <w:left w:val="nil"/>
              <w:bottom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10,687.38</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72</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S23A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S23A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Chicago-Naperville-Elgin, IL-IN-WI</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9,461,105</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323.62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310.72</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198.85</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200.24</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3,865,594</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11,944.90</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73</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S23B</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S23B</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Detroit-Warren-Dearborn, MI</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4,296,250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156.49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144.88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88.51</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85.00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1,922,500</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12,285.44</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74</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S24A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S24A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Minneapolis-St. Paul-Bloomington, MN-WI</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3,348,859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119.03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116.31</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1,417,433</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11,907.84</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75</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S24B</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S24B</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St. Louis, MO-IL</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2,787,701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147.78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129.38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1,258,027</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8,512.92</w:t>
            </w:r>
          </w:p>
        </w:tc>
      </w:tr>
      <w:tr w:rsidR="00A97BCB" w:rsidRPr="008962FC" w:rsidTr="00631473">
        <w:trPr>
          <w:trHeight w:hRule="exact" w:val="369"/>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76</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Washington-Arlington-Alexandria, DC-VA-MD-WV</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5,636,232</w:t>
            </w:r>
          </w:p>
        </w:tc>
        <w:tc>
          <w:tcPr>
            <w:tcW w:w="90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199.28</w:t>
            </w:r>
          </w:p>
        </w:tc>
        <w:tc>
          <w:tcPr>
            <w:tcW w:w="90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195.39</w:t>
            </w:r>
          </w:p>
        </w:tc>
        <w:tc>
          <w:tcPr>
            <w:tcW w:w="93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114.86</w:t>
            </w:r>
          </w:p>
        </w:tc>
        <w:tc>
          <w:tcPr>
            <w:tcW w:w="81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114.48</w:t>
            </w:r>
          </w:p>
        </w:tc>
        <w:tc>
          <w:tcPr>
            <w:tcW w:w="99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2,311,536</w:t>
            </w:r>
          </w:p>
        </w:tc>
        <w:tc>
          <w:tcPr>
            <w:tcW w:w="1050" w:type="dxa"/>
            <w:tcBorders>
              <w:top w:val="nil"/>
              <w:left w:val="nil"/>
              <w:bottom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11,599.64</w:t>
            </w:r>
          </w:p>
        </w:tc>
      </w:tr>
      <w:tr w:rsidR="00A97BCB" w:rsidRPr="008962FC" w:rsidTr="00631473">
        <w:trPr>
          <w:trHeight w:hRule="exact" w:val="360"/>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77</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S35B</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S35B</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Miami-Fort Lauderdale-West Palm Beach, FL</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5,564,635</w:t>
            </w:r>
          </w:p>
        </w:tc>
        <w:tc>
          <w:tcPr>
            <w:tcW w:w="90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183.45</w:t>
            </w:r>
          </w:p>
        </w:tc>
        <w:tc>
          <w:tcPr>
            <w:tcW w:w="90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169.22</w:t>
            </w:r>
          </w:p>
        </w:tc>
        <w:tc>
          <w:tcPr>
            <w:tcW w:w="93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109.78</w:t>
            </w:r>
          </w:p>
        </w:tc>
        <w:tc>
          <w:tcPr>
            <w:tcW w:w="81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105.69</w:t>
            </w:r>
          </w:p>
        </w:tc>
        <w:tc>
          <w:tcPr>
            <w:tcW w:w="990" w:type="dxa"/>
            <w:tcBorders>
              <w:top w:val="nil"/>
              <w:left w:val="nil"/>
              <w:bottom w:val="nil"/>
              <w:right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2,507,138</w:t>
            </w:r>
          </w:p>
        </w:tc>
        <w:tc>
          <w:tcPr>
            <w:tcW w:w="1050" w:type="dxa"/>
            <w:tcBorders>
              <w:top w:val="nil"/>
              <w:left w:val="nil"/>
              <w:bottom w:val="nil"/>
            </w:tcBorders>
            <w:shd w:val="clear" w:color="auto" w:fill="auto"/>
          </w:tcPr>
          <w:p w:rsidR="00A97BCB" w:rsidRPr="00A97BCB" w:rsidRDefault="00A97BCB" w:rsidP="00631473">
            <w:pPr>
              <w:jc w:val="right"/>
              <w:rPr>
                <w:rFonts w:ascii="Times New Roman" w:hAnsi="Times New Roman"/>
                <w:color w:val="000000"/>
                <w:sz w:val="16"/>
                <w:szCs w:val="16"/>
              </w:rPr>
            </w:pPr>
            <w:r w:rsidRPr="00A97BCB">
              <w:rPr>
                <w:rFonts w:ascii="Times New Roman" w:hAnsi="Times New Roman"/>
                <w:color w:val="000000"/>
                <w:sz w:val="16"/>
                <w:szCs w:val="16"/>
              </w:rPr>
              <w:t>13,666.62</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78</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S35C</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S35C</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Atlanta-Sandy Springs-Roswell, GA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5,286,728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174.02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150.93</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103.83</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96.04</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2,233,637</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12,835.58</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79</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S35D</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S35D</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Tampa-St. Petersburg-Clearwater, FL</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2,783,243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142.00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127.31</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1,393,748</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9,815.32</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80</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S35E</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S35E</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Baltimore-Columbia-Towson, MD</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2,710,489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154.90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202.57</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92.61</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1,170,658</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5,779.16</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81</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S37A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S37A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Dallas-Fort Worth-Arlington, TX</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6,426,214</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221.28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240.72</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130.41</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134.00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2,652,201</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11,017.64</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82</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S37B</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S37B</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Houston-The Woodlands-Sugar Land, TX</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5,920,416</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234.19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237.15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124.64</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125.53</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2,437,679</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10,279.24</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83</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S48A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S48A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Phoenix-Mesa-Scottsdale, AZ</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4,192,887</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180.48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183.13</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94.00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95.08</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1,846,989</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10,085.41</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84</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S48B</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S48B</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Denver-Aurora-Lakewood, CO</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2,543,482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131.52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118.56</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1,110,175</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8,441.29</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85</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S49A</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S49A</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Los Angeles-Long Beach-Anaheim, CA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12,828,837</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467.90</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470.51</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265.98</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264.28</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4,548,636</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9,667.52</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86</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S49B</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S49B</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San Francisco-Oakland-Hayward, CA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4,335,391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169.42</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167.19</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106.18</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92.56</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1,765,482</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10,420.81</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87</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S49C</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S49C</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Riverside-San Bernardino-Ontario, CA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4,224,851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175.48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162.48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93.17</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90.16</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1,533,663</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8,740.01</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88</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S49D</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S49D</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Seattle-Tacoma-Bellevue, WA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3,439,809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117.98</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115.95</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1,513,679</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12,829.90</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89</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S49E</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S49E</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San Diego-Carlsbad, CA</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3,095,313</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127.49</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128.72</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1,182,963</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9,190.01</w:t>
            </w:r>
          </w:p>
        </w:tc>
      </w:tr>
      <w:tr w:rsidR="00A97BCB" w:rsidRPr="008962FC" w:rsidTr="00BA3FBE">
        <w:trPr>
          <w:trHeight w:hRule="exact" w:val="202"/>
          <w:jc w:val="center"/>
        </w:trPr>
        <w:tc>
          <w:tcPr>
            <w:tcW w:w="478" w:type="dxa"/>
            <w:tcBorders>
              <w:top w:val="nil"/>
              <w:bottom w:val="nil"/>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90</w:t>
            </w:r>
          </w:p>
        </w:tc>
        <w:tc>
          <w:tcPr>
            <w:tcW w:w="630"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S49F</w:t>
            </w:r>
          </w:p>
        </w:tc>
        <w:tc>
          <w:tcPr>
            <w:tcW w:w="708"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S49F</w:t>
            </w:r>
          </w:p>
        </w:tc>
        <w:tc>
          <w:tcPr>
            <w:tcW w:w="3075" w:type="dxa"/>
            <w:tcBorders>
              <w:top w:val="nil"/>
              <w:left w:val="nil"/>
              <w:bottom w:val="nil"/>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Honolulu, HI</w:t>
            </w:r>
          </w:p>
        </w:tc>
        <w:tc>
          <w:tcPr>
            <w:tcW w:w="1080" w:type="dxa"/>
            <w:tcBorders>
              <w:top w:val="nil"/>
              <w:left w:val="nil"/>
              <w:bottom w:val="nil"/>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1,360,301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127.31</w:t>
            </w:r>
          </w:p>
        </w:tc>
        <w:tc>
          <w:tcPr>
            <w:tcW w:w="90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134.08</w:t>
            </w:r>
          </w:p>
        </w:tc>
        <w:tc>
          <w:tcPr>
            <w:tcW w:w="93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nil"/>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346,031</w:t>
            </w:r>
          </w:p>
        </w:tc>
        <w:tc>
          <w:tcPr>
            <w:tcW w:w="1050" w:type="dxa"/>
            <w:tcBorders>
              <w:top w:val="nil"/>
              <w:left w:val="nil"/>
              <w:bottom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2,580.76</w:t>
            </w:r>
          </w:p>
        </w:tc>
      </w:tr>
      <w:tr w:rsidR="00A97BCB" w:rsidRPr="008962FC" w:rsidTr="00BA3FBE">
        <w:trPr>
          <w:trHeight w:hRule="exact" w:val="202"/>
          <w:jc w:val="center"/>
        </w:trPr>
        <w:tc>
          <w:tcPr>
            <w:tcW w:w="478" w:type="dxa"/>
            <w:tcBorders>
              <w:top w:val="nil"/>
              <w:bottom w:val="single" w:sz="4" w:space="0" w:color="auto"/>
              <w:right w:val="nil"/>
            </w:tcBorders>
            <w:shd w:val="clear" w:color="auto" w:fill="auto"/>
          </w:tcPr>
          <w:p w:rsidR="00A97BCB" w:rsidRPr="002E5BCA" w:rsidRDefault="00A97BCB" w:rsidP="00033601">
            <w:pPr>
              <w:rPr>
                <w:rFonts w:ascii="Times New Roman" w:hAnsi="Times New Roman"/>
                <w:color w:val="000000"/>
                <w:sz w:val="16"/>
                <w:szCs w:val="16"/>
              </w:rPr>
            </w:pPr>
            <w:r w:rsidRPr="002E5BCA">
              <w:rPr>
                <w:rFonts w:ascii="Times New Roman" w:hAnsi="Times New Roman"/>
                <w:color w:val="000000"/>
                <w:sz w:val="16"/>
                <w:szCs w:val="16"/>
              </w:rPr>
              <w:t>91</w:t>
            </w:r>
          </w:p>
        </w:tc>
        <w:tc>
          <w:tcPr>
            <w:tcW w:w="630" w:type="dxa"/>
            <w:tcBorders>
              <w:top w:val="nil"/>
              <w:left w:val="nil"/>
              <w:bottom w:val="single" w:sz="4" w:space="0" w:color="auto"/>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S49G</w:t>
            </w:r>
          </w:p>
        </w:tc>
        <w:tc>
          <w:tcPr>
            <w:tcW w:w="708" w:type="dxa"/>
            <w:tcBorders>
              <w:top w:val="nil"/>
              <w:left w:val="nil"/>
              <w:bottom w:val="single" w:sz="4" w:space="0" w:color="auto"/>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S49G</w:t>
            </w:r>
          </w:p>
        </w:tc>
        <w:tc>
          <w:tcPr>
            <w:tcW w:w="3075" w:type="dxa"/>
            <w:tcBorders>
              <w:top w:val="nil"/>
              <w:left w:val="nil"/>
              <w:bottom w:val="single" w:sz="4" w:space="0" w:color="auto"/>
              <w:right w:val="nil"/>
            </w:tcBorders>
            <w:shd w:val="clear" w:color="auto" w:fill="auto"/>
          </w:tcPr>
          <w:p w:rsidR="00A97BCB" w:rsidRPr="006F5A7C" w:rsidRDefault="00A97BCB">
            <w:pPr>
              <w:rPr>
                <w:rFonts w:ascii="Times New Roman" w:hAnsi="Times New Roman"/>
                <w:color w:val="000000"/>
                <w:sz w:val="16"/>
                <w:szCs w:val="16"/>
              </w:rPr>
            </w:pPr>
            <w:r w:rsidRPr="006F5A7C">
              <w:rPr>
                <w:rFonts w:ascii="Times New Roman" w:hAnsi="Times New Roman"/>
                <w:color w:val="000000"/>
                <w:sz w:val="16"/>
                <w:szCs w:val="16"/>
              </w:rPr>
              <w:t xml:space="preserve">Anchorage, AK </w:t>
            </w:r>
          </w:p>
        </w:tc>
        <w:tc>
          <w:tcPr>
            <w:tcW w:w="1080" w:type="dxa"/>
            <w:tcBorders>
              <w:top w:val="nil"/>
              <w:left w:val="nil"/>
              <w:bottom w:val="single" w:sz="4" w:space="0" w:color="auto"/>
              <w:right w:val="nil"/>
            </w:tcBorders>
            <w:shd w:val="clear" w:color="auto" w:fill="auto"/>
          </w:tcPr>
          <w:p w:rsidR="00A97BCB" w:rsidRPr="006F5A7C" w:rsidRDefault="00A97BCB">
            <w:pPr>
              <w:jc w:val="right"/>
              <w:rPr>
                <w:rFonts w:ascii="Times New Roman" w:hAnsi="Times New Roman"/>
                <w:color w:val="000000"/>
                <w:sz w:val="16"/>
                <w:szCs w:val="16"/>
              </w:rPr>
            </w:pPr>
            <w:r w:rsidRPr="006F5A7C">
              <w:rPr>
                <w:rFonts w:ascii="Times New Roman" w:hAnsi="Times New Roman"/>
                <w:color w:val="000000"/>
                <w:sz w:val="16"/>
                <w:szCs w:val="16"/>
              </w:rPr>
              <w:t>523,154</w:t>
            </w:r>
          </w:p>
        </w:tc>
        <w:tc>
          <w:tcPr>
            <w:tcW w:w="900" w:type="dxa"/>
            <w:tcBorders>
              <w:top w:val="nil"/>
              <w:left w:val="nil"/>
              <w:bottom w:val="single" w:sz="4" w:space="0" w:color="auto"/>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135.02</w:t>
            </w:r>
          </w:p>
        </w:tc>
        <w:tc>
          <w:tcPr>
            <w:tcW w:w="900" w:type="dxa"/>
            <w:tcBorders>
              <w:top w:val="nil"/>
              <w:left w:val="nil"/>
              <w:bottom w:val="single" w:sz="4" w:space="0" w:color="auto"/>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138.95</w:t>
            </w:r>
          </w:p>
        </w:tc>
        <w:tc>
          <w:tcPr>
            <w:tcW w:w="930" w:type="dxa"/>
            <w:tcBorders>
              <w:top w:val="nil"/>
              <w:left w:val="nil"/>
              <w:bottom w:val="single" w:sz="4" w:space="0" w:color="auto"/>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810" w:type="dxa"/>
            <w:tcBorders>
              <w:top w:val="nil"/>
              <w:left w:val="nil"/>
              <w:bottom w:val="single" w:sz="4" w:space="0" w:color="auto"/>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80.00</w:t>
            </w:r>
          </w:p>
        </w:tc>
        <w:tc>
          <w:tcPr>
            <w:tcW w:w="990" w:type="dxa"/>
            <w:tcBorders>
              <w:top w:val="nil"/>
              <w:left w:val="nil"/>
              <w:bottom w:val="single" w:sz="4" w:space="0" w:color="auto"/>
              <w:right w:val="nil"/>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159,502</w:t>
            </w:r>
          </w:p>
        </w:tc>
        <w:tc>
          <w:tcPr>
            <w:tcW w:w="1050" w:type="dxa"/>
            <w:tcBorders>
              <w:top w:val="nil"/>
              <w:left w:val="nil"/>
              <w:bottom w:val="single" w:sz="4" w:space="0" w:color="auto"/>
            </w:tcBorders>
            <w:shd w:val="clear" w:color="auto" w:fill="auto"/>
            <w:vAlign w:val="bottom"/>
          </w:tcPr>
          <w:p w:rsidR="00A97BCB" w:rsidRPr="00A97BCB" w:rsidRDefault="00A97BCB">
            <w:pPr>
              <w:jc w:val="right"/>
              <w:rPr>
                <w:rFonts w:ascii="Times New Roman" w:hAnsi="Times New Roman"/>
                <w:color w:val="000000"/>
                <w:sz w:val="16"/>
                <w:szCs w:val="16"/>
              </w:rPr>
            </w:pPr>
            <w:r w:rsidRPr="00A97BCB">
              <w:rPr>
                <w:rFonts w:ascii="Times New Roman" w:hAnsi="Times New Roman"/>
                <w:color w:val="000000"/>
                <w:sz w:val="16"/>
                <w:szCs w:val="16"/>
              </w:rPr>
              <w:t>1,147.91</w:t>
            </w:r>
          </w:p>
        </w:tc>
      </w:tr>
      <w:tr w:rsidR="0022496D" w:rsidRPr="008962FC" w:rsidTr="0022496D">
        <w:trPr>
          <w:trHeight w:val="202"/>
          <w:jc w:val="center"/>
        </w:trPr>
        <w:tc>
          <w:tcPr>
            <w:tcW w:w="478" w:type="dxa"/>
            <w:tcBorders>
              <w:top w:val="single" w:sz="4" w:space="0" w:color="auto"/>
              <w:bottom w:val="single" w:sz="4" w:space="0" w:color="auto"/>
              <w:right w:val="nil"/>
            </w:tcBorders>
            <w:shd w:val="clear" w:color="auto" w:fill="auto"/>
            <w:vAlign w:val="center"/>
            <w:hideMark/>
          </w:tcPr>
          <w:p w:rsidR="0022496D" w:rsidRPr="008962FC" w:rsidRDefault="0022496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630" w:type="dxa"/>
            <w:tcBorders>
              <w:top w:val="single" w:sz="4" w:space="0" w:color="auto"/>
              <w:left w:val="nil"/>
              <w:bottom w:val="single" w:sz="4" w:space="0" w:color="auto"/>
              <w:right w:val="nil"/>
            </w:tcBorders>
            <w:shd w:val="clear" w:color="auto" w:fill="auto"/>
            <w:vAlign w:val="center"/>
            <w:hideMark/>
          </w:tcPr>
          <w:p w:rsidR="0022496D" w:rsidRPr="008962FC" w:rsidRDefault="0022496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708" w:type="dxa"/>
            <w:tcBorders>
              <w:top w:val="single" w:sz="4" w:space="0" w:color="auto"/>
              <w:left w:val="nil"/>
              <w:bottom w:val="single" w:sz="4" w:space="0" w:color="auto"/>
              <w:right w:val="nil"/>
            </w:tcBorders>
            <w:shd w:val="clear" w:color="auto" w:fill="auto"/>
            <w:vAlign w:val="center"/>
            <w:hideMark/>
          </w:tcPr>
          <w:p w:rsidR="0022496D" w:rsidRPr="008962FC" w:rsidRDefault="0022496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 </w:t>
            </w:r>
          </w:p>
        </w:tc>
        <w:tc>
          <w:tcPr>
            <w:tcW w:w="3075" w:type="dxa"/>
            <w:tcBorders>
              <w:top w:val="single" w:sz="4" w:space="0" w:color="auto"/>
              <w:left w:val="nil"/>
              <w:bottom w:val="single" w:sz="4" w:space="0" w:color="auto"/>
              <w:right w:val="nil"/>
            </w:tcBorders>
            <w:shd w:val="clear" w:color="auto" w:fill="auto"/>
            <w:vAlign w:val="center"/>
            <w:hideMark/>
          </w:tcPr>
          <w:p w:rsidR="0022496D" w:rsidRPr="008962FC" w:rsidRDefault="0022496D" w:rsidP="00033601">
            <w:pPr>
              <w:rPr>
                <w:rFonts w:ascii="Times New Roman" w:hAnsi="Times New Roman"/>
                <w:b/>
                <w:bCs/>
                <w:color w:val="000000"/>
                <w:sz w:val="16"/>
                <w:szCs w:val="18"/>
              </w:rPr>
            </w:pPr>
            <w:r w:rsidRPr="008962FC">
              <w:rPr>
                <w:rFonts w:ascii="Times New Roman" w:hAnsi="Times New Roman"/>
                <w:b/>
                <w:bCs/>
                <w:color w:val="000000"/>
                <w:sz w:val="16"/>
                <w:szCs w:val="18"/>
              </w:rPr>
              <w:t>Total</w:t>
            </w:r>
          </w:p>
        </w:tc>
        <w:tc>
          <w:tcPr>
            <w:tcW w:w="1080" w:type="dxa"/>
            <w:tcBorders>
              <w:top w:val="single" w:sz="4" w:space="0" w:color="auto"/>
              <w:left w:val="nil"/>
              <w:bottom w:val="single" w:sz="4" w:space="0" w:color="auto"/>
              <w:right w:val="nil"/>
            </w:tcBorders>
            <w:shd w:val="clear" w:color="auto" w:fill="auto"/>
            <w:vAlign w:val="center"/>
            <w:hideMark/>
          </w:tcPr>
          <w:p w:rsidR="0022496D" w:rsidRPr="008962FC" w:rsidRDefault="0022496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308,745,538</w:t>
            </w:r>
          </w:p>
        </w:tc>
        <w:tc>
          <w:tcPr>
            <w:tcW w:w="900" w:type="dxa"/>
            <w:tcBorders>
              <w:top w:val="single" w:sz="4" w:space="0" w:color="auto"/>
              <w:left w:val="nil"/>
              <w:bottom w:val="single" w:sz="4" w:space="0" w:color="auto"/>
              <w:right w:val="nil"/>
            </w:tcBorders>
            <w:shd w:val="clear" w:color="auto" w:fill="auto"/>
            <w:vAlign w:val="center"/>
            <w:hideMark/>
          </w:tcPr>
          <w:p w:rsidR="0022496D" w:rsidRPr="008962FC" w:rsidRDefault="0022496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12,000.00</w:t>
            </w:r>
          </w:p>
        </w:tc>
        <w:tc>
          <w:tcPr>
            <w:tcW w:w="900" w:type="dxa"/>
            <w:tcBorders>
              <w:top w:val="single" w:sz="4" w:space="0" w:color="auto"/>
              <w:left w:val="nil"/>
              <w:bottom w:val="single" w:sz="4" w:space="0" w:color="auto"/>
              <w:right w:val="nil"/>
            </w:tcBorders>
            <w:shd w:val="clear" w:color="auto" w:fill="auto"/>
            <w:vAlign w:val="center"/>
            <w:hideMark/>
          </w:tcPr>
          <w:p w:rsidR="0022496D" w:rsidRPr="008962FC" w:rsidRDefault="0022496D" w:rsidP="00033601">
            <w:pPr>
              <w:jc w:val="right"/>
              <w:rPr>
                <w:rFonts w:ascii="Times New Roman" w:hAnsi="Times New Roman"/>
                <w:b/>
                <w:bCs/>
                <w:color w:val="000000"/>
                <w:sz w:val="16"/>
                <w:szCs w:val="18"/>
              </w:rPr>
            </w:pPr>
            <w:r w:rsidRPr="008962FC">
              <w:rPr>
                <w:rFonts w:ascii="Times New Roman" w:hAnsi="Times New Roman"/>
                <w:b/>
                <w:bCs/>
                <w:color w:val="000000"/>
                <w:sz w:val="16"/>
                <w:szCs w:val="18"/>
              </w:rPr>
              <w:t>12,000.00</w:t>
            </w:r>
          </w:p>
        </w:tc>
        <w:tc>
          <w:tcPr>
            <w:tcW w:w="930" w:type="dxa"/>
            <w:tcBorders>
              <w:top w:val="single" w:sz="4" w:space="0" w:color="auto"/>
              <w:left w:val="nil"/>
              <w:bottom w:val="single" w:sz="4" w:space="0" w:color="auto"/>
              <w:right w:val="nil"/>
            </w:tcBorders>
            <w:shd w:val="clear" w:color="auto" w:fill="auto"/>
            <w:vAlign w:val="center"/>
          </w:tcPr>
          <w:p w:rsidR="0022496D" w:rsidRPr="0022496D" w:rsidRDefault="0022496D" w:rsidP="00BA3FBE">
            <w:pPr>
              <w:jc w:val="right"/>
              <w:rPr>
                <w:rFonts w:ascii="Times New Roman" w:hAnsi="Times New Roman"/>
                <w:b/>
                <w:bCs/>
                <w:color w:val="000000"/>
                <w:sz w:val="16"/>
                <w:szCs w:val="18"/>
              </w:rPr>
            </w:pPr>
            <w:r w:rsidRPr="0022496D">
              <w:rPr>
                <w:rFonts w:ascii="Times New Roman" w:hAnsi="Times New Roman"/>
                <w:b/>
                <w:bCs/>
                <w:color w:val="000000"/>
                <w:sz w:val="16"/>
                <w:szCs w:val="18"/>
              </w:rPr>
              <w:t>6,882.57</w:t>
            </w:r>
          </w:p>
        </w:tc>
        <w:tc>
          <w:tcPr>
            <w:tcW w:w="810" w:type="dxa"/>
            <w:tcBorders>
              <w:top w:val="single" w:sz="4" w:space="0" w:color="auto"/>
              <w:left w:val="nil"/>
              <w:bottom w:val="single" w:sz="4" w:space="0" w:color="auto"/>
              <w:right w:val="nil"/>
            </w:tcBorders>
            <w:shd w:val="clear" w:color="auto" w:fill="auto"/>
            <w:vAlign w:val="center"/>
          </w:tcPr>
          <w:p w:rsidR="0022496D" w:rsidRPr="0022496D" w:rsidRDefault="0022496D" w:rsidP="00BA3FBE">
            <w:pPr>
              <w:jc w:val="right"/>
              <w:rPr>
                <w:rFonts w:ascii="Times New Roman" w:hAnsi="Times New Roman"/>
                <w:b/>
                <w:bCs/>
                <w:color w:val="000000"/>
                <w:sz w:val="16"/>
                <w:szCs w:val="18"/>
              </w:rPr>
            </w:pPr>
            <w:r w:rsidRPr="0022496D">
              <w:rPr>
                <w:rFonts w:ascii="Times New Roman" w:hAnsi="Times New Roman"/>
                <w:b/>
                <w:bCs/>
                <w:color w:val="000000"/>
                <w:sz w:val="16"/>
                <w:szCs w:val="18"/>
              </w:rPr>
              <w:t>6,946.58</w:t>
            </w:r>
          </w:p>
        </w:tc>
        <w:tc>
          <w:tcPr>
            <w:tcW w:w="990" w:type="dxa"/>
            <w:tcBorders>
              <w:top w:val="single" w:sz="4" w:space="0" w:color="auto"/>
              <w:left w:val="nil"/>
              <w:bottom w:val="single" w:sz="4" w:space="0" w:color="auto"/>
              <w:right w:val="nil"/>
            </w:tcBorders>
            <w:shd w:val="clear" w:color="auto" w:fill="auto"/>
            <w:vAlign w:val="center"/>
          </w:tcPr>
          <w:p w:rsidR="0022496D" w:rsidRPr="008962FC" w:rsidRDefault="00BA3FBE" w:rsidP="00033601">
            <w:pPr>
              <w:jc w:val="right"/>
              <w:rPr>
                <w:rFonts w:ascii="Times New Roman" w:hAnsi="Times New Roman"/>
                <w:b/>
                <w:bCs/>
                <w:color w:val="000000"/>
                <w:sz w:val="16"/>
                <w:szCs w:val="18"/>
              </w:rPr>
            </w:pPr>
            <w:r>
              <w:rPr>
                <w:rFonts w:ascii="Times New Roman" w:hAnsi="Times New Roman"/>
                <w:b/>
                <w:bCs/>
                <w:color w:val="000000"/>
                <w:sz w:val="16"/>
                <w:szCs w:val="18"/>
              </w:rPr>
              <w:t>69</w:t>
            </w:r>
            <w:r w:rsidR="002E4BB0">
              <w:rPr>
                <w:rFonts w:ascii="Times New Roman" w:hAnsi="Times New Roman"/>
                <w:b/>
                <w:bCs/>
                <w:color w:val="000000"/>
                <w:sz w:val="16"/>
                <w:szCs w:val="18"/>
              </w:rPr>
              <w:t>,</w:t>
            </w:r>
            <w:r>
              <w:rPr>
                <w:rFonts w:ascii="Times New Roman" w:hAnsi="Times New Roman"/>
                <w:b/>
                <w:bCs/>
                <w:color w:val="000000"/>
                <w:sz w:val="16"/>
                <w:szCs w:val="18"/>
              </w:rPr>
              <w:t>141</w:t>
            </w:r>
            <w:r w:rsidR="002E4BB0">
              <w:rPr>
                <w:rFonts w:ascii="Times New Roman" w:hAnsi="Times New Roman"/>
                <w:b/>
                <w:bCs/>
                <w:color w:val="000000"/>
                <w:sz w:val="16"/>
                <w:szCs w:val="18"/>
              </w:rPr>
              <w:t>,</w:t>
            </w:r>
            <w:r>
              <w:rPr>
                <w:rFonts w:ascii="Times New Roman" w:hAnsi="Times New Roman"/>
                <w:b/>
                <w:bCs/>
                <w:color w:val="000000"/>
                <w:sz w:val="16"/>
                <w:szCs w:val="18"/>
              </w:rPr>
              <w:t>678</w:t>
            </w:r>
          </w:p>
        </w:tc>
        <w:tc>
          <w:tcPr>
            <w:tcW w:w="1050" w:type="dxa"/>
            <w:tcBorders>
              <w:top w:val="single" w:sz="4" w:space="0" w:color="auto"/>
              <w:left w:val="nil"/>
              <w:bottom w:val="single" w:sz="4" w:space="0" w:color="auto"/>
            </w:tcBorders>
            <w:shd w:val="clear" w:color="auto" w:fill="auto"/>
            <w:vAlign w:val="center"/>
            <w:hideMark/>
          </w:tcPr>
          <w:p w:rsidR="0022496D" w:rsidRPr="008962FC" w:rsidRDefault="0022496D" w:rsidP="00033601">
            <w:pPr>
              <w:jc w:val="center"/>
              <w:rPr>
                <w:rFonts w:ascii="Times New Roman" w:hAnsi="Times New Roman"/>
                <w:b/>
                <w:bCs/>
                <w:color w:val="000000"/>
                <w:sz w:val="16"/>
                <w:szCs w:val="18"/>
              </w:rPr>
            </w:pPr>
            <w:r w:rsidRPr="008962FC">
              <w:rPr>
                <w:rFonts w:ascii="Times New Roman" w:hAnsi="Times New Roman"/>
                <w:b/>
                <w:bCs/>
                <w:color w:val="000000"/>
                <w:sz w:val="16"/>
                <w:szCs w:val="18"/>
              </w:rPr>
              <w:t>-</w:t>
            </w:r>
          </w:p>
        </w:tc>
      </w:tr>
      <w:bookmarkEnd w:id="10"/>
      <w:bookmarkEnd w:id="11"/>
    </w:tbl>
    <w:p w:rsidR="00E6335D" w:rsidRDefault="00E6335D" w:rsidP="00E6335D">
      <w:pPr>
        <w:pStyle w:val="PlainText"/>
        <w:ind w:left="0"/>
        <w:rPr>
          <w:rFonts w:ascii="Times New Roman" w:hAnsi="Times New Roman" w:cs="Times New Roman"/>
        </w:rPr>
      </w:pPr>
    </w:p>
    <w:p w:rsidR="00254034" w:rsidRPr="000B6312" w:rsidRDefault="00DC11B8" w:rsidP="008B4276">
      <w:pPr>
        <w:pStyle w:val="PlainText"/>
        <w:ind w:left="0"/>
        <w:rPr>
          <w:rFonts w:ascii="Times New Roman" w:hAnsi="Times New Roman" w:cs="Times New Roman"/>
        </w:rPr>
      </w:pPr>
      <w:r w:rsidRPr="000B6312">
        <w:rPr>
          <w:rFonts w:ascii="Times New Roman" w:hAnsi="Times New Roman"/>
        </w:rPr>
        <w:t>*The Take Everys will need to be divided by two when the final redesign file is created</w:t>
      </w:r>
      <w:r>
        <w:rPr>
          <w:rFonts w:ascii="Times New Roman" w:hAnsi="Times New Roman"/>
        </w:rPr>
        <w:t xml:space="preserve"> </w:t>
      </w:r>
      <w:r w:rsidR="00760BE0">
        <w:rPr>
          <w:rFonts w:ascii="Times New Roman" w:hAnsi="Times New Roman"/>
        </w:rPr>
        <w:t xml:space="preserve">in order </w:t>
      </w:r>
      <w:r w:rsidRPr="00837B83">
        <w:rPr>
          <w:rFonts w:ascii="Times New Roman" w:hAnsi="Times New Roman"/>
        </w:rPr>
        <w:t>to take twice as much sample to account for both CED and CEQ being selected at the same time.</w:t>
      </w:r>
    </w:p>
    <w:p w:rsidR="000B6312" w:rsidRDefault="000B6312" w:rsidP="00E6335D">
      <w:pPr>
        <w:pStyle w:val="PlainText"/>
        <w:ind w:left="0"/>
        <w:rPr>
          <w:rFonts w:ascii="Times New Roman" w:hAnsi="Times New Roman" w:cs="Times New Roman"/>
        </w:rPr>
      </w:pPr>
    </w:p>
    <w:p w:rsidR="00254034" w:rsidRDefault="00254034" w:rsidP="00E6335D">
      <w:pPr>
        <w:jc w:val="center"/>
        <w:sectPr w:rsidR="00254034" w:rsidSect="00BC62FE">
          <w:headerReference w:type="default" r:id="rId26"/>
          <w:headerReference w:type="first" r:id="rId27"/>
          <w:pgSz w:w="12240" w:h="15840"/>
          <w:pgMar w:top="1440" w:right="1440" w:bottom="1440" w:left="1440" w:header="720" w:footer="720" w:gutter="0"/>
          <w:pgNumType w:fmt="upperLetter" w:start="2"/>
          <w:cols w:space="720"/>
          <w:titlePg/>
          <w:docGrid w:linePitch="360"/>
        </w:sectPr>
      </w:pPr>
    </w:p>
    <w:p w:rsidR="00E6335D" w:rsidRPr="00E9513C" w:rsidRDefault="00E6335D" w:rsidP="00E6335D">
      <w:pPr>
        <w:jc w:val="center"/>
        <w:rPr>
          <w:rFonts w:ascii="Times New Roman" w:hAnsi="Times New Roman"/>
          <w:b/>
          <w:sz w:val="24"/>
          <w:szCs w:val="24"/>
        </w:rPr>
      </w:pPr>
      <w:r w:rsidRPr="00E9513C">
        <w:rPr>
          <w:rFonts w:ascii="Times New Roman" w:hAnsi="Times New Roman"/>
          <w:b/>
          <w:sz w:val="24"/>
          <w:szCs w:val="24"/>
        </w:rPr>
        <w:lastRenderedPageBreak/>
        <w:t>Response Rates and Eligibility Rates</w:t>
      </w:r>
    </w:p>
    <w:p w:rsidR="00190FF8" w:rsidRPr="00E9513C" w:rsidRDefault="00190FF8" w:rsidP="00E6335D">
      <w:pPr>
        <w:jc w:val="center"/>
        <w:rPr>
          <w:rFonts w:ascii="Times New Roman" w:hAnsi="Times New Roman"/>
          <w:b/>
          <w:sz w:val="24"/>
          <w:szCs w:val="24"/>
          <w:u w:val="single"/>
        </w:rPr>
      </w:pPr>
    </w:p>
    <w:p w:rsidR="00E6335D" w:rsidRDefault="00E6335D" w:rsidP="00E6335D">
      <w:pPr>
        <w:rPr>
          <w:sz w:val="18"/>
        </w:rPr>
      </w:pPr>
      <w:r w:rsidRPr="00E9513C">
        <w:rPr>
          <w:rFonts w:ascii="Times New Roman" w:hAnsi="Times New Roman"/>
          <w:sz w:val="24"/>
          <w:szCs w:val="24"/>
        </w:rPr>
        <w:t xml:space="preserve">The table below shows response rates and eligibility rates from the 5-year period 2008-2012 by index area.  They range from </w:t>
      </w:r>
      <w:r w:rsidR="008C720A">
        <w:rPr>
          <w:rFonts w:ascii="Times New Roman" w:hAnsi="Times New Roman"/>
          <w:sz w:val="24"/>
          <w:szCs w:val="24"/>
        </w:rPr>
        <w:t>56.6% to 93.2</w:t>
      </w:r>
      <w:r w:rsidRPr="00E9513C">
        <w:rPr>
          <w:rFonts w:ascii="Times New Roman" w:hAnsi="Times New Roman"/>
          <w:sz w:val="24"/>
          <w:szCs w:val="24"/>
        </w:rPr>
        <w:t>% in the Interview survey, and from 5</w:t>
      </w:r>
      <w:r w:rsidR="008C720A">
        <w:rPr>
          <w:rFonts w:ascii="Times New Roman" w:hAnsi="Times New Roman"/>
          <w:sz w:val="24"/>
          <w:szCs w:val="24"/>
        </w:rPr>
        <w:t>6.9% to 89.1</w:t>
      </w:r>
      <w:r w:rsidRPr="00E9513C">
        <w:rPr>
          <w:rFonts w:ascii="Times New Roman" w:hAnsi="Times New Roman"/>
          <w:sz w:val="24"/>
          <w:szCs w:val="24"/>
        </w:rPr>
        <w:t>% in the Diary survey.</w:t>
      </w:r>
      <w:r w:rsidR="00F721A1">
        <w:rPr>
          <w:rFonts w:ascii="Times New Roman" w:hAnsi="Times New Roman"/>
          <w:sz w:val="24"/>
          <w:szCs w:val="24"/>
        </w:rPr>
        <w:t xml:space="preserve">  R</w:t>
      </w:r>
      <w:r w:rsidR="00F721A1" w:rsidRPr="00F721A1">
        <w:rPr>
          <w:rFonts w:ascii="Times New Roman" w:hAnsi="Times New Roman"/>
          <w:sz w:val="24"/>
          <w:szCs w:val="24"/>
        </w:rPr>
        <w:t>esponse rates have been decreasing over time, so the response rates used are the ones shown below minus 5 percentage points.</w:t>
      </w:r>
    </w:p>
    <w:p w:rsidR="00E9513C" w:rsidRPr="00E83141" w:rsidRDefault="00E9513C" w:rsidP="00E6335D">
      <w:pPr>
        <w:rPr>
          <w:sz w:val="18"/>
        </w:rPr>
      </w:pPr>
    </w:p>
    <w:p w:rsidR="00190FF8" w:rsidRDefault="00190FF8" w:rsidP="00E6335D"/>
    <w:tbl>
      <w:tblPr>
        <w:tblW w:w="8701" w:type="dxa"/>
        <w:jc w:val="center"/>
        <w:tblLook w:val="04A0" w:firstRow="1" w:lastRow="0" w:firstColumn="1" w:lastColumn="0" w:noHBand="0" w:noVBand="1"/>
      </w:tblPr>
      <w:tblGrid>
        <w:gridCol w:w="450"/>
        <w:gridCol w:w="1027"/>
        <w:gridCol w:w="976"/>
        <w:gridCol w:w="782"/>
        <w:gridCol w:w="906"/>
        <w:gridCol w:w="976"/>
        <w:gridCol w:w="764"/>
        <w:gridCol w:w="937"/>
        <w:gridCol w:w="947"/>
        <w:gridCol w:w="936"/>
      </w:tblGrid>
      <w:tr w:rsidR="00E6335D" w:rsidRPr="003F48E0" w:rsidTr="00033601">
        <w:trPr>
          <w:trHeight w:val="178"/>
          <w:jc w:val="center"/>
        </w:trPr>
        <w:tc>
          <w:tcPr>
            <w:tcW w:w="450" w:type="dxa"/>
            <w:tcBorders>
              <w:top w:val="single" w:sz="8" w:space="0" w:color="auto"/>
              <w:left w:val="single" w:sz="8" w:space="0" w:color="auto"/>
              <w:bottom w:val="nil"/>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bookmarkStart w:id="12" w:name="OLE_LINK3"/>
            <w:bookmarkStart w:id="13" w:name="OLE_LINK10"/>
            <w:r w:rsidRPr="003F48E0">
              <w:rPr>
                <w:rFonts w:ascii="Times New Roman" w:hAnsi="Times New Roman"/>
                <w:color w:val="000000"/>
                <w:sz w:val="18"/>
                <w:szCs w:val="18"/>
              </w:rPr>
              <w:t> </w:t>
            </w:r>
          </w:p>
        </w:tc>
        <w:tc>
          <w:tcPr>
            <w:tcW w:w="1027" w:type="dxa"/>
            <w:tcBorders>
              <w:top w:val="single" w:sz="8" w:space="0" w:color="auto"/>
              <w:left w:val="nil"/>
              <w:bottom w:val="nil"/>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 </w:t>
            </w:r>
          </w:p>
        </w:tc>
        <w:tc>
          <w:tcPr>
            <w:tcW w:w="2664" w:type="dxa"/>
            <w:gridSpan w:val="3"/>
            <w:tcBorders>
              <w:top w:val="single" w:sz="8" w:space="0" w:color="auto"/>
              <w:left w:val="single" w:sz="4" w:space="0" w:color="auto"/>
              <w:bottom w:val="nil"/>
              <w:right w:val="single" w:sz="4" w:space="0" w:color="000000"/>
            </w:tcBorders>
            <w:shd w:val="clear" w:color="auto" w:fill="auto"/>
            <w:noWrap/>
            <w:vAlign w:val="bottom"/>
            <w:hideMark/>
          </w:tcPr>
          <w:p w:rsidR="00E6335D" w:rsidRPr="003F48E0" w:rsidRDefault="00E6335D" w:rsidP="00033601">
            <w:pPr>
              <w:jc w:val="center"/>
              <w:rPr>
                <w:rFonts w:ascii="Times New Roman" w:hAnsi="Times New Roman"/>
                <w:b/>
                <w:bCs/>
                <w:color w:val="000000"/>
                <w:sz w:val="18"/>
                <w:szCs w:val="18"/>
                <w:u w:val="single"/>
              </w:rPr>
            </w:pPr>
            <w:r w:rsidRPr="003F48E0">
              <w:rPr>
                <w:rFonts w:ascii="Times New Roman" w:hAnsi="Times New Roman"/>
                <w:b/>
                <w:bCs/>
                <w:color w:val="000000"/>
                <w:sz w:val="18"/>
                <w:szCs w:val="18"/>
                <w:u w:val="single"/>
              </w:rPr>
              <w:t>2008-2012 Interview Survey</w:t>
            </w:r>
          </w:p>
        </w:tc>
        <w:tc>
          <w:tcPr>
            <w:tcW w:w="2677" w:type="dxa"/>
            <w:gridSpan w:val="3"/>
            <w:tcBorders>
              <w:top w:val="single" w:sz="8" w:space="0" w:color="auto"/>
              <w:left w:val="single" w:sz="4" w:space="0" w:color="auto"/>
              <w:bottom w:val="nil"/>
              <w:right w:val="nil"/>
            </w:tcBorders>
            <w:shd w:val="clear" w:color="auto" w:fill="auto"/>
            <w:noWrap/>
            <w:vAlign w:val="bottom"/>
            <w:hideMark/>
          </w:tcPr>
          <w:p w:rsidR="00E6335D" w:rsidRPr="003F48E0" w:rsidRDefault="00E6335D" w:rsidP="00033601">
            <w:pPr>
              <w:jc w:val="center"/>
              <w:rPr>
                <w:rFonts w:ascii="Times New Roman" w:hAnsi="Times New Roman"/>
                <w:b/>
                <w:bCs/>
                <w:color w:val="000000"/>
                <w:sz w:val="18"/>
                <w:szCs w:val="18"/>
                <w:u w:val="single"/>
              </w:rPr>
            </w:pPr>
            <w:r w:rsidRPr="003F48E0">
              <w:rPr>
                <w:rFonts w:ascii="Times New Roman" w:hAnsi="Times New Roman"/>
                <w:b/>
                <w:bCs/>
                <w:color w:val="000000"/>
                <w:sz w:val="18"/>
                <w:szCs w:val="18"/>
                <w:u w:val="single"/>
              </w:rPr>
              <w:t>2008-2012 Diary Survey</w:t>
            </w:r>
          </w:p>
        </w:tc>
        <w:tc>
          <w:tcPr>
            <w:tcW w:w="1883" w:type="dxa"/>
            <w:gridSpan w:val="2"/>
            <w:tcBorders>
              <w:top w:val="single" w:sz="8" w:space="0" w:color="auto"/>
              <w:left w:val="single" w:sz="4" w:space="0" w:color="auto"/>
              <w:bottom w:val="nil"/>
              <w:right w:val="single" w:sz="8" w:space="0" w:color="000000"/>
            </w:tcBorders>
            <w:shd w:val="clear" w:color="auto" w:fill="auto"/>
            <w:noWrap/>
            <w:vAlign w:val="bottom"/>
            <w:hideMark/>
          </w:tcPr>
          <w:p w:rsidR="00E6335D" w:rsidRPr="003F48E0" w:rsidRDefault="00E6335D" w:rsidP="00033601">
            <w:pPr>
              <w:jc w:val="center"/>
              <w:rPr>
                <w:rFonts w:ascii="Times New Roman" w:hAnsi="Times New Roman"/>
                <w:b/>
                <w:bCs/>
                <w:color w:val="000000"/>
                <w:sz w:val="18"/>
                <w:szCs w:val="18"/>
                <w:u w:val="single"/>
              </w:rPr>
            </w:pPr>
            <w:r w:rsidRPr="003F48E0">
              <w:rPr>
                <w:rFonts w:ascii="Times New Roman" w:hAnsi="Times New Roman"/>
                <w:b/>
                <w:bCs/>
                <w:color w:val="000000"/>
                <w:sz w:val="18"/>
                <w:szCs w:val="18"/>
                <w:u w:val="single"/>
              </w:rPr>
              <w:t>ACS</w:t>
            </w:r>
          </w:p>
        </w:tc>
      </w:tr>
      <w:tr w:rsidR="00E6335D" w:rsidRPr="003F48E0" w:rsidTr="00033601">
        <w:trPr>
          <w:trHeight w:val="300"/>
          <w:jc w:val="center"/>
        </w:trPr>
        <w:tc>
          <w:tcPr>
            <w:tcW w:w="450" w:type="dxa"/>
            <w:tcBorders>
              <w:top w:val="nil"/>
              <w:left w:val="single" w:sz="8" w:space="0" w:color="auto"/>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 </w:t>
            </w:r>
          </w:p>
        </w:tc>
        <w:tc>
          <w:tcPr>
            <w:tcW w:w="1027" w:type="dxa"/>
            <w:tcBorders>
              <w:top w:val="nil"/>
              <w:left w:val="nil"/>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Index Area</w:t>
            </w:r>
          </w:p>
        </w:tc>
        <w:tc>
          <w:tcPr>
            <w:tcW w:w="976" w:type="dxa"/>
            <w:tcBorders>
              <w:top w:val="nil"/>
              <w:left w:val="single" w:sz="4" w:space="0" w:color="auto"/>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Interviews</w:t>
            </w:r>
          </w:p>
        </w:tc>
        <w:tc>
          <w:tcPr>
            <w:tcW w:w="782" w:type="dxa"/>
            <w:tcBorders>
              <w:top w:val="nil"/>
              <w:left w:val="nil"/>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Type A</w:t>
            </w:r>
          </w:p>
        </w:tc>
        <w:tc>
          <w:tcPr>
            <w:tcW w:w="906" w:type="dxa"/>
            <w:tcBorders>
              <w:top w:val="nil"/>
              <w:left w:val="nil"/>
              <w:bottom w:val="single" w:sz="4" w:space="0" w:color="auto"/>
              <w:right w:val="single" w:sz="4" w:space="0" w:color="auto"/>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Response Rate</w:t>
            </w:r>
          </w:p>
        </w:tc>
        <w:tc>
          <w:tcPr>
            <w:tcW w:w="976" w:type="dxa"/>
            <w:tcBorders>
              <w:top w:val="nil"/>
              <w:left w:val="single" w:sz="4" w:space="0" w:color="auto"/>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Interviews</w:t>
            </w:r>
          </w:p>
        </w:tc>
        <w:tc>
          <w:tcPr>
            <w:tcW w:w="764" w:type="dxa"/>
            <w:tcBorders>
              <w:top w:val="nil"/>
              <w:left w:val="nil"/>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Type A</w:t>
            </w:r>
          </w:p>
        </w:tc>
        <w:tc>
          <w:tcPr>
            <w:tcW w:w="937" w:type="dxa"/>
            <w:tcBorders>
              <w:top w:val="nil"/>
              <w:left w:val="nil"/>
              <w:bottom w:val="single" w:sz="4" w:space="0" w:color="auto"/>
              <w:right w:val="nil"/>
            </w:tcBorders>
            <w:shd w:val="clear" w:color="auto" w:fill="auto"/>
            <w:noWrap/>
            <w:vAlign w:val="bottom"/>
            <w:hideMark/>
          </w:tcPr>
          <w:p w:rsidR="00E6335D" w:rsidRPr="003F48E0" w:rsidRDefault="00E6335D" w:rsidP="00033601">
            <w:pPr>
              <w:rPr>
                <w:rFonts w:ascii="Times New Roman" w:hAnsi="Times New Roman"/>
                <w:color w:val="000000"/>
                <w:sz w:val="18"/>
                <w:szCs w:val="18"/>
              </w:rPr>
            </w:pPr>
            <w:r w:rsidRPr="003F48E0">
              <w:rPr>
                <w:rFonts w:ascii="Times New Roman" w:hAnsi="Times New Roman"/>
                <w:color w:val="000000"/>
                <w:sz w:val="18"/>
                <w:szCs w:val="18"/>
              </w:rPr>
              <w:t>Response Rate</w:t>
            </w:r>
          </w:p>
        </w:tc>
        <w:tc>
          <w:tcPr>
            <w:tcW w:w="947" w:type="dxa"/>
            <w:tcBorders>
              <w:top w:val="nil"/>
              <w:left w:val="single" w:sz="4" w:space="0" w:color="auto"/>
              <w:bottom w:val="single" w:sz="4" w:space="0" w:color="auto"/>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Eligibility rate</w:t>
            </w:r>
          </w:p>
        </w:tc>
        <w:tc>
          <w:tcPr>
            <w:tcW w:w="936" w:type="dxa"/>
            <w:tcBorders>
              <w:top w:val="nil"/>
              <w:left w:val="nil"/>
              <w:bottom w:val="single" w:sz="4" w:space="0" w:color="auto"/>
              <w:right w:val="single" w:sz="8" w:space="0" w:color="auto"/>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 HU</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N110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1,165</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465</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71.5</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263</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69</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79.2</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91.3</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76,950</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N120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4,001</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1,699</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70.2</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335</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70.5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88.1</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272,268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N230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4,643</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1,518</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75.4</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1,029</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257</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80.0</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86.7</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438,235</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N240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1,064</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508</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67.7</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236</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92</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72.0</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87.5</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96,109</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N350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4,406</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1,227</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78.2</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911</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274</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76.9</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80.8</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412,396</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N360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2,528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874</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74.3</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594</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162</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78.6</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82.9</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173,888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N370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3,082</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1,311</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70.2</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594</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327</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64.5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82.0</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243,644</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N480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3,165</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996</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76.1</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624</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200</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75.7</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79.7</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117,182</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N490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1,888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514</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78.6</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382</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94</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80.3</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87.4</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126,049</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R110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74.7</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72.7</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82.3</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4,512</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R120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445</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169</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72.5</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93</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43</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68.4</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63.3</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14,560</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R230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437</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126</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77.6</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93</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69.8</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12,610</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R240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830</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247</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77.1</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159</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52</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75.4</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75.4</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8,886</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R350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221</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93.2</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43</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87.8</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72.6</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13,611</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R360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43</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33</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56.6</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61.5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78.3</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17,335</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R370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97</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92.4</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85.0</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71.5</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13,414</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R480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173</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59</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74.6</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61.5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72.7</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5,530</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18</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R490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175</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34</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83.7</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41</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89.1</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59.0</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3,125</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19</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S11A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2,457</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1,277</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65.8</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517</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245</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67.8</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91.5</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181,283</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20</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S12A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11,164</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5,660</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66.4</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2,410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1,188</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67.0</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88.5</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834,325</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21</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S12B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3,738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1,991</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65.2</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811</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409</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66.5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89.0</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262,437</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22</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S23A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5,985</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1,966</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75.3</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1,467</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397</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78.7</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87.4</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393,158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23</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S23B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2,619</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1,018</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567</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194</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84.4</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219,506</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S24A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1,918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532</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78.3</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380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95</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80.0</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91.7</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166,076</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S24B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1,586</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744</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68.1</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359</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107</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77.0</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85.8</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131,695</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26</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S35A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2,923</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1,351</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68.4</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618</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272</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69.4</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90.9</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217,131</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27</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S35B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2,028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512</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79.8</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497</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101</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83.1</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80.0</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227,780</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28</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S35C</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2,254</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668</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77.1</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490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108</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81.9</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82.7</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201,859</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29</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S35D</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1,576</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510</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75.6</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76</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83.7</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79.9</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129,324</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30</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S35E</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1,547</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883</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63.7</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345</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261</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56.9</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88.0</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114,813</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31</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S37A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2,686</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1,010</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72.7</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530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239</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68.9</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87.1</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255,908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32</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S37B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2,228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1,043</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68.1</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450</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214</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67.8</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84.3</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224,457</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33</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S48A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1,532</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689</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69.0</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326</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148</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68.8</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81.4</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171,109</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34</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S48B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1,366</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526</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72.2</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311</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90.5</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108,468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35</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S49A</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7,163</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3,581</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66.7</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1,473</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761</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65.9</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92.2</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475,848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36</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S49B</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2,553</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922</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73.5</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459</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242</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65.5</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91.5</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167,526</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37</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S49C</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1,805</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809</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69.1</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382</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149</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71.9</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82.9</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157,668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38</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S49D</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1,898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489</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79.5</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396</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94</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80.8</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91.0</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143,358</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S49E</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2,007</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687</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74.5</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395</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140</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73.8</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90.3</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115,373</w:t>
            </w:r>
          </w:p>
        </w:tc>
      </w:tr>
      <w:tr w:rsidR="00E6335D" w:rsidRPr="003F48E0" w:rsidTr="00033601">
        <w:trPr>
          <w:trHeight w:hRule="exact" w:val="230"/>
          <w:jc w:val="center"/>
        </w:trPr>
        <w:tc>
          <w:tcPr>
            <w:tcW w:w="450" w:type="dxa"/>
            <w:tcBorders>
              <w:top w:val="nil"/>
              <w:left w:val="single" w:sz="8"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40</w:t>
            </w:r>
          </w:p>
        </w:tc>
        <w:tc>
          <w:tcPr>
            <w:tcW w:w="1027" w:type="dxa"/>
            <w:tcBorders>
              <w:top w:val="nil"/>
              <w:left w:val="nil"/>
              <w:bottom w:val="nil"/>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S49F</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1,938</w:t>
            </w:r>
          </w:p>
        </w:tc>
        <w:tc>
          <w:tcPr>
            <w:tcW w:w="782"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587</w:t>
            </w:r>
          </w:p>
        </w:tc>
        <w:tc>
          <w:tcPr>
            <w:tcW w:w="906" w:type="dxa"/>
            <w:tcBorders>
              <w:top w:val="nil"/>
              <w:left w:val="nil"/>
              <w:bottom w:val="nil"/>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76.8</w:t>
            </w:r>
          </w:p>
        </w:tc>
        <w:tc>
          <w:tcPr>
            <w:tcW w:w="976"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362</w:t>
            </w:r>
          </w:p>
        </w:tc>
        <w:tc>
          <w:tcPr>
            <w:tcW w:w="764"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133</w:t>
            </w:r>
          </w:p>
        </w:tc>
        <w:tc>
          <w:tcPr>
            <w:tcW w:w="937" w:type="dxa"/>
            <w:tcBorders>
              <w:top w:val="nil"/>
              <w:left w:val="nil"/>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73.1</w:t>
            </w:r>
          </w:p>
        </w:tc>
        <w:tc>
          <w:tcPr>
            <w:tcW w:w="947" w:type="dxa"/>
            <w:tcBorders>
              <w:top w:val="nil"/>
              <w:left w:val="single" w:sz="4" w:space="0" w:color="auto"/>
              <w:bottom w:val="nil"/>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87.6</w:t>
            </w:r>
          </w:p>
        </w:tc>
        <w:tc>
          <w:tcPr>
            <w:tcW w:w="936" w:type="dxa"/>
            <w:tcBorders>
              <w:top w:val="nil"/>
              <w:left w:val="nil"/>
              <w:bottom w:val="nil"/>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39,384</w:t>
            </w:r>
          </w:p>
        </w:tc>
      </w:tr>
      <w:tr w:rsidR="00E6335D" w:rsidRPr="003F48E0" w:rsidTr="00033601">
        <w:trPr>
          <w:trHeight w:hRule="exact" w:val="230"/>
          <w:jc w:val="center"/>
        </w:trPr>
        <w:tc>
          <w:tcPr>
            <w:tcW w:w="450" w:type="dxa"/>
            <w:tcBorders>
              <w:top w:val="nil"/>
              <w:left w:val="single" w:sz="8" w:space="0" w:color="auto"/>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41</w:t>
            </w:r>
          </w:p>
        </w:tc>
        <w:tc>
          <w:tcPr>
            <w:tcW w:w="1027"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center"/>
              <w:rPr>
                <w:rFonts w:ascii="Times New Roman" w:hAnsi="Times New Roman"/>
                <w:color w:val="000000"/>
                <w:sz w:val="18"/>
                <w:szCs w:val="18"/>
              </w:rPr>
            </w:pPr>
            <w:r w:rsidRPr="003F48E0">
              <w:rPr>
                <w:rFonts w:ascii="Times New Roman" w:hAnsi="Times New Roman"/>
                <w:color w:val="000000"/>
                <w:sz w:val="18"/>
                <w:szCs w:val="18"/>
              </w:rPr>
              <w:t>S49G</w:t>
            </w:r>
          </w:p>
        </w:tc>
        <w:tc>
          <w:tcPr>
            <w:tcW w:w="976" w:type="dxa"/>
            <w:tcBorders>
              <w:top w:val="nil"/>
              <w:left w:val="single" w:sz="4" w:space="0" w:color="auto"/>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1,482</w:t>
            </w:r>
          </w:p>
        </w:tc>
        <w:tc>
          <w:tcPr>
            <w:tcW w:w="782"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517</w:t>
            </w:r>
          </w:p>
        </w:tc>
        <w:tc>
          <w:tcPr>
            <w:tcW w:w="906" w:type="dxa"/>
            <w:tcBorders>
              <w:top w:val="nil"/>
              <w:left w:val="nil"/>
              <w:bottom w:val="single" w:sz="8" w:space="0" w:color="auto"/>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74.1</w:t>
            </w:r>
          </w:p>
        </w:tc>
        <w:tc>
          <w:tcPr>
            <w:tcW w:w="976" w:type="dxa"/>
            <w:tcBorders>
              <w:top w:val="nil"/>
              <w:left w:val="single" w:sz="4" w:space="0" w:color="auto"/>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301</w:t>
            </w:r>
          </w:p>
        </w:tc>
        <w:tc>
          <w:tcPr>
            <w:tcW w:w="764"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116</w:t>
            </w:r>
          </w:p>
        </w:tc>
        <w:tc>
          <w:tcPr>
            <w:tcW w:w="937"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72.2</w:t>
            </w:r>
          </w:p>
        </w:tc>
        <w:tc>
          <w:tcPr>
            <w:tcW w:w="947" w:type="dxa"/>
            <w:tcBorders>
              <w:top w:val="nil"/>
              <w:left w:val="single" w:sz="4" w:space="0" w:color="auto"/>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85.7</w:t>
            </w:r>
          </w:p>
        </w:tc>
        <w:tc>
          <w:tcPr>
            <w:tcW w:w="936" w:type="dxa"/>
            <w:tcBorders>
              <w:top w:val="nil"/>
              <w:left w:val="nil"/>
              <w:bottom w:val="single" w:sz="8" w:space="0" w:color="auto"/>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color w:val="000000"/>
                <w:sz w:val="18"/>
                <w:szCs w:val="18"/>
              </w:rPr>
            </w:pPr>
            <w:r w:rsidRPr="003F48E0">
              <w:rPr>
                <w:rFonts w:ascii="Times New Roman" w:hAnsi="Times New Roman"/>
                <w:color w:val="000000"/>
                <w:sz w:val="18"/>
                <w:szCs w:val="18"/>
              </w:rPr>
              <w:t>18,608</w:t>
            </w:r>
          </w:p>
        </w:tc>
      </w:tr>
      <w:tr w:rsidR="00E6335D" w:rsidRPr="003F48E0" w:rsidTr="00033601">
        <w:trPr>
          <w:trHeight w:hRule="exact" w:val="230"/>
          <w:jc w:val="center"/>
        </w:trPr>
        <w:tc>
          <w:tcPr>
            <w:tcW w:w="450" w:type="dxa"/>
            <w:tcBorders>
              <w:top w:val="nil"/>
              <w:left w:val="single" w:sz="8" w:space="0" w:color="auto"/>
              <w:bottom w:val="single" w:sz="8" w:space="0" w:color="auto"/>
              <w:right w:val="nil"/>
            </w:tcBorders>
            <w:shd w:val="clear" w:color="auto" w:fill="auto"/>
            <w:noWrap/>
            <w:vAlign w:val="bottom"/>
            <w:hideMark/>
          </w:tcPr>
          <w:p w:rsidR="00E6335D" w:rsidRPr="003F48E0" w:rsidRDefault="00E6335D" w:rsidP="00033601">
            <w:pPr>
              <w:rPr>
                <w:rFonts w:ascii="Times New Roman" w:hAnsi="Times New Roman"/>
                <w:b/>
                <w:bCs/>
                <w:color w:val="000000"/>
                <w:sz w:val="18"/>
                <w:szCs w:val="18"/>
              </w:rPr>
            </w:pPr>
            <w:r w:rsidRPr="003F48E0">
              <w:rPr>
                <w:rFonts w:ascii="Times New Roman" w:hAnsi="Times New Roman"/>
                <w:b/>
                <w:bCs/>
                <w:color w:val="000000"/>
                <w:sz w:val="18"/>
                <w:szCs w:val="18"/>
              </w:rPr>
              <w:t> </w:t>
            </w:r>
          </w:p>
        </w:tc>
        <w:tc>
          <w:tcPr>
            <w:tcW w:w="1027"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Total</w:t>
            </w:r>
          </w:p>
        </w:tc>
        <w:tc>
          <w:tcPr>
            <w:tcW w:w="976" w:type="dxa"/>
            <w:tcBorders>
              <w:top w:val="nil"/>
              <w:left w:val="single" w:sz="4" w:space="0" w:color="auto"/>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94,890</w:t>
            </w:r>
          </w:p>
        </w:tc>
        <w:tc>
          <w:tcPr>
            <w:tcW w:w="782"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37,801</w:t>
            </w:r>
          </w:p>
        </w:tc>
        <w:tc>
          <w:tcPr>
            <w:tcW w:w="906" w:type="dxa"/>
            <w:tcBorders>
              <w:top w:val="nil"/>
              <w:left w:val="nil"/>
              <w:bottom w:val="single" w:sz="8" w:space="0" w:color="auto"/>
              <w:right w:val="single" w:sz="4" w:space="0" w:color="auto"/>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71.5%</w:t>
            </w:r>
          </w:p>
        </w:tc>
        <w:tc>
          <w:tcPr>
            <w:tcW w:w="976"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20,179</w:t>
            </w:r>
          </w:p>
        </w:tc>
        <w:tc>
          <w:tcPr>
            <w:tcW w:w="764"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7,748</w:t>
            </w:r>
          </w:p>
        </w:tc>
        <w:tc>
          <w:tcPr>
            <w:tcW w:w="937" w:type="dxa"/>
            <w:tcBorders>
              <w:top w:val="nil"/>
              <w:left w:val="nil"/>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72.3%</w:t>
            </w:r>
          </w:p>
        </w:tc>
        <w:tc>
          <w:tcPr>
            <w:tcW w:w="947" w:type="dxa"/>
            <w:tcBorders>
              <w:top w:val="nil"/>
              <w:left w:val="single" w:sz="4" w:space="0" w:color="auto"/>
              <w:bottom w:val="single" w:sz="8" w:space="0" w:color="auto"/>
              <w:right w:val="nil"/>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86.7</w:t>
            </w:r>
          </w:p>
        </w:tc>
        <w:tc>
          <w:tcPr>
            <w:tcW w:w="936" w:type="dxa"/>
            <w:tcBorders>
              <w:top w:val="nil"/>
              <w:left w:val="nil"/>
              <w:bottom w:val="single" w:sz="8" w:space="0" w:color="auto"/>
              <w:right w:val="single" w:sz="8" w:space="0" w:color="auto"/>
            </w:tcBorders>
            <w:shd w:val="clear" w:color="auto" w:fill="auto"/>
            <w:noWrap/>
            <w:vAlign w:val="bottom"/>
            <w:hideMark/>
          </w:tcPr>
          <w:p w:rsidR="00E6335D" w:rsidRPr="003F48E0" w:rsidRDefault="00E6335D" w:rsidP="00033601">
            <w:pPr>
              <w:jc w:val="right"/>
              <w:rPr>
                <w:rFonts w:ascii="Times New Roman" w:hAnsi="Times New Roman"/>
                <w:b/>
                <w:bCs/>
                <w:color w:val="000000"/>
                <w:sz w:val="18"/>
                <w:szCs w:val="18"/>
              </w:rPr>
            </w:pPr>
            <w:r w:rsidRPr="003F48E0">
              <w:rPr>
                <w:rFonts w:ascii="Times New Roman" w:hAnsi="Times New Roman"/>
                <w:b/>
                <w:bCs/>
                <w:color w:val="000000"/>
                <w:sz w:val="18"/>
                <w:szCs w:val="18"/>
              </w:rPr>
              <w:t>7,007,398</w:t>
            </w:r>
          </w:p>
        </w:tc>
      </w:tr>
      <w:bookmarkEnd w:id="12"/>
      <w:bookmarkEnd w:id="13"/>
    </w:tbl>
    <w:p w:rsidR="00E6335D" w:rsidRDefault="00E6335D" w:rsidP="00E6335D">
      <w:pPr>
        <w:jc w:val="both"/>
        <w:rPr>
          <w:rFonts w:ascii="Times New Roman" w:hAnsi="Times New Roman"/>
        </w:rPr>
      </w:pPr>
    </w:p>
    <w:p w:rsidR="00E00AB6" w:rsidRDefault="00E00AB6" w:rsidP="00E6335D">
      <w:pPr>
        <w:jc w:val="both"/>
        <w:rPr>
          <w:rFonts w:ascii="Times New Roman" w:hAnsi="Times New Roman"/>
        </w:rPr>
      </w:pPr>
    </w:p>
    <w:sectPr w:rsidR="00E00AB6" w:rsidSect="00254034">
      <w:headerReference w:type="first" r:id="rId28"/>
      <w:pgSz w:w="12240" w:h="15840"/>
      <w:pgMar w:top="1440" w:right="1440" w:bottom="1440" w:left="1440" w:header="720" w:footer="720" w:gutter="0"/>
      <w:pgNumType w:fmt="upperLetter"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8C7" w:rsidRDefault="004058C7" w:rsidP="00C940CA">
      <w:r>
        <w:separator/>
      </w:r>
    </w:p>
  </w:endnote>
  <w:endnote w:type="continuationSeparator" w:id="0">
    <w:p w:rsidR="004058C7" w:rsidRDefault="004058C7" w:rsidP="00C9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7" w:rsidRDefault="00405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7" w:rsidRDefault="00405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7" w:rsidRDefault="00405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8C7" w:rsidRDefault="004058C7" w:rsidP="00C940CA">
      <w:r>
        <w:separator/>
      </w:r>
    </w:p>
  </w:footnote>
  <w:footnote w:type="continuationSeparator" w:id="0">
    <w:p w:rsidR="004058C7" w:rsidRDefault="004058C7" w:rsidP="00C940CA">
      <w:r>
        <w:continuationSeparator/>
      </w:r>
    </w:p>
  </w:footnote>
  <w:footnote w:id="1">
    <w:p w:rsidR="004058C7" w:rsidRDefault="004058C7">
      <w:pPr>
        <w:pStyle w:val="FootnoteText"/>
      </w:pPr>
      <w:r>
        <w:rPr>
          <w:rStyle w:val="FootnoteReference"/>
        </w:rPr>
        <w:footnoteRef/>
      </w:r>
      <w:r>
        <w:t xml:space="preserve"> </w:t>
      </w:r>
      <w:r w:rsidRPr="00057754">
        <w:t>The 41 index areas cons</w:t>
      </w:r>
      <w:r>
        <w:t xml:space="preserve">ist of the 23 self-representing </w:t>
      </w:r>
      <w:r w:rsidRPr="00057754">
        <w:t>PSUs plus the 18 non-self-representing division-size classes (9 Census divisions x 2 size classes).  The 2010 sample design brought about a change in the geographic areas used to stratify PSUs (from four Census regions to nine Census divisions) and the number of size classes (from four to three).  The first three characters of a PSU code (the size class, the Census region, and the Census division) identify the index area.  For example, the PSU</w:t>
      </w:r>
      <w:r>
        <w:t xml:space="preserve"> codes</w:t>
      </w:r>
      <w:r w:rsidRPr="00057754">
        <w:t xml:space="preserve"> N12C, N12D, N12E, and N12F all have the same first three characters and hence belong to the same index area, N120.  In the 2000 design, only the first two characters are required to identify the index area.  For more information on the differences in the PSU codes in the 2000 and 2</w:t>
      </w:r>
      <w:r>
        <w:t>010 design, refer to Ryan (2012)</w:t>
      </w:r>
      <w:r w:rsidRPr="0005775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7" w:rsidRDefault="00405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077466"/>
      <w:docPartObj>
        <w:docPartGallery w:val="Page Numbers (Top of Page)"/>
        <w:docPartUnique/>
      </w:docPartObj>
    </w:sdtPr>
    <w:sdtEndPr>
      <w:rPr>
        <w:noProof/>
      </w:rPr>
    </w:sdtEndPr>
    <w:sdtContent>
      <w:p w:rsidR="004058C7" w:rsidRDefault="004058C7">
        <w:pPr>
          <w:pStyle w:val="Header"/>
          <w:jc w:val="right"/>
        </w:pPr>
        <w:r w:rsidRPr="00D939A5">
          <w:rPr>
            <w:rFonts w:ascii="Times New Roman" w:hAnsi="Times New Roman"/>
            <w:sz w:val="24"/>
          </w:rPr>
          <w:fldChar w:fldCharType="begin"/>
        </w:r>
        <w:r w:rsidRPr="00D939A5">
          <w:rPr>
            <w:rFonts w:ascii="Times New Roman" w:hAnsi="Times New Roman"/>
            <w:sz w:val="24"/>
          </w:rPr>
          <w:instrText xml:space="preserve"> PAGE   \* MERGEFORMAT </w:instrText>
        </w:r>
        <w:r w:rsidRPr="00D939A5">
          <w:rPr>
            <w:rFonts w:ascii="Times New Roman" w:hAnsi="Times New Roman"/>
            <w:sz w:val="24"/>
          </w:rPr>
          <w:fldChar w:fldCharType="separate"/>
        </w:r>
        <w:r w:rsidR="002949DF">
          <w:rPr>
            <w:rFonts w:ascii="Times New Roman" w:hAnsi="Times New Roman"/>
            <w:noProof/>
            <w:sz w:val="24"/>
          </w:rPr>
          <w:t>1</w:t>
        </w:r>
        <w:r w:rsidRPr="00D939A5">
          <w:rPr>
            <w:rFonts w:ascii="Times New Roman" w:hAnsi="Times New Roman"/>
            <w:noProof/>
            <w:sz w:val="24"/>
          </w:rPr>
          <w:fldChar w:fldCharType="end"/>
        </w:r>
      </w:p>
    </w:sdtContent>
  </w:sdt>
  <w:p w:rsidR="004058C7" w:rsidRDefault="00405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201926"/>
      <w:docPartObj>
        <w:docPartGallery w:val="Page Numbers (Top of Page)"/>
        <w:docPartUnique/>
      </w:docPartObj>
    </w:sdtPr>
    <w:sdtEndPr>
      <w:rPr>
        <w:noProof/>
      </w:rPr>
    </w:sdtEndPr>
    <w:sdtContent>
      <w:p w:rsidR="004058C7" w:rsidRDefault="004058C7">
        <w:pPr>
          <w:pStyle w:val="Header"/>
          <w:jc w:val="right"/>
        </w:pPr>
        <w:r>
          <w:fldChar w:fldCharType="begin"/>
        </w:r>
        <w:r>
          <w:instrText xml:space="preserve"> PAGE   \* MERGEFORMAT </w:instrText>
        </w:r>
        <w:r>
          <w:fldChar w:fldCharType="separate"/>
        </w:r>
        <w:r>
          <w:rPr>
            <w:noProof/>
          </w:rPr>
          <w:t>F</w:t>
        </w:r>
        <w:r>
          <w:rPr>
            <w:noProof/>
          </w:rPr>
          <w:fldChar w:fldCharType="end"/>
        </w:r>
      </w:p>
    </w:sdtContent>
  </w:sdt>
  <w:p w:rsidR="004058C7" w:rsidRPr="00950644" w:rsidRDefault="004058C7" w:rsidP="009506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30535759"/>
      <w:docPartObj>
        <w:docPartGallery w:val="Page Numbers (Top of Page)"/>
        <w:docPartUnique/>
      </w:docPartObj>
    </w:sdtPr>
    <w:sdtEndPr>
      <w:rPr>
        <w:rFonts w:ascii="CG Times (W1)" w:hAnsi="CG Times (W1)"/>
        <w:noProof/>
        <w:sz w:val="20"/>
        <w:szCs w:val="20"/>
      </w:rPr>
    </w:sdtEndPr>
    <w:sdtContent>
      <w:p w:rsidR="004058C7" w:rsidRDefault="004058C7">
        <w:pPr>
          <w:pStyle w:val="Header"/>
          <w:jc w:val="right"/>
        </w:pPr>
        <w:r w:rsidRPr="00E9513C">
          <w:rPr>
            <w:rFonts w:ascii="Times New Roman" w:hAnsi="Times New Roman"/>
            <w:sz w:val="24"/>
            <w:szCs w:val="24"/>
          </w:rPr>
          <w:t xml:space="preserve">Attachment </w:t>
        </w:r>
        <w:r w:rsidRPr="00E9513C">
          <w:rPr>
            <w:rFonts w:ascii="Times New Roman" w:hAnsi="Times New Roman"/>
            <w:sz w:val="24"/>
            <w:szCs w:val="24"/>
          </w:rPr>
          <w:fldChar w:fldCharType="begin"/>
        </w:r>
        <w:r w:rsidRPr="00E9513C">
          <w:rPr>
            <w:rFonts w:ascii="Times New Roman" w:hAnsi="Times New Roman"/>
            <w:sz w:val="24"/>
            <w:szCs w:val="24"/>
          </w:rPr>
          <w:instrText xml:space="preserve"> PAGE   \* MERGEFORMAT </w:instrText>
        </w:r>
        <w:r w:rsidRPr="00E9513C">
          <w:rPr>
            <w:rFonts w:ascii="Times New Roman" w:hAnsi="Times New Roman"/>
            <w:sz w:val="24"/>
            <w:szCs w:val="24"/>
          </w:rPr>
          <w:fldChar w:fldCharType="separate"/>
        </w:r>
        <w:r w:rsidR="002949DF">
          <w:rPr>
            <w:rFonts w:ascii="Times New Roman" w:hAnsi="Times New Roman"/>
            <w:noProof/>
            <w:sz w:val="24"/>
            <w:szCs w:val="24"/>
          </w:rPr>
          <w:t>A</w:t>
        </w:r>
        <w:r w:rsidRPr="00E9513C">
          <w:rPr>
            <w:rFonts w:ascii="Times New Roman" w:hAnsi="Times New Roman"/>
            <w:noProof/>
            <w:sz w:val="24"/>
            <w:szCs w:val="24"/>
          </w:rPr>
          <w:fldChar w:fldCharType="end"/>
        </w:r>
      </w:p>
    </w:sdtContent>
  </w:sdt>
  <w:p w:rsidR="004058C7" w:rsidRPr="00950644" w:rsidRDefault="004058C7" w:rsidP="0095064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124282"/>
      <w:docPartObj>
        <w:docPartGallery w:val="Page Numbers (Top of Page)"/>
        <w:docPartUnique/>
      </w:docPartObj>
    </w:sdtPr>
    <w:sdtEndPr>
      <w:rPr>
        <w:noProof/>
      </w:rPr>
    </w:sdtEndPr>
    <w:sdtContent>
      <w:p w:rsidR="004058C7" w:rsidRDefault="004058C7">
        <w:pPr>
          <w:pStyle w:val="Header"/>
          <w:jc w:val="right"/>
        </w:pPr>
        <w:r>
          <w:rPr>
            <w:rFonts w:ascii="Times New Roman" w:hAnsi="Times New Roman"/>
            <w:sz w:val="24"/>
          </w:rPr>
          <w:t>Attachment B</w:t>
        </w:r>
      </w:p>
    </w:sdtContent>
  </w:sdt>
  <w:p w:rsidR="004058C7" w:rsidRDefault="004058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7" w:rsidRPr="00223E20" w:rsidRDefault="004058C7">
    <w:pPr>
      <w:pStyle w:val="Header"/>
      <w:jc w:val="right"/>
      <w:rPr>
        <w:rFonts w:ascii="Times New Roman" w:hAnsi="Times New Roman"/>
        <w:sz w:val="24"/>
        <w:szCs w:val="24"/>
      </w:rPr>
    </w:pPr>
    <w:r w:rsidRPr="00223E20">
      <w:rPr>
        <w:rFonts w:ascii="Times New Roman" w:hAnsi="Times New Roman"/>
        <w:sz w:val="24"/>
        <w:szCs w:val="24"/>
      </w:rPr>
      <w:t xml:space="preserve">Attachment </w:t>
    </w:r>
    <w:sdt>
      <w:sdtPr>
        <w:rPr>
          <w:rFonts w:ascii="Times New Roman" w:hAnsi="Times New Roman"/>
          <w:sz w:val="24"/>
          <w:szCs w:val="24"/>
        </w:rPr>
        <w:id w:val="359169465"/>
        <w:docPartObj>
          <w:docPartGallery w:val="Page Numbers (Top of Page)"/>
          <w:docPartUnique/>
        </w:docPartObj>
      </w:sdtPr>
      <w:sdtEndPr>
        <w:rPr>
          <w:noProof/>
        </w:rPr>
      </w:sdtEndPr>
      <w:sdtContent>
        <w:r w:rsidRPr="00223E20">
          <w:rPr>
            <w:rFonts w:ascii="Times New Roman" w:hAnsi="Times New Roman"/>
            <w:sz w:val="24"/>
            <w:szCs w:val="24"/>
          </w:rPr>
          <w:fldChar w:fldCharType="begin"/>
        </w:r>
        <w:r w:rsidRPr="00223E20">
          <w:rPr>
            <w:rFonts w:ascii="Times New Roman" w:hAnsi="Times New Roman"/>
            <w:sz w:val="24"/>
            <w:szCs w:val="24"/>
          </w:rPr>
          <w:instrText xml:space="preserve"> PAGE   \* MERGEFORMAT </w:instrText>
        </w:r>
        <w:r w:rsidRPr="00223E20">
          <w:rPr>
            <w:rFonts w:ascii="Times New Roman" w:hAnsi="Times New Roman"/>
            <w:sz w:val="24"/>
            <w:szCs w:val="24"/>
          </w:rPr>
          <w:fldChar w:fldCharType="separate"/>
        </w:r>
        <w:r w:rsidR="002949DF">
          <w:rPr>
            <w:rFonts w:ascii="Times New Roman" w:hAnsi="Times New Roman"/>
            <w:noProof/>
            <w:sz w:val="24"/>
            <w:szCs w:val="24"/>
          </w:rPr>
          <w:t>B</w:t>
        </w:r>
        <w:r w:rsidRPr="00223E20">
          <w:rPr>
            <w:rFonts w:ascii="Times New Roman" w:hAnsi="Times New Roman"/>
            <w:noProof/>
            <w:sz w:val="24"/>
            <w:szCs w:val="24"/>
          </w:rPr>
          <w:fldChar w:fldCharType="end"/>
        </w:r>
      </w:sdtContent>
    </w:sdt>
  </w:p>
  <w:p w:rsidR="004058C7" w:rsidRPr="00E9513C" w:rsidRDefault="004058C7" w:rsidP="00E951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7" w:rsidRPr="00E9513C" w:rsidRDefault="004058C7">
    <w:pPr>
      <w:pStyle w:val="Header"/>
      <w:jc w:val="right"/>
      <w:rPr>
        <w:rFonts w:ascii="Times New Roman" w:hAnsi="Times New Roman"/>
        <w:sz w:val="24"/>
        <w:szCs w:val="24"/>
      </w:rPr>
    </w:pPr>
    <w:r w:rsidRPr="00E9513C">
      <w:rPr>
        <w:rFonts w:ascii="Times New Roman" w:hAnsi="Times New Roman"/>
        <w:sz w:val="24"/>
        <w:szCs w:val="24"/>
      </w:rPr>
      <w:t xml:space="preserve">Attachment </w:t>
    </w:r>
    <w:sdt>
      <w:sdtPr>
        <w:rPr>
          <w:rFonts w:ascii="Times New Roman" w:hAnsi="Times New Roman"/>
          <w:sz w:val="24"/>
          <w:szCs w:val="24"/>
        </w:rPr>
        <w:id w:val="891004076"/>
        <w:docPartObj>
          <w:docPartGallery w:val="Page Numbers (Top of Page)"/>
          <w:docPartUnique/>
        </w:docPartObj>
      </w:sdtPr>
      <w:sdtEndPr>
        <w:rPr>
          <w:noProof/>
        </w:rPr>
      </w:sdtEndPr>
      <w:sdtContent>
        <w:r w:rsidRPr="00E9513C">
          <w:rPr>
            <w:rFonts w:ascii="Times New Roman" w:hAnsi="Times New Roman"/>
            <w:sz w:val="24"/>
            <w:szCs w:val="24"/>
          </w:rPr>
          <w:fldChar w:fldCharType="begin"/>
        </w:r>
        <w:r w:rsidRPr="00E9513C">
          <w:rPr>
            <w:rFonts w:ascii="Times New Roman" w:hAnsi="Times New Roman"/>
            <w:sz w:val="24"/>
            <w:szCs w:val="24"/>
          </w:rPr>
          <w:instrText xml:space="preserve"> PAGE   \* MERGEFORMAT </w:instrText>
        </w:r>
        <w:r w:rsidRPr="00E9513C">
          <w:rPr>
            <w:rFonts w:ascii="Times New Roman" w:hAnsi="Times New Roman"/>
            <w:sz w:val="24"/>
            <w:szCs w:val="24"/>
          </w:rPr>
          <w:fldChar w:fldCharType="separate"/>
        </w:r>
        <w:r w:rsidR="002949DF">
          <w:rPr>
            <w:rFonts w:ascii="Times New Roman" w:hAnsi="Times New Roman"/>
            <w:noProof/>
            <w:sz w:val="24"/>
            <w:szCs w:val="24"/>
          </w:rPr>
          <w:t>C</w:t>
        </w:r>
        <w:r w:rsidRPr="00E9513C">
          <w:rPr>
            <w:rFonts w:ascii="Times New Roman" w:hAnsi="Times New Roman"/>
            <w:noProof/>
            <w:sz w:val="24"/>
            <w:szCs w:val="24"/>
          </w:rPr>
          <w:fldChar w:fldCharType="end"/>
        </w:r>
      </w:sdtContent>
    </w:sdt>
  </w:p>
  <w:p w:rsidR="004058C7" w:rsidRPr="00254034" w:rsidRDefault="004058C7" w:rsidP="00254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CE1"/>
    <w:multiLevelType w:val="hybridMultilevel"/>
    <w:tmpl w:val="63147A84"/>
    <w:lvl w:ilvl="0" w:tplc="04090001">
      <w:start w:val="9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80D1D"/>
    <w:multiLevelType w:val="hybridMultilevel"/>
    <w:tmpl w:val="21C0255A"/>
    <w:lvl w:ilvl="0" w:tplc="6FA6CA3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20078"/>
    <w:multiLevelType w:val="hybridMultilevel"/>
    <w:tmpl w:val="271A8588"/>
    <w:lvl w:ilvl="0" w:tplc="04090005">
      <w:start w:val="1"/>
      <w:numFmt w:val="bullet"/>
      <w:lvlText w:val=""/>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0F6416"/>
    <w:multiLevelType w:val="hybridMultilevel"/>
    <w:tmpl w:val="66FE7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58"/>
    <w:rsid w:val="00001C0F"/>
    <w:rsid w:val="000029D6"/>
    <w:rsid w:val="00007D72"/>
    <w:rsid w:val="00010611"/>
    <w:rsid w:val="000112B7"/>
    <w:rsid w:val="00011B05"/>
    <w:rsid w:val="00016AAD"/>
    <w:rsid w:val="00030F7B"/>
    <w:rsid w:val="00032F7A"/>
    <w:rsid w:val="00033601"/>
    <w:rsid w:val="0003506B"/>
    <w:rsid w:val="00037B72"/>
    <w:rsid w:val="0004065C"/>
    <w:rsid w:val="00041022"/>
    <w:rsid w:val="00041979"/>
    <w:rsid w:val="000422BC"/>
    <w:rsid w:val="00045F01"/>
    <w:rsid w:val="000531BA"/>
    <w:rsid w:val="00053399"/>
    <w:rsid w:val="00053B0E"/>
    <w:rsid w:val="000571C2"/>
    <w:rsid w:val="00057754"/>
    <w:rsid w:val="0006394E"/>
    <w:rsid w:val="00066942"/>
    <w:rsid w:val="00074BBA"/>
    <w:rsid w:val="00077943"/>
    <w:rsid w:val="00077D77"/>
    <w:rsid w:val="00080CFC"/>
    <w:rsid w:val="000829AE"/>
    <w:rsid w:val="00086B07"/>
    <w:rsid w:val="000918DB"/>
    <w:rsid w:val="000949AE"/>
    <w:rsid w:val="000950BC"/>
    <w:rsid w:val="00095125"/>
    <w:rsid w:val="000B2CA7"/>
    <w:rsid w:val="000B6312"/>
    <w:rsid w:val="000C2E82"/>
    <w:rsid w:val="000C7380"/>
    <w:rsid w:val="000D3BEF"/>
    <w:rsid w:val="000E470E"/>
    <w:rsid w:val="000E4AB3"/>
    <w:rsid w:val="000F00CF"/>
    <w:rsid w:val="000F0FC7"/>
    <w:rsid w:val="000F138F"/>
    <w:rsid w:val="000F14D9"/>
    <w:rsid w:val="000F180A"/>
    <w:rsid w:val="000F323C"/>
    <w:rsid w:val="000F66C8"/>
    <w:rsid w:val="000F7F41"/>
    <w:rsid w:val="001021E9"/>
    <w:rsid w:val="001023F9"/>
    <w:rsid w:val="00115E54"/>
    <w:rsid w:val="00122551"/>
    <w:rsid w:val="00123DCE"/>
    <w:rsid w:val="001315C3"/>
    <w:rsid w:val="001406C7"/>
    <w:rsid w:val="0014603F"/>
    <w:rsid w:val="00155013"/>
    <w:rsid w:val="00163F03"/>
    <w:rsid w:val="001646C8"/>
    <w:rsid w:val="00164810"/>
    <w:rsid w:val="00166A6A"/>
    <w:rsid w:val="00170BE1"/>
    <w:rsid w:val="00170C7C"/>
    <w:rsid w:val="00176EC2"/>
    <w:rsid w:val="0018226A"/>
    <w:rsid w:val="00190FF8"/>
    <w:rsid w:val="001948EF"/>
    <w:rsid w:val="001A7160"/>
    <w:rsid w:val="001B4B9B"/>
    <w:rsid w:val="001B5A75"/>
    <w:rsid w:val="001C1FB8"/>
    <w:rsid w:val="001C72F6"/>
    <w:rsid w:val="001D35C6"/>
    <w:rsid w:val="001F12C5"/>
    <w:rsid w:val="00212615"/>
    <w:rsid w:val="00223E20"/>
    <w:rsid w:val="0022496D"/>
    <w:rsid w:val="002345AD"/>
    <w:rsid w:val="00234FC5"/>
    <w:rsid w:val="00243265"/>
    <w:rsid w:val="00244263"/>
    <w:rsid w:val="002444A0"/>
    <w:rsid w:val="00244EED"/>
    <w:rsid w:val="0024608F"/>
    <w:rsid w:val="0025021F"/>
    <w:rsid w:val="00250BC2"/>
    <w:rsid w:val="00250CEB"/>
    <w:rsid w:val="00254034"/>
    <w:rsid w:val="0025539D"/>
    <w:rsid w:val="00257387"/>
    <w:rsid w:val="0027042D"/>
    <w:rsid w:val="00274616"/>
    <w:rsid w:val="002759B6"/>
    <w:rsid w:val="00276456"/>
    <w:rsid w:val="002778B7"/>
    <w:rsid w:val="0028598A"/>
    <w:rsid w:val="002949DF"/>
    <w:rsid w:val="002B0A1E"/>
    <w:rsid w:val="002B6825"/>
    <w:rsid w:val="002D18DD"/>
    <w:rsid w:val="002D3323"/>
    <w:rsid w:val="002E06D8"/>
    <w:rsid w:val="002E25CC"/>
    <w:rsid w:val="002E4BB0"/>
    <w:rsid w:val="002F1B16"/>
    <w:rsid w:val="002F6D81"/>
    <w:rsid w:val="002F7406"/>
    <w:rsid w:val="002F7D98"/>
    <w:rsid w:val="0032106B"/>
    <w:rsid w:val="003221C1"/>
    <w:rsid w:val="00324310"/>
    <w:rsid w:val="00337B12"/>
    <w:rsid w:val="003470C7"/>
    <w:rsid w:val="003539F2"/>
    <w:rsid w:val="00360AC7"/>
    <w:rsid w:val="003612C8"/>
    <w:rsid w:val="003652E3"/>
    <w:rsid w:val="003679DE"/>
    <w:rsid w:val="00381A1C"/>
    <w:rsid w:val="00382EB7"/>
    <w:rsid w:val="00386004"/>
    <w:rsid w:val="003A19F4"/>
    <w:rsid w:val="003A2F5D"/>
    <w:rsid w:val="003A3135"/>
    <w:rsid w:val="003B6364"/>
    <w:rsid w:val="003C2536"/>
    <w:rsid w:val="003C65D8"/>
    <w:rsid w:val="003D433A"/>
    <w:rsid w:val="003D527E"/>
    <w:rsid w:val="003D62C5"/>
    <w:rsid w:val="003D6833"/>
    <w:rsid w:val="003E00AE"/>
    <w:rsid w:val="003E39FD"/>
    <w:rsid w:val="003E59F6"/>
    <w:rsid w:val="003F5143"/>
    <w:rsid w:val="003F57AE"/>
    <w:rsid w:val="003F5ADC"/>
    <w:rsid w:val="004003A8"/>
    <w:rsid w:val="004009D4"/>
    <w:rsid w:val="00403FE5"/>
    <w:rsid w:val="004058C7"/>
    <w:rsid w:val="00405E15"/>
    <w:rsid w:val="00412F2B"/>
    <w:rsid w:val="004134AF"/>
    <w:rsid w:val="00420865"/>
    <w:rsid w:val="0042237E"/>
    <w:rsid w:val="0043543E"/>
    <w:rsid w:val="00435EC5"/>
    <w:rsid w:val="004403CB"/>
    <w:rsid w:val="00440E31"/>
    <w:rsid w:val="00447E17"/>
    <w:rsid w:val="00450800"/>
    <w:rsid w:val="00450C60"/>
    <w:rsid w:val="00453C2F"/>
    <w:rsid w:val="00455266"/>
    <w:rsid w:val="00463772"/>
    <w:rsid w:val="00466092"/>
    <w:rsid w:val="0047191B"/>
    <w:rsid w:val="004813E2"/>
    <w:rsid w:val="00487EC2"/>
    <w:rsid w:val="004A0F21"/>
    <w:rsid w:val="004A28C5"/>
    <w:rsid w:val="004A7368"/>
    <w:rsid w:val="004A78B1"/>
    <w:rsid w:val="004B02B7"/>
    <w:rsid w:val="004B1DCC"/>
    <w:rsid w:val="004B3DC8"/>
    <w:rsid w:val="004C135B"/>
    <w:rsid w:val="004C3634"/>
    <w:rsid w:val="004D29C6"/>
    <w:rsid w:val="004E26E8"/>
    <w:rsid w:val="004E40B3"/>
    <w:rsid w:val="004E59AD"/>
    <w:rsid w:val="004F52FE"/>
    <w:rsid w:val="005034FB"/>
    <w:rsid w:val="00505499"/>
    <w:rsid w:val="00505701"/>
    <w:rsid w:val="00511F8C"/>
    <w:rsid w:val="0052196C"/>
    <w:rsid w:val="00524941"/>
    <w:rsid w:val="00533BFE"/>
    <w:rsid w:val="00540D25"/>
    <w:rsid w:val="00542806"/>
    <w:rsid w:val="00543872"/>
    <w:rsid w:val="00543EF6"/>
    <w:rsid w:val="005644F3"/>
    <w:rsid w:val="00565D91"/>
    <w:rsid w:val="00567F53"/>
    <w:rsid w:val="005730C3"/>
    <w:rsid w:val="00575020"/>
    <w:rsid w:val="00577C43"/>
    <w:rsid w:val="005839DD"/>
    <w:rsid w:val="00585091"/>
    <w:rsid w:val="00590DBB"/>
    <w:rsid w:val="005941FB"/>
    <w:rsid w:val="0059796C"/>
    <w:rsid w:val="005A225D"/>
    <w:rsid w:val="005B0575"/>
    <w:rsid w:val="005B2BD2"/>
    <w:rsid w:val="005B3E49"/>
    <w:rsid w:val="005B41A1"/>
    <w:rsid w:val="005B45C1"/>
    <w:rsid w:val="005C3F63"/>
    <w:rsid w:val="005C56D4"/>
    <w:rsid w:val="005C77DB"/>
    <w:rsid w:val="005D210C"/>
    <w:rsid w:val="005D2AC5"/>
    <w:rsid w:val="005D3134"/>
    <w:rsid w:val="005D38D0"/>
    <w:rsid w:val="005E54CE"/>
    <w:rsid w:val="005E65AF"/>
    <w:rsid w:val="005E79CD"/>
    <w:rsid w:val="005F28D9"/>
    <w:rsid w:val="005F2AA3"/>
    <w:rsid w:val="005F2D51"/>
    <w:rsid w:val="00602920"/>
    <w:rsid w:val="0060386C"/>
    <w:rsid w:val="0060495D"/>
    <w:rsid w:val="00607C31"/>
    <w:rsid w:val="00612D3E"/>
    <w:rsid w:val="00616121"/>
    <w:rsid w:val="0062105D"/>
    <w:rsid w:val="00622280"/>
    <w:rsid w:val="00631473"/>
    <w:rsid w:val="0064395E"/>
    <w:rsid w:val="00655013"/>
    <w:rsid w:val="006661BB"/>
    <w:rsid w:val="0067062D"/>
    <w:rsid w:val="006712FB"/>
    <w:rsid w:val="006A4506"/>
    <w:rsid w:val="006B3932"/>
    <w:rsid w:val="006C0BEC"/>
    <w:rsid w:val="006C3985"/>
    <w:rsid w:val="006C4409"/>
    <w:rsid w:val="006D34A5"/>
    <w:rsid w:val="006D75B3"/>
    <w:rsid w:val="006E074E"/>
    <w:rsid w:val="006E1B69"/>
    <w:rsid w:val="006E46FE"/>
    <w:rsid w:val="006E4F1B"/>
    <w:rsid w:val="006F103E"/>
    <w:rsid w:val="006F5A7C"/>
    <w:rsid w:val="007157BA"/>
    <w:rsid w:val="00716AB0"/>
    <w:rsid w:val="007173AE"/>
    <w:rsid w:val="00724F9D"/>
    <w:rsid w:val="00735432"/>
    <w:rsid w:val="00740466"/>
    <w:rsid w:val="007415EB"/>
    <w:rsid w:val="00741B4A"/>
    <w:rsid w:val="00747497"/>
    <w:rsid w:val="00747952"/>
    <w:rsid w:val="00760BE0"/>
    <w:rsid w:val="007735B5"/>
    <w:rsid w:val="00774751"/>
    <w:rsid w:val="0077482F"/>
    <w:rsid w:val="00774DD4"/>
    <w:rsid w:val="0077636A"/>
    <w:rsid w:val="00777DB3"/>
    <w:rsid w:val="007813E3"/>
    <w:rsid w:val="00782837"/>
    <w:rsid w:val="0078323B"/>
    <w:rsid w:val="00787261"/>
    <w:rsid w:val="0078750D"/>
    <w:rsid w:val="0079125E"/>
    <w:rsid w:val="00793D5D"/>
    <w:rsid w:val="00797600"/>
    <w:rsid w:val="007B525C"/>
    <w:rsid w:val="007C44D9"/>
    <w:rsid w:val="007C45CC"/>
    <w:rsid w:val="007D1C2D"/>
    <w:rsid w:val="007D36E6"/>
    <w:rsid w:val="007D3DAF"/>
    <w:rsid w:val="007D3EA6"/>
    <w:rsid w:val="007D439B"/>
    <w:rsid w:val="007D4DBD"/>
    <w:rsid w:val="007D576B"/>
    <w:rsid w:val="007D5856"/>
    <w:rsid w:val="007E70BA"/>
    <w:rsid w:val="007F4B83"/>
    <w:rsid w:val="00804B37"/>
    <w:rsid w:val="008052E1"/>
    <w:rsid w:val="0080541A"/>
    <w:rsid w:val="008079D0"/>
    <w:rsid w:val="00810258"/>
    <w:rsid w:val="008235BD"/>
    <w:rsid w:val="00825B89"/>
    <w:rsid w:val="00826B82"/>
    <w:rsid w:val="00831350"/>
    <w:rsid w:val="008335C8"/>
    <w:rsid w:val="0083578F"/>
    <w:rsid w:val="00835E9A"/>
    <w:rsid w:val="00837B83"/>
    <w:rsid w:val="0084633A"/>
    <w:rsid w:val="00850091"/>
    <w:rsid w:val="00853507"/>
    <w:rsid w:val="00855438"/>
    <w:rsid w:val="00860A4C"/>
    <w:rsid w:val="0086451F"/>
    <w:rsid w:val="00867652"/>
    <w:rsid w:val="00872911"/>
    <w:rsid w:val="00872B40"/>
    <w:rsid w:val="00877868"/>
    <w:rsid w:val="008836D6"/>
    <w:rsid w:val="00885F2B"/>
    <w:rsid w:val="008872EA"/>
    <w:rsid w:val="00893E3F"/>
    <w:rsid w:val="00897F27"/>
    <w:rsid w:val="008B09FE"/>
    <w:rsid w:val="008B4276"/>
    <w:rsid w:val="008B7B8E"/>
    <w:rsid w:val="008C720A"/>
    <w:rsid w:val="008D5EE6"/>
    <w:rsid w:val="008E0E88"/>
    <w:rsid w:val="008E39A5"/>
    <w:rsid w:val="008E766C"/>
    <w:rsid w:val="008F0E23"/>
    <w:rsid w:val="008F1E15"/>
    <w:rsid w:val="008F4940"/>
    <w:rsid w:val="008F6CF6"/>
    <w:rsid w:val="00900ACF"/>
    <w:rsid w:val="0090469B"/>
    <w:rsid w:val="00914314"/>
    <w:rsid w:val="00914470"/>
    <w:rsid w:val="00923C8E"/>
    <w:rsid w:val="00924CFC"/>
    <w:rsid w:val="00934310"/>
    <w:rsid w:val="00934F52"/>
    <w:rsid w:val="00937E91"/>
    <w:rsid w:val="009450E8"/>
    <w:rsid w:val="00945768"/>
    <w:rsid w:val="009457DA"/>
    <w:rsid w:val="00950644"/>
    <w:rsid w:val="00950C57"/>
    <w:rsid w:val="00951BC1"/>
    <w:rsid w:val="00952DA7"/>
    <w:rsid w:val="00962956"/>
    <w:rsid w:val="009641AF"/>
    <w:rsid w:val="009654FE"/>
    <w:rsid w:val="00967D29"/>
    <w:rsid w:val="009753ED"/>
    <w:rsid w:val="00987C5C"/>
    <w:rsid w:val="009A023B"/>
    <w:rsid w:val="009A5916"/>
    <w:rsid w:val="009B7A70"/>
    <w:rsid w:val="009C33D9"/>
    <w:rsid w:val="009D0282"/>
    <w:rsid w:val="009D0E90"/>
    <w:rsid w:val="009D5C70"/>
    <w:rsid w:val="009D739B"/>
    <w:rsid w:val="009F34E0"/>
    <w:rsid w:val="00A212CC"/>
    <w:rsid w:val="00A239C9"/>
    <w:rsid w:val="00A263CF"/>
    <w:rsid w:val="00A270C5"/>
    <w:rsid w:val="00A364C1"/>
    <w:rsid w:val="00A369D6"/>
    <w:rsid w:val="00A44099"/>
    <w:rsid w:val="00A45AD8"/>
    <w:rsid w:val="00A63BB0"/>
    <w:rsid w:val="00A6577F"/>
    <w:rsid w:val="00A6636B"/>
    <w:rsid w:val="00A70F3E"/>
    <w:rsid w:val="00A90637"/>
    <w:rsid w:val="00A95E14"/>
    <w:rsid w:val="00A96603"/>
    <w:rsid w:val="00A97BCB"/>
    <w:rsid w:val="00AA2475"/>
    <w:rsid w:val="00AB232B"/>
    <w:rsid w:val="00AC3E5A"/>
    <w:rsid w:val="00AD3B53"/>
    <w:rsid w:val="00AD3BEB"/>
    <w:rsid w:val="00AE18F7"/>
    <w:rsid w:val="00AE1B2D"/>
    <w:rsid w:val="00AE2437"/>
    <w:rsid w:val="00AE3B48"/>
    <w:rsid w:val="00AF625A"/>
    <w:rsid w:val="00AF65FA"/>
    <w:rsid w:val="00AF7488"/>
    <w:rsid w:val="00B00C5C"/>
    <w:rsid w:val="00B050C1"/>
    <w:rsid w:val="00B07F5C"/>
    <w:rsid w:val="00B10608"/>
    <w:rsid w:val="00B1150C"/>
    <w:rsid w:val="00B11800"/>
    <w:rsid w:val="00B12A6C"/>
    <w:rsid w:val="00B164CD"/>
    <w:rsid w:val="00B2288A"/>
    <w:rsid w:val="00B23511"/>
    <w:rsid w:val="00B25040"/>
    <w:rsid w:val="00B33335"/>
    <w:rsid w:val="00B33F92"/>
    <w:rsid w:val="00B431A5"/>
    <w:rsid w:val="00B4364F"/>
    <w:rsid w:val="00B55533"/>
    <w:rsid w:val="00B56075"/>
    <w:rsid w:val="00B61D31"/>
    <w:rsid w:val="00B927A2"/>
    <w:rsid w:val="00B9715E"/>
    <w:rsid w:val="00BA352C"/>
    <w:rsid w:val="00BA3FBE"/>
    <w:rsid w:val="00BB7619"/>
    <w:rsid w:val="00BC2581"/>
    <w:rsid w:val="00BC62FE"/>
    <w:rsid w:val="00BE10A9"/>
    <w:rsid w:val="00BE1F3D"/>
    <w:rsid w:val="00BE3407"/>
    <w:rsid w:val="00BE3BE4"/>
    <w:rsid w:val="00BF02B4"/>
    <w:rsid w:val="00BF6E36"/>
    <w:rsid w:val="00C05FD4"/>
    <w:rsid w:val="00C126D6"/>
    <w:rsid w:val="00C1413D"/>
    <w:rsid w:val="00C22C01"/>
    <w:rsid w:val="00C324FC"/>
    <w:rsid w:val="00C4001E"/>
    <w:rsid w:val="00C42BA0"/>
    <w:rsid w:val="00C46982"/>
    <w:rsid w:val="00C52940"/>
    <w:rsid w:val="00C56DC0"/>
    <w:rsid w:val="00C64B7B"/>
    <w:rsid w:val="00C6562E"/>
    <w:rsid w:val="00C65E36"/>
    <w:rsid w:val="00C70665"/>
    <w:rsid w:val="00C72B19"/>
    <w:rsid w:val="00C827AC"/>
    <w:rsid w:val="00C8363E"/>
    <w:rsid w:val="00C83DD4"/>
    <w:rsid w:val="00C8727F"/>
    <w:rsid w:val="00C87D45"/>
    <w:rsid w:val="00C940CA"/>
    <w:rsid w:val="00C94342"/>
    <w:rsid w:val="00C96B02"/>
    <w:rsid w:val="00CA1974"/>
    <w:rsid w:val="00CB0BF7"/>
    <w:rsid w:val="00CB6D4B"/>
    <w:rsid w:val="00CC19DA"/>
    <w:rsid w:val="00CC2F1A"/>
    <w:rsid w:val="00CC3615"/>
    <w:rsid w:val="00CC43E5"/>
    <w:rsid w:val="00CC4514"/>
    <w:rsid w:val="00CC6F7B"/>
    <w:rsid w:val="00CD1D65"/>
    <w:rsid w:val="00CD5105"/>
    <w:rsid w:val="00CE1EDD"/>
    <w:rsid w:val="00CF133D"/>
    <w:rsid w:val="00CF13EC"/>
    <w:rsid w:val="00CF3364"/>
    <w:rsid w:val="00CF378C"/>
    <w:rsid w:val="00CF6592"/>
    <w:rsid w:val="00CF675E"/>
    <w:rsid w:val="00CF7EF2"/>
    <w:rsid w:val="00D0032B"/>
    <w:rsid w:val="00D01371"/>
    <w:rsid w:val="00D0348F"/>
    <w:rsid w:val="00D0781E"/>
    <w:rsid w:val="00D103AD"/>
    <w:rsid w:val="00D14DE2"/>
    <w:rsid w:val="00D2017A"/>
    <w:rsid w:val="00D231B0"/>
    <w:rsid w:val="00D26250"/>
    <w:rsid w:val="00D30F8A"/>
    <w:rsid w:val="00D313A7"/>
    <w:rsid w:val="00D32586"/>
    <w:rsid w:val="00D41428"/>
    <w:rsid w:val="00D41FCA"/>
    <w:rsid w:val="00D427D3"/>
    <w:rsid w:val="00D44A94"/>
    <w:rsid w:val="00D458E9"/>
    <w:rsid w:val="00D47D0F"/>
    <w:rsid w:val="00D508AA"/>
    <w:rsid w:val="00D55239"/>
    <w:rsid w:val="00D56F26"/>
    <w:rsid w:val="00D57BF0"/>
    <w:rsid w:val="00D61835"/>
    <w:rsid w:val="00D63175"/>
    <w:rsid w:val="00D64410"/>
    <w:rsid w:val="00D66C46"/>
    <w:rsid w:val="00D74AB6"/>
    <w:rsid w:val="00D86883"/>
    <w:rsid w:val="00D939A5"/>
    <w:rsid w:val="00D967DB"/>
    <w:rsid w:val="00D97F43"/>
    <w:rsid w:val="00DB4A8E"/>
    <w:rsid w:val="00DC11B8"/>
    <w:rsid w:val="00DD5785"/>
    <w:rsid w:val="00DD592B"/>
    <w:rsid w:val="00DE7EBE"/>
    <w:rsid w:val="00DF1BC5"/>
    <w:rsid w:val="00DF3E19"/>
    <w:rsid w:val="00E0093F"/>
    <w:rsid w:val="00E00AB6"/>
    <w:rsid w:val="00E00FCA"/>
    <w:rsid w:val="00E0451F"/>
    <w:rsid w:val="00E10FE0"/>
    <w:rsid w:val="00E11DF3"/>
    <w:rsid w:val="00E1319F"/>
    <w:rsid w:val="00E2057B"/>
    <w:rsid w:val="00E249B5"/>
    <w:rsid w:val="00E47C67"/>
    <w:rsid w:val="00E5102E"/>
    <w:rsid w:val="00E54833"/>
    <w:rsid w:val="00E60DAE"/>
    <w:rsid w:val="00E6335D"/>
    <w:rsid w:val="00E7336C"/>
    <w:rsid w:val="00E83141"/>
    <w:rsid w:val="00E83331"/>
    <w:rsid w:val="00E833C0"/>
    <w:rsid w:val="00E84573"/>
    <w:rsid w:val="00E93629"/>
    <w:rsid w:val="00E937F6"/>
    <w:rsid w:val="00E9513C"/>
    <w:rsid w:val="00E96021"/>
    <w:rsid w:val="00E97FE7"/>
    <w:rsid w:val="00EA47FB"/>
    <w:rsid w:val="00EA4BAB"/>
    <w:rsid w:val="00EA5679"/>
    <w:rsid w:val="00EC321B"/>
    <w:rsid w:val="00EC3622"/>
    <w:rsid w:val="00EC37E5"/>
    <w:rsid w:val="00ED2B27"/>
    <w:rsid w:val="00ED314B"/>
    <w:rsid w:val="00EE2C30"/>
    <w:rsid w:val="00EE5BD4"/>
    <w:rsid w:val="00EF1548"/>
    <w:rsid w:val="00EF63DE"/>
    <w:rsid w:val="00F016FE"/>
    <w:rsid w:val="00F1442A"/>
    <w:rsid w:val="00F1481C"/>
    <w:rsid w:val="00F25898"/>
    <w:rsid w:val="00F32856"/>
    <w:rsid w:val="00F4133F"/>
    <w:rsid w:val="00F438E6"/>
    <w:rsid w:val="00F5015F"/>
    <w:rsid w:val="00F519BA"/>
    <w:rsid w:val="00F542F1"/>
    <w:rsid w:val="00F55A8A"/>
    <w:rsid w:val="00F57CC3"/>
    <w:rsid w:val="00F64318"/>
    <w:rsid w:val="00F721A1"/>
    <w:rsid w:val="00F72C8D"/>
    <w:rsid w:val="00F809D7"/>
    <w:rsid w:val="00F827BE"/>
    <w:rsid w:val="00F82B9B"/>
    <w:rsid w:val="00F84900"/>
    <w:rsid w:val="00FA30B8"/>
    <w:rsid w:val="00FA4457"/>
    <w:rsid w:val="00FA44CC"/>
    <w:rsid w:val="00FA4A74"/>
    <w:rsid w:val="00FB013B"/>
    <w:rsid w:val="00FB40B7"/>
    <w:rsid w:val="00FC2681"/>
    <w:rsid w:val="00FC6CC6"/>
    <w:rsid w:val="00FD25E9"/>
    <w:rsid w:val="00FE084A"/>
    <w:rsid w:val="00FE253F"/>
    <w:rsid w:val="00FE4885"/>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A0522D65-9925-4492-817F-828911E2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258"/>
    <w:pPr>
      <w:overflowPunct w:val="0"/>
      <w:autoSpaceDE w:val="0"/>
      <w:autoSpaceDN w:val="0"/>
      <w:adjustRightInd w:val="0"/>
      <w:textAlignment w:val="baseline"/>
    </w:pPr>
    <w:rPr>
      <w:rFonts w:ascii="CG Times (W1)" w:eastAsia="Times New Roman" w:hAnsi="CG Times (W1)" w:cs="Times New Roman"/>
      <w:sz w:val="20"/>
      <w:szCs w:val="20"/>
    </w:rPr>
  </w:style>
  <w:style w:type="paragraph" w:styleId="Heading1">
    <w:name w:val="heading 1"/>
    <w:basedOn w:val="Normal"/>
    <w:link w:val="Heading1Char"/>
    <w:qFormat/>
    <w:rsid w:val="00E6335D"/>
    <w:pPr>
      <w:overflowPunct/>
      <w:autoSpaceDE/>
      <w:autoSpaceDN/>
      <w:adjustRightInd/>
      <w:spacing w:before="100" w:beforeAutospacing="1" w:after="100" w:afterAutospacing="1"/>
      <w:ind w:left="288"/>
      <w:textAlignment w:val="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E6335D"/>
    <w:pPr>
      <w:keepNext/>
      <w:keepLines/>
      <w:overflowPunct/>
      <w:autoSpaceDE/>
      <w:autoSpaceDN/>
      <w:adjustRightInd/>
      <w:spacing w:before="200"/>
      <w:ind w:left="288"/>
      <w:textAlignment w:val="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E6335D"/>
    <w:pPr>
      <w:overflowPunct/>
      <w:autoSpaceDE/>
      <w:autoSpaceDN/>
      <w:adjustRightInd/>
      <w:spacing w:before="240" w:after="60"/>
      <w:ind w:left="288"/>
      <w:textAlignment w:val="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40CA"/>
    <w:pPr>
      <w:tabs>
        <w:tab w:val="center" w:pos="4680"/>
        <w:tab w:val="right" w:pos="9360"/>
      </w:tabs>
    </w:pPr>
  </w:style>
  <w:style w:type="character" w:customStyle="1" w:styleId="FooterChar">
    <w:name w:val="Footer Char"/>
    <w:basedOn w:val="DefaultParagraphFont"/>
    <w:link w:val="Footer"/>
    <w:uiPriority w:val="99"/>
    <w:rsid w:val="00C940CA"/>
    <w:rPr>
      <w:rFonts w:ascii="CG Times (W1)" w:eastAsia="Times New Roman" w:hAnsi="CG Times (W1)" w:cs="Times New Roman"/>
      <w:sz w:val="20"/>
      <w:szCs w:val="20"/>
    </w:rPr>
  </w:style>
  <w:style w:type="character" w:styleId="FootnoteReference">
    <w:name w:val="footnote reference"/>
    <w:basedOn w:val="DefaultParagraphFont"/>
    <w:unhideWhenUsed/>
    <w:rsid w:val="00C940CA"/>
    <w:rPr>
      <w:vertAlign w:val="superscript"/>
    </w:rPr>
  </w:style>
  <w:style w:type="paragraph" w:styleId="BalloonText">
    <w:name w:val="Balloon Text"/>
    <w:basedOn w:val="Normal"/>
    <w:link w:val="BalloonTextChar"/>
    <w:uiPriority w:val="99"/>
    <w:semiHidden/>
    <w:unhideWhenUsed/>
    <w:rsid w:val="00CF13EC"/>
    <w:rPr>
      <w:rFonts w:ascii="Tahoma" w:hAnsi="Tahoma" w:cs="Tahoma"/>
      <w:sz w:val="16"/>
      <w:szCs w:val="16"/>
    </w:rPr>
  </w:style>
  <w:style w:type="character" w:customStyle="1" w:styleId="BalloonTextChar">
    <w:name w:val="Balloon Text Char"/>
    <w:basedOn w:val="DefaultParagraphFont"/>
    <w:link w:val="BalloonText"/>
    <w:uiPriority w:val="99"/>
    <w:semiHidden/>
    <w:rsid w:val="00CF13EC"/>
    <w:rPr>
      <w:rFonts w:ascii="Tahoma" w:eastAsia="Times New Roman" w:hAnsi="Tahoma" w:cs="Tahoma"/>
      <w:sz w:val="16"/>
      <w:szCs w:val="16"/>
    </w:rPr>
  </w:style>
  <w:style w:type="paragraph" w:styleId="ListParagraph">
    <w:name w:val="List Paragraph"/>
    <w:basedOn w:val="Normal"/>
    <w:uiPriority w:val="34"/>
    <w:qFormat/>
    <w:rsid w:val="00234FC5"/>
    <w:pPr>
      <w:ind w:left="720"/>
      <w:contextualSpacing/>
    </w:pPr>
  </w:style>
  <w:style w:type="paragraph" w:styleId="EndnoteText">
    <w:name w:val="endnote text"/>
    <w:basedOn w:val="Normal"/>
    <w:link w:val="EndnoteTextChar"/>
    <w:uiPriority w:val="99"/>
    <w:semiHidden/>
    <w:unhideWhenUsed/>
    <w:rsid w:val="00505701"/>
  </w:style>
  <w:style w:type="character" w:customStyle="1" w:styleId="EndnoteTextChar">
    <w:name w:val="Endnote Text Char"/>
    <w:basedOn w:val="DefaultParagraphFont"/>
    <w:link w:val="EndnoteText"/>
    <w:uiPriority w:val="99"/>
    <w:semiHidden/>
    <w:rsid w:val="00505701"/>
    <w:rPr>
      <w:rFonts w:ascii="CG Times (W1)" w:eastAsia="Times New Roman" w:hAnsi="CG Times (W1)" w:cs="Times New Roman"/>
      <w:sz w:val="20"/>
      <w:szCs w:val="20"/>
    </w:rPr>
  </w:style>
  <w:style w:type="character" w:styleId="EndnoteReference">
    <w:name w:val="endnote reference"/>
    <w:basedOn w:val="DefaultParagraphFont"/>
    <w:uiPriority w:val="99"/>
    <w:semiHidden/>
    <w:unhideWhenUsed/>
    <w:rsid w:val="00505701"/>
    <w:rPr>
      <w:vertAlign w:val="superscript"/>
    </w:rPr>
  </w:style>
  <w:style w:type="table" w:customStyle="1" w:styleId="LightShading1">
    <w:name w:val="Light Shading1"/>
    <w:basedOn w:val="TableNormal"/>
    <w:uiPriority w:val="60"/>
    <w:rsid w:val="00AE18F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unhideWhenUsed/>
    <w:rsid w:val="00D01371"/>
  </w:style>
  <w:style w:type="character" w:customStyle="1" w:styleId="FootnoteTextChar">
    <w:name w:val="Footnote Text Char"/>
    <w:basedOn w:val="DefaultParagraphFont"/>
    <w:link w:val="FootnoteText"/>
    <w:uiPriority w:val="99"/>
    <w:rsid w:val="00D01371"/>
    <w:rPr>
      <w:rFonts w:ascii="CG Times (W1)" w:eastAsia="Times New Roman" w:hAnsi="CG Times (W1)" w:cs="Times New Roman"/>
      <w:sz w:val="20"/>
      <w:szCs w:val="20"/>
    </w:rPr>
  </w:style>
  <w:style w:type="paragraph" w:styleId="BodyText">
    <w:name w:val="Body Text"/>
    <w:basedOn w:val="Normal"/>
    <w:link w:val="BodyTextChar"/>
    <w:uiPriority w:val="99"/>
    <w:rsid w:val="005B41A1"/>
    <w:pPr>
      <w:overflowPunct/>
      <w:autoSpaceDE/>
      <w:autoSpaceDN/>
      <w:adjustRightInd/>
      <w:spacing w:line="240" w:lineRule="atLeast"/>
      <w:textAlignment w:val="auto"/>
    </w:pPr>
    <w:rPr>
      <w:rFonts w:ascii="Times New Roman" w:hAnsi="Times New Roman"/>
      <w:sz w:val="22"/>
    </w:rPr>
  </w:style>
  <w:style w:type="character" w:customStyle="1" w:styleId="BodyTextChar">
    <w:name w:val="Body Text Char"/>
    <w:basedOn w:val="DefaultParagraphFont"/>
    <w:link w:val="BodyText"/>
    <w:uiPriority w:val="99"/>
    <w:rsid w:val="005B41A1"/>
    <w:rPr>
      <w:rFonts w:ascii="Times New Roman" w:eastAsia="Times New Roman" w:hAnsi="Times New Roman" w:cs="Times New Roman"/>
      <w:szCs w:val="20"/>
    </w:rPr>
  </w:style>
  <w:style w:type="table" w:styleId="TableGrid">
    <w:name w:val="Table Grid"/>
    <w:basedOn w:val="TableNormal"/>
    <w:uiPriority w:val="59"/>
    <w:rsid w:val="005B4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470E"/>
    <w:pPr>
      <w:tabs>
        <w:tab w:val="center" w:pos="4680"/>
        <w:tab w:val="right" w:pos="9360"/>
      </w:tabs>
    </w:pPr>
  </w:style>
  <w:style w:type="character" w:customStyle="1" w:styleId="HeaderChar">
    <w:name w:val="Header Char"/>
    <w:basedOn w:val="DefaultParagraphFont"/>
    <w:link w:val="Header"/>
    <w:uiPriority w:val="99"/>
    <w:rsid w:val="000E470E"/>
    <w:rPr>
      <w:rFonts w:ascii="CG Times (W1)" w:eastAsia="Times New Roman" w:hAnsi="CG Times (W1)" w:cs="Times New Roman"/>
      <w:sz w:val="20"/>
      <w:szCs w:val="20"/>
    </w:rPr>
  </w:style>
  <w:style w:type="character" w:customStyle="1" w:styleId="Heading1Char">
    <w:name w:val="Heading 1 Char"/>
    <w:basedOn w:val="DefaultParagraphFont"/>
    <w:link w:val="Heading1"/>
    <w:rsid w:val="00E633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E6335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semiHidden/>
    <w:rsid w:val="00E6335D"/>
    <w:rPr>
      <w:rFonts w:ascii="Calibri" w:eastAsia="Times New Roman" w:hAnsi="Calibri" w:cs="Times New Roman"/>
      <w:b/>
      <w:bCs/>
      <w:i/>
      <w:iCs/>
      <w:sz w:val="26"/>
      <w:szCs w:val="26"/>
    </w:rPr>
  </w:style>
  <w:style w:type="character" w:styleId="CommentReference">
    <w:name w:val="annotation reference"/>
    <w:basedOn w:val="DefaultParagraphFont"/>
    <w:semiHidden/>
    <w:unhideWhenUsed/>
    <w:rsid w:val="00E6335D"/>
    <w:rPr>
      <w:sz w:val="16"/>
      <w:szCs w:val="16"/>
    </w:rPr>
  </w:style>
  <w:style w:type="paragraph" w:styleId="CommentText">
    <w:name w:val="annotation text"/>
    <w:basedOn w:val="Normal"/>
    <w:link w:val="CommentTextChar"/>
    <w:uiPriority w:val="99"/>
    <w:semiHidden/>
    <w:unhideWhenUsed/>
    <w:rsid w:val="00E6335D"/>
    <w:pPr>
      <w:overflowPunct/>
      <w:autoSpaceDE/>
      <w:autoSpaceDN/>
      <w:adjustRightInd/>
      <w:spacing w:after="20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6335D"/>
    <w:rPr>
      <w:sz w:val="20"/>
      <w:szCs w:val="20"/>
    </w:rPr>
  </w:style>
  <w:style w:type="paragraph" w:styleId="CommentSubject">
    <w:name w:val="annotation subject"/>
    <w:basedOn w:val="CommentText"/>
    <w:next w:val="CommentText"/>
    <w:link w:val="CommentSubjectChar"/>
    <w:uiPriority w:val="99"/>
    <w:semiHidden/>
    <w:unhideWhenUsed/>
    <w:rsid w:val="00E6335D"/>
    <w:rPr>
      <w:b/>
      <w:bCs/>
    </w:rPr>
  </w:style>
  <w:style w:type="character" w:customStyle="1" w:styleId="CommentSubjectChar">
    <w:name w:val="Comment Subject Char"/>
    <w:basedOn w:val="CommentTextChar"/>
    <w:link w:val="CommentSubject"/>
    <w:uiPriority w:val="99"/>
    <w:semiHidden/>
    <w:rsid w:val="00E6335D"/>
    <w:rPr>
      <w:b/>
      <w:bCs/>
      <w:sz w:val="20"/>
      <w:szCs w:val="20"/>
    </w:rPr>
  </w:style>
  <w:style w:type="paragraph" w:styleId="PlainText">
    <w:name w:val="Plain Text"/>
    <w:basedOn w:val="Normal"/>
    <w:link w:val="PlainTextChar"/>
    <w:uiPriority w:val="99"/>
    <w:rsid w:val="00E6335D"/>
    <w:pPr>
      <w:overflowPunct/>
      <w:autoSpaceDE/>
      <w:autoSpaceDN/>
      <w:adjustRightInd/>
      <w:ind w:left="288"/>
      <w:textAlignment w:val="auto"/>
    </w:pPr>
    <w:rPr>
      <w:rFonts w:ascii="Courier New" w:hAnsi="Courier New" w:cs="Courier New"/>
    </w:rPr>
  </w:style>
  <w:style w:type="character" w:customStyle="1" w:styleId="PlainTextChar">
    <w:name w:val="Plain Text Char"/>
    <w:basedOn w:val="DefaultParagraphFont"/>
    <w:link w:val="PlainText"/>
    <w:uiPriority w:val="99"/>
    <w:rsid w:val="00E6335D"/>
    <w:rPr>
      <w:rFonts w:ascii="Courier New" w:eastAsia="Times New Roman" w:hAnsi="Courier New" w:cs="Courier New"/>
      <w:sz w:val="20"/>
      <w:szCs w:val="20"/>
    </w:rPr>
  </w:style>
  <w:style w:type="paragraph" w:styleId="NoSpacing">
    <w:name w:val="No Spacing"/>
    <w:uiPriority w:val="1"/>
    <w:qFormat/>
    <w:rsid w:val="00E6335D"/>
  </w:style>
  <w:style w:type="character" w:customStyle="1" w:styleId="HTMLPreformattedChar">
    <w:name w:val="HTML Preformatted Char"/>
    <w:basedOn w:val="DefaultParagraphFont"/>
    <w:link w:val="HTMLPreformatted"/>
    <w:uiPriority w:val="99"/>
    <w:semiHidden/>
    <w:rsid w:val="00E6335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6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88"/>
      <w:textAlignment w:val="auto"/>
    </w:pPr>
    <w:rPr>
      <w:rFonts w:ascii="Courier New" w:hAnsi="Courier New" w:cs="Courier New"/>
    </w:rPr>
  </w:style>
  <w:style w:type="character" w:customStyle="1" w:styleId="HTMLPreformattedChar1">
    <w:name w:val="HTML Preformatted Char1"/>
    <w:basedOn w:val="DefaultParagraphFont"/>
    <w:uiPriority w:val="99"/>
    <w:semiHidden/>
    <w:rsid w:val="00E6335D"/>
    <w:rPr>
      <w:rFonts w:ascii="Consolas" w:eastAsia="Times New Roman" w:hAnsi="Consolas" w:cs="Consolas"/>
      <w:sz w:val="20"/>
      <w:szCs w:val="20"/>
    </w:rPr>
  </w:style>
  <w:style w:type="character" w:customStyle="1" w:styleId="TitleChar">
    <w:name w:val="Title Char"/>
    <w:basedOn w:val="DefaultParagraphFont"/>
    <w:link w:val="Title"/>
    <w:uiPriority w:val="99"/>
    <w:rsid w:val="00E6335D"/>
    <w:rPr>
      <w:rFonts w:ascii="Times New Roman" w:eastAsia="Times New Roman" w:hAnsi="Times New Roman" w:cs="Times New Roman"/>
      <w:b/>
      <w:sz w:val="24"/>
      <w:szCs w:val="20"/>
      <w:u w:val="single"/>
    </w:rPr>
  </w:style>
  <w:style w:type="paragraph" w:styleId="Title">
    <w:name w:val="Title"/>
    <w:basedOn w:val="Normal"/>
    <w:link w:val="TitleChar"/>
    <w:uiPriority w:val="99"/>
    <w:qFormat/>
    <w:rsid w:val="00E6335D"/>
    <w:pPr>
      <w:overflowPunct/>
      <w:autoSpaceDE/>
      <w:autoSpaceDN/>
      <w:adjustRightInd/>
      <w:ind w:left="288"/>
      <w:jc w:val="center"/>
      <w:textAlignment w:val="auto"/>
    </w:pPr>
    <w:rPr>
      <w:rFonts w:ascii="Times New Roman" w:hAnsi="Times New Roman"/>
      <w:b/>
      <w:sz w:val="24"/>
      <w:u w:val="single"/>
    </w:rPr>
  </w:style>
  <w:style w:type="character" w:customStyle="1" w:styleId="TitleChar1">
    <w:name w:val="Title Char1"/>
    <w:basedOn w:val="DefaultParagraphFont"/>
    <w:uiPriority w:val="10"/>
    <w:rsid w:val="00E6335D"/>
    <w:rPr>
      <w:rFonts w:asciiTheme="majorHAnsi" w:eastAsiaTheme="majorEastAsia" w:hAnsiTheme="majorHAnsi" w:cstheme="majorBidi"/>
      <w:color w:val="17365D" w:themeColor="text2" w:themeShade="BF"/>
      <w:spacing w:val="5"/>
      <w:kern w:val="28"/>
      <w:sz w:val="52"/>
      <w:szCs w:val="52"/>
    </w:rPr>
  </w:style>
  <w:style w:type="character" w:customStyle="1" w:styleId="BodyText2Char">
    <w:name w:val="Body Text 2 Char"/>
    <w:basedOn w:val="DefaultParagraphFont"/>
    <w:link w:val="BodyText2"/>
    <w:uiPriority w:val="99"/>
    <w:semiHidden/>
    <w:rsid w:val="00E6335D"/>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E6335D"/>
    <w:pPr>
      <w:overflowPunct/>
      <w:autoSpaceDE/>
      <w:autoSpaceDN/>
      <w:adjustRightInd/>
      <w:spacing w:after="120" w:line="480" w:lineRule="auto"/>
      <w:ind w:left="288"/>
      <w:textAlignment w:val="auto"/>
    </w:pPr>
    <w:rPr>
      <w:rFonts w:ascii="Times New Roman" w:hAnsi="Times New Roman"/>
    </w:rPr>
  </w:style>
  <w:style w:type="character" w:customStyle="1" w:styleId="BodyText2Char1">
    <w:name w:val="Body Text 2 Char1"/>
    <w:basedOn w:val="DefaultParagraphFont"/>
    <w:uiPriority w:val="99"/>
    <w:semiHidden/>
    <w:rsid w:val="00E6335D"/>
    <w:rPr>
      <w:rFonts w:ascii="CG Times (W1)" w:eastAsia="Times New Roman" w:hAnsi="CG Times (W1)" w:cs="Times New Roman"/>
      <w:sz w:val="20"/>
      <w:szCs w:val="20"/>
    </w:rPr>
  </w:style>
  <w:style w:type="numbering" w:customStyle="1" w:styleId="NoList1">
    <w:name w:val="No List1"/>
    <w:next w:val="NoList"/>
    <w:uiPriority w:val="99"/>
    <w:semiHidden/>
    <w:unhideWhenUsed/>
    <w:rsid w:val="00E6335D"/>
  </w:style>
  <w:style w:type="character" w:styleId="Hyperlink">
    <w:name w:val="Hyperlink"/>
    <w:basedOn w:val="DefaultParagraphFont"/>
    <w:uiPriority w:val="99"/>
    <w:semiHidden/>
    <w:unhideWhenUsed/>
    <w:rsid w:val="00E6335D"/>
    <w:rPr>
      <w:color w:val="0000FF"/>
      <w:u w:val="single"/>
    </w:rPr>
  </w:style>
  <w:style w:type="character" w:styleId="FollowedHyperlink">
    <w:name w:val="FollowedHyperlink"/>
    <w:basedOn w:val="DefaultParagraphFont"/>
    <w:uiPriority w:val="99"/>
    <w:semiHidden/>
    <w:unhideWhenUsed/>
    <w:rsid w:val="00E6335D"/>
    <w:rPr>
      <w:color w:val="800080"/>
      <w:u w:val="single"/>
    </w:rPr>
  </w:style>
  <w:style w:type="paragraph" w:customStyle="1" w:styleId="xl63">
    <w:name w:val="xl63"/>
    <w:basedOn w:val="Normal"/>
    <w:rsid w:val="00E6335D"/>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4">
    <w:name w:val="xl64"/>
    <w:basedOn w:val="Normal"/>
    <w:rsid w:val="00E6335D"/>
    <w:pPr>
      <w:pBdr>
        <w:top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5">
    <w:name w:val="xl65"/>
    <w:basedOn w:val="Normal"/>
    <w:rsid w:val="00E6335D"/>
    <w:pPr>
      <w:pBdr>
        <w:top w:val="single" w:sz="8" w:space="0" w:color="auto"/>
      </w:pBdr>
      <w:overflowPunct/>
      <w:autoSpaceDE/>
      <w:autoSpaceDN/>
      <w:adjustRightInd/>
      <w:spacing w:before="100" w:beforeAutospacing="1" w:after="100" w:afterAutospacing="1"/>
      <w:textAlignment w:val="center"/>
    </w:pPr>
    <w:rPr>
      <w:rFonts w:ascii="Times New Roman" w:hAnsi="Times New Roman"/>
      <w:b/>
      <w:bCs/>
      <w:sz w:val="18"/>
      <w:szCs w:val="18"/>
    </w:rPr>
  </w:style>
  <w:style w:type="paragraph" w:customStyle="1" w:styleId="xl66">
    <w:name w:val="xl66"/>
    <w:basedOn w:val="Normal"/>
    <w:rsid w:val="00E6335D"/>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7">
    <w:name w:val="xl67"/>
    <w:basedOn w:val="Normal"/>
    <w:rsid w:val="00E6335D"/>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8">
    <w:name w:val="xl68"/>
    <w:basedOn w:val="Normal"/>
    <w:rsid w:val="00E6335D"/>
    <w:pPr>
      <w:pBdr>
        <w:bottom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9">
    <w:name w:val="xl69"/>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b/>
      <w:bCs/>
      <w:sz w:val="18"/>
      <w:szCs w:val="18"/>
    </w:rPr>
  </w:style>
  <w:style w:type="paragraph" w:customStyle="1" w:styleId="xl70">
    <w:name w:val="xl70"/>
    <w:basedOn w:val="Normal"/>
    <w:rsid w:val="00E6335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71">
    <w:name w:val="xl71"/>
    <w:basedOn w:val="Normal"/>
    <w:rsid w:val="00E6335D"/>
    <w:pPr>
      <w:pBdr>
        <w:lef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2">
    <w:name w:val="xl72"/>
    <w:basedOn w:val="Normal"/>
    <w:rsid w:val="00E6335D"/>
    <w:pP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3">
    <w:name w:val="xl73"/>
    <w:basedOn w:val="Normal"/>
    <w:rsid w:val="00E6335D"/>
    <w:pPr>
      <w:overflowPunct/>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4">
    <w:name w:val="xl74"/>
    <w:basedOn w:val="Normal"/>
    <w:rsid w:val="00E6335D"/>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5">
    <w:name w:val="xl75"/>
    <w:basedOn w:val="Normal"/>
    <w:rsid w:val="00E6335D"/>
    <w:pPr>
      <w:pBdr>
        <w:bottom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6">
    <w:name w:val="xl76"/>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7">
    <w:name w:val="xl77"/>
    <w:basedOn w:val="Normal"/>
    <w:rsid w:val="00E6335D"/>
    <w:pPr>
      <w:overflowPunct/>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8">
    <w:name w:val="xl78"/>
    <w:basedOn w:val="Normal"/>
    <w:rsid w:val="00E6335D"/>
    <w:pPr>
      <w:overflowPunct/>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9">
    <w:name w:val="xl79"/>
    <w:basedOn w:val="Normal"/>
    <w:rsid w:val="00E6335D"/>
    <w:pPr>
      <w:pBdr>
        <w:right w:val="single" w:sz="8" w:space="0" w:color="auto"/>
      </w:pBdr>
      <w:overflowPunct/>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80">
    <w:name w:val="xl80"/>
    <w:basedOn w:val="Normal"/>
    <w:rsid w:val="00E6335D"/>
    <w:pPr>
      <w:pBdr>
        <w:right w:val="single" w:sz="8" w:space="0" w:color="auto"/>
      </w:pBdr>
      <w:overflowPunct/>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81">
    <w:name w:val="xl81"/>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82">
    <w:name w:val="xl82"/>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83">
    <w:name w:val="xl83"/>
    <w:basedOn w:val="Normal"/>
    <w:rsid w:val="00E6335D"/>
    <w:pPr>
      <w:pBdr>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84">
    <w:name w:val="xl84"/>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b/>
      <w:bCs/>
      <w:sz w:val="18"/>
      <w:szCs w:val="18"/>
    </w:rPr>
  </w:style>
  <w:style w:type="paragraph" w:customStyle="1" w:styleId="xl85">
    <w:name w:val="xl85"/>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b/>
      <w:bCs/>
      <w:sz w:val="18"/>
      <w:szCs w:val="18"/>
    </w:rPr>
  </w:style>
  <w:style w:type="paragraph" w:customStyle="1" w:styleId="xl86">
    <w:name w:val="xl86"/>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b/>
      <w:bCs/>
      <w:sz w:val="18"/>
      <w:szCs w:val="18"/>
    </w:rPr>
  </w:style>
  <w:style w:type="paragraph" w:customStyle="1" w:styleId="xl87">
    <w:name w:val="xl87"/>
    <w:basedOn w:val="Normal"/>
    <w:rsid w:val="00E6335D"/>
    <w:pPr>
      <w:overflowPunct/>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88">
    <w:name w:val="xl88"/>
    <w:basedOn w:val="Normal"/>
    <w:rsid w:val="00E6335D"/>
    <w:pPr>
      <w:pBdr>
        <w:bottom w:val="single" w:sz="8" w:space="0" w:color="auto"/>
      </w:pBdr>
      <w:overflowPunct/>
      <w:autoSpaceDE/>
      <w:autoSpaceDN/>
      <w:adjustRightInd/>
      <w:spacing w:before="100" w:beforeAutospacing="1" w:after="100" w:afterAutospacing="1"/>
      <w:textAlignment w:val="center"/>
    </w:pPr>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590">
      <w:bodyDiv w:val="1"/>
      <w:marLeft w:val="0"/>
      <w:marRight w:val="0"/>
      <w:marTop w:val="0"/>
      <w:marBottom w:val="0"/>
      <w:divBdr>
        <w:top w:val="none" w:sz="0" w:space="0" w:color="auto"/>
        <w:left w:val="none" w:sz="0" w:space="0" w:color="auto"/>
        <w:bottom w:val="none" w:sz="0" w:space="0" w:color="auto"/>
        <w:right w:val="none" w:sz="0" w:space="0" w:color="auto"/>
      </w:divBdr>
    </w:div>
    <w:div w:id="52656895">
      <w:bodyDiv w:val="1"/>
      <w:marLeft w:val="0"/>
      <w:marRight w:val="0"/>
      <w:marTop w:val="0"/>
      <w:marBottom w:val="0"/>
      <w:divBdr>
        <w:top w:val="none" w:sz="0" w:space="0" w:color="auto"/>
        <w:left w:val="none" w:sz="0" w:space="0" w:color="auto"/>
        <w:bottom w:val="none" w:sz="0" w:space="0" w:color="auto"/>
        <w:right w:val="none" w:sz="0" w:space="0" w:color="auto"/>
      </w:divBdr>
    </w:div>
    <w:div w:id="54284934">
      <w:bodyDiv w:val="1"/>
      <w:marLeft w:val="0"/>
      <w:marRight w:val="0"/>
      <w:marTop w:val="0"/>
      <w:marBottom w:val="0"/>
      <w:divBdr>
        <w:top w:val="none" w:sz="0" w:space="0" w:color="auto"/>
        <w:left w:val="none" w:sz="0" w:space="0" w:color="auto"/>
        <w:bottom w:val="none" w:sz="0" w:space="0" w:color="auto"/>
        <w:right w:val="none" w:sz="0" w:space="0" w:color="auto"/>
      </w:divBdr>
    </w:div>
    <w:div w:id="65303568">
      <w:bodyDiv w:val="1"/>
      <w:marLeft w:val="0"/>
      <w:marRight w:val="0"/>
      <w:marTop w:val="0"/>
      <w:marBottom w:val="0"/>
      <w:divBdr>
        <w:top w:val="none" w:sz="0" w:space="0" w:color="auto"/>
        <w:left w:val="none" w:sz="0" w:space="0" w:color="auto"/>
        <w:bottom w:val="none" w:sz="0" w:space="0" w:color="auto"/>
        <w:right w:val="none" w:sz="0" w:space="0" w:color="auto"/>
      </w:divBdr>
    </w:div>
    <w:div w:id="101850507">
      <w:bodyDiv w:val="1"/>
      <w:marLeft w:val="0"/>
      <w:marRight w:val="0"/>
      <w:marTop w:val="0"/>
      <w:marBottom w:val="0"/>
      <w:divBdr>
        <w:top w:val="none" w:sz="0" w:space="0" w:color="auto"/>
        <w:left w:val="none" w:sz="0" w:space="0" w:color="auto"/>
        <w:bottom w:val="none" w:sz="0" w:space="0" w:color="auto"/>
        <w:right w:val="none" w:sz="0" w:space="0" w:color="auto"/>
      </w:divBdr>
    </w:div>
    <w:div w:id="154032778">
      <w:bodyDiv w:val="1"/>
      <w:marLeft w:val="0"/>
      <w:marRight w:val="0"/>
      <w:marTop w:val="0"/>
      <w:marBottom w:val="0"/>
      <w:divBdr>
        <w:top w:val="none" w:sz="0" w:space="0" w:color="auto"/>
        <w:left w:val="none" w:sz="0" w:space="0" w:color="auto"/>
        <w:bottom w:val="none" w:sz="0" w:space="0" w:color="auto"/>
        <w:right w:val="none" w:sz="0" w:space="0" w:color="auto"/>
      </w:divBdr>
    </w:div>
    <w:div w:id="195655307">
      <w:bodyDiv w:val="1"/>
      <w:marLeft w:val="0"/>
      <w:marRight w:val="0"/>
      <w:marTop w:val="0"/>
      <w:marBottom w:val="0"/>
      <w:divBdr>
        <w:top w:val="none" w:sz="0" w:space="0" w:color="auto"/>
        <w:left w:val="none" w:sz="0" w:space="0" w:color="auto"/>
        <w:bottom w:val="none" w:sz="0" w:space="0" w:color="auto"/>
        <w:right w:val="none" w:sz="0" w:space="0" w:color="auto"/>
      </w:divBdr>
    </w:div>
    <w:div w:id="304160064">
      <w:bodyDiv w:val="1"/>
      <w:marLeft w:val="0"/>
      <w:marRight w:val="0"/>
      <w:marTop w:val="0"/>
      <w:marBottom w:val="0"/>
      <w:divBdr>
        <w:top w:val="none" w:sz="0" w:space="0" w:color="auto"/>
        <w:left w:val="none" w:sz="0" w:space="0" w:color="auto"/>
        <w:bottom w:val="none" w:sz="0" w:space="0" w:color="auto"/>
        <w:right w:val="none" w:sz="0" w:space="0" w:color="auto"/>
      </w:divBdr>
    </w:div>
    <w:div w:id="336003739">
      <w:bodyDiv w:val="1"/>
      <w:marLeft w:val="0"/>
      <w:marRight w:val="0"/>
      <w:marTop w:val="0"/>
      <w:marBottom w:val="0"/>
      <w:divBdr>
        <w:top w:val="none" w:sz="0" w:space="0" w:color="auto"/>
        <w:left w:val="none" w:sz="0" w:space="0" w:color="auto"/>
        <w:bottom w:val="none" w:sz="0" w:space="0" w:color="auto"/>
        <w:right w:val="none" w:sz="0" w:space="0" w:color="auto"/>
      </w:divBdr>
    </w:div>
    <w:div w:id="366032454">
      <w:bodyDiv w:val="1"/>
      <w:marLeft w:val="0"/>
      <w:marRight w:val="0"/>
      <w:marTop w:val="0"/>
      <w:marBottom w:val="0"/>
      <w:divBdr>
        <w:top w:val="none" w:sz="0" w:space="0" w:color="auto"/>
        <w:left w:val="none" w:sz="0" w:space="0" w:color="auto"/>
        <w:bottom w:val="none" w:sz="0" w:space="0" w:color="auto"/>
        <w:right w:val="none" w:sz="0" w:space="0" w:color="auto"/>
      </w:divBdr>
    </w:div>
    <w:div w:id="399595101">
      <w:bodyDiv w:val="1"/>
      <w:marLeft w:val="0"/>
      <w:marRight w:val="0"/>
      <w:marTop w:val="0"/>
      <w:marBottom w:val="0"/>
      <w:divBdr>
        <w:top w:val="none" w:sz="0" w:space="0" w:color="auto"/>
        <w:left w:val="none" w:sz="0" w:space="0" w:color="auto"/>
        <w:bottom w:val="none" w:sz="0" w:space="0" w:color="auto"/>
        <w:right w:val="none" w:sz="0" w:space="0" w:color="auto"/>
      </w:divBdr>
    </w:div>
    <w:div w:id="597298864">
      <w:bodyDiv w:val="1"/>
      <w:marLeft w:val="0"/>
      <w:marRight w:val="0"/>
      <w:marTop w:val="0"/>
      <w:marBottom w:val="0"/>
      <w:divBdr>
        <w:top w:val="none" w:sz="0" w:space="0" w:color="auto"/>
        <w:left w:val="none" w:sz="0" w:space="0" w:color="auto"/>
        <w:bottom w:val="none" w:sz="0" w:space="0" w:color="auto"/>
        <w:right w:val="none" w:sz="0" w:space="0" w:color="auto"/>
      </w:divBdr>
    </w:div>
    <w:div w:id="971181024">
      <w:bodyDiv w:val="1"/>
      <w:marLeft w:val="0"/>
      <w:marRight w:val="0"/>
      <w:marTop w:val="0"/>
      <w:marBottom w:val="0"/>
      <w:divBdr>
        <w:top w:val="none" w:sz="0" w:space="0" w:color="auto"/>
        <w:left w:val="none" w:sz="0" w:space="0" w:color="auto"/>
        <w:bottom w:val="none" w:sz="0" w:space="0" w:color="auto"/>
        <w:right w:val="none" w:sz="0" w:space="0" w:color="auto"/>
      </w:divBdr>
    </w:div>
    <w:div w:id="1064644422">
      <w:bodyDiv w:val="1"/>
      <w:marLeft w:val="0"/>
      <w:marRight w:val="0"/>
      <w:marTop w:val="0"/>
      <w:marBottom w:val="0"/>
      <w:divBdr>
        <w:top w:val="none" w:sz="0" w:space="0" w:color="auto"/>
        <w:left w:val="none" w:sz="0" w:space="0" w:color="auto"/>
        <w:bottom w:val="none" w:sz="0" w:space="0" w:color="auto"/>
        <w:right w:val="none" w:sz="0" w:space="0" w:color="auto"/>
      </w:divBdr>
    </w:div>
    <w:div w:id="1323268989">
      <w:bodyDiv w:val="1"/>
      <w:marLeft w:val="0"/>
      <w:marRight w:val="0"/>
      <w:marTop w:val="0"/>
      <w:marBottom w:val="0"/>
      <w:divBdr>
        <w:top w:val="none" w:sz="0" w:space="0" w:color="auto"/>
        <w:left w:val="none" w:sz="0" w:space="0" w:color="auto"/>
        <w:bottom w:val="none" w:sz="0" w:space="0" w:color="auto"/>
        <w:right w:val="none" w:sz="0" w:space="0" w:color="auto"/>
      </w:divBdr>
    </w:div>
    <w:div w:id="1489595649">
      <w:bodyDiv w:val="1"/>
      <w:marLeft w:val="0"/>
      <w:marRight w:val="0"/>
      <w:marTop w:val="0"/>
      <w:marBottom w:val="0"/>
      <w:divBdr>
        <w:top w:val="none" w:sz="0" w:space="0" w:color="auto"/>
        <w:left w:val="none" w:sz="0" w:space="0" w:color="auto"/>
        <w:bottom w:val="none" w:sz="0" w:space="0" w:color="auto"/>
        <w:right w:val="none" w:sz="0" w:space="0" w:color="auto"/>
      </w:divBdr>
    </w:div>
    <w:div w:id="1496871198">
      <w:bodyDiv w:val="1"/>
      <w:marLeft w:val="0"/>
      <w:marRight w:val="0"/>
      <w:marTop w:val="0"/>
      <w:marBottom w:val="0"/>
      <w:divBdr>
        <w:top w:val="none" w:sz="0" w:space="0" w:color="auto"/>
        <w:left w:val="none" w:sz="0" w:space="0" w:color="auto"/>
        <w:bottom w:val="none" w:sz="0" w:space="0" w:color="auto"/>
        <w:right w:val="none" w:sz="0" w:space="0" w:color="auto"/>
      </w:divBdr>
    </w:div>
    <w:div w:id="1707296633">
      <w:bodyDiv w:val="1"/>
      <w:marLeft w:val="0"/>
      <w:marRight w:val="0"/>
      <w:marTop w:val="0"/>
      <w:marBottom w:val="0"/>
      <w:divBdr>
        <w:top w:val="none" w:sz="0" w:space="0" w:color="auto"/>
        <w:left w:val="none" w:sz="0" w:space="0" w:color="auto"/>
        <w:bottom w:val="none" w:sz="0" w:space="0" w:color="auto"/>
        <w:right w:val="none" w:sz="0" w:space="0" w:color="auto"/>
      </w:divBdr>
    </w:div>
    <w:div w:id="1727878993">
      <w:bodyDiv w:val="1"/>
      <w:marLeft w:val="0"/>
      <w:marRight w:val="0"/>
      <w:marTop w:val="0"/>
      <w:marBottom w:val="0"/>
      <w:divBdr>
        <w:top w:val="none" w:sz="0" w:space="0" w:color="auto"/>
        <w:left w:val="none" w:sz="0" w:space="0" w:color="auto"/>
        <w:bottom w:val="none" w:sz="0" w:space="0" w:color="auto"/>
        <w:right w:val="none" w:sz="0" w:space="0" w:color="auto"/>
      </w:divBdr>
    </w:div>
    <w:div w:id="1744448927">
      <w:bodyDiv w:val="1"/>
      <w:marLeft w:val="0"/>
      <w:marRight w:val="0"/>
      <w:marTop w:val="0"/>
      <w:marBottom w:val="0"/>
      <w:divBdr>
        <w:top w:val="none" w:sz="0" w:space="0" w:color="auto"/>
        <w:left w:val="none" w:sz="0" w:space="0" w:color="auto"/>
        <w:bottom w:val="none" w:sz="0" w:space="0" w:color="auto"/>
        <w:right w:val="none" w:sz="0" w:space="0" w:color="auto"/>
      </w:divBdr>
    </w:div>
    <w:div w:id="1794397147">
      <w:bodyDiv w:val="1"/>
      <w:marLeft w:val="0"/>
      <w:marRight w:val="0"/>
      <w:marTop w:val="0"/>
      <w:marBottom w:val="0"/>
      <w:divBdr>
        <w:top w:val="none" w:sz="0" w:space="0" w:color="auto"/>
        <w:left w:val="none" w:sz="0" w:space="0" w:color="auto"/>
        <w:bottom w:val="none" w:sz="0" w:space="0" w:color="auto"/>
        <w:right w:val="none" w:sz="0" w:space="0" w:color="auto"/>
      </w:divBdr>
    </w:div>
    <w:div w:id="1828132419">
      <w:bodyDiv w:val="1"/>
      <w:marLeft w:val="0"/>
      <w:marRight w:val="0"/>
      <w:marTop w:val="0"/>
      <w:marBottom w:val="0"/>
      <w:divBdr>
        <w:top w:val="none" w:sz="0" w:space="0" w:color="auto"/>
        <w:left w:val="none" w:sz="0" w:space="0" w:color="auto"/>
        <w:bottom w:val="none" w:sz="0" w:space="0" w:color="auto"/>
        <w:right w:val="none" w:sz="0" w:space="0" w:color="auto"/>
      </w:divBdr>
    </w:div>
    <w:div w:id="1874609348">
      <w:bodyDiv w:val="1"/>
      <w:marLeft w:val="0"/>
      <w:marRight w:val="0"/>
      <w:marTop w:val="0"/>
      <w:marBottom w:val="0"/>
      <w:divBdr>
        <w:top w:val="none" w:sz="0" w:space="0" w:color="auto"/>
        <w:left w:val="none" w:sz="0" w:space="0" w:color="auto"/>
        <w:bottom w:val="none" w:sz="0" w:space="0" w:color="auto"/>
        <w:right w:val="none" w:sz="0" w:space="0" w:color="auto"/>
      </w:divBdr>
    </w:div>
    <w:div w:id="19312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B14B1-CAD7-4F41-BD40-945ABB0C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king_s</dc:creator>
  <cp:lastModifiedBy>Kincaid, Nora - BLS</cp:lastModifiedBy>
  <cp:revision>2</cp:revision>
  <cp:lastPrinted>2014-06-26T12:36:00Z</cp:lastPrinted>
  <dcterms:created xsi:type="dcterms:W3CDTF">2014-07-02T17:45:00Z</dcterms:created>
  <dcterms:modified xsi:type="dcterms:W3CDTF">2014-07-02T17:45:00Z</dcterms:modified>
</cp:coreProperties>
</file>