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62D29" w14:textId="77777777" w:rsidR="004B0D54" w:rsidRPr="0067662C" w:rsidRDefault="00590CDD" w:rsidP="004B0D54">
      <w:bookmarkStart w:id="0" w:name="_GoBack"/>
      <w:bookmarkEnd w:id="0"/>
      <w:r w:rsidRPr="0067662C">
        <w:t xml:space="preserve">April </w:t>
      </w:r>
      <w:r w:rsidR="00A3771C" w:rsidRPr="0067662C">
        <w:t>28</w:t>
      </w:r>
      <w:r w:rsidRPr="0067662C">
        <w:t>, 201</w:t>
      </w:r>
      <w:r w:rsidR="00A3771C" w:rsidRPr="0067662C">
        <w:t>5</w:t>
      </w:r>
    </w:p>
    <w:p w14:paraId="4B4F8570" w14:textId="77777777" w:rsidR="004B0D54" w:rsidRPr="0067662C" w:rsidRDefault="004B0D54" w:rsidP="004B0D54"/>
    <w:p w14:paraId="44BF0A28" w14:textId="77777777" w:rsidR="004B0D54" w:rsidRPr="0067662C" w:rsidRDefault="004B0D54" w:rsidP="00C54E0F">
      <w:pPr>
        <w:tabs>
          <w:tab w:val="left" w:pos="3600"/>
        </w:tabs>
      </w:pPr>
      <w:r w:rsidRPr="0067662C">
        <w:t>MEMORANDUM FOR:</w:t>
      </w:r>
      <w:r w:rsidRPr="0067662C">
        <w:tab/>
      </w:r>
      <w:r w:rsidR="00C54E0F" w:rsidRPr="0067662C">
        <w:t>Reviewer of 1220-0050</w:t>
      </w:r>
    </w:p>
    <w:p w14:paraId="6FF56CA8" w14:textId="77777777" w:rsidR="00C54E0F" w:rsidRPr="0067662C" w:rsidRDefault="00C54E0F" w:rsidP="00C54E0F">
      <w:pPr>
        <w:tabs>
          <w:tab w:val="left" w:pos="3600"/>
        </w:tabs>
      </w:pPr>
    </w:p>
    <w:p w14:paraId="355657DA" w14:textId="77777777" w:rsidR="004B0D54" w:rsidRPr="0067662C" w:rsidRDefault="004B0D54" w:rsidP="004B0D54">
      <w:pPr>
        <w:tabs>
          <w:tab w:val="left" w:pos="3600"/>
        </w:tabs>
        <w:outlineLvl w:val="0"/>
      </w:pPr>
      <w:r w:rsidRPr="0067662C">
        <w:t>FROM:</w:t>
      </w:r>
      <w:r w:rsidRPr="0067662C">
        <w:tab/>
      </w:r>
      <w:r w:rsidR="00D30818" w:rsidRPr="0067662C">
        <w:t>JAY RYAN</w:t>
      </w:r>
      <w:r w:rsidRPr="0067662C">
        <w:t>, Chief</w:t>
      </w:r>
    </w:p>
    <w:p w14:paraId="4C75128C" w14:textId="77777777" w:rsidR="004B0D54" w:rsidRPr="0067662C" w:rsidRDefault="004B0D54" w:rsidP="004B0D54">
      <w:pPr>
        <w:tabs>
          <w:tab w:val="left" w:pos="3600"/>
        </w:tabs>
        <w:ind w:firstLine="720"/>
        <w:outlineLvl w:val="0"/>
      </w:pPr>
      <w:r w:rsidRPr="0067662C">
        <w:tab/>
        <w:t xml:space="preserve">Division of Consumer Expenditure </w:t>
      </w:r>
      <w:r w:rsidR="00C62228" w:rsidRPr="0067662C">
        <w:t xml:space="preserve">(CE) </w:t>
      </w:r>
      <w:r w:rsidRPr="0067662C">
        <w:t>Survey</w:t>
      </w:r>
      <w:r w:rsidR="00C62228" w:rsidRPr="0067662C">
        <w:t>s</w:t>
      </w:r>
    </w:p>
    <w:p w14:paraId="42556238" w14:textId="77777777" w:rsidR="004B0D54" w:rsidRPr="0067662C" w:rsidRDefault="004B0D54" w:rsidP="004B0D54">
      <w:pPr>
        <w:tabs>
          <w:tab w:val="left" w:pos="3600"/>
        </w:tabs>
        <w:ind w:firstLine="720"/>
        <w:outlineLvl w:val="0"/>
      </w:pPr>
      <w:r w:rsidRPr="0067662C">
        <w:tab/>
        <w:t>Bureau of Labor Statistics</w:t>
      </w:r>
    </w:p>
    <w:p w14:paraId="60A5E49F" w14:textId="77777777" w:rsidR="00476344" w:rsidRPr="0067662C" w:rsidRDefault="00476344" w:rsidP="00476344">
      <w:pPr>
        <w:ind w:left="3600" w:hanging="3600"/>
        <w:rPr>
          <w:szCs w:val="22"/>
        </w:rPr>
      </w:pPr>
      <w:r w:rsidRPr="0067662C">
        <w:rPr>
          <w:szCs w:val="22"/>
        </w:rPr>
        <w:tab/>
      </w:r>
    </w:p>
    <w:p w14:paraId="57407F47" w14:textId="77777777" w:rsidR="0037284C" w:rsidRPr="0067662C" w:rsidRDefault="00476344" w:rsidP="005A0AC0">
      <w:pPr>
        <w:ind w:left="3600" w:hanging="3600"/>
      </w:pPr>
      <w:r w:rsidRPr="0067662C">
        <w:rPr>
          <w:szCs w:val="22"/>
        </w:rPr>
        <w:t>SUBJECT:</w:t>
      </w:r>
      <w:r w:rsidRPr="0067662C">
        <w:rPr>
          <w:szCs w:val="22"/>
        </w:rPr>
        <w:tab/>
      </w:r>
      <w:r w:rsidR="005A0AC0" w:rsidRPr="0067662C">
        <w:t xml:space="preserve">Non-substantive Change Request for the </w:t>
      </w:r>
    </w:p>
    <w:p w14:paraId="605FA6A0" w14:textId="77777777" w:rsidR="001E1366" w:rsidRPr="0067662C" w:rsidRDefault="005A3C52" w:rsidP="00252451">
      <w:pPr>
        <w:ind w:left="3600"/>
      </w:pPr>
      <w:r>
        <w:t>Consumer Expenditure</w:t>
      </w:r>
      <w:r w:rsidR="00AD07A9" w:rsidRPr="0067662C">
        <w:t xml:space="preserve"> </w:t>
      </w:r>
      <w:r w:rsidR="005A0AC0" w:rsidRPr="0067662C">
        <w:t>Survey</w:t>
      </w:r>
      <w:r>
        <w:t>s</w:t>
      </w:r>
      <w:r w:rsidR="005A0AC0" w:rsidRPr="0067662C">
        <w:t xml:space="preserve"> (CE</w:t>
      </w:r>
      <w:r>
        <w:t>X</w:t>
      </w:r>
      <w:r w:rsidR="005A0AC0" w:rsidRPr="0067662C">
        <w:t xml:space="preserve">) – </w:t>
      </w:r>
      <w:r w:rsidR="00A3771C" w:rsidRPr="0067662C">
        <w:t>Proof of Concept test</w:t>
      </w:r>
    </w:p>
    <w:p w14:paraId="50882E2D" w14:textId="77777777" w:rsidR="007B4D0F" w:rsidRPr="0067662C" w:rsidRDefault="007B4D0F" w:rsidP="00891C9D"/>
    <w:p w14:paraId="13605D53" w14:textId="77777777" w:rsidR="00AD0708" w:rsidRPr="0067662C" w:rsidRDefault="00AD0708" w:rsidP="007B4D0F">
      <w:pPr>
        <w:autoSpaceDE w:val="0"/>
        <w:autoSpaceDN w:val="0"/>
        <w:adjustRightInd w:val="0"/>
      </w:pPr>
    </w:p>
    <w:p w14:paraId="72E8FEFC" w14:textId="1B40DF93" w:rsidR="000729B4" w:rsidRPr="0067662C" w:rsidRDefault="00AD0708" w:rsidP="000729B4">
      <w:pPr>
        <w:autoSpaceDE w:val="0"/>
        <w:autoSpaceDN w:val="0"/>
        <w:adjustRightInd w:val="0"/>
      </w:pPr>
      <w:r w:rsidRPr="0067662C">
        <w:t xml:space="preserve">CE is involved </w:t>
      </w:r>
      <w:r w:rsidR="000729B4" w:rsidRPr="0067662C">
        <w:t xml:space="preserve">in an ongoing effort to improve </w:t>
      </w:r>
      <w:r w:rsidRPr="0067662C">
        <w:t>data quality, maintain or increase response rates, and re</w:t>
      </w:r>
      <w:r w:rsidR="000729B4" w:rsidRPr="0067662C">
        <w:t xml:space="preserve">duce data collection costs.  To further this effort, as specified in the </w:t>
      </w:r>
      <w:r w:rsidR="00A3771C" w:rsidRPr="0067662C">
        <w:t xml:space="preserve">2015 </w:t>
      </w:r>
      <w:r w:rsidR="000729B4" w:rsidRPr="0067662C">
        <w:t xml:space="preserve">CE clearance package, CE plans to field </w:t>
      </w:r>
      <w:r w:rsidR="00A3771C" w:rsidRPr="0067662C">
        <w:t>a Proof of Concept test for a redesign of the CE surveys</w:t>
      </w:r>
      <w:r w:rsidR="00A3771C" w:rsidRPr="0067662C" w:rsidDel="00A3771C">
        <w:t xml:space="preserve"> </w:t>
      </w:r>
    </w:p>
    <w:p w14:paraId="6F8AEE79" w14:textId="77777777" w:rsidR="00A3771C" w:rsidRPr="0067662C" w:rsidRDefault="00A3771C" w:rsidP="00A3771C"/>
    <w:p w14:paraId="3FEB8B92" w14:textId="77777777" w:rsidR="00A3771C" w:rsidRPr="0067662C" w:rsidRDefault="00A3771C" w:rsidP="00A3771C">
      <w:r w:rsidRPr="0067662C">
        <w:t xml:space="preserve">The objective of the redesign is to improve the quality of the survey estimates through a verifiable reduction in measurement error while improving or maintaining response rates and with no increase in budget.  A proof-of-concept test will be fielded to ensure that the basic underlying structure and components of the new design are feasible.  </w:t>
      </w:r>
    </w:p>
    <w:p w14:paraId="4A56445E" w14:textId="77777777" w:rsidR="00A3771C" w:rsidRPr="0067662C" w:rsidRDefault="00A3771C" w:rsidP="00A3771C"/>
    <w:p w14:paraId="6A89AC4D" w14:textId="77777777" w:rsidR="00A3771C" w:rsidRPr="0067662C" w:rsidRDefault="00A3771C" w:rsidP="00A3771C">
      <w:pPr>
        <w:autoSpaceDE w:val="0"/>
        <w:autoSpaceDN w:val="0"/>
        <w:adjustRightInd w:val="0"/>
      </w:pPr>
      <w:r w:rsidRPr="0067662C">
        <w:t xml:space="preserve">The proof-of-concept test will mirror the first wave of the proposed redesign.  This will consist of a Visit 1 recall interview that includes the collection of household roster and recall expense questions for five sections of the current CE Interview; instructions on collection of records for the Visit 2 interview; an introduction to the Diary-keeping week and training of individuals on how to complete the web or paper diary; a Visit 2 interview consisting of a review of the individual diaries, collection of an additional 11 sections of </w:t>
      </w:r>
      <w:proofErr w:type="gramStart"/>
      <w:r w:rsidRPr="0067662C">
        <w:t>the</w:t>
      </w:r>
      <w:proofErr w:type="gramEnd"/>
      <w:r w:rsidRPr="0067662C">
        <w:t xml:space="preserve"> CEQ, relying heavily on the records that the FR instructed the respondent to gather during the Visit 1 interview; and a respondent debriefing of the Visit 1, Diary week, and Visit 2 processes.  Additionally, the design will use incentives in order to motivate respondents; this is expected to result in a reduction in the number of required contact attempts.  (See Attachment A – Proof of Concept Overview.) </w:t>
      </w:r>
    </w:p>
    <w:p w14:paraId="6698DE0C" w14:textId="77777777" w:rsidR="00252451" w:rsidRPr="0067662C" w:rsidRDefault="00252451" w:rsidP="00252451">
      <w:pPr>
        <w:autoSpaceDE w:val="0"/>
        <w:autoSpaceDN w:val="0"/>
        <w:adjustRightInd w:val="0"/>
      </w:pPr>
    </w:p>
    <w:p w14:paraId="118B5D36" w14:textId="3E40164A" w:rsidR="00CF08AF" w:rsidRDefault="0067662C" w:rsidP="0067662C">
      <w:r w:rsidRPr="0067662C">
        <w:t>The expected starting sample size for this study is 1,200 cases, the study should yield 450 complete cases.  BLS estimates that this study will require approximately 1,</w:t>
      </w:r>
      <w:r w:rsidR="00F35723">
        <w:t>3</w:t>
      </w:r>
      <w:r w:rsidRPr="0067662C">
        <w:t xml:space="preserve">13 burden hours.  The field period is scheduled for three months beginning in July 2015.   </w:t>
      </w:r>
      <w:r w:rsidR="00CF08AF" w:rsidRPr="0067662C">
        <w:t xml:space="preserve">We base this estimate </w:t>
      </w:r>
      <w:r w:rsidRPr="0067662C">
        <w:t>on the below</w:t>
      </w:r>
      <w:r w:rsidR="00CF08AF" w:rsidRPr="0067662C">
        <w:t xml:space="preserve"> assumptions</w:t>
      </w:r>
      <w:r w:rsidRPr="0067662C">
        <w:t>.</w:t>
      </w:r>
    </w:p>
    <w:p w14:paraId="2A8394D8" w14:textId="77777777" w:rsidR="00CF08AF" w:rsidRPr="00673A2C" w:rsidRDefault="00CF08AF" w:rsidP="0067662C">
      <w:pPr>
        <w:tabs>
          <w:tab w:val="left" w:pos="1530"/>
        </w:tabs>
        <w:autoSpaceDE w:val="0"/>
        <w:autoSpaceDN w:val="0"/>
        <w:adjustRightInd w:val="0"/>
      </w:pPr>
    </w:p>
    <w:p w14:paraId="6AE38D77" w14:textId="77777777" w:rsidR="006C4062" w:rsidRPr="005354BC" w:rsidRDefault="006C4062" w:rsidP="006C4062">
      <w:pPr>
        <w:spacing w:before="120" w:line="360" w:lineRule="auto"/>
      </w:pPr>
    </w:p>
    <w:tbl>
      <w:tblPr>
        <w:tblW w:w="9175" w:type="dxa"/>
        <w:tblLook w:val="04A0" w:firstRow="1" w:lastRow="0" w:firstColumn="1" w:lastColumn="0" w:noHBand="0" w:noVBand="1"/>
      </w:tblPr>
      <w:tblGrid>
        <w:gridCol w:w="5850"/>
        <w:gridCol w:w="960"/>
        <w:gridCol w:w="977"/>
        <w:gridCol w:w="1388"/>
      </w:tblGrid>
      <w:tr w:rsidR="006C4062" w:rsidRPr="00673A2C" w14:paraId="41184FDB" w14:textId="77777777" w:rsidTr="002D40A2">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6EE37" w14:textId="77777777" w:rsidR="006C4062" w:rsidRPr="00673A2C" w:rsidRDefault="006C4062" w:rsidP="002D40A2">
            <w:pPr>
              <w:spacing w:before="120" w:line="360" w:lineRule="auto"/>
              <w:rPr>
                <w:color w:val="000000"/>
              </w:rPr>
            </w:pPr>
            <w:r w:rsidRPr="00673A2C">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2DD81AF" w14:textId="77777777" w:rsidR="006C4062" w:rsidRPr="00673A2C" w:rsidRDefault="006C4062" w:rsidP="002D40A2">
            <w:pPr>
              <w:spacing w:before="120" w:line="360" w:lineRule="auto"/>
              <w:jc w:val="center"/>
              <w:rPr>
                <w:b/>
                <w:bCs/>
                <w:color w:val="000000"/>
              </w:rPr>
            </w:pPr>
            <w:proofErr w:type="spellStart"/>
            <w:r w:rsidRPr="00673A2C">
              <w:rPr>
                <w:b/>
                <w:bCs/>
                <w:color w:val="000000"/>
              </w:rPr>
              <w:t>Mins</w:t>
            </w:r>
            <w:proofErr w:type="spellEnd"/>
            <w:r w:rsidRPr="00673A2C">
              <w:rPr>
                <w:b/>
                <w:bCs/>
                <w:color w:val="000000"/>
              </w:rPr>
              <w:t>.</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6C4D7EA" w14:textId="77777777" w:rsidR="006C4062" w:rsidRPr="00673A2C" w:rsidRDefault="006C4062" w:rsidP="002D40A2">
            <w:pPr>
              <w:spacing w:before="120" w:line="360" w:lineRule="auto"/>
              <w:jc w:val="center"/>
              <w:rPr>
                <w:b/>
                <w:bCs/>
                <w:color w:val="000000"/>
              </w:rPr>
            </w:pPr>
            <w:r w:rsidRPr="00673A2C">
              <w:rPr>
                <w:b/>
                <w:bCs/>
                <w:color w:val="000000"/>
              </w:rPr>
              <w:t>Sample</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689BEE78" w14:textId="77777777" w:rsidR="006C4062" w:rsidRPr="00673A2C" w:rsidRDefault="006C4062" w:rsidP="002D40A2">
            <w:pPr>
              <w:spacing w:before="120" w:line="360" w:lineRule="auto"/>
              <w:jc w:val="center"/>
              <w:rPr>
                <w:b/>
                <w:bCs/>
                <w:color w:val="000000"/>
              </w:rPr>
            </w:pPr>
            <w:r w:rsidRPr="00673A2C">
              <w:rPr>
                <w:b/>
                <w:bCs/>
                <w:color w:val="000000"/>
              </w:rPr>
              <w:t>Total Hours</w:t>
            </w:r>
          </w:p>
        </w:tc>
      </w:tr>
      <w:tr w:rsidR="006C4062" w:rsidRPr="00673A2C" w14:paraId="1C42BA40" w14:textId="77777777" w:rsidTr="002D40A2">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14:paraId="5CBC4B5D" w14:textId="77777777" w:rsidR="006C4062" w:rsidRPr="00673A2C" w:rsidRDefault="006C4062" w:rsidP="002D40A2">
            <w:pPr>
              <w:spacing w:before="120" w:line="360" w:lineRule="auto"/>
              <w:rPr>
                <w:color w:val="000000"/>
              </w:rPr>
            </w:pPr>
            <w:r w:rsidRPr="00673A2C">
              <w:rPr>
                <w:color w:val="000000"/>
              </w:rPr>
              <w:lastRenderedPageBreak/>
              <w:t xml:space="preserve">Estimated time to complete </w:t>
            </w:r>
            <w:r>
              <w:rPr>
                <w:color w:val="000000"/>
              </w:rPr>
              <w:t xml:space="preserve">Visit 1 interview </w:t>
            </w:r>
            <w:r w:rsidRPr="00673A2C">
              <w:rPr>
                <w:color w:val="000000"/>
              </w:rPr>
              <w:t xml:space="preserve"> (</w:t>
            </w:r>
            <w:r>
              <w:rPr>
                <w:color w:val="000000"/>
              </w:rPr>
              <w:t>incl. diary placement and records training</w:t>
            </w:r>
            <w:r w:rsidRPr="00673A2C">
              <w:rPr>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3EA42193" w14:textId="77777777" w:rsidR="006C4062" w:rsidRPr="00673A2C" w:rsidRDefault="006C4062" w:rsidP="002D40A2">
            <w:pPr>
              <w:spacing w:before="120" w:line="360" w:lineRule="auto"/>
              <w:jc w:val="center"/>
              <w:rPr>
                <w:color w:val="000000"/>
              </w:rPr>
            </w:pPr>
            <w:r>
              <w:rPr>
                <w:color w:val="000000"/>
              </w:rPr>
              <w:t>45</w:t>
            </w:r>
          </w:p>
        </w:tc>
        <w:tc>
          <w:tcPr>
            <w:tcW w:w="977" w:type="dxa"/>
            <w:tcBorders>
              <w:top w:val="nil"/>
              <w:left w:val="nil"/>
              <w:bottom w:val="single" w:sz="4" w:space="0" w:color="auto"/>
              <w:right w:val="single" w:sz="4" w:space="0" w:color="auto"/>
            </w:tcBorders>
            <w:shd w:val="clear" w:color="auto" w:fill="auto"/>
            <w:noWrap/>
            <w:vAlign w:val="center"/>
            <w:hideMark/>
          </w:tcPr>
          <w:p w14:paraId="39A8E8BB" w14:textId="77777777" w:rsidR="006C4062" w:rsidRPr="00673A2C" w:rsidRDefault="006C4062" w:rsidP="002D40A2">
            <w:pPr>
              <w:spacing w:before="120" w:line="360" w:lineRule="auto"/>
              <w:jc w:val="center"/>
              <w:rPr>
                <w:color w:val="000000"/>
              </w:rPr>
            </w:pPr>
            <w:r>
              <w:rPr>
                <w:color w:val="000000"/>
              </w:rPr>
              <w:t>450</w:t>
            </w:r>
          </w:p>
        </w:tc>
        <w:tc>
          <w:tcPr>
            <w:tcW w:w="1388" w:type="dxa"/>
            <w:tcBorders>
              <w:top w:val="nil"/>
              <w:left w:val="nil"/>
              <w:bottom w:val="single" w:sz="4" w:space="0" w:color="auto"/>
              <w:right w:val="single" w:sz="4" w:space="0" w:color="auto"/>
            </w:tcBorders>
            <w:shd w:val="clear" w:color="auto" w:fill="auto"/>
            <w:noWrap/>
            <w:vAlign w:val="center"/>
            <w:hideMark/>
          </w:tcPr>
          <w:p w14:paraId="1FF53018" w14:textId="77777777" w:rsidR="006C4062" w:rsidRPr="00673A2C" w:rsidRDefault="006C4062" w:rsidP="002D40A2">
            <w:pPr>
              <w:spacing w:before="120" w:line="360" w:lineRule="auto"/>
              <w:jc w:val="center"/>
              <w:rPr>
                <w:color w:val="000000"/>
              </w:rPr>
            </w:pPr>
            <w:r>
              <w:rPr>
                <w:color w:val="000000"/>
              </w:rPr>
              <w:t>338</w:t>
            </w:r>
          </w:p>
        </w:tc>
      </w:tr>
      <w:tr w:rsidR="006C4062" w:rsidRPr="00673A2C" w14:paraId="4AF7DB78" w14:textId="77777777" w:rsidTr="002D40A2">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14:paraId="46EFDF33" w14:textId="77777777" w:rsidR="006C4062" w:rsidRPr="00673A2C" w:rsidRDefault="006C4062" w:rsidP="002D40A2">
            <w:pPr>
              <w:spacing w:before="120" w:line="360" w:lineRule="auto"/>
              <w:rPr>
                <w:color w:val="000000"/>
              </w:rPr>
            </w:pPr>
            <w:r w:rsidRPr="00673A2C">
              <w:rPr>
                <w:color w:val="000000"/>
              </w:rPr>
              <w:t>Estimated time to complete diary (</w:t>
            </w:r>
            <w:r>
              <w:rPr>
                <w:color w:val="000000"/>
              </w:rPr>
              <w:t>one</w:t>
            </w:r>
            <w:r w:rsidRPr="00673A2C">
              <w:rPr>
                <w:color w:val="000000"/>
              </w:rPr>
              <w:t xml:space="preserve"> week)</w:t>
            </w:r>
            <w:r>
              <w:rPr>
                <w:color w:val="000000"/>
              </w:rPr>
              <w:t xml:space="preserve"> per member</w:t>
            </w:r>
          </w:p>
        </w:tc>
        <w:tc>
          <w:tcPr>
            <w:tcW w:w="960" w:type="dxa"/>
            <w:tcBorders>
              <w:top w:val="nil"/>
              <w:left w:val="nil"/>
              <w:bottom w:val="single" w:sz="4" w:space="0" w:color="auto"/>
              <w:right w:val="single" w:sz="4" w:space="0" w:color="auto"/>
            </w:tcBorders>
            <w:shd w:val="clear" w:color="auto" w:fill="auto"/>
            <w:noWrap/>
            <w:vAlign w:val="center"/>
            <w:hideMark/>
          </w:tcPr>
          <w:p w14:paraId="7B5278F9" w14:textId="0CCF80C2" w:rsidR="006C4062" w:rsidRPr="00673A2C" w:rsidRDefault="00F35723" w:rsidP="002D40A2">
            <w:pPr>
              <w:spacing w:before="120" w:line="360" w:lineRule="auto"/>
              <w:jc w:val="center"/>
              <w:rPr>
                <w:color w:val="000000"/>
              </w:rPr>
            </w:pPr>
            <w:r>
              <w:rPr>
                <w:color w:val="000000"/>
              </w:rPr>
              <w:t>4</w:t>
            </w:r>
            <w:r w:rsidR="006C4062">
              <w:rPr>
                <w:color w:val="000000"/>
              </w:rPr>
              <w:t>0</w:t>
            </w:r>
            <w:r w:rsidR="006C4062">
              <w:rPr>
                <w:rStyle w:val="FootnoteReference"/>
                <w:color w:val="000000"/>
              </w:rPr>
              <w:footnoteReference w:id="1"/>
            </w:r>
          </w:p>
        </w:tc>
        <w:tc>
          <w:tcPr>
            <w:tcW w:w="977" w:type="dxa"/>
            <w:tcBorders>
              <w:top w:val="nil"/>
              <w:left w:val="nil"/>
              <w:bottom w:val="single" w:sz="4" w:space="0" w:color="auto"/>
              <w:right w:val="single" w:sz="4" w:space="0" w:color="auto"/>
            </w:tcBorders>
            <w:shd w:val="clear" w:color="auto" w:fill="auto"/>
            <w:noWrap/>
            <w:vAlign w:val="center"/>
            <w:hideMark/>
          </w:tcPr>
          <w:p w14:paraId="25F7D34F" w14:textId="77777777" w:rsidR="006C4062" w:rsidRPr="00673A2C" w:rsidRDefault="006C4062" w:rsidP="002D40A2">
            <w:pPr>
              <w:spacing w:before="120" w:line="360" w:lineRule="auto"/>
              <w:jc w:val="center"/>
              <w:rPr>
                <w:color w:val="000000"/>
              </w:rPr>
            </w:pPr>
            <w:r>
              <w:rPr>
                <w:color w:val="000000"/>
              </w:rPr>
              <w:t>900</w:t>
            </w:r>
            <w:r>
              <w:rPr>
                <w:rStyle w:val="FootnoteReference"/>
                <w:color w:val="000000"/>
              </w:rPr>
              <w:footnoteReference w:id="2"/>
            </w:r>
          </w:p>
        </w:tc>
        <w:tc>
          <w:tcPr>
            <w:tcW w:w="1388" w:type="dxa"/>
            <w:tcBorders>
              <w:top w:val="nil"/>
              <w:left w:val="nil"/>
              <w:bottom w:val="single" w:sz="4" w:space="0" w:color="auto"/>
              <w:right w:val="single" w:sz="4" w:space="0" w:color="auto"/>
            </w:tcBorders>
            <w:shd w:val="clear" w:color="auto" w:fill="auto"/>
            <w:noWrap/>
            <w:vAlign w:val="center"/>
            <w:hideMark/>
          </w:tcPr>
          <w:p w14:paraId="2F723213" w14:textId="6E6063CA" w:rsidR="006C4062" w:rsidRPr="00673A2C" w:rsidRDefault="00F35723" w:rsidP="002D40A2">
            <w:pPr>
              <w:spacing w:before="120" w:line="360" w:lineRule="auto"/>
              <w:jc w:val="center"/>
              <w:rPr>
                <w:color w:val="000000"/>
              </w:rPr>
            </w:pPr>
            <w:r>
              <w:rPr>
                <w:color w:val="000000"/>
              </w:rPr>
              <w:t>6</w:t>
            </w:r>
            <w:r w:rsidR="006C4062">
              <w:rPr>
                <w:color w:val="000000"/>
              </w:rPr>
              <w:t>00</w:t>
            </w:r>
          </w:p>
        </w:tc>
      </w:tr>
      <w:tr w:rsidR="006C4062" w:rsidRPr="00673A2C" w14:paraId="4348677E" w14:textId="77777777" w:rsidTr="002D40A2">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tcPr>
          <w:p w14:paraId="21AB58E5" w14:textId="77777777" w:rsidR="006C4062" w:rsidRPr="00673A2C" w:rsidRDefault="006C4062" w:rsidP="002D40A2">
            <w:pPr>
              <w:spacing w:before="120" w:line="360" w:lineRule="auto"/>
              <w:rPr>
                <w:color w:val="000000"/>
              </w:rPr>
            </w:pPr>
            <w:r>
              <w:rPr>
                <w:color w:val="000000"/>
              </w:rPr>
              <w:t xml:space="preserve">Estimated time to complete Visit 2 interview (incl. diary review and respondent debriefing) </w:t>
            </w:r>
          </w:p>
        </w:tc>
        <w:tc>
          <w:tcPr>
            <w:tcW w:w="960" w:type="dxa"/>
            <w:tcBorders>
              <w:top w:val="nil"/>
              <w:left w:val="nil"/>
              <w:bottom w:val="single" w:sz="4" w:space="0" w:color="auto"/>
              <w:right w:val="single" w:sz="4" w:space="0" w:color="auto"/>
            </w:tcBorders>
            <w:shd w:val="clear" w:color="auto" w:fill="auto"/>
            <w:noWrap/>
            <w:vAlign w:val="center"/>
          </w:tcPr>
          <w:p w14:paraId="457E1BEA" w14:textId="77777777" w:rsidR="006C4062" w:rsidRPr="00673A2C" w:rsidRDefault="006C4062" w:rsidP="002D40A2">
            <w:pPr>
              <w:spacing w:before="120" w:line="360" w:lineRule="auto"/>
              <w:jc w:val="center"/>
              <w:rPr>
                <w:color w:val="000000"/>
              </w:rPr>
            </w:pPr>
            <w:r>
              <w:rPr>
                <w:color w:val="000000"/>
              </w:rPr>
              <w:t>50</w:t>
            </w:r>
          </w:p>
        </w:tc>
        <w:tc>
          <w:tcPr>
            <w:tcW w:w="977" w:type="dxa"/>
            <w:tcBorders>
              <w:top w:val="nil"/>
              <w:left w:val="nil"/>
              <w:bottom w:val="single" w:sz="4" w:space="0" w:color="auto"/>
              <w:right w:val="single" w:sz="4" w:space="0" w:color="auto"/>
            </w:tcBorders>
            <w:shd w:val="clear" w:color="auto" w:fill="auto"/>
            <w:noWrap/>
            <w:vAlign w:val="center"/>
          </w:tcPr>
          <w:p w14:paraId="1201A7DE" w14:textId="77777777" w:rsidR="006C4062" w:rsidRPr="00673A2C" w:rsidRDefault="006C4062" w:rsidP="002D40A2">
            <w:pPr>
              <w:spacing w:before="120" w:line="360" w:lineRule="auto"/>
              <w:jc w:val="center"/>
              <w:rPr>
                <w:color w:val="000000"/>
              </w:rPr>
            </w:pPr>
            <w:r>
              <w:rPr>
                <w:color w:val="000000"/>
              </w:rPr>
              <w:t>450</w:t>
            </w:r>
          </w:p>
        </w:tc>
        <w:tc>
          <w:tcPr>
            <w:tcW w:w="1388" w:type="dxa"/>
            <w:tcBorders>
              <w:top w:val="nil"/>
              <w:left w:val="nil"/>
              <w:bottom w:val="single" w:sz="4" w:space="0" w:color="auto"/>
              <w:right w:val="single" w:sz="4" w:space="0" w:color="auto"/>
            </w:tcBorders>
            <w:shd w:val="clear" w:color="auto" w:fill="auto"/>
            <w:noWrap/>
            <w:vAlign w:val="center"/>
          </w:tcPr>
          <w:p w14:paraId="6491AA8A" w14:textId="77777777" w:rsidR="006C4062" w:rsidRPr="00673A2C" w:rsidRDefault="006C4062" w:rsidP="002D40A2">
            <w:pPr>
              <w:spacing w:before="120" w:line="360" w:lineRule="auto"/>
              <w:jc w:val="center"/>
              <w:rPr>
                <w:color w:val="000000"/>
              </w:rPr>
            </w:pPr>
            <w:r>
              <w:rPr>
                <w:color w:val="000000"/>
              </w:rPr>
              <w:t>375</w:t>
            </w:r>
          </w:p>
        </w:tc>
      </w:tr>
      <w:tr w:rsidR="006C4062" w:rsidRPr="00673A2C" w14:paraId="2B3C45AA" w14:textId="77777777" w:rsidTr="002D40A2">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14:paraId="4BB7342D" w14:textId="77777777" w:rsidR="006C4062" w:rsidRPr="00673A2C" w:rsidRDefault="006C4062" w:rsidP="002D40A2">
            <w:pPr>
              <w:spacing w:before="120" w:line="360" w:lineRule="auto"/>
              <w:rPr>
                <w:color w:val="000000"/>
              </w:rPr>
            </w:pPr>
            <w:r w:rsidRPr="00673A2C">
              <w:rPr>
                <w:color w:val="000000"/>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4E596F4C" w14:textId="77777777" w:rsidR="006C4062" w:rsidRPr="00673A2C" w:rsidRDefault="006C4062" w:rsidP="002D40A2">
            <w:pPr>
              <w:spacing w:before="120" w:line="360" w:lineRule="auto"/>
              <w:jc w:val="center"/>
              <w:rPr>
                <w:color w:val="000000"/>
              </w:rPr>
            </w:pPr>
          </w:p>
        </w:tc>
        <w:tc>
          <w:tcPr>
            <w:tcW w:w="977" w:type="dxa"/>
            <w:tcBorders>
              <w:top w:val="nil"/>
              <w:left w:val="nil"/>
              <w:bottom w:val="single" w:sz="4" w:space="0" w:color="auto"/>
              <w:right w:val="single" w:sz="4" w:space="0" w:color="auto"/>
            </w:tcBorders>
            <w:shd w:val="clear" w:color="auto" w:fill="auto"/>
            <w:noWrap/>
            <w:vAlign w:val="bottom"/>
            <w:hideMark/>
          </w:tcPr>
          <w:p w14:paraId="580FA55A" w14:textId="77777777" w:rsidR="006C4062" w:rsidRPr="00673A2C" w:rsidRDefault="006C4062" w:rsidP="002D40A2">
            <w:pPr>
              <w:spacing w:before="120" w:line="360" w:lineRule="auto"/>
              <w:jc w:val="center"/>
              <w:rPr>
                <w:color w:val="000000"/>
              </w:rPr>
            </w:pPr>
          </w:p>
        </w:tc>
        <w:tc>
          <w:tcPr>
            <w:tcW w:w="1388" w:type="dxa"/>
            <w:tcBorders>
              <w:top w:val="nil"/>
              <w:left w:val="nil"/>
              <w:bottom w:val="single" w:sz="4" w:space="0" w:color="auto"/>
              <w:right w:val="single" w:sz="4" w:space="0" w:color="auto"/>
            </w:tcBorders>
            <w:shd w:val="clear" w:color="auto" w:fill="auto"/>
            <w:noWrap/>
            <w:vAlign w:val="bottom"/>
            <w:hideMark/>
          </w:tcPr>
          <w:p w14:paraId="6B47595D" w14:textId="166DD1C7" w:rsidR="006C4062" w:rsidRPr="00673A2C" w:rsidRDefault="00F35723" w:rsidP="002D40A2">
            <w:pPr>
              <w:spacing w:before="120" w:line="360" w:lineRule="auto"/>
              <w:jc w:val="center"/>
              <w:rPr>
                <w:color w:val="000000"/>
              </w:rPr>
            </w:pPr>
            <w:r>
              <w:rPr>
                <w:color w:val="000000"/>
              </w:rPr>
              <w:t>1,3</w:t>
            </w:r>
            <w:r w:rsidR="006C4062">
              <w:rPr>
                <w:color w:val="000000"/>
              </w:rPr>
              <w:t>13</w:t>
            </w:r>
          </w:p>
        </w:tc>
      </w:tr>
    </w:tbl>
    <w:p w14:paraId="42494E6B" w14:textId="77777777" w:rsidR="006C4062" w:rsidRPr="005354BC" w:rsidRDefault="006C4062" w:rsidP="006C4062">
      <w:pPr>
        <w:spacing w:before="120" w:line="360" w:lineRule="auto"/>
      </w:pPr>
    </w:p>
    <w:p w14:paraId="3759AEC2" w14:textId="77777777" w:rsidR="00891C9D" w:rsidRDefault="00891C9D" w:rsidP="00891C9D">
      <w:r>
        <w:t xml:space="preserve">Current OMB approval of the CE surveys is scheduled to expire </w:t>
      </w:r>
      <w:r w:rsidR="00A3771C">
        <w:t xml:space="preserve">December </w:t>
      </w:r>
      <w:r w:rsidR="00252451">
        <w:t>31</w:t>
      </w:r>
      <w:r w:rsidR="00DE54B6">
        <w:t>, 201</w:t>
      </w:r>
      <w:r w:rsidR="00A3771C">
        <w:t>7</w:t>
      </w:r>
      <w:r>
        <w:t>.</w:t>
      </w:r>
    </w:p>
    <w:p w14:paraId="06922910" w14:textId="77777777" w:rsidR="00891C9D" w:rsidRDefault="00891C9D" w:rsidP="00891C9D"/>
    <w:p w14:paraId="303E0376" w14:textId="77777777" w:rsidR="004C5BE1" w:rsidRDefault="00891C9D" w:rsidP="001E3800">
      <w:pPr>
        <w:autoSpaceDE w:val="0"/>
        <w:autoSpaceDN w:val="0"/>
        <w:adjustRightInd w:val="0"/>
      </w:pPr>
      <w:r>
        <w:t xml:space="preserve">If you have any questions about this request, please contact </w:t>
      </w:r>
      <w:r w:rsidRPr="00C12B76">
        <w:t xml:space="preserve">Jay Ryan at 202-691-5139 or e-mail at </w:t>
      </w:r>
      <w:hyperlink r:id="rId7" w:history="1">
        <w:r w:rsidRPr="00C12B76">
          <w:rPr>
            <w:rStyle w:val="Hyperlink"/>
          </w:rPr>
          <w:t>Ryan.Jay@bls.gov</w:t>
        </w:r>
      </w:hyperlink>
      <w:r w:rsidR="00630022">
        <w:t xml:space="preserve"> or Peggy Murphy </w:t>
      </w:r>
      <w:r>
        <w:t xml:space="preserve">at 202-691-6186 or e-mail at </w:t>
      </w:r>
      <w:hyperlink r:id="rId8" w:history="1">
        <w:r w:rsidR="00A44513">
          <w:rPr>
            <w:rStyle w:val="Hyperlink"/>
          </w:rPr>
          <w:t>Murphy</w:t>
        </w:r>
        <w:r w:rsidR="00A44513" w:rsidRPr="00D4710A">
          <w:rPr>
            <w:rStyle w:val="Hyperlink"/>
          </w:rPr>
          <w:t>.Peggy@bls.gov</w:t>
        </w:r>
      </w:hyperlink>
      <w:r>
        <w:t>.</w:t>
      </w:r>
    </w:p>
    <w:sectPr w:rsidR="004C5BE1" w:rsidSect="00B11C3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0321F" w14:textId="77777777" w:rsidR="004A6440" w:rsidRDefault="004A6440">
      <w:r>
        <w:separator/>
      </w:r>
    </w:p>
  </w:endnote>
  <w:endnote w:type="continuationSeparator" w:id="0">
    <w:p w14:paraId="71C9F195" w14:textId="77777777" w:rsidR="004A6440" w:rsidRDefault="004A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87B2C" w14:textId="77777777" w:rsidR="004A6440" w:rsidRDefault="004A6440">
      <w:r>
        <w:separator/>
      </w:r>
    </w:p>
  </w:footnote>
  <w:footnote w:type="continuationSeparator" w:id="0">
    <w:p w14:paraId="544B971D" w14:textId="77777777" w:rsidR="004A6440" w:rsidRDefault="004A6440">
      <w:r>
        <w:continuationSeparator/>
      </w:r>
    </w:p>
  </w:footnote>
  <w:footnote w:id="1">
    <w:p w14:paraId="1A760E5E" w14:textId="2AC8D333" w:rsidR="006C4062" w:rsidRDefault="006C4062" w:rsidP="006C4062">
      <w:pPr>
        <w:pStyle w:val="FootnoteText"/>
      </w:pPr>
      <w:r>
        <w:rPr>
          <w:rStyle w:val="FootnoteReference"/>
        </w:rPr>
        <w:footnoteRef/>
      </w:r>
      <w:r>
        <w:t xml:space="preserve"> Using preliminary results of the Individual Diary Feasibility test (n=402 diarists), the average amount of time spent keeping a diary for two weeks was roughly 26 minutes.  Because the POC diary will consist of only 1 week of diary keeping, this time will be reduced.  However, because we’re offering a choice of mode and an incentive for keeping the diary, we expect respondents to be more motivated to fill out their diary and willing to take more time.  Additionally, a portion of the participants will be keeping a paper diary, which will take longer.  As a results, we’ve estimated an average of </w:t>
      </w:r>
      <w:r w:rsidR="00CE0FFE">
        <w:t>4</w:t>
      </w:r>
      <w:r>
        <w:t xml:space="preserve">0 minutes per person to keep the diary for a single week.   </w:t>
      </w:r>
    </w:p>
  </w:footnote>
  <w:footnote w:id="2">
    <w:p w14:paraId="3E11FE92" w14:textId="77777777" w:rsidR="006C4062" w:rsidRDefault="006C4062" w:rsidP="006C4062">
      <w:pPr>
        <w:pStyle w:val="FootnoteText"/>
      </w:pPr>
      <w:r>
        <w:rPr>
          <w:rStyle w:val="FootnoteReference"/>
        </w:rPr>
        <w:footnoteRef/>
      </w:r>
      <w:r>
        <w:t xml:space="preserve"> BLS estimates that the average number of eligible diarists (household members age 15 and older) in a household is 2 based on 2012 CE interview survey member data for the identified PSUs.   This estimate includes the time for an average of two CU member to complete the diary for one week.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2">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3">
    <w:nsid w:val="65F36DC1"/>
    <w:multiLevelType w:val="hybridMultilevel"/>
    <w:tmpl w:val="84540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0F5419"/>
    <w:multiLevelType w:val="hybridMultilevel"/>
    <w:tmpl w:val="1EBA4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331A08"/>
    <w:multiLevelType w:val="hybridMultilevel"/>
    <w:tmpl w:val="DBE46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6D"/>
    <w:rsid w:val="000213AF"/>
    <w:rsid w:val="00030A27"/>
    <w:rsid w:val="000336F0"/>
    <w:rsid w:val="00036803"/>
    <w:rsid w:val="00072637"/>
    <w:rsid w:val="000729B4"/>
    <w:rsid w:val="00073AD6"/>
    <w:rsid w:val="000D1038"/>
    <w:rsid w:val="000E0522"/>
    <w:rsid w:val="000F7069"/>
    <w:rsid w:val="00106BEB"/>
    <w:rsid w:val="0012438E"/>
    <w:rsid w:val="00136B68"/>
    <w:rsid w:val="00154680"/>
    <w:rsid w:val="00162A9F"/>
    <w:rsid w:val="00174DA9"/>
    <w:rsid w:val="001A3F52"/>
    <w:rsid w:val="001D7DBC"/>
    <w:rsid w:val="001E1366"/>
    <w:rsid w:val="001E3800"/>
    <w:rsid w:val="00232178"/>
    <w:rsid w:val="0025235A"/>
    <w:rsid w:val="00252451"/>
    <w:rsid w:val="00252B04"/>
    <w:rsid w:val="002A4730"/>
    <w:rsid w:val="002B526D"/>
    <w:rsid w:val="002D581F"/>
    <w:rsid w:val="002E3129"/>
    <w:rsid w:val="002F2736"/>
    <w:rsid w:val="003073F7"/>
    <w:rsid w:val="00324615"/>
    <w:rsid w:val="003531DF"/>
    <w:rsid w:val="0037284C"/>
    <w:rsid w:val="0037476B"/>
    <w:rsid w:val="003772B7"/>
    <w:rsid w:val="0039749D"/>
    <w:rsid w:val="003A4741"/>
    <w:rsid w:val="003B1831"/>
    <w:rsid w:val="003D501A"/>
    <w:rsid w:val="003E6E11"/>
    <w:rsid w:val="003F5A93"/>
    <w:rsid w:val="004210E9"/>
    <w:rsid w:val="00442216"/>
    <w:rsid w:val="004514D4"/>
    <w:rsid w:val="00454350"/>
    <w:rsid w:val="00455EC8"/>
    <w:rsid w:val="004715A6"/>
    <w:rsid w:val="00476344"/>
    <w:rsid w:val="004946B4"/>
    <w:rsid w:val="00494FF8"/>
    <w:rsid w:val="00495CDE"/>
    <w:rsid w:val="004A6440"/>
    <w:rsid w:val="004B0D54"/>
    <w:rsid w:val="004C5BE1"/>
    <w:rsid w:val="004D4F4C"/>
    <w:rsid w:val="004D7C14"/>
    <w:rsid w:val="004D7E87"/>
    <w:rsid w:val="005321C5"/>
    <w:rsid w:val="00590CDD"/>
    <w:rsid w:val="005937EF"/>
    <w:rsid w:val="005A0AC0"/>
    <w:rsid w:val="005A21EC"/>
    <w:rsid w:val="005A3C52"/>
    <w:rsid w:val="005C0AF3"/>
    <w:rsid w:val="005C1DCE"/>
    <w:rsid w:val="005F5786"/>
    <w:rsid w:val="005F588D"/>
    <w:rsid w:val="00604B25"/>
    <w:rsid w:val="0061010B"/>
    <w:rsid w:val="0061496D"/>
    <w:rsid w:val="00630022"/>
    <w:rsid w:val="0067662C"/>
    <w:rsid w:val="00684D68"/>
    <w:rsid w:val="006A45EA"/>
    <w:rsid w:val="006C4062"/>
    <w:rsid w:val="006D066A"/>
    <w:rsid w:val="006D2239"/>
    <w:rsid w:val="006F5E48"/>
    <w:rsid w:val="006F7CCC"/>
    <w:rsid w:val="00716919"/>
    <w:rsid w:val="00724EAA"/>
    <w:rsid w:val="0078681D"/>
    <w:rsid w:val="007A4006"/>
    <w:rsid w:val="007B4D0F"/>
    <w:rsid w:val="007D085F"/>
    <w:rsid w:val="007D71C4"/>
    <w:rsid w:val="008056B3"/>
    <w:rsid w:val="00852C3D"/>
    <w:rsid w:val="00873632"/>
    <w:rsid w:val="00891C9D"/>
    <w:rsid w:val="008D344D"/>
    <w:rsid w:val="008E595E"/>
    <w:rsid w:val="008F7D41"/>
    <w:rsid w:val="0093497D"/>
    <w:rsid w:val="00952015"/>
    <w:rsid w:val="00964794"/>
    <w:rsid w:val="0097187D"/>
    <w:rsid w:val="00982587"/>
    <w:rsid w:val="009C3904"/>
    <w:rsid w:val="009D4D62"/>
    <w:rsid w:val="009F2A3C"/>
    <w:rsid w:val="009F5C49"/>
    <w:rsid w:val="00A038F8"/>
    <w:rsid w:val="00A066D5"/>
    <w:rsid w:val="00A3771C"/>
    <w:rsid w:val="00A44513"/>
    <w:rsid w:val="00A57502"/>
    <w:rsid w:val="00A77297"/>
    <w:rsid w:val="00A92281"/>
    <w:rsid w:val="00AB3CC6"/>
    <w:rsid w:val="00AC129D"/>
    <w:rsid w:val="00AC68B1"/>
    <w:rsid w:val="00AD0708"/>
    <w:rsid w:val="00AD07A9"/>
    <w:rsid w:val="00AD1D2E"/>
    <w:rsid w:val="00AE0FF1"/>
    <w:rsid w:val="00AF3FD6"/>
    <w:rsid w:val="00B11C35"/>
    <w:rsid w:val="00B1275A"/>
    <w:rsid w:val="00B44E8D"/>
    <w:rsid w:val="00B45F00"/>
    <w:rsid w:val="00B52C2E"/>
    <w:rsid w:val="00B8641C"/>
    <w:rsid w:val="00BA6E8A"/>
    <w:rsid w:val="00BC50FD"/>
    <w:rsid w:val="00BD619F"/>
    <w:rsid w:val="00C01304"/>
    <w:rsid w:val="00C038CA"/>
    <w:rsid w:val="00C12B76"/>
    <w:rsid w:val="00C33E41"/>
    <w:rsid w:val="00C46D48"/>
    <w:rsid w:val="00C54E0F"/>
    <w:rsid w:val="00C62228"/>
    <w:rsid w:val="00C6480E"/>
    <w:rsid w:val="00C9402B"/>
    <w:rsid w:val="00CE0FFE"/>
    <w:rsid w:val="00CF08AF"/>
    <w:rsid w:val="00CF52D6"/>
    <w:rsid w:val="00D11CD6"/>
    <w:rsid w:val="00D2546A"/>
    <w:rsid w:val="00D30818"/>
    <w:rsid w:val="00D53839"/>
    <w:rsid w:val="00D63D10"/>
    <w:rsid w:val="00D671DF"/>
    <w:rsid w:val="00D92D72"/>
    <w:rsid w:val="00D9481B"/>
    <w:rsid w:val="00DA455B"/>
    <w:rsid w:val="00DA707F"/>
    <w:rsid w:val="00DE02D3"/>
    <w:rsid w:val="00DE54B6"/>
    <w:rsid w:val="00E45E6D"/>
    <w:rsid w:val="00ED4469"/>
    <w:rsid w:val="00F15A4E"/>
    <w:rsid w:val="00F35723"/>
    <w:rsid w:val="00F45B76"/>
    <w:rsid w:val="00F539D2"/>
    <w:rsid w:val="00F53A27"/>
    <w:rsid w:val="00F972CC"/>
    <w:rsid w:val="00FD4A72"/>
    <w:rsid w:val="00FF22B1"/>
    <w:rsid w:val="00FF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358E"/>
  <w15:docId w15:val="{F06C6DEA-8A77-4A89-B6A0-8F788C12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2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6D2239"/>
    <w:rPr>
      <w:vertAlign w:val="superscript"/>
    </w:rPr>
  </w:style>
  <w:style w:type="paragraph" w:styleId="BodyText">
    <w:name w:val="Body Text"/>
    <w:basedOn w:val="Normal"/>
    <w:rsid w:val="006D2239"/>
    <w:pPr>
      <w:tabs>
        <w:tab w:val="left" w:pos="1176"/>
        <w:tab w:val="left" w:pos="1656"/>
        <w:tab w:val="left" w:pos="6696"/>
        <w:tab w:val="left" w:pos="8256"/>
      </w:tabs>
    </w:pPr>
    <w:rPr>
      <w:szCs w:val="20"/>
    </w:rPr>
  </w:style>
  <w:style w:type="paragraph" w:styleId="FootnoteText">
    <w:name w:val="footnote text"/>
    <w:basedOn w:val="Normal"/>
    <w:link w:val="FootnoteTextChar"/>
    <w:rsid w:val="006D2239"/>
    <w:rPr>
      <w:rFonts w:ascii="CG Times" w:hAnsi="CG Times"/>
      <w:sz w:val="20"/>
      <w:szCs w:val="20"/>
    </w:rPr>
  </w:style>
  <w:style w:type="character" w:styleId="Hyperlink">
    <w:name w:val="Hyperlink"/>
    <w:basedOn w:val="DefaultParagraphFont"/>
    <w:rsid w:val="001D7DBC"/>
    <w:rPr>
      <w:color w:val="0000FF"/>
      <w:u w:val="single"/>
    </w:rPr>
  </w:style>
  <w:style w:type="character" w:styleId="CommentReference">
    <w:name w:val="annotation reference"/>
    <w:basedOn w:val="DefaultParagraphFont"/>
    <w:uiPriority w:val="99"/>
    <w:semiHidden/>
    <w:rsid w:val="003772B7"/>
    <w:rPr>
      <w:sz w:val="16"/>
      <w:szCs w:val="16"/>
    </w:rPr>
  </w:style>
  <w:style w:type="paragraph" w:styleId="CommentText">
    <w:name w:val="annotation text"/>
    <w:basedOn w:val="Normal"/>
    <w:link w:val="CommentTextChar"/>
    <w:uiPriority w:val="99"/>
    <w:semiHidden/>
    <w:rsid w:val="003772B7"/>
    <w:rPr>
      <w:sz w:val="20"/>
      <w:szCs w:val="20"/>
    </w:rPr>
  </w:style>
  <w:style w:type="paragraph" w:styleId="CommentSubject">
    <w:name w:val="annotation subject"/>
    <w:basedOn w:val="CommentText"/>
    <w:next w:val="CommentText"/>
    <w:semiHidden/>
    <w:rsid w:val="003772B7"/>
    <w:rPr>
      <w:b/>
      <w:bCs/>
    </w:rPr>
  </w:style>
  <w:style w:type="paragraph" w:styleId="BalloonText">
    <w:name w:val="Balloon Text"/>
    <w:basedOn w:val="Normal"/>
    <w:semiHidden/>
    <w:rsid w:val="003772B7"/>
    <w:rPr>
      <w:rFonts w:ascii="Tahoma" w:hAnsi="Tahoma" w:cs="Tahoma"/>
      <w:sz w:val="16"/>
      <w:szCs w:val="16"/>
    </w:rPr>
  </w:style>
  <w:style w:type="paragraph" w:styleId="ListParagraph">
    <w:name w:val="List Paragraph"/>
    <w:basedOn w:val="Normal"/>
    <w:uiPriority w:val="34"/>
    <w:qFormat/>
    <w:rsid w:val="00AD07A9"/>
    <w:pPr>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rsid w:val="00252451"/>
    <w:rPr>
      <w:rFonts w:ascii="CG Times" w:hAnsi="CG Times"/>
    </w:rPr>
  </w:style>
  <w:style w:type="paragraph" w:styleId="Revision">
    <w:name w:val="Revision"/>
    <w:hidden/>
    <w:uiPriority w:val="99"/>
    <w:semiHidden/>
    <w:rsid w:val="0067662C"/>
    <w:rPr>
      <w:sz w:val="24"/>
      <w:szCs w:val="24"/>
    </w:rPr>
  </w:style>
  <w:style w:type="character" w:customStyle="1" w:styleId="CommentTextChar">
    <w:name w:val="Comment Text Char"/>
    <w:basedOn w:val="DefaultParagraphFont"/>
    <w:link w:val="CommentText"/>
    <w:uiPriority w:val="99"/>
    <w:semiHidden/>
    <w:rsid w:val="006C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75798">
      <w:bodyDiv w:val="1"/>
      <w:marLeft w:val="0"/>
      <w:marRight w:val="0"/>
      <w:marTop w:val="0"/>
      <w:marBottom w:val="0"/>
      <w:divBdr>
        <w:top w:val="none" w:sz="0" w:space="0" w:color="auto"/>
        <w:left w:val="none" w:sz="0" w:space="0" w:color="auto"/>
        <w:bottom w:val="none" w:sz="0" w:space="0" w:color="auto"/>
        <w:right w:val="none" w:sz="0" w:space="0" w:color="auto"/>
      </w:divBdr>
    </w:div>
    <w:div w:id="511452815">
      <w:bodyDiv w:val="1"/>
      <w:marLeft w:val="0"/>
      <w:marRight w:val="0"/>
      <w:marTop w:val="0"/>
      <w:marBottom w:val="0"/>
      <w:divBdr>
        <w:top w:val="none" w:sz="0" w:space="0" w:color="auto"/>
        <w:left w:val="none" w:sz="0" w:space="0" w:color="auto"/>
        <w:bottom w:val="none" w:sz="0" w:space="0" w:color="auto"/>
        <w:right w:val="none" w:sz="0" w:space="0" w:color="auto"/>
      </w:divBdr>
    </w:div>
    <w:div w:id="906693895">
      <w:bodyDiv w:val="1"/>
      <w:marLeft w:val="0"/>
      <w:marRight w:val="0"/>
      <w:marTop w:val="0"/>
      <w:marBottom w:val="0"/>
      <w:divBdr>
        <w:top w:val="none" w:sz="0" w:space="0" w:color="auto"/>
        <w:left w:val="none" w:sz="0" w:space="0" w:color="auto"/>
        <w:bottom w:val="none" w:sz="0" w:space="0" w:color="auto"/>
        <w:right w:val="none" w:sz="0" w:space="0" w:color="auto"/>
      </w:divBdr>
    </w:div>
    <w:div w:id="16856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arez.Peggy@bls.gov" TargetMode="External"/><Relationship Id="rId3" Type="http://schemas.openxmlformats.org/officeDocument/2006/relationships/settings" Target="settings.xml"/><Relationship Id="rId7" Type="http://schemas.openxmlformats.org/officeDocument/2006/relationships/hyperlink" Target="mailto:Ryan.Jay@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To reduce the downward trends in CED response rates , CE plans to conduct a CEQ incentives experiment for 1-year, from Novembe</vt:lpstr>
    </vt:vector>
  </TitlesOfParts>
  <Company>Bureau of Labor Statistics</Company>
  <LinksUpToDate>false</LinksUpToDate>
  <CharactersWithSpaces>2825</CharactersWithSpaces>
  <SharedDoc>false</SharedDoc>
  <HLinks>
    <vt:vector size="12" baseType="variant">
      <vt:variant>
        <vt:i4>5505071</vt:i4>
      </vt:variant>
      <vt:variant>
        <vt:i4>3</vt:i4>
      </vt:variant>
      <vt:variant>
        <vt:i4>0</vt:i4>
      </vt:variant>
      <vt:variant>
        <vt:i4>5</vt:i4>
      </vt:variant>
      <vt:variant>
        <vt:lpwstr>mailto:Suarez.Peggy@bls.gov</vt:lpwstr>
      </vt:variant>
      <vt:variant>
        <vt:lpwstr/>
      </vt:variant>
      <vt:variant>
        <vt:i4>5439544</vt:i4>
      </vt:variant>
      <vt:variant>
        <vt:i4>0</vt:i4>
      </vt:variant>
      <vt:variant>
        <vt:i4>0</vt:i4>
      </vt:variant>
      <vt:variant>
        <vt:i4>5</vt:i4>
      </vt:variant>
      <vt:variant>
        <vt:lpwstr>mailto:Ryan.Jay@bls.gov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reduce the downward trends in CED response rates , CE plans to conduct a CEQ incentives experiment for 1-year, from Novembe</dc:title>
  <dc:creator>PICKERING_C</dc:creator>
  <cp:lastModifiedBy>Kincaid, Nora - BLS</cp:lastModifiedBy>
  <cp:revision>2</cp:revision>
  <dcterms:created xsi:type="dcterms:W3CDTF">2015-05-11T16:56:00Z</dcterms:created>
  <dcterms:modified xsi:type="dcterms:W3CDTF">2015-05-11T16:56:00Z</dcterms:modified>
</cp:coreProperties>
</file>