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E01B23" w14:textId="77777777" w:rsidR="00126280" w:rsidRDefault="00126280" w:rsidP="00126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w:hAnsi="Times" w:cs="Courier"/>
          <w:b/>
        </w:rPr>
      </w:pPr>
      <w:r>
        <w:rPr>
          <w:rFonts w:ascii="Times" w:hAnsi="Times" w:cs="Courier"/>
          <w:b/>
        </w:rPr>
        <w:t>Attachment 1</w:t>
      </w:r>
    </w:p>
    <w:p w14:paraId="5756CD8C" w14:textId="32E2FF37" w:rsidR="00B930B1" w:rsidRDefault="00B43D20" w:rsidP="00126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w:hAnsi="Times" w:cs="Times New Roman"/>
          <w:b/>
        </w:rPr>
      </w:pPr>
      <w:r>
        <w:rPr>
          <w:rFonts w:ascii="Times" w:hAnsi="Times" w:cs="Times New Roman"/>
          <w:b/>
        </w:rPr>
        <w:t>29 CFR Part 3</w:t>
      </w:r>
      <w:bookmarkStart w:id="0" w:name="_GoBack"/>
      <w:bookmarkEnd w:id="0"/>
      <w:r w:rsidR="00126280">
        <w:rPr>
          <w:rFonts w:ascii="Times" w:hAnsi="Times" w:cs="Times New Roman"/>
          <w:b/>
        </w:rPr>
        <w:t xml:space="preserve">7 </w:t>
      </w:r>
    </w:p>
    <w:p w14:paraId="74D6AD11" w14:textId="77777777" w:rsidR="00126280" w:rsidRPr="00126280" w:rsidRDefault="00126280" w:rsidP="00126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w:hAnsi="Times" w:cs="Courier"/>
          <w:b/>
        </w:rPr>
      </w:pPr>
    </w:p>
    <w:p w14:paraId="38184F0C" w14:textId="77777777" w:rsidR="00B930B1" w:rsidRPr="007A7850" w:rsidRDefault="00B43D20" w:rsidP="00B930B1">
      <w:pPr>
        <w:rPr>
          <w:rFonts w:ascii="Times" w:eastAsia="Times New Roman" w:hAnsi="Times" w:cs="Times New Roman"/>
          <w:sz w:val="20"/>
          <w:szCs w:val="20"/>
        </w:rPr>
      </w:pPr>
      <w:r>
        <w:rPr>
          <w:rFonts w:ascii="Times" w:eastAsia="Times New Roman" w:hAnsi="Times" w:cs="Times New Roman"/>
          <w:sz w:val="20"/>
          <w:szCs w:val="20"/>
        </w:rPr>
        <w:pict w14:anchorId="3B6232D1">
          <v:rect id="_x0000_i1025" style="width:0;height:1.5pt" o:hralign="center" o:hrstd="t" o:hr="t" fillcolor="#aaa" stroked="f"/>
        </w:pict>
      </w:r>
    </w:p>
    <w:p w14:paraId="179D5B60"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1" w:name="_top"/>
      <w:bookmarkEnd w:id="1"/>
      <w:r w:rsidRPr="007A7850">
        <w:rPr>
          <w:rFonts w:ascii="Times" w:eastAsia="Times New Roman" w:hAnsi="Times" w:cs="Times New Roman"/>
          <w:bCs/>
          <w:sz w:val="20"/>
          <w:szCs w:val="20"/>
        </w:rPr>
        <w:t>PART 37—IMPLEMENTATION OF THE NONDISCRIMINATION AND EQUAL OPPORTUNITY PROVISIONS OF THE WORKFORCE INVESTMENT ACT OF 1998 (WIA)</w:t>
      </w:r>
    </w:p>
    <w:p w14:paraId="0AC72774" w14:textId="77777777" w:rsidR="00B930B1" w:rsidRPr="007A7850" w:rsidRDefault="00B43D20" w:rsidP="00B930B1">
      <w:pPr>
        <w:rPr>
          <w:rFonts w:ascii="Times" w:eastAsia="Times New Roman" w:hAnsi="Times" w:cs="Times New Roman"/>
          <w:sz w:val="20"/>
          <w:szCs w:val="20"/>
        </w:rPr>
      </w:pPr>
      <w:r>
        <w:rPr>
          <w:rFonts w:ascii="Times" w:eastAsia="Times New Roman" w:hAnsi="Times" w:cs="Times New Roman"/>
          <w:sz w:val="20"/>
          <w:szCs w:val="20"/>
        </w:rPr>
        <w:pict w14:anchorId="41444BCD">
          <v:rect id="_x0000_i1026" style="width:0;height:1.5pt" o:hralign="center" o:hrstd="t" o:hr="t" fillcolor="#aaa" stroked="f"/>
        </w:pict>
      </w:r>
    </w:p>
    <w:p w14:paraId="15413BC0" w14:textId="77777777" w:rsidR="00B930B1" w:rsidRPr="007A7850" w:rsidRDefault="00B930B1" w:rsidP="00B930B1">
      <w:pPr>
        <w:rPr>
          <w:rFonts w:ascii="Times" w:eastAsia="Times New Roman" w:hAnsi="Times" w:cs="Times New Roman"/>
          <w:sz w:val="20"/>
          <w:szCs w:val="20"/>
        </w:rPr>
      </w:pPr>
      <w:r w:rsidRPr="007A7850">
        <w:rPr>
          <w:rFonts w:ascii="Times" w:eastAsia="Times New Roman" w:hAnsi="Times" w:cs="Times New Roman"/>
          <w:bCs/>
          <w:sz w:val="20"/>
          <w:szCs w:val="20"/>
        </w:rPr>
        <w:t>Contents</w:t>
      </w:r>
    </w:p>
    <w:p w14:paraId="029DE77B" w14:textId="77777777" w:rsidR="00B930B1" w:rsidRPr="007A7850" w:rsidRDefault="00B43D20" w:rsidP="007A7850">
      <w:pPr>
        <w:rPr>
          <w:rFonts w:ascii="Times" w:hAnsi="Times"/>
          <w:sz w:val="20"/>
          <w:szCs w:val="20"/>
        </w:rPr>
      </w:pPr>
      <w:hyperlink r:id="rId6" w:anchor="29:1.1.1.1.31.1" w:history="1">
        <w:r w:rsidR="00B930B1" w:rsidRPr="007A7850">
          <w:rPr>
            <w:rFonts w:ascii="Times" w:hAnsi="Times"/>
            <w:sz w:val="20"/>
            <w:szCs w:val="20"/>
          </w:rPr>
          <w:t>Subpart A—General Provisions</w:t>
        </w:r>
      </w:hyperlink>
    </w:p>
    <w:p w14:paraId="7EC60C08" w14:textId="77777777" w:rsidR="00B930B1" w:rsidRPr="007A7850" w:rsidRDefault="00B43D20" w:rsidP="007A7850">
      <w:pPr>
        <w:rPr>
          <w:rFonts w:ascii="Times" w:hAnsi="Times"/>
          <w:sz w:val="20"/>
          <w:szCs w:val="20"/>
        </w:rPr>
      </w:pPr>
      <w:hyperlink r:id="rId7" w:anchor="29:1.1.1.1.31.1.56.1" w:history="1">
        <w:r w:rsidR="00B930B1" w:rsidRPr="007A7850">
          <w:rPr>
            <w:rFonts w:ascii="Times" w:hAnsi="Times"/>
            <w:sz w:val="20"/>
            <w:szCs w:val="20"/>
          </w:rPr>
          <w:t>§37.1   What is the purpose of this part?</w:t>
        </w:r>
      </w:hyperlink>
      <w:r w:rsidR="00B930B1" w:rsidRPr="007A7850">
        <w:rPr>
          <w:rFonts w:ascii="Times" w:hAnsi="Times"/>
          <w:sz w:val="20"/>
          <w:szCs w:val="20"/>
        </w:rPr>
        <w:br/>
      </w:r>
      <w:hyperlink r:id="rId8" w:anchor="29:1.1.1.1.31.1.56.2" w:history="1">
        <w:r w:rsidR="00B930B1" w:rsidRPr="007A7850">
          <w:rPr>
            <w:rFonts w:ascii="Times" w:hAnsi="Times"/>
            <w:sz w:val="20"/>
            <w:szCs w:val="20"/>
          </w:rPr>
          <w:t>§37.2   To whom does this part apply, and what is the scope of this part?</w:t>
        </w:r>
      </w:hyperlink>
      <w:r w:rsidR="00B930B1" w:rsidRPr="007A7850">
        <w:rPr>
          <w:rFonts w:ascii="Times" w:hAnsi="Times"/>
          <w:sz w:val="20"/>
          <w:szCs w:val="20"/>
        </w:rPr>
        <w:br/>
      </w:r>
      <w:hyperlink r:id="rId9" w:anchor="29:1.1.1.1.31.1.56.3" w:history="1">
        <w:r w:rsidR="00B930B1" w:rsidRPr="007A7850">
          <w:rPr>
            <w:rFonts w:ascii="Times" w:hAnsi="Times"/>
            <w:sz w:val="20"/>
            <w:szCs w:val="20"/>
          </w:rPr>
          <w:t>§37.3   How does this part affect a recipient's other obligations?</w:t>
        </w:r>
      </w:hyperlink>
      <w:r w:rsidR="00B930B1" w:rsidRPr="007A7850">
        <w:rPr>
          <w:rFonts w:ascii="Times" w:hAnsi="Times"/>
          <w:sz w:val="20"/>
          <w:szCs w:val="20"/>
        </w:rPr>
        <w:br/>
      </w:r>
      <w:hyperlink r:id="rId10" w:anchor="29:1.1.1.1.31.1.56.4" w:history="1">
        <w:r w:rsidR="00B930B1" w:rsidRPr="007A7850">
          <w:rPr>
            <w:rFonts w:ascii="Times" w:hAnsi="Times"/>
            <w:sz w:val="20"/>
            <w:szCs w:val="20"/>
          </w:rPr>
          <w:t>§37.4   What definitions apply to this part?</w:t>
        </w:r>
      </w:hyperlink>
      <w:r w:rsidR="00B930B1" w:rsidRPr="007A7850">
        <w:rPr>
          <w:rFonts w:ascii="Times" w:hAnsi="Times"/>
          <w:sz w:val="20"/>
          <w:szCs w:val="20"/>
        </w:rPr>
        <w:br/>
      </w:r>
      <w:hyperlink r:id="rId11" w:anchor="29:1.1.1.1.31.1.56.5" w:history="1">
        <w:r w:rsidR="00B930B1" w:rsidRPr="007A7850">
          <w:rPr>
            <w:rFonts w:ascii="Times" w:hAnsi="Times"/>
            <w:sz w:val="20"/>
            <w:szCs w:val="20"/>
          </w:rPr>
          <w:t>§37.5   What forms of discrimination are prohibited by this part?</w:t>
        </w:r>
      </w:hyperlink>
      <w:r w:rsidR="00B930B1" w:rsidRPr="007A7850">
        <w:rPr>
          <w:rFonts w:ascii="Times" w:hAnsi="Times"/>
          <w:sz w:val="20"/>
          <w:szCs w:val="20"/>
        </w:rPr>
        <w:br/>
      </w:r>
      <w:hyperlink r:id="rId12" w:anchor="29:1.1.1.1.31.1.56.6" w:history="1">
        <w:r w:rsidR="00B930B1" w:rsidRPr="007A7850">
          <w:rPr>
            <w:rFonts w:ascii="Times" w:hAnsi="Times"/>
            <w:sz w:val="20"/>
            <w:szCs w:val="20"/>
          </w:rPr>
          <w:t>§37.6   What specific discriminatory actions, based on prohibited grounds other than disability, are prohibited by this part, and what limitations are there related to religious activities?</w:t>
        </w:r>
      </w:hyperlink>
      <w:r w:rsidR="00B930B1" w:rsidRPr="007A7850">
        <w:rPr>
          <w:rFonts w:ascii="Times" w:hAnsi="Times"/>
          <w:sz w:val="20"/>
          <w:szCs w:val="20"/>
        </w:rPr>
        <w:br/>
      </w:r>
      <w:hyperlink r:id="rId13" w:anchor="29:1.1.1.1.31.1.56.7" w:history="1">
        <w:r w:rsidR="00B930B1" w:rsidRPr="007A7850">
          <w:rPr>
            <w:rFonts w:ascii="Times" w:hAnsi="Times"/>
            <w:sz w:val="20"/>
            <w:szCs w:val="20"/>
          </w:rPr>
          <w:t>§37.7   What specific discriminatory actions based on disability are prohibited by this part?</w:t>
        </w:r>
      </w:hyperlink>
      <w:r w:rsidR="00B930B1" w:rsidRPr="007A7850">
        <w:rPr>
          <w:rFonts w:ascii="Times" w:hAnsi="Times"/>
          <w:sz w:val="20"/>
          <w:szCs w:val="20"/>
        </w:rPr>
        <w:br/>
      </w:r>
      <w:hyperlink r:id="rId14" w:anchor="29:1.1.1.1.31.1.56.8" w:history="1">
        <w:r w:rsidR="00B930B1" w:rsidRPr="007A7850">
          <w:rPr>
            <w:rFonts w:ascii="Times" w:hAnsi="Times"/>
            <w:sz w:val="20"/>
            <w:szCs w:val="20"/>
          </w:rPr>
          <w:t>§37.8   What are a recipient's responsibilities regarding reasonable accommodation and reasonable modification for individuals with disabilities?</w:t>
        </w:r>
      </w:hyperlink>
      <w:r w:rsidR="00B930B1" w:rsidRPr="007A7850">
        <w:rPr>
          <w:rFonts w:ascii="Times" w:hAnsi="Times"/>
          <w:sz w:val="20"/>
          <w:szCs w:val="20"/>
        </w:rPr>
        <w:br/>
      </w:r>
      <w:hyperlink r:id="rId15" w:anchor="29:1.1.1.1.31.1.56.9" w:history="1">
        <w:r w:rsidR="00B930B1" w:rsidRPr="007A7850">
          <w:rPr>
            <w:rFonts w:ascii="Times" w:hAnsi="Times"/>
            <w:sz w:val="20"/>
            <w:szCs w:val="20"/>
          </w:rPr>
          <w:t>§37.9   What are a recipient's responsibilities to communicate with individuals with disabilities?</w:t>
        </w:r>
      </w:hyperlink>
      <w:r w:rsidR="00B930B1" w:rsidRPr="007A7850">
        <w:rPr>
          <w:rFonts w:ascii="Times" w:hAnsi="Times"/>
          <w:sz w:val="20"/>
          <w:szCs w:val="20"/>
        </w:rPr>
        <w:br/>
      </w:r>
      <w:hyperlink r:id="rId16" w:anchor="29:1.1.1.1.31.1.56.10" w:history="1">
        <w:r w:rsidR="00B930B1" w:rsidRPr="007A7850">
          <w:rPr>
            <w:rFonts w:ascii="Times" w:hAnsi="Times"/>
            <w:sz w:val="20"/>
            <w:szCs w:val="20"/>
          </w:rPr>
          <w:t>§37.10   To what extent are employment practices covered by this part?</w:t>
        </w:r>
      </w:hyperlink>
      <w:r w:rsidR="00B930B1" w:rsidRPr="007A7850">
        <w:rPr>
          <w:rFonts w:ascii="Times" w:hAnsi="Times"/>
          <w:sz w:val="20"/>
          <w:szCs w:val="20"/>
        </w:rPr>
        <w:br/>
      </w:r>
      <w:hyperlink r:id="rId17" w:anchor="29:1.1.1.1.31.1.56.11" w:history="1">
        <w:r w:rsidR="00B930B1" w:rsidRPr="007A7850">
          <w:rPr>
            <w:rFonts w:ascii="Times" w:hAnsi="Times"/>
            <w:sz w:val="20"/>
            <w:szCs w:val="20"/>
          </w:rPr>
          <w:t>§37.11   To what extent are intimidation and retaliation prohibited by this part?</w:t>
        </w:r>
      </w:hyperlink>
      <w:r w:rsidR="00B930B1" w:rsidRPr="007A7850">
        <w:rPr>
          <w:rFonts w:ascii="Times" w:hAnsi="Times"/>
          <w:sz w:val="20"/>
          <w:szCs w:val="20"/>
        </w:rPr>
        <w:br/>
      </w:r>
      <w:hyperlink r:id="rId18" w:anchor="29:1.1.1.1.31.1.56.12" w:history="1">
        <w:r w:rsidR="00B930B1" w:rsidRPr="007A7850">
          <w:rPr>
            <w:rFonts w:ascii="Times" w:hAnsi="Times"/>
            <w:sz w:val="20"/>
            <w:szCs w:val="20"/>
          </w:rPr>
          <w:t>§37.12   What Department of Labor office is responsible for administering this part?</w:t>
        </w:r>
      </w:hyperlink>
      <w:r w:rsidR="00B930B1" w:rsidRPr="007A7850">
        <w:rPr>
          <w:rFonts w:ascii="Times" w:hAnsi="Times"/>
          <w:sz w:val="20"/>
          <w:szCs w:val="20"/>
        </w:rPr>
        <w:br/>
      </w:r>
      <w:hyperlink r:id="rId19" w:anchor="29:1.1.1.1.31.1.56.13" w:history="1">
        <w:r w:rsidR="00B930B1" w:rsidRPr="007A7850">
          <w:rPr>
            <w:rFonts w:ascii="Times" w:hAnsi="Times"/>
            <w:sz w:val="20"/>
            <w:szCs w:val="20"/>
          </w:rPr>
          <w:t>§37.13   Who is responsible for providing interpretations of this part?</w:t>
        </w:r>
      </w:hyperlink>
      <w:r w:rsidR="00B930B1" w:rsidRPr="007A7850">
        <w:rPr>
          <w:rFonts w:ascii="Times" w:hAnsi="Times"/>
          <w:sz w:val="20"/>
          <w:szCs w:val="20"/>
        </w:rPr>
        <w:br/>
      </w:r>
      <w:hyperlink r:id="rId20" w:anchor="29:1.1.1.1.31.1.56.14" w:history="1">
        <w:r w:rsidR="00B930B1" w:rsidRPr="007A7850">
          <w:rPr>
            <w:rFonts w:ascii="Times" w:hAnsi="Times"/>
            <w:sz w:val="20"/>
            <w:szCs w:val="20"/>
          </w:rPr>
          <w:t>§37.14   Under what circumstances may the Secretary delegate the responsibilities of this part?</w:t>
        </w:r>
      </w:hyperlink>
      <w:r w:rsidR="00B930B1" w:rsidRPr="007A7850">
        <w:rPr>
          <w:rFonts w:ascii="Times" w:hAnsi="Times"/>
          <w:sz w:val="20"/>
          <w:szCs w:val="20"/>
        </w:rPr>
        <w:br/>
      </w:r>
      <w:hyperlink r:id="rId21" w:anchor="29:1.1.1.1.31.1.56.15" w:history="1">
        <w:r w:rsidR="00B930B1" w:rsidRPr="007A7850">
          <w:rPr>
            <w:rFonts w:ascii="Times" w:hAnsi="Times"/>
            <w:sz w:val="20"/>
            <w:szCs w:val="20"/>
          </w:rPr>
          <w:t>§37.15   What are the Director's responsibilities to coordinate with other civil rights agencies?</w:t>
        </w:r>
      </w:hyperlink>
      <w:r w:rsidR="00B930B1" w:rsidRPr="007A7850">
        <w:rPr>
          <w:rFonts w:ascii="Times" w:hAnsi="Times"/>
          <w:sz w:val="20"/>
          <w:szCs w:val="20"/>
        </w:rPr>
        <w:br/>
      </w:r>
      <w:hyperlink r:id="rId22" w:anchor="29:1.1.1.1.31.1.56.16" w:history="1">
        <w:r w:rsidR="00B930B1" w:rsidRPr="007A7850">
          <w:rPr>
            <w:rFonts w:ascii="Times" w:hAnsi="Times"/>
            <w:sz w:val="20"/>
            <w:szCs w:val="20"/>
          </w:rPr>
          <w:t>§37.16   What is this part's effect on a recipient's obligations under other laws, and what limitations apply?</w:t>
        </w:r>
      </w:hyperlink>
    </w:p>
    <w:p w14:paraId="0EC89183" w14:textId="77777777" w:rsidR="00B930B1" w:rsidRPr="007A7850" w:rsidRDefault="00B43D20" w:rsidP="007A7850">
      <w:pPr>
        <w:rPr>
          <w:rFonts w:ascii="Times" w:hAnsi="Times"/>
          <w:sz w:val="20"/>
          <w:szCs w:val="20"/>
        </w:rPr>
      </w:pPr>
      <w:hyperlink r:id="rId23" w:anchor="29:1.1.1.1.31.2" w:history="1">
        <w:r w:rsidR="00B930B1" w:rsidRPr="007A7850">
          <w:rPr>
            <w:rFonts w:ascii="Times" w:hAnsi="Times"/>
            <w:sz w:val="20"/>
            <w:szCs w:val="20"/>
          </w:rPr>
          <w:t>Subpart B—Recordkeeping and Other Affirmative Obligations of Recipients</w:t>
        </w:r>
      </w:hyperlink>
    </w:p>
    <w:p w14:paraId="3F8309B5" w14:textId="77777777" w:rsidR="00B930B1" w:rsidRPr="007A7850" w:rsidRDefault="00B43D20" w:rsidP="007A7850">
      <w:pPr>
        <w:rPr>
          <w:rFonts w:ascii="Times" w:hAnsi="Times"/>
          <w:sz w:val="20"/>
          <w:szCs w:val="20"/>
        </w:rPr>
      </w:pPr>
      <w:hyperlink r:id="rId24" w:anchor="29:1.1.1.1.31.2.56.1" w:history="1">
        <w:r w:rsidR="00B930B1" w:rsidRPr="007A7850">
          <w:rPr>
            <w:rFonts w:ascii="Times" w:hAnsi="Times"/>
            <w:sz w:val="20"/>
            <w:szCs w:val="20"/>
          </w:rPr>
          <w:t>§37.20   What is a grant applicant's obligation to provide a written assurance?</w:t>
        </w:r>
      </w:hyperlink>
      <w:r w:rsidR="00B930B1" w:rsidRPr="007A7850">
        <w:rPr>
          <w:rFonts w:ascii="Times" w:hAnsi="Times"/>
          <w:sz w:val="20"/>
          <w:szCs w:val="20"/>
        </w:rPr>
        <w:br/>
      </w:r>
      <w:hyperlink r:id="rId25" w:anchor="29:1.1.1.1.31.2.56.2" w:history="1">
        <w:r w:rsidR="00B930B1" w:rsidRPr="007A7850">
          <w:rPr>
            <w:rFonts w:ascii="Times" w:hAnsi="Times"/>
            <w:sz w:val="20"/>
            <w:szCs w:val="20"/>
          </w:rPr>
          <w:t>§37.21   How long will the recipient's obligation under the assurance last, and how broad is the obligation?</w:t>
        </w:r>
      </w:hyperlink>
      <w:r w:rsidR="00B930B1" w:rsidRPr="007A7850">
        <w:rPr>
          <w:rFonts w:ascii="Times" w:hAnsi="Times"/>
          <w:sz w:val="20"/>
          <w:szCs w:val="20"/>
        </w:rPr>
        <w:br/>
      </w:r>
      <w:hyperlink r:id="rId26" w:anchor="29:1.1.1.1.31.2.56.3" w:history="1">
        <w:r w:rsidR="00B930B1" w:rsidRPr="007A7850">
          <w:rPr>
            <w:rFonts w:ascii="Times" w:hAnsi="Times"/>
            <w:sz w:val="20"/>
            <w:szCs w:val="20"/>
          </w:rPr>
          <w:t>§37.22   How must covenants be used in connection with this part?</w:t>
        </w:r>
      </w:hyperlink>
      <w:r w:rsidR="00B930B1" w:rsidRPr="007A7850">
        <w:rPr>
          <w:rFonts w:ascii="Times" w:hAnsi="Times"/>
          <w:sz w:val="20"/>
          <w:szCs w:val="20"/>
        </w:rPr>
        <w:br/>
      </w:r>
      <w:hyperlink r:id="rId27" w:anchor="29:1.1.1.1.31.2.56.4" w:history="1">
        <w:r w:rsidR="00B930B1" w:rsidRPr="007A7850">
          <w:rPr>
            <w:rFonts w:ascii="Times" w:hAnsi="Times"/>
            <w:sz w:val="20"/>
            <w:szCs w:val="20"/>
          </w:rPr>
          <w:t>§37.23   Who must designate an Equal Opportunity Officer?</w:t>
        </w:r>
      </w:hyperlink>
      <w:r w:rsidR="00B930B1" w:rsidRPr="007A7850">
        <w:rPr>
          <w:rFonts w:ascii="Times" w:hAnsi="Times"/>
          <w:sz w:val="20"/>
          <w:szCs w:val="20"/>
        </w:rPr>
        <w:br/>
      </w:r>
      <w:hyperlink r:id="rId28" w:anchor="29:1.1.1.1.31.2.56.5" w:history="1">
        <w:r w:rsidR="00B930B1" w:rsidRPr="007A7850">
          <w:rPr>
            <w:rFonts w:ascii="Times" w:hAnsi="Times"/>
            <w:sz w:val="20"/>
            <w:szCs w:val="20"/>
          </w:rPr>
          <w:t>§37.24   Who is eligible to serve as an Equal Opportunity Officer?</w:t>
        </w:r>
      </w:hyperlink>
      <w:r w:rsidR="00B930B1" w:rsidRPr="007A7850">
        <w:rPr>
          <w:rFonts w:ascii="Times" w:hAnsi="Times"/>
          <w:sz w:val="20"/>
          <w:szCs w:val="20"/>
        </w:rPr>
        <w:br/>
      </w:r>
      <w:hyperlink r:id="rId29" w:anchor="29:1.1.1.1.31.2.56.6" w:history="1">
        <w:r w:rsidR="00B930B1" w:rsidRPr="007A7850">
          <w:rPr>
            <w:rFonts w:ascii="Times" w:hAnsi="Times"/>
            <w:sz w:val="20"/>
            <w:szCs w:val="20"/>
          </w:rPr>
          <w:t>§37.25   What are the responsibilities of an Equal Opportunity Officer?</w:t>
        </w:r>
      </w:hyperlink>
      <w:r w:rsidR="00B930B1" w:rsidRPr="007A7850">
        <w:rPr>
          <w:rFonts w:ascii="Times" w:hAnsi="Times"/>
          <w:sz w:val="20"/>
          <w:szCs w:val="20"/>
        </w:rPr>
        <w:br/>
      </w:r>
      <w:hyperlink r:id="rId30" w:anchor="29:1.1.1.1.31.2.56.7" w:history="1">
        <w:r w:rsidR="00B930B1" w:rsidRPr="007A7850">
          <w:rPr>
            <w:rFonts w:ascii="Times" w:hAnsi="Times"/>
            <w:sz w:val="20"/>
            <w:szCs w:val="20"/>
          </w:rPr>
          <w:t>§37.26   What are a recipient's obligations relating to the Equal Opportunity Officer?</w:t>
        </w:r>
      </w:hyperlink>
      <w:r w:rsidR="00B930B1" w:rsidRPr="007A7850">
        <w:rPr>
          <w:rFonts w:ascii="Times" w:hAnsi="Times"/>
          <w:sz w:val="20"/>
          <w:szCs w:val="20"/>
        </w:rPr>
        <w:br/>
      </w:r>
      <w:hyperlink r:id="rId31" w:anchor="29:1.1.1.1.31.2.56.8" w:history="1">
        <w:r w:rsidR="00B930B1" w:rsidRPr="007A7850">
          <w:rPr>
            <w:rFonts w:ascii="Times" w:hAnsi="Times"/>
            <w:sz w:val="20"/>
            <w:szCs w:val="20"/>
          </w:rPr>
          <w:t>§37.27   What are the obligations of small recipients regarding Equal Opportunity Officers?</w:t>
        </w:r>
      </w:hyperlink>
      <w:r w:rsidR="00B930B1" w:rsidRPr="007A7850">
        <w:rPr>
          <w:rFonts w:ascii="Times" w:hAnsi="Times"/>
          <w:sz w:val="20"/>
          <w:szCs w:val="20"/>
        </w:rPr>
        <w:br/>
      </w:r>
      <w:hyperlink r:id="rId32" w:anchor="29:1.1.1.1.31.2.56.9" w:history="1">
        <w:r w:rsidR="00B930B1" w:rsidRPr="007A7850">
          <w:rPr>
            <w:rFonts w:ascii="Times" w:hAnsi="Times"/>
            <w:sz w:val="20"/>
            <w:szCs w:val="20"/>
          </w:rPr>
          <w:t>§37.28   What are the obligations of service providers regarding Equal Opportunity Officers?</w:t>
        </w:r>
      </w:hyperlink>
    </w:p>
    <w:p w14:paraId="21184AA9" w14:textId="77777777" w:rsidR="00B930B1" w:rsidRPr="007A7850" w:rsidRDefault="00B43D20" w:rsidP="007A7850">
      <w:pPr>
        <w:rPr>
          <w:rFonts w:ascii="Times" w:hAnsi="Times"/>
          <w:sz w:val="20"/>
          <w:szCs w:val="20"/>
        </w:rPr>
      </w:pPr>
      <w:hyperlink r:id="rId33" w:anchor="29:1.1.1.1.31.2.56" w:history="1">
        <w:r w:rsidR="00B930B1" w:rsidRPr="007A7850">
          <w:rPr>
            <w:rFonts w:ascii="Times" w:hAnsi="Times"/>
            <w:sz w:val="20"/>
            <w:szCs w:val="20"/>
          </w:rPr>
          <w:t>Notice and Communication</w:t>
        </w:r>
      </w:hyperlink>
    </w:p>
    <w:p w14:paraId="3BF4EA12" w14:textId="77777777" w:rsidR="00B930B1" w:rsidRPr="007A7850" w:rsidRDefault="00B43D20" w:rsidP="007A7850">
      <w:pPr>
        <w:rPr>
          <w:rFonts w:ascii="Times" w:hAnsi="Times"/>
          <w:sz w:val="20"/>
          <w:szCs w:val="20"/>
        </w:rPr>
      </w:pPr>
      <w:hyperlink r:id="rId34" w:anchor="29:1.1.1.1.31.2.56.10" w:history="1">
        <w:r w:rsidR="00B930B1" w:rsidRPr="007A7850">
          <w:rPr>
            <w:rFonts w:ascii="Times" w:hAnsi="Times"/>
            <w:sz w:val="20"/>
            <w:szCs w:val="20"/>
          </w:rPr>
          <w:t>§37.29   What are a recipient's obligations to disseminate its equal opportunity policy?</w:t>
        </w:r>
      </w:hyperlink>
      <w:r w:rsidR="00B930B1" w:rsidRPr="007A7850">
        <w:rPr>
          <w:rFonts w:ascii="Times" w:hAnsi="Times"/>
          <w:sz w:val="20"/>
          <w:szCs w:val="20"/>
        </w:rPr>
        <w:br/>
      </w:r>
      <w:hyperlink r:id="rId35" w:anchor="29:1.1.1.1.31.2.56.11" w:history="1">
        <w:r w:rsidR="00B930B1" w:rsidRPr="007A7850">
          <w:rPr>
            <w:rFonts w:ascii="Times" w:hAnsi="Times"/>
            <w:sz w:val="20"/>
            <w:szCs w:val="20"/>
          </w:rPr>
          <w:t>§37.30   What specific wording must the notice contain?</w:t>
        </w:r>
      </w:hyperlink>
      <w:r w:rsidR="00B930B1" w:rsidRPr="007A7850">
        <w:rPr>
          <w:rFonts w:ascii="Times" w:hAnsi="Times"/>
          <w:sz w:val="20"/>
          <w:szCs w:val="20"/>
        </w:rPr>
        <w:br/>
      </w:r>
      <w:hyperlink r:id="rId36" w:anchor="29:1.1.1.1.31.2.56.12" w:history="1">
        <w:r w:rsidR="00B930B1" w:rsidRPr="007A7850">
          <w:rPr>
            <w:rFonts w:ascii="Times" w:hAnsi="Times"/>
            <w:sz w:val="20"/>
            <w:szCs w:val="20"/>
          </w:rPr>
          <w:t>§37.31   Where must the notice required by §§37.29 and 37.30 be published?</w:t>
        </w:r>
      </w:hyperlink>
      <w:r w:rsidR="00B930B1" w:rsidRPr="007A7850">
        <w:rPr>
          <w:rFonts w:ascii="Times" w:hAnsi="Times"/>
          <w:sz w:val="20"/>
          <w:szCs w:val="20"/>
        </w:rPr>
        <w:br/>
      </w:r>
      <w:hyperlink r:id="rId37" w:anchor="29:1.1.1.1.31.2.56.13" w:history="1">
        <w:r w:rsidR="00B930B1" w:rsidRPr="007A7850">
          <w:rPr>
            <w:rFonts w:ascii="Times" w:hAnsi="Times"/>
            <w:sz w:val="20"/>
            <w:szCs w:val="20"/>
          </w:rPr>
          <w:t>§37.32   When must the notice required by §§37.29 and 37.30 be provided?</w:t>
        </w:r>
      </w:hyperlink>
      <w:r w:rsidR="00B930B1" w:rsidRPr="007A7850">
        <w:rPr>
          <w:rFonts w:ascii="Times" w:hAnsi="Times"/>
          <w:sz w:val="20"/>
          <w:szCs w:val="20"/>
        </w:rPr>
        <w:br/>
      </w:r>
      <w:hyperlink r:id="rId38" w:anchor="29:1.1.1.1.31.2.56.14" w:history="1">
        <w:r w:rsidR="00B930B1" w:rsidRPr="007A7850">
          <w:rPr>
            <w:rFonts w:ascii="Times" w:hAnsi="Times"/>
            <w:sz w:val="20"/>
            <w:szCs w:val="20"/>
          </w:rPr>
          <w:t>§37.33   Who is responsible for meeting the notice requirement with respect to service providers?</w:t>
        </w:r>
      </w:hyperlink>
      <w:r w:rsidR="00B930B1" w:rsidRPr="007A7850">
        <w:rPr>
          <w:rFonts w:ascii="Times" w:hAnsi="Times"/>
          <w:sz w:val="20"/>
          <w:szCs w:val="20"/>
        </w:rPr>
        <w:br/>
      </w:r>
      <w:hyperlink r:id="rId39" w:anchor="29:1.1.1.1.31.2.56.15" w:history="1">
        <w:r w:rsidR="00B930B1" w:rsidRPr="007A7850">
          <w:rPr>
            <w:rFonts w:ascii="Times" w:hAnsi="Times"/>
            <w:sz w:val="20"/>
            <w:szCs w:val="20"/>
          </w:rPr>
          <w:t>§37.34   What type of notice must a recipient include in publications, broadcasts, and other communications?</w:t>
        </w:r>
      </w:hyperlink>
      <w:r w:rsidR="00B930B1" w:rsidRPr="007A7850">
        <w:rPr>
          <w:rFonts w:ascii="Times" w:hAnsi="Times"/>
          <w:sz w:val="20"/>
          <w:szCs w:val="20"/>
        </w:rPr>
        <w:br/>
      </w:r>
      <w:hyperlink r:id="rId40" w:anchor="29:1.1.1.1.31.2.56.16" w:history="1">
        <w:r w:rsidR="00B930B1" w:rsidRPr="007A7850">
          <w:rPr>
            <w:rFonts w:ascii="Times" w:hAnsi="Times"/>
            <w:sz w:val="20"/>
            <w:szCs w:val="20"/>
          </w:rPr>
          <w:t>§37.35   What are a recipient's responsibilities to provide services and information in languages other than English?</w:t>
        </w:r>
      </w:hyperlink>
      <w:r w:rsidR="00B930B1" w:rsidRPr="007A7850">
        <w:rPr>
          <w:rFonts w:ascii="Times" w:hAnsi="Times"/>
          <w:sz w:val="20"/>
          <w:szCs w:val="20"/>
        </w:rPr>
        <w:br/>
      </w:r>
      <w:hyperlink r:id="rId41" w:anchor="29:1.1.1.1.31.2.56.17" w:history="1">
        <w:r w:rsidR="00B930B1" w:rsidRPr="007A7850">
          <w:rPr>
            <w:rFonts w:ascii="Times" w:hAnsi="Times"/>
            <w:sz w:val="20"/>
            <w:szCs w:val="20"/>
          </w:rPr>
          <w:t>§37.36   What responsibilities does a recipient have to communicate information during orientations?</w:t>
        </w:r>
      </w:hyperlink>
    </w:p>
    <w:p w14:paraId="3DC4829D" w14:textId="77777777" w:rsidR="00B930B1" w:rsidRPr="007A7850" w:rsidRDefault="00B43D20" w:rsidP="007A7850">
      <w:pPr>
        <w:rPr>
          <w:rFonts w:ascii="Times" w:hAnsi="Times"/>
          <w:sz w:val="20"/>
          <w:szCs w:val="20"/>
        </w:rPr>
      </w:pPr>
      <w:hyperlink r:id="rId42" w:anchor="29:1.1.1.1.31.2.57" w:history="1">
        <w:r w:rsidR="00B930B1" w:rsidRPr="007A7850">
          <w:rPr>
            <w:rFonts w:ascii="Times" w:hAnsi="Times"/>
            <w:sz w:val="20"/>
            <w:szCs w:val="20"/>
          </w:rPr>
          <w:t>Data and Information Collection and Maintenance</w:t>
        </w:r>
      </w:hyperlink>
    </w:p>
    <w:p w14:paraId="36D3A537" w14:textId="77777777" w:rsidR="00B930B1" w:rsidRPr="007A7850" w:rsidRDefault="00B43D20" w:rsidP="007A7850">
      <w:pPr>
        <w:rPr>
          <w:rFonts w:ascii="Times" w:hAnsi="Times"/>
          <w:sz w:val="20"/>
          <w:szCs w:val="20"/>
        </w:rPr>
      </w:pPr>
      <w:hyperlink r:id="rId43" w:anchor="29:1.1.1.1.31.2.57.18" w:history="1">
        <w:r w:rsidR="00B930B1" w:rsidRPr="007A7850">
          <w:rPr>
            <w:rFonts w:ascii="Times" w:hAnsi="Times"/>
            <w:sz w:val="20"/>
            <w:szCs w:val="20"/>
          </w:rPr>
          <w:t>§37.37   What are a recipient's responsibilities to collect and maintain data and other information?</w:t>
        </w:r>
      </w:hyperlink>
      <w:r w:rsidR="00B930B1" w:rsidRPr="007A7850">
        <w:rPr>
          <w:rFonts w:ascii="Times" w:hAnsi="Times"/>
          <w:sz w:val="20"/>
          <w:szCs w:val="20"/>
        </w:rPr>
        <w:br/>
      </w:r>
      <w:hyperlink r:id="rId44" w:anchor="29:1.1.1.1.31.2.57.19" w:history="1">
        <w:r w:rsidR="00B930B1" w:rsidRPr="007A7850">
          <w:rPr>
            <w:rFonts w:ascii="Times" w:hAnsi="Times"/>
            <w:sz w:val="20"/>
            <w:szCs w:val="20"/>
          </w:rPr>
          <w:t>§37.38   What information must grant applicants and recipients provide to CRC?</w:t>
        </w:r>
      </w:hyperlink>
      <w:r w:rsidR="00B930B1" w:rsidRPr="007A7850">
        <w:rPr>
          <w:rFonts w:ascii="Times" w:hAnsi="Times"/>
          <w:sz w:val="20"/>
          <w:szCs w:val="20"/>
        </w:rPr>
        <w:br/>
      </w:r>
      <w:hyperlink r:id="rId45" w:anchor="29:1.1.1.1.31.2.57.20" w:history="1">
        <w:r w:rsidR="00B930B1" w:rsidRPr="007A7850">
          <w:rPr>
            <w:rFonts w:ascii="Times" w:hAnsi="Times"/>
            <w:sz w:val="20"/>
            <w:szCs w:val="20"/>
          </w:rPr>
          <w:t>§37.39   How long must grant applicants and recipients maintain the records required under this part?</w:t>
        </w:r>
      </w:hyperlink>
      <w:r w:rsidR="00B930B1" w:rsidRPr="007A7850">
        <w:rPr>
          <w:rFonts w:ascii="Times" w:hAnsi="Times"/>
          <w:sz w:val="20"/>
          <w:szCs w:val="20"/>
        </w:rPr>
        <w:br/>
      </w:r>
      <w:hyperlink r:id="rId46" w:anchor="29:1.1.1.1.31.2.57.21" w:history="1">
        <w:r w:rsidR="00B930B1" w:rsidRPr="007A7850">
          <w:rPr>
            <w:rFonts w:ascii="Times" w:hAnsi="Times"/>
            <w:sz w:val="20"/>
            <w:szCs w:val="20"/>
          </w:rPr>
          <w:t>§37.40   What access to sources of information must grant applicants and recipients provide the Director?</w:t>
        </w:r>
      </w:hyperlink>
      <w:r w:rsidR="00B930B1" w:rsidRPr="007A7850">
        <w:rPr>
          <w:rFonts w:ascii="Times" w:hAnsi="Times"/>
          <w:sz w:val="20"/>
          <w:szCs w:val="20"/>
        </w:rPr>
        <w:br/>
      </w:r>
      <w:hyperlink r:id="rId47" w:anchor="29:1.1.1.1.31.2.57.22" w:history="1">
        <w:r w:rsidR="00B930B1" w:rsidRPr="007A7850">
          <w:rPr>
            <w:rFonts w:ascii="Times" w:hAnsi="Times"/>
            <w:sz w:val="20"/>
            <w:szCs w:val="20"/>
          </w:rPr>
          <w:t>§37.41   What responsibilities do grant applicants, recipients, and the Department have to maintain the confidentiality of the information collected?</w:t>
        </w:r>
      </w:hyperlink>
      <w:r w:rsidR="00B930B1" w:rsidRPr="007A7850">
        <w:rPr>
          <w:rFonts w:ascii="Times" w:hAnsi="Times"/>
          <w:sz w:val="20"/>
          <w:szCs w:val="20"/>
        </w:rPr>
        <w:br/>
      </w:r>
      <w:hyperlink r:id="rId48" w:anchor="29:1.1.1.1.31.2.57.23" w:history="1">
        <w:r w:rsidR="00B930B1" w:rsidRPr="007A7850">
          <w:rPr>
            <w:rFonts w:ascii="Times" w:hAnsi="Times"/>
            <w:sz w:val="20"/>
            <w:szCs w:val="20"/>
          </w:rPr>
          <w:t>§37.42   What are a recipient's responsibilities under this part to provide universal access to WIA Title I-financially assisted programs and activities?</w:t>
        </w:r>
      </w:hyperlink>
    </w:p>
    <w:p w14:paraId="70760332" w14:textId="77777777" w:rsidR="00B930B1" w:rsidRPr="007A7850" w:rsidRDefault="00B43D20" w:rsidP="007A7850">
      <w:pPr>
        <w:rPr>
          <w:rFonts w:ascii="Times" w:hAnsi="Times"/>
          <w:sz w:val="20"/>
          <w:szCs w:val="20"/>
        </w:rPr>
      </w:pPr>
      <w:hyperlink r:id="rId49" w:anchor="29:1.1.1.1.31.3" w:history="1">
        <w:r w:rsidR="00B930B1" w:rsidRPr="007A7850">
          <w:rPr>
            <w:rFonts w:ascii="Times" w:hAnsi="Times"/>
            <w:sz w:val="20"/>
            <w:szCs w:val="20"/>
          </w:rPr>
          <w:t>Subpart C—Governor's Responsibilities To Implement the Nondiscrimination and Equal Opportunity Requirements of WIA</w:t>
        </w:r>
      </w:hyperlink>
    </w:p>
    <w:p w14:paraId="7A659BA8" w14:textId="77777777" w:rsidR="00B930B1" w:rsidRPr="007A7850" w:rsidRDefault="00B43D20" w:rsidP="007A7850">
      <w:pPr>
        <w:rPr>
          <w:rFonts w:ascii="Times" w:hAnsi="Times"/>
          <w:sz w:val="20"/>
          <w:szCs w:val="20"/>
        </w:rPr>
      </w:pPr>
      <w:hyperlink r:id="rId50" w:anchor="29:1.1.1.1.31.3.58.1" w:history="1">
        <w:r w:rsidR="00B930B1" w:rsidRPr="007A7850">
          <w:rPr>
            <w:rFonts w:ascii="Times" w:hAnsi="Times"/>
            <w:sz w:val="20"/>
            <w:szCs w:val="20"/>
          </w:rPr>
          <w:t>§37.50   To whom does this subpart apply?</w:t>
        </w:r>
      </w:hyperlink>
      <w:r w:rsidR="00B930B1" w:rsidRPr="007A7850">
        <w:rPr>
          <w:rFonts w:ascii="Times" w:hAnsi="Times"/>
          <w:sz w:val="20"/>
          <w:szCs w:val="20"/>
        </w:rPr>
        <w:br/>
      </w:r>
      <w:hyperlink r:id="rId51" w:anchor="29:1.1.1.1.31.3.58.2" w:history="1">
        <w:r w:rsidR="00B930B1" w:rsidRPr="007A7850">
          <w:rPr>
            <w:rFonts w:ascii="Times" w:hAnsi="Times"/>
            <w:sz w:val="20"/>
            <w:szCs w:val="20"/>
          </w:rPr>
          <w:t>§37.51   What are a Governor's oversight responsibilities?</w:t>
        </w:r>
      </w:hyperlink>
      <w:r w:rsidR="00B930B1" w:rsidRPr="007A7850">
        <w:rPr>
          <w:rFonts w:ascii="Times" w:hAnsi="Times"/>
          <w:sz w:val="20"/>
          <w:szCs w:val="20"/>
        </w:rPr>
        <w:br/>
      </w:r>
      <w:hyperlink r:id="rId52" w:anchor="29:1.1.1.1.31.3.58.3" w:history="1">
        <w:r w:rsidR="00B930B1" w:rsidRPr="007A7850">
          <w:rPr>
            <w:rFonts w:ascii="Times" w:hAnsi="Times"/>
            <w:sz w:val="20"/>
            <w:szCs w:val="20"/>
          </w:rPr>
          <w:t>§37.52   To what extent may a Governor be liable for the actions of a recipient he or she has financially assisted under WIA Title I?</w:t>
        </w:r>
      </w:hyperlink>
      <w:r w:rsidR="00B930B1" w:rsidRPr="007A7850">
        <w:rPr>
          <w:rFonts w:ascii="Times" w:hAnsi="Times"/>
          <w:sz w:val="20"/>
          <w:szCs w:val="20"/>
        </w:rPr>
        <w:br/>
      </w:r>
      <w:hyperlink r:id="rId53" w:anchor="29:1.1.1.1.31.3.58.4" w:history="1">
        <w:r w:rsidR="00B930B1" w:rsidRPr="007A7850">
          <w:rPr>
            <w:rFonts w:ascii="Times" w:hAnsi="Times"/>
            <w:sz w:val="20"/>
            <w:szCs w:val="20"/>
          </w:rPr>
          <w:t>§37.53   What are a Governor's oversight responsibilities regarding recipients' recordkeeping?</w:t>
        </w:r>
      </w:hyperlink>
      <w:r w:rsidR="00B930B1" w:rsidRPr="007A7850">
        <w:rPr>
          <w:rFonts w:ascii="Times" w:hAnsi="Times"/>
          <w:sz w:val="20"/>
          <w:szCs w:val="20"/>
        </w:rPr>
        <w:br/>
      </w:r>
      <w:hyperlink r:id="rId54" w:anchor="29:1.1.1.1.31.3.58.5" w:history="1">
        <w:r w:rsidR="00B930B1" w:rsidRPr="007A7850">
          <w:rPr>
            <w:rFonts w:ascii="Times" w:hAnsi="Times"/>
            <w:sz w:val="20"/>
            <w:szCs w:val="20"/>
          </w:rPr>
          <w:t>§37.54   What are a Governor's obligations to develop and maintain a Methods of Administration?</w:t>
        </w:r>
      </w:hyperlink>
      <w:r w:rsidR="00B930B1" w:rsidRPr="007A7850">
        <w:rPr>
          <w:rFonts w:ascii="Times" w:hAnsi="Times"/>
          <w:sz w:val="20"/>
          <w:szCs w:val="20"/>
        </w:rPr>
        <w:br/>
      </w:r>
      <w:hyperlink r:id="rId55" w:anchor="29:1.1.1.1.31.3.58.6" w:history="1">
        <w:r w:rsidR="00B930B1" w:rsidRPr="007A7850">
          <w:rPr>
            <w:rFonts w:ascii="Times" w:hAnsi="Times"/>
            <w:sz w:val="20"/>
            <w:szCs w:val="20"/>
          </w:rPr>
          <w:t>§37.55   When must the Governor carry out his or her obligations with regard to the Methods of Administration?</w:t>
        </w:r>
      </w:hyperlink>
    </w:p>
    <w:p w14:paraId="27117E09" w14:textId="77777777" w:rsidR="00B930B1" w:rsidRPr="007A7850" w:rsidRDefault="00B43D20" w:rsidP="007A7850">
      <w:pPr>
        <w:rPr>
          <w:rFonts w:ascii="Times" w:hAnsi="Times"/>
          <w:sz w:val="20"/>
          <w:szCs w:val="20"/>
        </w:rPr>
      </w:pPr>
      <w:hyperlink r:id="rId56" w:anchor="29:1.1.1.1.31.4" w:history="1">
        <w:r w:rsidR="00B930B1" w:rsidRPr="007A7850">
          <w:rPr>
            <w:rFonts w:ascii="Times" w:hAnsi="Times"/>
            <w:sz w:val="20"/>
            <w:szCs w:val="20"/>
          </w:rPr>
          <w:t>Subpart D—Compliance Procedures</w:t>
        </w:r>
      </w:hyperlink>
    </w:p>
    <w:p w14:paraId="651CD870" w14:textId="77777777" w:rsidR="00B930B1" w:rsidRPr="007A7850" w:rsidRDefault="00B43D20" w:rsidP="007A7850">
      <w:pPr>
        <w:rPr>
          <w:rFonts w:ascii="Times" w:hAnsi="Times"/>
          <w:sz w:val="20"/>
          <w:szCs w:val="20"/>
        </w:rPr>
      </w:pPr>
      <w:hyperlink r:id="rId57" w:anchor="29:1.1.1.1.31.4.58.1" w:history="1">
        <w:r w:rsidR="00B930B1" w:rsidRPr="007A7850">
          <w:rPr>
            <w:rFonts w:ascii="Times" w:hAnsi="Times"/>
            <w:sz w:val="20"/>
            <w:szCs w:val="20"/>
          </w:rPr>
          <w:t>§37.60   How does the Director evaluate compliance with the nondiscrimination and equal opportunity provisions of WIA and this part?</w:t>
        </w:r>
      </w:hyperlink>
      <w:r w:rsidR="00B930B1" w:rsidRPr="007A7850">
        <w:rPr>
          <w:rFonts w:ascii="Times" w:hAnsi="Times"/>
          <w:sz w:val="20"/>
          <w:szCs w:val="20"/>
        </w:rPr>
        <w:br/>
      </w:r>
      <w:hyperlink r:id="rId58" w:anchor="29:1.1.1.1.31.4.58.2" w:history="1">
        <w:r w:rsidR="00B930B1" w:rsidRPr="007A7850">
          <w:rPr>
            <w:rFonts w:ascii="Times" w:hAnsi="Times"/>
            <w:sz w:val="20"/>
            <w:szCs w:val="20"/>
          </w:rPr>
          <w:t>§37.61   Is there authority to issue subpoenas?</w:t>
        </w:r>
      </w:hyperlink>
      <w:r w:rsidR="00B930B1" w:rsidRPr="007A7850">
        <w:rPr>
          <w:rFonts w:ascii="Times" w:hAnsi="Times"/>
          <w:sz w:val="20"/>
          <w:szCs w:val="20"/>
        </w:rPr>
        <w:br/>
      </w:r>
      <w:hyperlink r:id="rId59" w:anchor="29:1.1.1.1.31.4.58.3" w:history="1">
        <w:r w:rsidR="00B930B1" w:rsidRPr="007A7850">
          <w:rPr>
            <w:rFonts w:ascii="Times" w:hAnsi="Times"/>
            <w:sz w:val="20"/>
            <w:szCs w:val="20"/>
          </w:rPr>
          <w:t>§37.62   What are the authority and procedures for conducting pre-approval compliance reviews?</w:t>
        </w:r>
      </w:hyperlink>
      <w:r w:rsidR="00B930B1" w:rsidRPr="007A7850">
        <w:rPr>
          <w:rFonts w:ascii="Times" w:hAnsi="Times"/>
          <w:sz w:val="20"/>
          <w:szCs w:val="20"/>
        </w:rPr>
        <w:br/>
      </w:r>
      <w:hyperlink r:id="rId60" w:anchor="29:1.1.1.1.31.4.58.4" w:history="1">
        <w:r w:rsidR="00B930B1" w:rsidRPr="007A7850">
          <w:rPr>
            <w:rFonts w:ascii="Times" w:hAnsi="Times"/>
            <w:sz w:val="20"/>
            <w:szCs w:val="20"/>
          </w:rPr>
          <w:t>§37.63   What are the authority and procedures for conducting post-approval compliance reviews?</w:t>
        </w:r>
      </w:hyperlink>
      <w:r w:rsidR="00B930B1" w:rsidRPr="007A7850">
        <w:rPr>
          <w:rFonts w:ascii="Times" w:hAnsi="Times"/>
          <w:sz w:val="20"/>
          <w:szCs w:val="20"/>
        </w:rPr>
        <w:br/>
      </w:r>
      <w:hyperlink r:id="rId61" w:anchor="29:1.1.1.1.31.4.58.5" w:history="1">
        <w:r w:rsidR="00B930B1" w:rsidRPr="007A7850">
          <w:rPr>
            <w:rFonts w:ascii="Times" w:hAnsi="Times"/>
            <w:sz w:val="20"/>
            <w:szCs w:val="20"/>
          </w:rPr>
          <w:t>§37.64   What procedures must the Director follow when CRC has completed a post-approval compliance review?</w:t>
        </w:r>
      </w:hyperlink>
      <w:r w:rsidR="00B930B1" w:rsidRPr="007A7850">
        <w:rPr>
          <w:rFonts w:ascii="Times" w:hAnsi="Times"/>
          <w:sz w:val="20"/>
          <w:szCs w:val="20"/>
        </w:rPr>
        <w:br/>
      </w:r>
      <w:hyperlink r:id="rId62" w:anchor="29:1.1.1.1.31.4.58.6" w:history="1">
        <w:r w:rsidR="00B930B1" w:rsidRPr="007A7850">
          <w:rPr>
            <w:rFonts w:ascii="Times" w:hAnsi="Times"/>
            <w:sz w:val="20"/>
            <w:szCs w:val="20"/>
          </w:rPr>
          <w:t>§37.65   What is the Director's authority to monitor the activities of a Governor?</w:t>
        </w:r>
      </w:hyperlink>
      <w:r w:rsidR="00B930B1" w:rsidRPr="007A7850">
        <w:rPr>
          <w:rFonts w:ascii="Times" w:hAnsi="Times"/>
          <w:sz w:val="20"/>
          <w:szCs w:val="20"/>
        </w:rPr>
        <w:br/>
      </w:r>
      <w:hyperlink r:id="rId63" w:anchor="29:1.1.1.1.31.4.58.7" w:history="1">
        <w:r w:rsidR="00B930B1" w:rsidRPr="007A7850">
          <w:rPr>
            <w:rFonts w:ascii="Times" w:hAnsi="Times"/>
            <w:sz w:val="20"/>
            <w:szCs w:val="20"/>
          </w:rPr>
          <w:t>§37.66   What happens if a recipient fails to submit requested data, records, and/or information, or fails to provide CRC with the required access?</w:t>
        </w:r>
      </w:hyperlink>
      <w:r w:rsidR="00B930B1" w:rsidRPr="007A7850">
        <w:rPr>
          <w:rFonts w:ascii="Times" w:hAnsi="Times"/>
          <w:sz w:val="20"/>
          <w:szCs w:val="20"/>
        </w:rPr>
        <w:br/>
      </w:r>
      <w:hyperlink r:id="rId64" w:anchor="29:1.1.1.1.31.4.58.8" w:history="1">
        <w:r w:rsidR="00B930B1" w:rsidRPr="007A7850">
          <w:rPr>
            <w:rFonts w:ascii="Times" w:hAnsi="Times"/>
            <w:sz w:val="20"/>
            <w:szCs w:val="20"/>
          </w:rPr>
          <w:t>§37.67   What information must a Notice to Show Cause contain?</w:t>
        </w:r>
      </w:hyperlink>
      <w:r w:rsidR="00B930B1" w:rsidRPr="007A7850">
        <w:rPr>
          <w:rFonts w:ascii="Times" w:hAnsi="Times"/>
          <w:sz w:val="20"/>
          <w:szCs w:val="20"/>
        </w:rPr>
        <w:br/>
      </w:r>
      <w:hyperlink r:id="rId65" w:anchor="29:1.1.1.1.31.4.58.9" w:history="1">
        <w:r w:rsidR="00B930B1" w:rsidRPr="007A7850">
          <w:rPr>
            <w:rFonts w:ascii="Times" w:hAnsi="Times"/>
            <w:sz w:val="20"/>
            <w:szCs w:val="20"/>
          </w:rPr>
          <w:t>§37.68   How may a recipient show cause why enforcement proceedings should not be instituted?</w:t>
        </w:r>
      </w:hyperlink>
      <w:r w:rsidR="00B930B1" w:rsidRPr="007A7850">
        <w:rPr>
          <w:rFonts w:ascii="Times" w:hAnsi="Times"/>
          <w:sz w:val="20"/>
          <w:szCs w:val="20"/>
        </w:rPr>
        <w:br/>
      </w:r>
      <w:hyperlink r:id="rId66" w:anchor="29:1.1.1.1.31.4.58.10" w:history="1">
        <w:r w:rsidR="00B930B1" w:rsidRPr="007A7850">
          <w:rPr>
            <w:rFonts w:ascii="Times" w:hAnsi="Times"/>
            <w:sz w:val="20"/>
            <w:szCs w:val="20"/>
          </w:rPr>
          <w:t>§37.69   What happens if a recipient fails to show cause?</w:t>
        </w:r>
      </w:hyperlink>
      <w:r w:rsidR="00B930B1" w:rsidRPr="007A7850">
        <w:rPr>
          <w:rFonts w:ascii="Times" w:hAnsi="Times"/>
          <w:sz w:val="20"/>
          <w:szCs w:val="20"/>
        </w:rPr>
        <w:br/>
      </w:r>
      <w:hyperlink r:id="rId67" w:anchor="29:1.1.1.1.31.4.58.11" w:history="1">
        <w:r w:rsidR="00B930B1" w:rsidRPr="007A7850">
          <w:rPr>
            <w:rFonts w:ascii="Times" w:hAnsi="Times"/>
            <w:sz w:val="20"/>
            <w:szCs w:val="20"/>
          </w:rPr>
          <w:t>§37.70   Who may file a complaint concerning discrimination connected with WIA Title I?</w:t>
        </w:r>
      </w:hyperlink>
      <w:r w:rsidR="00B930B1" w:rsidRPr="007A7850">
        <w:rPr>
          <w:rFonts w:ascii="Times" w:hAnsi="Times"/>
          <w:sz w:val="20"/>
          <w:szCs w:val="20"/>
        </w:rPr>
        <w:br/>
      </w:r>
      <w:hyperlink r:id="rId68" w:anchor="29:1.1.1.1.31.4.58.12" w:history="1">
        <w:r w:rsidR="00B930B1" w:rsidRPr="007A7850">
          <w:rPr>
            <w:rFonts w:ascii="Times" w:hAnsi="Times"/>
            <w:sz w:val="20"/>
            <w:szCs w:val="20"/>
          </w:rPr>
          <w:t>§37.71   Where may a complaint be filed?</w:t>
        </w:r>
      </w:hyperlink>
      <w:r w:rsidR="00B930B1" w:rsidRPr="007A7850">
        <w:rPr>
          <w:rFonts w:ascii="Times" w:hAnsi="Times"/>
          <w:sz w:val="20"/>
          <w:szCs w:val="20"/>
        </w:rPr>
        <w:br/>
      </w:r>
      <w:hyperlink r:id="rId69" w:anchor="29:1.1.1.1.31.4.58.13" w:history="1">
        <w:r w:rsidR="00B930B1" w:rsidRPr="007A7850">
          <w:rPr>
            <w:rFonts w:ascii="Times" w:hAnsi="Times"/>
            <w:sz w:val="20"/>
            <w:szCs w:val="20"/>
          </w:rPr>
          <w:t>§37.72   When must a complaint be filed?</w:t>
        </w:r>
      </w:hyperlink>
      <w:r w:rsidR="00B930B1" w:rsidRPr="007A7850">
        <w:rPr>
          <w:rFonts w:ascii="Times" w:hAnsi="Times"/>
          <w:sz w:val="20"/>
          <w:szCs w:val="20"/>
        </w:rPr>
        <w:br/>
      </w:r>
      <w:hyperlink r:id="rId70" w:anchor="29:1.1.1.1.31.4.58.14" w:history="1">
        <w:r w:rsidR="00B930B1" w:rsidRPr="007A7850">
          <w:rPr>
            <w:rFonts w:ascii="Times" w:hAnsi="Times"/>
            <w:sz w:val="20"/>
            <w:szCs w:val="20"/>
          </w:rPr>
          <w:t>§37.73   What information must a complaint contain?</w:t>
        </w:r>
      </w:hyperlink>
      <w:r w:rsidR="00B930B1" w:rsidRPr="007A7850">
        <w:rPr>
          <w:rFonts w:ascii="Times" w:hAnsi="Times"/>
          <w:sz w:val="20"/>
          <w:szCs w:val="20"/>
        </w:rPr>
        <w:br/>
      </w:r>
      <w:hyperlink r:id="rId71" w:anchor="29:1.1.1.1.31.4.58.15" w:history="1">
        <w:r w:rsidR="00B930B1" w:rsidRPr="007A7850">
          <w:rPr>
            <w:rFonts w:ascii="Times" w:hAnsi="Times"/>
            <w:sz w:val="20"/>
            <w:szCs w:val="20"/>
          </w:rPr>
          <w:t>§37.74   Are there any forms that a complainant may use to file a complaint?</w:t>
        </w:r>
      </w:hyperlink>
      <w:r w:rsidR="00B930B1" w:rsidRPr="007A7850">
        <w:rPr>
          <w:rFonts w:ascii="Times" w:hAnsi="Times"/>
          <w:sz w:val="20"/>
          <w:szCs w:val="20"/>
        </w:rPr>
        <w:br/>
      </w:r>
      <w:hyperlink r:id="rId72" w:anchor="29:1.1.1.1.31.4.58.16" w:history="1">
        <w:r w:rsidR="00B930B1" w:rsidRPr="007A7850">
          <w:rPr>
            <w:rFonts w:ascii="Times" w:hAnsi="Times"/>
            <w:sz w:val="20"/>
            <w:szCs w:val="20"/>
          </w:rPr>
          <w:t>§37.75   Is there a right of representation in the complaint process?</w:t>
        </w:r>
      </w:hyperlink>
      <w:r w:rsidR="00B930B1" w:rsidRPr="007A7850">
        <w:rPr>
          <w:rFonts w:ascii="Times" w:hAnsi="Times"/>
          <w:sz w:val="20"/>
          <w:szCs w:val="20"/>
        </w:rPr>
        <w:br/>
      </w:r>
      <w:hyperlink r:id="rId73" w:anchor="29:1.1.1.1.31.4.58.17" w:history="1">
        <w:r w:rsidR="00B930B1" w:rsidRPr="007A7850">
          <w:rPr>
            <w:rFonts w:ascii="Times" w:hAnsi="Times"/>
            <w:sz w:val="20"/>
            <w:szCs w:val="20"/>
          </w:rPr>
          <w:t>§37.76   What are the required elements of a recipient's discrimination complaint processing procedures?</w:t>
        </w:r>
      </w:hyperlink>
      <w:r w:rsidR="00B930B1" w:rsidRPr="007A7850">
        <w:rPr>
          <w:rFonts w:ascii="Times" w:hAnsi="Times"/>
          <w:sz w:val="20"/>
          <w:szCs w:val="20"/>
        </w:rPr>
        <w:br/>
      </w:r>
      <w:hyperlink r:id="rId74" w:anchor="29:1.1.1.1.31.4.58.18" w:history="1">
        <w:r w:rsidR="00B930B1" w:rsidRPr="007A7850">
          <w:rPr>
            <w:rFonts w:ascii="Times" w:hAnsi="Times"/>
            <w:sz w:val="20"/>
            <w:szCs w:val="20"/>
          </w:rPr>
          <w:t>§37.77   Who is responsible for developing and publishing complaint processing procedures for service providers?</w:t>
        </w:r>
      </w:hyperlink>
      <w:r w:rsidR="00B930B1" w:rsidRPr="007A7850">
        <w:rPr>
          <w:rFonts w:ascii="Times" w:hAnsi="Times"/>
          <w:sz w:val="20"/>
          <w:szCs w:val="20"/>
        </w:rPr>
        <w:br/>
      </w:r>
      <w:hyperlink r:id="rId75" w:anchor="29:1.1.1.1.31.4.58.19" w:history="1">
        <w:r w:rsidR="00B930B1" w:rsidRPr="007A7850">
          <w:rPr>
            <w:rFonts w:ascii="Times" w:hAnsi="Times"/>
            <w:sz w:val="20"/>
            <w:szCs w:val="20"/>
          </w:rPr>
          <w:t>§37.78   Does a recipient have any special obligations in cases in which the recipient determines that it has no jurisdiction over a complaint?</w:t>
        </w:r>
      </w:hyperlink>
      <w:r w:rsidR="00B930B1" w:rsidRPr="007A7850">
        <w:rPr>
          <w:rFonts w:ascii="Times" w:hAnsi="Times"/>
          <w:sz w:val="20"/>
          <w:szCs w:val="20"/>
        </w:rPr>
        <w:br/>
      </w:r>
      <w:hyperlink r:id="rId76" w:anchor="29:1.1.1.1.31.4.58.20" w:history="1">
        <w:r w:rsidR="00B930B1" w:rsidRPr="007A7850">
          <w:rPr>
            <w:rFonts w:ascii="Times" w:hAnsi="Times"/>
            <w:sz w:val="20"/>
            <w:szCs w:val="20"/>
          </w:rPr>
          <w:t>§37.79   If, before the 90-day period has expired, a recipient issues a Notice of Final Action with which the complainant is dissatisfied, how long does the complainant have to file a complaint with the Director?</w:t>
        </w:r>
      </w:hyperlink>
      <w:r w:rsidR="00B930B1" w:rsidRPr="007A7850">
        <w:rPr>
          <w:rFonts w:ascii="Times" w:hAnsi="Times"/>
          <w:sz w:val="20"/>
          <w:szCs w:val="20"/>
        </w:rPr>
        <w:br/>
      </w:r>
      <w:hyperlink r:id="rId77" w:anchor="29:1.1.1.1.31.4.58.21" w:history="1">
        <w:r w:rsidR="00B930B1" w:rsidRPr="007A7850">
          <w:rPr>
            <w:rFonts w:ascii="Times" w:hAnsi="Times"/>
            <w:sz w:val="20"/>
            <w:szCs w:val="20"/>
          </w:rPr>
          <w:t>§37.80   What happens if a recipient fails to issue a Notice of Final Action within 90 days of the date on which a complaint was filed?</w:t>
        </w:r>
      </w:hyperlink>
      <w:r w:rsidR="00B930B1" w:rsidRPr="007A7850">
        <w:rPr>
          <w:rFonts w:ascii="Times" w:hAnsi="Times"/>
          <w:sz w:val="20"/>
          <w:szCs w:val="20"/>
        </w:rPr>
        <w:br/>
      </w:r>
      <w:hyperlink r:id="rId78" w:anchor="29:1.1.1.1.31.4.58.22" w:history="1">
        <w:r w:rsidR="00B930B1" w:rsidRPr="007A7850">
          <w:rPr>
            <w:rFonts w:ascii="Times" w:hAnsi="Times"/>
            <w:sz w:val="20"/>
            <w:szCs w:val="20"/>
          </w:rPr>
          <w:t>§37.81   Are there any circumstances under which the Director may extend the time limit for filing a complaint with him or her?</w:t>
        </w:r>
      </w:hyperlink>
      <w:r w:rsidR="00B930B1" w:rsidRPr="007A7850">
        <w:rPr>
          <w:rFonts w:ascii="Times" w:hAnsi="Times"/>
          <w:sz w:val="20"/>
          <w:szCs w:val="20"/>
        </w:rPr>
        <w:br/>
      </w:r>
      <w:hyperlink r:id="rId79" w:anchor="29:1.1.1.1.31.4.58.23" w:history="1">
        <w:r w:rsidR="00B930B1" w:rsidRPr="007A7850">
          <w:rPr>
            <w:rFonts w:ascii="Times" w:hAnsi="Times"/>
            <w:sz w:val="20"/>
            <w:szCs w:val="20"/>
          </w:rPr>
          <w:t>§37.82   Does the Director accept every complaint for resolution?</w:t>
        </w:r>
      </w:hyperlink>
      <w:r w:rsidR="00B930B1" w:rsidRPr="007A7850">
        <w:rPr>
          <w:rFonts w:ascii="Times" w:hAnsi="Times"/>
          <w:sz w:val="20"/>
          <w:szCs w:val="20"/>
        </w:rPr>
        <w:br/>
      </w:r>
      <w:hyperlink r:id="rId80" w:anchor="29:1.1.1.1.31.4.58.24" w:history="1">
        <w:r w:rsidR="00B930B1" w:rsidRPr="007A7850">
          <w:rPr>
            <w:rFonts w:ascii="Times" w:hAnsi="Times"/>
            <w:sz w:val="20"/>
            <w:szCs w:val="20"/>
          </w:rPr>
          <w:t>§37.83   What happens if a complaint does not contain enough information?</w:t>
        </w:r>
      </w:hyperlink>
      <w:r w:rsidR="00B930B1" w:rsidRPr="007A7850">
        <w:rPr>
          <w:rFonts w:ascii="Times" w:hAnsi="Times"/>
          <w:sz w:val="20"/>
          <w:szCs w:val="20"/>
        </w:rPr>
        <w:br/>
      </w:r>
      <w:hyperlink r:id="rId81" w:anchor="29:1.1.1.1.31.4.58.25" w:history="1">
        <w:r w:rsidR="00B930B1" w:rsidRPr="007A7850">
          <w:rPr>
            <w:rFonts w:ascii="Times" w:hAnsi="Times"/>
            <w:sz w:val="20"/>
            <w:szCs w:val="20"/>
          </w:rPr>
          <w:t>§37.84   What happens if CRC does not have jurisdiction over a complaint?</w:t>
        </w:r>
      </w:hyperlink>
      <w:r w:rsidR="00B930B1" w:rsidRPr="007A7850">
        <w:rPr>
          <w:rFonts w:ascii="Times" w:hAnsi="Times"/>
          <w:sz w:val="20"/>
          <w:szCs w:val="20"/>
        </w:rPr>
        <w:br/>
      </w:r>
      <w:hyperlink r:id="rId82" w:anchor="29:1.1.1.1.31.4.58.26" w:history="1">
        <w:r w:rsidR="00B930B1" w:rsidRPr="007A7850">
          <w:rPr>
            <w:rFonts w:ascii="Times" w:hAnsi="Times"/>
            <w:sz w:val="20"/>
            <w:szCs w:val="20"/>
          </w:rPr>
          <w:t>§37.85   Are there any other circumstances in which the Director will send a complaint to another authority?</w:t>
        </w:r>
      </w:hyperlink>
      <w:r w:rsidR="00B930B1" w:rsidRPr="007A7850">
        <w:rPr>
          <w:rFonts w:ascii="Times" w:hAnsi="Times"/>
          <w:sz w:val="20"/>
          <w:szCs w:val="20"/>
        </w:rPr>
        <w:br/>
      </w:r>
      <w:hyperlink r:id="rId83" w:anchor="29:1.1.1.1.31.4.58.27" w:history="1">
        <w:r w:rsidR="00B930B1" w:rsidRPr="007A7850">
          <w:rPr>
            <w:rFonts w:ascii="Times" w:hAnsi="Times"/>
            <w:sz w:val="20"/>
            <w:szCs w:val="20"/>
          </w:rPr>
          <w:t>§37.86   What must the Director do if he or she determines that a complaint will not be accepted?</w:t>
        </w:r>
      </w:hyperlink>
      <w:r w:rsidR="00B930B1" w:rsidRPr="007A7850">
        <w:rPr>
          <w:rFonts w:ascii="Times" w:hAnsi="Times"/>
          <w:sz w:val="20"/>
          <w:szCs w:val="20"/>
        </w:rPr>
        <w:br/>
      </w:r>
      <w:hyperlink r:id="rId84" w:anchor="29:1.1.1.1.31.4.58.28" w:history="1">
        <w:r w:rsidR="00B930B1" w:rsidRPr="007A7850">
          <w:rPr>
            <w:rFonts w:ascii="Times" w:hAnsi="Times"/>
            <w:sz w:val="20"/>
            <w:szCs w:val="20"/>
          </w:rPr>
          <w:t>§37.87   What must the Director do if he or she determines that a complaint will be accepted?</w:t>
        </w:r>
      </w:hyperlink>
      <w:r w:rsidR="00B930B1" w:rsidRPr="007A7850">
        <w:rPr>
          <w:rFonts w:ascii="Times" w:hAnsi="Times"/>
          <w:sz w:val="20"/>
          <w:szCs w:val="20"/>
        </w:rPr>
        <w:br/>
      </w:r>
      <w:hyperlink r:id="rId85" w:anchor="29:1.1.1.1.31.4.58.29" w:history="1">
        <w:r w:rsidR="00B930B1" w:rsidRPr="007A7850">
          <w:rPr>
            <w:rFonts w:ascii="Times" w:hAnsi="Times"/>
            <w:sz w:val="20"/>
            <w:szCs w:val="20"/>
          </w:rPr>
          <w:t>§37.88   Who may contact CRC about a complaint?</w:t>
        </w:r>
      </w:hyperlink>
      <w:r w:rsidR="00B930B1" w:rsidRPr="007A7850">
        <w:rPr>
          <w:rFonts w:ascii="Times" w:hAnsi="Times"/>
          <w:sz w:val="20"/>
          <w:szCs w:val="20"/>
        </w:rPr>
        <w:br/>
      </w:r>
      <w:hyperlink r:id="rId86" w:anchor="29:1.1.1.1.31.4.58.30" w:history="1">
        <w:r w:rsidR="00B930B1" w:rsidRPr="007A7850">
          <w:rPr>
            <w:rFonts w:ascii="Times" w:hAnsi="Times"/>
            <w:sz w:val="20"/>
            <w:szCs w:val="20"/>
          </w:rPr>
          <w:t>§37.89   May the Director offer the parties to a complaint the option of mediation?</w:t>
        </w:r>
      </w:hyperlink>
      <w:r w:rsidR="00B930B1" w:rsidRPr="007A7850">
        <w:rPr>
          <w:rFonts w:ascii="Times" w:hAnsi="Times"/>
          <w:sz w:val="20"/>
          <w:szCs w:val="20"/>
        </w:rPr>
        <w:br/>
      </w:r>
      <w:hyperlink r:id="rId87" w:anchor="29:1.1.1.1.31.4.58.31" w:history="1">
        <w:r w:rsidR="00B930B1" w:rsidRPr="007A7850">
          <w:rPr>
            <w:rFonts w:ascii="Times" w:hAnsi="Times"/>
            <w:sz w:val="20"/>
            <w:szCs w:val="20"/>
          </w:rPr>
          <w:t>§37.90   If a complaint is investigated, what must the Director do when the investigation is completed?</w:t>
        </w:r>
      </w:hyperlink>
      <w:r w:rsidR="00B930B1" w:rsidRPr="007A7850">
        <w:rPr>
          <w:rFonts w:ascii="Times" w:hAnsi="Times"/>
          <w:sz w:val="20"/>
          <w:szCs w:val="20"/>
        </w:rPr>
        <w:br/>
      </w:r>
      <w:hyperlink r:id="rId88" w:anchor="29:1.1.1.1.31.4.58.32" w:history="1">
        <w:r w:rsidR="00B930B1" w:rsidRPr="007A7850">
          <w:rPr>
            <w:rFonts w:ascii="Times" w:hAnsi="Times"/>
            <w:sz w:val="20"/>
            <w:szCs w:val="20"/>
          </w:rPr>
          <w:t xml:space="preserve">§37.91   What notice must the Director issue if he or she finds reasonable cause to believe that a violation </w:t>
        </w:r>
        <w:r w:rsidR="00B930B1" w:rsidRPr="007A7850">
          <w:rPr>
            <w:rFonts w:ascii="Times" w:hAnsi="Times"/>
            <w:sz w:val="20"/>
            <w:szCs w:val="20"/>
          </w:rPr>
          <w:lastRenderedPageBreak/>
          <w:t>has taken place?</w:t>
        </w:r>
      </w:hyperlink>
      <w:r w:rsidR="00B930B1" w:rsidRPr="007A7850">
        <w:rPr>
          <w:rFonts w:ascii="Times" w:hAnsi="Times"/>
          <w:sz w:val="20"/>
          <w:szCs w:val="20"/>
        </w:rPr>
        <w:br/>
      </w:r>
      <w:hyperlink r:id="rId89" w:anchor="29:1.1.1.1.31.4.58.33" w:history="1">
        <w:r w:rsidR="00B930B1" w:rsidRPr="007A7850">
          <w:rPr>
            <w:rFonts w:ascii="Times" w:hAnsi="Times"/>
            <w:sz w:val="20"/>
            <w:szCs w:val="20"/>
          </w:rPr>
          <w:t>§37.92   What notice must the Director issue if he or she finds no reasonable cause to believe that a violation has taken place?</w:t>
        </w:r>
      </w:hyperlink>
      <w:r w:rsidR="00B930B1" w:rsidRPr="007A7850">
        <w:rPr>
          <w:rFonts w:ascii="Times" w:hAnsi="Times"/>
          <w:sz w:val="20"/>
          <w:szCs w:val="20"/>
        </w:rPr>
        <w:br/>
      </w:r>
      <w:hyperlink r:id="rId90" w:anchor="29:1.1.1.1.31.4.58.34" w:history="1">
        <w:r w:rsidR="00B930B1" w:rsidRPr="007A7850">
          <w:rPr>
            <w:rFonts w:ascii="Times" w:hAnsi="Times"/>
            <w:sz w:val="20"/>
            <w:szCs w:val="20"/>
          </w:rPr>
          <w:t>§37.93   What happens if the Director finds that a violation has taken place, and the recipient fails or refuses to take the corrective action listed in the Initial Determination?</w:t>
        </w:r>
      </w:hyperlink>
      <w:r w:rsidR="00B930B1" w:rsidRPr="007A7850">
        <w:rPr>
          <w:rFonts w:ascii="Times" w:hAnsi="Times"/>
          <w:sz w:val="20"/>
          <w:szCs w:val="20"/>
        </w:rPr>
        <w:br/>
      </w:r>
      <w:hyperlink r:id="rId91" w:anchor="29:1.1.1.1.31.4.58.35" w:history="1">
        <w:r w:rsidR="00B930B1" w:rsidRPr="007A7850">
          <w:rPr>
            <w:rFonts w:ascii="Times" w:hAnsi="Times"/>
            <w:sz w:val="20"/>
            <w:szCs w:val="20"/>
          </w:rPr>
          <w:t>§37.94   What corrective or remedial actions may be imposed where, after a compliance review or complaint investigation, the Director finds a violation of the nondiscrimination and equal opportunity provisions of WIA or this part?</w:t>
        </w:r>
      </w:hyperlink>
      <w:r w:rsidR="00B930B1" w:rsidRPr="007A7850">
        <w:rPr>
          <w:rFonts w:ascii="Times" w:hAnsi="Times"/>
          <w:sz w:val="20"/>
          <w:szCs w:val="20"/>
        </w:rPr>
        <w:br/>
      </w:r>
      <w:hyperlink r:id="rId92" w:anchor="29:1.1.1.1.31.4.58.36" w:history="1">
        <w:r w:rsidR="00B930B1" w:rsidRPr="007A7850">
          <w:rPr>
            <w:rFonts w:ascii="Times" w:hAnsi="Times"/>
            <w:sz w:val="20"/>
            <w:szCs w:val="20"/>
          </w:rPr>
          <w:t>§37.95   What procedures apply if the Director finds that a recipient has violated the nondiscrimination and equal opportunity provisions of WIA or this part?</w:t>
        </w:r>
      </w:hyperlink>
      <w:r w:rsidR="00B930B1" w:rsidRPr="007A7850">
        <w:rPr>
          <w:rFonts w:ascii="Times" w:hAnsi="Times"/>
          <w:sz w:val="20"/>
          <w:szCs w:val="20"/>
        </w:rPr>
        <w:br/>
      </w:r>
      <w:hyperlink r:id="rId93" w:anchor="29:1.1.1.1.31.4.58.37" w:history="1">
        <w:r w:rsidR="00B930B1" w:rsidRPr="007A7850">
          <w:rPr>
            <w:rFonts w:ascii="Times" w:hAnsi="Times"/>
            <w:sz w:val="20"/>
            <w:szCs w:val="20"/>
          </w:rPr>
          <w:t>§37.96   What are the required elements of a written assurance?</w:t>
        </w:r>
      </w:hyperlink>
      <w:r w:rsidR="00B930B1" w:rsidRPr="007A7850">
        <w:rPr>
          <w:rFonts w:ascii="Times" w:hAnsi="Times"/>
          <w:sz w:val="20"/>
          <w:szCs w:val="20"/>
        </w:rPr>
        <w:br/>
      </w:r>
      <w:hyperlink r:id="rId94" w:anchor="29:1.1.1.1.31.4.58.38" w:history="1">
        <w:r w:rsidR="00B930B1" w:rsidRPr="007A7850">
          <w:rPr>
            <w:rFonts w:ascii="Times" w:hAnsi="Times"/>
            <w:sz w:val="20"/>
            <w:szCs w:val="20"/>
          </w:rPr>
          <w:t>§37.97   What are the required elements of a Conciliation Agreement?</w:t>
        </w:r>
      </w:hyperlink>
      <w:r w:rsidR="00B930B1" w:rsidRPr="007A7850">
        <w:rPr>
          <w:rFonts w:ascii="Times" w:hAnsi="Times"/>
          <w:sz w:val="20"/>
          <w:szCs w:val="20"/>
        </w:rPr>
        <w:br/>
      </w:r>
      <w:hyperlink r:id="rId95" w:anchor="29:1.1.1.1.31.4.58.39" w:history="1">
        <w:r w:rsidR="00B930B1" w:rsidRPr="007A7850">
          <w:rPr>
            <w:rFonts w:ascii="Times" w:hAnsi="Times"/>
            <w:sz w:val="20"/>
            <w:szCs w:val="20"/>
          </w:rPr>
          <w:t>§37.98   When will the Director conclude that compliance cannot be secured by voluntary means?</w:t>
        </w:r>
      </w:hyperlink>
      <w:r w:rsidR="00B930B1" w:rsidRPr="007A7850">
        <w:rPr>
          <w:rFonts w:ascii="Times" w:hAnsi="Times"/>
          <w:sz w:val="20"/>
          <w:szCs w:val="20"/>
        </w:rPr>
        <w:br/>
      </w:r>
      <w:hyperlink r:id="rId96" w:anchor="29:1.1.1.1.31.4.58.40" w:history="1">
        <w:r w:rsidR="00B930B1" w:rsidRPr="007A7850">
          <w:rPr>
            <w:rFonts w:ascii="Times" w:hAnsi="Times"/>
            <w:sz w:val="20"/>
            <w:szCs w:val="20"/>
          </w:rPr>
          <w:t>§37.99   If the Director concludes that compliance cannot be secured by voluntary means, what actions must he or she take?</w:t>
        </w:r>
      </w:hyperlink>
      <w:r w:rsidR="00B930B1" w:rsidRPr="007A7850">
        <w:rPr>
          <w:rFonts w:ascii="Times" w:hAnsi="Times"/>
          <w:sz w:val="20"/>
          <w:szCs w:val="20"/>
        </w:rPr>
        <w:br/>
      </w:r>
      <w:hyperlink r:id="rId97" w:anchor="29:1.1.1.1.31.4.58.41" w:history="1">
        <w:r w:rsidR="00B930B1" w:rsidRPr="007A7850">
          <w:rPr>
            <w:rFonts w:ascii="Times" w:hAnsi="Times"/>
            <w:sz w:val="20"/>
            <w:szCs w:val="20"/>
          </w:rPr>
          <w:t>§37.100   What information must a Final Determination contain?</w:t>
        </w:r>
      </w:hyperlink>
      <w:r w:rsidR="00B930B1" w:rsidRPr="007A7850">
        <w:rPr>
          <w:rFonts w:ascii="Times" w:hAnsi="Times"/>
          <w:sz w:val="20"/>
          <w:szCs w:val="20"/>
        </w:rPr>
        <w:br/>
      </w:r>
      <w:hyperlink r:id="rId98" w:anchor="29:1.1.1.1.31.4.58.42" w:history="1">
        <w:r w:rsidR="00B930B1" w:rsidRPr="007A7850">
          <w:rPr>
            <w:rFonts w:ascii="Times" w:hAnsi="Times"/>
            <w:sz w:val="20"/>
            <w:szCs w:val="20"/>
          </w:rPr>
          <w:t>§37.101   Whom must the Director notify of a finding of noncompliance?</w:t>
        </w:r>
      </w:hyperlink>
      <w:r w:rsidR="00B930B1" w:rsidRPr="007A7850">
        <w:rPr>
          <w:rFonts w:ascii="Times" w:hAnsi="Times"/>
          <w:sz w:val="20"/>
          <w:szCs w:val="20"/>
        </w:rPr>
        <w:br/>
      </w:r>
      <w:hyperlink r:id="rId99" w:anchor="29:1.1.1.1.31.4.58.43" w:history="1">
        <w:r w:rsidR="00B930B1" w:rsidRPr="007A7850">
          <w:rPr>
            <w:rFonts w:ascii="Times" w:hAnsi="Times"/>
            <w:sz w:val="20"/>
            <w:szCs w:val="20"/>
          </w:rPr>
          <w:t>§37.102   What happens if a grant applicant or recipient breaches a Conciliation Agreement?</w:t>
        </w:r>
      </w:hyperlink>
      <w:r w:rsidR="00B930B1" w:rsidRPr="007A7850">
        <w:rPr>
          <w:rFonts w:ascii="Times" w:hAnsi="Times"/>
          <w:sz w:val="20"/>
          <w:szCs w:val="20"/>
        </w:rPr>
        <w:br/>
      </w:r>
      <w:hyperlink r:id="rId100" w:anchor="29:1.1.1.1.31.4.58.44" w:history="1">
        <w:r w:rsidR="00B930B1" w:rsidRPr="007A7850">
          <w:rPr>
            <w:rFonts w:ascii="Times" w:hAnsi="Times"/>
            <w:sz w:val="20"/>
            <w:szCs w:val="20"/>
          </w:rPr>
          <w:t>§37.103   Whom must the Director notify about a breach of a Conciliation Agreement?</w:t>
        </w:r>
      </w:hyperlink>
      <w:r w:rsidR="00B930B1" w:rsidRPr="007A7850">
        <w:rPr>
          <w:rFonts w:ascii="Times" w:hAnsi="Times"/>
          <w:sz w:val="20"/>
          <w:szCs w:val="20"/>
        </w:rPr>
        <w:br/>
      </w:r>
      <w:hyperlink r:id="rId101" w:anchor="29:1.1.1.1.31.4.58.45" w:history="1">
        <w:r w:rsidR="00B930B1" w:rsidRPr="007A7850">
          <w:rPr>
            <w:rFonts w:ascii="Times" w:hAnsi="Times"/>
            <w:sz w:val="20"/>
            <w:szCs w:val="20"/>
          </w:rPr>
          <w:t>§37.104   What information must a Notification of Breach of Conciliation Agreement contain?</w:t>
        </w:r>
      </w:hyperlink>
      <w:r w:rsidR="00B930B1" w:rsidRPr="007A7850">
        <w:rPr>
          <w:rFonts w:ascii="Times" w:hAnsi="Times"/>
          <w:sz w:val="20"/>
          <w:szCs w:val="20"/>
        </w:rPr>
        <w:br/>
      </w:r>
      <w:hyperlink r:id="rId102" w:anchor="29:1.1.1.1.31.4.58.46" w:history="1">
        <w:r w:rsidR="00B930B1" w:rsidRPr="007A7850">
          <w:rPr>
            <w:rFonts w:ascii="Times" w:hAnsi="Times"/>
            <w:sz w:val="20"/>
            <w:szCs w:val="20"/>
          </w:rPr>
          <w:t>§37.105   Whom must the Director notify if enforcement action under a Notification of Breach of Conciliation Agreement is commenced?</w:t>
        </w:r>
      </w:hyperlink>
    </w:p>
    <w:p w14:paraId="1EA8313B" w14:textId="77777777" w:rsidR="00B930B1" w:rsidRPr="007A7850" w:rsidRDefault="00B43D20" w:rsidP="007A7850">
      <w:pPr>
        <w:rPr>
          <w:rFonts w:ascii="Times" w:hAnsi="Times"/>
          <w:sz w:val="20"/>
          <w:szCs w:val="20"/>
        </w:rPr>
      </w:pPr>
      <w:hyperlink r:id="rId103" w:anchor="29:1.1.1.1.31.5" w:history="1">
        <w:r w:rsidR="00B930B1" w:rsidRPr="007A7850">
          <w:rPr>
            <w:rFonts w:ascii="Times" w:hAnsi="Times"/>
            <w:sz w:val="20"/>
            <w:szCs w:val="20"/>
          </w:rPr>
          <w:t>Subpart E—Federal Procedures For Effecting Compliance</w:t>
        </w:r>
      </w:hyperlink>
    </w:p>
    <w:p w14:paraId="35757788" w14:textId="77777777" w:rsidR="00B930B1" w:rsidRPr="007A7850" w:rsidRDefault="00B43D20" w:rsidP="007A7850">
      <w:pPr>
        <w:rPr>
          <w:rFonts w:ascii="Times" w:hAnsi="Times"/>
          <w:sz w:val="20"/>
          <w:szCs w:val="20"/>
        </w:rPr>
      </w:pPr>
      <w:hyperlink r:id="rId104" w:anchor="29:1.1.1.1.31.5.58.1" w:history="1">
        <w:r w:rsidR="00B930B1" w:rsidRPr="007A7850">
          <w:rPr>
            <w:rFonts w:ascii="Times" w:hAnsi="Times"/>
            <w:sz w:val="20"/>
            <w:szCs w:val="20"/>
          </w:rPr>
          <w:t>§37.110   What enforcement procedures does the Department follow to effect compliance with the nondiscrimination and equal opportunity provisions of WIA and this part?</w:t>
        </w:r>
      </w:hyperlink>
      <w:r w:rsidR="00B930B1" w:rsidRPr="007A7850">
        <w:rPr>
          <w:rFonts w:ascii="Times" w:hAnsi="Times"/>
          <w:sz w:val="20"/>
          <w:szCs w:val="20"/>
        </w:rPr>
        <w:br/>
      </w:r>
      <w:hyperlink r:id="rId105" w:anchor="29:1.1.1.1.31.5.58.2" w:history="1">
        <w:r w:rsidR="00B930B1" w:rsidRPr="007A7850">
          <w:rPr>
            <w:rFonts w:ascii="Times" w:hAnsi="Times"/>
            <w:sz w:val="20"/>
            <w:szCs w:val="20"/>
          </w:rPr>
          <w:t>§37.111   What hearing procedures does the Department follow?</w:t>
        </w:r>
      </w:hyperlink>
      <w:r w:rsidR="00B930B1" w:rsidRPr="007A7850">
        <w:rPr>
          <w:rFonts w:ascii="Times" w:hAnsi="Times"/>
          <w:sz w:val="20"/>
          <w:szCs w:val="20"/>
        </w:rPr>
        <w:br/>
      </w:r>
      <w:hyperlink r:id="rId106" w:anchor="29:1.1.1.1.31.5.58.3" w:history="1">
        <w:r w:rsidR="00B930B1" w:rsidRPr="007A7850">
          <w:rPr>
            <w:rFonts w:ascii="Times" w:hAnsi="Times"/>
            <w:sz w:val="20"/>
            <w:szCs w:val="20"/>
          </w:rPr>
          <w:t>§37.112   What procedures for initial and final decisions does the Department follow?</w:t>
        </w:r>
      </w:hyperlink>
      <w:r w:rsidR="00B930B1" w:rsidRPr="007A7850">
        <w:rPr>
          <w:rFonts w:ascii="Times" w:hAnsi="Times"/>
          <w:sz w:val="20"/>
          <w:szCs w:val="20"/>
        </w:rPr>
        <w:br/>
      </w:r>
      <w:hyperlink r:id="rId107" w:anchor="29:1.1.1.1.31.5.58.4" w:history="1">
        <w:r w:rsidR="00B930B1" w:rsidRPr="007A7850">
          <w:rPr>
            <w:rFonts w:ascii="Times" w:hAnsi="Times"/>
            <w:sz w:val="20"/>
            <w:szCs w:val="20"/>
          </w:rPr>
          <w:t>§37.113   What procedure does the Department follow to suspend, terminate, withhold, deny or discontinue WIA Title I financial assistance?</w:t>
        </w:r>
      </w:hyperlink>
      <w:r w:rsidR="00B930B1" w:rsidRPr="007A7850">
        <w:rPr>
          <w:rFonts w:ascii="Times" w:hAnsi="Times"/>
          <w:sz w:val="20"/>
          <w:szCs w:val="20"/>
        </w:rPr>
        <w:br/>
      </w:r>
      <w:hyperlink r:id="rId108" w:anchor="29:1.1.1.1.31.5.58.5" w:history="1">
        <w:r w:rsidR="00B930B1" w:rsidRPr="007A7850">
          <w:rPr>
            <w:rFonts w:ascii="Times" w:hAnsi="Times"/>
            <w:sz w:val="20"/>
            <w:szCs w:val="20"/>
          </w:rPr>
          <w:t>§37.114   What procedure does the Department follow to distribute WIA Title I financial assistance to an alternate recipient?</w:t>
        </w:r>
      </w:hyperlink>
      <w:r w:rsidR="00B930B1" w:rsidRPr="007A7850">
        <w:rPr>
          <w:rFonts w:ascii="Times" w:hAnsi="Times"/>
          <w:sz w:val="20"/>
          <w:szCs w:val="20"/>
        </w:rPr>
        <w:br/>
      </w:r>
      <w:hyperlink r:id="rId109" w:anchor="29:1.1.1.1.31.5.58.6" w:history="1">
        <w:r w:rsidR="00B930B1" w:rsidRPr="007A7850">
          <w:rPr>
            <w:rFonts w:ascii="Times" w:hAnsi="Times"/>
            <w:sz w:val="20"/>
            <w:szCs w:val="20"/>
          </w:rPr>
          <w:t>§37.115   What procedures does the Department follow for post-termination proceedings?</w:t>
        </w:r>
      </w:hyperlink>
    </w:p>
    <w:p w14:paraId="767760BD" w14:textId="77777777" w:rsidR="00B930B1" w:rsidRPr="007A7850" w:rsidRDefault="00B43D20" w:rsidP="00B930B1">
      <w:pPr>
        <w:rPr>
          <w:rFonts w:ascii="Times" w:eastAsia="Times New Roman" w:hAnsi="Times" w:cs="Times New Roman"/>
          <w:sz w:val="20"/>
          <w:szCs w:val="20"/>
        </w:rPr>
      </w:pPr>
      <w:r>
        <w:rPr>
          <w:rFonts w:ascii="Times" w:eastAsia="Times New Roman" w:hAnsi="Times" w:cs="Times New Roman"/>
          <w:sz w:val="20"/>
          <w:szCs w:val="20"/>
        </w:rPr>
        <w:pict w14:anchorId="741CC313">
          <v:rect id="_x0000_i1027" style="width:0;height:1.5pt" o:hralign="center" o:hrstd="t" o:hr="t" fillcolor="#aaa" stroked="f"/>
        </w:pict>
      </w:r>
    </w:p>
    <w:p w14:paraId="5CC725AC"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2" w:name="29:1.1.1.1.31.1"/>
      <w:bookmarkEnd w:id="2"/>
      <w:r w:rsidRPr="007A7850">
        <w:rPr>
          <w:rFonts w:ascii="Times" w:eastAsia="Times New Roman" w:hAnsi="Times" w:cs="Times New Roman"/>
          <w:bCs/>
          <w:sz w:val="20"/>
          <w:szCs w:val="20"/>
        </w:rPr>
        <w:t>Subpart A—General Provisions</w:t>
      </w:r>
    </w:p>
    <w:p w14:paraId="5EFD30CB"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3" w:name="29:1.1.1.1.31.1.56.1"/>
      <w:bookmarkEnd w:id="3"/>
      <w:r w:rsidRPr="007A7850">
        <w:rPr>
          <w:rFonts w:ascii="Times" w:eastAsia="Times New Roman" w:hAnsi="Times" w:cs="Times New Roman"/>
          <w:bCs/>
          <w:sz w:val="20"/>
          <w:szCs w:val="20"/>
        </w:rPr>
        <w:t>§37.1   What is the purpose of this part?</w:t>
      </w:r>
    </w:p>
    <w:p w14:paraId="3245B882"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The purpose of this part is to implement the nondiscrimination and equal opportunity provisions of the Workforce Investment Act of 1998 (WIA), which are contained in section 188 of WIA. Section 188 prohibits discrimination on the grounds of race, color, religion, sex, national origin, age, disability, political affiliation or belief, and for beneficiaries only, citizenship or participation in a WIA Title I-financially assisted program or activity. This part clarifies the application of the nondiscrimination and equal opportunity provisions of WIA and provides uniform procedures for implementing them.</w:t>
      </w:r>
    </w:p>
    <w:p w14:paraId="37C4281F"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4" w:name="29:1.1.1.1.31.1.56.2"/>
      <w:bookmarkEnd w:id="4"/>
      <w:r w:rsidRPr="007A7850">
        <w:rPr>
          <w:rFonts w:ascii="Times" w:eastAsia="Times New Roman" w:hAnsi="Times" w:cs="Times New Roman"/>
          <w:bCs/>
          <w:sz w:val="20"/>
          <w:szCs w:val="20"/>
        </w:rPr>
        <w:t>§37.2   To whom does this part apply, and what is the scope of this part?</w:t>
      </w:r>
    </w:p>
    <w:p w14:paraId="7B43FF61"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This part applies to:</w:t>
      </w:r>
    </w:p>
    <w:p w14:paraId="7AA92F6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 Any recipient, as defined in §37.4;</w:t>
      </w:r>
    </w:p>
    <w:p w14:paraId="478DB7A0"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Programs and activities that are part of the One-Stop delivery system and that are operated by One-Stop partners listed in section 121(b) of WIA, to the extent that the programs and activities are being conducted as part of the One-Stop delivery system; and</w:t>
      </w:r>
    </w:p>
    <w:p w14:paraId="22CA4A2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lastRenderedPageBreak/>
        <w:t>(3) The employment practices of a recipient and/or One-Stop partner, as provided in §37.10.</w:t>
      </w:r>
    </w:p>
    <w:p w14:paraId="458C33AE"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 xml:space="preserve">(b) </w:t>
      </w:r>
      <w:r w:rsidRPr="007A7850">
        <w:rPr>
          <w:rFonts w:ascii="Times" w:hAnsi="Times" w:cs="Times New Roman"/>
          <w:i/>
          <w:iCs/>
          <w:sz w:val="20"/>
          <w:szCs w:val="20"/>
        </w:rPr>
        <w:t>Limitation of application.</w:t>
      </w:r>
      <w:r w:rsidRPr="007A7850">
        <w:rPr>
          <w:rFonts w:ascii="Times" w:hAnsi="Times" w:cs="Times New Roman"/>
          <w:sz w:val="20"/>
          <w:szCs w:val="20"/>
        </w:rPr>
        <w:t xml:space="preserve"> This part does not apply to:</w:t>
      </w:r>
    </w:p>
    <w:p w14:paraId="2EA76ECE"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 Programs or activities that are financially assisted by the Department exclusively under laws other than Title I of WIA, and that are not part of the One-Stop delivery system (including programs or activities implemented under, authorized by, and/or financially assisted by the Department under, JTPA);</w:t>
      </w:r>
    </w:p>
    <w:p w14:paraId="6852B172"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Contracts of insurance or guaranty;</w:t>
      </w:r>
    </w:p>
    <w:p w14:paraId="476E4FB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(3) The ultimate beneficiary to this program of Federal financial assistance;</w:t>
      </w:r>
    </w:p>
    <w:p w14:paraId="6DF5B9A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(4) Federal procurement contracts, with the exception of contracts to operate or provide services to Job Corps Centers; and</w:t>
      </w:r>
    </w:p>
    <w:p w14:paraId="06E0647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 xml:space="preserve">(5) </w:t>
      </w:r>
      <w:r w:rsidRPr="007A7850">
        <w:rPr>
          <w:rFonts w:ascii="Times" w:hAnsi="Times" w:cs="Times New Roman"/>
          <w:i/>
          <w:iCs/>
          <w:sz w:val="20"/>
          <w:szCs w:val="20"/>
        </w:rPr>
        <w:t>Federally-operated Job Corps Centers.</w:t>
      </w:r>
      <w:r w:rsidRPr="007A7850">
        <w:rPr>
          <w:rFonts w:ascii="Times" w:hAnsi="Times" w:cs="Times New Roman"/>
          <w:sz w:val="20"/>
          <w:szCs w:val="20"/>
        </w:rPr>
        <w:t xml:space="preserve"> The operating Department is responsible for enforcing the nondiscrimination and equal opportunity laws to which such Centers are subject.</w:t>
      </w:r>
    </w:p>
    <w:p w14:paraId="697BA5A9"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5" w:name="29:1.1.1.1.31.1.56.3"/>
      <w:bookmarkEnd w:id="5"/>
      <w:r w:rsidRPr="007A7850">
        <w:rPr>
          <w:rFonts w:ascii="Times" w:eastAsia="Times New Roman" w:hAnsi="Times" w:cs="Times New Roman"/>
          <w:bCs/>
          <w:sz w:val="20"/>
          <w:szCs w:val="20"/>
        </w:rPr>
        <w:t>§37.3   How does this part affect a recipient's other obligations?</w:t>
      </w:r>
    </w:p>
    <w:p w14:paraId="478F4293"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A recipient's compliance with this part will satisfy any obligation of the recipient to comply with 29 CFR part 31, the Department of Labor's regulations implementing Title VI of the Civil Rights Act of 1964, as amended (Title VI), and with Subparts A, D and E of 29 CFR part 32, the Department's regulations implementing Section 504 of the Rehabilitation Act of 1973, as amended (Section 504).</w:t>
      </w:r>
    </w:p>
    <w:p w14:paraId="5DF9D6B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29 CFR part 32, Subparts B and C and Appendix A, the Department's regulations which implement the requirements of Section 504 pertaining to employment practices and employment-related training, program accessibility, and reasonable accommodation, are hereby incorporated into this part by reference. Therefore, recipients must comply with the requirements set forth in those regulatory sections as well as the requirements listed in this part.</w:t>
      </w:r>
    </w:p>
    <w:p w14:paraId="54B032F4"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(c) Recipients that are also public entities or public accommodations, as defined by Titles II and III of the Americans with Disabilities Act of 1990 (ADA), should be aware of obligations imposed by those titles.</w:t>
      </w:r>
    </w:p>
    <w:p w14:paraId="069FA51E"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(d) Similarly, recipients that are also employers, employment agencies, or other entities covered by Title I of the ADA should be aware of obligations imposed by that title.</w:t>
      </w:r>
    </w:p>
    <w:p w14:paraId="358E27A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(e) Compliance with this part does not affect, in any way, any additional obligation that a recipient may have to comply with the following laws and their implementing regulations:</w:t>
      </w:r>
    </w:p>
    <w:p w14:paraId="2993C42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 Executive Order 11246, as amended;</w:t>
      </w:r>
    </w:p>
    <w:p w14:paraId="24D9C70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Sections 503 and 504 of the Rehabilitation Act of 1973, as amended (29 U.S.C. 793 and 794);</w:t>
      </w:r>
    </w:p>
    <w:p w14:paraId="51B4C80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(3) The affirmative action provisions of the Vietnam Era Veterans' Readjustment Assistance Act of 1974, as amended (38 U.S.C. 4212);</w:t>
      </w:r>
    </w:p>
    <w:p w14:paraId="1F6AC41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(4) The Equal Pay Act of 1963, as amended (29 U.S.C. 206d);</w:t>
      </w:r>
    </w:p>
    <w:p w14:paraId="5DF21A8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 xml:space="preserve">(5) Titles VI and VII of the Civil Rights Act of 1964, as amended (42 U.S.C. 2000d </w:t>
      </w:r>
      <w:r w:rsidRPr="007A7850">
        <w:rPr>
          <w:rFonts w:ascii="Times" w:hAnsi="Times" w:cs="Times New Roman"/>
          <w:i/>
          <w:iCs/>
          <w:sz w:val="20"/>
          <w:szCs w:val="20"/>
        </w:rPr>
        <w:t>et seq.</w:t>
      </w:r>
      <w:r w:rsidRPr="007A7850">
        <w:rPr>
          <w:rFonts w:ascii="Times" w:hAnsi="Times" w:cs="Times New Roman"/>
          <w:sz w:val="20"/>
          <w:szCs w:val="20"/>
        </w:rPr>
        <w:t xml:space="preserve"> and 2000e </w:t>
      </w:r>
      <w:r w:rsidRPr="007A7850">
        <w:rPr>
          <w:rFonts w:ascii="Times" w:hAnsi="Times" w:cs="Times New Roman"/>
          <w:i/>
          <w:iCs/>
          <w:sz w:val="20"/>
          <w:szCs w:val="20"/>
        </w:rPr>
        <w:t>et seq.</w:t>
      </w:r>
      <w:r w:rsidRPr="007A7850">
        <w:rPr>
          <w:rFonts w:ascii="Times" w:hAnsi="Times" w:cs="Times New Roman"/>
          <w:sz w:val="20"/>
          <w:szCs w:val="20"/>
        </w:rPr>
        <w:t>);</w:t>
      </w:r>
    </w:p>
    <w:p w14:paraId="2BF1456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lastRenderedPageBreak/>
        <w:t>(6) The Age Discrimination Act of 1975, as amended (42 U.S.C. 6101);</w:t>
      </w:r>
    </w:p>
    <w:p w14:paraId="620134E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(7) The Age Discrimination in Employment Act of 1967, as amended (29 U.S.C. 621);</w:t>
      </w:r>
    </w:p>
    <w:p w14:paraId="63572E46"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(8) Title IX of the Education Amendments of 1972, as amended (Title IX) (20 U.S.C. 1681);</w:t>
      </w:r>
    </w:p>
    <w:p w14:paraId="229721A7"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 xml:space="preserve">(9) The Americans with Disabilities Act of 1990, as amended (42 U.S.C. 12101 </w:t>
      </w:r>
      <w:r w:rsidRPr="007A7850">
        <w:rPr>
          <w:rFonts w:ascii="Times" w:hAnsi="Times" w:cs="Times New Roman"/>
          <w:i/>
          <w:iCs/>
          <w:sz w:val="20"/>
          <w:szCs w:val="20"/>
        </w:rPr>
        <w:t>et seq</w:t>
      </w:r>
      <w:r w:rsidRPr="007A7850">
        <w:rPr>
          <w:rFonts w:ascii="Times" w:hAnsi="Times" w:cs="Times New Roman"/>
          <w:sz w:val="20"/>
          <w:szCs w:val="20"/>
        </w:rPr>
        <w:t>.); and</w:t>
      </w:r>
    </w:p>
    <w:p w14:paraId="1AF2BE90"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(10) The anti-discrimination provision of the Immigration and Nationality Act, as amended (8 U.S.C. 1324b).</w:t>
      </w:r>
    </w:p>
    <w:p w14:paraId="6D856B4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(f) This rule does not preempt consistent State and local requirements.</w:t>
      </w:r>
    </w:p>
    <w:p w14:paraId="32729D1A"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6" w:name="29:1.1.1.1.31.1.56.4"/>
      <w:bookmarkEnd w:id="6"/>
      <w:r w:rsidRPr="007A7850">
        <w:rPr>
          <w:rFonts w:ascii="Times" w:eastAsia="Times New Roman" w:hAnsi="Times" w:cs="Times New Roman"/>
          <w:bCs/>
          <w:sz w:val="20"/>
          <w:szCs w:val="20"/>
        </w:rPr>
        <w:t>§37.4   What definitions apply to this part?</w:t>
      </w:r>
    </w:p>
    <w:p w14:paraId="7201BB6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As used in this part, the term:</w:t>
      </w:r>
    </w:p>
    <w:p w14:paraId="477F006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Administrative Law Judge</w:t>
      </w:r>
      <w:r w:rsidRPr="007A7850">
        <w:rPr>
          <w:rFonts w:ascii="Times" w:hAnsi="Times" w:cs="Times New Roman"/>
          <w:sz w:val="20"/>
          <w:szCs w:val="20"/>
        </w:rPr>
        <w:t xml:space="preserve"> means a person appointed as provided in 5 U.S.C. 3105 and 5 CFR 930.203, and qualified under 5 U.S.C. 557, to preside at hearings held under the nondiscrimination and equal opportunity provisions of WIA and this part.</w:t>
      </w:r>
    </w:p>
    <w:p w14:paraId="6E408E2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Aid, benefits, services, or training</w:t>
      </w:r>
      <w:r w:rsidRPr="007A7850">
        <w:rPr>
          <w:rFonts w:ascii="Times" w:hAnsi="Times" w:cs="Times New Roman"/>
          <w:sz w:val="20"/>
          <w:szCs w:val="20"/>
        </w:rPr>
        <w:t xml:space="preserve"> means WIA Title I—financially assisted services, financial or other aid, or benefits provided by or through a recipient or its employees, or by others through contract or other arrangements with the recipient. “Aid, benefits, services, or training” includes, but is not limited to:</w:t>
      </w:r>
    </w:p>
    <w:p w14:paraId="3D9A09E4"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 Core and intensive services;</w:t>
      </w:r>
    </w:p>
    <w:p w14:paraId="597A51C2"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Education or training;</w:t>
      </w:r>
    </w:p>
    <w:p w14:paraId="449F68D3"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(3) Health, welfare, housing, social service, rehabilitation, or other supportive services;</w:t>
      </w:r>
    </w:p>
    <w:p w14:paraId="32854F54"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(4) Work opportunities; and</w:t>
      </w:r>
    </w:p>
    <w:p w14:paraId="3F4119D7"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(5) Cash, loans, or other financial assistance to individuals.</w:t>
      </w:r>
    </w:p>
    <w:p w14:paraId="3F891C2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As used in this part, the term includes any aid, benefits, services, or training provided in or through a facility that has been constructed, expanded, altered, leased, rented, or otherwise obtained, in whole or in part, with Federal financial assistance under Title I of WIA.</w:t>
      </w:r>
    </w:p>
    <w:p w14:paraId="0A09F636"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Applicant</w:t>
      </w:r>
      <w:r w:rsidRPr="007A7850">
        <w:rPr>
          <w:rFonts w:ascii="Times" w:hAnsi="Times" w:cs="Times New Roman"/>
          <w:sz w:val="20"/>
          <w:szCs w:val="20"/>
        </w:rPr>
        <w:t xml:space="preserve"> means an individual who is interested in being considered for WIA Title I—financially assisted aid, benefits, services, or training by a recipient, and who has signified that interest by submitting personal information in response to a request by the recipient. See also the definitions of “application for benefits,” “eligible applicant/registrant,” “participant,” “participation,” and “recipient” in this section.</w:t>
      </w:r>
    </w:p>
    <w:p w14:paraId="3B373AA0"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Applicant for employment</w:t>
      </w:r>
      <w:r w:rsidRPr="007A7850">
        <w:rPr>
          <w:rFonts w:ascii="Times" w:hAnsi="Times" w:cs="Times New Roman"/>
          <w:sz w:val="20"/>
          <w:szCs w:val="20"/>
        </w:rPr>
        <w:t xml:space="preserve"> means a person or persons who make(s) application for employment with a recipient of Federal financial assistance under WIA Title I.</w:t>
      </w:r>
    </w:p>
    <w:p w14:paraId="50D0F121"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Application for assistance</w:t>
      </w:r>
      <w:r w:rsidRPr="007A7850">
        <w:rPr>
          <w:rFonts w:ascii="Times" w:hAnsi="Times" w:cs="Times New Roman"/>
          <w:sz w:val="20"/>
          <w:szCs w:val="20"/>
        </w:rPr>
        <w:t xml:space="preserve"> means the process by which required documentation is provided to the Governor, recipient, or Department before and as a condition of receiving WIA Title I financial assistance (including both new and continuing assistance).</w:t>
      </w:r>
    </w:p>
    <w:p w14:paraId="7ABF5321"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lastRenderedPageBreak/>
        <w:t>Application for benefits</w:t>
      </w:r>
      <w:r w:rsidRPr="007A7850">
        <w:rPr>
          <w:rFonts w:ascii="Times" w:hAnsi="Times" w:cs="Times New Roman"/>
          <w:sz w:val="20"/>
          <w:szCs w:val="20"/>
        </w:rPr>
        <w:t xml:space="preserve"> means the process by which information, including but not limited to a completed application form, is provided by applicants or eligible applicants before and as a condition of receiving WIA Title I—financially assisted aid, benefits, services, or training from a recipient.</w:t>
      </w:r>
    </w:p>
    <w:p w14:paraId="18E5188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Assistant Attorney General</w:t>
      </w:r>
      <w:r w:rsidRPr="007A7850">
        <w:rPr>
          <w:rFonts w:ascii="Times" w:hAnsi="Times" w:cs="Times New Roman"/>
          <w:sz w:val="20"/>
          <w:szCs w:val="20"/>
        </w:rPr>
        <w:t xml:space="preserve"> means the Assistant Attorney General, Civil Rights Division, United States Department of Justice.</w:t>
      </w:r>
    </w:p>
    <w:p w14:paraId="27EA5FCA"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Assistant Secretary</w:t>
      </w:r>
      <w:r w:rsidRPr="007A7850">
        <w:rPr>
          <w:rFonts w:ascii="Times" w:hAnsi="Times" w:cs="Times New Roman"/>
          <w:sz w:val="20"/>
          <w:szCs w:val="20"/>
        </w:rPr>
        <w:t xml:space="preserve"> means the Assistant Secretary for Administration and Management, United States Department of Labor.</w:t>
      </w:r>
    </w:p>
    <w:p w14:paraId="65698812"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Auxiliary aids or services</w:t>
      </w:r>
      <w:r w:rsidRPr="007A7850">
        <w:rPr>
          <w:rFonts w:ascii="Times" w:hAnsi="Times" w:cs="Times New Roman"/>
          <w:sz w:val="20"/>
          <w:szCs w:val="20"/>
        </w:rPr>
        <w:t xml:space="preserve"> includes—</w:t>
      </w:r>
    </w:p>
    <w:p w14:paraId="1C960384"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 Qualified interpreters, notetakers, transcription services, written materials, telephone handset amplifiers, assistive listening systems, telephones compatible with hearing aids, closed caption decoders, open and closed captioning, telecommunications devices for deaf persons (TDDs/TTYs), videotext displays, or other effective means of making aurally delivered materials available to individuals with hearing impairments;</w:t>
      </w:r>
    </w:p>
    <w:p w14:paraId="4211A4C9"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Qualified readers, taped texts, audio recordings, brailled materials, large print materials, or other effective means of making visually delivered materials available to individuals with visual impairments;</w:t>
      </w:r>
    </w:p>
    <w:p w14:paraId="39EB97F3"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(3) Acquisition or modification of equipment or devices; and</w:t>
      </w:r>
    </w:p>
    <w:p w14:paraId="1E31127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(4) Other similar services and actions.</w:t>
      </w:r>
    </w:p>
    <w:p w14:paraId="5B9DC96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Beneficiary</w:t>
      </w:r>
      <w:r w:rsidRPr="007A7850">
        <w:rPr>
          <w:rFonts w:ascii="Times" w:hAnsi="Times" w:cs="Times New Roman"/>
          <w:sz w:val="20"/>
          <w:szCs w:val="20"/>
        </w:rPr>
        <w:t xml:space="preserve"> means the individual or individuals intended by Congress to receive aid, benefits, services, or training from a recipient.</w:t>
      </w:r>
    </w:p>
    <w:p w14:paraId="4F4539E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Citizenship</w:t>
      </w:r>
      <w:r w:rsidRPr="007A7850">
        <w:rPr>
          <w:rFonts w:ascii="Times" w:hAnsi="Times" w:cs="Times New Roman"/>
          <w:sz w:val="20"/>
          <w:szCs w:val="20"/>
        </w:rPr>
        <w:t xml:space="preserve"> See “Discrimination on the ground of citizenship” in this section.</w:t>
      </w:r>
    </w:p>
    <w:p w14:paraId="2DCB54E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CRC</w:t>
      </w:r>
      <w:r w:rsidRPr="007A7850">
        <w:rPr>
          <w:rFonts w:ascii="Times" w:hAnsi="Times" w:cs="Times New Roman"/>
          <w:sz w:val="20"/>
          <w:szCs w:val="20"/>
        </w:rPr>
        <w:t xml:space="preserve"> means the Civil Rights Center, Office of the Assistant Secretary for Administration and Management, U.S. Department of Labor.</w:t>
      </w:r>
    </w:p>
    <w:p w14:paraId="6C859AD4"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Department</w:t>
      </w:r>
      <w:r w:rsidRPr="007A7850">
        <w:rPr>
          <w:rFonts w:ascii="Times" w:hAnsi="Times" w:cs="Times New Roman"/>
          <w:sz w:val="20"/>
          <w:szCs w:val="20"/>
        </w:rPr>
        <w:t xml:space="preserve"> means the U.S. Department of Labor (DOL), including its agencies and organizational units.</w:t>
      </w:r>
    </w:p>
    <w:p w14:paraId="5C91A097"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Departmental grantmaking agency</w:t>
      </w:r>
      <w:r w:rsidRPr="007A7850">
        <w:rPr>
          <w:rFonts w:ascii="Times" w:hAnsi="Times" w:cs="Times New Roman"/>
          <w:sz w:val="20"/>
          <w:szCs w:val="20"/>
        </w:rPr>
        <w:t xml:space="preserve"> means a grantmaking agency within the U.S. Department of Labor.</w:t>
      </w:r>
    </w:p>
    <w:p w14:paraId="59CA982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Director</w:t>
      </w:r>
      <w:r w:rsidRPr="007A7850">
        <w:rPr>
          <w:rFonts w:ascii="Times" w:hAnsi="Times" w:cs="Times New Roman"/>
          <w:sz w:val="20"/>
          <w:szCs w:val="20"/>
        </w:rPr>
        <w:t xml:space="preserve"> means the Director, Civil Rights Center (CRC), Office of the Assistant Secretary for Administration and Management, U.S. Department of Labor, or a designee authorized to act for the Director.</w:t>
      </w:r>
    </w:p>
    <w:p w14:paraId="4C3BB4B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Disability</w:t>
      </w:r>
      <w:r w:rsidRPr="007A7850">
        <w:rPr>
          <w:rFonts w:ascii="Times" w:hAnsi="Times" w:cs="Times New Roman"/>
          <w:sz w:val="20"/>
          <w:szCs w:val="20"/>
        </w:rPr>
        <w:t xml:space="preserve"> means, with respect to an individual, a physical or mental impairment that substantially limits one or more of the major life activities of such individual; a record of such an impairment; or being regarded as having such an impairment.</w:t>
      </w:r>
    </w:p>
    <w:p w14:paraId="29915C5A"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 xml:space="preserve">(1)(i) The phrase </w:t>
      </w:r>
      <w:r w:rsidRPr="007A7850">
        <w:rPr>
          <w:rFonts w:ascii="Times" w:hAnsi="Times" w:cs="Times New Roman"/>
          <w:i/>
          <w:iCs/>
          <w:sz w:val="20"/>
          <w:szCs w:val="20"/>
        </w:rPr>
        <w:t>physical or mental impairment</w:t>
      </w:r>
      <w:r w:rsidRPr="007A7850">
        <w:rPr>
          <w:rFonts w:ascii="Times" w:hAnsi="Times" w:cs="Times New Roman"/>
          <w:sz w:val="20"/>
          <w:szCs w:val="20"/>
        </w:rPr>
        <w:t xml:space="preserve"> means—</w:t>
      </w:r>
    </w:p>
    <w:p w14:paraId="4890AA2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Any physiological disorder or condition, cosmetic disfigurement, or anatomical loss affecting one or more of the following body systems: neurological, musculoskeletal, special sense organs, respiratory (including speech organs), cardiovascular, reproductive, digestive, genitourinary, hemic and lymphatic, skin, and endocrine;</w:t>
      </w:r>
    </w:p>
    <w:p w14:paraId="70DD9D7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lastRenderedPageBreak/>
        <w:t>(B) Any mental or psychological disorder such as mental retardation, organic brain syndrome, emotional or mental illness, and specific learning disabilities.</w:t>
      </w:r>
    </w:p>
    <w:p w14:paraId="00EF00FB"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 xml:space="preserve">(ii) The phrase </w:t>
      </w:r>
      <w:r w:rsidRPr="007A7850">
        <w:rPr>
          <w:rFonts w:ascii="Times" w:hAnsi="Times" w:cs="Times New Roman"/>
          <w:i/>
          <w:iCs/>
          <w:sz w:val="20"/>
          <w:szCs w:val="20"/>
        </w:rPr>
        <w:t>physical or mental impairment</w:t>
      </w:r>
      <w:r w:rsidRPr="007A7850">
        <w:rPr>
          <w:rFonts w:ascii="Times" w:hAnsi="Times" w:cs="Times New Roman"/>
          <w:sz w:val="20"/>
          <w:szCs w:val="20"/>
        </w:rPr>
        <w:t xml:space="preserve"> includes, but is not limited to, such contagious and noncontagious diseases and conditions as orthopedic, visual, speech and hearing impairments, cerebral palsy, epilepsy, muscular dystrophy, multiple sclerosis, cancer, heart disease, diabetes, mental retardation, emotional illness, specific learning disabilities, HIV disease (whether symptomatic or asymptomatic), tuberculosis, drug addiction, and alcoholism. The phrase “physical or mental impairment” does not include homosexuality or bisexuality.</w:t>
      </w:r>
    </w:p>
    <w:p w14:paraId="6C053E60"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 xml:space="preserve">(2) The phrase </w:t>
      </w:r>
      <w:r w:rsidRPr="007A7850">
        <w:rPr>
          <w:rFonts w:ascii="Times" w:hAnsi="Times" w:cs="Times New Roman"/>
          <w:i/>
          <w:iCs/>
          <w:sz w:val="20"/>
          <w:szCs w:val="20"/>
        </w:rPr>
        <w:t>major life activities</w:t>
      </w:r>
      <w:r w:rsidRPr="007A7850">
        <w:rPr>
          <w:rFonts w:ascii="Times" w:hAnsi="Times" w:cs="Times New Roman"/>
          <w:sz w:val="20"/>
          <w:szCs w:val="20"/>
        </w:rPr>
        <w:t xml:space="preserve"> means functions such as caring for one's self, performing manual tasks, walking, seeing, hearing, speaking, breathing, learning, and working.</w:t>
      </w:r>
    </w:p>
    <w:p w14:paraId="2036D4A0"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 xml:space="preserve">(3) The phrase </w:t>
      </w:r>
      <w:r w:rsidRPr="007A7850">
        <w:rPr>
          <w:rFonts w:ascii="Times" w:hAnsi="Times" w:cs="Times New Roman"/>
          <w:i/>
          <w:iCs/>
          <w:sz w:val="20"/>
          <w:szCs w:val="20"/>
        </w:rPr>
        <w:t>has a record of such an impairment</w:t>
      </w:r>
      <w:r w:rsidRPr="007A7850">
        <w:rPr>
          <w:rFonts w:ascii="Times" w:hAnsi="Times" w:cs="Times New Roman"/>
          <w:sz w:val="20"/>
          <w:szCs w:val="20"/>
        </w:rPr>
        <w:t xml:space="preserve"> means has a history of, or has been misclassified as having, a mental or physical impairment that substantially limits one or more major life activities.</w:t>
      </w:r>
    </w:p>
    <w:p w14:paraId="7287C4C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 xml:space="preserve">(4) The phrase </w:t>
      </w:r>
      <w:r w:rsidRPr="007A7850">
        <w:rPr>
          <w:rFonts w:ascii="Times" w:hAnsi="Times" w:cs="Times New Roman"/>
          <w:i/>
          <w:iCs/>
          <w:sz w:val="20"/>
          <w:szCs w:val="20"/>
        </w:rPr>
        <w:t>is regarded as having an impairment</w:t>
      </w:r>
      <w:r w:rsidRPr="007A7850">
        <w:rPr>
          <w:rFonts w:ascii="Times" w:hAnsi="Times" w:cs="Times New Roman"/>
          <w:sz w:val="20"/>
          <w:szCs w:val="20"/>
        </w:rPr>
        <w:t xml:space="preserve"> means—</w:t>
      </w:r>
    </w:p>
    <w:p w14:paraId="5D951182"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 Has a physical or mental impairment that does not substantially limit major life activities but that is treated by the recipient as being such a limitation;</w:t>
      </w:r>
    </w:p>
    <w:p w14:paraId="3ACD94F3"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(ii) Has a physical or mental impairment that substantially limits major life activities only as a result of the attitudes of others toward such impairment; or</w:t>
      </w:r>
    </w:p>
    <w:p w14:paraId="7BD7F741"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(iii) Has none of the impairments defined in paragraph (1) of this definition but is treated by the recipient as having such an impairment.</w:t>
      </w:r>
    </w:p>
    <w:p w14:paraId="273575A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Discrimination on the ground of citizenship</w:t>
      </w:r>
      <w:r w:rsidRPr="007A7850">
        <w:rPr>
          <w:rFonts w:ascii="Times" w:hAnsi="Times" w:cs="Times New Roman"/>
          <w:sz w:val="20"/>
          <w:szCs w:val="20"/>
        </w:rPr>
        <w:t xml:space="preserve"> means a denial of participation in programs or activities financially assisted in whole or in part under Title I of WIA to individuals on the basis of their status as citizens or nationals of the United States, lawfully admitted permanent resident aliens, refugees, asylees, and parolees, or other immigrants authorized by the Attorney General to work in the United States.</w:t>
      </w:r>
    </w:p>
    <w:p w14:paraId="48F0011B"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Eligible applicant/registrant</w:t>
      </w:r>
      <w:r w:rsidRPr="007A7850">
        <w:rPr>
          <w:rFonts w:ascii="Times" w:hAnsi="Times" w:cs="Times New Roman"/>
          <w:sz w:val="20"/>
          <w:szCs w:val="20"/>
        </w:rPr>
        <w:t xml:space="preserve"> means an individual who has been determined eligible to participate in one or more WIA Title I—financially assisted programs or activities.</w:t>
      </w:r>
    </w:p>
    <w:p w14:paraId="3A67366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Employment practices</w:t>
      </w:r>
      <w:r w:rsidRPr="007A7850">
        <w:rPr>
          <w:rFonts w:ascii="Times" w:hAnsi="Times" w:cs="Times New Roman"/>
          <w:sz w:val="20"/>
          <w:szCs w:val="20"/>
        </w:rPr>
        <w:t xml:space="preserve"> means a recipient's practices related to employment, including but not limited to:</w:t>
      </w:r>
    </w:p>
    <w:p w14:paraId="24A0210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 Recruitment or recruitment advertising;</w:t>
      </w:r>
    </w:p>
    <w:p w14:paraId="2E21030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Selection, placement, layoff or termination of employees;</w:t>
      </w:r>
    </w:p>
    <w:p w14:paraId="437E27CB"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(3) Upgrading, promotion, demotion or transfer of employees;</w:t>
      </w:r>
    </w:p>
    <w:p w14:paraId="59C96113"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(4) Training, including employment-related training;</w:t>
      </w:r>
    </w:p>
    <w:p w14:paraId="1D9DF6F0"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(5) Participation in upward mobility programs;</w:t>
      </w:r>
    </w:p>
    <w:p w14:paraId="5017114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(6) Deciding rates of pay or other forms of compensation;</w:t>
      </w:r>
    </w:p>
    <w:p w14:paraId="1FFEC48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(7) Use of facilities; or</w:t>
      </w:r>
    </w:p>
    <w:p w14:paraId="0BC76DC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(8) Deciding other terms, conditions, benefits and/or privileges of employment.</w:t>
      </w:r>
    </w:p>
    <w:p w14:paraId="7CCB3E3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lastRenderedPageBreak/>
        <w:t>Employment-related training</w:t>
      </w:r>
      <w:r w:rsidRPr="007A7850">
        <w:rPr>
          <w:rFonts w:ascii="Times" w:hAnsi="Times" w:cs="Times New Roman"/>
          <w:sz w:val="20"/>
          <w:szCs w:val="20"/>
        </w:rPr>
        <w:t xml:space="preserve"> means training that allows or enables an individual to obtain employment.</w:t>
      </w:r>
    </w:p>
    <w:p w14:paraId="1C1F86E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Entity</w:t>
      </w:r>
      <w:r w:rsidRPr="007A7850">
        <w:rPr>
          <w:rFonts w:ascii="Times" w:hAnsi="Times" w:cs="Times New Roman"/>
          <w:sz w:val="20"/>
          <w:szCs w:val="20"/>
        </w:rPr>
        <w:t xml:space="preserve"> means any person, corporation, partnership, joint venture, sole proprietorship, unincorporated association, consortium, Indian tribe or tribal organization, Native Hawaiian organization, and/or entity authorized by State or local law; any State or local government; and/or any agency, instrumentality or subdivision of such a government.</w:t>
      </w:r>
    </w:p>
    <w:p w14:paraId="0087E0C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Facility</w:t>
      </w:r>
      <w:r w:rsidRPr="007A7850">
        <w:rPr>
          <w:rFonts w:ascii="Times" w:hAnsi="Times" w:cs="Times New Roman"/>
          <w:sz w:val="20"/>
          <w:szCs w:val="20"/>
        </w:rPr>
        <w:t xml:space="preserve"> means all or any portion of buildings, structures, sites, complexes, equipment, roads, walks, passageways, parking lots, rolling stock or other conveyances, or other real or personal property or interest in such property, including the site where the building, property, structure, or equipment is located. The phrase “real or personal property” in the preceding sentence includes indoor constructs that may or may not be permanently attached to a building or structure. Such constructs include, but are not limited to, office cubicles, computer kiosks, and similar constructs.</w:t>
      </w:r>
    </w:p>
    <w:p w14:paraId="77C71259"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Federal grantmaking agency</w:t>
      </w:r>
      <w:r w:rsidRPr="007A7850">
        <w:rPr>
          <w:rFonts w:ascii="Times" w:hAnsi="Times" w:cs="Times New Roman"/>
          <w:sz w:val="20"/>
          <w:szCs w:val="20"/>
        </w:rPr>
        <w:t xml:space="preserve"> means a Federal agency that provides financial assistance under any Federal statute.</w:t>
      </w:r>
    </w:p>
    <w:p w14:paraId="2B17DB4B"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Financial assistance</w:t>
      </w:r>
      <w:r w:rsidRPr="007A7850">
        <w:rPr>
          <w:rFonts w:ascii="Times" w:hAnsi="Times" w:cs="Times New Roman"/>
          <w:sz w:val="20"/>
          <w:szCs w:val="20"/>
        </w:rPr>
        <w:t xml:space="preserve"> means any of the following:</w:t>
      </w:r>
    </w:p>
    <w:p w14:paraId="4D448E1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 Any grant, subgrant, loan, or advance of funds, including funds extended to any entity for payment to or on behalf of participants admitted to that entity for training, or extended directly to such participants for payment to that entity;</w:t>
      </w:r>
    </w:p>
    <w:p w14:paraId="5A0C950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Provision of the services of grantmaking agency personnel, or of other personnel at the grantmaking agency's expense;</w:t>
      </w:r>
    </w:p>
    <w:p w14:paraId="2FBED523"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(3) A grant or donation of real or personal property or any interest in or use of such property, including:</w:t>
      </w:r>
    </w:p>
    <w:p w14:paraId="4703692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Transfers or leases of property for less than fair market value or for reduced consideration;</w:t>
      </w:r>
    </w:p>
    <w:p w14:paraId="68E58A94"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Proceeds from a subsequent sale, transfer, or lease of such property, if the grantmaking agency's share of the fair market value of the property is not returned to the grantmaking agency; and</w:t>
      </w:r>
    </w:p>
    <w:p w14:paraId="49023D50"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(c) The sale, lease, or license of, and/or the permission to use (other than on a casual or transient basis), such property or any interest in such property, either:</w:t>
      </w:r>
    </w:p>
    <w:p w14:paraId="75F6EEF7"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 Without consideration,</w:t>
      </w:r>
    </w:p>
    <w:p w14:paraId="1D3A6FD2"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(ii) At a nominal consideration, or</w:t>
      </w:r>
    </w:p>
    <w:p w14:paraId="65E088F4"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(iii) At a consideration that is reduced or waived either for the purpose of assisting the recipient, or in recognition of the public interest to be served by such sale or lease to or use by the recipient;</w:t>
      </w:r>
    </w:p>
    <w:p w14:paraId="71F2E549"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(4) Waiver of charges that would normally be made for the furnishing of services by the grantmaking agency; and</w:t>
      </w:r>
    </w:p>
    <w:p w14:paraId="0E5309E6"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(5) Any other agreement, arrangement, contract or subcontract (other than a procurement contract or a contract of insurance or guaranty), or other instrument that has as one of its purposes the provision of assistance or benefits under the statute or policy that authorizes assistance by the grantmaking agency.</w:t>
      </w:r>
    </w:p>
    <w:p w14:paraId="22AF711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Financial assistance under Title I of WIA</w:t>
      </w:r>
      <w:r w:rsidRPr="007A7850">
        <w:rPr>
          <w:rFonts w:ascii="Times" w:hAnsi="Times" w:cs="Times New Roman"/>
          <w:sz w:val="20"/>
          <w:szCs w:val="20"/>
        </w:rPr>
        <w:t xml:space="preserve"> means any of the following, when authorized or extended under WIA Title I:</w:t>
      </w:r>
    </w:p>
    <w:p w14:paraId="3F91F2C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lastRenderedPageBreak/>
        <w:t>(1) Any grant, subgrant, loan, or advance of Federal funds, including funds extended to any entity for payment to or on behalf of participants admitted to that entity for training, or extended directly to such participants for payment to that entity;</w:t>
      </w:r>
    </w:p>
    <w:p w14:paraId="5D1B359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Provision of the services of Federal personnel, or of other personnel at Federal expense;</w:t>
      </w:r>
    </w:p>
    <w:p w14:paraId="77E50E9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(3) A grant or donation of Federal real or personal property or any interest in or use of such property, including:</w:t>
      </w:r>
    </w:p>
    <w:p w14:paraId="296DC466"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Transfers or leases of property for less than fair market value or for reduced consideration;</w:t>
      </w:r>
    </w:p>
    <w:p w14:paraId="7314352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Proceeds from a subsequent sale, transfer, or lease of such property, if the Federal share of the fair market value of the property is not returned to the Federal Government; and</w:t>
      </w:r>
    </w:p>
    <w:p w14:paraId="6948DB0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(c) The sale, lease, or license of, and/or the permission to use (other than on a casual or transient basis), such property or any interest in such property, either:</w:t>
      </w:r>
    </w:p>
    <w:p w14:paraId="2B08B4E1"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 Without consideration,</w:t>
      </w:r>
    </w:p>
    <w:p w14:paraId="080FDAD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(ii) At a nominal consideration, or</w:t>
      </w:r>
    </w:p>
    <w:p w14:paraId="634ACE9B"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(iii) At a consideration that is reduced or waived either for the purpose of assisting the recipient, or in recognition of the public interest to be served by such sale or lease to or use by the recipient;</w:t>
      </w:r>
    </w:p>
    <w:p w14:paraId="47E4F71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(4) Waiver of charges that would normally be made for the furnishing of Government services; and</w:t>
      </w:r>
    </w:p>
    <w:p w14:paraId="35E8CF1B"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(5) Any other agreement, arrangement, contract or subcontract (other than a Federal procurement contract or a contract of insurance or guaranty), or other instrument that has as one of its purposes the provision of assistance or benefits under WIA Title I.</w:t>
      </w:r>
    </w:p>
    <w:p w14:paraId="3F5E01CB"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Fundamental alteration</w:t>
      </w:r>
      <w:r w:rsidRPr="007A7850">
        <w:rPr>
          <w:rFonts w:ascii="Times" w:hAnsi="Times" w:cs="Times New Roman"/>
          <w:sz w:val="20"/>
          <w:szCs w:val="20"/>
        </w:rPr>
        <w:t xml:space="preserve"> means:</w:t>
      </w:r>
    </w:p>
    <w:p w14:paraId="1477B16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 A change in the essential nature of a program or activity as defined in this part, including but not limited to an aid, service, benefit, or training; or</w:t>
      </w:r>
    </w:p>
    <w:p w14:paraId="4EDE4C8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A cost that a recipient can demonstrate would result in an undue burden. Factors to be considered in making the determination whether the cost of a modification would result in such a burden include:</w:t>
      </w:r>
    </w:p>
    <w:p w14:paraId="412BD900"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The nature and net cost of the modification needed, taking into consideration the availability of tax credits and deductions, and/or outside financial assistance, for the modification;</w:t>
      </w:r>
    </w:p>
    <w:p w14:paraId="4A30A0A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The overall financial resources of the facility or facilities involved in the provision of the modification, including:</w:t>
      </w:r>
    </w:p>
    <w:p w14:paraId="4690F83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 The number of persons aided, benefited, served, or trained by, or employed at, the facility or facilities; and</w:t>
      </w:r>
    </w:p>
    <w:p w14:paraId="428F6159"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(ii) The effect the modification would have on the expenses and resources of the facility or facilities;</w:t>
      </w:r>
    </w:p>
    <w:p w14:paraId="1196677B"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(c) The overall financial resources of the recipient, including:</w:t>
      </w:r>
    </w:p>
    <w:p w14:paraId="520C8C7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 The overall size of the recipient;</w:t>
      </w:r>
    </w:p>
    <w:p w14:paraId="467650BB"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lastRenderedPageBreak/>
        <w:t>(ii) The number of persons aided, benefited, served, trained, or employed by the recipient; and</w:t>
      </w:r>
    </w:p>
    <w:p w14:paraId="4403EE0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(iii) The number, type and location of the recipient's facilities;</w:t>
      </w:r>
    </w:p>
    <w:p w14:paraId="65D03393"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(d) The type of operation or operations of the recipient, including:</w:t>
      </w:r>
    </w:p>
    <w:p w14:paraId="7F5779D9"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 The geographic separateness and administrative or fiscal relationship of the facility or facilities in question to the recipient; and</w:t>
      </w:r>
    </w:p>
    <w:p w14:paraId="59EA65C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(ii) Where the modification sought is employment-related, the composition, structure and functions of the recipient's workforce; and</w:t>
      </w:r>
    </w:p>
    <w:p w14:paraId="10505FF0"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(e) The impact of the modification upon the operation of the facility or facilities, including:</w:t>
      </w:r>
    </w:p>
    <w:p w14:paraId="767D3454"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 The impact on the ability of other participants to receive aid, benefits, services, or training, or of other employees to perform their duties; and</w:t>
      </w:r>
    </w:p>
    <w:p w14:paraId="3C4D78E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(ii) The impact on the facility's ability to carry out its mission.</w:t>
      </w:r>
    </w:p>
    <w:p w14:paraId="0324B9B3"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Governor</w:t>
      </w:r>
      <w:r w:rsidRPr="007A7850">
        <w:rPr>
          <w:rFonts w:ascii="Times" w:hAnsi="Times" w:cs="Times New Roman"/>
          <w:sz w:val="20"/>
          <w:szCs w:val="20"/>
        </w:rPr>
        <w:t xml:space="preserve"> means the chief elected official of any State or his or her designee.</w:t>
      </w:r>
    </w:p>
    <w:p w14:paraId="32F4B1D7"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Grant applicant</w:t>
      </w:r>
      <w:r w:rsidRPr="007A7850">
        <w:rPr>
          <w:rFonts w:ascii="Times" w:hAnsi="Times" w:cs="Times New Roman"/>
          <w:sz w:val="20"/>
          <w:szCs w:val="20"/>
        </w:rPr>
        <w:t xml:space="preserve"> means an entity that submits the required documentation to the Governor, recipient, or Department, before and as a condition of receiving financial assistance under Title I of WIA.</w:t>
      </w:r>
    </w:p>
    <w:p w14:paraId="7057463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Grantmaking agency</w:t>
      </w:r>
      <w:r w:rsidRPr="007A7850">
        <w:rPr>
          <w:rFonts w:ascii="Times" w:hAnsi="Times" w:cs="Times New Roman"/>
          <w:sz w:val="20"/>
          <w:szCs w:val="20"/>
        </w:rPr>
        <w:t xml:space="preserve"> means an entity that provides Federal financial assistance.</w:t>
      </w:r>
    </w:p>
    <w:p w14:paraId="5F2DBD44"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Guideline</w:t>
      </w:r>
      <w:r w:rsidRPr="007A7850">
        <w:rPr>
          <w:rFonts w:ascii="Times" w:hAnsi="Times" w:cs="Times New Roman"/>
          <w:sz w:val="20"/>
          <w:szCs w:val="20"/>
        </w:rPr>
        <w:t xml:space="preserve"> means written informational material supplementing an agency's regulations and provided to grant applicants and recipients to provide program-specific interpretations of their responsibilities under the regulations.</w:t>
      </w:r>
    </w:p>
    <w:p w14:paraId="78C2BB5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Illegal use of drugs</w:t>
      </w:r>
      <w:r w:rsidRPr="007A7850">
        <w:rPr>
          <w:rFonts w:ascii="Times" w:hAnsi="Times" w:cs="Times New Roman"/>
          <w:sz w:val="20"/>
          <w:szCs w:val="20"/>
        </w:rPr>
        <w:t xml:space="preserve"> means the use of drugs, the possession or distribution of which is unlawful under the Controlled Substances Act, as amended (21 U.S.C. 812). “Illegal use of drugs” does not include the use of a drug taken under supervision of a licensed health care professional, or other uses authorized by the Controlled Substances Act or other provisions of Federal law.</w:t>
      </w:r>
    </w:p>
    <w:p w14:paraId="61999FB7"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Individual with a disability</w:t>
      </w:r>
      <w:r w:rsidRPr="007A7850">
        <w:rPr>
          <w:rFonts w:ascii="Times" w:hAnsi="Times" w:cs="Times New Roman"/>
          <w:sz w:val="20"/>
          <w:szCs w:val="20"/>
        </w:rPr>
        <w:t xml:space="preserve"> means a person who has a disability, as defined in this section.</w:t>
      </w:r>
    </w:p>
    <w:p w14:paraId="5D9128CA"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 The term “individual with a disability” does not include an individual on the basis of:</w:t>
      </w:r>
    </w:p>
    <w:p w14:paraId="24D6AA2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 Transvestism, transsexualism, pedophilia, exhibitionism, voyeurism, gender identity disorders not resulting from physical impairments, or other sexual behavior disorders;</w:t>
      </w:r>
    </w:p>
    <w:p w14:paraId="5A4A225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(ii) Compulsive gambling, kleptomania, or pyromania; or</w:t>
      </w:r>
    </w:p>
    <w:p w14:paraId="69140F5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(iii) Psychoactive substance use disorders resulting from current illegal use of drugs.</w:t>
      </w:r>
    </w:p>
    <w:p w14:paraId="419E3F9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The term “individual with a disability” also does not include an individual who is currently engaging in the illegal use of drugs, when a recipient acts on the basis of such use. This limitation does not exclude as an individual with a disability an individual who:</w:t>
      </w:r>
    </w:p>
    <w:p w14:paraId="6EFB929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 Has successfully completed a supervised drug rehabilitation program and is no longer engaging in the illegal use of drugs, or has otherwise been rehabilitated successfully and is no longer engaging in such use;</w:t>
      </w:r>
    </w:p>
    <w:p w14:paraId="4434D220"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lastRenderedPageBreak/>
        <w:t>(ii) Is participating in a supervised rehabilitation program and is no longer engaging in such use; or</w:t>
      </w:r>
    </w:p>
    <w:p w14:paraId="396DF2E9"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(iii) Is erroneously regarded as engaging in such use, but is not engaging in such use, except that it is not a violation of the nondiscrimination and equal opportunity provisions of WIA or this part for a recipient to adopt or administer reasonable policies or procedures, including but not limited to drug testing, designed to ensure that an individual described in paragraph (1)(i) or (1)(ii) of this definition is no longer engaging in the illegal use of drugs.</w:t>
      </w:r>
    </w:p>
    <w:p w14:paraId="4A0CB3F4"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With regard to employment, the term “individual with a disability” does not include any individual who:</w:t>
      </w:r>
    </w:p>
    <w:p w14:paraId="64607347"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 Is an alcoholic:</w:t>
      </w:r>
    </w:p>
    <w:p w14:paraId="63334A40"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Whose current use of alcohol prevents such individual from performing the duties of the job in question, or</w:t>
      </w:r>
    </w:p>
    <w:p w14:paraId="41B462D3"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Whose employment, by reason of such current alcohol abuse, would constitute a direct threat to property or the safety of others; or</w:t>
      </w:r>
    </w:p>
    <w:p w14:paraId="40400FD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(ii) Has a currently contagious disease or infection, if:</w:t>
      </w:r>
    </w:p>
    <w:p w14:paraId="74ADA1F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That disease or infection prevents him or her from performing the duties of the job in question, or</w:t>
      </w:r>
    </w:p>
    <w:p w14:paraId="442B9DA1"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His or her employment, because of that disease or infection, would constitute a direct threat to the health and safety of others.</w:t>
      </w:r>
    </w:p>
    <w:p w14:paraId="584B111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Labor market area</w:t>
      </w:r>
      <w:r w:rsidRPr="007A7850">
        <w:rPr>
          <w:rFonts w:ascii="Times" w:hAnsi="Times" w:cs="Times New Roman"/>
          <w:sz w:val="20"/>
          <w:szCs w:val="20"/>
        </w:rPr>
        <w:t xml:space="preserve"> means an economically integrated geographic area within which individuals can reside and find employment within a reasonable distance or can readily change employment without changing their place of residence. Such an area must be identified in accordance with either criteria used by the Bureau of Labor Statistics of the Department of Labor in defining such areas, or similar criteria established by a Governor.</w:t>
      </w:r>
    </w:p>
    <w:p w14:paraId="52DC6764"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LWIA (Local Workforce Investment Area) grant recipient</w:t>
      </w:r>
      <w:r w:rsidRPr="007A7850">
        <w:rPr>
          <w:rFonts w:ascii="Times" w:hAnsi="Times" w:cs="Times New Roman"/>
          <w:sz w:val="20"/>
          <w:szCs w:val="20"/>
        </w:rPr>
        <w:t xml:space="preserve"> means the entity that receives WIA Title I financial assistance for a Local Workforce Investment Area directly from the Governor and disburses those funds for workforce investment activities.</w:t>
      </w:r>
    </w:p>
    <w:p w14:paraId="6C7749B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Methods of Administration</w:t>
      </w:r>
      <w:r w:rsidRPr="007A7850">
        <w:rPr>
          <w:rFonts w:ascii="Times" w:hAnsi="Times" w:cs="Times New Roman"/>
          <w:sz w:val="20"/>
          <w:szCs w:val="20"/>
        </w:rPr>
        <w:t xml:space="preserve"> means the written document and supporting documentation developed under §37.54.</w:t>
      </w:r>
    </w:p>
    <w:p w14:paraId="3753918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National Programs means:</w:t>
      </w:r>
    </w:p>
    <w:p w14:paraId="1C039E2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 Job Corps; and</w:t>
      </w:r>
    </w:p>
    <w:p w14:paraId="51D7D08E"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Programs receiving Federal funds under Title I, Subtitle D of WIA directly from the Department. Such programs include, but are not limited to, the Migrant and Seasonal Workers Programs, Native American Programs, and Veterans' Workforce Investment programs.</w:t>
      </w:r>
    </w:p>
    <w:p w14:paraId="5F68B7DE"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Noncompliance</w:t>
      </w:r>
      <w:r w:rsidRPr="007A7850">
        <w:rPr>
          <w:rFonts w:ascii="Times" w:hAnsi="Times" w:cs="Times New Roman"/>
          <w:sz w:val="20"/>
          <w:szCs w:val="20"/>
        </w:rPr>
        <w:t xml:space="preserve"> means a failure of a grant applicant or recipient to comply with any of the applicable requirements of the nondiscrimination and equal opportunity provisions of WIA or this part.</w:t>
      </w:r>
    </w:p>
    <w:p w14:paraId="4F62A926"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On-the-Job Training (OJT)</w:t>
      </w:r>
      <w:r w:rsidRPr="007A7850">
        <w:rPr>
          <w:rFonts w:ascii="Times" w:hAnsi="Times" w:cs="Times New Roman"/>
          <w:sz w:val="20"/>
          <w:szCs w:val="20"/>
        </w:rPr>
        <w:t xml:space="preserve"> means training by an employer that is provided to a paid participant while the participant is engaged in productive work that:</w:t>
      </w:r>
    </w:p>
    <w:p w14:paraId="16FFE70E"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lastRenderedPageBreak/>
        <w:t>(1) Provides knowledge or skills essential to the full and adequate performance of the job;</w:t>
      </w:r>
    </w:p>
    <w:p w14:paraId="724FCC2A"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Provides reimbursement to the employer of up to 50 percent of the wage rate of the participant, for the extraordinary costs of providing the training and additional supervision related to the training; and</w:t>
      </w:r>
    </w:p>
    <w:p w14:paraId="7A585D6B"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(3) Is limited in duration as appropriate to the occupation for which the participant is being trained, taking into account the content of the training, the prior work experience of the participant, and the service strategy of the participant, as appropriate.</w:t>
      </w:r>
    </w:p>
    <w:p w14:paraId="2B04BCF2"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Participant</w:t>
      </w:r>
      <w:r w:rsidRPr="007A7850">
        <w:rPr>
          <w:rFonts w:ascii="Times" w:hAnsi="Times" w:cs="Times New Roman"/>
          <w:sz w:val="20"/>
          <w:szCs w:val="20"/>
        </w:rPr>
        <w:t xml:space="preserve"> means an individual who has been determined to be eligible to participate in, and who is receiving aid, benefits, services or training under, a program or activity funded in whole or in part under Title I of WIA. “Participant” includes, but is not limited to, applicants receiving any service(s) under state Employment Service programs, and claimants receiving any service(s) under state Unemployment Insurance programs.</w:t>
      </w:r>
    </w:p>
    <w:p w14:paraId="6FD1591E"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Participation</w:t>
      </w:r>
      <w:r w:rsidRPr="007A7850">
        <w:rPr>
          <w:rFonts w:ascii="Times" w:hAnsi="Times" w:cs="Times New Roman"/>
          <w:sz w:val="20"/>
          <w:szCs w:val="20"/>
        </w:rPr>
        <w:t xml:space="preserve"> is considered to commence on the first day, following determination of eligibility, on which the participant began receiving subsidized aid, benefits, services, or training provided under Title I of WIA.</w:t>
      </w:r>
    </w:p>
    <w:p w14:paraId="4D54BF7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Parties to a hearing</w:t>
      </w:r>
      <w:r w:rsidRPr="007A7850">
        <w:rPr>
          <w:rFonts w:ascii="Times" w:hAnsi="Times" w:cs="Times New Roman"/>
          <w:sz w:val="20"/>
          <w:szCs w:val="20"/>
        </w:rPr>
        <w:t xml:space="preserve"> means the Department and the grant applicant(s), recipient(s), or Governor.</w:t>
      </w:r>
    </w:p>
    <w:p w14:paraId="47433EA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Population eligible to be served</w:t>
      </w:r>
      <w:r w:rsidRPr="007A7850">
        <w:rPr>
          <w:rFonts w:ascii="Times" w:hAnsi="Times" w:cs="Times New Roman"/>
          <w:sz w:val="20"/>
          <w:szCs w:val="20"/>
        </w:rPr>
        <w:t xml:space="preserve"> means the total population of adults and eligible youth who reside within the labor market area that is served by a particular recipient, and who are eligible to seek WIA Title I-financially assisted aid, benefits, services or training from that recipient. See the definition of “labor market area” in this section.</w:t>
      </w:r>
    </w:p>
    <w:p w14:paraId="79C8875A"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Program or activity:</w:t>
      </w:r>
      <w:r w:rsidRPr="007A7850">
        <w:rPr>
          <w:rFonts w:ascii="Times" w:hAnsi="Times" w:cs="Times New Roman"/>
          <w:sz w:val="20"/>
          <w:szCs w:val="20"/>
        </w:rPr>
        <w:t xml:space="preserve"> See “WIA Title I-financially assisted program or activity” in this section.</w:t>
      </w:r>
    </w:p>
    <w:p w14:paraId="1CFD885A"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Prohibited ground</w:t>
      </w:r>
      <w:r w:rsidRPr="007A7850">
        <w:rPr>
          <w:rFonts w:ascii="Times" w:hAnsi="Times" w:cs="Times New Roman"/>
          <w:sz w:val="20"/>
          <w:szCs w:val="20"/>
        </w:rPr>
        <w:t xml:space="preserve"> means any basis upon which it is illegal to discriminate under the nondiscrimination and equal opportunity provisions of WIA or this part, </w:t>
      </w:r>
      <w:r w:rsidRPr="007A7850">
        <w:rPr>
          <w:rFonts w:ascii="Times" w:hAnsi="Times" w:cs="Times New Roman"/>
          <w:i/>
          <w:iCs/>
          <w:sz w:val="20"/>
          <w:szCs w:val="20"/>
        </w:rPr>
        <w:t>i.e.,</w:t>
      </w:r>
      <w:r w:rsidRPr="007A7850">
        <w:rPr>
          <w:rFonts w:ascii="Times" w:hAnsi="Times" w:cs="Times New Roman"/>
          <w:sz w:val="20"/>
          <w:szCs w:val="20"/>
        </w:rPr>
        <w:t xml:space="preserve"> race, color, religion, sex, national origin, age, disability, political affiliation or belief, and, for beneficiaries only, citizenship or participation in a WIA Title I-financially assisted program or activity.</w:t>
      </w:r>
    </w:p>
    <w:p w14:paraId="45649387"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Public entity means:</w:t>
      </w:r>
    </w:p>
    <w:p w14:paraId="3E7C69A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 Any State or local government; and</w:t>
      </w:r>
    </w:p>
    <w:p w14:paraId="45EEDE33"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Any department, agency, special purpose district, workforce investment board, or other instrumentality of a State or States or local government.</w:t>
      </w:r>
    </w:p>
    <w:p w14:paraId="77CF27E3"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Qualified individual with a disability means:</w:t>
      </w:r>
    </w:p>
    <w:p w14:paraId="613A15BE"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 With respect to employment, an individual with a disability who, with or without reasonable accommodation, is capable of performing the essential functions of the job in question;</w:t>
      </w:r>
    </w:p>
    <w:p w14:paraId="0C60F19E"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With respect to aid, benefits, services, or training, an individual with a disability who, with or without reasonable accommodation and/or reasonable modification, meets the essential eligibility requirements for the receipt of such aid, benefits, services, or training.</w:t>
      </w:r>
    </w:p>
    <w:p w14:paraId="7E21FAD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Qualified interpreter</w:t>
      </w:r>
      <w:r w:rsidRPr="007A7850">
        <w:rPr>
          <w:rFonts w:ascii="Times" w:hAnsi="Times" w:cs="Times New Roman"/>
          <w:sz w:val="20"/>
          <w:szCs w:val="20"/>
        </w:rPr>
        <w:t xml:space="preserve"> means an interpreter who is able to interpret effectively, accurately, and impartially, either for individuals with disabilities or for individuals with limited English skills. The interpreter must be able to interpret both receptively and expressively, using any necessary specialized vocabulary.</w:t>
      </w:r>
    </w:p>
    <w:p w14:paraId="78A0C5A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lastRenderedPageBreak/>
        <w:t>Reasonable accommodation.</w:t>
      </w:r>
      <w:r w:rsidRPr="007A7850">
        <w:rPr>
          <w:rFonts w:ascii="Times" w:hAnsi="Times" w:cs="Times New Roman"/>
          <w:sz w:val="20"/>
          <w:szCs w:val="20"/>
        </w:rPr>
        <w:t xml:space="preserve"> (1) The term “reasonable accommodation” means:</w:t>
      </w:r>
    </w:p>
    <w:p w14:paraId="4ACC40E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 Modifications or adjustments to an application/registration process that enables a qualified applicant/registrant with a disability to be considered for the aid, benefits, services, training, or employment that the qualified applicant/registrant desires; or</w:t>
      </w:r>
    </w:p>
    <w:p w14:paraId="18E2F401"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(ii) Modifications or adjustments that enable a qualified individual with a disability to perform the essential functions of a job, or to receive aid, benefits, services, or training equal to that provided to qualified individuals without disabilities. These modifications or adjustments may be made to:</w:t>
      </w:r>
    </w:p>
    <w:p w14:paraId="55B7772B"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The environment where work is performed or aid, benefits, services, or training are given; or</w:t>
      </w:r>
    </w:p>
    <w:p w14:paraId="7A639E49"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The customary manner in which, or circumstances under which, a job is performed or aid, benefits, services, or training are given; or</w:t>
      </w:r>
    </w:p>
    <w:p w14:paraId="5ABC4569"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(iii) Modifications or adjustments that enable a qualified individual with a disability to enjoy the same benefits and privileges of the aid, benefits, services, training, or employment as are enjoyed by other similarly situated individuals without disabilities.</w:t>
      </w:r>
    </w:p>
    <w:p w14:paraId="03BFC6C2"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Reasonable accommodation includes, but is not limited to:</w:t>
      </w:r>
    </w:p>
    <w:p w14:paraId="6F38AC62"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 Making existing facilities used by applicants, registrants, eligible applicants/registrants, participants, applicants for employment, and employees readily accessible to and usable by individuals with disabilities; and</w:t>
      </w:r>
    </w:p>
    <w:p w14:paraId="6C3A165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(ii) Restructuring of a job or a service, or of the way in which aid, benefits, or training is/are provided; part-time or modified work or training schedules; acquisition or modification of equipment or devices; appropriate adjustment or modifications of examinations, training materials, or policies; the provision of readers or interpreters; and other similar accommodations for individuals with disabilities.</w:t>
      </w:r>
    </w:p>
    <w:p w14:paraId="0B793493"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(3) To determine the appropriate reasonable accommodation, it may be necessary for the recipient to initiate an informal, interactive process with the qualified individual with a disability in need of the accommodation. This process should identify the precise limitations resulting from the disability and potential reasonable accommodations that could overcome those limitations.</w:t>
      </w:r>
    </w:p>
    <w:p w14:paraId="43E29AD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Recipient</w:t>
      </w:r>
      <w:r w:rsidRPr="007A7850">
        <w:rPr>
          <w:rFonts w:ascii="Times" w:hAnsi="Times" w:cs="Times New Roman"/>
          <w:sz w:val="20"/>
          <w:szCs w:val="20"/>
        </w:rPr>
        <w:t xml:space="preserve"> means any entity to which financial assistance under WIA Title I is extended, either directly from the Department or through the Governor or another recipient (including any successor, assignee, or transferee of a recipient), but excluding the ultimate beneficiaries of the WIA Title I-funded program or activity. In instances in which a Governor operates a program or activity, either directly or through a State agency, using discretionary funds apportioned to him or her under WIA Title I (rather than disbursing the funds to another recipient), the Governor is also a recipient. “Recipient” includes, but is not limited to:</w:t>
      </w:r>
    </w:p>
    <w:p w14:paraId="675AB664"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 State-level agencies that administer, or are financed in whole or in part with, WIA Title I funds;</w:t>
      </w:r>
    </w:p>
    <w:p w14:paraId="1E141271"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State Employment Security Agencies;</w:t>
      </w:r>
    </w:p>
    <w:p w14:paraId="0314330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(3) State and local Workforce Investment Boards;</w:t>
      </w:r>
    </w:p>
    <w:p w14:paraId="38F71D77"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(4) LWIA grant recipients;</w:t>
      </w:r>
    </w:p>
    <w:p w14:paraId="7B322A5B"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(5) One-Stop operators;</w:t>
      </w:r>
    </w:p>
    <w:p w14:paraId="4E8FEAE1"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lastRenderedPageBreak/>
        <w:t>(6) Service providers, including eligible training providers;</w:t>
      </w:r>
    </w:p>
    <w:p w14:paraId="0232A377"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(7) On-the-Job Training (OJT) employers;</w:t>
      </w:r>
    </w:p>
    <w:p w14:paraId="6BB5CB0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(8) Job Corps contractors and center operators, excluding the operators of federally-operated Job Corps centers;</w:t>
      </w:r>
    </w:p>
    <w:p w14:paraId="383A60E7"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(9) Job Corps national training contractors;</w:t>
      </w:r>
    </w:p>
    <w:p w14:paraId="32A43F7B"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(10) Outreach and admissions agencies, including Job Corps contractors that perform these functions;</w:t>
      </w:r>
    </w:p>
    <w:p w14:paraId="6224290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(11) Placement agencies, including Job Corps contractors that perform these functions; and</w:t>
      </w:r>
    </w:p>
    <w:p w14:paraId="2047A99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(12) Other National Program recipients.</w:t>
      </w:r>
    </w:p>
    <w:p w14:paraId="784300B1"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In addition, for purposes of this part, One-Stop partners, as defined in section 121(b) of WIA, are treated as “recipients,” and are subject to the nondiscrimination and equal opportunity requirements of this part, to the extent that they participate in the One-Stop delivery system.</w:t>
      </w:r>
    </w:p>
    <w:p w14:paraId="3D7E6E87"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Registrant</w:t>
      </w:r>
      <w:r w:rsidRPr="007A7850">
        <w:rPr>
          <w:rFonts w:ascii="Times" w:hAnsi="Times" w:cs="Times New Roman"/>
          <w:sz w:val="20"/>
          <w:szCs w:val="20"/>
        </w:rPr>
        <w:t xml:space="preserve"> means the same as “applicant” for purposes of this part. See also the definitions of “application for benefits,” “eligible applicant/registrant,” “participant,” “participation,” and “recipient” in this section.</w:t>
      </w:r>
    </w:p>
    <w:p w14:paraId="3662FDF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Respondent</w:t>
      </w:r>
      <w:r w:rsidRPr="007A7850">
        <w:rPr>
          <w:rFonts w:ascii="Times" w:hAnsi="Times" w:cs="Times New Roman"/>
          <w:sz w:val="20"/>
          <w:szCs w:val="20"/>
        </w:rPr>
        <w:t xml:space="preserve"> means a grant applicant or recipient (including a Governor) against which a complaint has been filed under the nondiscrimination and equal opportunity provisions of WIA or this part.</w:t>
      </w:r>
    </w:p>
    <w:p w14:paraId="0EB6E80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Secretary</w:t>
      </w:r>
      <w:r w:rsidRPr="007A7850">
        <w:rPr>
          <w:rFonts w:ascii="Times" w:hAnsi="Times" w:cs="Times New Roman"/>
          <w:sz w:val="20"/>
          <w:szCs w:val="20"/>
        </w:rPr>
        <w:t xml:space="preserve"> means the Secretary of Labor, U.S. Department of Labor, or his or her designee.</w:t>
      </w:r>
    </w:p>
    <w:p w14:paraId="19EFCD21"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Sectarian activities</w:t>
      </w:r>
      <w:r w:rsidRPr="007A7850">
        <w:rPr>
          <w:rFonts w:ascii="Times" w:hAnsi="Times" w:cs="Times New Roman"/>
          <w:sz w:val="20"/>
          <w:szCs w:val="20"/>
        </w:rPr>
        <w:t xml:space="preserve"> means religious worship or ceremony, or sectarian instruction.</w:t>
      </w:r>
    </w:p>
    <w:p w14:paraId="1F9D1F24"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Section 504</w:t>
      </w:r>
      <w:r w:rsidRPr="007A7850">
        <w:rPr>
          <w:rFonts w:ascii="Times" w:hAnsi="Times" w:cs="Times New Roman"/>
          <w:sz w:val="20"/>
          <w:szCs w:val="20"/>
        </w:rPr>
        <w:t xml:space="preserve"> means Section 504 of the Rehabilitation Act of 1973, 29 U.S.C. 794, as amended, which forbids discrimination against qualified individuals with disabilities in federally-financed and conducted programs and activities.</w:t>
      </w:r>
    </w:p>
    <w:p w14:paraId="69C06BB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Service provider</w:t>
      </w:r>
      <w:r w:rsidRPr="007A7850">
        <w:rPr>
          <w:rFonts w:ascii="Times" w:hAnsi="Times" w:cs="Times New Roman"/>
          <w:sz w:val="20"/>
          <w:szCs w:val="20"/>
        </w:rPr>
        <w:t xml:space="preserve"> means:</w:t>
      </w:r>
    </w:p>
    <w:p w14:paraId="15F20C54"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 Any operator of, or provider of aid, benefits, services, or training to:</w:t>
      </w:r>
    </w:p>
    <w:p w14:paraId="01CF9DC1"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Any WIA Title I—funded program or activity that receives financial assistance from or through any State or LWIA grant recipient; or</w:t>
      </w:r>
    </w:p>
    <w:p w14:paraId="14E3A12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Any participant through that participant's Individual Training Account (ITA); or</w:t>
      </w:r>
    </w:p>
    <w:p w14:paraId="7BAAE754"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Any entity that is selected and/or certified as an eligible provider of training services to participants.</w:t>
      </w:r>
    </w:p>
    <w:p w14:paraId="66798A42"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Small recipient</w:t>
      </w:r>
      <w:r w:rsidRPr="007A7850">
        <w:rPr>
          <w:rFonts w:ascii="Times" w:hAnsi="Times" w:cs="Times New Roman"/>
          <w:sz w:val="20"/>
          <w:szCs w:val="20"/>
        </w:rPr>
        <w:t xml:space="preserve"> means a recipient who:</w:t>
      </w:r>
    </w:p>
    <w:p w14:paraId="5FB9F2D9"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Serves a total of fewer than 15 beneficiaries during the entire grant year, and</w:t>
      </w:r>
    </w:p>
    <w:p w14:paraId="7BA645B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Employs fewer than 15 employees on any given day during the grant year.</w:t>
      </w:r>
    </w:p>
    <w:p w14:paraId="34CEA533"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Solicitor</w:t>
      </w:r>
      <w:r w:rsidRPr="007A7850">
        <w:rPr>
          <w:rFonts w:ascii="Times" w:hAnsi="Times" w:cs="Times New Roman"/>
          <w:sz w:val="20"/>
          <w:szCs w:val="20"/>
        </w:rPr>
        <w:t xml:space="preserve"> means the Solicitor of Labor, U.S. Department of Labor, or his or her designee.</w:t>
      </w:r>
    </w:p>
    <w:p w14:paraId="76A47642"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lastRenderedPageBreak/>
        <w:t>State</w:t>
      </w:r>
      <w:r w:rsidRPr="007A7850">
        <w:rPr>
          <w:rFonts w:ascii="Times" w:hAnsi="Times" w:cs="Times New Roman"/>
          <w:sz w:val="20"/>
          <w:szCs w:val="20"/>
        </w:rPr>
        <w:t xml:space="preserve"> means the individual states of the United States, the District of Columbia, the Commonwealth of Puerto Rico, the Virgin Islands, American Samoa, Guam, Wake Island, the Commonwealth of the Northern Mariana Islands, the Federated States of Micronesia, the Republic of the Marshall Islands, and Palau.</w:t>
      </w:r>
    </w:p>
    <w:p w14:paraId="1E59AEE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State Employment Security Agency (SESA)</w:t>
      </w:r>
      <w:r w:rsidRPr="007A7850">
        <w:rPr>
          <w:rFonts w:ascii="Times" w:hAnsi="Times" w:cs="Times New Roman"/>
          <w:sz w:val="20"/>
          <w:szCs w:val="20"/>
        </w:rPr>
        <w:t xml:space="preserve"> means the State agency that, under the State Administrator, contains both State agencies with responsibility for administering programs authorized under the Wagner-Peyser Act, and unemployment insurance programs authorized under Title III of the Social Security Act.</w:t>
      </w:r>
    </w:p>
    <w:p w14:paraId="719871C4"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State Programs</w:t>
      </w:r>
      <w:r w:rsidRPr="007A7850">
        <w:rPr>
          <w:rFonts w:ascii="Times" w:hAnsi="Times" w:cs="Times New Roman"/>
          <w:sz w:val="20"/>
          <w:szCs w:val="20"/>
        </w:rPr>
        <w:t xml:space="preserve"> means programs financially assisted in whole or in part under Title I of WIA in which either:</w:t>
      </w:r>
    </w:p>
    <w:p w14:paraId="00516AD6"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 The Governor and/or State receives and disburses the grant to or through LWIA grant recipients; or</w:t>
      </w:r>
    </w:p>
    <w:p w14:paraId="4E7C4651"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The Governor retains the grant funds and operates the programs, either directly or through a State agency.</w:t>
      </w:r>
    </w:p>
    <w:p w14:paraId="10A28292"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“State programs” also includes State Employment Security Agencies, State Employment Service agencies, and/or State unemployment compensation agencies.</w:t>
      </w:r>
    </w:p>
    <w:p w14:paraId="4577E78A"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Supportive services</w:t>
      </w:r>
      <w:r w:rsidRPr="007A7850">
        <w:rPr>
          <w:rFonts w:ascii="Times" w:hAnsi="Times" w:cs="Times New Roman"/>
          <w:sz w:val="20"/>
          <w:szCs w:val="20"/>
        </w:rPr>
        <w:t xml:space="preserve"> means services, such as transportation, child care, dependent care, housing, and needs-related payments, that are necessary to enable an individual to participate in WIA Title I-financially assisted programs and activities, as consistent with the provisions of WIA.</w:t>
      </w:r>
    </w:p>
    <w:p w14:paraId="23FA846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Terminee</w:t>
      </w:r>
      <w:r w:rsidRPr="007A7850">
        <w:rPr>
          <w:rFonts w:ascii="Times" w:hAnsi="Times" w:cs="Times New Roman"/>
          <w:sz w:val="20"/>
          <w:szCs w:val="20"/>
        </w:rPr>
        <w:t xml:space="preserve"> means a participant whose participation in the program terminates, voluntarily or involuntarily, during the applicable program year.</w:t>
      </w:r>
    </w:p>
    <w:p w14:paraId="5CB74DF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Title VI</w:t>
      </w:r>
      <w:r w:rsidRPr="007A7850">
        <w:rPr>
          <w:rFonts w:ascii="Times" w:hAnsi="Times" w:cs="Times New Roman"/>
          <w:sz w:val="20"/>
          <w:szCs w:val="20"/>
        </w:rPr>
        <w:t xml:space="preserve"> means Title VI of the Civil Rights Act of 1964, 42 U.S.C. 2000d, </w:t>
      </w:r>
      <w:r w:rsidRPr="007A7850">
        <w:rPr>
          <w:rFonts w:ascii="Times" w:hAnsi="Times" w:cs="Times New Roman"/>
          <w:i/>
          <w:iCs/>
          <w:sz w:val="20"/>
          <w:szCs w:val="20"/>
        </w:rPr>
        <w:t>et seq.,</w:t>
      </w:r>
      <w:r w:rsidRPr="007A7850">
        <w:rPr>
          <w:rFonts w:ascii="Times" w:hAnsi="Times" w:cs="Times New Roman"/>
          <w:sz w:val="20"/>
          <w:szCs w:val="20"/>
        </w:rPr>
        <w:t xml:space="preserve"> as amended, which forbids recipients of Federal financial assistance from discriminating on the basis of race, color, or national origin.</w:t>
      </w:r>
    </w:p>
    <w:p w14:paraId="7F3807E6"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Transferee</w:t>
      </w:r>
      <w:r w:rsidRPr="007A7850">
        <w:rPr>
          <w:rFonts w:ascii="Times" w:hAnsi="Times" w:cs="Times New Roman"/>
          <w:sz w:val="20"/>
          <w:szCs w:val="20"/>
        </w:rPr>
        <w:t xml:space="preserve"> means a person or entity to whom real or personal property, or an interest in such property, is transferred.</w:t>
      </w:r>
    </w:p>
    <w:p w14:paraId="239401B6"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Ultimate beneficiary</w:t>
      </w:r>
      <w:r w:rsidRPr="007A7850">
        <w:rPr>
          <w:rFonts w:ascii="Times" w:hAnsi="Times" w:cs="Times New Roman"/>
          <w:sz w:val="20"/>
          <w:szCs w:val="20"/>
        </w:rPr>
        <w:t xml:space="preserve"> See the definition of “beneficiary” in this section.</w:t>
      </w:r>
    </w:p>
    <w:p w14:paraId="0012600A"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Undue hardship</w:t>
      </w:r>
      <w:r w:rsidRPr="007A7850">
        <w:rPr>
          <w:rFonts w:ascii="Times" w:hAnsi="Times" w:cs="Times New Roman"/>
          <w:sz w:val="20"/>
          <w:szCs w:val="20"/>
        </w:rPr>
        <w:t xml:space="preserve"> This term has different meanings, depending upon whether it is used with regard to reasonable accommodation of individuals with disabilities, or with regard to religious accommodation.</w:t>
      </w:r>
    </w:p>
    <w:p w14:paraId="5BFB069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 xml:space="preserve">(1) </w:t>
      </w:r>
      <w:r w:rsidRPr="007A7850">
        <w:rPr>
          <w:rFonts w:ascii="Times" w:hAnsi="Times" w:cs="Times New Roman"/>
          <w:i/>
          <w:iCs/>
          <w:sz w:val="20"/>
          <w:szCs w:val="20"/>
        </w:rPr>
        <w:t>Reasonable accommodation of individuals with disabilities:</w:t>
      </w:r>
      <w:r w:rsidRPr="007A7850">
        <w:rPr>
          <w:rFonts w:ascii="Times" w:hAnsi="Times" w:cs="Times New Roman"/>
          <w:sz w:val="20"/>
          <w:szCs w:val="20"/>
        </w:rPr>
        <w:t xml:space="preserve"> (i) In general, “undue hardship” means significant difficulty or expense incurred by a recipient, when considered in light of the factors set forth in paragraph (ii).</w:t>
      </w:r>
    </w:p>
    <w:p w14:paraId="4838E071"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(ii) Factors to be considered in determining whether an accommodation would impose an undue hardship on a recipient include:</w:t>
      </w:r>
    </w:p>
    <w:p w14:paraId="490733C1"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The nature and net cost of the accommodation needed, taking into consideration the availability of tax credits and deductions, and/or outside funding, for the accommodation;</w:t>
      </w:r>
    </w:p>
    <w:p w14:paraId="345951C0"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The overall financial resources of the facility or facilities involved in the provision of the reasonable accommodation, including:</w:t>
      </w:r>
    </w:p>
    <w:p w14:paraId="61A1F609"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lastRenderedPageBreak/>
        <w:t>(</w:t>
      </w:r>
      <w:r w:rsidRPr="007A7850">
        <w:rPr>
          <w:rFonts w:ascii="Times" w:hAnsi="Times" w:cs="Times New Roman"/>
          <w:i/>
          <w:iCs/>
          <w:sz w:val="20"/>
          <w:szCs w:val="20"/>
        </w:rPr>
        <w:t>1</w:t>
      </w:r>
      <w:r w:rsidRPr="007A7850">
        <w:rPr>
          <w:rFonts w:ascii="Times" w:hAnsi="Times" w:cs="Times New Roman"/>
          <w:sz w:val="20"/>
          <w:szCs w:val="20"/>
        </w:rPr>
        <w:t>) The number of persons aided, benefited, served, or trained by, or employed at, the facility or facilities, and</w:t>
      </w:r>
    </w:p>
    <w:p w14:paraId="1D68957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w:t>
      </w:r>
      <w:r w:rsidRPr="007A7850">
        <w:rPr>
          <w:rFonts w:ascii="Times" w:hAnsi="Times" w:cs="Times New Roman"/>
          <w:i/>
          <w:iCs/>
          <w:sz w:val="20"/>
          <w:szCs w:val="20"/>
        </w:rPr>
        <w:t>2</w:t>
      </w:r>
      <w:r w:rsidRPr="007A7850">
        <w:rPr>
          <w:rFonts w:ascii="Times" w:hAnsi="Times" w:cs="Times New Roman"/>
          <w:sz w:val="20"/>
          <w:szCs w:val="20"/>
        </w:rPr>
        <w:t>) The effect the accommodation would have on the expenses and resources of the facility or facilities;</w:t>
      </w:r>
    </w:p>
    <w:p w14:paraId="503A695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(C) The overall financial resources of the recipient, including:</w:t>
      </w:r>
    </w:p>
    <w:p w14:paraId="6BE82584"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w:t>
      </w:r>
      <w:r w:rsidRPr="007A7850">
        <w:rPr>
          <w:rFonts w:ascii="Times" w:hAnsi="Times" w:cs="Times New Roman"/>
          <w:i/>
          <w:iCs/>
          <w:sz w:val="20"/>
          <w:szCs w:val="20"/>
        </w:rPr>
        <w:t>1</w:t>
      </w:r>
      <w:r w:rsidRPr="007A7850">
        <w:rPr>
          <w:rFonts w:ascii="Times" w:hAnsi="Times" w:cs="Times New Roman"/>
          <w:sz w:val="20"/>
          <w:szCs w:val="20"/>
        </w:rPr>
        <w:t>) The overall size of the recipient,</w:t>
      </w:r>
    </w:p>
    <w:p w14:paraId="43F41CE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w:t>
      </w:r>
      <w:r w:rsidRPr="007A7850">
        <w:rPr>
          <w:rFonts w:ascii="Times" w:hAnsi="Times" w:cs="Times New Roman"/>
          <w:i/>
          <w:iCs/>
          <w:sz w:val="20"/>
          <w:szCs w:val="20"/>
        </w:rPr>
        <w:t>2</w:t>
      </w:r>
      <w:r w:rsidRPr="007A7850">
        <w:rPr>
          <w:rFonts w:ascii="Times" w:hAnsi="Times" w:cs="Times New Roman"/>
          <w:sz w:val="20"/>
          <w:szCs w:val="20"/>
        </w:rPr>
        <w:t>) The number of persons aided, benefited, served, trained, or employed by the recipient, and</w:t>
      </w:r>
    </w:p>
    <w:p w14:paraId="0705D61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w:t>
      </w:r>
      <w:r w:rsidRPr="007A7850">
        <w:rPr>
          <w:rFonts w:ascii="Times" w:hAnsi="Times" w:cs="Times New Roman"/>
          <w:i/>
          <w:iCs/>
          <w:sz w:val="20"/>
          <w:szCs w:val="20"/>
        </w:rPr>
        <w:t>3</w:t>
      </w:r>
      <w:r w:rsidRPr="007A7850">
        <w:rPr>
          <w:rFonts w:ascii="Times" w:hAnsi="Times" w:cs="Times New Roman"/>
          <w:sz w:val="20"/>
          <w:szCs w:val="20"/>
        </w:rPr>
        <w:t>) The number, type and location of the recipient's facilities;</w:t>
      </w:r>
    </w:p>
    <w:p w14:paraId="05F3C43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(D) The type of operation or operations of the recipient, including:</w:t>
      </w:r>
    </w:p>
    <w:p w14:paraId="73BC50B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w:t>
      </w:r>
      <w:r w:rsidRPr="007A7850">
        <w:rPr>
          <w:rFonts w:ascii="Times" w:hAnsi="Times" w:cs="Times New Roman"/>
          <w:i/>
          <w:iCs/>
          <w:sz w:val="20"/>
          <w:szCs w:val="20"/>
        </w:rPr>
        <w:t>1</w:t>
      </w:r>
      <w:r w:rsidRPr="007A7850">
        <w:rPr>
          <w:rFonts w:ascii="Times" w:hAnsi="Times" w:cs="Times New Roman"/>
          <w:sz w:val="20"/>
          <w:szCs w:val="20"/>
        </w:rPr>
        <w:t>) The geographic separateness and administrative or fiscal relationship of the facility or facilities in question to the recipient, and</w:t>
      </w:r>
    </w:p>
    <w:p w14:paraId="1A7186A7"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w:t>
      </w:r>
      <w:r w:rsidRPr="007A7850">
        <w:rPr>
          <w:rFonts w:ascii="Times" w:hAnsi="Times" w:cs="Times New Roman"/>
          <w:i/>
          <w:iCs/>
          <w:sz w:val="20"/>
          <w:szCs w:val="20"/>
        </w:rPr>
        <w:t>2</w:t>
      </w:r>
      <w:r w:rsidRPr="007A7850">
        <w:rPr>
          <w:rFonts w:ascii="Times" w:hAnsi="Times" w:cs="Times New Roman"/>
          <w:sz w:val="20"/>
          <w:szCs w:val="20"/>
        </w:rPr>
        <w:t>) Where the individual is seeking an employment-related accommodation, the composition, structure and functions of the recipient's workforce; and</w:t>
      </w:r>
    </w:p>
    <w:p w14:paraId="1047660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(E) The impact of the accommodation upon the operation of the facility or facilities, including:</w:t>
      </w:r>
    </w:p>
    <w:p w14:paraId="1E22A8B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w:t>
      </w:r>
      <w:r w:rsidRPr="007A7850">
        <w:rPr>
          <w:rFonts w:ascii="Times" w:hAnsi="Times" w:cs="Times New Roman"/>
          <w:i/>
          <w:iCs/>
          <w:sz w:val="20"/>
          <w:szCs w:val="20"/>
        </w:rPr>
        <w:t>1</w:t>
      </w:r>
      <w:r w:rsidRPr="007A7850">
        <w:rPr>
          <w:rFonts w:ascii="Times" w:hAnsi="Times" w:cs="Times New Roman"/>
          <w:sz w:val="20"/>
          <w:szCs w:val="20"/>
        </w:rPr>
        <w:t>) The impact on the ability of other participants to receive aid, benefits, services, or training, or of other employees to perform their duties, and</w:t>
      </w:r>
    </w:p>
    <w:p w14:paraId="32B00DF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w:t>
      </w:r>
      <w:r w:rsidRPr="007A7850">
        <w:rPr>
          <w:rFonts w:ascii="Times" w:hAnsi="Times" w:cs="Times New Roman"/>
          <w:i/>
          <w:iCs/>
          <w:sz w:val="20"/>
          <w:szCs w:val="20"/>
        </w:rPr>
        <w:t>2</w:t>
      </w:r>
      <w:r w:rsidRPr="007A7850">
        <w:rPr>
          <w:rFonts w:ascii="Times" w:hAnsi="Times" w:cs="Times New Roman"/>
          <w:sz w:val="20"/>
          <w:szCs w:val="20"/>
        </w:rPr>
        <w:t>) The impact on the facility's ability to carry out its mission.</w:t>
      </w:r>
    </w:p>
    <w:p w14:paraId="271566A6"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 xml:space="preserve">(2) </w:t>
      </w:r>
      <w:r w:rsidRPr="007A7850">
        <w:rPr>
          <w:rFonts w:ascii="Times" w:hAnsi="Times" w:cs="Times New Roman"/>
          <w:i/>
          <w:iCs/>
          <w:sz w:val="20"/>
          <w:szCs w:val="20"/>
        </w:rPr>
        <w:t>Religious accommodation</w:t>
      </w:r>
      <w:r w:rsidRPr="007A7850">
        <w:rPr>
          <w:rFonts w:ascii="Times" w:hAnsi="Times" w:cs="Times New Roman"/>
          <w:sz w:val="20"/>
          <w:szCs w:val="20"/>
        </w:rPr>
        <w:t xml:space="preserve"> For purposes of religious accommodation only, “undue hardship” means any additional, unusual costs, other than </w:t>
      </w:r>
      <w:r w:rsidRPr="007A7850">
        <w:rPr>
          <w:rFonts w:ascii="Times" w:hAnsi="Times" w:cs="Times New Roman"/>
          <w:i/>
          <w:iCs/>
          <w:sz w:val="20"/>
          <w:szCs w:val="20"/>
        </w:rPr>
        <w:t>de minimis</w:t>
      </w:r>
      <w:r w:rsidRPr="007A7850">
        <w:rPr>
          <w:rFonts w:ascii="Times" w:hAnsi="Times" w:cs="Times New Roman"/>
          <w:sz w:val="20"/>
          <w:szCs w:val="20"/>
        </w:rPr>
        <w:t xml:space="preserve"> costs, that a particular accommodation would impose upon a recipient. </w:t>
      </w:r>
      <w:r w:rsidRPr="007A7850">
        <w:rPr>
          <w:rFonts w:ascii="Times" w:hAnsi="Times" w:cs="Times New Roman"/>
          <w:i/>
          <w:iCs/>
          <w:sz w:val="20"/>
          <w:szCs w:val="20"/>
        </w:rPr>
        <w:t>See Trans World Airlines, Inc.</w:t>
      </w:r>
      <w:r w:rsidRPr="007A7850">
        <w:rPr>
          <w:rFonts w:ascii="Times" w:hAnsi="Times" w:cs="Times New Roman"/>
          <w:sz w:val="20"/>
          <w:szCs w:val="20"/>
        </w:rPr>
        <w:t xml:space="preserve"> v. </w:t>
      </w:r>
      <w:r w:rsidRPr="007A7850">
        <w:rPr>
          <w:rFonts w:ascii="Times" w:hAnsi="Times" w:cs="Times New Roman"/>
          <w:i/>
          <w:iCs/>
          <w:sz w:val="20"/>
          <w:szCs w:val="20"/>
        </w:rPr>
        <w:t>Hardison,</w:t>
      </w:r>
      <w:r w:rsidRPr="007A7850">
        <w:rPr>
          <w:rFonts w:ascii="Times" w:hAnsi="Times" w:cs="Times New Roman"/>
          <w:sz w:val="20"/>
          <w:szCs w:val="20"/>
        </w:rPr>
        <w:t xml:space="preserve"> 432 U.S. 63, 81, 84 (1977).</w:t>
      </w:r>
    </w:p>
    <w:p w14:paraId="7B0FA992"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WIA</w:t>
      </w:r>
      <w:r w:rsidRPr="007A7850">
        <w:rPr>
          <w:rFonts w:ascii="Times" w:hAnsi="Times" w:cs="Times New Roman"/>
          <w:sz w:val="20"/>
          <w:szCs w:val="20"/>
        </w:rPr>
        <w:t xml:space="preserve"> means the Workforce Investment Act of 1998, Pub. L. 105-220.</w:t>
      </w:r>
    </w:p>
    <w:p w14:paraId="22E939E1"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WIA Title I financial assistance</w:t>
      </w:r>
      <w:r w:rsidRPr="007A7850">
        <w:rPr>
          <w:rFonts w:ascii="Times" w:hAnsi="Times" w:cs="Times New Roman"/>
          <w:sz w:val="20"/>
          <w:szCs w:val="20"/>
        </w:rPr>
        <w:t xml:space="preserve"> See the definition of “Federal financial assistance under Title I of WIA” in this section.</w:t>
      </w:r>
    </w:p>
    <w:p w14:paraId="685E3FA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WIA Title I-funded program or activity</w:t>
      </w:r>
      <w:r w:rsidRPr="007A7850">
        <w:rPr>
          <w:rFonts w:ascii="Times" w:hAnsi="Times" w:cs="Times New Roman"/>
          <w:sz w:val="20"/>
          <w:szCs w:val="20"/>
        </w:rPr>
        <w:t xml:space="preserve"> means:</w:t>
      </w:r>
    </w:p>
    <w:p w14:paraId="02BDF957"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 A program or activity, operated by a recipient and funded, in whole or in part, under Title I of WIA, that provides either:</w:t>
      </w:r>
    </w:p>
    <w:p w14:paraId="4D132D23"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 Any aid, benefits, services, or training to individuals; or</w:t>
      </w:r>
    </w:p>
    <w:p w14:paraId="73B769D6"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(ii) Facilities for furnishing any aid, benefits, services, or training to individuals;</w:t>
      </w:r>
    </w:p>
    <w:p w14:paraId="5E642A94"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Aid, benefits, services, or training provided in facilities that are being or were constructed with the aid of Federal financial assistance under WIA Title I; or</w:t>
      </w:r>
    </w:p>
    <w:p w14:paraId="43C26913"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 xml:space="preserve">(3) Aid, benefits, services, or training provided with the aid of any non-WIA Title I funds, property, or other resources that are required to be expended or made available in order for the program to meet </w:t>
      </w:r>
      <w:r w:rsidRPr="007A7850">
        <w:rPr>
          <w:rFonts w:ascii="Times" w:hAnsi="Times" w:cs="Times New Roman"/>
          <w:sz w:val="20"/>
          <w:szCs w:val="20"/>
        </w:rPr>
        <w:lastRenderedPageBreak/>
        <w:t>matching requirements or other conditions which must be met in order to receive the WIA Title I financial assistance.</w:t>
      </w:r>
    </w:p>
    <w:p w14:paraId="1445DAAB"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i/>
          <w:iCs/>
          <w:sz w:val="20"/>
          <w:szCs w:val="20"/>
        </w:rPr>
        <w:t>See</w:t>
      </w:r>
      <w:r w:rsidRPr="007A7850">
        <w:rPr>
          <w:rFonts w:ascii="Times" w:hAnsi="Times" w:cs="Times New Roman"/>
          <w:sz w:val="20"/>
          <w:szCs w:val="20"/>
        </w:rPr>
        <w:t xml:space="preserve"> the definition of “aid, benefits, services, or training” in this section.</w:t>
      </w:r>
    </w:p>
    <w:p w14:paraId="56E280A7"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7" w:name="29:1.1.1.1.31.1.56.5"/>
      <w:bookmarkEnd w:id="7"/>
      <w:r w:rsidRPr="007A7850">
        <w:rPr>
          <w:rFonts w:ascii="Times" w:eastAsia="Times New Roman" w:hAnsi="Times" w:cs="Times New Roman"/>
          <w:bCs/>
          <w:sz w:val="20"/>
          <w:szCs w:val="20"/>
        </w:rPr>
        <w:t>§37.5   What forms of discrimination are prohibited by this part?</w:t>
      </w:r>
    </w:p>
    <w:p w14:paraId="4A6E58CA"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No individual in the United States may, on the ground of race, color, religion, sex, national origin, age, disability, political affiliation or belief, and for beneficiaries only, citizenship or participation in any WIA Title I—financially assisted program or activity, be excluded from participation in, denied the benefits of, subjected to discrimination under, or denied employment in the administration of or in connection with any WIA Title I—funded program or activity.</w:t>
      </w:r>
    </w:p>
    <w:p w14:paraId="06511A39"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8" w:name="29:1.1.1.1.31.1.56.6"/>
      <w:bookmarkEnd w:id="8"/>
      <w:r w:rsidRPr="007A7850">
        <w:rPr>
          <w:rFonts w:ascii="Times" w:eastAsia="Times New Roman" w:hAnsi="Times" w:cs="Times New Roman"/>
          <w:bCs/>
          <w:sz w:val="20"/>
          <w:szCs w:val="20"/>
        </w:rPr>
        <w:t>§37.6   What specific discriminatory actions, based on prohibited grounds other than disability, are prohibited by this part, and what limitations are there related to religious activities?</w:t>
      </w:r>
    </w:p>
    <w:p w14:paraId="7067B234"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For the purposes of this section, “prohibited ground” means race, color, religion, sex, national origin, age, political affiliation or belief, and for beneficiaries only, citizenship or participation in any WIA Title I—financially assisted program or activity.</w:t>
      </w:r>
    </w:p>
    <w:p w14:paraId="552C6941"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A recipient must not, directly or through contractual, licensing, or other arrangements, on a prohibited ground:</w:t>
      </w:r>
    </w:p>
    <w:p w14:paraId="23CEBFE7"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 Deny an individual any aid, benefits, services, or training provided under a WIA Title I—funded program or activity;</w:t>
      </w:r>
    </w:p>
    <w:p w14:paraId="4DA4B9D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Provide to an individual any aid, benefits, services, or training that is different, or is provided in a different manner, from that provided to others under a WIA Title I—funded program or activity;</w:t>
      </w:r>
    </w:p>
    <w:p w14:paraId="437B2EE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(3) Subject an individual to segregation or separate treatment in any matter related to his or her receipt of any aid, benefits, services, or training under a WIA Title I—funded program or activity;</w:t>
      </w:r>
    </w:p>
    <w:p w14:paraId="67C3F331"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(4) Restrict an individual in any way in the enjoyment of any advantage or privilege enjoyed by others receiving any aid, benefits, services, or training under a WIA Title I—funded program or activity;</w:t>
      </w:r>
    </w:p>
    <w:p w14:paraId="6355885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(5) Treat an individual differently from others in determining whether he or she satisfies any admission, enrollment, eligibility, membership, or other requirement or condition for any aid, benefits, services, or training provided under a WIA Title I—funded program or activity;</w:t>
      </w:r>
    </w:p>
    <w:p w14:paraId="635DA217"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(6) Deny or limit an individual with respect to any opportunity to participate in a WIA Title I—funded program or activity, or afford him or her an opportunity to do so that is different from the opportunity afforded others under a WIA Title I—funded program or activity;</w:t>
      </w:r>
    </w:p>
    <w:p w14:paraId="1A2036AE"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(7) Deny an individual the opportunity to participate as a member of a planning or advisory body that is an integral part of the WIA Title I—funded program or activity; or</w:t>
      </w:r>
    </w:p>
    <w:p w14:paraId="60DE8162"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(8) Otherwise limit on a prohibited ground an individual in enjoyment of any right, privilege, advantage, or opportunity enjoyed by others receiving any WIA Title I—financially assisted aid, benefits, services, or training.</w:t>
      </w:r>
    </w:p>
    <w:p w14:paraId="53167414"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(c) A recipient must not, directly or through contractual, licensing, or other arrangements:</w:t>
      </w:r>
    </w:p>
    <w:p w14:paraId="1F6FF730"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lastRenderedPageBreak/>
        <w:t>(1) Aid or perpetuate discrimination by providing significant assistance to an agency, organization, or person that discriminates on a prohibited ground in providing any aid, benefits, services, or training to registrants, applicants or participants in a WIA Title I—funded program or activity; or</w:t>
      </w:r>
    </w:p>
    <w:p w14:paraId="256AB0B3"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Refuse to accommodate an individual's religious practices or beliefs, unless to do so would result in undue hardship, as defined in section 37.4.</w:t>
      </w:r>
    </w:p>
    <w:p w14:paraId="090988B7"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(d) (1) In making any of the determinations listed in paragraph (d)(2) of this section, either directly or through contractual, licensing, or other arrangements, a recipient must not use standards, procedures, criteria, or administrative methods that have any of the following purposes or effects:</w:t>
      </w:r>
    </w:p>
    <w:p w14:paraId="4DCE851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 Subjecting individuals to discrimination on a prohibited ground; or</w:t>
      </w:r>
    </w:p>
    <w:p w14:paraId="06D5589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(ii) Defeating or substantially impairing, on a prohibited ground, accomplishment of the objectives of either:</w:t>
      </w:r>
    </w:p>
    <w:p w14:paraId="41B47564"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The WIA Title I—funded program or activity; or</w:t>
      </w:r>
    </w:p>
    <w:p w14:paraId="430863AE"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the nondiscrimination and equal opportunity provisions of WIA or this part.</w:t>
      </w:r>
    </w:p>
    <w:p w14:paraId="33E4E8B2"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The determinations to which this paragraph applies include, but are not limited to:</w:t>
      </w:r>
    </w:p>
    <w:p w14:paraId="6FBFD060"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 The types of aid, benefits, services, training, or facilities that will be provided under any WIA Title I—funded program or activity;</w:t>
      </w:r>
    </w:p>
    <w:p w14:paraId="2CA9D94E"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(ii) The class of individuals to whom such aid, benefits, services, training, or facilities will be provided; or</w:t>
      </w:r>
    </w:p>
    <w:p w14:paraId="0B024481"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(iii) The situations in which such aid, benefits, services, training, or facilities will be provided.</w:t>
      </w:r>
    </w:p>
    <w:p w14:paraId="710AC10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(3) Paragraph (d) of this section applies to the administration of WIA Title I—funded programs or activities providing aid, benefits, services, training, or facilities in any manner, including, but not limited to:</w:t>
      </w:r>
    </w:p>
    <w:p w14:paraId="449D3F21"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 Outreach and recruitment;</w:t>
      </w:r>
    </w:p>
    <w:p w14:paraId="5F8BB75E"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(ii) Registration;</w:t>
      </w:r>
    </w:p>
    <w:p w14:paraId="0E067DF3"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(iii) Counseling and guidance;</w:t>
      </w:r>
    </w:p>
    <w:p w14:paraId="2A1A7CD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(iv) Testing;</w:t>
      </w:r>
    </w:p>
    <w:p w14:paraId="5534FCDB"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(v) Selection, placement, appointment, and referral;</w:t>
      </w:r>
    </w:p>
    <w:p w14:paraId="6CD53DD7"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(vi) Training; and</w:t>
      </w:r>
    </w:p>
    <w:p w14:paraId="4BB24A9B"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(vii) Promotion and retention.</w:t>
      </w:r>
    </w:p>
    <w:p w14:paraId="11E4EC8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(4) A recipient must not take any of the prohibited actions listed in paragraph (d) of this section either directly or through contractual, licensing, or other arrangements.</w:t>
      </w:r>
    </w:p>
    <w:p w14:paraId="1653F20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(e) In determining the site or location of facilities, a grant applicant or recipient must not make selections that have any of the following purposes or effects:</w:t>
      </w:r>
    </w:p>
    <w:p w14:paraId="2D78ECB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lastRenderedPageBreak/>
        <w:t>(1) On a prohibited ground:</w:t>
      </w:r>
    </w:p>
    <w:p w14:paraId="131DA064"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 Excluding individuals from a WIA Title I—financially assisted program or activity;</w:t>
      </w:r>
    </w:p>
    <w:p w14:paraId="729EDE7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(ii) Denying them the benefits of such a program or activity; or</w:t>
      </w:r>
    </w:p>
    <w:p w14:paraId="53CA4A29"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(iii) Subjecting them to discrimination; or</w:t>
      </w:r>
    </w:p>
    <w:p w14:paraId="128BDE57"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Defeating or substantially impairing the accomplishment of the objectives of either:</w:t>
      </w:r>
    </w:p>
    <w:p w14:paraId="1ADD621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 The WIA Title I—financially assisted program or activity; or</w:t>
      </w:r>
    </w:p>
    <w:p w14:paraId="3A098FF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(ii) The nondiscrimination and equal opportunity provisions of WIA or this part.</w:t>
      </w:r>
    </w:p>
    <w:p w14:paraId="1BE578C9"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 xml:space="preserve">(f)(1) 29 CFR part 2, subpart D governs the circumstances under which DOL support, including WIA Title I financial assistance, may be used to employ or train participants in religious activities. Under that subpart, such assistance may be used for such employment or training only when the assistance is provided indirectly within the meaning of the Establishment Clause of the U.S. Constitution, and not when the assistance is provided directly. As explained in that subpart, assistance provided through an Individual Training Account is generally considered indirect, and other mechanisms may also be considered indirect. </w:t>
      </w:r>
      <w:r w:rsidRPr="007A7850">
        <w:rPr>
          <w:rFonts w:ascii="Times" w:hAnsi="Times" w:cs="Times New Roman"/>
          <w:i/>
          <w:iCs/>
          <w:sz w:val="20"/>
          <w:szCs w:val="20"/>
        </w:rPr>
        <w:t>See also</w:t>
      </w:r>
      <w:r w:rsidRPr="007A7850">
        <w:rPr>
          <w:rFonts w:ascii="Times" w:hAnsi="Times" w:cs="Times New Roman"/>
          <w:sz w:val="20"/>
          <w:szCs w:val="20"/>
        </w:rPr>
        <w:t xml:space="preserve"> §§667.266 and 667.275 of 20 CFR. 29 CFR part 2, subpart D also contains requirements related to equal treatment of religious organizations in Department of Labor programs, and to protection of religious liberty for Department of Labor social service providers and beneficiaries.</w:t>
      </w:r>
    </w:p>
    <w:p w14:paraId="4D578060"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(f)(2) Except under the circumstances described in paragraph (f)(3) below, a recipient must not employ participants to carry out the construction, operation, or maintenance of any part of any facility that is used, or to be used, for religious instruction or as a place for religious worship.</w:t>
      </w:r>
    </w:p>
    <w:p w14:paraId="30E4B60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(3) A recipient may employ participants to carry out the maintenance of a facility that is not primarily or inherently devoted to religious instruction or religious worship if the organization operating the facility is part of a program or activity providing services to participants.</w:t>
      </w:r>
    </w:p>
    <w:p w14:paraId="5128B5A9"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(g) The exclusion of an individual from programs or activities limited by Federal statute or Executive Order to a certain class or classes of individuals of which the individual in question is not a member is not prohibited by this part.</w:t>
      </w:r>
    </w:p>
    <w:p w14:paraId="21CE034A"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[64 FR 61715, Nov. 12, 1999, as amended at 69 FR 41893, 41900, July 12, 2004]</w:t>
      </w:r>
    </w:p>
    <w:p w14:paraId="77610120"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9" w:name="29:1.1.1.1.31.1.56.7"/>
      <w:bookmarkEnd w:id="9"/>
      <w:r w:rsidRPr="007A7850">
        <w:rPr>
          <w:rFonts w:ascii="Times" w:eastAsia="Times New Roman" w:hAnsi="Times" w:cs="Times New Roman"/>
          <w:bCs/>
          <w:sz w:val="20"/>
          <w:szCs w:val="20"/>
        </w:rPr>
        <w:t>§37.7   What specific discriminatory actions based on disability are prohibited by this part?</w:t>
      </w:r>
    </w:p>
    <w:p w14:paraId="5F752142"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In providing any aid, benefits, services, or training under a WIA Title I—financially assisted program or activity, a recipient must not, directly or through contractual, licensing, or other arrangements, on the ground of disability:</w:t>
      </w:r>
    </w:p>
    <w:p w14:paraId="2B89CBE7"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 Deny a qualified individual with a disability the opportunity to participate in or benefit from the aid, benefits, services, or training;</w:t>
      </w:r>
    </w:p>
    <w:p w14:paraId="6060181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Afford a qualified individual with a disability an opportunity to participate in or benefit from the aid, benefits, services, or training that is not equal to that afforded others;</w:t>
      </w:r>
    </w:p>
    <w:p w14:paraId="6189D70A"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lastRenderedPageBreak/>
        <w:t>(3) Provide a qualified individual with a disability with an aid, benefit, service or training that is not as effective in affording equal opportunity to obtain the same result, to gain the same benefit, or to reach the same level of achievement as that provided to others;</w:t>
      </w:r>
    </w:p>
    <w:p w14:paraId="000B97EB"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(4) Provide different, segregated, or separate aid, benefits, services, or training to individuals with disabilities, or to any class of individuals with disabilities, unless such action is necessary to provide qualified individuals with disabilities with aid, benefits, services or training that are as effective as those provided to others;</w:t>
      </w:r>
    </w:p>
    <w:p w14:paraId="57CFBA7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(5) Deny a qualified individual with a disability the opportunity to participate as a member of planning or advisory boards; or</w:t>
      </w:r>
    </w:p>
    <w:p w14:paraId="5730FB29"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(6) Otherwise limit a qualified individual with a disability in enjoyment of any right, privilege, advantage, or opportunity enjoyed by others receiving any aid, benefit, service or training.</w:t>
      </w:r>
    </w:p>
    <w:p w14:paraId="0D204783"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A recipient must not, directly or through contractual, licensing, or other arrangements, aid or perpetuate discrimination against qualified individuals with disabilities by providing significant assistance to an agency, organization, or person that discriminates on the basis of disability in providing any aid, benefits, services or training to registrants, applicants, or participants.</w:t>
      </w:r>
    </w:p>
    <w:p w14:paraId="2A642A7B"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(c) A recipient must not deny a qualified individual with a disability the opportunity to participate in WIA Title I—financially assisted programs or activities despite the existence of permissibly separate or different programs or activities.</w:t>
      </w:r>
    </w:p>
    <w:p w14:paraId="5FBE8BD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(d) A recipient must administer WIA Title I—financially assisted programs and activities in the most integrated setting appropriate to the needs of qualified individuals with disabilities.</w:t>
      </w:r>
    </w:p>
    <w:p w14:paraId="2C08C606"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(e) A recipient must not, directly or through contractual, licensing, or other arrangements, use standards, procedures, criteria, or administrative methods:</w:t>
      </w:r>
    </w:p>
    <w:p w14:paraId="67A1B01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 That have the purpose or effect of subjecting qualified individuals with disabilities to discrimination on the ground of disability;</w:t>
      </w:r>
    </w:p>
    <w:p w14:paraId="40EE43DE"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That have the purpose or effect of defeating or substantially impairing accomplishment of the objectives of the WIA Title I—financially assisted program or activity with respect to individuals with disabilities; or</w:t>
      </w:r>
    </w:p>
    <w:p w14:paraId="0FAE74BE"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(3) That perpetuate the discrimination of another entity if both entities are subject to common administrative control or are agencies of the same state.</w:t>
      </w:r>
    </w:p>
    <w:p w14:paraId="32C14F60"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(f) In determining the site or location of facilities, a grant applicant or recipient must not make selections that have any of the following purposes or effects:</w:t>
      </w:r>
    </w:p>
    <w:p w14:paraId="3D0EF21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 On the basis of disability:</w:t>
      </w:r>
    </w:p>
    <w:p w14:paraId="016B0D0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 Excluding qualified individuals from a WIA Title I-financially assisted program or activity;</w:t>
      </w:r>
    </w:p>
    <w:p w14:paraId="02DF1B10"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(ii) Denying them the benefits of such a program or activity; or</w:t>
      </w:r>
    </w:p>
    <w:p w14:paraId="441DE8AA"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(iii) Subjecting them to discrimination; or</w:t>
      </w:r>
    </w:p>
    <w:p w14:paraId="4A739B6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Defeating or substantially impairing the accomplishment of the disability-related objectives of either:</w:t>
      </w:r>
    </w:p>
    <w:p w14:paraId="501DC79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lastRenderedPageBreak/>
        <w:t>(i) The WIA Title I-financially assisted program or activity; or</w:t>
      </w:r>
    </w:p>
    <w:p w14:paraId="217F9BEB"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(ii) The nondiscrimination and equal opportunity provisions of WIA or this part.</w:t>
      </w:r>
    </w:p>
    <w:p w14:paraId="378D3D9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(g) A recipient, in the selection of contractors, must not use criteria that subject qualified individuals with disabilities to discrimination on the basis of disability.</w:t>
      </w:r>
    </w:p>
    <w:p w14:paraId="4080C50A"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(h) A recipient must not administer a licensing or certification program in a manner that subjects qualified individuals with disabilities to discrimination on the basis of disability, nor may a recipient establish requirements for the programs or activities of licensees or certified entities that subject qualified individuals with disabilities to discrimination on the basis of disability. The programs or activities of entities that are licensed or certified by a recipient are not, themselves, covered by this part.</w:t>
      </w:r>
    </w:p>
    <w:p w14:paraId="2713DBCA"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 A recipient must not impose or apply eligibility criteria that screen out or tend to screen out an individual with a disability or any class of individuals with disabilities from fully and equally enjoying any aid, benefit, service, training, program, or activity, unless such criteria can be shown to be necessary for the provision of the aid, benefit, service, training, program, or activity being offered.</w:t>
      </w:r>
    </w:p>
    <w:p w14:paraId="3FE38EFA"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(j) Nothing in this part prohibits a recipient from providing aid, benefits, services, training, or advantages to individuals with disabilities, or to a particular class of individuals with disabilities, beyond those required by this part.</w:t>
      </w:r>
    </w:p>
    <w:p w14:paraId="17F0E84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(k) A recipient must not place a surcharge on a particular individual with a disability, or any group of individuals with disabilities, to cover the costs of measures, such as the provision of auxiliary aids or program accessibility, that are required to provide that individual or group with the nondiscriminatory treatment required by WIA Title I or this part.</w:t>
      </w:r>
    </w:p>
    <w:p w14:paraId="100CF039"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(l) A recipient must not exclude, or otherwise deny equal aid, benefits, services, training, programs, or activities to, an individual or entity because of the known disability of an individual with whom the individual or entity is known to have a relationship or association.</w:t>
      </w:r>
    </w:p>
    <w:p w14:paraId="5B688629"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(m) The exclusion of an individual without a disability from the benefits of a program limited by Federal statute or Executive Order to individuals with disabilities, or the exclusion of a specific class of individuals with disabilities from a program limited by Federal statute or Executive Order to a different class of individuals with disabilities, is not prohibited by this part.</w:t>
      </w:r>
    </w:p>
    <w:p w14:paraId="53EFA95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(n) This part does not require a recipient to provide any of the following to individuals with disabilities:</w:t>
      </w:r>
    </w:p>
    <w:p w14:paraId="2C411FCA"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 Personal devices, such as wheelchairs;</w:t>
      </w:r>
    </w:p>
    <w:p w14:paraId="596D5B67"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Individually prescribed devices, such as prescription eyeglasses or hearing aids;</w:t>
      </w:r>
    </w:p>
    <w:p w14:paraId="53586226"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(3) Readers for personal use or study; or</w:t>
      </w:r>
    </w:p>
    <w:p w14:paraId="00BA1C9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(4) Services of a personal nature, including assistance in eating, toileting, or dressing.</w:t>
      </w:r>
    </w:p>
    <w:p w14:paraId="7EE72C42"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(o)(1) Nothing in this part requires an individual with a disability to accept an accommodation, aid, benefit, service, training, or opportunity provided under WIA Title I or this part that such individual chooses not to accept.</w:t>
      </w:r>
    </w:p>
    <w:p w14:paraId="0599DFA9"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Nothing in this part authorizes the representative or guardian of an individual with a disability to decline food, water, medical treatment, or medical services for that individual.</w:t>
      </w:r>
    </w:p>
    <w:p w14:paraId="7B2602D3"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10" w:name="29:1.1.1.1.31.1.56.8"/>
      <w:bookmarkEnd w:id="10"/>
      <w:r w:rsidRPr="007A7850">
        <w:rPr>
          <w:rFonts w:ascii="Times" w:eastAsia="Times New Roman" w:hAnsi="Times" w:cs="Times New Roman"/>
          <w:bCs/>
          <w:sz w:val="20"/>
          <w:szCs w:val="20"/>
        </w:rPr>
        <w:lastRenderedPageBreak/>
        <w:t>§37.8   What are a recipient's responsibilities regarding reasonable accommodation and reasonable modification for individuals with disabilities?</w:t>
      </w:r>
    </w:p>
    <w:p w14:paraId="7C474DD6"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With regard to aid, benefits, services, training, and employment, a recipient must provide reasonable accommodation to qualified individuals with disabilities who are applicants, registrants, eligible applicants/registrants, participants, employees, or applicants for employment, unless providing the accommodation would cause undue hardship. See the definitions of “reasonable accommodation” and “undue hardship” in §37.4 of this part.</w:t>
      </w:r>
    </w:p>
    <w:p w14:paraId="56820E3E"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 In those circumstances where a recipient believes that the proposed accommodation would cause undue hardship, the recipient has the burden of proving that the accommodation would result in such hardship.</w:t>
      </w:r>
    </w:p>
    <w:p w14:paraId="566931F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The recipient must make the decision that the accommodation would cause such hardship only after considering all factors listed in the definition of “undue hardship” in §37.4. The decision must be accompanied by a written statement of the recipient's reasons for reaching that conclusion. The recipient must provide a copy of the statement of reasons to the individual or individuals who requested the accommodation.</w:t>
      </w:r>
    </w:p>
    <w:p w14:paraId="1CAEE1F2"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(3) If a requested accommodation would result in undue hardship, the recipient must take any other action that would not result in such hardship, but would nevertheless ensure that, to the maximum extent possible, individuals with disabilities receive the aid, benefits, services, training, or employment provided by the recipient.</w:t>
      </w:r>
    </w:p>
    <w:p w14:paraId="7C1EB523"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A recipient must also make reasonable modifications in policies, practices, or procedures when the modifications are necessary to avoid discrimination on the basis of disability, unless making the modifications would fundamentally alter the nature of the service, program, or activity. See the definition of “fundamental alteration” in §37.4 of this part.</w:t>
      </w:r>
    </w:p>
    <w:p w14:paraId="4117F0B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 In those circumstances where a recipient believes that the proposed modification would fundamentally alter the program, activity, or service, the recipient has the burden of proving that the modification would result in such an alteration.</w:t>
      </w:r>
    </w:p>
    <w:p w14:paraId="4E7A264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The recipient must make the decision that the modification would result in such an alteration only after considering all factors listed in the definition of “fundamental alteration” in §37.4. The decision must be accompanied by a written statement of the recipient's reasons for reaching that conclusion. The recipient must provide a copy of the statement of reasons to the individual or individuals who requested the modification.</w:t>
      </w:r>
    </w:p>
    <w:p w14:paraId="3F1C039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(3) If a modification would result in a fundamental alteration, the recipient must take any other action that would not result in such an alteration, but would nevertheless ensure that, to the maximum extent possible, individuals with disabilities receive the aid, benefits, services, training, or employment provided by the recipient.</w:t>
      </w:r>
    </w:p>
    <w:p w14:paraId="30C23A08"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11" w:name="29:1.1.1.1.31.1.56.9"/>
      <w:bookmarkEnd w:id="11"/>
      <w:r w:rsidRPr="007A7850">
        <w:rPr>
          <w:rFonts w:ascii="Times" w:eastAsia="Times New Roman" w:hAnsi="Times" w:cs="Times New Roman"/>
          <w:bCs/>
          <w:sz w:val="20"/>
          <w:szCs w:val="20"/>
        </w:rPr>
        <w:t>§37.9   What are a recipient's responsibilities to communicate with individuals with disabilities?</w:t>
      </w:r>
    </w:p>
    <w:p w14:paraId="263902A6"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Recipients must take appropriate steps to ensure that communications with beneficiaries, registrants, applicants, eligible applicants/registrants, participants, applicants for employment, employees, and members of the public who are individuals with disabilities, are as effective as communications with others.</w:t>
      </w:r>
    </w:p>
    <w:p w14:paraId="7427678E"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 xml:space="preserve">(b) A recipient must furnish appropriate auxiliary aids or services where necessary to afford individuals with disabilities an equal opportunity to participate in, and enjoy the benefits of, the WIA Title I—financially assisted program or activity. In determining what type of auxiliary aid or service is appropriate </w:t>
      </w:r>
      <w:r w:rsidRPr="007A7850">
        <w:rPr>
          <w:rFonts w:ascii="Times" w:hAnsi="Times" w:cs="Times New Roman"/>
          <w:sz w:val="20"/>
          <w:szCs w:val="20"/>
        </w:rPr>
        <w:lastRenderedPageBreak/>
        <w:t>and necessary, such recipient must give primary consideration to the requests of the individual with a disability.</w:t>
      </w:r>
    </w:p>
    <w:p w14:paraId="26BC96D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(c) Where a recipient communicates by telephone with beneficiaries, registrants, applicants, eligible applicants/registrants, participants, applicants for employment, and/or employees, the recipient must use telecommunications devices for individuals with hearing impairments (TDDs/TTYs), or equally effective communications systems, such as telephone relay services.</w:t>
      </w:r>
    </w:p>
    <w:p w14:paraId="2BF39172"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(d) A recipient must ensure that interested individuals, including individuals with visual or hearing impairments, can obtain information as to the existence and location of accessible services, activities, and facilities.</w:t>
      </w:r>
    </w:p>
    <w:p w14:paraId="3A1F8600"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(e)(1) A recipient must provide signage at a primary entrance to each of its inaccessible facilities, directing users to a location at which they can obtain information about accessible facilities. The signage provided must meet the most current standards prescribed by the General Services Administration under the Architectural Barriers Act at 41 CFR 101-19.6. Alternative standards for the signage may be adopted when it is clearly evident that such alternative standards provide equivalent or greater access to the information.</w:t>
      </w:r>
    </w:p>
    <w:p w14:paraId="666481B1"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The international symbol for accessibility must be used at each primary entrance of an accessible facility.</w:t>
      </w:r>
    </w:p>
    <w:p w14:paraId="38D05F62"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(f) This section does not require a recipient to take any action that it can demonstrate would result in a fundamental alteration in the nature of a service, program, or activity.</w:t>
      </w:r>
    </w:p>
    <w:p w14:paraId="2CE804A6"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 In those circumstances where a recipient believes that the proposed action would fundamentally alter the WIA Title I—financially assisted program, activity, or service, the recipient has the burden of proving that compliance with this section would result in such an alteration.</w:t>
      </w:r>
    </w:p>
    <w:p w14:paraId="5C072A2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The decision that compliance would result in such an alteration must be made by the recipient after considering all resources available for use in the funding and operation of the WIA Title I—financially assisted program, activity, or service, and must be accompanied by a written statement of the reasons for reaching that conclusion.</w:t>
      </w:r>
    </w:p>
    <w:p w14:paraId="19E9B9F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(3) If an action required to comply with this section would result in the fundamental alteration described in paragraph (f)(1) of this section, the recipient must take any other action that would not result in such an alteration, but would nevertheless ensure that, to the maximum extent possible, individuals with disabilities receive the benefits or services provided by the recipient.</w:t>
      </w:r>
    </w:p>
    <w:p w14:paraId="36902CB8"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12" w:name="29:1.1.1.1.31.1.56.10"/>
      <w:bookmarkEnd w:id="12"/>
      <w:r w:rsidRPr="007A7850">
        <w:rPr>
          <w:rFonts w:ascii="Times" w:eastAsia="Times New Roman" w:hAnsi="Times" w:cs="Times New Roman"/>
          <w:bCs/>
          <w:sz w:val="20"/>
          <w:szCs w:val="20"/>
        </w:rPr>
        <w:t>§37.10   To what extent are employment practices covered by this part?</w:t>
      </w:r>
    </w:p>
    <w:p w14:paraId="54106F93"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Discrimination on the ground of race, color, religion, sex, national origin, age, disability, or political affiliation or belief is prohibited in employment practices in the administration of, or in connection with:</w:t>
      </w:r>
    </w:p>
    <w:p w14:paraId="1595475A"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 Any WIA Title I-financially assisted program or activity; and</w:t>
      </w:r>
    </w:p>
    <w:p w14:paraId="1ADEFF3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Any program or activity that is part of the One-Stop delivery system and is operated by a One-Stop partner listed in Section 121(b) of WIA, to the extent that the program or activity is being conducted as part of the One-Stop delivery system.</w:t>
      </w:r>
    </w:p>
    <w:p w14:paraId="77F1D1AB"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 xml:space="preserve">(b) </w:t>
      </w:r>
      <w:r w:rsidRPr="007A7850">
        <w:rPr>
          <w:rFonts w:ascii="Times" w:hAnsi="Times" w:cs="Times New Roman"/>
          <w:i/>
          <w:iCs/>
          <w:sz w:val="20"/>
          <w:szCs w:val="20"/>
        </w:rPr>
        <w:t>Employee selection procedures.</w:t>
      </w:r>
      <w:r w:rsidRPr="007A7850">
        <w:rPr>
          <w:rFonts w:ascii="Times" w:hAnsi="Times" w:cs="Times New Roman"/>
          <w:sz w:val="20"/>
          <w:szCs w:val="20"/>
        </w:rPr>
        <w:t xml:space="preserve"> In implementing this section, a recipient must comply with the Uniform Guidelines on Employee Selection Procedures, 41 CFR part 60-3.</w:t>
      </w:r>
    </w:p>
    <w:p w14:paraId="1305948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lastRenderedPageBreak/>
        <w:t xml:space="preserve">(c) </w:t>
      </w:r>
      <w:r w:rsidRPr="007A7850">
        <w:rPr>
          <w:rFonts w:ascii="Times" w:hAnsi="Times" w:cs="Times New Roman"/>
          <w:i/>
          <w:iCs/>
          <w:sz w:val="20"/>
          <w:szCs w:val="20"/>
        </w:rPr>
        <w:t>Standards for employment-related investigations and reviews.</w:t>
      </w:r>
      <w:r w:rsidRPr="007A7850">
        <w:rPr>
          <w:rFonts w:ascii="Times" w:hAnsi="Times" w:cs="Times New Roman"/>
          <w:sz w:val="20"/>
          <w:szCs w:val="20"/>
        </w:rPr>
        <w:t xml:space="preserve"> In any investigation or compliance review, the Director must consider Equal Employment Opportunity Commission (EEOC) regulations, guidance and appropriate case law in determining whether a recipient has engaged in an unlawful employment practice.</w:t>
      </w:r>
    </w:p>
    <w:p w14:paraId="581F6E7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(d) As provided in §37.3(b) of this part, 29 CFR part 32, subparts B and C and Appendix A, which implement the requirements of Section 504 pertaining to employment practices and employment-related training, program accessibility, and reasonable accommodation, have been incorporated into this part by reference. Therefore, recipients must comply with the requirements set forth in those regulatory sections as well as the requirements listed in this part.</w:t>
      </w:r>
    </w:p>
    <w:p w14:paraId="48DE5F6A"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 xml:space="preserve">(e) Recipients that are also employers, employment agencies, or other entities covered by Titles I and II of the ADA should be aware of obligations imposed by those titles. </w:t>
      </w:r>
      <w:r w:rsidRPr="007A7850">
        <w:rPr>
          <w:rFonts w:ascii="Times" w:hAnsi="Times" w:cs="Times New Roman"/>
          <w:i/>
          <w:iCs/>
          <w:sz w:val="20"/>
          <w:szCs w:val="20"/>
        </w:rPr>
        <w:t>See</w:t>
      </w:r>
      <w:r w:rsidRPr="007A7850">
        <w:rPr>
          <w:rFonts w:ascii="Times" w:hAnsi="Times" w:cs="Times New Roman"/>
          <w:sz w:val="20"/>
          <w:szCs w:val="20"/>
        </w:rPr>
        <w:t xml:space="preserve"> 29 CFR part 1630 and 28 CFR part 35.</w:t>
      </w:r>
    </w:p>
    <w:p w14:paraId="15FF539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 xml:space="preserve">(f) Similarly, recipients that are also employers covered by the anti-discrimination provision of the Immigration and Nationality Act should be aware of the obligations imposed by that provision. </w:t>
      </w:r>
      <w:r w:rsidRPr="007A7850">
        <w:rPr>
          <w:rFonts w:ascii="Times" w:hAnsi="Times" w:cs="Times New Roman"/>
          <w:i/>
          <w:iCs/>
          <w:sz w:val="20"/>
          <w:szCs w:val="20"/>
        </w:rPr>
        <w:t>See</w:t>
      </w:r>
      <w:r w:rsidRPr="007A7850">
        <w:rPr>
          <w:rFonts w:ascii="Times" w:hAnsi="Times" w:cs="Times New Roman"/>
          <w:sz w:val="20"/>
          <w:szCs w:val="20"/>
        </w:rPr>
        <w:t xml:space="preserve"> 8 U.S.C. 1324b, as amended.</w:t>
      </w:r>
    </w:p>
    <w:p w14:paraId="7F36281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(g) This rule does not preempt consistent State and local requirements.</w:t>
      </w:r>
    </w:p>
    <w:p w14:paraId="5BACAD3B"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13" w:name="29:1.1.1.1.31.1.56.11"/>
      <w:bookmarkEnd w:id="13"/>
      <w:r w:rsidRPr="007A7850">
        <w:rPr>
          <w:rFonts w:ascii="Times" w:eastAsia="Times New Roman" w:hAnsi="Times" w:cs="Times New Roman"/>
          <w:bCs/>
          <w:sz w:val="20"/>
          <w:szCs w:val="20"/>
        </w:rPr>
        <w:t>§37.11   To what extent are intimidation and retaliation prohibited by this part?</w:t>
      </w:r>
    </w:p>
    <w:p w14:paraId="0A7E972A"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A recipient must not discharge, intimidate, retaliate, threaten, coerce or discriminate against any individual because the individual has:</w:t>
      </w:r>
    </w:p>
    <w:p w14:paraId="3579DAD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 Filed a complaint alleging a violation of Section 188 of WIA or this part;</w:t>
      </w:r>
    </w:p>
    <w:p w14:paraId="1ECDF10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Opposed a practice prohibited by the nondiscrimination and equal opportunity provisions of WIA or this part;</w:t>
      </w:r>
    </w:p>
    <w:p w14:paraId="5DA481D7"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(3) Furnished information to, or assisted or participated in any manner in, an investigation, review, hearing, or any other activity related to any of the following:</w:t>
      </w:r>
    </w:p>
    <w:p w14:paraId="0B160F51"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 Administration of the nondiscrimination and equal opportunity provisions of WIA or this part;</w:t>
      </w:r>
    </w:p>
    <w:p w14:paraId="685653B7"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(ii) Exercise of authority under those provisions; or</w:t>
      </w:r>
    </w:p>
    <w:p w14:paraId="52D683A6"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(iii) Exercise of privilege secured by those provisions; or</w:t>
      </w:r>
    </w:p>
    <w:p w14:paraId="0A854DE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(4) Otherwise exercised any rights and privileges under the nondiscrimination and equal opportunity provisions of WIA or this part.</w:t>
      </w:r>
    </w:p>
    <w:p w14:paraId="370B2FA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The sanctions and penalties contained in Section 188(b) of WIA or this part may be imposed against any recipient that engages in any such retaliation or intimidation, or fails to take appropriate steps to prevent such activity.</w:t>
      </w:r>
    </w:p>
    <w:p w14:paraId="4330CAA0"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14" w:name="29:1.1.1.1.31.1.56.12"/>
      <w:bookmarkEnd w:id="14"/>
      <w:r w:rsidRPr="007A7850">
        <w:rPr>
          <w:rFonts w:ascii="Times" w:eastAsia="Times New Roman" w:hAnsi="Times" w:cs="Times New Roman"/>
          <w:bCs/>
          <w:sz w:val="20"/>
          <w:szCs w:val="20"/>
        </w:rPr>
        <w:t>§37.12   What Department of Labor office is responsible for administering this part?</w:t>
      </w:r>
    </w:p>
    <w:p w14:paraId="41DA409B"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 xml:space="preserve">The Civil Rights Center (CRC), in the Office of the Assistant Secretary for Administration and Management, is responsible for administering and enforcing the nondiscrimination and equal opportunity </w:t>
      </w:r>
      <w:r w:rsidRPr="007A7850">
        <w:rPr>
          <w:rFonts w:ascii="Times" w:hAnsi="Times" w:cs="Times New Roman"/>
          <w:sz w:val="20"/>
          <w:szCs w:val="20"/>
        </w:rPr>
        <w:lastRenderedPageBreak/>
        <w:t>provisions of WIA and this part, and for developing and issuing policies, standards, guidance, and procedures for effecting compliance.</w:t>
      </w:r>
    </w:p>
    <w:p w14:paraId="6CED4409"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15" w:name="29:1.1.1.1.31.1.56.13"/>
      <w:bookmarkEnd w:id="15"/>
      <w:r w:rsidRPr="007A7850">
        <w:rPr>
          <w:rFonts w:ascii="Times" w:eastAsia="Times New Roman" w:hAnsi="Times" w:cs="Times New Roman"/>
          <w:bCs/>
          <w:sz w:val="20"/>
          <w:szCs w:val="20"/>
        </w:rPr>
        <w:t>§37.13   Who is responsible for providing interpretations of this part?</w:t>
      </w:r>
    </w:p>
    <w:p w14:paraId="6558034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The Director will make any rulings under, or interpretations of, the nondiscrimination and equal opportunity provisions of WIA or this part.</w:t>
      </w:r>
    </w:p>
    <w:p w14:paraId="7C82BE4A"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16" w:name="29:1.1.1.1.31.1.56.14"/>
      <w:bookmarkEnd w:id="16"/>
      <w:r w:rsidRPr="007A7850">
        <w:rPr>
          <w:rFonts w:ascii="Times" w:eastAsia="Times New Roman" w:hAnsi="Times" w:cs="Times New Roman"/>
          <w:bCs/>
          <w:sz w:val="20"/>
          <w:szCs w:val="20"/>
        </w:rPr>
        <w:t>§37.14   Under what circumstances may the Secretary delegate the responsibilities of this part?</w:t>
      </w:r>
    </w:p>
    <w:p w14:paraId="3ECB149E"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The Secretary may from time to time assign to officials of other departments or agencies of the Government (with the consent of such department or agency) responsibilities in connection with the effectuation of the nondiscrimination and equal opportunity provisions of WIA and this part (other than responsibility for final decisions under §37.112), including the achievement of effective coordination and maximum uniformity within the Department and within the executive branch of the Government in the application of the nondiscrimination and equal opportunity provisions of WIA or this part to similar programs and similar situations.</w:t>
      </w:r>
    </w:p>
    <w:p w14:paraId="0FE2D56E"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Any action taken, determination made, or requirement imposed by an official of another department or agency acting under an assignment of responsibility under this section has the same effect as if the action had been taken by the Director.</w:t>
      </w:r>
    </w:p>
    <w:p w14:paraId="0C22A33F"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17" w:name="29:1.1.1.1.31.1.56.15"/>
      <w:bookmarkEnd w:id="17"/>
      <w:r w:rsidRPr="007A7850">
        <w:rPr>
          <w:rFonts w:ascii="Times" w:eastAsia="Times New Roman" w:hAnsi="Times" w:cs="Times New Roman"/>
          <w:bCs/>
          <w:sz w:val="20"/>
          <w:szCs w:val="20"/>
        </w:rPr>
        <w:t>§37.15   What are the Director's responsibilities to coordinate with other civil rights agencies?</w:t>
      </w:r>
    </w:p>
    <w:p w14:paraId="27DD69E6"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Whenever a compliance review or complaint investigation under this part reveals possible violation of one or more of the laws listed in paragraph (b) of this section, or of any other Federal civil rights law, that is not also a violation of the nondiscrimination and equal opportunity provisions of WIA or this part, the Director must attempt to notify the appropriate agency and provide it with all relevant documents and information.</w:t>
      </w:r>
    </w:p>
    <w:p w14:paraId="7434775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This section applies to the following:</w:t>
      </w:r>
    </w:p>
    <w:p w14:paraId="1BD430A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 Executive Order 11246, as amended;</w:t>
      </w:r>
    </w:p>
    <w:p w14:paraId="365C73D4"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Section 503 of the Rehabilitation Act of 1973, as amended (29 U.S.C. 793);</w:t>
      </w:r>
    </w:p>
    <w:p w14:paraId="13D4661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(3) The affirmative action provisions of the Vietnam Era Veterans' Readjustment Assistance Act of 1974, as amended (38 U.S.C. 4212);</w:t>
      </w:r>
    </w:p>
    <w:p w14:paraId="565CF3D7"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(4) The Equal Pay Act of 1963, as amended (29 U.S.C. 206d);</w:t>
      </w:r>
    </w:p>
    <w:p w14:paraId="4703727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 xml:space="preserve">(5) Title VII of the Civil Rights Act of 1964, as amended (42 U.S.C. 2000e </w:t>
      </w:r>
      <w:r w:rsidRPr="007A7850">
        <w:rPr>
          <w:rFonts w:ascii="Times" w:hAnsi="Times" w:cs="Times New Roman"/>
          <w:i/>
          <w:iCs/>
          <w:sz w:val="20"/>
          <w:szCs w:val="20"/>
        </w:rPr>
        <w:t>et seq.</w:t>
      </w:r>
      <w:r w:rsidRPr="007A7850">
        <w:rPr>
          <w:rFonts w:ascii="Times" w:hAnsi="Times" w:cs="Times New Roman"/>
          <w:sz w:val="20"/>
          <w:szCs w:val="20"/>
        </w:rPr>
        <w:t>);</w:t>
      </w:r>
    </w:p>
    <w:p w14:paraId="6A4C417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(6) The Age Discrimination in Employment Act of 1967, as amended (29 U.S.C. 621);</w:t>
      </w:r>
    </w:p>
    <w:p w14:paraId="0A79199A"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 xml:space="preserve">(7) The Americans with Disabilities Act of 1990, as amended (42 U.S.C. 12101 </w:t>
      </w:r>
      <w:r w:rsidRPr="007A7850">
        <w:rPr>
          <w:rFonts w:ascii="Times" w:hAnsi="Times" w:cs="Times New Roman"/>
          <w:i/>
          <w:iCs/>
          <w:sz w:val="20"/>
          <w:szCs w:val="20"/>
        </w:rPr>
        <w:t>et seq.</w:t>
      </w:r>
      <w:r w:rsidRPr="007A7850">
        <w:rPr>
          <w:rFonts w:ascii="Times" w:hAnsi="Times" w:cs="Times New Roman"/>
          <w:sz w:val="20"/>
          <w:szCs w:val="20"/>
        </w:rPr>
        <w:t>);</w:t>
      </w:r>
    </w:p>
    <w:p w14:paraId="62D7DD7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(8) The anti-discrimination provision of the Immigration and Nationality Act, as amended (8 U.S.C. 1324b); and</w:t>
      </w:r>
    </w:p>
    <w:p w14:paraId="0E582B19"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(9) Any other Federal civil rights law.</w:t>
      </w:r>
    </w:p>
    <w:p w14:paraId="677A2423"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18" w:name="29:1.1.1.1.31.1.56.16"/>
      <w:bookmarkEnd w:id="18"/>
      <w:r w:rsidRPr="007A7850">
        <w:rPr>
          <w:rFonts w:ascii="Times" w:eastAsia="Times New Roman" w:hAnsi="Times" w:cs="Times New Roman"/>
          <w:bCs/>
          <w:sz w:val="20"/>
          <w:szCs w:val="20"/>
        </w:rPr>
        <w:lastRenderedPageBreak/>
        <w:t>§37.16   What is this part's effect on a recipient's obligations under other laws, and what limitations apply?</w:t>
      </w:r>
    </w:p>
    <w:p w14:paraId="53C94C8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 xml:space="preserve">(a) </w:t>
      </w:r>
      <w:r w:rsidRPr="007A7850">
        <w:rPr>
          <w:rFonts w:ascii="Times" w:hAnsi="Times" w:cs="Times New Roman"/>
          <w:i/>
          <w:iCs/>
          <w:sz w:val="20"/>
          <w:szCs w:val="20"/>
        </w:rPr>
        <w:t>Effect of State or local law or other requirements.</w:t>
      </w:r>
      <w:r w:rsidRPr="007A7850">
        <w:rPr>
          <w:rFonts w:ascii="Times" w:hAnsi="Times" w:cs="Times New Roman"/>
          <w:sz w:val="20"/>
          <w:szCs w:val="20"/>
        </w:rPr>
        <w:t xml:space="preserve"> The obligation to comply with the nondiscrimination and equal opportunity provisions of WIA or this part are not excused or reduced by any State or local law or other requirement that, on a prohibited ground, prohibits or limits an individual's eligibility to receive aid, benefits, services, or training; to participate in any WIA Title I—financially assisted program or activity; to be employed by any recipient; or to practice any occupation or profession.</w:t>
      </w:r>
    </w:p>
    <w:p w14:paraId="6C8A7E09"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 xml:space="preserve">(b) </w:t>
      </w:r>
      <w:r w:rsidRPr="007A7850">
        <w:rPr>
          <w:rFonts w:ascii="Times" w:hAnsi="Times" w:cs="Times New Roman"/>
          <w:i/>
          <w:iCs/>
          <w:sz w:val="20"/>
          <w:szCs w:val="20"/>
        </w:rPr>
        <w:t>Effect of private organization rules.</w:t>
      </w:r>
      <w:r w:rsidRPr="007A7850">
        <w:rPr>
          <w:rFonts w:ascii="Times" w:hAnsi="Times" w:cs="Times New Roman"/>
          <w:sz w:val="20"/>
          <w:szCs w:val="20"/>
        </w:rPr>
        <w:t xml:space="preserve"> The obligation to comply with the nondiscrimination and equal opportunity provisions of WIA and this part is not excused or reduced by any rule or regulation of any private organization, club, league or association that, on a prohibited ground, prohibits or limits an individual's eligibility to participate in any WIA Title I—financially assisted program or activity to which this part applies.</w:t>
      </w:r>
    </w:p>
    <w:p w14:paraId="1811FDA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 xml:space="preserve">(c) </w:t>
      </w:r>
      <w:r w:rsidRPr="007A7850">
        <w:rPr>
          <w:rFonts w:ascii="Times" w:hAnsi="Times" w:cs="Times New Roman"/>
          <w:i/>
          <w:iCs/>
          <w:sz w:val="20"/>
          <w:szCs w:val="20"/>
        </w:rPr>
        <w:t>Effect of possible future exclusion from employment opportunities.</w:t>
      </w:r>
      <w:r w:rsidRPr="007A7850">
        <w:rPr>
          <w:rFonts w:ascii="Times" w:hAnsi="Times" w:cs="Times New Roman"/>
          <w:sz w:val="20"/>
          <w:szCs w:val="20"/>
        </w:rPr>
        <w:t xml:space="preserve"> A recipient must not exclude any individual from, or restrict any individual's participation in, any program or activity based on the recipient's belief or concern that the individual will encounter limited future employment opportunities because of his or her race, color, religion, sex, national origin, age, disability, political affiliation or belief, or citizenship.</w:t>
      </w:r>
    </w:p>
    <w:p w14:paraId="053DD0F5"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19" w:name="29:1.1.1.1.31.2"/>
      <w:bookmarkEnd w:id="19"/>
      <w:r w:rsidRPr="007A7850">
        <w:rPr>
          <w:rFonts w:ascii="Times" w:eastAsia="Times New Roman" w:hAnsi="Times" w:cs="Times New Roman"/>
          <w:bCs/>
          <w:sz w:val="20"/>
          <w:szCs w:val="20"/>
        </w:rPr>
        <w:t>Subpart B—Recordkeeping and Other Affirmative Obligations of Recipients</w:t>
      </w:r>
    </w:p>
    <w:p w14:paraId="2F860B31" w14:textId="77777777" w:rsidR="00B930B1" w:rsidRPr="007A7850" w:rsidRDefault="00B930B1" w:rsidP="00B930B1">
      <w:pPr>
        <w:spacing w:before="100" w:beforeAutospacing="1" w:after="100" w:afterAutospacing="1"/>
        <w:outlineLvl w:val="0"/>
        <w:rPr>
          <w:rFonts w:ascii="Times" w:eastAsia="Times New Roman" w:hAnsi="Times" w:cs="Times New Roman"/>
          <w:bCs/>
          <w:kern w:val="36"/>
          <w:sz w:val="20"/>
          <w:szCs w:val="20"/>
        </w:rPr>
      </w:pPr>
      <w:r w:rsidRPr="007A7850">
        <w:rPr>
          <w:rFonts w:ascii="Times" w:eastAsia="Times New Roman" w:hAnsi="Times" w:cs="Times New Roman"/>
          <w:bCs/>
          <w:kern w:val="36"/>
          <w:sz w:val="20"/>
          <w:szCs w:val="20"/>
        </w:rPr>
        <w:t>Assurances</w:t>
      </w:r>
    </w:p>
    <w:p w14:paraId="44681584"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20" w:name="29:1.1.1.1.31.2.56.1"/>
      <w:bookmarkEnd w:id="20"/>
      <w:r w:rsidRPr="007A7850">
        <w:rPr>
          <w:rFonts w:ascii="Times" w:eastAsia="Times New Roman" w:hAnsi="Times" w:cs="Times New Roman"/>
          <w:bCs/>
          <w:sz w:val="20"/>
          <w:szCs w:val="20"/>
        </w:rPr>
        <w:t>§37.20   What is a grant applicant's obligation to provide a written assurance?</w:t>
      </w:r>
    </w:p>
    <w:p w14:paraId="680E4410"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 xml:space="preserve">(a)(1) Each application for financial assistance under Title I of WIA, as defined in §37.4, must include the following assurance: </w:t>
      </w:r>
    </w:p>
    <w:p w14:paraId="06561539"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As a condition to the award of financial assistance from the Department of Labor under Title I of WIA, the grant applicant assures that it will comply fully with the nondiscrimination and equal opportunity provisions of the following laws:</w:t>
      </w:r>
    </w:p>
    <w:p w14:paraId="2F78E567"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Section 188 of the Workforce Investment Act of 1998 (WIA), which prohibits discrimination against all individuals in the United States on the basis of race, color, religion, sex, national origin, age, disability, political affiliation or belief, and against beneficiaries on the basis of either citizenship/status as a lawfully admitted immigrant authorized to work in the United States or participation in any WIA Title I—financially assisted program or activity;</w:t>
      </w:r>
    </w:p>
    <w:p w14:paraId="4C057503"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Title VI of the Civil Rights Act of 1964, as amended, which prohibits discrimination on the bases of race, color and national origin;</w:t>
      </w:r>
    </w:p>
    <w:p w14:paraId="0866D0B4"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Section 504 of the Rehabilitation Act of 1973, as amended, which prohibits discrimination against qualified individuals with disabilities;</w:t>
      </w:r>
    </w:p>
    <w:p w14:paraId="6B61505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The Age Discrimination Act of 1975, as amended, which prohibits discrimination on the basis of age; and</w:t>
      </w:r>
    </w:p>
    <w:p w14:paraId="0F5440B3"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Title IX of the Education Amendments of 1972, as amended, which prohibits discrimination on the basis of sex in educational programs.</w:t>
      </w:r>
    </w:p>
    <w:p w14:paraId="2E42C8E7"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 xml:space="preserve">The grant applicant also assures that it will comply with 29 CFR part 37 and all other regulations implementing the laws listed above. This assurance applies to the grant applicant's operation of the WIA Title I-financially assisted program or activity, and to all agreements the grant applicant makes to carry out </w:t>
      </w:r>
      <w:r w:rsidRPr="007A7850">
        <w:rPr>
          <w:rFonts w:ascii="Times" w:hAnsi="Times" w:cs="Times New Roman"/>
          <w:sz w:val="20"/>
          <w:szCs w:val="20"/>
        </w:rPr>
        <w:lastRenderedPageBreak/>
        <w:t>the WIA Title I-financially assisted program or activity. The grant applicant understands that the United States has the right to seek judicial enforcement of this assurance.</w:t>
      </w:r>
    </w:p>
    <w:p w14:paraId="5322106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The assurance is considered incorporated by operation of law in the grant, cooperative agreement, contract or other arrangement whereby Federal financial assistance under Title I of the WIA is made available, whether or not it is physically incorporated in such document and whether or not there is a written agreement between the Department and the recipient, between the Department and the Governor, between the Governor and the recipient, or between recipients. The assurance also may be incorporated by reference in such grants, cooperative agreements, contracts, or other arrangements.</w:t>
      </w:r>
    </w:p>
    <w:p w14:paraId="5CDBE1A9"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 xml:space="preserve">(b) </w:t>
      </w:r>
      <w:r w:rsidRPr="007A7850">
        <w:rPr>
          <w:rFonts w:ascii="Times" w:hAnsi="Times" w:cs="Times New Roman"/>
          <w:i/>
          <w:iCs/>
          <w:sz w:val="20"/>
          <w:szCs w:val="20"/>
        </w:rPr>
        <w:t>Continuing State programs.</w:t>
      </w:r>
      <w:r w:rsidRPr="007A7850">
        <w:rPr>
          <w:rFonts w:ascii="Times" w:hAnsi="Times" w:cs="Times New Roman"/>
          <w:sz w:val="20"/>
          <w:szCs w:val="20"/>
        </w:rPr>
        <w:t xml:space="preserve"> Each Strategic Five-Year State Plan submitted by a State to carry out a continuing WIA Title I-financially assisted program or activity must provide a statement that the WIA Title I-financially assisted program or activity is (or, in the case of a new WIA Title I-financially assisted program or activity, will be) conducted in compliance with the nondiscrimination and equal opportunity provisions of WIA and this part, as a condition to the approval of the Five-Year Plan and the extension of any WIA Title I financial assistance under the Plan. The State also must certify that it has developed and maintains a Methods of Administration under §37.54.</w:t>
      </w:r>
    </w:p>
    <w:p w14:paraId="7A6CEA9B"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21" w:name="29:1.1.1.1.31.2.56.2"/>
      <w:bookmarkEnd w:id="21"/>
      <w:r w:rsidRPr="007A7850">
        <w:rPr>
          <w:rFonts w:ascii="Times" w:eastAsia="Times New Roman" w:hAnsi="Times" w:cs="Times New Roman"/>
          <w:bCs/>
          <w:sz w:val="20"/>
          <w:szCs w:val="20"/>
        </w:rPr>
        <w:t>§37.21   How long will the recipient's obligation under the assurance last, and how broad is the obligation?</w:t>
      </w:r>
    </w:p>
    <w:p w14:paraId="3F7130D3"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Where the WIA Title I financial assistance is intended to provide, or is in the form of, either personal property, real property, structures on real property, or interest in any such property or structures, the assurance will obligate the recipient, or (in the case of a subsequent transfer) the transferee, for the longer of:</w:t>
      </w:r>
    </w:p>
    <w:p w14:paraId="746AD382"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 The period during which the property is used either:</w:t>
      </w:r>
    </w:p>
    <w:p w14:paraId="41411FA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 For a purpose for which WIA Title I financial assistance is extended; or</w:t>
      </w:r>
    </w:p>
    <w:p w14:paraId="7A684C90"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(ii) For another purpose involving the provision of similar services or benefits; or</w:t>
      </w:r>
    </w:p>
    <w:p w14:paraId="0E4E3D0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The period during which either:</w:t>
      </w:r>
    </w:p>
    <w:p w14:paraId="6A88142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 The recipient retains ownership or possession of the property; or</w:t>
      </w:r>
    </w:p>
    <w:p w14:paraId="017AEC00"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(ii) The transferee retains ownership or possession of the property without compensating the Departmental grantmaking agency for the fair market value of that ownership or possession.</w:t>
      </w:r>
    </w:p>
    <w:p w14:paraId="63BC73D2"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In all other cases, the assurance will obligate the recipient for the period during which WIA Title I financial assistance is extended.</w:t>
      </w:r>
    </w:p>
    <w:p w14:paraId="4FB4257E"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22" w:name="29:1.1.1.1.31.2.56.3"/>
      <w:bookmarkEnd w:id="22"/>
      <w:r w:rsidRPr="007A7850">
        <w:rPr>
          <w:rFonts w:ascii="Times" w:eastAsia="Times New Roman" w:hAnsi="Times" w:cs="Times New Roman"/>
          <w:bCs/>
          <w:sz w:val="20"/>
          <w:szCs w:val="20"/>
        </w:rPr>
        <w:t>§37.22   How must covenants be used in connection with this part?</w:t>
      </w:r>
    </w:p>
    <w:p w14:paraId="4D0F2EC9"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Where WIA Title I financial assistance is provided in the form of a transfer of real property, structures, or improvements on real property or structures, or interests in real property or structures, the instrument effecting or recording the transfer must contain a covenant assuring nondiscrimination and equal opportunity for the period described in §37.21.</w:t>
      </w:r>
    </w:p>
    <w:p w14:paraId="5A82B0F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Where no Federal transfer of real property or interest therein from the Federal Government is involved, but real property or an interest therein is acquired or improved under a program of WIA Title I financial assistance, the recipient must include the covenant described in paragraph (a) of this section in the instrument effecting or recording any subsequent transfer of such property.</w:t>
      </w:r>
    </w:p>
    <w:p w14:paraId="62CB7BF9"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lastRenderedPageBreak/>
        <w:t>(c) When the property is obtained from the Federal Government, the covenant described in paragraph (a) of this section also may include a condition coupled with a right of reverter to the Department in the event of a breach of the covenant.</w:t>
      </w:r>
    </w:p>
    <w:p w14:paraId="335FD88C" w14:textId="77777777" w:rsidR="00B930B1" w:rsidRPr="007A7850" w:rsidRDefault="00B930B1" w:rsidP="00B930B1">
      <w:pPr>
        <w:spacing w:before="100" w:beforeAutospacing="1" w:after="100" w:afterAutospacing="1"/>
        <w:outlineLvl w:val="0"/>
        <w:rPr>
          <w:rFonts w:ascii="Times" w:eastAsia="Times New Roman" w:hAnsi="Times" w:cs="Times New Roman"/>
          <w:bCs/>
          <w:kern w:val="36"/>
          <w:sz w:val="20"/>
          <w:szCs w:val="20"/>
        </w:rPr>
      </w:pPr>
      <w:r w:rsidRPr="007A7850">
        <w:rPr>
          <w:rFonts w:ascii="Times" w:eastAsia="Times New Roman" w:hAnsi="Times" w:cs="Times New Roman"/>
          <w:bCs/>
          <w:kern w:val="36"/>
          <w:sz w:val="20"/>
          <w:szCs w:val="20"/>
        </w:rPr>
        <w:t>Equal Opportunity Officers</w:t>
      </w:r>
    </w:p>
    <w:p w14:paraId="7F034B92"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23" w:name="29:1.1.1.1.31.2.56.4"/>
      <w:bookmarkEnd w:id="23"/>
      <w:r w:rsidRPr="007A7850">
        <w:rPr>
          <w:rFonts w:ascii="Times" w:eastAsia="Times New Roman" w:hAnsi="Times" w:cs="Times New Roman"/>
          <w:bCs/>
          <w:sz w:val="20"/>
          <w:szCs w:val="20"/>
        </w:rPr>
        <w:t>§37.23   Who must designate an Equal Opportunity Officer?</w:t>
      </w:r>
    </w:p>
    <w:p w14:paraId="3C7722A4"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Every recipient must designate an Equal Opportunity Officer (“EO Officer”), except small recipients and service providers, as defined in §37.4. The responsibilities of small recipients and service providers are described in §§37.27 and 37.28.</w:t>
      </w:r>
    </w:p>
    <w:p w14:paraId="4178B822"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24" w:name="29:1.1.1.1.31.2.56.5"/>
      <w:bookmarkEnd w:id="24"/>
      <w:r w:rsidRPr="007A7850">
        <w:rPr>
          <w:rFonts w:ascii="Times" w:eastAsia="Times New Roman" w:hAnsi="Times" w:cs="Times New Roman"/>
          <w:bCs/>
          <w:sz w:val="20"/>
          <w:szCs w:val="20"/>
        </w:rPr>
        <w:t>§37.24   Who is eligible to serve as an Equal Opportunity Officer?</w:t>
      </w:r>
    </w:p>
    <w:p w14:paraId="4F3CBFE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senior-level employee of the recipient should be appointed as the recipient's Equal Opportunity Officer. Depending upon the size of the recipient, the size of the recipient's WIA Title I-financially assisted programs or activities, and the number of applicants, registrants, and participants served by the recipient, the EO Officer may, or may not, be assigned other duties. However, he or she must not have other responsibilities or activities that create a conflict, or the appearance of a conflict, with the responsibilities of an EO Officer.</w:t>
      </w:r>
    </w:p>
    <w:p w14:paraId="689BBD30"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25" w:name="29:1.1.1.1.31.2.56.6"/>
      <w:bookmarkEnd w:id="25"/>
      <w:r w:rsidRPr="007A7850">
        <w:rPr>
          <w:rFonts w:ascii="Times" w:eastAsia="Times New Roman" w:hAnsi="Times" w:cs="Times New Roman"/>
          <w:bCs/>
          <w:sz w:val="20"/>
          <w:szCs w:val="20"/>
        </w:rPr>
        <w:t>§37.25   What are the responsibilities of an Equal Opportunity Officer?</w:t>
      </w:r>
    </w:p>
    <w:p w14:paraId="39B5CF54"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An Equal Opportunity Officer is responsible for coordinating a recipient's obligations under this part. Those responsibilities include, but are not limited to:</w:t>
      </w:r>
    </w:p>
    <w:p w14:paraId="0EDF8AC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Serving as the recipient's liaison with CRC;</w:t>
      </w:r>
    </w:p>
    <w:p w14:paraId="30DBD627"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Monitoring and investigating the recipient's activities, and the activities of the entities that receive WIA Title I funds from the recipient, to make sure that the recipient and its subrecipients are not violating their nondiscrimination and equal opportunity obligations under WIA Title I and this part;</w:t>
      </w:r>
    </w:p>
    <w:p w14:paraId="7CB3522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(c) Reviewing the recipient's written policies to make sure that those policies are nondiscriminatory;</w:t>
      </w:r>
    </w:p>
    <w:p w14:paraId="0664C1E0"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(d) Developing and publishing the recipient's procedures for processing discrimination complaints under §§37.76 through 37.79, and making sure that those procedures are followed;</w:t>
      </w:r>
    </w:p>
    <w:p w14:paraId="626E57F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(e) Reporting directly to the appropriate official (including, but not limited to, the State WIA Director, Governor's WIA Liaison, Job Corps Center Director, SESA Administrator, or LWIA grant recipient) about equal opportunity matters;</w:t>
      </w:r>
    </w:p>
    <w:p w14:paraId="3E314AF0"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(f) Undergoing training (at the recipient's expense) to maintain competency, if the Director requires him or her, and/or his or her staff, to do so; and</w:t>
      </w:r>
    </w:p>
    <w:p w14:paraId="0414B979"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(g) If applicable, overseeing the development and implementation of the recipient's Methods of Administration under §37.54.</w:t>
      </w:r>
    </w:p>
    <w:p w14:paraId="2A1C1A18"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26" w:name="29:1.1.1.1.31.2.56.7"/>
      <w:bookmarkEnd w:id="26"/>
      <w:r w:rsidRPr="007A7850">
        <w:rPr>
          <w:rFonts w:ascii="Times" w:eastAsia="Times New Roman" w:hAnsi="Times" w:cs="Times New Roman"/>
          <w:bCs/>
          <w:sz w:val="20"/>
          <w:szCs w:val="20"/>
        </w:rPr>
        <w:t>§37.26   What are a recipient's obligations relating to the Equal Opportunity Officer?</w:t>
      </w:r>
    </w:p>
    <w:p w14:paraId="1321DAF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recipient has the following obligations:</w:t>
      </w:r>
    </w:p>
    <w:p w14:paraId="14DA242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lastRenderedPageBreak/>
        <w:t>(a) Making the Equal Opportunity Officer's name, and his or her position title, address, and telephone number (voice and TDD/TTY) public;</w:t>
      </w:r>
    </w:p>
    <w:p w14:paraId="0FAAA226"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Ensuring that the EO Officer's identity and contact information appears on all internal and external communications about the recipient's nondiscrimination and equal opportunity programs;</w:t>
      </w:r>
    </w:p>
    <w:p w14:paraId="201B5071"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(c) Assigning sufficient staff and resources to the Equal Opportunity Officer, and providing him or her with the necessary support of top management, to ensure compliance with the nondiscrimination and equal opportunity provisions of WIA and this part; and</w:t>
      </w:r>
    </w:p>
    <w:p w14:paraId="52E9C136"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(d) Ensuring that the EO Officer and his/her staff are afforded the opportunity to receive the training necessary and appropriate to maintain competency.</w:t>
      </w:r>
    </w:p>
    <w:p w14:paraId="6CA61D5D"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27" w:name="29:1.1.1.1.31.2.56.8"/>
      <w:bookmarkEnd w:id="27"/>
      <w:r w:rsidRPr="007A7850">
        <w:rPr>
          <w:rFonts w:ascii="Times" w:eastAsia="Times New Roman" w:hAnsi="Times" w:cs="Times New Roman"/>
          <w:bCs/>
          <w:sz w:val="20"/>
          <w:szCs w:val="20"/>
        </w:rPr>
        <w:t>§37.27   What are the obligations of small recipients regarding Equal Opportunity Officers?</w:t>
      </w:r>
    </w:p>
    <w:p w14:paraId="3BC17671"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Although small recipients do not need to designate Equal Opportunity Officers who have the full range of responsibilities listed above, they must designate an individual who will be responsible for developing and publishing of complaint procedures, and the processing of complaints, as explained in §§37.76 through 37.79.</w:t>
      </w:r>
    </w:p>
    <w:p w14:paraId="07E9980F"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28" w:name="29:1.1.1.1.31.2.56.9"/>
      <w:bookmarkEnd w:id="28"/>
      <w:r w:rsidRPr="007A7850">
        <w:rPr>
          <w:rFonts w:ascii="Times" w:eastAsia="Times New Roman" w:hAnsi="Times" w:cs="Times New Roman"/>
          <w:bCs/>
          <w:sz w:val="20"/>
          <w:szCs w:val="20"/>
        </w:rPr>
        <w:t>§37.28   What are the obligations of service providers regarding Equal Opportunity Officers?</w:t>
      </w:r>
    </w:p>
    <w:p w14:paraId="277B241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Service providers, as defined in §37.4, are not required to designate an Equal Opportunity Officer. The obligation for ensuring service provider compliance with the nondiscrimination and equal opportunity provisions of WIA and this part rests with the Governor or LWIA grant recipient, as specified in the State's Methods of Administration.</w:t>
      </w:r>
    </w:p>
    <w:p w14:paraId="3A25038A"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29" w:name="29:1.1.1.1.31.2.56"/>
      <w:bookmarkEnd w:id="29"/>
      <w:r w:rsidRPr="007A7850">
        <w:rPr>
          <w:rFonts w:ascii="Times" w:eastAsia="Times New Roman" w:hAnsi="Times" w:cs="Times New Roman"/>
          <w:bCs/>
          <w:sz w:val="20"/>
          <w:szCs w:val="20"/>
        </w:rPr>
        <w:t>Notice and Communication</w:t>
      </w:r>
    </w:p>
    <w:p w14:paraId="390595E8"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30" w:name="29:1.1.1.1.31.2.56.10"/>
      <w:bookmarkEnd w:id="30"/>
      <w:r w:rsidRPr="007A7850">
        <w:rPr>
          <w:rFonts w:ascii="Times" w:eastAsia="Times New Roman" w:hAnsi="Times" w:cs="Times New Roman"/>
          <w:bCs/>
          <w:sz w:val="20"/>
          <w:szCs w:val="20"/>
        </w:rPr>
        <w:t>§37.29   What are a recipient's obligations to disseminate its equal opportunity policy?</w:t>
      </w:r>
    </w:p>
    <w:p w14:paraId="2654B7C7"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A recipient must provide initial and continuing notice that it does not discriminate on any prohibited ground. This notice must be provided to:</w:t>
      </w:r>
    </w:p>
    <w:p w14:paraId="1B1B269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 Registrants, applicants, and eligible applicants/registrants;</w:t>
      </w:r>
    </w:p>
    <w:p w14:paraId="7BA4F5E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Participants;</w:t>
      </w:r>
    </w:p>
    <w:p w14:paraId="027B7B57"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(3) Applicants for employment and employees;</w:t>
      </w:r>
    </w:p>
    <w:p w14:paraId="56375DFE"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(4) Unions or professional organizations that hold collective bargaining or professional agreements with the recipient;</w:t>
      </w:r>
    </w:p>
    <w:p w14:paraId="251DCB9E"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(5) Subrecipients that receive WIA Title I funds from the recipient; and</w:t>
      </w:r>
    </w:p>
    <w:p w14:paraId="03193DE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(6) Members of the public, including those with impaired vision or hearing.</w:t>
      </w:r>
    </w:p>
    <w:p w14:paraId="7A69522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As provided in §37.9, the recipient must take appropriate steps to ensure that communications with individuals with disabilities are as effective as communications with others.</w:t>
      </w:r>
    </w:p>
    <w:p w14:paraId="3582D1E8"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31" w:name="29:1.1.1.1.31.2.56.11"/>
      <w:bookmarkEnd w:id="31"/>
      <w:r w:rsidRPr="007A7850">
        <w:rPr>
          <w:rFonts w:ascii="Times" w:eastAsia="Times New Roman" w:hAnsi="Times" w:cs="Times New Roman"/>
          <w:bCs/>
          <w:sz w:val="20"/>
          <w:szCs w:val="20"/>
        </w:rPr>
        <w:t>§37.30   What specific wording must the notice contain?</w:t>
      </w:r>
    </w:p>
    <w:p w14:paraId="76BB935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lastRenderedPageBreak/>
        <w:t>The notice must contain the following specific wording:</w:t>
      </w:r>
    </w:p>
    <w:p w14:paraId="151127B6" w14:textId="77777777" w:rsidR="00B930B1" w:rsidRPr="007A7850" w:rsidRDefault="00B930B1" w:rsidP="00B930B1">
      <w:pPr>
        <w:spacing w:before="100" w:beforeAutospacing="1" w:after="100" w:afterAutospacing="1"/>
        <w:outlineLvl w:val="0"/>
        <w:rPr>
          <w:rFonts w:ascii="Times" w:eastAsia="Times New Roman" w:hAnsi="Times" w:cs="Times New Roman"/>
          <w:bCs/>
          <w:kern w:val="36"/>
          <w:sz w:val="20"/>
          <w:szCs w:val="20"/>
        </w:rPr>
      </w:pPr>
      <w:r w:rsidRPr="007A7850">
        <w:rPr>
          <w:rFonts w:ascii="Times" w:eastAsia="Times New Roman" w:hAnsi="Times" w:cs="Times New Roman"/>
          <w:bCs/>
          <w:kern w:val="36"/>
          <w:sz w:val="20"/>
          <w:szCs w:val="20"/>
        </w:rPr>
        <w:t>Equal Opportunity Is the Law</w:t>
      </w:r>
    </w:p>
    <w:p w14:paraId="4E2D2B30"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It is against the law for this recipient of Federal financial assistance to discriminate on the following bases:</w:t>
      </w:r>
    </w:p>
    <w:p w14:paraId="35DEA183"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against any individual in the United States, on the basis of race, color, religion, sex, national origin, age, disability, political affiliation or belief; and</w:t>
      </w:r>
    </w:p>
    <w:p w14:paraId="38E6E699"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against any beneficiary of programs financially assisted under Title I of the Workforce Investment Act of 1998 (WIA), on the basis of the beneficiary's citizenship/status as a lawfully admitted immigrant authorized to work in the United States, or his or her participation in any WIA Title I-financially assisted program or activity.</w:t>
      </w:r>
    </w:p>
    <w:p w14:paraId="0D29446A"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The recipient must not discriminate in any of the following areas:</w:t>
      </w:r>
    </w:p>
    <w:p w14:paraId="03325F44"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deciding who will be admitted, or have access, to any WIA Title I-financially assisted program or activity;</w:t>
      </w:r>
    </w:p>
    <w:p w14:paraId="3E7D757E"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providing opportunities in, or treating any person with regard to, such a program or activity; or</w:t>
      </w:r>
    </w:p>
    <w:p w14:paraId="6E1128AE"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making employment decisions in the administration of, or in connection with, such a program or activity.</w:t>
      </w:r>
    </w:p>
    <w:p w14:paraId="23529E1D" w14:textId="77777777" w:rsidR="00B930B1" w:rsidRPr="007A7850" w:rsidRDefault="00B930B1" w:rsidP="00B930B1">
      <w:pPr>
        <w:spacing w:before="100" w:beforeAutospacing="1" w:after="100" w:afterAutospacing="1"/>
        <w:outlineLvl w:val="0"/>
        <w:rPr>
          <w:rFonts w:ascii="Times" w:eastAsia="Times New Roman" w:hAnsi="Times" w:cs="Times New Roman"/>
          <w:bCs/>
          <w:kern w:val="36"/>
          <w:sz w:val="20"/>
          <w:szCs w:val="20"/>
        </w:rPr>
      </w:pPr>
      <w:r w:rsidRPr="007A7850">
        <w:rPr>
          <w:rFonts w:ascii="Times" w:eastAsia="Times New Roman" w:hAnsi="Times" w:cs="Times New Roman"/>
          <w:bCs/>
          <w:kern w:val="36"/>
          <w:sz w:val="20"/>
          <w:szCs w:val="20"/>
        </w:rPr>
        <w:t>What To Do If You Believe You Have Experienced Discrimination</w:t>
      </w:r>
    </w:p>
    <w:p w14:paraId="33887E9A"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If you think that you have been subjected to discrimination under a WIA Title I-financially assisted program or activity, you may file a complaint within 180 days from the date of the alleged violation with either:</w:t>
      </w:r>
    </w:p>
    <w:p w14:paraId="166D990A"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the recipient's Equal Opportunity Officer (or the person whom the recipient has designated for this purpose); or</w:t>
      </w:r>
    </w:p>
    <w:p w14:paraId="0594C5D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the Director, Civil Rights Center (CRC), U.S. Department of Labor, 200 Constitution Avenue NW, Room N-4123, Washington, DC 20210.</w:t>
      </w:r>
    </w:p>
    <w:p w14:paraId="37776FB9"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If you file your complaint with the recipient, you must wait either until the recipient issues a written Notice of Final Action, or until 90 days have passed (whichever is sooner), before filing with the Civil Rights Center (see address above).</w:t>
      </w:r>
    </w:p>
    <w:p w14:paraId="7C05EE23"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If the recipient does not give you a written Notice of Final Action within 90 days of the day on which you filed your complaint, you do not have to wait for the recipient to issue that Notice before filing a complaint with CRC. However, you must file your CRC complaint within 30 days of the 90-day deadline (in other words, within 120 days after the day on which you filed your complaint with the recipient).</w:t>
      </w:r>
    </w:p>
    <w:p w14:paraId="0A8D9E11"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If the recipient does give you a written Notice of Final Action on your complaint, but you are dissatisfied with the decision or resolution, you may file a complaint with CRC. You must file your CRC complaint within 30 days of the date on which you received the Notice of Final Action.</w:t>
      </w:r>
    </w:p>
    <w:p w14:paraId="75F5B4A2"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32" w:name="29:1.1.1.1.31.2.56.12"/>
      <w:bookmarkEnd w:id="32"/>
      <w:r w:rsidRPr="007A7850">
        <w:rPr>
          <w:rFonts w:ascii="Times" w:eastAsia="Times New Roman" w:hAnsi="Times" w:cs="Times New Roman"/>
          <w:bCs/>
          <w:sz w:val="20"/>
          <w:szCs w:val="20"/>
        </w:rPr>
        <w:t>§37.31   Where must the notice required by §§37.29 and 37.30 be published?</w:t>
      </w:r>
    </w:p>
    <w:p w14:paraId="6E1FAF79"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At a minimum, the notice required by §§37.29 and 37.30 must be:</w:t>
      </w:r>
    </w:p>
    <w:p w14:paraId="509BA247"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 Posted prominently, in reasonable numbers and places;</w:t>
      </w:r>
    </w:p>
    <w:p w14:paraId="7DAD583A"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lastRenderedPageBreak/>
        <w:t>(2) Disseminated in internal memoranda and other written or electronic communications;</w:t>
      </w:r>
    </w:p>
    <w:p w14:paraId="7E1EB27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(3) Included in handbooks or manuals; and</w:t>
      </w:r>
    </w:p>
    <w:p w14:paraId="7AB24457"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(4) Made available to each participant, and made part of each participant's file.</w:t>
      </w:r>
    </w:p>
    <w:p w14:paraId="23F4C334"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The notice must be provided in appropriate formats to individuals with visual impairments. Where notice has been given in an alternate format to a participant with a visual impairment, a record that such notice has been given must be made a part of the participant's file.</w:t>
      </w:r>
    </w:p>
    <w:p w14:paraId="7FF176A2"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33" w:name="29:1.1.1.1.31.2.56.13"/>
      <w:bookmarkEnd w:id="33"/>
      <w:r w:rsidRPr="007A7850">
        <w:rPr>
          <w:rFonts w:ascii="Times" w:eastAsia="Times New Roman" w:hAnsi="Times" w:cs="Times New Roman"/>
          <w:bCs/>
          <w:sz w:val="20"/>
          <w:szCs w:val="20"/>
        </w:rPr>
        <w:t>§37.32   When must the notice required by §§37.29 and 37.30 be provided?</w:t>
      </w:r>
    </w:p>
    <w:p w14:paraId="6D610F66"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The notice required by §§37.29 and 37.30 must be initially provided within 90 days of the effective date of this part, or of the date this part first applies to the recipient, whichever comes later.</w:t>
      </w:r>
    </w:p>
    <w:p w14:paraId="3F98A148"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34" w:name="29:1.1.1.1.31.2.56.14"/>
      <w:bookmarkEnd w:id="34"/>
      <w:r w:rsidRPr="007A7850">
        <w:rPr>
          <w:rFonts w:ascii="Times" w:eastAsia="Times New Roman" w:hAnsi="Times" w:cs="Times New Roman"/>
          <w:bCs/>
          <w:sz w:val="20"/>
          <w:szCs w:val="20"/>
        </w:rPr>
        <w:t>§37.33   Who is responsible for meeting the notice requirement with respect to service providers?</w:t>
      </w:r>
    </w:p>
    <w:p w14:paraId="5D703047"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The Governor or the LWIA grant recipient, as determined by the Governor and as provided in that State's Methods of Administration, will be responsible for meeting the notice requirement provided in Sections 37.29 and 37.30 with respect to a State's service providers.</w:t>
      </w:r>
    </w:p>
    <w:p w14:paraId="33F90DED"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35" w:name="29:1.1.1.1.31.2.56.15"/>
      <w:bookmarkEnd w:id="35"/>
      <w:r w:rsidRPr="007A7850">
        <w:rPr>
          <w:rFonts w:ascii="Times" w:eastAsia="Times New Roman" w:hAnsi="Times" w:cs="Times New Roman"/>
          <w:bCs/>
          <w:sz w:val="20"/>
          <w:szCs w:val="20"/>
        </w:rPr>
        <w:t>§37.34   What type of notice must a recipient include in publications, broadcasts, and other communications?</w:t>
      </w:r>
    </w:p>
    <w:p w14:paraId="749819C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Recipients must indicate that the WIA Title I-financially assisted program or activity in question is an “equal opportunity employer/program,” and that “auxiliary aids and services are available upon request to individuals with disabilities,” in recruitment brochures and other materials that are ordinarily distributed or communicated in written and/or oral form, electronically and/or on paper, to staff, clients, or the public at large, to describe programs financially assisted under Title I of WIA or the requirements for participation by recipients and participants. Where such materials indicate that the recipient may be reached by telephone, the materials must state the telephone number of the TDD/TTY or relay service used by the recipient, as required by §37.9(c).</w:t>
      </w:r>
    </w:p>
    <w:p w14:paraId="0A2201F3"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Recipients that publish or broadcast program information in the news media must ensure that such publications and broadcasts state that the WIA Title I-financially assisted program or activity in question is an equal opportunity employer/program (or otherwise indicate that discrimination in the WIA Title I-financially assisted program or activity is prohibited by Federal law), and indicate that auxiliary aids and services are available upon request to individuals with disabilities.</w:t>
      </w:r>
    </w:p>
    <w:p w14:paraId="55B1772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(c) A recipient must not communicate any information that suggests, by text or illustration, that the recipient treats beneficiaries, registrants, applicants, participants, employees or applicants for employment differently on any prohibited ground specified in §37.5, except as such treatment is otherwise permitted under Federal law or this part.</w:t>
      </w:r>
    </w:p>
    <w:p w14:paraId="143515FF"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36" w:name="29:1.1.1.1.31.2.56.16"/>
      <w:bookmarkEnd w:id="36"/>
      <w:r w:rsidRPr="007A7850">
        <w:rPr>
          <w:rFonts w:ascii="Times" w:eastAsia="Times New Roman" w:hAnsi="Times" w:cs="Times New Roman"/>
          <w:bCs/>
          <w:sz w:val="20"/>
          <w:szCs w:val="20"/>
        </w:rPr>
        <w:t>§37.35   What are a recipient's responsibilities to provide services and information in languages other than English?</w:t>
      </w:r>
    </w:p>
    <w:p w14:paraId="539990A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A significant number or proportion of the population eligible to be served, or likely to be directly affected, by a WIA Title I-financially assisted program or activity may need services or information in a language other than English in order to be effectively informed about, or able to participate in, the program or activity. Where such a significant number or proportion exists, a recipient must take the following actions:</w:t>
      </w:r>
    </w:p>
    <w:p w14:paraId="454F5FA3"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lastRenderedPageBreak/>
        <w:t>(1) Consider:</w:t>
      </w:r>
    </w:p>
    <w:p w14:paraId="1114CB8E"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 The scope of the program or activity, and</w:t>
      </w:r>
    </w:p>
    <w:p w14:paraId="65D1CA2B"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(ii) The size and concentration of the population that needs services or information in a language other than English; and</w:t>
      </w:r>
    </w:p>
    <w:p w14:paraId="3C45CDAE"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Based on those considerations, take reasonable steps to provide services and information in appropriate languages. This information must include the initial and continuing notice required under §§37.29 and 37.30, and all information that is communicated under §37.34.</w:t>
      </w:r>
    </w:p>
    <w:p w14:paraId="5CF061E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In circumstances other than those described in paragraph (a) of this section, a recipient should nonetheless make reasonable efforts to meet the particularized language needs of limited-English-speaking individuals who seek services or information from the recipient.</w:t>
      </w:r>
    </w:p>
    <w:p w14:paraId="0CE9B983"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37" w:name="29:1.1.1.1.31.2.56.17"/>
      <w:bookmarkEnd w:id="37"/>
      <w:r w:rsidRPr="007A7850">
        <w:rPr>
          <w:rFonts w:ascii="Times" w:eastAsia="Times New Roman" w:hAnsi="Times" w:cs="Times New Roman"/>
          <w:bCs/>
          <w:sz w:val="20"/>
          <w:szCs w:val="20"/>
        </w:rPr>
        <w:t>§37.36   What responsibilities does a recipient have to communicate information during orientations?</w:t>
      </w:r>
    </w:p>
    <w:p w14:paraId="7D7E8617"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During each presentation to orient new participants, new employees, and/or the general public to its WIA Title I-financially assisted program or activity, a recipient must include a discussion of rights under the nondiscrimination and equal opportunity provisions of WIA and this part, including the right to file a complaint of discrimination with the recipient or the Director.</w:t>
      </w:r>
    </w:p>
    <w:p w14:paraId="79EB26B3"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38" w:name="29:1.1.1.1.31.2.57"/>
      <w:bookmarkEnd w:id="38"/>
      <w:r w:rsidRPr="007A7850">
        <w:rPr>
          <w:rFonts w:ascii="Times" w:eastAsia="Times New Roman" w:hAnsi="Times" w:cs="Times New Roman"/>
          <w:bCs/>
          <w:sz w:val="20"/>
          <w:szCs w:val="20"/>
        </w:rPr>
        <w:t>Data and Information Collection and Maintenance</w:t>
      </w:r>
    </w:p>
    <w:p w14:paraId="4D389517"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39" w:name="29:1.1.1.1.31.2.57.18"/>
      <w:bookmarkEnd w:id="39"/>
      <w:r w:rsidRPr="007A7850">
        <w:rPr>
          <w:rFonts w:ascii="Times" w:eastAsia="Times New Roman" w:hAnsi="Times" w:cs="Times New Roman"/>
          <w:bCs/>
          <w:sz w:val="20"/>
          <w:szCs w:val="20"/>
        </w:rPr>
        <w:t>§37.37   What are a recipient's responsibilities to collect and maintain data and other information?</w:t>
      </w:r>
    </w:p>
    <w:p w14:paraId="0EBC7B22"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The Director will not require submission of data that can be obtained from existing reporting requirements or sources, including those of other agencies, if the source is known and available to the Director.</w:t>
      </w:r>
    </w:p>
    <w:p w14:paraId="6FCC90C7"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(b)(1) Each recipient must collect such data and maintain such records, in accordance with procedures prescribed by the Director, as the Director finds necessary to determine whether the recipient has complied or is complying with the nondiscrimination and equal opportunity provisions of WIA or this part. The system and format in which the records and data are kept must be designed to allow the Governor and CRC to conduct statistical or other quantifiable data analyses to verify the recipient's compliance with section 188 of WIA and this part.</w:t>
      </w:r>
    </w:p>
    <w:p w14:paraId="15DB22C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Such records must include, but are not limited to, records on applicants, registrants, eligible applicants/registrants, participants, terminees, employees, and applicants for employment. Each recipient must record the race/ethnicity, sex, age, and where known, disability status, of every applicant, registrant, eligible applicant/registrant, participant, terminee, applicant for employment, and employee. Such information must be stored in a manner that ensures confidentiality, and must be used only for the purposes of recordkeeping and reporting; determining eligibility, where appropriate, for WIA Title I-financially assisted programs or activities; determining the extent to which the recipient is operating its WIA Title I-financially assisted program or activity in a nondiscriminatory manner; or other use authorized by law.</w:t>
      </w:r>
    </w:p>
    <w:p w14:paraId="12D2B35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(c) Each recipient must maintain, and submit to CRC upon request, a log of complaints filed with it that allege discrimination on the ground(s) of race, color, religion, sex, national origin, age, disability, political affiliation or belief, citizenship, and/or participation in a WIA Title I-financially assisted program or activity. The log must include: the name and address of the complainant; the ground of the complaint; a description of the complaint; the date the complaint was filed; the disposition and date of disposition of the complaint; and other pertinent information. Information that could lead to identification of a particular individual as having filed a complaint must be kept confidential.</w:t>
      </w:r>
    </w:p>
    <w:p w14:paraId="3837ED06"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lastRenderedPageBreak/>
        <w:t>(d) Where designation of individuals by race or ethnicity is required, the guidelines of the Office of Management and Budget must be used.</w:t>
      </w:r>
    </w:p>
    <w:p w14:paraId="548CCAC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(e) A service provider's responsibility for collecting and maintaining the information required under this section may be assumed by the Governor or LWIA grant recipient, as provided in the State's Methods of Administration.</w:t>
      </w:r>
    </w:p>
    <w:p w14:paraId="384C3F10"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40" w:name="29:1.1.1.1.31.2.57.19"/>
      <w:bookmarkEnd w:id="40"/>
      <w:r w:rsidRPr="007A7850">
        <w:rPr>
          <w:rFonts w:ascii="Times" w:eastAsia="Times New Roman" w:hAnsi="Times" w:cs="Times New Roman"/>
          <w:bCs/>
          <w:sz w:val="20"/>
          <w:szCs w:val="20"/>
        </w:rPr>
        <w:t>§37.38   What information must grant applicants and recipients provide to CRC?</w:t>
      </w:r>
    </w:p>
    <w:p w14:paraId="601C0B92"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In addition to the information which must be collected, maintained, and, upon request, submitted to CRC under §37.37:</w:t>
      </w:r>
    </w:p>
    <w:p w14:paraId="2EF4DA2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Each grant applicant and recipient must promptly notify the Director when any administrative enforcement actions or lawsuits are filed against it alleging discrimination on the ground of race, color, religion, sex, national origin, age, disability, political affiliation or belief, and for beneficiaries only, citizenship or participation in a WIA Title I-financially assisted program or activity. This notification must include:</w:t>
      </w:r>
    </w:p>
    <w:p w14:paraId="0262A6A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 The names of the parties to the action or lawsuit;</w:t>
      </w:r>
    </w:p>
    <w:p w14:paraId="1DA0E26A"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The forum in which each case was filed; and</w:t>
      </w:r>
    </w:p>
    <w:p w14:paraId="401AAC64"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(3) The relevant case numbers.</w:t>
      </w:r>
    </w:p>
    <w:p w14:paraId="5A54456E"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Each grant applicant (as part of its application) and recipient (as part of a compliance review conducted under §37.63, or monitoring activity carried out under §37.65) must provide the following information:</w:t>
      </w:r>
    </w:p>
    <w:p w14:paraId="6DF86347"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 The name of any other Federal agency that conducted a civil rights compliance review or complaint investigation, and that found the grant applicant or recipient to be in noncompliance, during the two years before the grant application was filed or CRC began its examination; and</w:t>
      </w:r>
    </w:p>
    <w:p w14:paraId="6D057E3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Information about any administrative enforcement actions or lawsuits that alleged discrimination on any protected basis, and that were filed against the grant applicant or recipient during the two years before the application or renewal application, compliance review, or monitoring activity. This information must include:</w:t>
      </w:r>
    </w:p>
    <w:p w14:paraId="06C82C0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 The names of the parties;</w:t>
      </w:r>
    </w:p>
    <w:p w14:paraId="484E8C0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(ii) The forum in which each case was filed; and</w:t>
      </w:r>
    </w:p>
    <w:p w14:paraId="085E767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(iii) The relevant case numbers.</w:t>
      </w:r>
    </w:p>
    <w:p w14:paraId="2AF41E4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(c) At the discretion of the Director, grant applicants and recipients may be required to provide, in a timely manner, any information and data necessary to investigate complaints and conduct compliance reviews on grounds prohibited under the nondiscrimination and equal opportunity provisions of WIA and this part.</w:t>
      </w:r>
    </w:p>
    <w:p w14:paraId="723A8293"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(d) At the discretion of the Director, recipients may be required to provide, in a timely manner, the particularized information and/or to submit the periodic reports that the Director considers necessary to determine compliance with the nondiscrimination and equal opportunity provisions of WIA or this part.</w:t>
      </w:r>
    </w:p>
    <w:p w14:paraId="49B03A1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lastRenderedPageBreak/>
        <w:t>(e) At the discretion of the Director, grant applicants may be required to submit, in a timely manner, the particularized information necessary to determine whether or not the grant applicant, if financially assisted, would be able to comply with the nondiscrimination and equal opportunity provisions of WIA or this part.</w:t>
      </w:r>
    </w:p>
    <w:p w14:paraId="08B235FE"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(f) Where designation of individuals by race or ethnicity is required, the guidelines of the Office of Management and Budget must be used.</w:t>
      </w:r>
    </w:p>
    <w:p w14:paraId="37CE0161"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41" w:name="29:1.1.1.1.31.2.57.20"/>
      <w:bookmarkEnd w:id="41"/>
      <w:r w:rsidRPr="007A7850">
        <w:rPr>
          <w:rFonts w:ascii="Times" w:eastAsia="Times New Roman" w:hAnsi="Times" w:cs="Times New Roman"/>
          <w:bCs/>
          <w:sz w:val="20"/>
          <w:szCs w:val="20"/>
        </w:rPr>
        <w:t>§37.39   How long must grant applicants and recipients maintain the records required under this part?</w:t>
      </w:r>
    </w:p>
    <w:p w14:paraId="7517B13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Each recipient must maintain the following records for a period of not less than three years from the close of the applicable program year:</w:t>
      </w:r>
    </w:p>
    <w:p w14:paraId="28F76A8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 The records of applicants, registrants, eligible applicants/registrants, participants, terminees, employees, and applicants for employment; and</w:t>
      </w:r>
    </w:p>
    <w:p w14:paraId="36BF3A3A"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Such other records as are required under this part or by the Director.</w:t>
      </w:r>
    </w:p>
    <w:p w14:paraId="612993D7"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Records regarding complaints and actions taken on the complaints must be maintained for a period of not less than three years from the date of resolution of the complaint.</w:t>
      </w:r>
    </w:p>
    <w:p w14:paraId="131997F8"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42" w:name="29:1.1.1.1.31.2.57.21"/>
      <w:bookmarkEnd w:id="42"/>
      <w:r w:rsidRPr="007A7850">
        <w:rPr>
          <w:rFonts w:ascii="Times" w:eastAsia="Times New Roman" w:hAnsi="Times" w:cs="Times New Roman"/>
          <w:bCs/>
          <w:sz w:val="20"/>
          <w:szCs w:val="20"/>
        </w:rPr>
        <w:t>§37.40   What access to sources of information must grant applicants and recipients provide the Director?</w:t>
      </w:r>
    </w:p>
    <w:p w14:paraId="57E7B80B"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Each grant applicant and recipient must permit access by the Director during normal business hours to its premises and to its employees and participants, to the extent that such individuals are on the premises during the course of the investigation, for the purpose of conducting complaint investigations, compliance reviews, monitoring activities associated with a State's development and implementation of a Methods of Administration, and inspecting and copying such books, records, accounts and other materials as may be pertinent to ascertain compliance with and ensure enforcement of the nondiscrimination and equal opportunity provisions of WIA or this part.</w:t>
      </w:r>
    </w:p>
    <w:p w14:paraId="6F8C6B9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Asserted considerations of privacy or confidentiality are not a basis for withholding information from CRC and will not bar CRC from evaluating or seeking to enforce compliance with the nondiscrimination and equal opportunity provisions of WIA and this part.</w:t>
      </w:r>
    </w:p>
    <w:p w14:paraId="79095C4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(c) Whenever any information that the Director asks a grant applicant or recipient to provide is in the exclusive possession of another agency, institution, or person, and that agency, institution, or person fails or refuses to furnish the information upon request, the grant applicant or recipient must certify to CRC that it has made efforts to obtain the information and that the agency, institution, or person has failed or refused to provide it. This certification must list the name and address of the agency, institution, or person that has possession of the information and the specific efforts the grant applicant or recipient made to obtain it.</w:t>
      </w:r>
    </w:p>
    <w:p w14:paraId="7725B52E"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43" w:name="29:1.1.1.1.31.2.57.22"/>
      <w:bookmarkEnd w:id="43"/>
      <w:r w:rsidRPr="007A7850">
        <w:rPr>
          <w:rFonts w:ascii="Times" w:eastAsia="Times New Roman" w:hAnsi="Times" w:cs="Times New Roman"/>
          <w:bCs/>
          <w:sz w:val="20"/>
          <w:szCs w:val="20"/>
        </w:rPr>
        <w:t>§37.41   What responsibilities do grant applicants, recipients, and the Department have to maintain the confidentiality of the information collected?</w:t>
      </w:r>
    </w:p>
    <w:p w14:paraId="7CA49820"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The identity of any individual who furnishes information relating to, or assisting in, an investigation or a compliance review, including the identity of any individual who files a complaint, must be kept confidential to the extent possible, consistent with a fair determination of the issues. An individual whose identity it is necessary to disclose must be protected from retaliation (see §37.11).</w:t>
      </w:r>
    </w:p>
    <w:p w14:paraId="516CEB8D"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44" w:name="29:1.1.1.1.31.2.57.23"/>
      <w:bookmarkEnd w:id="44"/>
      <w:r w:rsidRPr="007A7850">
        <w:rPr>
          <w:rFonts w:ascii="Times" w:eastAsia="Times New Roman" w:hAnsi="Times" w:cs="Times New Roman"/>
          <w:bCs/>
          <w:sz w:val="20"/>
          <w:szCs w:val="20"/>
        </w:rPr>
        <w:t>§37.42   What are a recipient's responsibilities under this part to provide universal access to WIA Title I-financially assisted programs and activities?</w:t>
      </w:r>
    </w:p>
    <w:p w14:paraId="5A9557AA"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lastRenderedPageBreak/>
        <w:t>Recipients must take appropriate steps to ensure that they are providing universal access to their WIA Title I-financially assisted programs and activities. These steps should involve reasonable efforts to include members of both sexes, various racial and ethnic groups, individuals with disabilities, and individuals in differing age groups. Such efforts may include, but are not limited to:</w:t>
      </w:r>
    </w:p>
    <w:p w14:paraId="2E50EDA0"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Advertising the recipient's programs and/or activities in media, such as newspapers or radio programs, that specifically target various populations;</w:t>
      </w:r>
    </w:p>
    <w:p w14:paraId="71B8D6E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Sending notices about openings in the recipient's programs and/or activities to schools or community service groups that serve various populations; and</w:t>
      </w:r>
    </w:p>
    <w:p w14:paraId="5B1A776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(c) Consulting with appropriate community service groups about ways in which the recipient may improve its outreach and service to various populations.</w:t>
      </w:r>
    </w:p>
    <w:p w14:paraId="216459F4"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45" w:name="29:1.1.1.1.31.3"/>
      <w:bookmarkEnd w:id="45"/>
      <w:r w:rsidRPr="007A7850">
        <w:rPr>
          <w:rFonts w:ascii="Times" w:eastAsia="Times New Roman" w:hAnsi="Times" w:cs="Times New Roman"/>
          <w:bCs/>
          <w:sz w:val="20"/>
          <w:szCs w:val="20"/>
        </w:rPr>
        <w:t>Subpart C—Governor's Responsibilities To Implement the Nondiscrimination and Equal Opportunity Requirements of WIA</w:t>
      </w:r>
    </w:p>
    <w:p w14:paraId="21DBB8D0"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46" w:name="29:1.1.1.1.31.3.58.1"/>
      <w:bookmarkEnd w:id="46"/>
      <w:r w:rsidRPr="007A7850">
        <w:rPr>
          <w:rFonts w:ascii="Times" w:eastAsia="Times New Roman" w:hAnsi="Times" w:cs="Times New Roman"/>
          <w:bCs/>
          <w:sz w:val="20"/>
          <w:szCs w:val="20"/>
        </w:rPr>
        <w:t>§37.50   To whom does this subpart apply?</w:t>
      </w:r>
    </w:p>
    <w:p w14:paraId="054DCED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This subpart applies to State Programs as defined in §37.4. However, the provisions of §37.52(b) do not apply to State Employment Security Agencies (SESAs), because the Governor's liability for any noncompliance on the part of a SESA cannot be waived.</w:t>
      </w:r>
    </w:p>
    <w:p w14:paraId="1505E32F"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47" w:name="29:1.1.1.1.31.3.58.2"/>
      <w:bookmarkEnd w:id="47"/>
      <w:r w:rsidRPr="007A7850">
        <w:rPr>
          <w:rFonts w:ascii="Times" w:eastAsia="Times New Roman" w:hAnsi="Times" w:cs="Times New Roman"/>
          <w:bCs/>
          <w:sz w:val="20"/>
          <w:szCs w:val="20"/>
        </w:rPr>
        <w:t>§37.51   What are a Governor's oversight responsibilities?</w:t>
      </w:r>
    </w:p>
    <w:p w14:paraId="1DE92EF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The Governor is responsible for oversight of all WIA Title I-financially assisted State programs. This responsibility includes ensuring compliance with the nondiscrimination and equal opportunity provisions of WIA and this part, and negotiating, where appropriate, with a recipient to secure voluntary compliance when noncompliance is found under §37.95(b).</w:t>
      </w:r>
    </w:p>
    <w:p w14:paraId="15BB3F47"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48" w:name="29:1.1.1.1.31.3.58.3"/>
      <w:bookmarkEnd w:id="48"/>
      <w:r w:rsidRPr="007A7850">
        <w:rPr>
          <w:rFonts w:ascii="Times" w:eastAsia="Times New Roman" w:hAnsi="Times" w:cs="Times New Roman"/>
          <w:bCs/>
          <w:sz w:val="20"/>
          <w:szCs w:val="20"/>
        </w:rPr>
        <w:t>§37.52   To what extent may a Governor be liable for the actions of a recipient he or she has financially assisted under WIA Title I?</w:t>
      </w:r>
    </w:p>
    <w:p w14:paraId="4B774B34"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The Governor and the recipient are jointly and severally liable for all violations of the nondiscrimination and equal opportunity provisions of WIA and this part by the recipient, unless the Governor has:</w:t>
      </w:r>
    </w:p>
    <w:p w14:paraId="3A8CDD83"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 Established and adhered to a Methods of Administration, under §37.54, designed to give reasonable guarantee of the recipient's compliance with such provisions;</w:t>
      </w:r>
    </w:p>
    <w:p w14:paraId="491AB957"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Entered into a written contract with the recipient that clearly establishes the recipient's obligations regarding nondiscrimination and equal opportunity;</w:t>
      </w:r>
    </w:p>
    <w:p w14:paraId="214514C6"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(3) Acted with due diligence to monitor the recipient's compliance with these provisions; and</w:t>
      </w:r>
    </w:p>
    <w:p w14:paraId="723AC56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(4) Taken prompt and appropriate corrective action to effect compliance.</w:t>
      </w:r>
    </w:p>
    <w:p w14:paraId="53B4A3B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If the Director determines that the Governor has demonstrated substantial compliance with the requirements of paragraph (a) of this section, he or she may recommend to the Secretary that the imposition of sanctions against the Governor be waived and that sanctions be imposed only against the noncomplying recipient.</w:t>
      </w:r>
    </w:p>
    <w:p w14:paraId="53FA6BE4"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49" w:name="29:1.1.1.1.31.3.58.4"/>
      <w:bookmarkEnd w:id="49"/>
      <w:r w:rsidRPr="007A7850">
        <w:rPr>
          <w:rFonts w:ascii="Times" w:eastAsia="Times New Roman" w:hAnsi="Times" w:cs="Times New Roman"/>
          <w:bCs/>
          <w:sz w:val="20"/>
          <w:szCs w:val="20"/>
        </w:rPr>
        <w:lastRenderedPageBreak/>
        <w:t>§37.53   What are a Governor's oversight responsibilities regarding recipients' recordkeeping?</w:t>
      </w:r>
    </w:p>
    <w:p w14:paraId="4909E8B0"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The Governor must ensure that recipients collect and maintain records in a manner consistent with the provisions of §37.37 and any procedures prescribed by the Director under §37.37(b). The Governor must further ensure that recipients are able to provide data and reports in the manner prescribed by the Director.</w:t>
      </w:r>
    </w:p>
    <w:p w14:paraId="1C308021"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50" w:name="29:1.1.1.1.31.3.58.5"/>
      <w:bookmarkEnd w:id="50"/>
      <w:r w:rsidRPr="007A7850">
        <w:rPr>
          <w:rFonts w:ascii="Times" w:eastAsia="Times New Roman" w:hAnsi="Times" w:cs="Times New Roman"/>
          <w:bCs/>
          <w:sz w:val="20"/>
          <w:szCs w:val="20"/>
        </w:rPr>
        <w:t>§37.54   What are a Governor's obligations to develop and maintain a Methods of Administration?</w:t>
      </w:r>
    </w:p>
    <w:p w14:paraId="0BB043D0"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(1) Each Governor must establish and adhere to a Methods of Administration for State programs as defined in §37.4. In those States in which one agency contains both SESA or unemployment insurance and WIA Title I-financially assisted programs, the Governor should develop a combined Methods of Administration.</w:t>
      </w:r>
    </w:p>
    <w:p w14:paraId="0426438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Each Methods of Administration must be designed to give a reasonable guarantee that all recipients will comply, and are complying, with the nondiscrimination and equal opportunity provisions of WIA and this part.</w:t>
      </w:r>
    </w:p>
    <w:p w14:paraId="4AF95807"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The Methods of Administration must be:</w:t>
      </w:r>
    </w:p>
    <w:p w14:paraId="5AB2D10B"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 In writing, addressing each requirement of §37.54(d) with narrative and documentation;</w:t>
      </w:r>
    </w:p>
    <w:p w14:paraId="190A7E4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Reviewed and updated as required in §37.55; and</w:t>
      </w:r>
    </w:p>
    <w:p w14:paraId="429BE14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(3) Signed by the Governor.</w:t>
      </w:r>
    </w:p>
    <w:p w14:paraId="711E5F6B"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(c) [Reserved]</w:t>
      </w:r>
    </w:p>
    <w:p w14:paraId="353F8B07"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(d) At a minimum, each Methods of Administration must:</w:t>
      </w:r>
    </w:p>
    <w:p w14:paraId="61C5487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 Describe how the State programs and recipients have satisfied the requirements of the following regulations:</w:t>
      </w:r>
    </w:p>
    <w:p w14:paraId="6879A431"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 Sections 37.20 through 37.22 (assurances);</w:t>
      </w:r>
    </w:p>
    <w:p w14:paraId="1D9CD707"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(ii) Sections 37.23 through 37.28 (Equal Opportunity Officers);</w:t>
      </w:r>
    </w:p>
    <w:p w14:paraId="24F1D840"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(iii) Sections 37.29 through 37.36 (Notice and Communication);</w:t>
      </w:r>
    </w:p>
    <w:p w14:paraId="6D01C54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(iv) Sections 37.37 through 37.41 (Data and Information Collection and Maintenance);</w:t>
      </w:r>
    </w:p>
    <w:p w14:paraId="77F9E6D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(v) Section 37.42 (Universal Access);</w:t>
      </w:r>
    </w:p>
    <w:p w14:paraId="4919D332"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(vi) Section 37.53 (Governor's Oversight Responsibilities Regarding Recipients' Recordkeeping); and</w:t>
      </w:r>
    </w:p>
    <w:p w14:paraId="7EC80033"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(vii) Sections 37.76 through 37.79 (Complaint Processing Procedures); and</w:t>
      </w:r>
    </w:p>
    <w:p w14:paraId="59BC98F7"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Include the following additional elements:</w:t>
      </w:r>
    </w:p>
    <w:p w14:paraId="33452010"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 A system for determining whether a grant applicant, if financially assisted, and/or a training provider, if selected as eligible under section 122 of the Act, is likely to conduct its WIA Title I—financially assisted programs or activities in a nondiscriminatory way, and to comply with the regulations in this part;</w:t>
      </w:r>
    </w:p>
    <w:p w14:paraId="7DEBC19A"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lastRenderedPageBreak/>
        <w:t>(ii) A system for periodically monitoring the compliance of recipients with WIA section 188 and this part, including a determination as to whether each recipient is conducting its WIA Title I—financially assisted program or activity in a nondiscriminatory way. At a minimum, each periodic monitoring review required by this paragraph must include:</w:t>
      </w:r>
    </w:p>
    <w:p w14:paraId="586F2F33"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A statistical or other quantifiable analysis of records and data kept by the recipient under §37.37, including analyses by race/ethnicity, sex, age, and disability status;</w:t>
      </w:r>
    </w:p>
    <w:p w14:paraId="3C7293EA"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An investigation of any significant differences identified in paragraph (A) of this section in participation in the programs, activities, or employment provided by the recipient, to determine whether these differences appear to be caused by discrimination. This investigation must be conducted through review of the recipient's records and any other appropriate means; and</w:t>
      </w:r>
    </w:p>
    <w:p w14:paraId="12A1506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(C) An assessment to determine whether the recipient has fulfilled its administrative obligations under section 188 or this part (for example, recordkeeping, notice and communication) and any duties assigned to it under the MOA;</w:t>
      </w:r>
    </w:p>
    <w:p w14:paraId="519725F6"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(iii) A review of recipient policy issuances to ensure they are nondiscriminatory;</w:t>
      </w:r>
    </w:p>
    <w:p w14:paraId="2E98295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(iv) A system for reviewing recipients' job training plans, contracts, assurances, and other similar agreements to ensure that they are both nondiscriminatory and contain the required language regarding nondiscrimination and equal opportunity;</w:t>
      </w:r>
    </w:p>
    <w:p w14:paraId="1E7668F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(v) Procedures for ensuring that recipients comply with the requirements of Section 504 and this part with regard to individuals with disabilities;</w:t>
      </w:r>
    </w:p>
    <w:p w14:paraId="3FA673D9"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(vi) A system of policy communication and training to ensure that EO Officers and members of the recipients' staffs who have been assigned responsibilities under the nondiscrimination and equal opportunity provisions of WIA or this part are aware of and can effectively carry out these responsibilities;</w:t>
      </w:r>
    </w:p>
    <w:p w14:paraId="6FB71FA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(vii) Procedures for obtaining prompt corrective action or, as necessary, applying sanctions when noncompliance is found; and</w:t>
      </w:r>
    </w:p>
    <w:p w14:paraId="5F471380"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(viii) Supporting documentation to show that the commitments made in the Methods of Administration have been and/or are being carried out. This supporting documentation includes, but is not limited to:</w:t>
      </w:r>
    </w:p>
    <w:p w14:paraId="44C405D1"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Policy and procedural issuances concerning required elements of the Methods of Administration;</w:t>
      </w:r>
    </w:p>
    <w:p w14:paraId="2F20077B"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Copies of monitoring instruments and instructions;</w:t>
      </w:r>
    </w:p>
    <w:p w14:paraId="7ACBCA61"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(C) Evidence of the extent to which nondiscrimination and equal opportunity policies have been developed and communicated as required by this part;</w:t>
      </w:r>
    </w:p>
    <w:p w14:paraId="771FDD20"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(D) Information reflecting the extent to which Equal Opportunity training, including training called for by §§37.25(f) and 37.26(c), is planned and/or has been carried out;</w:t>
      </w:r>
    </w:p>
    <w:p w14:paraId="1C73186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(E) Reports of monitoring reviews and reports of follow-up actions taken under those reviews where violations have been found, including, where appropriate, sanctions; and</w:t>
      </w:r>
    </w:p>
    <w:p w14:paraId="067CD48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(F) Copies of any notices made under §§37.29 through 37.36.</w:t>
      </w:r>
    </w:p>
    <w:p w14:paraId="7DF325F2"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51" w:name="29:1.1.1.1.31.3.58.6"/>
      <w:bookmarkEnd w:id="51"/>
      <w:r w:rsidRPr="007A7850">
        <w:rPr>
          <w:rFonts w:ascii="Times" w:eastAsia="Times New Roman" w:hAnsi="Times" w:cs="Times New Roman"/>
          <w:bCs/>
          <w:sz w:val="20"/>
          <w:szCs w:val="20"/>
        </w:rPr>
        <w:lastRenderedPageBreak/>
        <w:t>§37.55   When must the Governor carry out his or her obligations with regard to the Methods of Administration?</w:t>
      </w:r>
    </w:p>
    <w:p w14:paraId="7403B75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Within 180 days of either the date on which this interim final rule is effective, or the date on which the Department gives final approval to a State's Five-Year Plan, whichever is later, a Governor must:</w:t>
      </w:r>
    </w:p>
    <w:p w14:paraId="4D9E4DC4"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 Develop and implement a Methods of Administration consistent with the requirements of this part, and</w:t>
      </w:r>
    </w:p>
    <w:p w14:paraId="4D1A301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Submit a copy of the Methods of Administration to the Director.</w:t>
      </w:r>
    </w:p>
    <w:p w14:paraId="00B3E509"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The Governor must promptly update the Methods of Administration whenever necessary, and must notify the Director in writing at the time that any such updates are made.</w:t>
      </w:r>
    </w:p>
    <w:p w14:paraId="1066355B"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(c) Every two years from the date on which the initial MOA is submitted to the Director under §37.55(a)(2), the Governor must review the Methods of Administration and the manner in which it has been implemented, and determine whether any changes are necessary in order for the State to comply fully and effectively with the nondiscrimination and equal opportunity provisions of WIA and this part.</w:t>
      </w:r>
    </w:p>
    <w:p w14:paraId="3C19A88B"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 If any such changes are necessary, the Governor must make the appropriate changes and submit them, in writing, to the Director.</w:t>
      </w:r>
    </w:p>
    <w:p w14:paraId="3F63C296"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If the Governor determines that no such changes are necessary, s/he must certify, in writing, to the Director that the Methods of Administration previously submitted continues in effect.</w:t>
      </w:r>
    </w:p>
    <w:p w14:paraId="712CCDCE"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52" w:name="29:1.1.1.1.31.4"/>
      <w:bookmarkEnd w:id="52"/>
      <w:r w:rsidRPr="007A7850">
        <w:rPr>
          <w:rFonts w:ascii="Times" w:eastAsia="Times New Roman" w:hAnsi="Times" w:cs="Times New Roman"/>
          <w:bCs/>
          <w:sz w:val="20"/>
          <w:szCs w:val="20"/>
        </w:rPr>
        <w:t>Subpart D—Compliance Procedures</w:t>
      </w:r>
    </w:p>
    <w:p w14:paraId="5EE04574"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53" w:name="29:1.1.1.1.31.4.58.1"/>
      <w:bookmarkEnd w:id="53"/>
      <w:r w:rsidRPr="007A7850">
        <w:rPr>
          <w:rFonts w:ascii="Times" w:eastAsia="Times New Roman" w:hAnsi="Times" w:cs="Times New Roman"/>
          <w:bCs/>
          <w:sz w:val="20"/>
          <w:szCs w:val="20"/>
        </w:rPr>
        <w:t>§37.60   How does the Director evaluate compliance with the nondiscrimination and equal opportunity provisions of WIA and this part?</w:t>
      </w:r>
    </w:p>
    <w:p w14:paraId="5CD56973"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From time to time, the Director may conduct pre-approval compliance reviews of grant applicants for, and post-approval compliance reviews of recipients of, WIA Title I financial assistance, to determine compliance with the nondiscrimination and equal opportunity provisions of WIA and this part. Reviews may focus on one or more specific programs or activities, or one or more issues within a program or activity. The Director may also investigate and resolve complaints alleging violations of the nondiscrimination and equal opportunity provisions of WIA and this part.</w:t>
      </w:r>
    </w:p>
    <w:p w14:paraId="023B59B7"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54" w:name="29:1.1.1.1.31.4.58.2"/>
      <w:bookmarkEnd w:id="54"/>
      <w:r w:rsidRPr="007A7850">
        <w:rPr>
          <w:rFonts w:ascii="Times" w:eastAsia="Times New Roman" w:hAnsi="Times" w:cs="Times New Roman"/>
          <w:bCs/>
          <w:sz w:val="20"/>
          <w:szCs w:val="20"/>
        </w:rPr>
        <w:t>§37.61   Is there authority to issue subpoenas?</w:t>
      </w:r>
    </w:p>
    <w:p w14:paraId="39ED7B67"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Yes, section 183(c) of WIA authorizes the issuance of subpoenas. A subpoena may direct the individual named on the subpoena to take the following actions:</w:t>
      </w:r>
    </w:p>
    <w:p w14:paraId="66A3E18E"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To appear:</w:t>
      </w:r>
    </w:p>
    <w:p w14:paraId="3810EBD7"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 Before a designated CRC representative,</w:t>
      </w:r>
    </w:p>
    <w:p w14:paraId="7C34561E"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At a designated time and place;</w:t>
      </w:r>
    </w:p>
    <w:p w14:paraId="7ED8B3E2"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To give testimony; and/or</w:t>
      </w:r>
    </w:p>
    <w:p w14:paraId="5A79D006"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 xml:space="preserve">(c) To produce documentary evidence. </w:t>
      </w:r>
    </w:p>
    <w:p w14:paraId="0E2E57D1"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lastRenderedPageBreak/>
        <w:t>The subpoena may require the appearance of witnesses, and the production of documents, from any place in the United States, at any designated time and place.</w:t>
      </w:r>
    </w:p>
    <w:p w14:paraId="22EB940A" w14:textId="77777777" w:rsidR="00B930B1" w:rsidRPr="007A7850" w:rsidRDefault="00B930B1" w:rsidP="00B930B1">
      <w:pPr>
        <w:spacing w:before="100" w:beforeAutospacing="1" w:after="100" w:afterAutospacing="1"/>
        <w:outlineLvl w:val="0"/>
        <w:rPr>
          <w:rFonts w:ascii="Times" w:eastAsia="Times New Roman" w:hAnsi="Times" w:cs="Times New Roman"/>
          <w:bCs/>
          <w:kern w:val="36"/>
          <w:sz w:val="20"/>
          <w:szCs w:val="20"/>
        </w:rPr>
      </w:pPr>
      <w:r w:rsidRPr="007A7850">
        <w:rPr>
          <w:rFonts w:ascii="Times" w:eastAsia="Times New Roman" w:hAnsi="Times" w:cs="Times New Roman"/>
          <w:bCs/>
          <w:kern w:val="36"/>
          <w:sz w:val="20"/>
          <w:szCs w:val="20"/>
        </w:rPr>
        <w:t>Compliance Reviews</w:t>
      </w:r>
    </w:p>
    <w:p w14:paraId="429B166E"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55" w:name="29:1.1.1.1.31.4.58.3"/>
      <w:bookmarkEnd w:id="55"/>
      <w:r w:rsidRPr="007A7850">
        <w:rPr>
          <w:rFonts w:ascii="Times" w:eastAsia="Times New Roman" w:hAnsi="Times" w:cs="Times New Roman"/>
          <w:bCs/>
          <w:sz w:val="20"/>
          <w:szCs w:val="20"/>
        </w:rPr>
        <w:t>§37.62   What are the authority and procedures for conducting pre-approval compliance reviews?</w:t>
      </w:r>
    </w:p>
    <w:p w14:paraId="52B848C9"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As appropriate and necessary to ensure compliance with the nondiscrimination and equal opportunity provisions of WIA or this part, the Director may review any application, or class of applications, for Federal financial assistance under Title I of WIA, before and as a condition of their approval. The basis for such review may be the assurance specified in §37.20, information and reports submitted by the grant applicant under this part or guidance published by the Director, and any relevant records on file with the Department.</w:t>
      </w:r>
    </w:p>
    <w:p w14:paraId="02CD2429"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Where the Director determines that the grant applicant for Federal financial assistance under WIA Title I, if financially assisted, might not comply with the nondiscrimination and equal opportunity requirements of WIA or this part, the Director must:</w:t>
      </w:r>
    </w:p>
    <w:p w14:paraId="12F0E3E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 Notify, in a timely manner, the Departmental grantmaking agency and the Assistant Attorney General of the findings of the pre-approval compliance review; and</w:t>
      </w:r>
    </w:p>
    <w:p w14:paraId="3E63F8C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Issue a Letter of Findings. The Letter of Findings must advise the grant applicant, in writing, of:</w:t>
      </w:r>
    </w:p>
    <w:p w14:paraId="1C4C9FD3"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 The preliminary findings of the review;</w:t>
      </w:r>
    </w:p>
    <w:p w14:paraId="429C22D7"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(ii) The proposed remedial or corrective action under Section 37.94 and the time within which the remedial or corrective action should be completed;</w:t>
      </w:r>
    </w:p>
    <w:p w14:paraId="7AF16CF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(iii) Whether it will be necessary for the grant applicant to enter into a written Conciliation Agreement as described in §§37.95 and 37.97; and</w:t>
      </w:r>
    </w:p>
    <w:p w14:paraId="1AEF32C7"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(iv) The opportunity to engage in voluntary compliance negotiations.</w:t>
      </w:r>
    </w:p>
    <w:p w14:paraId="657BC259"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(c) If a grant applicant has agreed to certain remedial or corrective actions in order to receive WIA Title I-funded Federal financial assistance, the Department must ensure that the remedial or corrective actions have been taken, or that a Conciliation Agreement has been entered into, before approving the award of further assistance under WIA Title I. If a grant applicant refuses or fails to take remedial or corrective actions or to enter into a Conciliation Agreement, as applicable, the Director must follow the procedures outlined in §§37.98 through 37.100.</w:t>
      </w:r>
    </w:p>
    <w:p w14:paraId="57DBCA2A"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56" w:name="29:1.1.1.1.31.4.58.4"/>
      <w:bookmarkEnd w:id="56"/>
      <w:r w:rsidRPr="007A7850">
        <w:rPr>
          <w:rFonts w:ascii="Times" w:eastAsia="Times New Roman" w:hAnsi="Times" w:cs="Times New Roman"/>
          <w:bCs/>
          <w:sz w:val="20"/>
          <w:szCs w:val="20"/>
        </w:rPr>
        <w:t>§37.63   What are the authority and procedures for conducting post-approval compliance reviews?</w:t>
      </w:r>
    </w:p>
    <w:p w14:paraId="25E79470"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The Director may initiate a post-approval compliance review of any recipient to determine compliance with the nondiscrimination and equal opportunity provisions of WIA and this part. The initiation of a post-approval review may be based on, but need not be limited to, the results of routine program monitoring by other Departmental or Federal agencies, or the nature or frequency of complaints.</w:t>
      </w:r>
    </w:p>
    <w:p w14:paraId="403644B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A post-approval review must be initiated by a Notification Letter, advising the recipient of:</w:t>
      </w:r>
    </w:p>
    <w:p w14:paraId="7CF7B50A"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 The practices to be reviewed;</w:t>
      </w:r>
    </w:p>
    <w:p w14:paraId="45E92B2E"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The programs to be reviewed;</w:t>
      </w:r>
    </w:p>
    <w:p w14:paraId="1D2A68F1"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lastRenderedPageBreak/>
        <w:t>(3) The information, records, and/or data to be submitted by the recipient within 30 days of the receipt of the Notification Letter, unless this time frame is modified by the Director; and</w:t>
      </w:r>
    </w:p>
    <w:p w14:paraId="7F08A83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(4) The opportunity, at any time before receipt of the Final Determination described in §§37.99 and 37.100, to make a documentary or other submission that explains, validates or otherwise addresses the practices under review.</w:t>
      </w:r>
    </w:p>
    <w:p w14:paraId="0A2AF8F7"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(c) The Director may conduct post-approval reviews using such techniques as desk audits and on-site reviews.</w:t>
      </w:r>
    </w:p>
    <w:p w14:paraId="2D9DD640"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57" w:name="29:1.1.1.1.31.4.58.5"/>
      <w:bookmarkEnd w:id="57"/>
      <w:r w:rsidRPr="007A7850">
        <w:rPr>
          <w:rFonts w:ascii="Times" w:eastAsia="Times New Roman" w:hAnsi="Times" w:cs="Times New Roman"/>
          <w:bCs/>
          <w:sz w:val="20"/>
          <w:szCs w:val="20"/>
        </w:rPr>
        <w:t>§37.64   What procedures must the Director follow when CRC has completed a post-approval compliance review?</w:t>
      </w:r>
    </w:p>
    <w:p w14:paraId="1B3129C6"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Where, as the result of a post-approval review, the Director has made a finding of noncompliance, he or she must issue a Letter of Findings. This Letter must advise the recipient, in writing, of:</w:t>
      </w:r>
    </w:p>
    <w:p w14:paraId="481C4036"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 The preliminary findings of the review;</w:t>
      </w:r>
    </w:p>
    <w:p w14:paraId="7ED822B1"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Where appropriate, the proposed remedial or corrective action to be taken, and the time by which such action should be completed, as provided in §37.94;</w:t>
      </w:r>
    </w:p>
    <w:p w14:paraId="44B7E0A7"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(3) Whether it will be necessary for the recipient to enter into a written assurance and/or Conciliation Agreement, as provided in §§37.96 and 37.97; and</w:t>
      </w:r>
    </w:p>
    <w:p w14:paraId="5D32465A"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(4) The opportunity to engage in voluntary compliance negotiations.</w:t>
      </w:r>
    </w:p>
    <w:p w14:paraId="6CC1C2C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Where no violation is found, the recipient must be so informed in writing.</w:t>
      </w:r>
    </w:p>
    <w:p w14:paraId="605B706A"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58" w:name="29:1.1.1.1.31.4.58.6"/>
      <w:bookmarkEnd w:id="58"/>
      <w:r w:rsidRPr="007A7850">
        <w:rPr>
          <w:rFonts w:ascii="Times" w:eastAsia="Times New Roman" w:hAnsi="Times" w:cs="Times New Roman"/>
          <w:bCs/>
          <w:sz w:val="20"/>
          <w:szCs w:val="20"/>
        </w:rPr>
        <w:t>§37.65   What is the Director's authority to monitor the activities of a Governor?</w:t>
      </w:r>
    </w:p>
    <w:p w14:paraId="2EF47E0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The Director may periodically review the adequacy of the Methods of Administration established by a Governor, as well as the adequacy of the Governor's performance under the Methods of Administration, to determine compliance with the requirements of §§37.50 through 37.55. The Director may review the Methods of Administration during a compliance review under §§37.62 and 37.63, or at another time.</w:t>
      </w:r>
    </w:p>
    <w:p w14:paraId="7493C57B"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Nothing in this subpart limits or precludes the Director from monitoring directly any WIA Title I recipient or from investigating any matter necessary to determine a recipient's compliance with the nondiscrimination and equal opportunity provisions of WIA or this part.</w:t>
      </w:r>
    </w:p>
    <w:p w14:paraId="640BF1F3"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59" w:name="29:1.1.1.1.31.4.58.7"/>
      <w:bookmarkEnd w:id="59"/>
      <w:r w:rsidRPr="007A7850">
        <w:rPr>
          <w:rFonts w:ascii="Times" w:eastAsia="Times New Roman" w:hAnsi="Times" w:cs="Times New Roman"/>
          <w:bCs/>
          <w:sz w:val="20"/>
          <w:szCs w:val="20"/>
        </w:rPr>
        <w:t>§37.66   What happens if a recipient fails to submit requested data, records, and/or information, or fails to provide CRC with the required access?</w:t>
      </w:r>
    </w:p>
    <w:p w14:paraId="394DD144"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The Director may issue a Notice to Show Cause to a recipient failing to comply with the requirements of this part, where such failure results in the inability of the Director to make a finding. Such a failure includes, but is not limited to, the recipient's failure or refusal to:</w:t>
      </w:r>
    </w:p>
    <w:p w14:paraId="7961FD4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Submit requested information, records, and/or data within 30 days of receiving a Notification Letter;</w:t>
      </w:r>
    </w:p>
    <w:p w14:paraId="3F3FB736"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Submit, in a timely manner, information, records, and/or data requested during a compliance review, complaint investigation, or other action to determine a recipient's compliance with the nondiscrimination and equal opportunity provisions of WIA or this part; or</w:t>
      </w:r>
    </w:p>
    <w:p w14:paraId="0A6461A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lastRenderedPageBreak/>
        <w:t>(c) Provide CRC access in a timely manner to a recipient's premises, records, or employees during a compliance review, as required in §37.40.</w:t>
      </w:r>
    </w:p>
    <w:p w14:paraId="4803A8CC"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60" w:name="29:1.1.1.1.31.4.58.8"/>
      <w:bookmarkEnd w:id="60"/>
      <w:r w:rsidRPr="007A7850">
        <w:rPr>
          <w:rFonts w:ascii="Times" w:eastAsia="Times New Roman" w:hAnsi="Times" w:cs="Times New Roman"/>
          <w:bCs/>
          <w:sz w:val="20"/>
          <w:szCs w:val="20"/>
        </w:rPr>
        <w:t>§37.67   What information must a Notice to Show Cause contain?</w:t>
      </w:r>
    </w:p>
    <w:p w14:paraId="4F6F857B"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A Notice to Show Cause must contain:</w:t>
      </w:r>
    </w:p>
    <w:p w14:paraId="0460A4B1"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 A description of the violation and a citation to the pertinent nondiscrimination or equal opportunity provision(s) of WIA and this part;</w:t>
      </w:r>
    </w:p>
    <w:p w14:paraId="0A9AC816"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The corrective action necessary to achieve compliance or, as may be appropriate, the concepts and principles of acceptable corrective or remedial action and the results anticipated; and</w:t>
      </w:r>
    </w:p>
    <w:p w14:paraId="6EFAA6CB"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(3) A request for a written response to the findings, including commitments to corrective action or the presentation of opposing facts and evidence.</w:t>
      </w:r>
    </w:p>
    <w:p w14:paraId="20DD996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A Notice to Show Cause must give the recipient 30 days to show cause why enforcement proceedings under the nondiscrimination and equal opportunity provisions of WIA or this part should not be instituted.</w:t>
      </w:r>
    </w:p>
    <w:p w14:paraId="7053E926"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61" w:name="29:1.1.1.1.31.4.58.9"/>
      <w:bookmarkEnd w:id="61"/>
      <w:r w:rsidRPr="007A7850">
        <w:rPr>
          <w:rFonts w:ascii="Times" w:eastAsia="Times New Roman" w:hAnsi="Times" w:cs="Times New Roman"/>
          <w:bCs/>
          <w:sz w:val="20"/>
          <w:szCs w:val="20"/>
        </w:rPr>
        <w:t>§37.68   How may a recipient show cause why enforcement proceedings should not be instituted?</w:t>
      </w:r>
    </w:p>
    <w:p w14:paraId="5E244EF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recipient may show cause why enforcement proceedings should not be instituted by, among other means:</w:t>
      </w:r>
    </w:p>
    <w:p w14:paraId="31F7273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Correcting the violation(s) that brought about the Notice to Show Cause and entering into a written assurance and/or entering into a Conciliation Agreement, as appropriate, under §§37.95 through 37.97;</w:t>
      </w:r>
    </w:p>
    <w:p w14:paraId="71A91524"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Demonstrating that CRC does not have jurisdiction; or</w:t>
      </w:r>
    </w:p>
    <w:p w14:paraId="7E9CF8F1"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(c) Demonstrating that the violation alleged by CRC did not occur.</w:t>
      </w:r>
    </w:p>
    <w:p w14:paraId="670720EC"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62" w:name="29:1.1.1.1.31.4.58.10"/>
      <w:bookmarkEnd w:id="62"/>
      <w:r w:rsidRPr="007A7850">
        <w:rPr>
          <w:rFonts w:ascii="Times" w:eastAsia="Times New Roman" w:hAnsi="Times" w:cs="Times New Roman"/>
          <w:bCs/>
          <w:sz w:val="20"/>
          <w:szCs w:val="20"/>
        </w:rPr>
        <w:t>§37.69   What happens if a recipient fails to show cause?</w:t>
      </w:r>
    </w:p>
    <w:p w14:paraId="1786E2D1"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If the recipient fails to show cause why enforcement proceedings should not be initiated, the Director must follow the enforcement procedures outlined in §§37.99 and 37.100.</w:t>
      </w:r>
    </w:p>
    <w:p w14:paraId="2CB820AD" w14:textId="77777777" w:rsidR="00B930B1" w:rsidRPr="007A7850" w:rsidRDefault="00B930B1" w:rsidP="00B930B1">
      <w:pPr>
        <w:spacing w:before="100" w:beforeAutospacing="1" w:after="100" w:afterAutospacing="1"/>
        <w:outlineLvl w:val="0"/>
        <w:rPr>
          <w:rFonts w:ascii="Times" w:eastAsia="Times New Roman" w:hAnsi="Times" w:cs="Times New Roman"/>
          <w:bCs/>
          <w:kern w:val="36"/>
          <w:sz w:val="20"/>
          <w:szCs w:val="20"/>
        </w:rPr>
      </w:pPr>
      <w:r w:rsidRPr="007A7850">
        <w:rPr>
          <w:rFonts w:ascii="Times" w:eastAsia="Times New Roman" w:hAnsi="Times" w:cs="Times New Roman"/>
          <w:bCs/>
          <w:kern w:val="36"/>
          <w:sz w:val="20"/>
          <w:szCs w:val="20"/>
        </w:rPr>
        <w:t>Complaint Processing Procedures</w:t>
      </w:r>
    </w:p>
    <w:p w14:paraId="2ECA61E5"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63" w:name="29:1.1.1.1.31.4.58.11"/>
      <w:bookmarkEnd w:id="63"/>
      <w:r w:rsidRPr="007A7850">
        <w:rPr>
          <w:rFonts w:ascii="Times" w:eastAsia="Times New Roman" w:hAnsi="Times" w:cs="Times New Roman"/>
          <w:bCs/>
          <w:sz w:val="20"/>
          <w:szCs w:val="20"/>
        </w:rPr>
        <w:t>§37.70   Who may file a complaint concerning discrimination connected with WIA Title I?</w:t>
      </w:r>
    </w:p>
    <w:p w14:paraId="251A47E3"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Any person who believes that either he or she, or any specific class of individuals, has been or is being subjected to discrimination prohibited by WIA or this part, may file a written complaint, either by him/herself or through a representative.</w:t>
      </w:r>
    </w:p>
    <w:p w14:paraId="7C44A40E"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64" w:name="29:1.1.1.1.31.4.58.12"/>
      <w:bookmarkEnd w:id="64"/>
      <w:r w:rsidRPr="007A7850">
        <w:rPr>
          <w:rFonts w:ascii="Times" w:eastAsia="Times New Roman" w:hAnsi="Times" w:cs="Times New Roman"/>
          <w:bCs/>
          <w:sz w:val="20"/>
          <w:szCs w:val="20"/>
        </w:rPr>
        <w:t>§37.71   Where may a complaint be filed?</w:t>
      </w:r>
    </w:p>
    <w:p w14:paraId="7056B00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complainant may file a complaint with either the recipient or the Director. Complaints filed with the Director should be sent to the address listed in the notice in §37.30.</w:t>
      </w:r>
    </w:p>
    <w:p w14:paraId="48AD1CC5"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65" w:name="29:1.1.1.1.31.4.58.13"/>
      <w:bookmarkEnd w:id="65"/>
      <w:r w:rsidRPr="007A7850">
        <w:rPr>
          <w:rFonts w:ascii="Times" w:eastAsia="Times New Roman" w:hAnsi="Times" w:cs="Times New Roman"/>
          <w:bCs/>
          <w:sz w:val="20"/>
          <w:szCs w:val="20"/>
        </w:rPr>
        <w:t>§37.72   When must a complaint be filed?</w:t>
      </w:r>
    </w:p>
    <w:p w14:paraId="34358C02"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lastRenderedPageBreak/>
        <w:t>Generally, a complaint must be filed within 180 days of the alleged discrimination. However, for good cause shown, the Director may extend the filing time. The time period for filing is for the administrative convenience of CRC, and does not create a defense for the respondent.</w:t>
      </w:r>
    </w:p>
    <w:p w14:paraId="0548E56C"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66" w:name="29:1.1.1.1.31.4.58.14"/>
      <w:bookmarkEnd w:id="66"/>
      <w:r w:rsidRPr="007A7850">
        <w:rPr>
          <w:rFonts w:ascii="Times" w:eastAsia="Times New Roman" w:hAnsi="Times" w:cs="Times New Roman"/>
          <w:bCs/>
          <w:sz w:val="20"/>
          <w:szCs w:val="20"/>
        </w:rPr>
        <w:t>§37.73   What information must a complaint contain?</w:t>
      </w:r>
    </w:p>
    <w:p w14:paraId="589618A7"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Each complaint must be filed in writing, and must contain the following information:</w:t>
      </w:r>
    </w:p>
    <w:p w14:paraId="113CB642"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The complainant's name and address (or another means of contacting the complainant);</w:t>
      </w:r>
    </w:p>
    <w:p w14:paraId="6128B18E"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The identity of the respondent (the individual or entity that the complainant alleges is responsible for the discrimination);</w:t>
      </w:r>
    </w:p>
    <w:p w14:paraId="71307B89"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(c) A description of the complainant's allegations. This description must include enough detail to allow the Director or the recipient, as applicable, to decide whether:</w:t>
      </w:r>
    </w:p>
    <w:p w14:paraId="6C0026A3"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 CRC or the recipient, as applicable, has jurisdiction over the complaint;</w:t>
      </w:r>
    </w:p>
    <w:p w14:paraId="5CD71C6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(ii) The complaint was filed in time; and</w:t>
      </w:r>
    </w:p>
    <w:p w14:paraId="43693F29"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(iii) The complaint has apparent merit; in other words, whether the complainant's allegations, if true, would violate any of the nondiscrimination and equal opportunity provisions of WIA or this part; and</w:t>
      </w:r>
    </w:p>
    <w:p w14:paraId="37A8D406"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(d) The complainant's signature or the signature of the complainant's authorized representative.</w:t>
      </w:r>
    </w:p>
    <w:p w14:paraId="62DAB2A2"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67" w:name="29:1.1.1.1.31.4.58.15"/>
      <w:bookmarkEnd w:id="67"/>
      <w:r w:rsidRPr="007A7850">
        <w:rPr>
          <w:rFonts w:ascii="Times" w:eastAsia="Times New Roman" w:hAnsi="Times" w:cs="Times New Roman"/>
          <w:bCs/>
          <w:sz w:val="20"/>
          <w:szCs w:val="20"/>
        </w:rPr>
        <w:t>§37.74   Are there any forms that a complainant may use to file a complaint?</w:t>
      </w:r>
    </w:p>
    <w:p w14:paraId="7B03E37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Yes. A complainant may file a complaint by completing and submitting CRC's Complaint Information and Privacy Act Consent Forms, which may be obtained either from the recipient's EO Officer, or from CRC at the address listed in the notice contained in §37.30.</w:t>
      </w:r>
    </w:p>
    <w:p w14:paraId="5F3B2F2A"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68" w:name="29:1.1.1.1.31.4.58.16"/>
      <w:bookmarkEnd w:id="68"/>
      <w:r w:rsidRPr="007A7850">
        <w:rPr>
          <w:rFonts w:ascii="Times" w:eastAsia="Times New Roman" w:hAnsi="Times" w:cs="Times New Roman"/>
          <w:bCs/>
          <w:sz w:val="20"/>
          <w:szCs w:val="20"/>
        </w:rPr>
        <w:t>§37.75   Is there a right of representation in the complaint process?</w:t>
      </w:r>
    </w:p>
    <w:p w14:paraId="7C8D48BA"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Yes. Both the complainant and the respondent have the right to be represented by an attorney or other individual of their choice.</w:t>
      </w:r>
    </w:p>
    <w:p w14:paraId="532C0C0B"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69" w:name="29:1.1.1.1.31.4.58.17"/>
      <w:bookmarkEnd w:id="69"/>
      <w:r w:rsidRPr="007A7850">
        <w:rPr>
          <w:rFonts w:ascii="Times" w:eastAsia="Times New Roman" w:hAnsi="Times" w:cs="Times New Roman"/>
          <w:bCs/>
          <w:sz w:val="20"/>
          <w:szCs w:val="20"/>
        </w:rPr>
        <w:t>§37.76   What are the required elements of a recipient's discrimination complaint processing procedures?</w:t>
      </w:r>
    </w:p>
    <w:p w14:paraId="5BD6E13B"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The procedures that a recipient adopts and publishes must provide that the recipient will issue a written Notice of Final Action on discrimination complaints within 90 days of the date on which the complaint is filed.</w:t>
      </w:r>
    </w:p>
    <w:p w14:paraId="5D8B691A"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At a minimum, the procedures must include the following elements:</w:t>
      </w:r>
    </w:p>
    <w:p w14:paraId="484BEE06"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 Initial, written notice to the complainant that contains the following information:</w:t>
      </w:r>
    </w:p>
    <w:p w14:paraId="23F74562"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 An acknowledgment that the recipient has received the complaint, and</w:t>
      </w:r>
    </w:p>
    <w:p w14:paraId="602D74FA"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(ii) Notice that the complainant has the right to be represented in the complaint process;</w:t>
      </w:r>
    </w:p>
    <w:p w14:paraId="4AED7363"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A written statement of the issue(s), provided to the complainant, that includes the following information:</w:t>
      </w:r>
    </w:p>
    <w:p w14:paraId="12706B4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lastRenderedPageBreak/>
        <w:t>(i) A list of the issues raised in the complaint, and</w:t>
      </w:r>
    </w:p>
    <w:p w14:paraId="7DCFE26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(ii) For each such issue, a statement whether the recipient will accept the issue for investigation or reject the issue, and the reasons for each rejection;</w:t>
      </w:r>
    </w:p>
    <w:p w14:paraId="2B2E377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(3) A period for fact-finding or investigation of the circumstances underlying the complaint;</w:t>
      </w:r>
    </w:p>
    <w:p w14:paraId="27123E79"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(4) A period during which the recipient attempts to resolve the complaint. The methods available to resolve the complaint must include alternative dispute resolution (ADR), as described in paragraph (c) of this section</w:t>
      </w:r>
    </w:p>
    <w:p w14:paraId="01F37FE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(5) A written Notice of Final Action, provided to the complainant within 90 days of the date on which the complaint was filed, that contains the following information:</w:t>
      </w:r>
    </w:p>
    <w:p w14:paraId="757F6403"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 For each issue raised in the complaint, a statement of either:</w:t>
      </w:r>
    </w:p>
    <w:p w14:paraId="332CBAC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The recipient's decision on the issue and an explanation of the reasons underlying the decision, or</w:t>
      </w:r>
    </w:p>
    <w:p w14:paraId="5606669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A description of the way the parties resolved the issue; and</w:t>
      </w:r>
    </w:p>
    <w:p w14:paraId="4E9AAA30"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(ii) Notice that the complainant has a right to file a complaint with CRC within 30 days of the date on which the Notice of Final Action is issued if he or she is dissatisfied with the recipient's final action on the complaint.</w:t>
      </w:r>
    </w:p>
    <w:p w14:paraId="1E7FCC8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(c) The procedures the recipient adopts must provide for alternative dispute resolution (ADR). The recipient's ADR procedures must provide that:</w:t>
      </w:r>
    </w:p>
    <w:p w14:paraId="27D62FC3"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 The choice whether to use ADR or the customary process rests with the complainant;</w:t>
      </w:r>
    </w:p>
    <w:p w14:paraId="5EF301B6"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A party to any agreement reached under ADR may file a complaint with the Director in the event the agreement is breached. In such circumstances, the following rules will apply:</w:t>
      </w:r>
    </w:p>
    <w:p w14:paraId="2B9593F6"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 The non-breaching party may file a complaint with the Director within 30 days of the date on which the non-breaching party learns of the alleged breach;</w:t>
      </w:r>
    </w:p>
    <w:p w14:paraId="245A0CFA"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(ii) The Director must evaluate the circumstances to determine whether the agreement has been breached. If he or she determines that the agreement has been breached, the complainant may file a complaint with CRC based upon his/her original allegation(s), and the Director will waive the time deadline for filing such a complaint.</w:t>
      </w:r>
    </w:p>
    <w:p w14:paraId="2DB086A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(3) If the parties do not reach an agreement under ADR, the complainant may file a complaint with the Director as described in §§37.71 through 37.74.</w:t>
      </w:r>
    </w:p>
    <w:p w14:paraId="682B42A2"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70" w:name="29:1.1.1.1.31.4.58.18"/>
      <w:bookmarkEnd w:id="70"/>
      <w:r w:rsidRPr="007A7850">
        <w:rPr>
          <w:rFonts w:ascii="Times" w:eastAsia="Times New Roman" w:hAnsi="Times" w:cs="Times New Roman"/>
          <w:bCs/>
          <w:sz w:val="20"/>
          <w:szCs w:val="20"/>
        </w:rPr>
        <w:t>§37.77   Who is responsible for developing and publishing complaint processing procedures for service providers?</w:t>
      </w:r>
    </w:p>
    <w:p w14:paraId="5EA82BF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The Governor or the LWIA grant recipient, as provided in the State's Methods of Administration, must develop and publish, on behalf of its service providers, the complaint processing procedures required in §37.76. The service providers must then follow those procedures.</w:t>
      </w:r>
    </w:p>
    <w:p w14:paraId="74ACCC18"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71" w:name="29:1.1.1.1.31.4.58.19"/>
      <w:bookmarkEnd w:id="71"/>
      <w:r w:rsidRPr="007A7850">
        <w:rPr>
          <w:rFonts w:ascii="Times" w:eastAsia="Times New Roman" w:hAnsi="Times" w:cs="Times New Roman"/>
          <w:bCs/>
          <w:sz w:val="20"/>
          <w:szCs w:val="20"/>
        </w:rPr>
        <w:t>§37.78   Does a recipient have any special obligations in cases in which the recipient determines that it has no jurisdiction over a complaint?</w:t>
      </w:r>
    </w:p>
    <w:p w14:paraId="241EBB97"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lastRenderedPageBreak/>
        <w:t>Yes. If a recipient determines that it does not have jurisdiction over a complaint, it must notify the complainant, in writing, immediately. This Notice of Lack of Jurisdiction must include:</w:t>
      </w:r>
    </w:p>
    <w:p w14:paraId="4A0F67E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A statement of the reasons for that determination, and</w:t>
      </w:r>
    </w:p>
    <w:p w14:paraId="4C11A670"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Notice that the complainant has a right to file a complaint with CRC within 30 days of the date on which the complainant receives the Notice.</w:t>
      </w:r>
    </w:p>
    <w:p w14:paraId="5C2B0641"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72" w:name="29:1.1.1.1.31.4.58.20"/>
      <w:bookmarkEnd w:id="72"/>
      <w:r w:rsidRPr="007A7850">
        <w:rPr>
          <w:rFonts w:ascii="Times" w:eastAsia="Times New Roman" w:hAnsi="Times" w:cs="Times New Roman"/>
          <w:bCs/>
          <w:sz w:val="20"/>
          <w:szCs w:val="20"/>
        </w:rPr>
        <w:t>§37.79   If, before the 90-day period has expired, a recipient issues a Notice of Final Action with which the complainant is dissatisfied, how long does the complainant have to file a complaint with the Director?</w:t>
      </w:r>
    </w:p>
    <w:p w14:paraId="799BD73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If, during the 90-day period, the recipient issues its Notice of Final Action, but the complainant is dissatisfied with the recipient's decision on the complaint, the complainant or his/her representative may file a complaint with the Director within 30 days after the date on which the complainant receives the Notice.</w:t>
      </w:r>
    </w:p>
    <w:p w14:paraId="6A9C0629"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73" w:name="29:1.1.1.1.31.4.58.21"/>
      <w:bookmarkEnd w:id="73"/>
      <w:r w:rsidRPr="007A7850">
        <w:rPr>
          <w:rFonts w:ascii="Times" w:eastAsia="Times New Roman" w:hAnsi="Times" w:cs="Times New Roman"/>
          <w:bCs/>
          <w:sz w:val="20"/>
          <w:szCs w:val="20"/>
        </w:rPr>
        <w:t>§37.80   What happens if a recipient fails to issue a Notice of Final Action within 90 days of the date on which a complaint was filed?</w:t>
      </w:r>
    </w:p>
    <w:p w14:paraId="7EA5411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If, by the end of 90 days from the date on which the complainant filed the complaint, the recipient has failed to issue a Notice of Final Action, the complainant or his/her representative may file a complaint with the Director within 30 days of the expiration of the 90-day period. In other words, the complaint must be filed with the Director within 120 days of the date on which the complaint was filed with the recipient.</w:t>
      </w:r>
    </w:p>
    <w:p w14:paraId="24BFD6CB"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74" w:name="29:1.1.1.1.31.4.58.22"/>
      <w:bookmarkEnd w:id="74"/>
      <w:r w:rsidRPr="007A7850">
        <w:rPr>
          <w:rFonts w:ascii="Times" w:eastAsia="Times New Roman" w:hAnsi="Times" w:cs="Times New Roman"/>
          <w:bCs/>
          <w:sz w:val="20"/>
          <w:szCs w:val="20"/>
        </w:rPr>
        <w:t>§37.81   Are there any circumstances under which the Director may extend the time limit for filing a complaint with him or her?</w:t>
      </w:r>
    </w:p>
    <w:p w14:paraId="6E9FFAE4"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Yes. The Director may extend the 30-day time limit:</w:t>
      </w:r>
    </w:p>
    <w:p w14:paraId="0A68F22B"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If the recipient does not include in its Notice of Final Action the required notice about the complainant's right to file with the Director, as described in §37.76(b)(5)(ii); or</w:t>
      </w:r>
    </w:p>
    <w:p w14:paraId="771F207A"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For other good cause shown.</w:t>
      </w:r>
    </w:p>
    <w:p w14:paraId="002DE5C1"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The complainant has the burden of proving to the Director that the time limit should be extended.</w:t>
      </w:r>
    </w:p>
    <w:p w14:paraId="7BD3D348"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75" w:name="29:1.1.1.1.31.4.58.23"/>
      <w:bookmarkEnd w:id="75"/>
      <w:r w:rsidRPr="007A7850">
        <w:rPr>
          <w:rFonts w:ascii="Times" w:eastAsia="Times New Roman" w:hAnsi="Times" w:cs="Times New Roman"/>
          <w:bCs/>
          <w:sz w:val="20"/>
          <w:szCs w:val="20"/>
        </w:rPr>
        <w:t>§37.82   Does the Director accept every complaint for resolution?</w:t>
      </w:r>
    </w:p>
    <w:p w14:paraId="085D7DE0"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No. The Director must determine whether CRC will accept a particular complaint for resolution. For example, a complaint need not be accepted if:</w:t>
      </w:r>
    </w:p>
    <w:p w14:paraId="05B2C0E3"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It has not been timely filed;</w:t>
      </w:r>
    </w:p>
    <w:p w14:paraId="359E750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CRC has no jurisdiction over the complaint; or</w:t>
      </w:r>
    </w:p>
    <w:p w14:paraId="1AFC0F4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(c) CRC has previously decided the matter.</w:t>
      </w:r>
    </w:p>
    <w:p w14:paraId="52E2845C"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76" w:name="29:1.1.1.1.31.4.58.24"/>
      <w:bookmarkEnd w:id="76"/>
      <w:r w:rsidRPr="007A7850">
        <w:rPr>
          <w:rFonts w:ascii="Times" w:eastAsia="Times New Roman" w:hAnsi="Times" w:cs="Times New Roman"/>
          <w:bCs/>
          <w:sz w:val="20"/>
          <w:szCs w:val="20"/>
        </w:rPr>
        <w:t>§37.83   What happens if a complaint does not contain enough information?</w:t>
      </w:r>
    </w:p>
    <w:p w14:paraId="56FCA366"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If a complaint does not contain enough information, the Director must try to get the needed information from the complainant.</w:t>
      </w:r>
    </w:p>
    <w:p w14:paraId="35156210"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lastRenderedPageBreak/>
        <w:t>(b) The Director may close the complainant's file, without prejudice, if:</w:t>
      </w:r>
    </w:p>
    <w:p w14:paraId="105FC9C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 The Director makes reasonable efforts to try to find the complainant, but is unable to reach him or her; or</w:t>
      </w:r>
    </w:p>
    <w:p w14:paraId="45CC48C2"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The complainant does not provide the needed information to CRC within the time specified in the request for more information.</w:t>
      </w:r>
    </w:p>
    <w:p w14:paraId="49100B2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(c) If the Director closes the complainant's file, he or she must send written notice to the complainant's last known address.</w:t>
      </w:r>
    </w:p>
    <w:p w14:paraId="078988E1"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77" w:name="29:1.1.1.1.31.4.58.25"/>
      <w:bookmarkEnd w:id="77"/>
      <w:r w:rsidRPr="007A7850">
        <w:rPr>
          <w:rFonts w:ascii="Times" w:eastAsia="Times New Roman" w:hAnsi="Times" w:cs="Times New Roman"/>
          <w:bCs/>
          <w:sz w:val="20"/>
          <w:szCs w:val="20"/>
        </w:rPr>
        <w:t>§37.84   What happens if CRC does not have jurisdiction over a complaint?</w:t>
      </w:r>
    </w:p>
    <w:p w14:paraId="4254D6D0"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If CRC does not have jurisdiction over a complaint, the Director must:</w:t>
      </w:r>
    </w:p>
    <w:p w14:paraId="4BC1B072"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Notify the complainant and explain why the complaint falls outside the coverage of the nondiscrimination and equal opportunity provisions of WIA or this part; and</w:t>
      </w:r>
    </w:p>
    <w:p w14:paraId="609AD8C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Where possible, transfer the complaint to an appropriate Federal, State or local authority.</w:t>
      </w:r>
    </w:p>
    <w:p w14:paraId="2F7C5D69"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78" w:name="29:1.1.1.1.31.4.58.26"/>
      <w:bookmarkEnd w:id="78"/>
      <w:r w:rsidRPr="007A7850">
        <w:rPr>
          <w:rFonts w:ascii="Times" w:eastAsia="Times New Roman" w:hAnsi="Times" w:cs="Times New Roman"/>
          <w:bCs/>
          <w:sz w:val="20"/>
          <w:szCs w:val="20"/>
        </w:rPr>
        <w:t>§37.85   Are there any other circumstances in which the Director will send a complaint to another authority?</w:t>
      </w:r>
    </w:p>
    <w:p w14:paraId="51184150"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Yes. The Director refers complaints to other agencies in the following circumstances:</w:t>
      </w:r>
    </w:p>
    <w:p w14:paraId="2A8E6E6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Where the complaint alleges discrimination based on age, and the complaint falls within the jurisdiction of the Age Discrimination Act of 1975, as amended, then the Director must refer the complaint, in accordance with the provisions of 45 CFR 90.43(c)(3).</w:t>
      </w:r>
    </w:p>
    <w:p w14:paraId="352F600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Where the only allegation in the complaint is a charge of individual employment discrimination that is covered both by WIA or this part and by one or more of the laws listed below, then the complaint is a “joint complaint,” and the Director may refer it to the EEOC for investigation and conciliation under the procedures described in 29 CFR part 1640 or 1691, as appropriate. The relevant laws are:</w:t>
      </w:r>
    </w:p>
    <w:p w14:paraId="7583E639"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 Title VII of the Civil Rights Act of 1964, as amended (42 U.S.C. 2000e to 2000e-17);</w:t>
      </w:r>
    </w:p>
    <w:p w14:paraId="6024184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The Equal Pay Act of 1963, as amended (29 U.S.C. 206(d));</w:t>
      </w:r>
    </w:p>
    <w:p w14:paraId="63C5756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 xml:space="preserve">(3) The Age Discrimination in Employment Act of 1976, as amended (29 U.S.C. 621, </w:t>
      </w:r>
      <w:r w:rsidRPr="007A7850">
        <w:rPr>
          <w:rFonts w:ascii="Times" w:hAnsi="Times" w:cs="Times New Roman"/>
          <w:i/>
          <w:iCs/>
          <w:sz w:val="20"/>
          <w:szCs w:val="20"/>
        </w:rPr>
        <w:t>et seq.</w:t>
      </w:r>
      <w:r w:rsidRPr="007A7850">
        <w:rPr>
          <w:rFonts w:ascii="Times" w:hAnsi="Times" w:cs="Times New Roman"/>
          <w:sz w:val="20"/>
          <w:szCs w:val="20"/>
        </w:rPr>
        <w:t>); and</w:t>
      </w:r>
    </w:p>
    <w:p w14:paraId="2936B190"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 xml:space="preserve">(4) Title I of the Americans with Disabilities Act of 1990, as amended (42 U.S.C. 12101 </w:t>
      </w:r>
      <w:r w:rsidRPr="007A7850">
        <w:rPr>
          <w:rFonts w:ascii="Times" w:hAnsi="Times" w:cs="Times New Roman"/>
          <w:i/>
          <w:iCs/>
          <w:sz w:val="20"/>
          <w:szCs w:val="20"/>
        </w:rPr>
        <w:t>et seq.</w:t>
      </w:r>
      <w:r w:rsidRPr="007A7850">
        <w:rPr>
          <w:rFonts w:ascii="Times" w:hAnsi="Times" w:cs="Times New Roman"/>
          <w:sz w:val="20"/>
          <w:szCs w:val="20"/>
        </w:rPr>
        <w:t>).</w:t>
      </w:r>
    </w:p>
    <w:p w14:paraId="3246A86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(c) Where the complaint alleges discrimination by an entity that operates a program or activity financially assisted by a Federal grantmaking agency other than the Department, but that participates as a partner in a One-Stop delivery system, the following procedures apply:</w:t>
      </w:r>
    </w:p>
    <w:p w14:paraId="5BB7F92B"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 Where the complaint alleges discrimination on a basis that is prohibited both by Section 188 of WIA and by a civil rights law enforced by the Federal grantmaking agency, then CRC and the grantmaking agency have dual jurisdiction over the complaint, and the Director will refer the complaint to the grantmaking agency for processing. In such circumstances, the grantmaking agency's regulations will govern the processing of the complaint.</w:t>
      </w:r>
    </w:p>
    <w:p w14:paraId="3BDEE0D4"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lastRenderedPageBreak/>
        <w:t>(2) Where the complaint alleges discrimination on a basis that is prohibited by Section 188 of WIA, but not by any civil rights laws enforced by the Federal grantmaking agency, then CRC has sole jurisdiction over the complaint, and will retain the complaint and process it pursuant to this part. Such bases generally include religion, political affiliation or belief, citizenship, and/or participation in a WIA Title I-financially assisted program or activity.</w:t>
      </w:r>
    </w:p>
    <w:p w14:paraId="706408AB"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(d) Where the Director makes a referral under this section, he or she must notify the complainant and the respondent about the referral.</w:t>
      </w:r>
    </w:p>
    <w:p w14:paraId="48AD784A"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79" w:name="29:1.1.1.1.31.4.58.27"/>
      <w:bookmarkEnd w:id="79"/>
      <w:r w:rsidRPr="007A7850">
        <w:rPr>
          <w:rFonts w:ascii="Times" w:eastAsia="Times New Roman" w:hAnsi="Times" w:cs="Times New Roman"/>
          <w:bCs/>
          <w:sz w:val="20"/>
          <w:szCs w:val="20"/>
        </w:rPr>
        <w:t>§37.86   What must the Director do if he or she determines that a complaint will not be accepted?</w:t>
      </w:r>
    </w:p>
    <w:p w14:paraId="41EC8593"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If a complaint will not be accepted, the Director must notify the complainant, in writing, about that fact, and provide the complainant his/her reasons for making that determination.</w:t>
      </w:r>
    </w:p>
    <w:p w14:paraId="29CD3850"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80" w:name="29:1.1.1.1.31.4.58.28"/>
      <w:bookmarkEnd w:id="80"/>
      <w:r w:rsidRPr="007A7850">
        <w:rPr>
          <w:rFonts w:ascii="Times" w:eastAsia="Times New Roman" w:hAnsi="Times" w:cs="Times New Roman"/>
          <w:bCs/>
          <w:sz w:val="20"/>
          <w:szCs w:val="20"/>
        </w:rPr>
        <w:t>§37.87   What must the Director do if he or she determines that a complaint will be accepted?</w:t>
      </w:r>
    </w:p>
    <w:p w14:paraId="40F61BB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If the Director accepts the complaint for resolution, he or she must notify the complainant, the respondent, and the grantmaking agency. The notice must:</w:t>
      </w:r>
    </w:p>
    <w:p w14:paraId="3C9246B3"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State that the complaint will be accepted,</w:t>
      </w:r>
    </w:p>
    <w:p w14:paraId="52AF073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Identify the issues over which CRC has accepted jurisdiction; and</w:t>
      </w:r>
    </w:p>
    <w:p w14:paraId="1FB56A3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(c) Explain the reasons why any issues were rejected.</w:t>
      </w:r>
    </w:p>
    <w:p w14:paraId="0DB82BD4"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81" w:name="29:1.1.1.1.31.4.58.29"/>
      <w:bookmarkEnd w:id="81"/>
      <w:r w:rsidRPr="007A7850">
        <w:rPr>
          <w:rFonts w:ascii="Times" w:eastAsia="Times New Roman" w:hAnsi="Times" w:cs="Times New Roman"/>
          <w:bCs/>
          <w:sz w:val="20"/>
          <w:szCs w:val="20"/>
        </w:rPr>
        <w:t>§37.88   Who may contact CRC about a complaint?</w:t>
      </w:r>
    </w:p>
    <w:p w14:paraId="6D761CC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Both the complainant and the respondent, or their authorized representatives, may contact CRC for information about the complaint. The Director will determine what information, if any, about the complaint will be released.</w:t>
      </w:r>
    </w:p>
    <w:p w14:paraId="673C2543"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82" w:name="29:1.1.1.1.31.4.58.30"/>
      <w:bookmarkEnd w:id="82"/>
      <w:r w:rsidRPr="007A7850">
        <w:rPr>
          <w:rFonts w:ascii="Times" w:eastAsia="Times New Roman" w:hAnsi="Times" w:cs="Times New Roman"/>
          <w:bCs/>
          <w:sz w:val="20"/>
          <w:szCs w:val="20"/>
        </w:rPr>
        <w:t>§37.89   May the Director offer the parties to a complaint the option of mediation?</w:t>
      </w:r>
    </w:p>
    <w:p w14:paraId="096E631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Yes. The Director may offer the parties to a complaint the option of mediating the complaint. In such circumstances, the following rules apply:</w:t>
      </w:r>
    </w:p>
    <w:p w14:paraId="6ADD3F53"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Mediation is voluntary; the parties must consent before the mediation process will proceed.</w:t>
      </w:r>
    </w:p>
    <w:p w14:paraId="44D353A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The mediation will be conducted under guidance issued by the Director.</w:t>
      </w:r>
    </w:p>
    <w:p w14:paraId="7A3D1B49"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(c) If the parties are unable to reach resolution of the complaint through mediation, CRC will investigate and process the complaint under §§37.82 through 37.88 of this part.</w:t>
      </w:r>
    </w:p>
    <w:p w14:paraId="154CB5C2" w14:textId="77777777" w:rsidR="00B930B1" w:rsidRPr="007A7850" w:rsidRDefault="00B930B1" w:rsidP="00B930B1">
      <w:pPr>
        <w:spacing w:before="100" w:beforeAutospacing="1" w:after="100" w:afterAutospacing="1"/>
        <w:outlineLvl w:val="0"/>
        <w:rPr>
          <w:rFonts w:ascii="Times" w:eastAsia="Times New Roman" w:hAnsi="Times" w:cs="Times New Roman"/>
          <w:bCs/>
          <w:kern w:val="36"/>
          <w:sz w:val="20"/>
          <w:szCs w:val="20"/>
        </w:rPr>
      </w:pPr>
      <w:r w:rsidRPr="007A7850">
        <w:rPr>
          <w:rFonts w:ascii="Times" w:eastAsia="Times New Roman" w:hAnsi="Times" w:cs="Times New Roman"/>
          <w:bCs/>
          <w:kern w:val="36"/>
          <w:sz w:val="20"/>
          <w:szCs w:val="20"/>
        </w:rPr>
        <w:t>Determinations</w:t>
      </w:r>
    </w:p>
    <w:p w14:paraId="3AE59F3B"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83" w:name="29:1.1.1.1.31.4.58.31"/>
      <w:bookmarkEnd w:id="83"/>
      <w:r w:rsidRPr="007A7850">
        <w:rPr>
          <w:rFonts w:ascii="Times" w:eastAsia="Times New Roman" w:hAnsi="Times" w:cs="Times New Roman"/>
          <w:bCs/>
          <w:sz w:val="20"/>
          <w:szCs w:val="20"/>
        </w:rPr>
        <w:t>§37.90   If a complaint is investigated, what must the Director do when the investigation is completed?</w:t>
      </w:r>
    </w:p>
    <w:p w14:paraId="161A666A"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At the conclusion of the investigation of the complaint, the Director must take the following actions:</w:t>
      </w:r>
    </w:p>
    <w:p w14:paraId="0DD7AB0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Determine whether there is reasonable cause to believe that the respondent has violated the nondiscrimination and equal opportunity provisions of WIA or this part; and</w:t>
      </w:r>
    </w:p>
    <w:p w14:paraId="25C90010"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lastRenderedPageBreak/>
        <w:t>(b) Notify the complainant, the respondent, and the grantmaking agency, in writing, of that determination.</w:t>
      </w:r>
    </w:p>
    <w:p w14:paraId="2B143B75"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84" w:name="29:1.1.1.1.31.4.58.32"/>
      <w:bookmarkEnd w:id="84"/>
      <w:r w:rsidRPr="007A7850">
        <w:rPr>
          <w:rFonts w:ascii="Times" w:eastAsia="Times New Roman" w:hAnsi="Times" w:cs="Times New Roman"/>
          <w:bCs/>
          <w:sz w:val="20"/>
          <w:szCs w:val="20"/>
        </w:rPr>
        <w:t>§37.91   What notice must the Director issue if he or she finds reasonable cause to believe that a violation has taken place?</w:t>
      </w:r>
    </w:p>
    <w:p w14:paraId="4239C29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If the Director finds reasonable cause to believe that the respondent has violated the nondiscrimination and equal opportunity provisions of WIA or this part, he or she must issue an Initial Determination. The Initial Determination must include:</w:t>
      </w:r>
    </w:p>
    <w:p w14:paraId="3CEAA81E"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The specific findings of the investigation;</w:t>
      </w:r>
    </w:p>
    <w:p w14:paraId="11406683"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The corrective or remedial action that the Department proposes to the respondent, under §37.94;</w:t>
      </w:r>
    </w:p>
    <w:p w14:paraId="6EA95A5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(c) The time by which the respondent must complete the corrective or remedial action;</w:t>
      </w:r>
    </w:p>
    <w:p w14:paraId="71FCE3D9"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(d) Whether it will be necessary for the respondent to enter into a written agreement under §37.95 and 37.96; and</w:t>
      </w:r>
    </w:p>
    <w:p w14:paraId="0DBDE70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(e) The opportunity to engage in voluntary compliance negotiations.</w:t>
      </w:r>
    </w:p>
    <w:p w14:paraId="4955DB3A"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85" w:name="29:1.1.1.1.31.4.58.33"/>
      <w:bookmarkEnd w:id="85"/>
      <w:r w:rsidRPr="007A7850">
        <w:rPr>
          <w:rFonts w:ascii="Times" w:eastAsia="Times New Roman" w:hAnsi="Times" w:cs="Times New Roman"/>
          <w:bCs/>
          <w:sz w:val="20"/>
          <w:szCs w:val="20"/>
        </w:rPr>
        <w:t>§37.92   What notice must the Director issue if he or she finds no reasonable cause to believe that a violation has taken place?</w:t>
      </w:r>
    </w:p>
    <w:p w14:paraId="7DC8236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If the Director determines that there is no reasonable cause to believe that a violation has taken place, he or she must issue a Final Determination under §37.100. The Final Determination represents the Department's final agency action on the complaint.</w:t>
      </w:r>
    </w:p>
    <w:p w14:paraId="0203E0E5"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86" w:name="29:1.1.1.1.31.4.58.34"/>
      <w:bookmarkEnd w:id="86"/>
      <w:r w:rsidRPr="007A7850">
        <w:rPr>
          <w:rFonts w:ascii="Times" w:eastAsia="Times New Roman" w:hAnsi="Times" w:cs="Times New Roman"/>
          <w:bCs/>
          <w:sz w:val="20"/>
          <w:szCs w:val="20"/>
        </w:rPr>
        <w:t>§37.93   What happens if the Director finds that a violation has taken place, and the recipient fails or refuses to take the corrective action listed in the Initial Determination?</w:t>
      </w:r>
    </w:p>
    <w:p w14:paraId="69D77201"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Under such circumstances, the Department must take the actions described in §37.99 of this part.</w:t>
      </w:r>
    </w:p>
    <w:p w14:paraId="093D6EC7"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87" w:name="29:1.1.1.1.31.4.58.35"/>
      <w:bookmarkEnd w:id="87"/>
      <w:r w:rsidRPr="007A7850">
        <w:rPr>
          <w:rFonts w:ascii="Times" w:eastAsia="Times New Roman" w:hAnsi="Times" w:cs="Times New Roman"/>
          <w:bCs/>
          <w:sz w:val="20"/>
          <w:szCs w:val="20"/>
        </w:rPr>
        <w:t>§37.94   What corrective or remedial actions may be imposed where, after a compliance review or complaint investigation, the Director finds a violation of the nondiscrimination and equal opportunity provisions of WIA or this part?</w:t>
      </w:r>
    </w:p>
    <w:p w14:paraId="14CF8DAE"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A Letter of Findings, Notice to Show Cause, or Initial Determination, issued under §37.62 or §§37.63, 37.66 and 37.67, or §37.91 respectively, must include the specific steps the grant applicant or recipient, as applicable, must take within a stated period of time in order to achieve voluntary compliance.</w:t>
      </w:r>
    </w:p>
    <w:p w14:paraId="797B0754"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Such steps must include:</w:t>
      </w:r>
    </w:p>
    <w:p w14:paraId="7FD5076A"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 Actions to end and/or redress the violation of the nondiscrimination and equal opportunity provisions of WIA or this part;</w:t>
      </w:r>
    </w:p>
    <w:p w14:paraId="2A8A6EE9"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Make whole relief where discrimination has been identified, including, as appropriate, back pay (which must not accrue from a date more than 2 years before the filing of the complaint or the initiation of a compliance review) or other monetary relief; hire or reinstatement; retroactive seniority; promotion; benefits or other services discriminatorily denied; and</w:t>
      </w:r>
    </w:p>
    <w:p w14:paraId="1BCDAEC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(3) Such other remedial or affirmative relief as the Director deems necessary, including but not limited to outreach, recruitment and training designed to ensure equal opportunity.</w:t>
      </w:r>
    </w:p>
    <w:p w14:paraId="3CB78CE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lastRenderedPageBreak/>
        <w:t>(c) Monetary relief may not be paid from Federal funds.</w:t>
      </w:r>
    </w:p>
    <w:p w14:paraId="68A4FD4A"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88" w:name="29:1.1.1.1.31.4.58.36"/>
      <w:bookmarkEnd w:id="88"/>
      <w:r w:rsidRPr="007A7850">
        <w:rPr>
          <w:rFonts w:ascii="Times" w:eastAsia="Times New Roman" w:hAnsi="Times" w:cs="Times New Roman"/>
          <w:bCs/>
          <w:sz w:val="20"/>
          <w:szCs w:val="20"/>
        </w:rPr>
        <w:t>§37.95   What procedures apply if the Director finds that a recipient has violated the nondiscrimination and equal opportunity provisions of WIA or this part?</w:t>
      </w:r>
    </w:p>
    <w:p w14:paraId="1C95E06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 xml:space="preserve">(a) </w:t>
      </w:r>
      <w:r w:rsidRPr="007A7850">
        <w:rPr>
          <w:rFonts w:ascii="Times" w:hAnsi="Times" w:cs="Times New Roman"/>
          <w:i/>
          <w:iCs/>
          <w:sz w:val="20"/>
          <w:szCs w:val="20"/>
        </w:rPr>
        <w:t>Violations at State level.</w:t>
      </w:r>
      <w:r w:rsidRPr="007A7850">
        <w:rPr>
          <w:rFonts w:ascii="Times" w:hAnsi="Times" w:cs="Times New Roman"/>
          <w:sz w:val="20"/>
          <w:szCs w:val="20"/>
        </w:rPr>
        <w:t xml:space="preserve"> Where the Director has determined that a violation of the nondiscrimination and equal opportunity provisions of WIA or this part has occurred at the State level, he or she must notify the Governor through the issuance of a Letter of Findings, Notice to Show Cause or Initial Determination, as appropriate, under §37.62 or §§37.63, 37.66 and 37.67, or §37.91, respectively. The Director may secure compliance with the nondiscrimination and equal opportunity provisions of WIA and this part through, among other means, the execution of a written assurance and/or Conciliation Agreement, under paragraph (d) of this section.</w:t>
      </w:r>
    </w:p>
    <w:p w14:paraId="3CCE345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 xml:space="preserve">(b) </w:t>
      </w:r>
      <w:r w:rsidRPr="007A7850">
        <w:rPr>
          <w:rFonts w:ascii="Times" w:hAnsi="Times" w:cs="Times New Roman"/>
          <w:i/>
          <w:iCs/>
          <w:sz w:val="20"/>
          <w:szCs w:val="20"/>
        </w:rPr>
        <w:t>Violations below State level.</w:t>
      </w:r>
      <w:r w:rsidRPr="007A7850">
        <w:rPr>
          <w:rFonts w:ascii="Times" w:hAnsi="Times" w:cs="Times New Roman"/>
          <w:sz w:val="20"/>
          <w:szCs w:val="20"/>
        </w:rPr>
        <w:t xml:space="preserve"> Where the Director has determined that a violation of the nondiscrimination and equal opportunity provisions of WIA or this part has occurred below the State level, the Director must so notify the Governor and the violating recipient(s) through the issuance of a Letter of Findings, Notice to Show Cause or Initial Determination, as appropriate, under §37.62 or §§37.63, 37.66 and 37.67, or §37.91, respectively.</w:t>
      </w:r>
    </w:p>
    <w:p w14:paraId="4DBBE46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 Such issuance must:</w:t>
      </w:r>
    </w:p>
    <w:p w14:paraId="3C35E643"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 Direct the Governor to initiate negotiations immediately with the violating recipient(s) to secure compliance by voluntary means;</w:t>
      </w:r>
    </w:p>
    <w:p w14:paraId="7ACF5D92"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(ii) Direct the Governor to complete such negotiations within 30 days of the Governor's receipt of the Notice to Show Cause or within 45 days of the Governor's receipt of the Letter of Findings or Initial Determination, as applicable. The Director reserves the right to enter into negotiations with the recipient at any time during the period. For good cause shown, the Director may approve an extension of time to secure voluntary compliance. The total time allotted to secure voluntary compliance must not exceed 60 days.</w:t>
      </w:r>
    </w:p>
    <w:p w14:paraId="0045A3F4"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(iii) Include a determination as to whether compliance must be achieved by:</w:t>
      </w:r>
    </w:p>
    <w:p w14:paraId="0AAF6923"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Immediate correction of the violation(s) and written assurance that such violations have been corrected, under §37.96;</w:t>
      </w:r>
    </w:p>
    <w:p w14:paraId="06611E9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Entering into a written Conciliation Agreement under §37.97; or</w:t>
      </w:r>
    </w:p>
    <w:p w14:paraId="56E0260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(C) Both.</w:t>
      </w:r>
    </w:p>
    <w:p w14:paraId="70206DB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If the Governor determines, at any time during the period described in paragraph (b)(1)(ii) of this section, that a recipient's compliance cannot be achieved by voluntary means, the Governor must so notify the Director.</w:t>
      </w:r>
    </w:p>
    <w:p w14:paraId="271D996A"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(3) If the Governor is able to secure voluntary compliance under paragraph (b)(1) of this section, he or she must submit to the Director for approval, as applicable:</w:t>
      </w:r>
    </w:p>
    <w:p w14:paraId="35933746"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 Written assurance that the required action has been taken, as described in §37.96;</w:t>
      </w:r>
    </w:p>
    <w:p w14:paraId="6BBC4202"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(ii) A copy of the Conciliation Agreement, as described in §37.97; or</w:t>
      </w:r>
    </w:p>
    <w:p w14:paraId="303D2ECE"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(iii) Both.</w:t>
      </w:r>
    </w:p>
    <w:p w14:paraId="363953DA"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lastRenderedPageBreak/>
        <w:t>(4) The Director may disapprove any written assurance or Conciliation Agreement submitted for approval under paragraph (b)(3) of this section that fails to satisfy each of the applicable requirements provided in §37.96 or §37.97.</w:t>
      </w:r>
    </w:p>
    <w:p w14:paraId="5052A2D1"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 xml:space="preserve">(c) </w:t>
      </w:r>
      <w:r w:rsidRPr="007A7850">
        <w:rPr>
          <w:rFonts w:ascii="Times" w:hAnsi="Times" w:cs="Times New Roman"/>
          <w:i/>
          <w:iCs/>
          <w:sz w:val="20"/>
          <w:szCs w:val="20"/>
        </w:rPr>
        <w:t>Violations in National Programs.</w:t>
      </w:r>
      <w:r w:rsidRPr="007A7850">
        <w:rPr>
          <w:rFonts w:ascii="Times" w:hAnsi="Times" w:cs="Times New Roman"/>
          <w:sz w:val="20"/>
          <w:szCs w:val="20"/>
        </w:rPr>
        <w:t xml:space="preserve"> Where the Director has determined that a violation of the nondiscrimination and equal opportunity provisions of WIA or this part has occurred in a National Program, he or she must notify the Federal grantmaking agency and the recipient by issuing a Letter of Findings, Notice to Show Cause, or Initial Determination, as appropriate, under §37.62 or §§37.63, 37.66 and 37.67, or §37.91, respectively. The Director may secure compliance with the nondiscrimination and equal opportunity provisions of WIA and this part through, among other means, the execution of a written assurance and/or Conciliation Agreement under §37.96 or §37.97, as applicable.</w:t>
      </w:r>
    </w:p>
    <w:p w14:paraId="0D3D16DA"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89" w:name="29:1.1.1.1.31.4.58.37"/>
      <w:bookmarkEnd w:id="89"/>
      <w:r w:rsidRPr="007A7850">
        <w:rPr>
          <w:rFonts w:ascii="Times" w:eastAsia="Times New Roman" w:hAnsi="Times" w:cs="Times New Roman"/>
          <w:bCs/>
          <w:sz w:val="20"/>
          <w:szCs w:val="20"/>
        </w:rPr>
        <w:t>§37.96   What are the required elements of a written assurance?</w:t>
      </w:r>
    </w:p>
    <w:p w14:paraId="7BA26463"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written assurance must provide documentation that the violations listed in the Letter of Findings, Notice to Show Cause or Initial Determination, as applicable, have been corrected.</w:t>
      </w:r>
    </w:p>
    <w:p w14:paraId="1FF216D7"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90" w:name="29:1.1.1.1.31.4.58.38"/>
      <w:bookmarkEnd w:id="90"/>
      <w:r w:rsidRPr="007A7850">
        <w:rPr>
          <w:rFonts w:ascii="Times" w:eastAsia="Times New Roman" w:hAnsi="Times" w:cs="Times New Roman"/>
          <w:bCs/>
          <w:sz w:val="20"/>
          <w:szCs w:val="20"/>
        </w:rPr>
        <w:t>§37.97   What are the required elements of a Conciliation Agreement?</w:t>
      </w:r>
    </w:p>
    <w:p w14:paraId="2562E6B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Conciliation Agreement must:</w:t>
      </w:r>
    </w:p>
    <w:p w14:paraId="5E3A8FB7"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Be in writing;</w:t>
      </w:r>
    </w:p>
    <w:p w14:paraId="07A83C0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Address each cited violation;</w:t>
      </w:r>
    </w:p>
    <w:p w14:paraId="5C134BCE"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(c) Specify the corrective or remedial action to be taken within a stated period of time to come into compliance;</w:t>
      </w:r>
    </w:p>
    <w:p w14:paraId="6B4FFC51"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(d) Provide for periodic reporting on the status of the corrective and remedial action;</w:t>
      </w:r>
    </w:p>
    <w:p w14:paraId="768FB180"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(e) Provide that the violation(s) will not recur; and</w:t>
      </w:r>
    </w:p>
    <w:p w14:paraId="019961EE"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(f) Provide for enforcement for a breach of the agreement.</w:t>
      </w:r>
    </w:p>
    <w:p w14:paraId="744EA69F"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91" w:name="29:1.1.1.1.31.4.58.39"/>
      <w:bookmarkEnd w:id="91"/>
      <w:r w:rsidRPr="007A7850">
        <w:rPr>
          <w:rFonts w:ascii="Times" w:eastAsia="Times New Roman" w:hAnsi="Times" w:cs="Times New Roman"/>
          <w:bCs/>
          <w:sz w:val="20"/>
          <w:szCs w:val="20"/>
        </w:rPr>
        <w:t>§37.98   When will the Director conclude that compliance cannot be secured by voluntary means?</w:t>
      </w:r>
    </w:p>
    <w:p w14:paraId="085B26B0"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The Director will conclude that compliance cannot be secured by voluntary means under the following circumstances:</w:t>
      </w:r>
    </w:p>
    <w:p w14:paraId="2BE7F5C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The grant applicant or recipient fails or refuses to correct the violation(s) within the time period established by the Letter of Findings, Notice to Show Cause or Initial Determination; or</w:t>
      </w:r>
    </w:p>
    <w:p w14:paraId="7CCD4E00"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The Director has not approved an extension of time for agreement on voluntary compliance, under §37.95(b)(1)(ii), and he or she either:</w:t>
      </w:r>
    </w:p>
    <w:p w14:paraId="6B364D5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 Has not been notified, under §37.95(b)(3), that the grant applicant or recipient has agreed to voluntary compliance;</w:t>
      </w:r>
    </w:p>
    <w:p w14:paraId="1D42A9E6"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Has disapproved a written assurance or Conciliation Agreement, under §37.95(b)(4); or</w:t>
      </w:r>
    </w:p>
    <w:p w14:paraId="217CB08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(3) Has received notice from the Governor, under §37.95(b)(2), that the grant applicant or recipient will not comply voluntarily.</w:t>
      </w:r>
    </w:p>
    <w:p w14:paraId="478DDC73"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92" w:name="29:1.1.1.1.31.4.58.40"/>
      <w:bookmarkEnd w:id="92"/>
      <w:r w:rsidRPr="007A7850">
        <w:rPr>
          <w:rFonts w:ascii="Times" w:eastAsia="Times New Roman" w:hAnsi="Times" w:cs="Times New Roman"/>
          <w:bCs/>
          <w:sz w:val="20"/>
          <w:szCs w:val="20"/>
        </w:rPr>
        <w:lastRenderedPageBreak/>
        <w:t>§37.99   If the Director concludes that compliance cannot be secured by voluntary means, what actions must he or she take?</w:t>
      </w:r>
    </w:p>
    <w:p w14:paraId="284F0FB4"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If the Director concludes that compliance cannot be secured by voluntary means, he or she must either:</w:t>
      </w:r>
    </w:p>
    <w:p w14:paraId="7C1A43C1"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Issue a Final Determination;</w:t>
      </w:r>
    </w:p>
    <w:p w14:paraId="16A63B60"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Refer the matter to the Attorney General with a recommendation that an appropriate civil action be instituted; or</w:t>
      </w:r>
    </w:p>
    <w:p w14:paraId="024099E3"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(c) Take such other action as may be provided by law.</w:t>
      </w:r>
    </w:p>
    <w:p w14:paraId="035C3BF0"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93" w:name="29:1.1.1.1.31.4.58.41"/>
      <w:bookmarkEnd w:id="93"/>
      <w:r w:rsidRPr="007A7850">
        <w:rPr>
          <w:rFonts w:ascii="Times" w:eastAsia="Times New Roman" w:hAnsi="Times" w:cs="Times New Roman"/>
          <w:bCs/>
          <w:sz w:val="20"/>
          <w:szCs w:val="20"/>
        </w:rPr>
        <w:t>§37.100   What information must a Final Determination contain?</w:t>
      </w:r>
    </w:p>
    <w:p w14:paraId="04740896"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Final Determination must contain the following information:</w:t>
      </w:r>
    </w:p>
    <w:p w14:paraId="727A14E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A statement of the efforts made to achieve voluntary compliance, and a statement that those efforts have been unsuccessful;</w:t>
      </w:r>
    </w:p>
    <w:p w14:paraId="50810297"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A statement of those matters upon which the grant applicant or recipient and CRC continue to disagree;</w:t>
      </w:r>
    </w:p>
    <w:p w14:paraId="004D4CFA"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(c) A list of any modifications to the findings of fact or conclusions that were set forth in the Initial Determination, Notice to Show Cause or Letter of Findings;</w:t>
      </w:r>
    </w:p>
    <w:p w14:paraId="308EB870"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(d) A statement of the grant applicant's or recipient's liability, and, if appropriate, the extent of that liability;</w:t>
      </w:r>
    </w:p>
    <w:p w14:paraId="6E465B3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(e) A description of the corrective or remedial actions that the grant applicant or recipient must take to come into compliance;</w:t>
      </w:r>
    </w:p>
    <w:p w14:paraId="1C25E329"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(f) A notice that if the grant applicant or recipient fails to come into compliance within 10 days of the date on which it receives the Final Determination, one or more of the following consequences may result:</w:t>
      </w:r>
    </w:p>
    <w:p w14:paraId="74886CB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 After the grant applicant or recipient is given the opportunity for a hearing, its WIA Title I funds may be terminated, discontinued, or withheld in whole or in part, or its application for such funds may be denied, as appropriate;</w:t>
      </w:r>
    </w:p>
    <w:p w14:paraId="30C08E7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The Secretary of Labor may refer the case to the Department of Justice with a request to file suit against the grant applicant or recipient; or</w:t>
      </w:r>
    </w:p>
    <w:p w14:paraId="662726C0"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(3) the Secretary may take any other action against the grant applicant or recipient that is provided by law;</w:t>
      </w:r>
    </w:p>
    <w:p w14:paraId="07068FA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(g) A notice of the grant applicant's or recipient's right to request a hearing under the procedures described in §§37.112 through 37.115; and</w:t>
      </w:r>
    </w:p>
    <w:p w14:paraId="21C2F0B0"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(h) A determination of the Governor's liability, if any, under §37.52.</w:t>
      </w:r>
    </w:p>
    <w:p w14:paraId="4E9847AF"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94" w:name="29:1.1.1.1.31.4.58.42"/>
      <w:bookmarkEnd w:id="94"/>
      <w:r w:rsidRPr="007A7850">
        <w:rPr>
          <w:rFonts w:ascii="Times" w:eastAsia="Times New Roman" w:hAnsi="Times" w:cs="Times New Roman"/>
          <w:bCs/>
          <w:sz w:val="20"/>
          <w:szCs w:val="20"/>
        </w:rPr>
        <w:t>§37.101   Whom must the Director notify of a finding of noncompliance?</w:t>
      </w:r>
    </w:p>
    <w:p w14:paraId="4302E3C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Where a compliance review or complaint investigation results in a finding of noncompliance, the Director must notify:</w:t>
      </w:r>
    </w:p>
    <w:p w14:paraId="60EA50DE"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The grant applicant or recipient;</w:t>
      </w:r>
    </w:p>
    <w:p w14:paraId="182D383B"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lastRenderedPageBreak/>
        <w:t>(b) The grantmaking agency; and</w:t>
      </w:r>
    </w:p>
    <w:p w14:paraId="19D2F246"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(c) Tthe Assistant Attorney General.</w:t>
      </w:r>
    </w:p>
    <w:p w14:paraId="4CA51BCE" w14:textId="77777777" w:rsidR="00B930B1" w:rsidRPr="007A7850" w:rsidRDefault="00B930B1" w:rsidP="00B930B1">
      <w:pPr>
        <w:spacing w:before="100" w:beforeAutospacing="1" w:after="100" w:afterAutospacing="1"/>
        <w:outlineLvl w:val="0"/>
        <w:rPr>
          <w:rFonts w:ascii="Times" w:eastAsia="Times New Roman" w:hAnsi="Times" w:cs="Times New Roman"/>
          <w:bCs/>
          <w:kern w:val="36"/>
          <w:sz w:val="20"/>
          <w:szCs w:val="20"/>
        </w:rPr>
      </w:pPr>
      <w:r w:rsidRPr="007A7850">
        <w:rPr>
          <w:rFonts w:ascii="Times" w:eastAsia="Times New Roman" w:hAnsi="Times" w:cs="Times New Roman"/>
          <w:bCs/>
          <w:kern w:val="36"/>
          <w:sz w:val="20"/>
          <w:szCs w:val="20"/>
        </w:rPr>
        <w:t>Breaches of Conciliation Agreements</w:t>
      </w:r>
    </w:p>
    <w:p w14:paraId="75288666"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95" w:name="29:1.1.1.1.31.4.58.43"/>
      <w:bookmarkEnd w:id="95"/>
      <w:r w:rsidRPr="007A7850">
        <w:rPr>
          <w:rFonts w:ascii="Times" w:eastAsia="Times New Roman" w:hAnsi="Times" w:cs="Times New Roman"/>
          <w:bCs/>
          <w:sz w:val="20"/>
          <w:szCs w:val="20"/>
        </w:rPr>
        <w:t>§37.102   What happens if a grant applicant or recipient breaches a Conciliation Agreement?</w:t>
      </w:r>
    </w:p>
    <w:p w14:paraId="2EB8EBB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When it becomes known to the Director that a Conciliation Agreement has been breached, the Director may issue a Notification of Breach of Conciliation Agreement.</w:t>
      </w:r>
    </w:p>
    <w:p w14:paraId="0737C4A5"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96" w:name="29:1.1.1.1.31.4.58.44"/>
      <w:bookmarkEnd w:id="96"/>
      <w:r w:rsidRPr="007A7850">
        <w:rPr>
          <w:rFonts w:ascii="Times" w:eastAsia="Times New Roman" w:hAnsi="Times" w:cs="Times New Roman"/>
          <w:bCs/>
          <w:sz w:val="20"/>
          <w:szCs w:val="20"/>
        </w:rPr>
        <w:t>§37.103   Whom must the Director notify about a breach of a Conciliation Agreement?</w:t>
      </w:r>
    </w:p>
    <w:p w14:paraId="017F966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The Director must send a Notification of Breach of Conciliation Agreement to the Governor, the grantmaking agency, and/or other party(ies) to the Conciliation Agreement, as applicable.</w:t>
      </w:r>
    </w:p>
    <w:p w14:paraId="16B9CA8F"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97" w:name="29:1.1.1.1.31.4.58.45"/>
      <w:bookmarkEnd w:id="97"/>
      <w:r w:rsidRPr="007A7850">
        <w:rPr>
          <w:rFonts w:ascii="Times" w:eastAsia="Times New Roman" w:hAnsi="Times" w:cs="Times New Roman"/>
          <w:bCs/>
          <w:sz w:val="20"/>
          <w:szCs w:val="20"/>
        </w:rPr>
        <w:t>§37.104   What information must a Notification of Breach of Conciliation Agreement contain?</w:t>
      </w:r>
    </w:p>
    <w:p w14:paraId="709C7AF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Notification of Breach of Conciliation Agreement must:</w:t>
      </w:r>
    </w:p>
    <w:p w14:paraId="3E25F863"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Specify any efforts made to achieve voluntary compliance, and indicate that those efforts have been unsuccessful;</w:t>
      </w:r>
    </w:p>
    <w:p w14:paraId="51B6B512"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Identify the specific provisions of the Conciliation Agreement violated;</w:t>
      </w:r>
    </w:p>
    <w:p w14:paraId="694D5BD6"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(c) Determine liability for the violation and the extent of the liability;</w:t>
      </w:r>
    </w:p>
    <w:p w14:paraId="57C91AF3"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(d) Indicate that failure of the violating party to come into compliance within 10 days of the receipt of the Notification of Breach of Conciliation Agreement may result, after opportunity for a hearing, in the termination or denial of the grant, or discontinuation of assistance, as appropriate, or in referral to the Department of Justice with a request from the Department to file suit;</w:t>
      </w:r>
    </w:p>
    <w:p w14:paraId="591BBFEE"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(e) Advise the violating party of the right to request a hearing, and reference the applicable procedures in §37.111; and</w:t>
      </w:r>
    </w:p>
    <w:p w14:paraId="189EFDA2"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(f) Include a determination as to the Governor's liability, if any, in accordance with the provisions of §37.52.</w:t>
      </w:r>
    </w:p>
    <w:p w14:paraId="2674E01B"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98" w:name="29:1.1.1.1.31.4.58.46"/>
      <w:bookmarkEnd w:id="98"/>
      <w:r w:rsidRPr="007A7850">
        <w:rPr>
          <w:rFonts w:ascii="Times" w:eastAsia="Times New Roman" w:hAnsi="Times" w:cs="Times New Roman"/>
          <w:bCs/>
          <w:sz w:val="20"/>
          <w:szCs w:val="20"/>
        </w:rPr>
        <w:t>§37.105   Whom must the Director notify if enforcement action under a Notification of Breach of Conciliation Agreement is commenced?</w:t>
      </w:r>
    </w:p>
    <w:p w14:paraId="6CC644B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In such circumstances, the Director must notify:</w:t>
      </w:r>
    </w:p>
    <w:p w14:paraId="0D48448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The grantmaking agency; and</w:t>
      </w:r>
    </w:p>
    <w:p w14:paraId="2879D3A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The Governor, recipient or grant applicant, as applicable.</w:t>
      </w:r>
    </w:p>
    <w:p w14:paraId="64BA4526"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99" w:name="29:1.1.1.1.31.5"/>
      <w:bookmarkEnd w:id="99"/>
      <w:r w:rsidRPr="007A7850">
        <w:rPr>
          <w:rFonts w:ascii="Times" w:eastAsia="Times New Roman" w:hAnsi="Times" w:cs="Times New Roman"/>
          <w:bCs/>
          <w:sz w:val="20"/>
          <w:szCs w:val="20"/>
        </w:rPr>
        <w:t>Subpart E—Federal Procedures For Effecting Compliance</w:t>
      </w:r>
    </w:p>
    <w:p w14:paraId="58FBB093"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100" w:name="29:1.1.1.1.31.5.58.1"/>
      <w:bookmarkEnd w:id="100"/>
      <w:r w:rsidRPr="007A7850">
        <w:rPr>
          <w:rFonts w:ascii="Times" w:eastAsia="Times New Roman" w:hAnsi="Times" w:cs="Times New Roman"/>
          <w:bCs/>
          <w:sz w:val="20"/>
          <w:szCs w:val="20"/>
        </w:rPr>
        <w:t>§37.110   What enforcement procedures does the Department follow to effect compliance with the nondiscrimination and equal opportunity provisions of WIA and this part?</w:t>
      </w:r>
    </w:p>
    <w:p w14:paraId="4AB1D536"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lastRenderedPageBreak/>
        <w:t xml:space="preserve">(a) </w:t>
      </w:r>
      <w:r w:rsidRPr="007A7850">
        <w:rPr>
          <w:rFonts w:ascii="Times" w:hAnsi="Times" w:cs="Times New Roman"/>
          <w:i/>
          <w:iCs/>
          <w:sz w:val="20"/>
          <w:szCs w:val="20"/>
        </w:rPr>
        <w:t>Sanctions; judicial enforcement.</w:t>
      </w:r>
      <w:r w:rsidRPr="007A7850">
        <w:rPr>
          <w:rFonts w:ascii="Times" w:hAnsi="Times" w:cs="Times New Roman"/>
          <w:sz w:val="20"/>
          <w:szCs w:val="20"/>
        </w:rPr>
        <w:t xml:space="preserve"> If compliance has not been achieved after issuance of a Final Determination under §§37.99 and 37.100, or a Notification of Breach of Conciliation Agreement under §§37.102 through 37.105, the Secretary may:</w:t>
      </w:r>
    </w:p>
    <w:p w14:paraId="234D625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 After opportunity for a hearing, suspend, terminate, deny or discontinue the WIA Title I financial assistance, in whole or in part;</w:t>
      </w:r>
    </w:p>
    <w:p w14:paraId="6AC288C2"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Refer the matter to the Attorney General with a recommendation that an appropriate civil action be instituted; or</w:t>
      </w:r>
    </w:p>
    <w:p w14:paraId="44055C8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(3) Take such action as may be provided by law.</w:t>
      </w:r>
    </w:p>
    <w:p w14:paraId="1CBCAAE0"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 xml:space="preserve">(b) </w:t>
      </w:r>
      <w:r w:rsidRPr="007A7850">
        <w:rPr>
          <w:rFonts w:ascii="Times" w:hAnsi="Times" w:cs="Times New Roman"/>
          <w:i/>
          <w:iCs/>
          <w:sz w:val="20"/>
          <w:szCs w:val="20"/>
        </w:rPr>
        <w:t>Deferral of new grants.</w:t>
      </w:r>
      <w:r w:rsidRPr="007A7850">
        <w:rPr>
          <w:rFonts w:ascii="Times" w:hAnsi="Times" w:cs="Times New Roman"/>
          <w:sz w:val="20"/>
          <w:szCs w:val="20"/>
        </w:rPr>
        <w:t xml:space="preserve"> When proceedings under §37.111 have been initiated against a particular recipient, the Department may defer action on that recipient's applications for new WIA Title I financial assistance until a Final Decision under §37.112 has been rendered. Deferral is not appropriate when WIA Title I financial assistance is due and payable under a previously approved application.</w:t>
      </w:r>
    </w:p>
    <w:p w14:paraId="0CF40D73"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 New WIA Title I financial assistance includes all assistance for which an application or approval, including renewal or continuation of existing activities, or authorization of new activities, is required during the deferral period.</w:t>
      </w:r>
    </w:p>
    <w:p w14:paraId="09B49F7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New WIA Title I financial assistance does not include assistance approved before the beginning of proceedings under §37.111, or increases in funding as a result of changed computations of formula awards.</w:t>
      </w:r>
    </w:p>
    <w:p w14:paraId="7157466A"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101" w:name="29:1.1.1.1.31.5.58.2"/>
      <w:bookmarkEnd w:id="101"/>
      <w:r w:rsidRPr="007A7850">
        <w:rPr>
          <w:rFonts w:ascii="Times" w:eastAsia="Times New Roman" w:hAnsi="Times" w:cs="Times New Roman"/>
          <w:bCs/>
          <w:sz w:val="20"/>
          <w:szCs w:val="20"/>
        </w:rPr>
        <w:t>§37.111   What hearing procedures does the Department follow?</w:t>
      </w:r>
    </w:p>
    <w:p w14:paraId="3C353FB4"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 xml:space="preserve">(a) </w:t>
      </w:r>
      <w:r w:rsidRPr="007A7850">
        <w:rPr>
          <w:rFonts w:ascii="Times" w:hAnsi="Times" w:cs="Times New Roman"/>
          <w:i/>
          <w:iCs/>
          <w:sz w:val="20"/>
          <w:szCs w:val="20"/>
        </w:rPr>
        <w:t>Notice of opportunity for hearing.</w:t>
      </w:r>
      <w:r w:rsidRPr="007A7850">
        <w:rPr>
          <w:rFonts w:ascii="Times" w:hAnsi="Times" w:cs="Times New Roman"/>
          <w:sz w:val="20"/>
          <w:szCs w:val="20"/>
        </w:rPr>
        <w:t xml:space="preserve"> As part of a Final Determination, or a Notification of Breach of a Conciliation Agreement, the Director must include, and serve on the grant applicant or recipient (by certified mail, return receipt requested), a notice of opportunity for hearing.</w:t>
      </w:r>
    </w:p>
    <w:p w14:paraId="61D9A52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 xml:space="preserve">(b) </w:t>
      </w:r>
      <w:r w:rsidRPr="007A7850">
        <w:rPr>
          <w:rFonts w:ascii="Times" w:hAnsi="Times" w:cs="Times New Roman"/>
          <w:i/>
          <w:iCs/>
          <w:sz w:val="20"/>
          <w:szCs w:val="20"/>
        </w:rPr>
        <w:t>Complaint; request for hearing; answer.</w:t>
      </w:r>
      <w:r w:rsidRPr="007A7850">
        <w:rPr>
          <w:rFonts w:ascii="Times" w:hAnsi="Times" w:cs="Times New Roman"/>
          <w:sz w:val="20"/>
          <w:szCs w:val="20"/>
        </w:rPr>
        <w:t xml:space="preserve"> (1) In the case of noncompliance that cannot be voluntarily resolved, the Final Determination or Notification of Breach of Conciliation Agreement is considered the Department's formal complaint.</w:t>
      </w:r>
    </w:p>
    <w:p w14:paraId="75A16497"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To request a hearing, the grant applicant or recipient must file a written answer to the Final Determination or Notification of Breach of Conciliation Agreement, and a copy of the Final Determination or Notification of Breach of Conciliation Agreement, with the Office of the Administrative Law Judges, 800 K Street N.W., Suite 400, Washington, DC 20001.</w:t>
      </w:r>
    </w:p>
    <w:p w14:paraId="4B9CE120"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 The answer must be filed within 30 days of the date of receipt of the Final Determination or Notification of Breach of Conciliation Agreement.</w:t>
      </w:r>
    </w:p>
    <w:p w14:paraId="5C75749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(ii) A request for hearing must be set forth in a separate paragraph of the answer.</w:t>
      </w:r>
    </w:p>
    <w:p w14:paraId="2106E19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(iii) The answer must specifically admit or deny each finding of fact in the Final Determination or Notification of Breach of Conciliation Agreement. Where the grant applicant or recipient does not have knowledge or information sufficient to form a belief, the answer may so state and the statement will have the effect of a denial. Findings of fact not denied are considered admitted. The answer must separately state and identify matters alleged as affirmative defenses, and must also set forth the matters of fact and law relied on by the grant applicant or recipient.</w:t>
      </w:r>
    </w:p>
    <w:p w14:paraId="2009D0DA"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lastRenderedPageBreak/>
        <w:t>(3) The grant applicant or recipient must simultaneously serve a copy of its filing on the Office of the Solicitor, Civil Rights Division, Room N-2464, U.S. Department of Labor, 200 Constitution Avenue N.W., Washington DC 20210.</w:t>
      </w:r>
    </w:p>
    <w:p w14:paraId="339DF0F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(4) (i) The failure of a grant applicant or recipient to request a hearing under this paragraph, or to appear at a hearing for which a date has been set, waives the right to a hearing; and</w:t>
      </w:r>
    </w:p>
    <w:p w14:paraId="4D332A26"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 xml:space="preserve">(ii) Whenever a hearing is waived, all allegations of fact contained in the Final Determination or Notification of Breach of Conciliation Agreement are considered admitted, and the Final Determination or Notification of Breach of Conciliation Agreement becomes the Final Decision of the Secretary as of the day following the last date by which the grant applicant or recipient was required to request a hearing or was to appear at a hearing. </w:t>
      </w:r>
      <w:r w:rsidRPr="007A7850">
        <w:rPr>
          <w:rFonts w:ascii="Times" w:hAnsi="Times" w:cs="Times New Roman"/>
          <w:i/>
          <w:iCs/>
          <w:sz w:val="20"/>
          <w:szCs w:val="20"/>
        </w:rPr>
        <w:t>See</w:t>
      </w:r>
      <w:r w:rsidRPr="007A7850">
        <w:rPr>
          <w:rFonts w:ascii="Times" w:hAnsi="Times" w:cs="Times New Roman"/>
          <w:sz w:val="20"/>
          <w:szCs w:val="20"/>
        </w:rPr>
        <w:t xml:space="preserve"> §37.112(b)(3).</w:t>
      </w:r>
    </w:p>
    <w:p w14:paraId="3EE4C08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 xml:space="preserve">(c) </w:t>
      </w:r>
      <w:r w:rsidRPr="007A7850">
        <w:rPr>
          <w:rFonts w:ascii="Times" w:hAnsi="Times" w:cs="Times New Roman"/>
          <w:i/>
          <w:iCs/>
          <w:sz w:val="20"/>
          <w:szCs w:val="20"/>
        </w:rPr>
        <w:t>Time and place of hearing.</w:t>
      </w:r>
      <w:r w:rsidRPr="007A7850">
        <w:rPr>
          <w:rFonts w:ascii="Times" w:hAnsi="Times" w:cs="Times New Roman"/>
          <w:sz w:val="20"/>
          <w:szCs w:val="20"/>
        </w:rPr>
        <w:t xml:space="preserve"> Hearings will be held at a time and place ordered by the Administrative Law Judge upon reasonable notice to all parties and, as appropriate, the complainant. In selecting a place for the hearing, due regard must be given to the convenience of the parties, their counsel, and witnesses, if any.</w:t>
      </w:r>
    </w:p>
    <w:p w14:paraId="68BAFB3E"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 xml:space="preserve">(d) </w:t>
      </w:r>
      <w:r w:rsidRPr="007A7850">
        <w:rPr>
          <w:rFonts w:ascii="Times" w:hAnsi="Times" w:cs="Times New Roman"/>
          <w:i/>
          <w:iCs/>
          <w:sz w:val="20"/>
          <w:szCs w:val="20"/>
        </w:rPr>
        <w:t>Judicial process; evidence.</w:t>
      </w:r>
      <w:r w:rsidRPr="007A7850">
        <w:rPr>
          <w:rFonts w:ascii="Times" w:hAnsi="Times" w:cs="Times New Roman"/>
          <w:sz w:val="20"/>
          <w:szCs w:val="20"/>
        </w:rPr>
        <w:t xml:space="preserve"> (1) The Administrative Law Judge may use judicial process to secure the attendance of witnesses and the production of documents authorized by Section 9 of the Federal Trade Commission Act (15 U.S.C. 49).</w:t>
      </w:r>
    </w:p>
    <w:p w14:paraId="6845718E"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 xml:space="preserve">(2) </w:t>
      </w:r>
      <w:r w:rsidRPr="007A7850">
        <w:rPr>
          <w:rFonts w:ascii="Times" w:hAnsi="Times" w:cs="Times New Roman"/>
          <w:i/>
          <w:iCs/>
          <w:sz w:val="20"/>
          <w:szCs w:val="20"/>
        </w:rPr>
        <w:t>Evidence.</w:t>
      </w:r>
      <w:r w:rsidRPr="007A7850">
        <w:rPr>
          <w:rFonts w:ascii="Times" w:hAnsi="Times" w:cs="Times New Roman"/>
          <w:sz w:val="20"/>
          <w:szCs w:val="20"/>
        </w:rPr>
        <w:t xml:space="preserve"> In any hearing or administrative review conducted under this part, evidentiary matters will be governed by the standards and principles set forth in the Uniform Rules of Evidence issued by the Department of Labor's Office of Administrative Law Judges, 29 CFR part 18.</w:t>
      </w:r>
    </w:p>
    <w:p w14:paraId="4B225457"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102" w:name="29:1.1.1.1.31.5.58.3"/>
      <w:bookmarkEnd w:id="102"/>
      <w:r w:rsidRPr="007A7850">
        <w:rPr>
          <w:rFonts w:ascii="Times" w:eastAsia="Times New Roman" w:hAnsi="Times" w:cs="Times New Roman"/>
          <w:bCs/>
          <w:sz w:val="20"/>
          <w:szCs w:val="20"/>
        </w:rPr>
        <w:t>§37.112   What procedures for initial and final decisions does the Department follow?</w:t>
      </w:r>
    </w:p>
    <w:p w14:paraId="7F0A5BD4"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 xml:space="preserve">(a) </w:t>
      </w:r>
      <w:r w:rsidRPr="007A7850">
        <w:rPr>
          <w:rFonts w:ascii="Times" w:hAnsi="Times" w:cs="Times New Roman"/>
          <w:i/>
          <w:iCs/>
          <w:sz w:val="20"/>
          <w:szCs w:val="20"/>
        </w:rPr>
        <w:t>Initial decision.</w:t>
      </w:r>
      <w:r w:rsidRPr="007A7850">
        <w:rPr>
          <w:rFonts w:ascii="Times" w:hAnsi="Times" w:cs="Times New Roman"/>
          <w:sz w:val="20"/>
          <w:szCs w:val="20"/>
        </w:rPr>
        <w:t xml:space="preserve"> After the hearing, the Administrative Law Judge must issue an initial decision and order, containing findings of fact and conclusions of law. The initial decision and order must be served on all parties by certified mail, return receipt requested.</w:t>
      </w:r>
    </w:p>
    <w:p w14:paraId="4B71C622"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 xml:space="preserve">(b) </w:t>
      </w:r>
      <w:r w:rsidRPr="007A7850">
        <w:rPr>
          <w:rFonts w:ascii="Times" w:hAnsi="Times" w:cs="Times New Roman"/>
          <w:i/>
          <w:iCs/>
          <w:sz w:val="20"/>
          <w:szCs w:val="20"/>
        </w:rPr>
        <w:t>Exceptions; final decision.</w:t>
      </w:r>
      <w:r w:rsidRPr="007A7850">
        <w:rPr>
          <w:rFonts w:ascii="Times" w:hAnsi="Times" w:cs="Times New Roman"/>
          <w:sz w:val="20"/>
          <w:szCs w:val="20"/>
        </w:rPr>
        <w:t xml:space="preserve"> (1) Final decision after a hearing. The initial decision and order becomes the Final Decision and Order of the Secretary unless exceptions are filed by a party or, in the absence of exceptions, the Secretary serves notice that he or she will review the decision.</w:t>
      </w:r>
    </w:p>
    <w:p w14:paraId="66CAD267"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 A party dissatisfied with the initial decision and order may, within 45 days of receipt, file with the Secretary and serve on the other parties to the proceedings and on the Administrative Law Judge, exceptions to the initial decision and order or any part thereof.</w:t>
      </w:r>
    </w:p>
    <w:p w14:paraId="0DF6A146"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(ii) Upon receipt of exceptions, the Administrative Law Judge must index and forward the record and the initial decision and order to the Secretary within three days of such receipt.</w:t>
      </w:r>
    </w:p>
    <w:p w14:paraId="4995A477"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(iii) A party filing exceptions must specifically identify the finding or conclusion to which exception is taken. Any exception not specifically urged is waived.</w:t>
      </w:r>
    </w:p>
    <w:p w14:paraId="0CD33F40"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(iv) Within 45 days of the date of filing such exceptions, a reply, which must be limited to the scope of the exceptions, may be filed and served by any other party to the proceeding.</w:t>
      </w:r>
    </w:p>
    <w:p w14:paraId="1F2E41C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(v) Requests for extensions for the filing of exceptions or replies must be received by the Secretary no later than 3 days before the exceptions or replies are due.</w:t>
      </w:r>
    </w:p>
    <w:p w14:paraId="4C9F6795"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(vi) If no exceptions are filed, the Secretary may, within 30 days of the expiration of the time for filing exceptions, on his or her own motion serve notice on the parties that the Secretary will review the decision.</w:t>
      </w:r>
    </w:p>
    <w:p w14:paraId="1A55A09D"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lastRenderedPageBreak/>
        <w:t xml:space="preserve">(vii) </w:t>
      </w:r>
      <w:r w:rsidRPr="007A7850">
        <w:rPr>
          <w:rFonts w:ascii="Times" w:hAnsi="Times" w:cs="Times New Roman"/>
          <w:i/>
          <w:iCs/>
          <w:sz w:val="20"/>
          <w:szCs w:val="20"/>
        </w:rPr>
        <w:t>Final decision and order.</w:t>
      </w:r>
      <w:r w:rsidRPr="007A7850">
        <w:rPr>
          <w:rFonts w:ascii="Times" w:hAnsi="Times" w:cs="Times New Roman"/>
          <w:sz w:val="20"/>
          <w:szCs w:val="20"/>
        </w:rPr>
        <w:t xml:space="preserve"> (A) Where exceptions have been filed, the initial decision and order of the Administrative Law Judge becomes the Final Decision and Order of the Secretary unless the Secretary, within 30 days of the expiration of the time for filing exceptions and replies, has notified the parties that the case is accepted for review.</w:t>
      </w:r>
    </w:p>
    <w:p w14:paraId="61FF6693"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Where exceptions have not been filed, the initial decision and order of the Administrative Law Judge becomes the Final Decision and Order of the Secretary unless the Secretary has served notice on the parties that he or she will review the decision, as provided in paragraph (b)(1)(vi) of this section.</w:t>
      </w:r>
    </w:p>
    <w:p w14:paraId="1E0EF071"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(viii) Any case reviewed by the Secretary under this paragraph must be decided within 180 days of the notification of such review. If the Secretary fails to issue a Final Decision and Order within the 180-day period, the initial decision and order of the Administrative Law Judge becomes the Final Decision and Order of the Secretary.</w:t>
      </w:r>
    </w:p>
    <w:p w14:paraId="3E2AED20"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Final Decision where a hearing is waived.</w:t>
      </w:r>
    </w:p>
    <w:p w14:paraId="0FD7C8C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 If, after issuance of a Final Determination under §37.100 or Notification of Breach of Conciliation Agreement under §37.104, voluntary compliance has not been achieved within the time set by this part and the opportunity for a hearing has been waived as provided for in §37.111(b)(4), the Final Determination or Notification of Breach of Conciliation Agreement becomes the Final Decision of the Secretary.</w:t>
      </w:r>
    </w:p>
    <w:p w14:paraId="643F5B0E"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(ii) When a Final Determination or Notification of Breach of Conciliation Agreement becomes the Final Decision of the Secretary, the Secretary may, within 45 days, issue an order terminating or denying the grant or continuation of assistance or imposing other appropriate sanctions for the grant applicant or recipient's failure to comply with the required corrective and/or remedial actions, or referring the matter to the Attorney General for further enforcement action.</w:t>
      </w:r>
    </w:p>
    <w:p w14:paraId="6D950837"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 xml:space="preserve">(3) </w:t>
      </w:r>
      <w:r w:rsidRPr="007A7850">
        <w:rPr>
          <w:rFonts w:ascii="Times" w:hAnsi="Times" w:cs="Times New Roman"/>
          <w:i/>
          <w:iCs/>
          <w:sz w:val="20"/>
          <w:szCs w:val="20"/>
        </w:rPr>
        <w:t>Final agency action.</w:t>
      </w:r>
      <w:r w:rsidRPr="007A7850">
        <w:rPr>
          <w:rFonts w:ascii="Times" w:hAnsi="Times" w:cs="Times New Roman"/>
          <w:sz w:val="20"/>
          <w:szCs w:val="20"/>
        </w:rPr>
        <w:t xml:space="preserve"> A Final Decision and Order issued under §37.112(b) constitutes final agency action.</w:t>
      </w:r>
    </w:p>
    <w:p w14:paraId="096927E9"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103" w:name="29:1.1.1.1.31.5.58.4"/>
      <w:bookmarkEnd w:id="103"/>
      <w:r w:rsidRPr="007A7850">
        <w:rPr>
          <w:rFonts w:ascii="Times" w:eastAsia="Times New Roman" w:hAnsi="Times" w:cs="Times New Roman"/>
          <w:bCs/>
          <w:sz w:val="20"/>
          <w:szCs w:val="20"/>
        </w:rPr>
        <w:t>§37.113   What procedure does the Department follow to suspend, terminate, withhold, deny or discontinue WIA Title I financial assistance?</w:t>
      </w:r>
    </w:p>
    <w:p w14:paraId="222CC7E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Any action to suspend, terminate, deny or discontinue WIA Title I financial assistance must be limited to the particular political entity, or part thereof, or other recipient (or grant applicant) as to which the finding has been made, and must be limited in its effect to the particular program, or part thereof, in which the noncompliance has been found. No order suspending, terminating, denying or discontinuing WIA Title I financial assistance will become effective until:</w:t>
      </w:r>
    </w:p>
    <w:p w14:paraId="2AFE7E01"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The Director has issued a Final Determination under §37.100 or Notification of Breach of Conciliation Agreement under §37.104;</w:t>
      </w:r>
    </w:p>
    <w:p w14:paraId="0034BAF8"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There has been an express finding on the record, after opportunity for a hearing, of failure by the grant applicant or recipient to comply with a requirement imposed by or under the nondiscrimination and equal opportunity provisions of WIA or this part;</w:t>
      </w:r>
    </w:p>
    <w:p w14:paraId="01F55DF7"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(c) A Final Decision has been issued by the Secretary, the Administrative Law Judge's decision and order has become the Final Decision of the Secretary, or the Final Determination or Notification of Conciliation Agreement has been deemed the Final Decision of the Secretary, under §37.112(b); and</w:t>
      </w:r>
    </w:p>
    <w:p w14:paraId="3D22841B"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(d) The expiration of 30 days after the Secretary has filed, with the committees of Congress having legislative jurisdiction over the program involved, a full written report of the circumstances and grounds for such action.</w:t>
      </w:r>
    </w:p>
    <w:p w14:paraId="7032CA93"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104" w:name="29:1.1.1.1.31.5.58.5"/>
      <w:bookmarkEnd w:id="104"/>
      <w:r w:rsidRPr="007A7850">
        <w:rPr>
          <w:rFonts w:ascii="Times" w:eastAsia="Times New Roman" w:hAnsi="Times" w:cs="Times New Roman"/>
          <w:bCs/>
          <w:sz w:val="20"/>
          <w:szCs w:val="20"/>
        </w:rPr>
        <w:lastRenderedPageBreak/>
        <w:t>§37.114   What procedure does the Department follow to distribute WIA Title I financial assistance to an alternate recipient?</w:t>
      </w:r>
    </w:p>
    <w:p w14:paraId="67924DF4"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When the Department withholds funds from a recipient or grant applicant under these regulations, the Secretary may disburse the withheld funds directly to an alternate recipient. In such case, the Secretary will require any alternate recipient to demonstrate:</w:t>
      </w:r>
    </w:p>
    <w:p w14:paraId="72C580D9"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The ability to comply with these regulations; and</w:t>
      </w:r>
    </w:p>
    <w:p w14:paraId="1DED04AA"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The ability to achieve the goals of the nondiscrimination and equal opportunity provisions of WIA.</w:t>
      </w:r>
    </w:p>
    <w:p w14:paraId="28D89CBD" w14:textId="77777777" w:rsidR="00B930B1" w:rsidRPr="007A7850" w:rsidRDefault="00B930B1" w:rsidP="00B930B1">
      <w:pPr>
        <w:spacing w:before="100" w:beforeAutospacing="1" w:after="100" w:afterAutospacing="1"/>
        <w:outlineLvl w:val="1"/>
        <w:rPr>
          <w:rFonts w:ascii="Times" w:eastAsia="Times New Roman" w:hAnsi="Times" w:cs="Times New Roman"/>
          <w:bCs/>
          <w:sz w:val="20"/>
          <w:szCs w:val="20"/>
        </w:rPr>
      </w:pPr>
      <w:bookmarkStart w:id="105" w:name="29:1.1.1.1.31.5.58.6"/>
      <w:bookmarkEnd w:id="105"/>
      <w:r w:rsidRPr="007A7850">
        <w:rPr>
          <w:rFonts w:ascii="Times" w:eastAsia="Times New Roman" w:hAnsi="Times" w:cs="Times New Roman"/>
          <w:bCs/>
          <w:sz w:val="20"/>
          <w:szCs w:val="20"/>
        </w:rPr>
        <w:t>§37.115   What procedures does the Department follow for post-termination proceedings?</w:t>
      </w:r>
    </w:p>
    <w:p w14:paraId="1901D43B"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(a) A grant applicant or recipient adversely affected by a Final Decision and Order issued under §37.112(b) will be restored, where appropriate, to full eligibility to receive WIA Title I financial assistance if the grant applicant or recipient satisfies the terms and conditions of the Final Decision and Order and brings itself into compliance with the nondiscrimination and equal opportunity provisions of WIA and this part.</w:t>
      </w:r>
    </w:p>
    <w:p w14:paraId="76379F8A"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(b) A grant applicant or recipient adversely affected by a Final Decision and Order issued under §37.112(b) may at any time petition the Director to restore its eligibility to receive WIA Title I financial assistance. A copy of the petition must be served on the parties to the original proceeding that led to the Final Decision and Order. The petition must be supported by information showing the actions taken by the grant applicant or recipient to bring itself into compliance. The grant applicant or recipient has the burden of demonstrating that it has satisfied the requirements of paragraph (a) of this section. While proceedings under this section are pending, sanctions imposed by the Final Decision and Order under §37.112(b) (1) and (2) must remain in effect.</w:t>
      </w:r>
    </w:p>
    <w:p w14:paraId="4EF0759B"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(c) The Director must issue a written decision on the petition for restoration.</w:t>
      </w:r>
    </w:p>
    <w:p w14:paraId="79DC9A8A"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(1) If the Director determines that the grant applicant or recipient has not brought itself into compliance, he or she must issue a decision denying the petition.</w:t>
      </w:r>
    </w:p>
    <w:p w14:paraId="1F219B2B"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(2) Within 30 days of its receipt of the Director's decision, the recipient or grant applicant may file a petition for review of the decision by the Secretary, setting forth the grounds for its objection to the Director's decision.</w:t>
      </w:r>
    </w:p>
    <w:p w14:paraId="674A7DFC"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(3) The petition must be served on the Director and on the Office of the Solicitor, Civil Rights Division.</w:t>
      </w:r>
    </w:p>
    <w:p w14:paraId="2FD023AF"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(4) The Director may file a response to the petition within 14 days.</w:t>
      </w:r>
    </w:p>
    <w:p w14:paraId="5EF5C312" w14:textId="77777777" w:rsidR="00B930B1" w:rsidRPr="007A7850" w:rsidRDefault="00B930B1" w:rsidP="00B930B1">
      <w:pPr>
        <w:spacing w:before="100" w:beforeAutospacing="1" w:after="100" w:afterAutospacing="1"/>
        <w:rPr>
          <w:rFonts w:ascii="Times" w:hAnsi="Times" w:cs="Times New Roman"/>
          <w:sz w:val="20"/>
          <w:szCs w:val="20"/>
        </w:rPr>
      </w:pPr>
      <w:r w:rsidRPr="007A7850">
        <w:rPr>
          <w:rFonts w:ascii="Times" w:hAnsi="Times" w:cs="Times New Roman"/>
          <w:sz w:val="20"/>
          <w:szCs w:val="20"/>
        </w:rPr>
        <w:t>(5) The Secretary must issue the final agency decision denying or granting the recipient's or grant applicant's request for restoration to eligibility.</w:t>
      </w:r>
    </w:p>
    <w:p w14:paraId="154962DB" w14:textId="77777777" w:rsidR="00E24868" w:rsidRPr="007A7850" w:rsidRDefault="00E24868">
      <w:pPr>
        <w:rPr>
          <w:rFonts w:ascii="Times" w:hAnsi="Times"/>
          <w:sz w:val="20"/>
          <w:szCs w:val="20"/>
        </w:rPr>
      </w:pPr>
    </w:p>
    <w:sectPr w:rsidR="00E24868" w:rsidRPr="007A7850" w:rsidSect="00717A6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C65F5"/>
    <w:multiLevelType w:val="hybridMultilevel"/>
    <w:tmpl w:val="7E52A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55E"/>
    <w:rsid w:val="00126280"/>
    <w:rsid w:val="005D055E"/>
    <w:rsid w:val="00717A61"/>
    <w:rsid w:val="007A7850"/>
    <w:rsid w:val="00B43D20"/>
    <w:rsid w:val="00B930B1"/>
    <w:rsid w:val="00E24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296A5D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930B1"/>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B930B1"/>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05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055E"/>
    <w:rPr>
      <w:rFonts w:ascii="Lucida Grande" w:hAnsi="Lucida Grande" w:cs="Lucida Grande"/>
      <w:sz w:val="18"/>
      <w:szCs w:val="18"/>
    </w:rPr>
  </w:style>
  <w:style w:type="character" w:customStyle="1" w:styleId="Heading1Char">
    <w:name w:val="Heading 1 Char"/>
    <w:basedOn w:val="DefaultParagraphFont"/>
    <w:link w:val="Heading1"/>
    <w:uiPriority w:val="9"/>
    <w:rsid w:val="00B930B1"/>
    <w:rPr>
      <w:rFonts w:ascii="Times" w:hAnsi="Times"/>
      <w:b/>
      <w:bCs/>
      <w:kern w:val="36"/>
      <w:sz w:val="48"/>
      <w:szCs w:val="48"/>
    </w:rPr>
  </w:style>
  <w:style w:type="character" w:customStyle="1" w:styleId="Heading2Char">
    <w:name w:val="Heading 2 Char"/>
    <w:basedOn w:val="DefaultParagraphFont"/>
    <w:link w:val="Heading2"/>
    <w:uiPriority w:val="9"/>
    <w:rsid w:val="00B930B1"/>
    <w:rPr>
      <w:rFonts w:ascii="Times" w:hAnsi="Times"/>
      <w:b/>
      <w:bCs/>
      <w:sz w:val="36"/>
      <w:szCs w:val="36"/>
    </w:rPr>
  </w:style>
  <w:style w:type="paragraph" w:styleId="ListParagraph">
    <w:name w:val="List Paragraph"/>
    <w:basedOn w:val="Normal"/>
    <w:uiPriority w:val="34"/>
    <w:qFormat/>
    <w:rsid w:val="00B930B1"/>
    <w:pPr>
      <w:ind w:left="720"/>
      <w:contextualSpacing/>
    </w:pPr>
  </w:style>
  <w:style w:type="paragraph" w:customStyle="1" w:styleId="fp">
    <w:name w:val="fp"/>
    <w:basedOn w:val="Normal"/>
    <w:rsid w:val="00B930B1"/>
    <w:pPr>
      <w:spacing w:before="100" w:beforeAutospacing="1" w:after="100" w:afterAutospacing="1"/>
    </w:pPr>
    <w:rPr>
      <w:rFonts w:ascii="Times" w:hAnsi="Times"/>
      <w:sz w:val="20"/>
      <w:szCs w:val="20"/>
    </w:rPr>
  </w:style>
  <w:style w:type="paragraph" w:customStyle="1" w:styleId="contentsp">
    <w:name w:val="contentsp"/>
    <w:basedOn w:val="Normal"/>
    <w:rsid w:val="00B930B1"/>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B930B1"/>
    <w:rPr>
      <w:color w:val="0000FF"/>
      <w:u w:val="single"/>
    </w:rPr>
  </w:style>
  <w:style w:type="character" w:styleId="FollowedHyperlink">
    <w:name w:val="FollowedHyperlink"/>
    <w:basedOn w:val="DefaultParagraphFont"/>
    <w:uiPriority w:val="99"/>
    <w:semiHidden/>
    <w:unhideWhenUsed/>
    <w:rsid w:val="00B930B1"/>
    <w:rPr>
      <w:color w:val="800080"/>
      <w:u w:val="single"/>
    </w:rPr>
  </w:style>
  <w:style w:type="paragraph" w:customStyle="1" w:styleId="contentsg">
    <w:name w:val="contentsg"/>
    <w:basedOn w:val="Normal"/>
    <w:rsid w:val="00B930B1"/>
    <w:pPr>
      <w:spacing w:before="100" w:beforeAutospacing="1" w:after="100" w:afterAutospacing="1"/>
    </w:pPr>
    <w:rPr>
      <w:rFonts w:ascii="Times" w:hAnsi="Times"/>
      <w:sz w:val="20"/>
      <w:szCs w:val="20"/>
    </w:rPr>
  </w:style>
  <w:style w:type="paragraph" w:customStyle="1" w:styleId="auth">
    <w:name w:val="auth"/>
    <w:basedOn w:val="Normal"/>
    <w:rsid w:val="00B930B1"/>
    <w:pPr>
      <w:spacing w:before="100" w:beforeAutospacing="1" w:after="100" w:afterAutospacing="1"/>
    </w:pPr>
    <w:rPr>
      <w:rFonts w:ascii="Times" w:hAnsi="Times"/>
      <w:sz w:val="20"/>
      <w:szCs w:val="20"/>
    </w:rPr>
  </w:style>
  <w:style w:type="paragraph" w:customStyle="1" w:styleId="source">
    <w:name w:val="source"/>
    <w:basedOn w:val="Normal"/>
    <w:rsid w:val="00B930B1"/>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B930B1"/>
    <w:pPr>
      <w:spacing w:before="100" w:beforeAutospacing="1" w:after="100" w:afterAutospacing="1"/>
    </w:pPr>
    <w:rPr>
      <w:rFonts w:ascii="Times" w:hAnsi="Times" w:cs="Times New Roman"/>
      <w:sz w:val="20"/>
      <w:szCs w:val="20"/>
    </w:rPr>
  </w:style>
  <w:style w:type="paragraph" w:customStyle="1" w:styleId="cita">
    <w:name w:val="cita"/>
    <w:basedOn w:val="Normal"/>
    <w:rsid w:val="00B930B1"/>
    <w:pPr>
      <w:spacing w:before="100" w:beforeAutospacing="1" w:after="100" w:afterAutospacing="1"/>
    </w:pPr>
    <w:rPr>
      <w:rFonts w:ascii="Times" w:hAnsi="Times"/>
      <w:sz w:val="20"/>
      <w:szCs w:val="20"/>
    </w:rPr>
  </w:style>
  <w:style w:type="paragraph" w:styleId="HTMLPreformatted">
    <w:name w:val="HTML Preformatted"/>
    <w:basedOn w:val="Normal"/>
    <w:link w:val="HTMLPreformattedChar"/>
    <w:uiPriority w:val="99"/>
    <w:semiHidden/>
    <w:unhideWhenUsed/>
    <w:rsid w:val="00B9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B930B1"/>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930B1"/>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B930B1"/>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05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055E"/>
    <w:rPr>
      <w:rFonts w:ascii="Lucida Grande" w:hAnsi="Lucida Grande" w:cs="Lucida Grande"/>
      <w:sz w:val="18"/>
      <w:szCs w:val="18"/>
    </w:rPr>
  </w:style>
  <w:style w:type="character" w:customStyle="1" w:styleId="Heading1Char">
    <w:name w:val="Heading 1 Char"/>
    <w:basedOn w:val="DefaultParagraphFont"/>
    <w:link w:val="Heading1"/>
    <w:uiPriority w:val="9"/>
    <w:rsid w:val="00B930B1"/>
    <w:rPr>
      <w:rFonts w:ascii="Times" w:hAnsi="Times"/>
      <w:b/>
      <w:bCs/>
      <w:kern w:val="36"/>
      <w:sz w:val="48"/>
      <w:szCs w:val="48"/>
    </w:rPr>
  </w:style>
  <w:style w:type="character" w:customStyle="1" w:styleId="Heading2Char">
    <w:name w:val="Heading 2 Char"/>
    <w:basedOn w:val="DefaultParagraphFont"/>
    <w:link w:val="Heading2"/>
    <w:uiPriority w:val="9"/>
    <w:rsid w:val="00B930B1"/>
    <w:rPr>
      <w:rFonts w:ascii="Times" w:hAnsi="Times"/>
      <w:b/>
      <w:bCs/>
      <w:sz w:val="36"/>
      <w:szCs w:val="36"/>
    </w:rPr>
  </w:style>
  <w:style w:type="paragraph" w:styleId="ListParagraph">
    <w:name w:val="List Paragraph"/>
    <w:basedOn w:val="Normal"/>
    <w:uiPriority w:val="34"/>
    <w:qFormat/>
    <w:rsid w:val="00B930B1"/>
    <w:pPr>
      <w:ind w:left="720"/>
      <w:contextualSpacing/>
    </w:pPr>
  </w:style>
  <w:style w:type="paragraph" w:customStyle="1" w:styleId="fp">
    <w:name w:val="fp"/>
    <w:basedOn w:val="Normal"/>
    <w:rsid w:val="00B930B1"/>
    <w:pPr>
      <w:spacing w:before="100" w:beforeAutospacing="1" w:after="100" w:afterAutospacing="1"/>
    </w:pPr>
    <w:rPr>
      <w:rFonts w:ascii="Times" w:hAnsi="Times"/>
      <w:sz w:val="20"/>
      <w:szCs w:val="20"/>
    </w:rPr>
  </w:style>
  <w:style w:type="paragraph" w:customStyle="1" w:styleId="contentsp">
    <w:name w:val="contentsp"/>
    <w:basedOn w:val="Normal"/>
    <w:rsid w:val="00B930B1"/>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B930B1"/>
    <w:rPr>
      <w:color w:val="0000FF"/>
      <w:u w:val="single"/>
    </w:rPr>
  </w:style>
  <w:style w:type="character" w:styleId="FollowedHyperlink">
    <w:name w:val="FollowedHyperlink"/>
    <w:basedOn w:val="DefaultParagraphFont"/>
    <w:uiPriority w:val="99"/>
    <w:semiHidden/>
    <w:unhideWhenUsed/>
    <w:rsid w:val="00B930B1"/>
    <w:rPr>
      <w:color w:val="800080"/>
      <w:u w:val="single"/>
    </w:rPr>
  </w:style>
  <w:style w:type="paragraph" w:customStyle="1" w:styleId="contentsg">
    <w:name w:val="contentsg"/>
    <w:basedOn w:val="Normal"/>
    <w:rsid w:val="00B930B1"/>
    <w:pPr>
      <w:spacing w:before="100" w:beforeAutospacing="1" w:after="100" w:afterAutospacing="1"/>
    </w:pPr>
    <w:rPr>
      <w:rFonts w:ascii="Times" w:hAnsi="Times"/>
      <w:sz w:val="20"/>
      <w:szCs w:val="20"/>
    </w:rPr>
  </w:style>
  <w:style w:type="paragraph" w:customStyle="1" w:styleId="auth">
    <w:name w:val="auth"/>
    <w:basedOn w:val="Normal"/>
    <w:rsid w:val="00B930B1"/>
    <w:pPr>
      <w:spacing w:before="100" w:beforeAutospacing="1" w:after="100" w:afterAutospacing="1"/>
    </w:pPr>
    <w:rPr>
      <w:rFonts w:ascii="Times" w:hAnsi="Times"/>
      <w:sz w:val="20"/>
      <w:szCs w:val="20"/>
    </w:rPr>
  </w:style>
  <w:style w:type="paragraph" w:customStyle="1" w:styleId="source">
    <w:name w:val="source"/>
    <w:basedOn w:val="Normal"/>
    <w:rsid w:val="00B930B1"/>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B930B1"/>
    <w:pPr>
      <w:spacing w:before="100" w:beforeAutospacing="1" w:after="100" w:afterAutospacing="1"/>
    </w:pPr>
    <w:rPr>
      <w:rFonts w:ascii="Times" w:hAnsi="Times" w:cs="Times New Roman"/>
      <w:sz w:val="20"/>
      <w:szCs w:val="20"/>
    </w:rPr>
  </w:style>
  <w:style w:type="paragraph" w:customStyle="1" w:styleId="cita">
    <w:name w:val="cita"/>
    <w:basedOn w:val="Normal"/>
    <w:rsid w:val="00B930B1"/>
    <w:pPr>
      <w:spacing w:before="100" w:beforeAutospacing="1" w:after="100" w:afterAutospacing="1"/>
    </w:pPr>
    <w:rPr>
      <w:rFonts w:ascii="Times" w:hAnsi="Times"/>
      <w:sz w:val="20"/>
      <w:szCs w:val="20"/>
    </w:rPr>
  </w:style>
  <w:style w:type="paragraph" w:styleId="HTMLPreformatted">
    <w:name w:val="HTML Preformatted"/>
    <w:basedOn w:val="Normal"/>
    <w:link w:val="HTMLPreformattedChar"/>
    <w:uiPriority w:val="99"/>
    <w:semiHidden/>
    <w:unhideWhenUsed/>
    <w:rsid w:val="00B9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B930B1"/>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36278">
      <w:bodyDiv w:val="1"/>
      <w:marLeft w:val="0"/>
      <w:marRight w:val="0"/>
      <w:marTop w:val="0"/>
      <w:marBottom w:val="0"/>
      <w:divBdr>
        <w:top w:val="none" w:sz="0" w:space="0" w:color="auto"/>
        <w:left w:val="none" w:sz="0" w:space="0" w:color="auto"/>
        <w:bottom w:val="none" w:sz="0" w:space="0" w:color="auto"/>
        <w:right w:val="none" w:sz="0" w:space="0" w:color="auto"/>
      </w:divBdr>
    </w:div>
    <w:div w:id="433017428">
      <w:bodyDiv w:val="1"/>
      <w:marLeft w:val="0"/>
      <w:marRight w:val="0"/>
      <w:marTop w:val="0"/>
      <w:marBottom w:val="0"/>
      <w:divBdr>
        <w:top w:val="none" w:sz="0" w:space="0" w:color="auto"/>
        <w:left w:val="none" w:sz="0" w:space="0" w:color="auto"/>
        <w:bottom w:val="none" w:sz="0" w:space="0" w:color="auto"/>
        <w:right w:val="none" w:sz="0" w:space="0" w:color="auto"/>
      </w:divBdr>
      <w:divsChild>
        <w:div w:id="1062027043">
          <w:marLeft w:val="0"/>
          <w:marRight w:val="0"/>
          <w:marTop w:val="0"/>
          <w:marBottom w:val="0"/>
          <w:divBdr>
            <w:top w:val="none" w:sz="0" w:space="0" w:color="auto"/>
            <w:left w:val="none" w:sz="0" w:space="0" w:color="auto"/>
            <w:bottom w:val="none" w:sz="0" w:space="0" w:color="auto"/>
            <w:right w:val="none" w:sz="0" w:space="0" w:color="auto"/>
          </w:divBdr>
        </w:div>
        <w:div w:id="877086309">
          <w:marLeft w:val="0"/>
          <w:marRight w:val="0"/>
          <w:marTop w:val="0"/>
          <w:marBottom w:val="0"/>
          <w:divBdr>
            <w:top w:val="none" w:sz="0" w:space="0" w:color="auto"/>
            <w:left w:val="none" w:sz="0" w:space="0" w:color="auto"/>
            <w:bottom w:val="none" w:sz="0" w:space="0" w:color="auto"/>
            <w:right w:val="none" w:sz="0" w:space="0" w:color="auto"/>
          </w:divBdr>
        </w:div>
        <w:div w:id="879436380">
          <w:marLeft w:val="0"/>
          <w:marRight w:val="0"/>
          <w:marTop w:val="0"/>
          <w:marBottom w:val="0"/>
          <w:divBdr>
            <w:top w:val="none" w:sz="0" w:space="0" w:color="auto"/>
            <w:left w:val="none" w:sz="0" w:space="0" w:color="auto"/>
            <w:bottom w:val="none" w:sz="0" w:space="0" w:color="auto"/>
            <w:right w:val="none" w:sz="0" w:space="0" w:color="auto"/>
          </w:divBdr>
        </w:div>
        <w:div w:id="638072293">
          <w:marLeft w:val="0"/>
          <w:marRight w:val="0"/>
          <w:marTop w:val="0"/>
          <w:marBottom w:val="0"/>
          <w:divBdr>
            <w:top w:val="none" w:sz="0" w:space="0" w:color="auto"/>
            <w:left w:val="none" w:sz="0" w:space="0" w:color="auto"/>
            <w:bottom w:val="none" w:sz="0" w:space="0" w:color="auto"/>
            <w:right w:val="none" w:sz="0" w:space="0" w:color="auto"/>
          </w:divBdr>
        </w:div>
        <w:div w:id="838544680">
          <w:marLeft w:val="0"/>
          <w:marRight w:val="0"/>
          <w:marTop w:val="0"/>
          <w:marBottom w:val="0"/>
          <w:divBdr>
            <w:top w:val="none" w:sz="0" w:space="0" w:color="auto"/>
            <w:left w:val="none" w:sz="0" w:space="0" w:color="auto"/>
            <w:bottom w:val="none" w:sz="0" w:space="0" w:color="auto"/>
            <w:right w:val="none" w:sz="0" w:space="0" w:color="auto"/>
          </w:divBdr>
        </w:div>
        <w:div w:id="1960531744">
          <w:marLeft w:val="0"/>
          <w:marRight w:val="0"/>
          <w:marTop w:val="0"/>
          <w:marBottom w:val="0"/>
          <w:divBdr>
            <w:top w:val="none" w:sz="0" w:space="0" w:color="auto"/>
            <w:left w:val="none" w:sz="0" w:space="0" w:color="auto"/>
            <w:bottom w:val="none" w:sz="0" w:space="0" w:color="auto"/>
            <w:right w:val="none" w:sz="0" w:space="0" w:color="auto"/>
          </w:divBdr>
        </w:div>
        <w:div w:id="373044330">
          <w:marLeft w:val="0"/>
          <w:marRight w:val="0"/>
          <w:marTop w:val="0"/>
          <w:marBottom w:val="0"/>
          <w:divBdr>
            <w:top w:val="none" w:sz="0" w:space="0" w:color="auto"/>
            <w:left w:val="none" w:sz="0" w:space="0" w:color="auto"/>
            <w:bottom w:val="none" w:sz="0" w:space="0" w:color="auto"/>
            <w:right w:val="none" w:sz="0" w:space="0" w:color="auto"/>
          </w:divBdr>
        </w:div>
        <w:div w:id="1391730525">
          <w:marLeft w:val="0"/>
          <w:marRight w:val="0"/>
          <w:marTop w:val="0"/>
          <w:marBottom w:val="0"/>
          <w:divBdr>
            <w:top w:val="none" w:sz="0" w:space="0" w:color="auto"/>
            <w:left w:val="none" w:sz="0" w:space="0" w:color="auto"/>
            <w:bottom w:val="none" w:sz="0" w:space="0" w:color="auto"/>
            <w:right w:val="none" w:sz="0" w:space="0" w:color="auto"/>
          </w:divBdr>
        </w:div>
        <w:div w:id="1456750893">
          <w:marLeft w:val="0"/>
          <w:marRight w:val="0"/>
          <w:marTop w:val="0"/>
          <w:marBottom w:val="0"/>
          <w:divBdr>
            <w:top w:val="none" w:sz="0" w:space="0" w:color="auto"/>
            <w:left w:val="none" w:sz="0" w:space="0" w:color="auto"/>
            <w:bottom w:val="none" w:sz="0" w:space="0" w:color="auto"/>
            <w:right w:val="none" w:sz="0" w:space="0" w:color="auto"/>
          </w:divBdr>
        </w:div>
        <w:div w:id="1691643609">
          <w:marLeft w:val="0"/>
          <w:marRight w:val="0"/>
          <w:marTop w:val="0"/>
          <w:marBottom w:val="0"/>
          <w:divBdr>
            <w:top w:val="none" w:sz="0" w:space="0" w:color="auto"/>
            <w:left w:val="none" w:sz="0" w:space="0" w:color="auto"/>
            <w:bottom w:val="none" w:sz="0" w:space="0" w:color="auto"/>
            <w:right w:val="none" w:sz="0" w:space="0" w:color="auto"/>
          </w:divBdr>
        </w:div>
        <w:div w:id="363990496">
          <w:marLeft w:val="0"/>
          <w:marRight w:val="0"/>
          <w:marTop w:val="0"/>
          <w:marBottom w:val="0"/>
          <w:divBdr>
            <w:top w:val="none" w:sz="0" w:space="0" w:color="auto"/>
            <w:left w:val="none" w:sz="0" w:space="0" w:color="auto"/>
            <w:bottom w:val="none" w:sz="0" w:space="0" w:color="auto"/>
            <w:right w:val="none" w:sz="0" w:space="0" w:color="auto"/>
          </w:divBdr>
        </w:div>
        <w:div w:id="1726753124">
          <w:marLeft w:val="0"/>
          <w:marRight w:val="0"/>
          <w:marTop w:val="0"/>
          <w:marBottom w:val="0"/>
          <w:divBdr>
            <w:top w:val="none" w:sz="0" w:space="0" w:color="auto"/>
            <w:left w:val="none" w:sz="0" w:space="0" w:color="auto"/>
            <w:bottom w:val="none" w:sz="0" w:space="0" w:color="auto"/>
            <w:right w:val="none" w:sz="0" w:space="0" w:color="auto"/>
          </w:divBdr>
        </w:div>
        <w:div w:id="1684285628">
          <w:marLeft w:val="0"/>
          <w:marRight w:val="0"/>
          <w:marTop w:val="0"/>
          <w:marBottom w:val="0"/>
          <w:divBdr>
            <w:top w:val="none" w:sz="0" w:space="0" w:color="auto"/>
            <w:left w:val="none" w:sz="0" w:space="0" w:color="auto"/>
            <w:bottom w:val="none" w:sz="0" w:space="0" w:color="auto"/>
            <w:right w:val="none" w:sz="0" w:space="0" w:color="auto"/>
          </w:divBdr>
        </w:div>
        <w:div w:id="1533687602">
          <w:marLeft w:val="0"/>
          <w:marRight w:val="0"/>
          <w:marTop w:val="0"/>
          <w:marBottom w:val="0"/>
          <w:divBdr>
            <w:top w:val="none" w:sz="0" w:space="0" w:color="auto"/>
            <w:left w:val="none" w:sz="0" w:space="0" w:color="auto"/>
            <w:bottom w:val="none" w:sz="0" w:space="0" w:color="auto"/>
            <w:right w:val="none" w:sz="0" w:space="0" w:color="auto"/>
          </w:divBdr>
        </w:div>
        <w:div w:id="319889038">
          <w:marLeft w:val="0"/>
          <w:marRight w:val="0"/>
          <w:marTop w:val="0"/>
          <w:marBottom w:val="0"/>
          <w:divBdr>
            <w:top w:val="none" w:sz="0" w:space="0" w:color="auto"/>
            <w:left w:val="none" w:sz="0" w:space="0" w:color="auto"/>
            <w:bottom w:val="none" w:sz="0" w:space="0" w:color="auto"/>
            <w:right w:val="none" w:sz="0" w:space="0" w:color="auto"/>
          </w:divBdr>
        </w:div>
        <w:div w:id="1183782280">
          <w:marLeft w:val="0"/>
          <w:marRight w:val="0"/>
          <w:marTop w:val="0"/>
          <w:marBottom w:val="0"/>
          <w:divBdr>
            <w:top w:val="none" w:sz="0" w:space="0" w:color="auto"/>
            <w:left w:val="none" w:sz="0" w:space="0" w:color="auto"/>
            <w:bottom w:val="none" w:sz="0" w:space="0" w:color="auto"/>
            <w:right w:val="none" w:sz="0" w:space="0" w:color="auto"/>
          </w:divBdr>
        </w:div>
        <w:div w:id="393628518">
          <w:marLeft w:val="0"/>
          <w:marRight w:val="0"/>
          <w:marTop w:val="0"/>
          <w:marBottom w:val="0"/>
          <w:divBdr>
            <w:top w:val="none" w:sz="0" w:space="0" w:color="auto"/>
            <w:left w:val="none" w:sz="0" w:space="0" w:color="auto"/>
            <w:bottom w:val="none" w:sz="0" w:space="0" w:color="auto"/>
            <w:right w:val="none" w:sz="0" w:space="0" w:color="auto"/>
          </w:divBdr>
        </w:div>
        <w:div w:id="852383921">
          <w:marLeft w:val="0"/>
          <w:marRight w:val="0"/>
          <w:marTop w:val="0"/>
          <w:marBottom w:val="0"/>
          <w:divBdr>
            <w:top w:val="none" w:sz="0" w:space="0" w:color="auto"/>
            <w:left w:val="none" w:sz="0" w:space="0" w:color="auto"/>
            <w:bottom w:val="none" w:sz="0" w:space="0" w:color="auto"/>
            <w:right w:val="none" w:sz="0" w:space="0" w:color="auto"/>
          </w:divBdr>
        </w:div>
        <w:div w:id="642125278">
          <w:marLeft w:val="0"/>
          <w:marRight w:val="0"/>
          <w:marTop w:val="0"/>
          <w:marBottom w:val="0"/>
          <w:divBdr>
            <w:top w:val="none" w:sz="0" w:space="0" w:color="auto"/>
            <w:left w:val="none" w:sz="0" w:space="0" w:color="auto"/>
            <w:bottom w:val="none" w:sz="0" w:space="0" w:color="auto"/>
            <w:right w:val="none" w:sz="0" w:space="0" w:color="auto"/>
          </w:divBdr>
        </w:div>
        <w:div w:id="332875872">
          <w:marLeft w:val="0"/>
          <w:marRight w:val="0"/>
          <w:marTop w:val="0"/>
          <w:marBottom w:val="0"/>
          <w:divBdr>
            <w:top w:val="none" w:sz="0" w:space="0" w:color="auto"/>
            <w:left w:val="none" w:sz="0" w:space="0" w:color="auto"/>
            <w:bottom w:val="none" w:sz="0" w:space="0" w:color="auto"/>
            <w:right w:val="none" w:sz="0" w:space="0" w:color="auto"/>
          </w:divBdr>
        </w:div>
        <w:div w:id="949238215">
          <w:marLeft w:val="0"/>
          <w:marRight w:val="0"/>
          <w:marTop w:val="0"/>
          <w:marBottom w:val="0"/>
          <w:divBdr>
            <w:top w:val="none" w:sz="0" w:space="0" w:color="auto"/>
            <w:left w:val="none" w:sz="0" w:space="0" w:color="auto"/>
            <w:bottom w:val="none" w:sz="0" w:space="0" w:color="auto"/>
            <w:right w:val="none" w:sz="0" w:space="0" w:color="auto"/>
          </w:divBdr>
        </w:div>
        <w:div w:id="567959800">
          <w:marLeft w:val="0"/>
          <w:marRight w:val="0"/>
          <w:marTop w:val="0"/>
          <w:marBottom w:val="0"/>
          <w:divBdr>
            <w:top w:val="none" w:sz="0" w:space="0" w:color="auto"/>
            <w:left w:val="none" w:sz="0" w:space="0" w:color="auto"/>
            <w:bottom w:val="none" w:sz="0" w:space="0" w:color="auto"/>
            <w:right w:val="none" w:sz="0" w:space="0" w:color="auto"/>
          </w:divBdr>
        </w:div>
        <w:div w:id="1025987389">
          <w:marLeft w:val="0"/>
          <w:marRight w:val="0"/>
          <w:marTop w:val="0"/>
          <w:marBottom w:val="0"/>
          <w:divBdr>
            <w:top w:val="none" w:sz="0" w:space="0" w:color="auto"/>
            <w:left w:val="none" w:sz="0" w:space="0" w:color="auto"/>
            <w:bottom w:val="none" w:sz="0" w:space="0" w:color="auto"/>
            <w:right w:val="none" w:sz="0" w:space="0" w:color="auto"/>
          </w:divBdr>
        </w:div>
        <w:div w:id="1583025470">
          <w:marLeft w:val="0"/>
          <w:marRight w:val="0"/>
          <w:marTop w:val="0"/>
          <w:marBottom w:val="0"/>
          <w:divBdr>
            <w:top w:val="none" w:sz="0" w:space="0" w:color="auto"/>
            <w:left w:val="none" w:sz="0" w:space="0" w:color="auto"/>
            <w:bottom w:val="none" w:sz="0" w:space="0" w:color="auto"/>
            <w:right w:val="none" w:sz="0" w:space="0" w:color="auto"/>
          </w:divBdr>
        </w:div>
        <w:div w:id="2090081829">
          <w:marLeft w:val="0"/>
          <w:marRight w:val="0"/>
          <w:marTop w:val="0"/>
          <w:marBottom w:val="0"/>
          <w:divBdr>
            <w:top w:val="none" w:sz="0" w:space="0" w:color="auto"/>
            <w:left w:val="none" w:sz="0" w:space="0" w:color="auto"/>
            <w:bottom w:val="none" w:sz="0" w:space="0" w:color="auto"/>
            <w:right w:val="none" w:sz="0" w:space="0" w:color="auto"/>
          </w:divBdr>
        </w:div>
        <w:div w:id="65424080">
          <w:marLeft w:val="0"/>
          <w:marRight w:val="0"/>
          <w:marTop w:val="0"/>
          <w:marBottom w:val="0"/>
          <w:divBdr>
            <w:top w:val="none" w:sz="0" w:space="0" w:color="auto"/>
            <w:left w:val="none" w:sz="0" w:space="0" w:color="auto"/>
            <w:bottom w:val="none" w:sz="0" w:space="0" w:color="auto"/>
            <w:right w:val="none" w:sz="0" w:space="0" w:color="auto"/>
          </w:divBdr>
        </w:div>
        <w:div w:id="719019179">
          <w:marLeft w:val="0"/>
          <w:marRight w:val="0"/>
          <w:marTop w:val="0"/>
          <w:marBottom w:val="0"/>
          <w:divBdr>
            <w:top w:val="none" w:sz="0" w:space="0" w:color="auto"/>
            <w:left w:val="none" w:sz="0" w:space="0" w:color="auto"/>
            <w:bottom w:val="none" w:sz="0" w:space="0" w:color="auto"/>
            <w:right w:val="none" w:sz="0" w:space="0" w:color="auto"/>
          </w:divBdr>
        </w:div>
        <w:div w:id="862670941">
          <w:marLeft w:val="0"/>
          <w:marRight w:val="0"/>
          <w:marTop w:val="0"/>
          <w:marBottom w:val="0"/>
          <w:divBdr>
            <w:top w:val="none" w:sz="0" w:space="0" w:color="auto"/>
            <w:left w:val="none" w:sz="0" w:space="0" w:color="auto"/>
            <w:bottom w:val="none" w:sz="0" w:space="0" w:color="auto"/>
            <w:right w:val="none" w:sz="0" w:space="0" w:color="auto"/>
          </w:divBdr>
        </w:div>
        <w:div w:id="568032526">
          <w:marLeft w:val="0"/>
          <w:marRight w:val="0"/>
          <w:marTop w:val="0"/>
          <w:marBottom w:val="0"/>
          <w:divBdr>
            <w:top w:val="none" w:sz="0" w:space="0" w:color="auto"/>
            <w:left w:val="none" w:sz="0" w:space="0" w:color="auto"/>
            <w:bottom w:val="none" w:sz="0" w:space="0" w:color="auto"/>
            <w:right w:val="none" w:sz="0" w:space="0" w:color="auto"/>
          </w:divBdr>
        </w:div>
        <w:div w:id="568853352">
          <w:marLeft w:val="0"/>
          <w:marRight w:val="0"/>
          <w:marTop w:val="0"/>
          <w:marBottom w:val="0"/>
          <w:divBdr>
            <w:top w:val="none" w:sz="0" w:space="0" w:color="auto"/>
            <w:left w:val="none" w:sz="0" w:space="0" w:color="auto"/>
            <w:bottom w:val="none" w:sz="0" w:space="0" w:color="auto"/>
            <w:right w:val="none" w:sz="0" w:space="0" w:color="auto"/>
          </w:divBdr>
        </w:div>
        <w:div w:id="667682088">
          <w:marLeft w:val="0"/>
          <w:marRight w:val="0"/>
          <w:marTop w:val="0"/>
          <w:marBottom w:val="0"/>
          <w:divBdr>
            <w:top w:val="none" w:sz="0" w:space="0" w:color="auto"/>
            <w:left w:val="none" w:sz="0" w:space="0" w:color="auto"/>
            <w:bottom w:val="none" w:sz="0" w:space="0" w:color="auto"/>
            <w:right w:val="none" w:sz="0" w:space="0" w:color="auto"/>
          </w:divBdr>
        </w:div>
        <w:div w:id="1370492435">
          <w:marLeft w:val="0"/>
          <w:marRight w:val="0"/>
          <w:marTop w:val="0"/>
          <w:marBottom w:val="0"/>
          <w:divBdr>
            <w:top w:val="none" w:sz="0" w:space="0" w:color="auto"/>
            <w:left w:val="none" w:sz="0" w:space="0" w:color="auto"/>
            <w:bottom w:val="none" w:sz="0" w:space="0" w:color="auto"/>
            <w:right w:val="none" w:sz="0" w:space="0" w:color="auto"/>
          </w:divBdr>
        </w:div>
        <w:div w:id="1859151857">
          <w:marLeft w:val="0"/>
          <w:marRight w:val="0"/>
          <w:marTop w:val="0"/>
          <w:marBottom w:val="0"/>
          <w:divBdr>
            <w:top w:val="none" w:sz="0" w:space="0" w:color="auto"/>
            <w:left w:val="none" w:sz="0" w:space="0" w:color="auto"/>
            <w:bottom w:val="none" w:sz="0" w:space="0" w:color="auto"/>
            <w:right w:val="none" w:sz="0" w:space="0" w:color="auto"/>
          </w:divBdr>
        </w:div>
        <w:div w:id="760684933">
          <w:marLeft w:val="0"/>
          <w:marRight w:val="0"/>
          <w:marTop w:val="0"/>
          <w:marBottom w:val="0"/>
          <w:divBdr>
            <w:top w:val="none" w:sz="0" w:space="0" w:color="auto"/>
            <w:left w:val="none" w:sz="0" w:space="0" w:color="auto"/>
            <w:bottom w:val="none" w:sz="0" w:space="0" w:color="auto"/>
            <w:right w:val="none" w:sz="0" w:space="0" w:color="auto"/>
          </w:divBdr>
        </w:div>
        <w:div w:id="166677575">
          <w:marLeft w:val="0"/>
          <w:marRight w:val="0"/>
          <w:marTop w:val="0"/>
          <w:marBottom w:val="0"/>
          <w:divBdr>
            <w:top w:val="none" w:sz="0" w:space="0" w:color="auto"/>
            <w:left w:val="none" w:sz="0" w:space="0" w:color="auto"/>
            <w:bottom w:val="none" w:sz="0" w:space="0" w:color="auto"/>
            <w:right w:val="none" w:sz="0" w:space="0" w:color="auto"/>
          </w:divBdr>
        </w:div>
        <w:div w:id="1714696721">
          <w:marLeft w:val="0"/>
          <w:marRight w:val="0"/>
          <w:marTop w:val="0"/>
          <w:marBottom w:val="0"/>
          <w:divBdr>
            <w:top w:val="none" w:sz="0" w:space="0" w:color="auto"/>
            <w:left w:val="none" w:sz="0" w:space="0" w:color="auto"/>
            <w:bottom w:val="none" w:sz="0" w:space="0" w:color="auto"/>
            <w:right w:val="none" w:sz="0" w:space="0" w:color="auto"/>
          </w:divBdr>
        </w:div>
        <w:div w:id="1442145471">
          <w:marLeft w:val="0"/>
          <w:marRight w:val="0"/>
          <w:marTop w:val="0"/>
          <w:marBottom w:val="0"/>
          <w:divBdr>
            <w:top w:val="none" w:sz="0" w:space="0" w:color="auto"/>
            <w:left w:val="none" w:sz="0" w:space="0" w:color="auto"/>
            <w:bottom w:val="none" w:sz="0" w:space="0" w:color="auto"/>
            <w:right w:val="none" w:sz="0" w:space="0" w:color="auto"/>
          </w:divBdr>
        </w:div>
        <w:div w:id="529799293">
          <w:marLeft w:val="0"/>
          <w:marRight w:val="0"/>
          <w:marTop w:val="0"/>
          <w:marBottom w:val="0"/>
          <w:divBdr>
            <w:top w:val="none" w:sz="0" w:space="0" w:color="auto"/>
            <w:left w:val="none" w:sz="0" w:space="0" w:color="auto"/>
            <w:bottom w:val="none" w:sz="0" w:space="0" w:color="auto"/>
            <w:right w:val="none" w:sz="0" w:space="0" w:color="auto"/>
          </w:divBdr>
        </w:div>
        <w:div w:id="1988046522">
          <w:marLeft w:val="0"/>
          <w:marRight w:val="0"/>
          <w:marTop w:val="0"/>
          <w:marBottom w:val="0"/>
          <w:divBdr>
            <w:top w:val="none" w:sz="0" w:space="0" w:color="auto"/>
            <w:left w:val="none" w:sz="0" w:space="0" w:color="auto"/>
            <w:bottom w:val="none" w:sz="0" w:space="0" w:color="auto"/>
            <w:right w:val="none" w:sz="0" w:space="0" w:color="auto"/>
          </w:divBdr>
        </w:div>
        <w:div w:id="1005743516">
          <w:marLeft w:val="0"/>
          <w:marRight w:val="0"/>
          <w:marTop w:val="0"/>
          <w:marBottom w:val="0"/>
          <w:divBdr>
            <w:top w:val="none" w:sz="0" w:space="0" w:color="auto"/>
            <w:left w:val="none" w:sz="0" w:space="0" w:color="auto"/>
            <w:bottom w:val="none" w:sz="0" w:space="0" w:color="auto"/>
            <w:right w:val="none" w:sz="0" w:space="0" w:color="auto"/>
          </w:divBdr>
        </w:div>
        <w:div w:id="366176782">
          <w:marLeft w:val="0"/>
          <w:marRight w:val="0"/>
          <w:marTop w:val="0"/>
          <w:marBottom w:val="0"/>
          <w:divBdr>
            <w:top w:val="none" w:sz="0" w:space="0" w:color="auto"/>
            <w:left w:val="none" w:sz="0" w:space="0" w:color="auto"/>
            <w:bottom w:val="none" w:sz="0" w:space="0" w:color="auto"/>
            <w:right w:val="none" w:sz="0" w:space="0" w:color="auto"/>
          </w:divBdr>
        </w:div>
        <w:div w:id="1192500356">
          <w:marLeft w:val="0"/>
          <w:marRight w:val="0"/>
          <w:marTop w:val="0"/>
          <w:marBottom w:val="0"/>
          <w:divBdr>
            <w:top w:val="none" w:sz="0" w:space="0" w:color="auto"/>
            <w:left w:val="none" w:sz="0" w:space="0" w:color="auto"/>
            <w:bottom w:val="none" w:sz="0" w:space="0" w:color="auto"/>
            <w:right w:val="none" w:sz="0" w:space="0" w:color="auto"/>
          </w:divBdr>
        </w:div>
        <w:div w:id="163397274">
          <w:marLeft w:val="0"/>
          <w:marRight w:val="0"/>
          <w:marTop w:val="0"/>
          <w:marBottom w:val="0"/>
          <w:divBdr>
            <w:top w:val="none" w:sz="0" w:space="0" w:color="auto"/>
            <w:left w:val="none" w:sz="0" w:space="0" w:color="auto"/>
            <w:bottom w:val="none" w:sz="0" w:space="0" w:color="auto"/>
            <w:right w:val="none" w:sz="0" w:space="0" w:color="auto"/>
          </w:divBdr>
        </w:div>
        <w:div w:id="789057291">
          <w:marLeft w:val="0"/>
          <w:marRight w:val="0"/>
          <w:marTop w:val="0"/>
          <w:marBottom w:val="0"/>
          <w:divBdr>
            <w:top w:val="none" w:sz="0" w:space="0" w:color="auto"/>
            <w:left w:val="none" w:sz="0" w:space="0" w:color="auto"/>
            <w:bottom w:val="none" w:sz="0" w:space="0" w:color="auto"/>
            <w:right w:val="none" w:sz="0" w:space="0" w:color="auto"/>
          </w:divBdr>
        </w:div>
        <w:div w:id="879131170">
          <w:marLeft w:val="0"/>
          <w:marRight w:val="0"/>
          <w:marTop w:val="0"/>
          <w:marBottom w:val="0"/>
          <w:divBdr>
            <w:top w:val="none" w:sz="0" w:space="0" w:color="auto"/>
            <w:left w:val="none" w:sz="0" w:space="0" w:color="auto"/>
            <w:bottom w:val="none" w:sz="0" w:space="0" w:color="auto"/>
            <w:right w:val="none" w:sz="0" w:space="0" w:color="auto"/>
          </w:divBdr>
        </w:div>
        <w:div w:id="507327860">
          <w:marLeft w:val="0"/>
          <w:marRight w:val="0"/>
          <w:marTop w:val="0"/>
          <w:marBottom w:val="0"/>
          <w:divBdr>
            <w:top w:val="none" w:sz="0" w:space="0" w:color="auto"/>
            <w:left w:val="none" w:sz="0" w:space="0" w:color="auto"/>
            <w:bottom w:val="none" w:sz="0" w:space="0" w:color="auto"/>
            <w:right w:val="none" w:sz="0" w:space="0" w:color="auto"/>
          </w:divBdr>
        </w:div>
        <w:div w:id="1287196113">
          <w:marLeft w:val="0"/>
          <w:marRight w:val="0"/>
          <w:marTop w:val="0"/>
          <w:marBottom w:val="0"/>
          <w:divBdr>
            <w:top w:val="none" w:sz="0" w:space="0" w:color="auto"/>
            <w:left w:val="none" w:sz="0" w:space="0" w:color="auto"/>
            <w:bottom w:val="none" w:sz="0" w:space="0" w:color="auto"/>
            <w:right w:val="none" w:sz="0" w:space="0" w:color="auto"/>
          </w:divBdr>
        </w:div>
        <w:div w:id="447551292">
          <w:marLeft w:val="0"/>
          <w:marRight w:val="0"/>
          <w:marTop w:val="0"/>
          <w:marBottom w:val="0"/>
          <w:divBdr>
            <w:top w:val="none" w:sz="0" w:space="0" w:color="auto"/>
            <w:left w:val="none" w:sz="0" w:space="0" w:color="auto"/>
            <w:bottom w:val="none" w:sz="0" w:space="0" w:color="auto"/>
            <w:right w:val="none" w:sz="0" w:space="0" w:color="auto"/>
          </w:divBdr>
        </w:div>
        <w:div w:id="1604071560">
          <w:marLeft w:val="0"/>
          <w:marRight w:val="0"/>
          <w:marTop w:val="0"/>
          <w:marBottom w:val="0"/>
          <w:divBdr>
            <w:top w:val="none" w:sz="0" w:space="0" w:color="auto"/>
            <w:left w:val="none" w:sz="0" w:space="0" w:color="auto"/>
            <w:bottom w:val="none" w:sz="0" w:space="0" w:color="auto"/>
            <w:right w:val="none" w:sz="0" w:space="0" w:color="auto"/>
          </w:divBdr>
        </w:div>
        <w:div w:id="2063212306">
          <w:marLeft w:val="0"/>
          <w:marRight w:val="0"/>
          <w:marTop w:val="0"/>
          <w:marBottom w:val="0"/>
          <w:divBdr>
            <w:top w:val="none" w:sz="0" w:space="0" w:color="auto"/>
            <w:left w:val="none" w:sz="0" w:space="0" w:color="auto"/>
            <w:bottom w:val="none" w:sz="0" w:space="0" w:color="auto"/>
            <w:right w:val="none" w:sz="0" w:space="0" w:color="auto"/>
          </w:divBdr>
        </w:div>
        <w:div w:id="149492747">
          <w:marLeft w:val="0"/>
          <w:marRight w:val="0"/>
          <w:marTop w:val="0"/>
          <w:marBottom w:val="0"/>
          <w:divBdr>
            <w:top w:val="none" w:sz="0" w:space="0" w:color="auto"/>
            <w:left w:val="none" w:sz="0" w:space="0" w:color="auto"/>
            <w:bottom w:val="none" w:sz="0" w:space="0" w:color="auto"/>
            <w:right w:val="none" w:sz="0" w:space="0" w:color="auto"/>
          </w:divBdr>
        </w:div>
        <w:div w:id="1713653992">
          <w:marLeft w:val="0"/>
          <w:marRight w:val="0"/>
          <w:marTop w:val="0"/>
          <w:marBottom w:val="0"/>
          <w:divBdr>
            <w:top w:val="none" w:sz="0" w:space="0" w:color="auto"/>
            <w:left w:val="none" w:sz="0" w:space="0" w:color="auto"/>
            <w:bottom w:val="none" w:sz="0" w:space="0" w:color="auto"/>
            <w:right w:val="none" w:sz="0" w:space="0" w:color="auto"/>
          </w:divBdr>
        </w:div>
        <w:div w:id="2137480977">
          <w:marLeft w:val="0"/>
          <w:marRight w:val="0"/>
          <w:marTop w:val="0"/>
          <w:marBottom w:val="0"/>
          <w:divBdr>
            <w:top w:val="none" w:sz="0" w:space="0" w:color="auto"/>
            <w:left w:val="none" w:sz="0" w:space="0" w:color="auto"/>
            <w:bottom w:val="none" w:sz="0" w:space="0" w:color="auto"/>
            <w:right w:val="none" w:sz="0" w:space="0" w:color="auto"/>
          </w:divBdr>
        </w:div>
        <w:div w:id="1127965300">
          <w:marLeft w:val="0"/>
          <w:marRight w:val="0"/>
          <w:marTop w:val="0"/>
          <w:marBottom w:val="0"/>
          <w:divBdr>
            <w:top w:val="none" w:sz="0" w:space="0" w:color="auto"/>
            <w:left w:val="none" w:sz="0" w:space="0" w:color="auto"/>
            <w:bottom w:val="none" w:sz="0" w:space="0" w:color="auto"/>
            <w:right w:val="none" w:sz="0" w:space="0" w:color="auto"/>
          </w:divBdr>
        </w:div>
        <w:div w:id="642275698">
          <w:marLeft w:val="0"/>
          <w:marRight w:val="0"/>
          <w:marTop w:val="0"/>
          <w:marBottom w:val="0"/>
          <w:divBdr>
            <w:top w:val="none" w:sz="0" w:space="0" w:color="auto"/>
            <w:left w:val="none" w:sz="0" w:space="0" w:color="auto"/>
            <w:bottom w:val="none" w:sz="0" w:space="0" w:color="auto"/>
            <w:right w:val="none" w:sz="0" w:space="0" w:color="auto"/>
          </w:divBdr>
        </w:div>
        <w:div w:id="170536700">
          <w:marLeft w:val="0"/>
          <w:marRight w:val="0"/>
          <w:marTop w:val="0"/>
          <w:marBottom w:val="0"/>
          <w:divBdr>
            <w:top w:val="none" w:sz="0" w:space="0" w:color="auto"/>
            <w:left w:val="none" w:sz="0" w:space="0" w:color="auto"/>
            <w:bottom w:val="none" w:sz="0" w:space="0" w:color="auto"/>
            <w:right w:val="none" w:sz="0" w:space="0" w:color="auto"/>
          </w:divBdr>
        </w:div>
        <w:div w:id="345866062">
          <w:marLeft w:val="0"/>
          <w:marRight w:val="0"/>
          <w:marTop w:val="0"/>
          <w:marBottom w:val="0"/>
          <w:divBdr>
            <w:top w:val="none" w:sz="0" w:space="0" w:color="auto"/>
            <w:left w:val="none" w:sz="0" w:space="0" w:color="auto"/>
            <w:bottom w:val="none" w:sz="0" w:space="0" w:color="auto"/>
            <w:right w:val="none" w:sz="0" w:space="0" w:color="auto"/>
          </w:divBdr>
        </w:div>
        <w:div w:id="234903791">
          <w:marLeft w:val="0"/>
          <w:marRight w:val="0"/>
          <w:marTop w:val="0"/>
          <w:marBottom w:val="0"/>
          <w:divBdr>
            <w:top w:val="none" w:sz="0" w:space="0" w:color="auto"/>
            <w:left w:val="none" w:sz="0" w:space="0" w:color="auto"/>
            <w:bottom w:val="none" w:sz="0" w:space="0" w:color="auto"/>
            <w:right w:val="none" w:sz="0" w:space="0" w:color="auto"/>
          </w:divBdr>
        </w:div>
        <w:div w:id="1893536808">
          <w:marLeft w:val="0"/>
          <w:marRight w:val="0"/>
          <w:marTop w:val="0"/>
          <w:marBottom w:val="0"/>
          <w:divBdr>
            <w:top w:val="none" w:sz="0" w:space="0" w:color="auto"/>
            <w:left w:val="none" w:sz="0" w:space="0" w:color="auto"/>
            <w:bottom w:val="none" w:sz="0" w:space="0" w:color="auto"/>
            <w:right w:val="none" w:sz="0" w:space="0" w:color="auto"/>
          </w:divBdr>
        </w:div>
        <w:div w:id="1490822758">
          <w:marLeft w:val="0"/>
          <w:marRight w:val="0"/>
          <w:marTop w:val="0"/>
          <w:marBottom w:val="0"/>
          <w:divBdr>
            <w:top w:val="none" w:sz="0" w:space="0" w:color="auto"/>
            <w:left w:val="none" w:sz="0" w:space="0" w:color="auto"/>
            <w:bottom w:val="none" w:sz="0" w:space="0" w:color="auto"/>
            <w:right w:val="none" w:sz="0" w:space="0" w:color="auto"/>
          </w:divBdr>
        </w:div>
        <w:div w:id="748773045">
          <w:marLeft w:val="0"/>
          <w:marRight w:val="0"/>
          <w:marTop w:val="0"/>
          <w:marBottom w:val="0"/>
          <w:divBdr>
            <w:top w:val="none" w:sz="0" w:space="0" w:color="auto"/>
            <w:left w:val="none" w:sz="0" w:space="0" w:color="auto"/>
            <w:bottom w:val="none" w:sz="0" w:space="0" w:color="auto"/>
            <w:right w:val="none" w:sz="0" w:space="0" w:color="auto"/>
          </w:divBdr>
        </w:div>
        <w:div w:id="1750299544">
          <w:marLeft w:val="0"/>
          <w:marRight w:val="0"/>
          <w:marTop w:val="0"/>
          <w:marBottom w:val="0"/>
          <w:divBdr>
            <w:top w:val="none" w:sz="0" w:space="0" w:color="auto"/>
            <w:left w:val="none" w:sz="0" w:space="0" w:color="auto"/>
            <w:bottom w:val="none" w:sz="0" w:space="0" w:color="auto"/>
            <w:right w:val="none" w:sz="0" w:space="0" w:color="auto"/>
          </w:divBdr>
        </w:div>
        <w:div w:id="1248731395">
          <w:marLeft w:val="0"/>
          <w:marRight w:val="0"/>
          <w:marTop w:val="0"/>
          <w:marBottom w:val="0"/>
          <w:divBdr>
            <w:top w:val="none" w:sz="0" w:space="0" w:color="auto"/>
            <w:left w:val="none" w:sz="0" w:space="0" w:color="auto"/>
            <w:bottom w:val="none" w:sz="0" w:space="0" w:color="auto"/>
            <w:right w:val="none" w:sz="0" w:space="0" w:color="auto"/>
          </w:divBdr>
        </w:div>
        <w:div w:id="83496313">
          <w:marLeft w:val="0"/>
          <w:marRight w:val="0"/>
          <w:marTop w:val="0"/>
          <w:marBottom w:val="0"/>
          <w:divBdr>
            <w:top w:val="none" w:sz="0" w:space="0" w:color="auto"/>
            <w:left w:val="none" w:sz="0" w:space="0" w:color="auto"/>
            <w:bottom w:val="none" w:sz="0" w:space="0" w:color="auto"/>
            <w:right w:val="none" w:sz="0" w:space="0" w:color="auto"/>
          </w:divBdr>
        </w:div>
        <w:div w:id="1990397556">
          <w:marLeft w:val="0"/>
          <w:marRight w:val="0"/>
          <w:marTop w:val="0"/>
          <w:marBottom w:val="0"/>
          <w:divBdr>
            <w:top w:val="none" w:sz="0" w:space="0" w:color="auto"/>
            <w:left w:val="none" w:sz="0" w:space="0" w:color="auto"/>
            <w:bottom w:val="none" w:sz="0" w:space="0" w:color="auto"/>
            <w:right w:val="none" w:sz="0" w:space="0" w:color="auto"/>
          </w:divBdr>
        </w:div>
        <w:div w:id="189731929">
          <w:marLeft w:val="0"/>
          <w:marRight w:val="0"/>
          <w:marTop w:val="0"/>
          <w:marBottom w:val="0"/>
          <w:divBdr>
            <w:top w:val="none" w:sz="0" w:space="0" w:color="auto"/>
            <w:left w:val="none" w:sz="0" w:space="0" w:color="auto"/>
            <w:bottom w:val="none" w:sz="0" w:space="0" w:color="auto"/>
            <w:right w:val="none" w:sz="0" w:space="0" w:color="auto"/>
          </w:divBdr>
        </w:div>
        <w:div w:id="618799041">
          <w:marLeft w:val="0"/>
          <w:marRight w:val="0"/>
          <w:marTop w:val="0"/>
          <w:marBottom w:val="0"/>
          <w:divBdr>
            <w:top w:val="none" w:sz="0" w:space="0" w:color="auto"/>
            <w:left w:val="none" w:sz="0" w:space="0" w:color="auto"/>
            <w:bottom w:val="none" w:sz="0" w:space="0" w:color="auto"/>
            <w:right w:val="none" w:sz="0" w:space="0" w:color="auto"/>
          </w:divBdr>
        </w:div>
        <w:div w:id="1006249163">
          <w:marLeft w:val="0"/>
          <w:marRight w:val="0"/>
          <w:marTop w:val="0"/>
          <w:marBottom w:val="0"/>
          <w:divBdr>
            <w:top w:val="none" w:sz="0" w:space="0" w:color="auto"/>
            <w:left w:val="none" w:sz="0" w:space="0" w:color="auto"/>
            <w:bottom w:val="none" w:sz="0" w:space="0" w:color="auto"/>
            <w:right w:val="none" w:sz="0" w:space="0" w:color="auto"/>
          </w:divBdr>
        </w:div>
        <w:div w:id="328406360">
          <w:marLeft w:val="0"/>
          <w:marRight w:val="0"/>
          <w:marTop w:val="0"/>
          <w:marBottom w:val="0"/>
          <w:divBdr>
            <w:top w:val="none" w:sz="0" w:space="0" w:color="auto"/>
            <w:left w:val="none" w:sz="0" w:space="0" w:color="auto"/>
            <w:bottom w:val="none" w:sz="0" w:space="0" w:color="auto"/>
            <w:right w:val="none" w:sz="0" w:space="0" w:color="auto"/>
          </w:divBdr>
        </w:div>
        <w:div w:id="1293057594">
          <w:marLeft w:val="0"/>
          <w:marRight w:val="0"/>
          <w:marTop w:val="0"/>
          <w:marBottom w:val="0"/>
          <w:divBdr>
            <w:top w:val="none" w:sz="0" w:space="0" w:color="auto"/>
            <w:left w:val="none" w:sz="0" w:space="0" w:color="auto"/>
            <w:bottom w:val="none" w:sz="0" w:space="0" w:color="auto"/>
            <w:right w:val="none" w:sz="0" w:space="0" w:color="auto"/>
          </w:divBdr>
        </w:div>
        <w:div w:id="735519057">
          <w:marLeft w:val="0"/>
          <w:marRight w:val="0"/>
          <w:marTop w:val="0"/>
          <w:marBottom w:val="0"/>
          <w:divBdr>
            <w:top w:val="none" w:sz="0" w:space="0" w:color="auto"/>
            <w:left w:val="none" w:sz="0" w:space="0" w:color="auto"/>
            <w:bottom w:val="none" w:sz="0" w:space="0" w:color="auto"/>
            <w:right w:val="none" w:sz="0" w:space="0" w:color="auto"/>
          </w:divBdr>
        </w:div>
        <w:div w:id="861551855">
          <w:marLeft w:val="0"/>
          <w:marRight w:val="0"/>
          <w:marTop w:val="0"/>
          <w:marBottom w:val="0"/>
          <w:divBdr>
            <w:top w:val="none" w:sz="0" w:space="0" w:color="auto"/>
            <w:left w:val="none" w:sz="0" w:space="0" w:color="auto"/>
            <w:bottom w:val="none" w:sz="0" w:space="0" w:color="auto"/>
            <w:right w:val="none" w:sz="0" w:space="0" w:color="auto"/>
          </w:divBdr>
        </w:div>
        <w:div w:id="744305286">
          <w:marLeft w:val="0"/>
          <w:marRight w:val="0"/>
          <w:marTop w:val="0"/>
          <w:marBottom w:val="0"/>
          <w:divBdr>
            <w:top w:val="none" w:sz="0" w:space="0" w:color="auto"/>
            <w:left w:val="none" w:sz="0" w:space="0" w:color="auto"/>
            <w:bottom w:val="none" w:sz="0" w:space="0" w:color="auto"/>
            <w:right w:val="none" w:sz="0" w:space="0" w:color="auto"/>
          </w:divBdr>
        </w:div>
        <w:div w:id="1685932790">
          <w:marLeft w:val="0"/>
          <w:marRight w:val="0"/>
          <w:marTop w:val="0"/>
          <w:marBottom w:val="0"/>
          <w:divBdr>
            <w:top w:val="none" w:sz="0" w:space="0" w:color="auto"/>
            <w:left w:val="none" w:sz="0" w:space="0" w:color="auto"/>
            <w:bottom w:val="none" w:sz="0" w:space="0" w:color="auto"/>
            <w:right w:val="none" w:sz="0" w:space="0" w:color="auto"/>
          </w:divBdr>
        </w:div>
        <w:div w:id="1281762567">
          <w:marLeft w:val="0"/>
          <w:marRight w:val="0"/>
          <w:marTop w:val="0"/>
          <w:marBottom w:val="0"/>
          <w:divBdr>
            <w:top w:val="none" w:sz="0" w:space="0" w:color="auto"/>
            <w:left w:val="none" w:sz="0" w:space="0" w:color="auto"/>
            <w:bottom w:val="none" w:sz="0" w:space="0" w:color="auto"/>
            <w:right w:val="none" w:sz="0" w:space="0" w:color="auto"/>
          </w:divBdr>
        </w:div>
        <w:div w:id="524487943">
          <w:marLeft w:val="0"/>
          <w:marRight w:val="0"/>
          <w:marTop w:val="0"/>
          <w:marBottom w:val="0"/>
          <w:divBdr>
            <w:top w:val="none" w:sz="0" w:space="0" w:color="auto"/>
            <w:left w:val="none" w:sz="0" w:space="0" w:color="auto"/>
            <w:bottom w:val="none" w:sz="0" w:space="0" w:color="auto"/>
            <w:right w:val="none" w:sz="0" w:space="0" w:color="auto"/>
          </w:divBdr>
        </w:div>
        <w:div w:id="1662730237">
          <w:marLeft w:val="0"/>
          <w:marRight w:val="0"/>
          <w:marTop w:val="0"/>
          <w:marBottom w:val="0"/>
          <w:divBdr>
            <w:top w:val="none" w:sz="0" w:space="0" w:color="auto"/>
            <w:left w:val="none" w:sz="0" w:space="0" w:color="auto"/>
            <w:bottom w:val="none" w:sz="0" w:space="0" w:color="auto"/>
            <w:right w:val="none" w:sz="0" w:space="0" w:color="auto"/>
          </w:divBdr>
        </w:div>
        <w:div w:id="1993439228">
          <w:marLeft w:val="0"/>
          <w:marRight w:val="0"/>
          <w:marTop w:val="0"/>
          <w:marBottom w:val="0"/>
          <w:divBdr>
            <w:top w:val="none" w:sz="0" w:space="0" w:color="auto"/>
            <w:left w:val="none" w:sz="0" w:space="0" w:color="auto"/>
            <w:bottom w:val="none" w:sz="0" w:space="0" w:color="auto"/>
            <w:right w:val="none" w:sz="0" w:space="0" w:color="auto"/>
          </w:divBdr>
        </w:div>
        <w:div w:id="752971401">
          <w:marLeft w:val="0"/>
          <w:marRight w:val="0"/>
          <w:marTop w:val="0"/>
          <w:marBottom w:val="0"/>
          <w:divBdr>
            <w:top w:val="none" w:sz="0" w:space="0" w:color="auto"/>
            <w:left w:val="none" w:sz="0" w:space="0" w:color="auto"/>
            <w:bottom w:val="none" w:sz="0" w:space="0" w:color="auto"/>
            <w:right w:val="none" w:sz="0" w:space="0" w:color="auto"/>
          </w:divBdr>
        </w:div>
        <w:div w:id="527068353">
          <w:marLeft w:val="0"/>
          <w:marRight w:val="0"/>
          <w:marTop w:val="0"/>
          <w:marBottom w:val="0"/>
          <w:divBdr>
            <w:top w:val="none" w:sz="0" w:space="0" w:color="auto"/>
            <w:left w:val="none" w:sz="0" w:space="0" w:color="auto"/>
            <w:bottom w:val="none" w:sz="0" w:space="0" w:color="auto"/>
            <w:right w:val="none" w:sz="0" w:space="0" w:color="auto"/>
          </w:divBdr>
        </w:div>
        <w:div w:id="1622296886">
          <w:marLeft w:val="0"/>
          <w:marRight w:val="0"/>
          <w:marTop w:val="0"/>
          <w:marBottom w:val="0"/>
          <w:divBdr>
            <w:top w:val="none" w:sz="0" w:space="0" w:color="auto"/>
            <w:left w:val="none" w:sz="0" w:space="0" w:color="auto"/>
            <w:bottom w:val="none" w:sz="0" w:space="0" w:color="auto"/>
            <w:right w:val="none" w:sz="0" w:space="0" w:color="auto"/>
          </w:divBdr>
        </w:div>
        <w:div w:id="745300347">
          <w:marLeft w:val="0"/>
          <w:marRight w:val="0"/>
          <w:marTop w:val="0"/>
          <w:marBottom w:val="0"/>
          <w:divBdr>
            <w:top w:val="none" w:sz="0" w:space="0" w:color="auto"/>
            <w:left w:val="none" w:sz="0" w:space="0" w:color="auto"/>
            <w:bottom w:val="none" w:sz="0" w:space="0" w:color="auto"/>
            <w:right w:val="none" w:sz="0" w:space="0" w:color="auto"/>
          </w:divBdr>
        </w:div>
        <w:div w:id="1286347012">
          <w:marLeft w:val="0"/>
          <w:marRight w:val="0"/>
          <w:marTop w:val="0"/>
          <w:marBottom w:val="0"/>
          <w:divBdr>
            <w:top w:val="none" w:sz="0" w:space="0" w:color="auto"/>
            <w:left w:val="none" w:sz="0" w:space="0" w:color="auto"/>
            <w:bottom w:val="none" w:sz="0" w:space="0" w:color="auto"/>
            <w:right w:val="none" w:sz="0" w:space="0" w:color="auto"/>
          </w:divBdr>
        </w:div>
        <w:div w:id="743187182">
          <w:marLeft w:val="0"/>
          <w:marRight w:val="0"/>
          <w:marTop w:val="0"/>
          <w:marBottom w:val="0"/>
          <w:divBdr>
            <w:top w:val="none" w:sz="0" w:space="0" w:color="auto"/>
            <w:left w:val="none" w:sz="0" w:space="0" w:color="auto"/>
            <w:bottom w:val="none" w:sz="0" w:space="0" w:color="auto"/>
            <w:right w:val="none" w:sz="0" w:space="0" w:color="auto"/>
          </w:divBdr>
        </w:div>
        <w:div w:id="652880328">
          <w:marLeft w:val="0"/>
          <w:marRight w:val="0"/>
          <w:marTop w:val="0"/>
          <w:marBottom w:val="0"/>
          <w:divBdr>
            <w:top w:val="none" w:sz="0" w:space="0" w:color="auto"/>
            <w:left w:val="none" w:sz="0" w:space="0" w:color="auto"/>
            <w:bottom w:val="none" w:sz="0" w:space="0" w:color="auto"/>
            <w:right w:val="none" w:sz="0" w:space="0" w:color="auto"/>
          </w:divBdr>
        </w:div>
        <w:div w:id="1754617835">
          <w:marLeft w:val="0"/>
          <w:marRight w:val="0"/>
          <w:marTop w:val="0"/>
          <w:marBottom w:val="0"/>
          <w:divBdr>
            <w:top w:val="none" w:sz="0" w:space="0" w:color="auto"/>
            <w:left w:val="none" w:sz="0" w:space="0" w:color="auto"/>
            <w:bottom w:val="none" w:sz="0" w:space="0" w:color="auto"/>
            <w:right w:val="none" w:sz="0" w:space="0" w:color="auto"/>
          </w:divBdr>
        </w:div>
        <w:div w:id="121774678">
          <w:marLeft w:val="0"/>
          <w:marRight w:val="0"/>
          <w:marTop w:val="0"/>
          <w:marBottom w:val="0"/>
          <w:divBdr>
            <w:top w:val="none" w:sz="0" w:space="0" w:color="auto"/>
            <w:left w:val="none" w:sz="0" w:space="0" w:color="auto"/>
            <w:bottom w:val="none" w:sz="0" w:space="0" w:color="auto"/>
            <w:right w:val="none" w:sz="0" w:space="0" w:color="auto"/>
          </w:divBdr>
        </w:div>
        <w:div w:id="1584990224">
          <w:marLeft w:val="0"/>
          <w:marRight w:val="0"/>
          <w:marTop w:val="0"/>
          <w:marBottom w:val="0"/>
          <w:divBdr>
            <w:top w:val="none" w:sz="0" w:space="0" w:color="auto"/>
            <w:left w:val="none" w:sz="0" w:space="0" w:color="auto"/>
            <w:bottom w:val="none" w:sz="0" w:space="0" w:color="auto"/>
            <w:right w:val="none" w:sz="0" w:space="0" w:color="auto"/>
          </w:divBdr>
        </w:div>
        <w:div w:id="1467234553">
          <w:marLeft w:val="0"/>
          <w:marRight w:val="0"/>
          <w:marTop w:val="0"/>
          <w:marBottom w:val="0"/>
          <w:divBdr>
            <w:top w:val="none" w:sz="0" w:space="0" w:color="auto"/>
            <w:left w:val="none" w:sz="0" w:space="0" w:color="auto"/>
            <w:bottom w:val="none" w:sz="0" w:space="0" w:color="auto"/>
            <w:right w:val="none" w:sz="0" w:space="0" w:color="auto"/>
          </w:divBdr>
        </w:div>
        <w:div w:id="987176136">
          <w:marLeft w:val="0"/>
          <w:marRight w:val="0"/>
          <w:marTop w:val="0"/>
          <w:marBottom w:val="0"/>
          <w:divBdr>
            <w:top w:val="none" w:sz="0" w:space="0" w:color="auto"/>
            <w:left w:val="none" w:sz="0" w:space="0" w:color="auto"/>
            <w:bottom w:val="none" w:sz="0" w:space="0" w:color="auto"/>
            <w:right w:val="none" w:sz="0" w:space="0" w:color="auto"/>
          </w:divBdr>
        </w:div>
        <w:div w:id="887912107">
          <w:marLeft w:val="0"/>
          <w:marRight w:val="0"/>
          <w:marTop w:val="0"/>
          <w:marBottom w:val="0"/>
          <w:divBdr>
            <w:top w:val="none" w:sz="0" w:space="0" w:color="auto"/>
            <w:left w:val="none" w:sz="0" w:space="0" w:color="auto"/>
            <w:bottom w:val="none" w:sz="0" w:space="0" w:color="auto"/>
            <w:right w:val="none" w:sz="0" w:space="0" w:color="auto"/>
          </w:divBdr>
        </w:div>
        <w:div w:id="613026188">
          <w:marLeft w:val="0"/>
          <w:marRight w:val="0"/>
          <w:marTop w:val="0"/>
          <w:marBottom w:val="0"/>
          <w:divBdr>
            <w:top w:val="none" w:sz="0" w:space="0" w:color="auto"/>
            <w:left w:val="none" w:sz="0" w:space="0" w:color="auto"/>
            <w:bottom w:val="none" w:sz="0" w:space="0" w:color="auto"/>
            <w:right w:val="none" w:sz="0" w:space="0" w:color="auto"/>
          </w:divBdr>
        </w:div>
        <w:div w:id="943537985">
          <w:marLeft w:val="0"/>
          <w:marRight w:val="0"/>
          <w:marTop w:val="0"/>
          <w:marBottom w:val="0"/>
          <w:divBdr>
            <w:top w:val="none" w:sz="0" w:space="0" w:color="auto"/>
            <w:left w:val="none" w:sz="0" w:space="0" w:color="auto"/>
            <w:bottom w:val="none" w:sz="0" w:space="0" w:color="auto"/>
            <w:right w:val="none" w:sz="0" w:space="0" w:color="auto"/>
          </w:divBdr>
        </w:div>
        <w:div w:id="1239487249">
          <w:marLeft w:val="0"/>
          <w:marRight w:val="0"/>
          <w:marTop w:val="0"/>
          <w:marBottom w:val="0"/>
          <w:divBdr>
            <w:top w:val="none" w:sz="0" w:space="0" w:color="auto"/>
            <w:left w:val="none" w:sz="0" w:space="0" w:color="auto"/>
            <w:bottom w:val="none" w:sz="0" w:space="0" w:color="auto"/>
            <w:right w:val="none" w:sz="0" w:space="0" w:color="auto"/>
          </w:divBdr>
        </w:div>
        <w:div w:id="2015449168">
          <w:marLeft w:val="0"/>
          <w:marRight w:val="0"/>
          <w:marTop w:val="0"/>
          <w:marBottom w:val="0"/>
          <w:divBdr>
            <w:top w:val="none" w:sz="0" w:space="0" w:color="auto"/>
            <w:left w:val="none" w:sz="0" w:space="0" w:color="auto"/>
            <w:bottom w:val="none" w:sz="0" w:space="0" w:color="auto"/>
            <w:right w:val="none" w:sz="0" w:space="0" w:color="auto"/>
          </w:divBdr>
        </w:div>
        <w:div w:id="509833935">
          <w:marLeft w:val="0"/>
          <w:marRight w:val="0"/>
          <w:marTop w:val="0"/>
          <w:marBottom w:val="0"/>
          <w:divBdr>
            <w:top w:val="none" w:sz="0" w:space="0" w:color="auto"/>
            <w:left w:val="none" w:sz="0" w:space="0" w:color="auto"/>
            <w:bottom w:val="none" w:sz="0" w:space="0" w:color="auto"/>
            <w:right w:val="none" w:sz="0" w:space="0" w:color="auto"/>
          </w:divBdr>
        </w:div>
        <w:div w:id="712969890">
          <w:marLeft w:val="0"/>
          <w:marRight w:val="0"/>
          <w:marTop w:val="0"/>
          <w:marBottom w:val="0"/>
          <w:divBdr>
            <w:top w:val="none" w:sz="0" w:space="0" w:color="auto"/>
            <w:left w:val="none" w:sz="0" w:space="0" w:color="auto"/>
            <w:bottom w:val="none" w:sz="0" w:space="0" w:color="auto"/>
            <w:right w:val="none" w:sz="0" w:space="0" w:color="auto"/>
          </w:divBdr>
        </w:div>
        <w:div w:id="1469204304">
          <w:marLeft w:val="0"/>
          <w:marRight w:val="0"/>
          <w:marTop w:val="0"/>
          <w:marBottom w:val="0"/>
          <w:divBdr>
            <w:top w:val="none" w:sz="0" w:space="0" w:color="auto"/>
            <w:left w:val="none" w:sz="0" w:space="0" w:color="auto"/>
            <w:bottom w:val="none" w:sz="0" w:space="0" w:color="auto"/>
            <w:right w:val="none" w:sz="0" w:space="0" w:color="auto"/>
          </w:divBdr>
        </w:div>
        <w:div w:id="1747418456">
          <w:marLeft w:val="0"/>
          <w:marRight w:val="0"/>
          <w:marTop w:val="0"/>
          <w:marBottom w:val="0"/>
          <w:divBdr>
            <w:top w:val="none" w:sz="0" w:space="0" w:color="auto"/>
            <w:left w:val="none" w:sz="0" w:space="0" w:color="auto"/>
            <w:bottom w:val="none" w:sz="0" w:space="0" w:color="auto"/>
            <w:right w:val="none" w:sz="0" w:space="0" w:color="auto"/>
          </w:divBdr>
        </w:div>
        <w:div w:id="1180923771">
          <w:marLeft w:val="0"/>
          <w:marRight w:val="0"/>
          <w:marTop w:val="0"/>
          <w:marBottom w:val="0"/>
          <w:divBdr>
            <w:top w:val="none" w:sz="0" w:space="0" w:color="auto"/>
            <w:left w:val="none" w:sz="0" w:space="0" w:color="auto"/>
            <w:bottom w:val="none" w:sz="0" w:space="0" w:color="auto"/>
            <w:right w:val="none" w:sz="0" w:space="0" w:color="auto"/>
          </w:divBdr>
        </w:div>
        <w:div w:id="1158183284">
          <w:marLeft w:val="0"/>
          <w:marRight w:val="0"/>
          <w:marTop w:val="0"/>
          <w:marBottom w:val="0"/>
          <w:divBdr>
            <w:top w:val="none" w:sz="0" w:space="0" w:color="auto"/>
            <w:left w:val="none" w:sz="0" w:space="0" w:color="auto"/>
            <w:bottom w:val="none" w:sz="0" w:space="0" w:color="auto"/>
            <w:right w:val="none" w:sz="0" w:space="0" w:color="auto"/>
          </w:divBdr>
        </w:div>
        <w:div w:id="328673783">
          <w:marLeft w:val="0"/>
          <w:marRight w:val="0"/>
          <w:marTop w:val="0"/>
          <w:marBottom w:val="0"/>
          <w:divBdr>
            <w:top w:val="none" w:sz="0" w:space="0" w:color="auto"/>
            <w:left w:val="none" w:sz="0" w:space="0" w:color="auto"/>
            <w:bottom w:val="none" w:sz="0" w:space="0" w:color="auto"/>
            <w:right w:val="none" w:sz="0" w:space="0" w:color="auto"/>
          </w:divBdr>
        </w:div>
        <w:div w:id="166986343">
          <w:marLeft w:val="0"/>
          <w:marRight w:val="0"/>
          <w:marTop w:val="0"/>
          <w:marBottom w:val="0"/>
          <w:divBdr>
            <w:top w:val="none" w:sz="0" w:space="0" w:color="auto"/>
            <w:left w:val="none" w:sz="0" w:space="0" w:color="auto"/>
            <w:bottom w:val="none" w:sz="0" w:space="0" w:color="auto"/>
            <w:right w:val="none" w:sz="0" w:space="0" w:color="auto"/>
          </w:divBdr>
        </w:div>
        <w:div w:id="742293473">
          <w:marLeft w:val="0"/>
          <w:marRight w:val="0"/>
          <w:marTop w:val="0"/>
          <w:marBottom w:val="0"/>
          <w:divBdr>
            <w:top w:val="none" w:sz="0" w:space="0" w:color="auto"/>
            <w:left w:val="none" w:sz="0" w:space="0" w:color="auto"/>
            <w:bottom w:val="none" w:sz="0" w:space="0" w:color="auto"/>
            <w:right w:val="none" w:sz="0" w:space="0" w:color="auto"/>
          </w:divBdr>
        </w:div>
        <w:div w:id="2135323951">
          <w:marLeft w:val="0"/>
          <w:marRight w:val="0"/>
          <w:marTop w:val="0"/>
          <w:marBottom w:val="0"/>
          <w:divBdr>
            <w:top w:val="none" w:sz="0" w:space="0" w:color="auto"/>
            <w:left w:val="none" w:sz="0" w:space="0" w:color="auto"/>
            <w:bottom w:val="none" w:sz="0" w:space="0" w:color="auto"/>
            <w:right w:val="none" w:sz="0" w:space="0" w:color="auto"/>
          </w:divBdr>
        </w:div>
        <w:div w:id="688868818">
          <w:marLeft w:val="0"/>
          <w:marRight w:val="0"/>
          <w:marTop w:val="0"/>
          <w:marBottom w:val="0"/>
          <w:divBdr>
            <w:top w:val="none" w:sz="0" w:space="0" w:color="auto"/>
            <w:left w:val="none" w:sz="0" w:space="0" w:color="auto"/>
            <w:bottom w:val="none" w:sz="0" w:space="0" w:color="auto"/>
            <w:right w:val="none" w:sz="0" w:space="0" w:color="auto"/>
          </w:divBdr>
        </w:div>
      </w:divsChild>
    </w:div>
    <w:div w:id="1487547943">
      <w:bodyDiv w:val="1"/>
      <w:marLeft w:val="0"/>
      <w:marRight w:val="0"/>
      <w:marTop w:val="0"/>
      <w:marBottom w:val="0"/>
      <w:divBdr>
        <w:top w:val="none" w:sz="0" w:space="0" w:color="auto"/>
        <w:left w:val="none" w:sz="0" w:space="0" w:color="auto"/>
        <w:bottom w:val="none" w:sz="0" w:space="0" w:color="auto"/>
        <w:right w:val="none" w:sz="0" w:space="0" w:color="auto"/>
      </w:divBdr>
      <w:divsChild>
        <w:div w:id="1066562893">
          <w:marLeft w:val="0"/>
          <w:marRight w:val="0"/>
          <w:marTop w:val="0"/>
          <w:marBottom w:val="0"/>
          <w:divBdr>
            <w:top w:val="none" w:sz="0" w:space="0" w:color="auto"/>
            <w:left w:val="none" w:sz="0" w:space="0" w:color="auto"/>
            <w:bottom w:val="none" w:sz="0" w:space="0" w:color="auto"/>
            <w:right w:val="none" w:sz="0" w:space="0" w:color="auto"/>
          </w:divBdr>
        </w:div>
        <w:div w:id="1199469038">
          <w:marLeft w:val="0"/>
          <w:marRight w:val="0"/>
          <w:marTop w:val="0"/>
          <w:marBottom w:val="0"/>
          <w:divBdr>
            <w:top w:val="none" w:sz="0" w:space="0" w:color="auto"/>
            <w:left w:val="none" w:sz="0" w:space="0" w:color="auto"/>
            <w:bottom w:val="none" w:sz="0" w:space="0" w:color="auto"/>
            <w:right w:val="none" w:sz="0" w:space="0" w:color="auto"/>
          </w:divBdr>
        </w:div>
        <w:div w:id="1394700468">
          <w:marLeft w:val="0"/>
          <w:marRight w:val="0"/>
          <w:marTop w:val="0"/>
          <w:marBottom w:val="0"/>
          <w:divBdr>
            <w:top w:val="none" w:sz="0" w:space="0" w:color="auto"/>
            <w:left w:val="none" w:sz="0" w:space="0" w:color="auto"/>
            <w:bottom w:val="none" w:sz="0" w:space="0" w:color="auto"/>
            <w:right w:val="none" w:sz="0" w:space="0" w:color="auto"/>
          </w:divBdr>
        </w:div>
        <w:div w:id="1342470559">
          <w:marLeft w:val="0"/>
          <w:marRight w:val="0"/>
          <w:marTop w:val="0"/>
          <w:marBottom w:val="0"/>
          <w:divBdr>
            <w:top w:val="none" w:sz="0" w:space="0" w:color="auto"/>
            <w:left w:val="none" w:sz="0" w:space="0" w:color="auto"/>
            <w:bottom w:val="none" w:sz="0" w:space="0" w:color="auto"/>
            <w:right w:val="none" w:sz="0" w:space="0" w:color="auto"/>
          </w:divBdr>
        </w:div>
        <w:div w:id="2140762073">
          <w:marLeft w:val="0"/>
          <w:marRight w:val="0"/>
          <w:marTop w:val="0"/>
          <w:marBottom w:val="0"/>
          <w:divBdr>
            <w:top w:val="none" w:sz="0" w:space="0" w:color="auto"/>
            <w:left w:val="none" w:sz="0" w:space="0" w:color="auto"/>
            <w:bottom w:val="none" w:sz="0" w:space="0" w:color="auto"/>
            <w:right w:val="none" w:sz="0" w:space="0" w:color="auto"/>
          </w:divBdr>
        </w:div>
        <w:div w:id="207687683">
          <w:marLeft w:val="0"/>
          <w:marRight w:val="0"/>
          <w:marTop w:val="0"/>
          <w:marBottom w:val="0"/>
          <w:divBdr>
            <w:top w:val="none" w:sz="0" w:space="0" w:color="auto"/>
            <w:left w:val="none" w:sz="0" w:space="0" w:color="auto"/>
            <w:bottom w:val="none" w:sz="0" w:space="0" w:color="auto"/>
            <w:right w:val="none" w:sz="0" w:space="0" w:color="auto"/>
          </w:divBdr>
        </w:div>
        <w:div w:id="1472819844">
          <w:marLeft w:val="0"/>
          <w:marRight w:val="0"/>
          <w:marTop w:val="0"/>
          <w:marBottom w:val="0"/>
          <w:divBdr>
            <w:top w:val="none" w:sz="0" w:space="0" w:color="auto"/>
            <w:left w:val="none" w:sz="0" w:space="0" w:color="auto"/>
            <w:bottom w:val="none" w:sz="0" w:space="0" w:color="auto"/>
            <w:right w:val="none" w:sz="0" w:space="0" w:color="auto"/>
          </w:divBdr>
        </w:div>
        <w:div w:id="1361013668">
          <w:marLeft w:val="0"/>
          <w:marRight w:val="0"/>
          <w:marTop w:val="0"/>
          <w:marBottom w:val="0"/>
          <w:divBdr>
            <w:top w:val="none" w:sz="0" w:space="0" w:color="auto"/>
            <w:left w:val="none" w:sz="0" w:space="0" w:color="auto"/>
            <w:bottom w:val="none" w:sz="0" w:space="0" w:color="auto"/>
            <w:right w:val="none" w:sz="0" w:space="0" w:color="auto"/>
          </w:divBdr>
        </w:div>
        <w:div w:id="218782144">
          <w:marLeft w:val="0"/>
          <w:marRight w:val="0"/>
          <w:marTop w:val="0"/>
          <w:marBottom w:val="0"/>
          <w:divBdr>
            <w:top w:val="none" w:sz="0" w:space="0" w:color="auto"/>
            <w:left w:val="none" w:sz="0" w:space="0" w:color="auto"/>
            <w:bottom w:val="none" w:sz="0" w:space="0" w:color="auto"/>
            <w:right w:val="none" w:sz="0" w:space="0" w:color="auto"/>
          </w:divBdr>
        </w:div>
        <w:div w:id="961036291">
          <w:marLeft w:val="0"/>
          <w:marRight w:val="0"/>
          <w:marTop w:val="0"/>
          <w:marBottom w:val="0"/>
          <w:divBdr>
            <w:top w:val="none" w:sz="0" w:space="0" w:color="auto"/>
            <w:left w:val="none" w:sz="0" w:space="0" w:color="auto"/>
            <w:bottom w:val="none" w:sz="0" w:space="0" w:color="auto"/>
            <w:right w:val="none" w:sz="0" w:space="0" w:color="auto"/>
          </w:divBdr>
        </w:div>
        <w:div w:id="1101948845">
          <w:marLeft w:val="0"/>
          <w:marRight w:val="0"/>
          <w:marTop w:val="0"/>
          <w:marBottom w:val="0"/>
          <w:divBdr>
            <w:top w:val="none" w:sz="0" w:space="0" w:color="auto"/>
            <w:left w:val="none" w:sz="0" w:space="0" w:color="auto"/>
            <w:bottom w:val="none" w:sz="0" w:space="0" w:color="auto"/>
            <w:right w:val="none" w:sz="0" w:space="0" w:color="auto"/>
          </w:divBdr>
        </w:div>
        <w:div w:id="188564254">
          <w:marLeft w:val="0"/>
          <w:marRight w:val="0"/>
          <w:marTop w:val="0"/>
          <w:marBottom w:val="0"/>
          <w:divBdr>
            <w:top w:val="none" w:sz="0" w:space="0" w:color="auto"/>
            <w:left w:val="none" w:sz="0" w:space="0" w:color="auto"/>
            <w:bottom w:val="none" w:sz="0" w:space="0" w:color="auto"/>
            <w:right w:val="none" w:sz="0" w:space="0" w:color="auto"/>
          </w:divBdr>
        </w:div>
        <w:div w:id="1792165571">
          <w:marLeft w:val="0"/>
          <w:marRight w:val="0"/>
          <w:marTop w:val="0"/>
          <w:marBottom w:val="0"/>
          <w:divBdr>
            <w:top w:val="none" w:sz="0" w:space="0" w:color="auto"/>
            <w:left w:val="none" w:sz="0" w:space="0" w:color="auto"/>
            <w:bottom w:val="none" w:sz="0" w:space="0" w:color="auto"/>
            <w:right w:val="none" w:sz="0" w:space="0" w:color="auto"/>
          </w:divBdr>
        </w:div>
        <w:div w:id="1331324458">
          <w:marLeft w:val="0"/>
          <w:marRight w:val="0"/>
          <w:marTop w:val="0"/>
          <w:marBottom w:val="0"/>
          <w:divBdr>
            <w:top w:val="none" w:sz="0" w:space="0" w:color="auto"/>
            <w:left w:val="none" w:sz="0" w:space="0" w:color="auto"/>
            <w:bottom w:val="none" w:sz="0" w:space="0" w:color="auto"/>
            <w:right w:val="none" w:sz="0" w:space="0" w:color="auto"/>
          </w:divBdr>
        </w:div>
        <w:div w:id="2015262514">
          <w:marLeft w:val="0"/>
          <w:marRight w:val="0"/>
          <w:marTop w:val="0"/>
          <w:marBottom w:val="0"/>
          <w:divBdr>
            <w:top w:val="none" w:sz="0" w:space="0" w:color="auto"/>
            <w:left w:val="none" w:sz="0" w:space="0" w:color="auto"/>
            <w:bottom w:val="none" w:sz="0" w:space="0" w:color="auto"/>
            <w:right w:val="none" w:sz="0" w:space="0" w:color="auto"/>
          </w:divBdr>
        </w:div>
        <w:div w:id="1993288898">
          <w:marLeft w:val="0"/>
          <w:marRight w:val="0"/>
          <w:marTop w:val="0"/>
          <w:marBottom w:val="0"/>
          <w:divBdr>
            <w:top w:val="none" w:sz="0" w:space="0" w:color="auto"/>
            <w:left w:val="none" w:sz="0" w:space="0" w:color="auto"/>
            <w:bottom w:val="none" w:sz="0" w:space="0" w:color="auto"/>
            <w:right w:val="none" w:sz="0" w:space="0" w:color="auto"/>
          </w:divBdr>
        </w:div>
        <w:div w:id="765006030">
          <w:marLeft w:val="0"/>
          <w:marRight w:val="0"/>
          <w:marTop w:val="0"/>
          <w:marBottom w:val="0"/>
          <w:divBdr>
            <w:top w:val="none" w:sz="0" w:space="0" w:color="auto"/>
            <w:left w:val="none" w:sz="0" w:space="0" w:color="auto"/>
            <w:bottom w:val="none" w:sz="0" w:space="0" w:color="auto"/>
            <w:right w:val="none" w:sz="0" w:space="0" w:color="auto"/>
          </w:divBdr>
        </w:div>
        <w:div w:id="1241792814">
          <w:marLeft w:val="0"/>
          <w:marRight w:val="0"/>
          <w:marTop w:val="0"/>
          <w:marBottom w:val="0"/>
          <w:divBdr>
            <w:top w:val="none" w:sz="0" w:space="0" w:color="auto"/>
            <w:left w:val="none" w:sz="0" w:space="0" w:color="auto"/>
            <w:bottom w:val="none" w:sz="0" w:space="0" w:color="auto"/>
            <w:right w:val="none" w:sz="0" w:space="0" w:color="auto"/>
          </w:divBdr>
        </w:div>
        <w:div w:id="794638042">
          <w:marLeft w:val="0"/>
          <w:marRight w:val="0"/>
          <w:marTop w:val="0"/>
          <w:marBottom w:val="0"/>
          <w:divBdr>
            <w:top w:val="none" w:sz="0" w:space="0" w:color="auto"/>
            <w:left w:val="none" w:sz="0" w:space="0" w:color="auto"/>
            <w:bottom w:val="none" w:sz="0" w:space="0" w:color="auto"/>
            <w:right w:val="none" w:sz="0" w:space="0" w:color="auto"/>
          </w:divBdr>
        </w:div>
        <w:div w:id="1551645513">
          <w:marLeft w:val="0"/>
          <w:marRight w:val="0"/>
          <w:marTop w:val="0"/>
          <w:marBottom w:val="0"/>
          <w:divBdr>
            <w:top w:val="none" w:sz="0" w:space="0" w:color="auto"/>
            <w:left w:val="none" w:sz="0" w:space="0" w:color="auto"/>
            <w:bottom w:val="none" w:sz="0" w:space="0" w:color="auto"/>
            <w:right w:val="none" w:sz="0" w:space="0" w:color="auto"/>
          </w:divBdr>
        </w:div>
        <w:div w:id="2064325378">
          <w:marLeft w:val="0"/>
          <w:marRight w:val="0"/>
          <w:marTop w:val="0"/>
          <w:marBottom w:val="0"/>
          <w:divBdr>
            <w:top w:val="none" w:sz="0" w:space="0" w:color="auto"/>
            <w:left w:val="none" w:sz="0" w:space="0" w:color="auto"/>
            <w:bottom w:val="none" w:sz="0" w:space="0" w:color="auto"/>
            <w:right w:val="none" w:sz="0" w:space="0" w:color="auto"/>
          </w:divBdr>
        </w:div>
        <w:div w:id="812527213">
          <w:marLeft w:val="0"/>
          <w:marRight w:val="0"/>
          <w:marTop w:val="0"/>
          <w:marBottom w:val="0"/>
          <w:divBdr>
            <w:top w:val="none" w:sz="0" w:space="0" w:color="auto"/>
            <w:left w:val="none" w:sz="0" w:space="0" w:color="auto"/>
            <w:bottom w:val="none" w:sz="0" w:space="0" w:color="auto"/>
            <w:right w:val="none" w:sz="0" w:space="0" w:color="auto"/>
          </w:divBdr>
        </w:div>
        <w:div w:id="701134705">
          <w:marLeft w:val="0"/>
          <w:marRight w:val="0"/>
          <w:marTop w:val="0"/>
          <w:marBottom w:val="0"/>
          <w:divBdr>
            <w:top w:val="none" w:sz="0" w:space="0" w:color="auto"/>
            <w:left w:val="none" w:sz="0" w:space="0" w:color="auto"/>
            <w:bottom w:val="none" w:sz="0" w:space="0" w:color="auto"/>
            <w:right w:val="none" w:sz="0" w:space="0" w:color="auto"/>
          </w:divBdr>
        </w:div>
        <w:div w:id="1746612447">
          <w:marLeft w:val="0"/>
          <w:marRight w:val="0"/>
          <w:marTop w:val="0"/>
          <w:marBottom w:val="0"/>
          <w:divBdr>
            <w:top w:val="none" w:sz="0" w:space="0" w:color="auto"/>
            <w:left w:val="none" w:sz="0" w:space="0" w:color="auto"/>
            <w:bottom w:val="none" w:sz="0" w:space="0" w:color="auto"/>
            <w:right w:val="none" w:sz="0" w:space="0" w:color="auto"/>
          </w:divBdr>
        </w:div>
        <w:div w:id="1980186594">
          <w:marLeft w:val="0"/>
          <w:marRight w:val="0"/>
          <w:marTop w:val="0"/>
          <w:marBottom w:val="0"/>
          <w:divBdr>
            <w:top w:val="none" w:sz="0" w:space="0" w:color="auto"/>
            <w:left w:val="none" w:sz="0" w:space="0" w:color="auto"/>
            <w:bottom w:val="none" w:sz="0" w:space="0" w:color="auto"/>
            <w:right w:val="none" w:sz="0" w:space="0" w:color="auto"/>
          </w:divBdr>
        </w:div>
        <w:div w:id="1320382672">
          <w:marLeft w:val="0"/>
          <w:marRight w:val="0"/>
          <w:marTop w:val="0"/>
          <w:marBottom w:val="0"/>
          <w:divBdr>
            <w:top w:val="none" w:sz="0" w:space="0" w:color="auto"/>
            <w:left w:val="none" w:sz="0" w:space="0" w:color="auto"/>
            <w:bottom w:val="none" w:sz="0" w:space="0" w:color="auto"/>
            <w:right w:val="none" w:sz="0" w:space="0" w:color="auto"/>
          </w:divBdr>
        </w:div>
        <w:div w:id="278878824">
          <w:marLeft w:val="0"/>
          <w:marRight w:val="0"/>
          <w:marTop w:val="0"/>
          <w:marBottom w:val="0"/>
          <w:divBdr>
            <w:top w:val="none" w:sz="0" w:space="0" w:color="auto"/>
            <w:left w:val="none" w:sz="0" w:space="0" w:color="auto"/>
            <w:bottom w:val="none" w:sz="0" w:space="0" w:color="auto"/>
            <w:right w:val="none" w:sz="0" w:space="0" w:color="auto"/>
          </w:divBdr>
        </w:div>
        <w:div w:id="1783524820">
          <w:marLeft w:val="0"/>
          <w:marRight w:val="0"/>
          <w:marTop w:val="0"/>
          <w:marBottom w:val="0"/>
          <w:divBdr>
            <w:top w:val="none" w:sz="0" w:space="0" w:color="auto"/>
            <w:left w:val="none" w:sz="0" w:space="0" w:color="auto"/>
            <w:bottom w:val="none" w:sz="0" w:space="0" w:color="auto"/>
            <w:right w:val="none" w:sz="0" w:space="0" w:color="auto"/>
          </w:divBdr>
        </w:div>
        <w:div w:id="1998486934">
          <w:marLeft w:val="0"/>
          <w:marRight w:val="0"/>
          <w:marTop w:val="0"/>
          <w:marBottom w:val="0"/>
          <w:divBdr>
            <w:top w:val="none" w:sz="0" w:space="0" w:color="auto"/>
            <w:left w:val="none" w:sz="0" w:space="0" w:color="auto"/>
            <w:bottom w:val="none" w:sz="0" w:space="0" w:color="auto"/>
            <w:right w:val="none" w:sz="0" w:space="0" w:color="auto"/>
          </w:divBdr>
        </w:div>
        <w:div w:id="253055972">
          <w:marLeft w:val="0"/>
          <w:marRight w:val="0"/>
          <w:marTop w:val="0"/>
          <w:marBottom w:val="0"/>
          <w:divBdr>
            <w:top w:val="none" w:sz="0" w:space="0" w:color="auto"/>
            <w:left w:val="none" w:sz="0" w:space="0" w:color="auto"/>
            <w:bottom w:val="none" w:sz="0" w:space="0" w:color="auto"/>
            <w:right w:val="none" w:sz="0" w:space="0" w:color="auto"/>
          </w:divBdr>
        </w:div>
        <w:div w:id="2019573184">
          <w:marLeft w:val="0"/>
          <w:marRight w:val="0"/>
          <w:marTop w:val="0"/>
          <w:marBottom w:val="0"/>
          <w:divBdr>
            <w:top w:val="none" w:sz="0" w:space="0" w:color="auto"/>
            <w:left w:val="none" w:sz="0" w:space="0" w:color="auto"/>
            <w:bottom w:val="none" w:sz="0" w:space="0" w:color="auto"/>
            <w:right w:val="none" w:sz="0" w:space="0" w:color="auto"/>
          </w:divBdr>
        </w:div>
        <w:div w:id="384452317">
          <w:marLeft w:val="0"/>
          <w:marRight w:val="0"/>
          <w:marTop w:val="0"/>
          <w:marBottom w:val="0"/>
          <w:divBdr>
            <w:top w:val="none" w:sz="0" w:space="0" w:color="auto"/>
            <w:left w:val="none" w:sz="0" w:space="0" w:color="auto"/>
            <w:bottom w:val="none" w:sz="0" w:space="0" w:color="auto"/>
            <w:right w:val="none" w:sz="0" w:space="0" w:color="auto"/>
          </w:divBdr>
        </w:div>
        <w:div w:id="595984494">
          <w:marLeft w:val="0"/>
          <w:marRight w:val="0"/>
          <w:marTop w:val="0"/>
          <w:marBottom w:val="0"/>
          <w:divBdr>
            <w:top w:val="none" w:sz="0" w:space="0" w:color="auto"/>
            <w:left w:val="none" w:sz="0" w:space="0" w:color="auto"/>
            <w:bottom w:val="none" w:sz="0" w:space="0" w:color="auto"/>
            <w:right w:val="none" w:sz="0" w:space="0" w:color="auto"/>
          </w:divBdr>
        </w:div>
        <w:div w:id="82379388">
          <w:marLeft w:val="0"/>
          <w:marRight w:val="0"/>
          <w:marTop w:val="0"/>
          <w:marBottom w:val="0"/>
          <w:divBdr>
            <w:top w:val="none" w:sz="0" w:space="0" w:color="auto"/>
            <w:left w:val="none" w:sz="0" w:space="0" w:color="auto"/>
            <w:bottom w:val="none" w:sz="0" w:space="0" w:color="auto"/>
            <w:right w:val="none" w:sz="0" w:space="0" w:color="auto"/>
          </w:divBdr>
        </w:div>
        <w:div w:id="1606039434">
          <w:marLeft w:val="0"/>
          <w:marRight w:val="0"/>
          <w:marTop w:val="0"/>
          <w:marBottom w:val="0"/>
          <w:divBdr>
            <w:top w:val="none" w:sz="0" w:space="0" w:color="auto"/>
            <w:left w:val="none" w:sz="0" w:space="0" w:color="auto"/>
            <w:bottom w:val="none" w:sz="0" w:space="0" w:color="auto"/>
            <w:right w:val="none" w:sz="0" w:space="0" w:color="auto"/>
          </w:divBdr>
        </w:div>
        <w:div w:id="923492358">
          <w:marLeft w:val="0"/>
          <w:marRight w:val="0"/>
          <w:marTop w:val="0"/>
          <w:marBottom w:val="0"/>
          <w:divBdr>
            <w:top w:val="none" w:sz="0" w:space="0" w:color="auto"/>
            <w:left w:val="none" w:sz="0" w:space="0" w:color="auto"/>
            <w:bottom w:val="none" w:sz="0" w:space="0" w:color="auto"/>
            <w:right w:val="none" w:sz="0" w:space="0" w:color="auto"/>
          </w:divBdr>
        </w:div>
        <w:div w:id="1948150987">
          <w:marLeft w:val="0"/>
          <w:marRight w:val="0"/>
          <w:marTop w:val="0"/>
          <w:marBottom w:val="0"/>
          <w:divBdr>
            <w:top w:val="none" w:sz="0" w:space="0" w:color="auto"/>
            <w:left w:val="none" w:sz="0" w:space="0" w:color="auto"/>
            <w:bottom w:val="none" w:sz="0" w:space="0" w:color="auto"/>
            <w:right w:val="none" w:sz="0" w:space="0" w:color="auto"/>
          </w:divBdr>
        </w:div>
        <w:div w:id="1325209235">
          <w:marLeft w:val="0"/>
          <w:marRight w:val="0"/>
          <w:marTop w:val="0"/>
          <w:marBottom w:val="0"/>
          <w:divBdr>
            <w:top w:val="none" w:sz="0" w:space="0" w:color="auto"/>
            <w:left w:val="none" w:sz="0" w:space="0" w:color="auto"/>
            <w:bottom w:val="none" w:sz="0" w:space="0" w:color="auto"/>
            <w:right w:val="none" w:sz="0" w:space="0" w:color="auto"/>
          </w:divBdr>
        </w:div>
        <w:div w:id="286861630">
          <w:marLeft w:val="0"/>
          <w:marRight w:val="0"/>
          <w:marTop w:val="0"/>
          <w:marBottom w:val="0"/>
          <w:divBdr>
            <w:top w:val="none" w:sz="0" w:space="0" w:color="auto"/>
            <w:left w:val="none" w:sz="0" w:space="0" w:color="auto"/>
            <w:bottom w:val="none" w:sz="0" w:space="0" w:color="auto"/>
            <w:right w:val="none" w:sz="0" w:space="0" w:color="auto"/>
          </w:divBdr>
        </w:div>
        <w:div w:id="987856586">
          <w:marLeft w:val="0"/>
          <w:marRight w:val="0"/>
          <w:marTop w:val="0"/>
          <w:marBottom w:val="0"/>
          <w:divBdr>
            <w:top w:val="none" w:sz="0" w:space="0" w:color="auto"/>
            <w:left w:val="none" w:sz="0" w:space="0" w:color="auto"/>
            <w:bottom w:val="none" w:sz="0" w:space="0" w:color="auto"/>
            <w:right w:val="none" w:sz="0" w:space="0" w:color="auto"/>
          </w:divBdr>
        </w:div>
        <w:div w:id="1202866199">
          <w:marLeft w:val="0"/>
          <w:marRight w:val="0"/>
          <w:marTop w:val="0"/>
          <w:marBottom w:val="0"/>
          <w:divBdr>
            <w:top w:val="none" w:sz="0" w:space="0" w:color="auto"/>
            <w:left w:val="none" w:sz="0" w:space="0" w:color="auto"/>
            <w:bottom w:val="none" w:sz="0" w:space="0" w:color="auto"/>
            <w:right w:val="none" w:sz="0" w:space="0" w:color="auto"/>
          </w:divBdr>
        </w:div>
        <w:div w:id="1209337425">
          <w:marLeft w:val="0"/>
          <w:marRight w:val="0"/>
          <w:marTop w:val="0"/>
          <w:marBottom w:val="0"/>
          <w:divBdr>
            <w:top w:val="none" w:sz="0" w:space="0" w:color="auto"/>
            <w:left w:val="none" w:sz="0" w:space="0" w:color="auto"/>
            <w:bottom w:val="none" w:sz="0" w:space="0" w:color="auto"/>
            <w:right w:val="none" w:sz="0" w:space="0" w:color="auto"/>
          </w:divBdr>
        </w:div>
        <w:div w:id="1768963432">
          <w:marLeft w:val="0"/>
          <w:marRight w:val="0"/>
          <w:marTop w:val="0"/>
          <w:marBottom w:val="0"/>
          <w:divBdr>
            <w:top w:val="none" w:sz="0" w:space="0" w:color="auto"/>
            <w:left w:val="none" w:sz="0" w:space="0" w:color="auto"/>
            <w:bottom w:val="none" w:sz="0" w:space="0" w:color="auto"/>
            <w:right w:val="none" w:sz="0" w:space="0" w:color="auto"/>
          </w:divBdr>
        </w:div>
        <w:div w:id="1791901486">
          <w:marLeft w:val="0"/>
          <w:marRight w:val="0"/>
          <w:marTop w:val="0"/>
          <w:marBottom w:val="0"/>
          <w:divBdr>
            <w:top w:val="none" w:sz="0" w:space="0" w:color="auto"/>
            <w:left w:val="none" w:sz="0" w:space="0" w:color="auto"/>
            <w:bottom w:val="none" w:sz="0" w:space="0" w:color="auto"/>
            <w:right w:val="none" w:sz="0" w:space="0" w:color="auto"/>
          </w:divBdr>
        </w:div>
        <w:div w:id="1824588820">
          <w:marLeft w:val="0"/>
          <w:marRight w:val="0"/>
          <w:marTop w:val="0"/>
          <w:marBottom w:val="0"/>
          <w:divBdr>
            <w:top w:val="none" w:sz="0" w:space="0" w:color="auto"/>
            <w:left w:val="none" w:sz="0" w:space="0" w:color="auto"/>
            <w:bottom w:val="none" w:sz="0" w:space="0" w:color="auto"/>
            <w:right w:val="none" w:sz="0" w:space="0" w:color="auto"/>
          </w:divBdr>
        </w:div>
        <w:div w:id="1966963390">
          <w:marLeft w:val="0"/>
          <w:marRight w:val="0"/>
          <w:marTop w:val="0"/>
          <w:marBottom w:val="0"/>
          <w:divBdr>
            <w:top w:val="none" w:sz="0" w:space="0" w:color="auto"/>
            <w:left w:val="none" w:sz="0" w:space="0" w:color="auto"/>
            <w:bottom w:val="none" w:sz="0" w:space="0" w:color="auto"/>
            <w:right w:val="none" w:sz="0" w:space="0" w:color="auto"/>
          </w:divBdr>
        </w:div>
        <w:div w:id="1950164933">
          <w:marLeft w:val="0"/>
          <w:marRight w:val="0"/>
          <w:marTop w:val="0"/>
          <w:marBottom w:val="0"/>
          <w:divBdr>
            <w:top w:val="none" w:sz="0" w:space="0" w:color="auto"/>
            <w:left w:val="none" w:sz="0" w:space="0" w:color="auto"/>
            <w:bottom w:val="none" w:sz="0" w:space="0" w:color="auto"/>
            <w:right w:val="none" w:sz="0" w:space="0" w:color="auto"/>
          </w:divBdr>
        </w:div>
        <w:div w:id="1313409490">
          <w:marLeft w:val="0"/>
          <w:marRight w:val="0"/>
          <w:marTop w:val="0"/>
          <w:marBottom w:val="0"/>
          <w:divBdr>
            <w:top w:val="none" w:sz="0" w:space="0" w:color="auto"/>
            <w:left w:val="none" w:sz="0" w:space="0" w:color="auto"/>
            <w:bottom w:val="none" w:sz="0" w:space="0" w:color="auto"/>
            <w:right w:val="none" w:sz="0" w:space="0" w:color="auto"/>
          </w:divBdr>
        </w:div>
        <w:div w:id="1448046577">
          <w:marLeft w:val="0"/>
          <w:marRight w:val="0"/>
          <w:marTop w:val="0"/>
          <w:marBottom w:val="0"/>
          <w:divBdr>
            <w:top w:val="none" w:sz="0" w:space="0" w:color="auto"/>
            <w:left w:val="none" w:sz="0" w:space="0" w:color="auto"/>
            <w:bottom w:val="none" w:sz="0" w:space="0" w:color="auto"/>
            <w:right w:val="none" w:sz="0" w:space="0" w:color="auto"/>
          </w:divBdr>
        </w:div>
        <w:div w:id="189729887">
          <w:marLeft w:val="0"/>
          <w:marRight w:val="0"/>
          <w:marTop w:val="0"/>
          <w:marBottom w:val="0"/>
          <w:divBdr>
            <w:top w:val="none" w:sz="0" w:space="0" w:color="auto"/>
            <w:left w:val="none" w:sz="0" w:space="0" w:color="auto"/>
            <w:bottom w:val="none" w:sz="0" w:space="0" w:color="auto"/>
            <w:right w:val="none" w:sz="0" w:space="0" w:color="auto"/>
          </w:divBdr>
        </w:div>
        <w:div w:id="427577236">
          <w:marLeft w:val="0"/>
          <w:marRight w:val="0"/>
          <w:marTop w:val="0"/>
          <w:marBottom w:val="0"/>
          <w:divBdr>
            <w:top w:val="none" w:sz="0" w:space="0" w:color="auto"/>
            <w:left w:val="none" w:sz="0" w:space="0" w:color="auto"/>
            <w:bottom w:val="none" w:sz="0" w:space="0" w:color="auto"/>
            <w:right w:val="none" w:sz="0" w:space="0" w:color="auto"/>
          </w:divBdr>
        </w:div>
        <w:div w:id="258682701">
          <w:marLeft w:val="0"/>
          <w:marRight w:val="0"/>
          <w:marTop w:val="0"/>
          <w:marBottom w:val="0"/>
          <w:divBdr>
            <w:top w:val="none" w:sz="0" w:space="0" w:color="auto"/>
            <w:left w:val="none" w:sz="0" w:space="0" w:color="auto"/>
            <w:bottom w:val="none" w:sz="0" w:space="0" w:color="auto"/>
            <w:right w:val="none" w:sz="0" w:space="0" w:color="auto"/>
          </w:divBdr>
        </w:div>
        <w:div w:id="841159854">
          <w:marLeft w:val="0"/>
          <w:marRight w:val="0"/>
          <w:marTop w:val="0"/>
          <w:marBottom w:val="0"/>
          <w:divBdr>
            <w:top w:val="none" w:sz="0" w:space="0" w:color="auto"/>
            <w:left w:val="none" w:sz="0" w:space="0" w:color="auto"/>
            <w:bottom w:val="none" w:sz="0" w:space="0" w:color="auto"/>
            <w:right w:val="none" w:sz="0" w:space="0" w:color="auto"/>
          </w:divBdr>
        </w:div>
        <w:div w:id="1950310015">
          <w:marLeft w:val="0"/>
          <w:marRight w:val="0"/>
          <w:marTop w:val="0"/>
          <w:marBottom w:val="0"/>
          <w:divBdr>
            <w:top w:val="none" w:sz="0" w:space="0" w:color="auto"/>
            <w:left w:val="none" w:sz="0" w:space="0" w:color="auto"/>
            <w:bottom w:val="none" w:sz="0" w:space="0" w:color="auto"/>
            <w:right w:val="none" w:sz="0" w:space="0" w:color="auto"/>
          </w:divBdr>
        </w:div>
        <w:div w:id="1605921010">
          <w:marLeft w:val="0"/>
          <w:marRight w:val="0"/>
          <w:marTop w:val="0"/>
          <w:marBottom w:val="0"/>
          <w:divBdr>
            <w:top w:val="none" w:sz="0" w:space="0" w:color="auto"/>
            <w:left w:val="none" w:sz="0" w:space="0" w:color="auto"/>
            <w:bottom w:val="none" w:sz="0" w:space="0" w:color="auto"/>
            <w:right w:val="none" w:sz="0" w:space="0" w:color="auto"/>
          </w:divBdr>
        </w:div>
        <w:div w:id="685978812">
          <w:marLeft w:val="0"/>
          <w:marRight w:val="0"/>
          <w:marTop w:val="0"/>
          <w:marBottom w:val="0"/>
          <w:divBdr>
            <w:top w:val="none" w:sz="0" w:space="0" w:color="auto"/>
            <w:left w:val="none" w:sz="0" w:space="0" w:color="auto"/>
            <w:bottom w:val="none" w:sz="0" w:space="0" w:color="auto"/>
            <w:right w:val="none" w:sz="0" w:space="0" w:color="auto"/>
          </w:divBdr>
        </w:div>
        <w:div w:id="777718407">
          <w:marLeft w:val="0"/>
          <w:marRight w:val="0"/>
          <w:marTop w:val="0"/>
          <w:marBottom w:val="0"/>
          <w:divBdr>
            <w:top w:val="none" w:sz="0" w:space="0" w:color="auto"/>
            <w:left w:val="none" w:sz="0" w:space="0" w:color="auto"/>
            <w:bottom w:val="none" w:sz="0" w:space="0" w:color="auto"/>
            <w:right w:val="none" w:sz="0" w:space="0" w:color="auto"/>
          </w:divBdr>
        </w:div>
        <w:div w:id="1749574986">
          <w:marLeft w:val="0"/>
          <w:marRight w:val="0"/>
          <w:marTop w:val="0"/>
          <w:marBottom w:val="0"/>
          <w:divBdr>
            <w:top w:val="none" w:sz="0" w:space="0" w:color="auto"/>
            <w:left w:val="none" w:sz="0" w:space="0" w:color="auto"/>
            <w:bottom w:val="none" w:sz="0" w:space="0" w:color="auto"/>
            <w:right w:val="none" w:sz="0" w:space="0" w:color="auto"/>
          </w:divBdr>
        </w:div>
        <w:div w:id="2090079940">
          <w:marLeft w:val="0"/>
          <w:marRight w:val="0"/>
          <w:marTop w:val="0"/>
          <w:marBottom w:val="0"/>
          <w:divBdr>
            <w:top w:val="none" w:sz="0" w:space="0" w:color="auto"/>
            <w:left w:val="none" w:sz="0" w:space="0" w:color="auto"/>
            <w:bottom w:val="none" w:sz="0" w:space="0" w:color="auto"/>
            <w:right w:val="none" w:sz="0" w:space="0" w:color="auto"/>
          </w:divBdr>
        </w:div>
        <w:div w:id="2008752225">
          <w:marLeft w:val="0"/>
          <w:marRight w:val="0"/>
          <w:marTop w:val="0"/>
          <w:marBottom w:val="0"/>
          <w:divBdr>
            <w:top w:val="none" w:sz="0" w:space="0" w:color="auto"/>
            <w:left w:val="none" w:sz="0" w:space="0" w:color="auto"/>
            <w:bottom w:val="none" w:sz="0" w:space="0" w:color="auto"/>
            <w:right w:val="none" w:sz="0" w:space="0" w:color="auto"/>
          </w:divBdr>
        </w:div>
        <w:div w:id="1029260423">
          <w:marLeft w:val="0"/>
          <w:marRight w:val="0"/>
          <w:marTop w:val="0"/>
          <w:marBottom w:val="0"/>
          <w:divBdr>
            <w:top w:val="none" w:sz="0" w:space="0" w:color="auto"/>
            <w:left w:val="none" w:sz="0" w:space="0" w:color="auto"/>
            <w:bottom w:val="none" w:sz="0" w:space="0" w:color="auto"/>
            <w:right w:val="none" w:sz="0" w:space="0" w:color="auto"/>
          </w:divBdr>
        </w:div>
        <w:div w:id="369109473">
          <w:marLeft w:val="0"/>
          <w:marRight w:val="0"/>
          <w:marTop w:val="0"/>
          <w:marBottom w:val="0"/>
          <w:divBdr>
            <w:top w:val="none" w:sz="0" w:space="0" w:color="auto"/>
            <w:left w:val="none" w:sz="0" w:space="0" w:color="auto"/>
            <w:bottom w:val="none" w:sz="0" w:space="0" w:color="auto"/>
            <w:right w:val="none" w:sz="0" w:space="0" w:color="auto"/>
          </w:divBdr>
        </w:div>
        <w:div w:id="1110978631">
          <w:marLeft w:val="0"/>
          <w:marRight w:val="0"/>
          <w:marTop w:val="0"/>
          <w:marBottom w:val="0"/>
          <w:divBdr>
            <w:top w:val="none" w:sz="0" w:space="0" w:color="auto"/>
            <w:left w:val="none" w:sz="0" w:space="0" w:color="auto"/>
            <w:bottom w:val="none" w:sz="0" w:space="0" w:color="auto"/>
            <w:right w:val="none" w:sz="0" w:space="0" w:color="auto"/>
          </w:divBdr>
        </w:div>
        <w:div w:id="616135133">
          <w:marLeft w:val="0"/>
          <w:marRight w:val="0"/>
          <w:marTop w:val="0"/>
          <w:marBottom w:val="0"/>
          <w:divBdr>
            <w:top w:val="none" w:sz="0" w:space="0" w:color="auto"/>
            <w:left w:val="none" w:sz="0" w:space="0" w:color="auto"/>
            <w:bottom w:val="none" w:sz="0" w:space="0" w:color="auto"/>
            <w:right w:val="none" w:sz="0" w:space="0" w:color="auto"/>
          </w:divBdr>
        </w:div>
        <w:div w:id="1179346654">
          <w:marLeft w:val="0"/>
          <w:marRight w:val="0"/>
          <w:marTop w:val="0"/>
          <w:marBottom w:val="0"/>
          <w:divBdr>
            <w:top w:val="none" w:sz="0" w:space="0" w:color="auto"/>
            <w:left w:val="none" w:sz="0" w:space="0" w:color="auto"/>
            <w:bottom w:val="none" w:sz="0" w:space="0" w:color="auto"/>
            <w:right w:val="none" w:sz="0" w:space="0" w:color="auto"/>
          </w:divBdr>
        </w:div>
        <w:div w:id="1916696631">
          <w:marLeft w:val="0"/>
          <w:marRight w:val="0"/>
          <w:marTop w:val="0"/>
          <w:marBottom w:val="0"/>
          <w:divBdr>
            <w:top w:val="none" w:sz="0" w:space="0" w:color="auto"/>
            <w:left w:val="none" w:sz="0" w:space="0" w:color="auto"/>
            <w:bottom w:val="none" w:sz="0" w:space="0" w:color="auto"/>
            <w:right w:val="none" w:sz="0" w:space="0" w:color="auto"/>
          </w:divBdr>
        </w:div>
        <w:div w:id="1945796168">
          <w:marLeft w:val="0"/>
          <w:marRight w:val="0"/>
          <w:marTop w:val="0"/>
          <w:marBottom w:val="0"/>
          <w:divBdr>
            <w:top w:val="none" w:sz="0" w:space="0" w:color="auto"/>
            <w:left w:val="none" w:sz="0" w:space="0" w:color="auto"/>
            <w:bottom w:val="none" w:sz="0" w:space="0" w:color="auto"/>
            <w:right w:val="none" w:sz="0" w:space="0" w:color="auto"/>
          </w:divBdr>
        </w:div>
        <w:div w:id="1226528867">
          <w:marLeft w:val="0"/>
          <w:marRight w:val="0"/>
          <w:marTop w:val="0"/>
          <w:marBottom w:val="0"/>
          <w:divBdr>
            <w:top w:val="none" w:sz="0" w:space="0" w:color="auto"/>
            <w:left w:val="none" w:sz="0" w:space="0" w:color="auto"/>
            <w:bottom w:val="none" w:sz="0" w:space="0" w:color="auto"/>
            <w:right w:val="none" w:sz="0" w:space="0" w:color="auto"/>
          </w:divBdr>
        </w:div>
        <w:div w:id="1820806876">
          <w:marLeft w:val="0"/>
          <w:marRight w:val="0"/>
          <w:marTop w:val="0"/>
          <w:marBottom w:val="0"/>
          <w:divBdr>
            <w:top w:val="none" w:sz="0" w:space="0" w:color="auto"/>
            <w:left w:val="none" w:sz="0" w:space="0" w:color="auto"/>
            <w:bottom w:val="none" w:sz="0" w:space="0" w:color="auto"/>
            <w:right w:val="none" w:sz="0" w:space="0" w:color="auto"/>
          </w:divBdr>
        </w:div>
        <w:div w:id="2137021263">
          <w:marLeft w:val="0"/>
          <w:marRight w:val="0"/>
          <w:marTop w:val="0"/>
          <w:marBottom w:val="0"/>
          <w:divBdr>
            <w:top w:val="none" w:sz="0" w:space="0" w:color="auto"/>
            <w:left w:val="none" w:sz="0" w:space="0" w:color="auto"/>
            <w:bottom w:val="none" w:sz="0" w:space="0" w:color="auto"/>
            <w:right w:val="none" w:sz="0" w:space="0" w:color="auto"/>
          </w:divBdr>
        </w:div>
        <w:div w:id="271940516">
          <w:marLeft w:val="0"/>
          <w:marRight w:val="0"/>
          <w:marTop w:val="0"/>
          <w:marBottom w:val="0"/>
          <w:divBdr>
            <w:top w:val="none" w:sz="0" w:space="0" w:color="auto"/>
            <w:left w:val="none" w:sz="0" w:space="0" w:color="auto"/>
            <w:bottom w:val="none" w:sz="0" w:space="0" w:color="auto"/>
            <w:right w:val="none" w:sz="0" w:space="0" w:color="auto"/>
          </w:divBdr>
        </w:div>
        <w:div w:id="27991848">
          <w:marLeft w:val="0"/>
          <w:marRight w:val="0"/>
          <w:marTop w:val="0"/>
          <w:marBottom w:val="0"/>
          <w:divBdr>
            <w:top w:val="none" w:sz="0" w:space="0" w:color="auto"/>
            <w:left w:val="none" w:sz="0" w:space="0" w:color="auto"/>
            <w:bottom w:val="none" w:sz="0" w:space="0" w:color="auto"/>
            <w:right w:val="none" w:sz="0" w:space="0" w:color="auto"/>
          </w:divBdr>
        </w:div>
        <w:div w:id="1241868228">
          <w:marLeft w:val="0"/>
          <w:marRight w:val="0"/>
          <w:marTop w:val="0"/>
          <w:marBottom w:val="0"/>
          <w:divBdr>
            <w:top w:val="none" w:sz="0" w:space="0" w:color="auto"/>
            <w:left w:val="none" w:sz="0" w:space="0" w:color="auto"/>
            <w:bottom w:val="none" w:sz="0" w:space="0" w:color="auto"/>
            <w:right w:val="none" w:sz="0" w:space="0" w:color="auto"/>
          </w:divBdr>
        </w:div>
        <w:div w:id="1748502917">
          <w:marLeft w:val="0"/>
          <w:marRight w:val="0"/>
          <w:marTop w:val="0"/>
          <w:marBottom w:val="0"/>
          <w:divBdr>
            <w:top w:val="none" w:sz="0" w:space="0" w:color="auto"/>
            <w:left w:val="none" w:sz="0" w:space="0" w:color="auto"/>
            <w:bottom w:val="none" w:sz="0" w:space="0" w:color="auto"/>
            <w:right w:val="none" w:sz="0" w:space="0" w:color="auto"/>
          </w:divBdr>
        </w:div>
        <w:div w:id="1222983136">
          <w:marLeft w:val="0"/>
          <w:marRight w:val="0"/>
          <w:marTop w:val="0"/>
          <w:marBottom w:val="0"/>
          <w:divBdr>
            <w:top w:val="none" w:sz="0" w:space="0" w:color="auto"/>
            <w:left w:val="none" w:sz="0" w:space="0" w:color="auto"/>
            <w:bottom w:val="none" w:sz="0" w:space="0" w:color="auto"/>
            <w:right w:val="none" w:sz="0" w:space="0" w:color="auto"/>
          </w:divBdr>
        </w:div>
        <w:div w:id="1342582987">
          <w:marLeft w:val="0"/>
          <w:marRight w:val="0"/>
          <w:marTop w:val="0"/>
          <w:marBottom w:val="0"/>
          <w:divBdr>
            <w:top w:val="none" w:sz="0" w:space="0" w:color="auto"/>
            <w:left w:val="none" w:sz="0" w:space="0" w:color="auto"/>
            <w:bottom w:val="none" w:sz="0" w:space="0" w:color="auto"/>
            <w:right w:val="none" w:sz="0" w:space="0" w:color="auto"/>
          </w:divBdr>
        </w:div>
        <w:div w:id="1989430136">
          <w:marLeft w:val="0"/>
          <w:marRight w:val="0"/>
          <w:marTop w:val="0"/>
          <w:marBottom w:val="0"/>
          <w:divBdr>
            <w:top w:val="none" w:sz="0" w:space="0" w:color="auto"/>
            <w:left w:val="none" w:sz="0" w:space="0" w:color="auto"/>
            <w:bottom w:val="none" w:sz="0" w:space="0" w:color="auto"/>
            <w:right w:val="none" w:sz="0" w:space="0" w:color="auto"/>
          </w:divBdr>
        </w:div>
        <w:div w:id="1513764955">
          <w:marLeft w:val="0"/>
          <w:marRight w:val="0"/>
          <w:marTop w:val="0"/>
          <w:marBottom w:val="0"/>
          <w:divBdr>
            <w:top w:val="none" w:sz="0" w:space="0" w:color="auto"/>
            <w:left w:val="none" w:sz="0" w:space="0" w:color="auto"/>
            <w:bottom w:val="none" w:sz="0" w:space="0" w:color="auto"/>
            <w:right w:val="none" w:sz="0" w:space="0" w:color="auto"/>
          </w:divBdr>
        </w:div>
        <w:div w:id="628584694">
          <w:marLeft w:val="0"/>
          <w:marRight w:val="0"/>
          <w:marTop w:val="0"/>
          <w:marBottom w:val="0"/>
          <w:divBdr>
            <w:top w:val="none" w:sz="0" w:space="0" w:color="auto"/>
            <w:left w:val="none" w:sz="0" w:space="0" w:color="auto"/>
            <w:bottom w:val="none" w:sz="0" w:space="0" w:color="auto"/>
            <w:right w:val="none" w:sz="0" w:space="0" w:color="auto"/>
          </w:divBdr>
        </w:div>
        <w:div w:id="1173423025">
          <w:marLeft w:val="0"/>
          <w:marRight w:val="0"/>
          <w:marTop w:val="0"/>
          <w:marBottom w:val="0"/>
          <w:divBdr>
            <w:top w:val="none" w:sz="0" w:space="0" w:color="auto"/>
            <w:left w:val="none" w:sz="0" w:space="0" w:color="auto"/>
            <w:bottom w:val="none" w:sz="0" w:space="0" w:color="auto"/>
            <w:right w:val="none" w:sz="0" w:space="0" w:color="auto"/>
          </w:divBdr>
        </w:div>
        <w:div w:id="576742503">
          <w:marLeft w:val="0"/>
          <w:marRight w:val="0"/>
          <w:marTop w:val="0"/>
          <w:marBottom w:val="0"/>
          <w:divBdr>
            <w:top w:val="none" w:sz="0" w:space="0" w:color="auto"/>
            <w:left w:val="none" w:sz="0" w:space="0" w:color="auto"/>
            <w:bottom w:val="none" w:sz="0" w:space="0" w:color="auto"/>
            <w:right w:val="none" w:sz="0" w:space="0" w:color="auto"/>
          </w:divBdr>
        </w:div>
        <w:div w:id="1666086112">
          <w:marLeft w:val="0"/>
          <w:marRight w:val="0"/>
          <w:marTop w:val="0"/>
          <w:marBottom w:val="0"/>
          <w:divBdr>
            <w:top w:val="none" w:sz="0" w:space="0" w:color="auto"/>
            <w:left w:val="none" w:sz="0" w:space="0" w:color="auto"/>
            <w:bottom w:val="none" w:sz="0" w:space="0" w:color="auto"/>
            <w:right w:val="none" w:sz="0" w:space="0" w:color="auto"/>
          </w:divBdr>
        </w:div>
        <w:div w:id="1306929121">
          <w:marLeft w:val="0"/>
          <w:marRight w:val="0"/>
          <w:marTop w:val="0"/>
          <w:marBottom w:val="0"/>
          <w:divBdr>
            <w:top w:val="none" w:sz="0" w:space="0" w:color="auto"/>
            <w:left w:val="none" w:sz="0" w:space="0" w:color="auto"/>
            <w:bottom w:val="none" w:sz="0" w:space="0" w:color="auto"/>
            <w:right w:val="none" w:sz="0" w:space="0" w:color="auto"/>
          </w:divBdr>
        </w:div>
        <w:div w:id="82189127">
          <w:marLeft w:val="0"/>
          <w:marRight w:val="0"/>
          <w:marTop w:val="0"/>
          <w:marBottom w:val="0"/>
          <w:divBdr>
            <w:top w:val="none" w:sz="0" w:space="0" w:color="auto"/>
            <w:left w:val="none" w:sz="0" w:space="0" w:color="auto"/>
            <w:bottom w:val="none" w:sz="0" w:space="0" w:color="auto"/>
            <w:right w:val="none" w:sz="0" w:space="0" w:color="auto"/>
          </w:divBdr>
        </w:div>
        <w:div w:id="229924060">
          <w:marLeft w:val="0"/>
          <w:marRight w:val="0"/>
          <w:marTop w:val="0"/>
          <w:marBottom w:val="0"/>
          <w:divBdr>
            <w:top w:val="none" w:sz="0" w:space="0" w:color="auto"/>
            <w:left w:val="none" w:sz="0" w:space="0" w:color="auto"/>
            <w:bottom w:val="none" w:sz="0" w:space="0" w:color="auto"/>
            <w:right w:val="none" w:sz="0" w:space="0" w:color="auto"/>
          </w:divBdr>
        </w:div>
        <w:div w:id="259458190">
          <w:marLeft w:val="0"/>
          <w:marRight w:val="0"/>
          <w:marTop w:val="0"/>
          <w:marBottom w:val="0"/>
          <w:divBdr>
            <w:top w:val="none" w:sz="0" w:space="0" w:color="auto"/>
            <w:left w:val="none" w:sz="0" w:space="0" w:color="auto"/>
            <w:bottom w:val="none" w:sz="0" w:space="0" w:color="auto"/>
            <w:right w:val="none" w:sz="0" w:space="0" w:color="auto"/>
          </w:divBdr>
        </w:div>
        <w:div w:id="867058917">
          <w:marLeft w:val="0"/>
          <w:marRight w:val="0"/>
          <w:marTop w:val="0"/>
          <w:marBottom w:val="0"/>
          <w:divBdr>
            <w:top w:val="none" w:sz="0" w:space="0" w:color="auto"/>
            <w:left w:val="none" w:sz="0" w:space="0" w:color="auto"/>
            <w:bottom w:val="none" w:sz="0" w:space="0" w:color="auto"/>
            <w:right w:val="none" w:sz="0" w:space="0" w:color="auto"/>
          </w:divBdr>
        </w:div>
        <w:div w:id="358552119">
          <w:marLeft w:val="0"/>
          <w:marRight w:val="0"/>
          <w:marTop w:val="0"/>
          <w:marBottom w:val="0"/>
          <w:divBdr>
            <w:top w:val="none" w:sz="0" w:space="0" w:color="auto"/>
            <w:left w:val="none" w:sz="0" w:space="0" w:color="auto"/>
            <w:bottom w:val="none" w:sz="0" w:space="0" w:color="auto"/>
            <w:right w:val="none" w:sz="0" w:space="0" w:color="auto"/>
          </w:divBdr>
        </w:div>
        <w:div w:id="1358123357">
          <w:marLeft w:val="0"/>
          <w:marRight w:val="0"/>
          <w:marTop w:val="0"/>
          <w:marBottom w:val="0"/>
          <w:divBdr>
            <w:top w:val="none" w:sz="0" w:space="0" w:color="auto"/>
            <w:left w:val="none" w:sz="0" w:space="0" w:color="auto"/>
            <w:bottom w:val="none" w:sz="0" w:space="0" w:color="auto"/>
            <w:right w:val="none" w:sz="0" w:space="0" w:color="auto"/>
          </w:divBdr>
        </w:div>
        <w:div w:id="1958443995">
          <w:marLeft w:val="0"/>
          <w:marRight w:val="0"/>
          <w:marTop w:val="0"/>
          <w:marBottom w:val="0"/>
          <w:divBdr>
            <w:top w:val="none" w:sz="0" w:space="0" w:color="auto"/>
            <w:left w:val="none" w:sz="0" w:space="0" w:color="auto"/>
            <w:bottom w:val="none" w:sz="0" w:space="0" w:color="auto"/>
            <w:right w:val="none" w:sz="0" w:space="0" w:color="auto"/>
          </w:divBdr>
        </w:div>
        <w:div w:id="743380542">
          <w:marLeft w:val="0"/>
          <w:marRight w:val="0"/>
          <w:marTop w:val="0"/>
          <w:marBottom w:val="0"/>
          <w:divBdr>
            <w:top w:val="none" w:sz="0" w:space="0" w:color="auto"/>
            <w:left w:val="none" w:sz="0" w:space="0" w:color="auto"/>
            <w:bottom w:val="none" w:sz="0" w:space="0" w:color="auto"/>
            <w:right w:val="none" w:sz="0" w:space="0" w:color="auto"/>
          </w:divBdr>
        </w:div>
        <w:div w:id="1613514434">
          <w:marLeft w:val="0"/>
          <w:marRight w:val="0"/>
          <w:marTop w:val="0"/>
          <w:marBottom w:val="0"/>
          <w:divBdr>
            <w:top w:val="none" w:sz="0" w:space="0" w:color="auto"/>
            <w:left w:val="none" w:sz="0" w:space="0" w:color="auto"/>
            <w:bottom w:val="none" w:sz="0" w:space="0" w:color="auto"/>
            <w:right w:val="none" w:sz="0" w:space="0" w:color="auto"/>
          </w:divBdr>
        </w:div>
        <w:div w:id="785348230">
          <w:marLeft w:val="0"/>
          <w:marRight w:val="0"/>
          <w:marTop w:val="0"/>
          <w:marBottom w:val="0"/>
          <w:divBdr>
            <w:top w:val="none" w:sz="0" w:space="0" w:color="auto"/>
            <w:left w:val="none" w:sz="0" w:space="0" w:color="auto"/>
            <w:bottom w:val="none" w:sz="0" w:space="0" w:color="auto"/>
            <w:right w:val="none" w:sz="0" w:space="0" w:color="auto"/>
          </w:divBdr>
        </w:div>
        <w:div w:id="406000420">
          <w:marLeft w:val="0"/>
          <w:marRight w:val="0"/>
          <w:marTop w:val="0"/>
          <w:marBottom w:val="0"/>
          <w:divBdr>
            <w:top w:val="none" w:sz="0" w:space="0" w:color="auto"/>
            <w:left w:val="none" w:sz="0" w:space="0" w:color="auto"/>
            <w:bottom w:val="none" w:sz="0" w:space="0" w:color="auto"/>
            <w:right w:val="none" w:sz="0" w:space="0" w:color="auto"/>
          </w:divBdr>
        </w:div>
        <w:div w:id="1781875236">
          <w:marLeft w:val="0"/>
          <w:marRight w:val="0"/>
          <w:marTop w:val="0"/>
          <w:marBottom w:val="0"/>
          <w:divBdr>
            <w:top w:val="none" w:sz="0" w:space="0" w:color="auto"/>
            <w:left w:val="none" w:sz="0" w:space="0" w:color="auto"/>
            <w:bottom w:val="none" w:sz="0" w:space="0" w:color="auto"/>
            <w:right w:val="none" w:sz="0" w:space="0" w:color="auto"/>
          </w:divBdr>
        </w:div>
        <w:div w:id="108355326">
          <w:marLeft w:val="0"/>
          <w:marRight w:val="0"/>
          <w:marTop w:val="0"/>
          <w:marBottom w:val="0"/>
          <w:divBdr>
            <w:top w:val="none" w:sz="0" w:space="0" w:color="auto"/>
            <w:left w:val="none" w:sz="0" w:space="0" w:color="auto"/>
            <w:bottom w:val="none" w:sz="0" w:space="0" w:color="auto"/>
            <w:right w:val="none" w:sz="0" w:space="0" w:color="auto"/>
          </w:divBdr>
        </w:div>
        <w:div w:id="1777554380">
          <w:marLeft w:val="0"/>
          <w:marRight w:val="0"/>
          <w:marTop w:val="0"/>
          <w:marBottom w:val="0"/>
          <w:divBdr>
            <w:top w:val="none" w:sz="0" w:space="0" w:color="auto"/>
            <w:left w:val="none" w:sz="0" w:space="0" w:color="auto"/>
            <w:bottom w:val="none" w:sz="0" w:space="0" w:color="auto"/>
            <w:right w:val="none" w:sz="0" w:space="0" w:color="auto"/>
          </w:divBdr>
        </w:div>
        <w:div w:id="1217426155">
          <w:marLeft w:val="0"/>
          <w:marRight w:val="0"/>
          <w:marTop w:val="0"/>
          <w:marBottom w:val="0"/>
          <w:divBdr>
            <w:top w:val="none" w:sz="0" w:space="0" w:color="auto"/>
            <w:left w:val="none" w:sz="0" w:space="0" w:color="auto"/>
            <w:bottom w:val="none" w:sz="0" w:space="0" w:color="auto"/>
            <w:right w:val="none" w:sz="0" w:space="0" w:color="auto"/>
          </w:divBdr>
        </w:div>
        <w:div w:id="1160609643">
          <w:marLeft w:val="0"/>
          <w:marRight w:val="0"/>
          <w:marTop w:val="0"/>
          <w:marBottom w:val="0"/>
          <w:divBdr>
            <w:top w:val="none" w:sz="0" w:space="0" w:color="auto"/>
            <w:left w:val="none" w:sz="0" w:space="0" w:color="auto"/>
            <w:bottom w:val="none" w:sz="0" w:space="0" w:color="auto"/>
            <w:right w:val="none" w:sz="0" w:space="0" w:color="auto"/>
          </w:divBdr>
        </w:div>
        <w:div w:id="1728607704">
          <w:marLeft w:val="0"/>
          <w:marRight w:val="0"/>
          <w:marTop w:val="0"/>
          <w:marBottom w:val="0"/>
          <w:divBdr>
            <w:top w:val="none" w:sz="0" w:space="0" w:color="auto"/>
            <w:left w:val="none" w:sz="0" w:space="0" w:color="auto"/>
            <w:bottom w:val="none" w:sz="0" w:space="0" w:color="auto"/>
            <w:right w:val="none" w:sz="0" w:space="0" w:color="auto"/>
          </w:divBdr>
        </w:div>
        <w:div w:id="434208589">
          <w:marLeft w:val="0"/>
          <w:marRight w:val="0"/>
          <w:marTop w:val="0"/>
          <w:marBottom w:val="0"/>
          <w:divBdr>
            <w:top w:val="none" w:sz="0" w:space="0" w:color="auto"/>
            <w:left w:val="none" w:sz="0" w:space="0" w:color="auto"/>
            <w:bottom w:val="none" w:sz="0" w:space="0" w:color="auto"/>
            <w:right w:val="none" w:sz="0" w:space="0" w:color="auto"/>
          </w:divBdr>
        </w:div>
        <w:div w:id="1459449852">
          <w:marLeft w:val="0"/>
          <w:marRight w:val="0"/>
          <w:marTop w:val="0"/>
          <w:marBottom w:val="0"/>
          <w:divBdr>
            <w:top w:val="none" w:sz="0" w:space="0" w:color="auto"/>
            <w:left w:val="none" w:sz="0" w:space="0" w:color="auto"/>
            <w:bottom w:val="none" w:sz="0" w:space="0" w:color="auto"/>
            <w:right w:val="none" w:sz="0" w:space="0" w:color="auto"/>
          </w:divBdr>
        </w:div>
        <w:div w:id="783689551">
          <w:marLeft w:val="0"/>
          <w:marRight w:val="0"/>
          <w:marTop w:val="0"/>
          <w:marBottom w:val="0"/>
          <w:divBdr>
            <w:top w:val="none" w:sz="0" w:space="0" w:color="auto"/>
            <w:left w:val="none" w:sz="0" w:space="0" w:color="auto"/>
            <w:bottom w:val="none" w:sz="0" w:space="0" w:color="auto"/>
            <w:right w:val="none" w:sz="0" w:space="0" w:color="auto"/>
          </w:divBdr>
        </w:div>
        <w:div w:id="175270500">
          <w:marLeft w:val="0"/>
          <w:marRight w:val="0"/>
          <w:marTop w:val="0"/>
          <w:marBottom w:val="0"/>
          <w:divBdr>
            <w:top w:val="none" w:sz="0" w:space="0" w:color="auto"/>
            <w:left w:val="none" w:sz="0" w:space="0" w:color="auto"/>
            <w:bottom w:val="none" w:sz="0" w:space="0" w:color="auto"/>
            <w:right w:val="none" w:sz="0" w:space="0" w:color="auto"/>
          </w:divBdr>
        </w:div>
        <w:div w:id="538737207">
          <w:marLeft w:val="0"/>
          <w:marRight w:val="0"/>
          <w:marTop w:val="0"/>
          <w:marBottom w:val="0"/>
          <w:divBdr>
            <w:top w:val="none" w:sz="0" w:space="0" w:color="auto"/>
            <w:left w:val="none" w:sz="0" w:space="0" w:color="auto"/>
            <w:bottom w:val="none" w:sz="0" w:space="0" w:color="auto"/>
            <w:right w:val="none" w:sz="0" w:space="0" w:color="auto"/>
          </w:divBdr>
        </w:div>
        <w:div w:id="105234022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cfr.gov/cgi-bin/text-idx?c=ecfr;sid=ed74dbcbb9102abb4fc388b062787bc3;rgn=div5;view=text;node=29%3A1.1.1.1.31;idno=29;cc=ecfr" TargetMode="External"/><Relationship Id="rId21" Type="http://schemas.openxmlformats.org/officeDocument/2006/relationships/hyperlink" Target="http://www.ecfr.gov/cgi-bin/text-idx?c=ecfr;sid=ed74dbcbb9102abb4fc388b062787bc3;rgn=div5;view=text;node=29%3A1.1.1.1.31;idno=29;cc=ecfr" TargetMode="External"/><Relationship Id="rId42" Type="http://schemas.openxmlformats.org/officeDocument/2006/relationships/hyperlink" Target="http://www.ecfr.gov/cgi-bin/text-idx?c=ecfr;sid=ed74dbcbb9102abb4fc388b062787bc3;rgn=div5;view=text;node=29%3A1.1.1.1.31;idno=29;cc=ecfr" TargetMode="External"/><Relationship Id="rId47" Type="http://schemas.openxmlformats.org/officeDocument/2006/relationships/hyperlink" Target="http://www.ecfr.gov/cgi-bin/text-idx?c=ecfr;sid=ed74dbcbb9102abb4fc388b062787bc3;rgn=div5;view=text;node=29%3A1.1.1.1.31;idno=29;cc=ecfr" TargetMode="External"/><Relationship Id="rId63" Type="http://schemas.openxmlformats.org/officeDocument/2006/relationships/hyperlink" Target="http://www.ecfr.gov/cgi-bin/text-idx?c=ecfr;sid=ed74dbcbb9102abb4fc388b062787bc3;rgn=div5;view=text;node=29%3A1.1.1.1.31;idno=29;cc=ecfr" TargetMode="External"/><Relationship Id="rId68" Type="http://schemas.openxmlformats.org/officeDocument/2006/relationships/hyperlink" Target="http://www.ecfr.gov/cgi-bin/text-idx?c=ecfr;sid=ed74dbcbb9102abb4fc388b062787bc3;rgn=div5;view=text;node=29%3A1.1.1.1.31;idno=29;cc=ecfr" TargetMode="External"/><Relationship Id="rId84" Type="http://schemas.openxmlformats.org/officeDocument/2006/relationships/hyperlink" Target="http://www.ecfr.gov/cgi-bin/text-idx?c=ecfr;sid=ed74dbcbb9102abb4fc388b062787bc3;rgn=div5;view=text;node=29%3A1.1.1.1.31;idno=29;cc=ecfr" TargetMode="External"/><Relationship Id="rId89" Type="http://schemas.openxmlformats.org/officeDocument/2006/relationships/hyperlink" Target="http://www.ecfr.gov/cgi-bin/text-idx?c=ecfr;sid=ed74dbcbb9102abb4fc388b062787bc3;rgn=div5;view=text;node=29%3A1.1.1.1.31;idno=29;cc=ecfr" TargetMode="External"/><Relationship Id="rId2" Type="http://schemas.openxmlformats.org/officeDocument/2006/relationships/styles" Target="styles.xml"/><Relationship Id="rId16" Type="http://schemas.openxmlformats.org/officeDocument/2006/relationships/hyperlink" Target="http://www.ecfr.gov/cgi-bin/text-idx?c=ecfr;sid=ed74dbcbb9102abb4fc388b062787bc3;rgn=div5;view=text;node=29%3A1.1.1.1.31;idno=29;cc=ecfr" TargetMode="External"/><Relationship Id="rId29" Type="http://schemas.openxmlformats.org/officeDocument/2006/relationships/hyperlink" Target="http://www.ecfr.gov/cgi-bin/text-idx?c=ecfr;sid=ed74dbcbb9102abb4fc388b062787bc3;rgn=div5;view=text;node=29%3A1.1.1.1.31;idno=29;cc=ecfr" TargetMode="External"/><Relationship Id="rId107" Type="http://schemas.openxmlformats.org/officeDocument/2006/relationships/hyperlink" Target="http://www.ecfr.gov/cgi-bin/text-idx?c=ecfr;sid=ed74dbcbb9102abb4fc388b062787bc3;rgn=div5;view=text;node=29%3A1.1.1.1.31;idno=29;cc=ecfr" TargetMode="External"/><Relationship Id="rId11" Type="http://schemas.openxmlformats.org/officeDocument/2006/relationships/hyperlink" Target="http://www.ecfr.gov/cgi-bin/text-idx?c=ecfr;sid=ed74dbcbb9102abb4fc388b062787bc3;rgn=div5;view=text;node=29%3A1.1.1.1.31;idno=29;cc=ecfr" TargetMode="External"/><Relationship Id="rId24" Type="http://schemas.openxmlformats.org/officeDocument/2006/relationships/hyperlink" Target="http://www.ecfr.gov/cgi-bin/text-idx?c=ecfr;sid=ed74dbcbb9102abb4fc388b062787bc3;rgn=div5;view=text;node=29%3A1.1.1.1.31;idno=29;cc=ecfr" TargetMode="External"/><Relationship Id="rId32" Type="http://schemas.openxmlformats.org/officeDocument/2006/relationships/hyperlink" Target="http://www.ecfr.gov/cgi-bin/text-idx?c=ecfr;sid=ed74dbcbb9102abb4fc388b062787bc3;rgn=div5;view=text;node=29%3A1.1.1.1.31;idno=29;cc=ecfr" TargetMode="External"/><Relationship Id="rId37" Type="http://schemas.openxmlformats.org/officeDocument/2006/relationships/hyperlink" Target="http://www.ecfr.gov/cgi-bin/text-idx?c=ecfr;sid=ed74dbcbb9102abb4fc388b062787bc3;rgn=div5;view=text;node=29%3A1.1.1.1.31;idno=29;cc=ecfr" TargetMode="External"/><Relationship Id="rId40" Type="http://schemas.openxmlformats.org/officeDocument/2006/relationships/hyperlink" Target="http://www.ecfr.gov/cgi-bin/text-idx?c=ecfr;sid=ed74dbcbb9102abb4fc388b062787bc3;rgn=div5;view=text;node=29%3A1.1.1.1.31;idno=29;cc=ecfr" TargetMode="External"/><Relationship Id="rId45" Type="http://schemas.openxmlformats.org/officeDocument/2006/relationships/hyperlink" Target="http://www.ecfr.gov/cgi-bin/text-idx?c=ecfr;sid=ed74dbcbb9102abb4fc388b062787bc3;rgn=div5;view=text;node=29%3A1.1.1.1.31;idno=29;cc=ecfr" TargetMode="External"/><Relationship Id="rId53" Type="http://schemas.openxmlformats.org/officeDocument/2006/relationships/hyperlink" Target="http://www.ecfr.gov/cgi-bin/text-idx?c=ecfr;sid=ed74dbcbb9102abb4fc388b062787bc3;rgn=div5;view=text;node=29%3A1.1.1.1.31;idno=29;cc=ecfr" TargetMode="External"/><Relationship Id="rId58" Type="http://schemas.openxmlformats.org/officeDocument/2006/relationships/hyperlink" Target="http://www.ecfr.gov/cgi-bin/text-idx?c=ecfr;sid=ed74dbcbb9102abb4fc388b062787bc3;rgn=div5;view=text;node=29%3A1.1.1.1.31;idno=29;cc=ecfr" TargetMode="External"/><Relationship Id="rId66" Type="http://schemas.openxmlformats.org/officeDocument/2006/relationships/hyperlink" Target="http://www.ecfr.gov/cgi-bin/text-idx?c=ecfr;sid=ed74dbcbb9102abb4fc388b062787bc3;rgn=div5;view=text;node=29%3A1.1.1.1.31;idno=29;cc=ecfr" TargetMode="External"/><Relationship Id="rId74" Type="http://schemas.openxmlformats.org/officeDocument/2006/relationships/hyperlink" Target="http://www.ecfr.gov/cgi-bin/text-idx?c=ecfr;sid=ed74dbcbb9102abb4fc388b062787bc3;rgn=div5;view=text;node=29%3A1.1.1.1.31;idno=29;cc=ecfr" TargetMode="External"/><Relationship Id="rId79" Type="http://schemas.openxmlformats.org/officeDocument/2006/relationships/hyperlink" Target="http://www.ecfr.gov/cgi-bin/text-idx?c=ecfr;sid=ed74dbcbb9102abb4fc388b062787bc3;rgn=div5;view=text;node=29%3A1.1.1.1.31;idno=29;cc=ecfr" TargetMode="External"/><Relationship Id="rId87" Type="http://schemas.openxmlformats.org/officeDocument/2006/relationships/hyperlink" Target="http://www.ecfr.gov/cgi-bin/text-idx?c=ecfr;sid=ed74dbcbb9102abb4fc388b062787bc3;rgn=div5;view=text;node=29%3A1.1.1.1.31;idno=29;cc=ecfr" TargetMode="External"/><Relationship Id="rId102" Type="http://schemas.openxmlformats.org/officeDocument/2006/relationships/hyperlink" Target="http://www.ecfr.gov/cgi-bin/text-idx?c=ecfr;sid=ed74dbcbb9102abb4fc388b062787bc3;rgn=div5;view=text;node=29%3A1.1.1.1.31;idno=29;cc=ecfr"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ecfr.gov/cgi-bin/text-idx?c=ecfr;sid=ed74dbcbb9102abb4fc388b062787bc3;rgn=div5;view=text;node=29%3A1.1.1.1.31;idno=29;cc=ecfr" TargetMode="External"/><Relationship Id="rId82" Type="http://schemas.openxmlformats.org/officeDocument/2006/relationships/hyperlink" Target="http://www.ecfr.gov/cgi-bin/text-idx?c=ecfr;sid=ed74dbcbb9102abb4fc388b062787bc3;rgn=div5;view=text;node=29%3A1.1.1.1.31;idno=29;cc=ecfr" TargetMode="External"/><Relationship Id="rId90" Type="http://schemas.openxmlformats.org/officeDocument/2006/relationships/hyperlink" Target="http://www.ecfr.gov/cgi-bin/text-idx?c=ecfr;sid=ed74dbcbb9102abb4fc388b062787bc3;rgn=div5;view=text;node=29%3A1.1.1.1.31;idno=29;cc=ecfr" TargetMode="External"/><Relationship Id="rId95" Type="http://schemas.openxmlformats.org/officeDocument/2006/relationships/hyperlink" Target="http://www.ecfr.gov/cgi-bin/text-idx?c=ecfr;sid=ed74dbcbb9102abb4fc388b062787bc3;rgn=div5;view=text;node=29%3A1.1.1.1.31;idno=29;cc=ecfr" TargetMode="External"/><Relationship Id="rId19" Type="http://schemas.openxmlformats.org/officeDocument/2006/relationships/hyperlink" Target="http://www.ecfr.gov/cgi-bin/text-idx?c=ecfr;sid=ed74dbcbb9102abb4fc388b062787bc3;rgn=div5;view=text;node=29%3A1.1.1.1.31;idno=29;cc=ecfr" TargetMode="External"/><Relationship Id="rId14" Type="http://schemas.openxmlformats.org/officeDocument/2006/relationships/hyperlink" Target="http://www.ecfr.gov/cgi-bin/text-idx?c=ecfr;sid=ed74dbcbb9102abb4fc388b062787bc3;rgn=div5;view=text;node=29%3A1.1.1.1.31;idno=29;cc=ecfr" TargetMode="External"/><Relationship Id="rId22" Type="http://schemas.openxmlformats.org/officeDocument/2006/relationships/hyperlink" Target="http://www.ecfr.gov/cgi-bin/text-idx?c=ecfr;sid=ed74dbcbb9102abb4fc388b062787bc3;rgn=div5;view=text;node=29%3A1.1.1.1.31;idno=29;cc=ecfr" TargetMode="External"/><Relationship Id="rId27" Type="http://schemas.openxmlformats.org/officeDocument/2006/relationships/hyperlink" Target="http://www.ecfr.gov/cgi-bin/text-idx?c=ecfr;sid=ed74dbcbb9102abb4fc388b062787bc3;rgn=div5;view=text;node=29%3A1.1.1.1.31;idno=29;cc=ecfr" TargetMode="External"/><Relationship Id="rId30" Type="http://schemas.openxmlformats.org/officeDocument/2006/relationships/hyperlink" Target="http://www.ecfr.gov/cgi-bin/text-idx?c=ecfr;sid=ed74dbcbb9102abb4fc388b062787bc3;rgn=div5;view=text;node=29%3A1.1.1.1.31;idno=29;cc=ecfr" TargetMode="External"/><Relationship Id="rId35" Type="http://schemas.openxmlformats.org/officeDocument/2006/relationships/hyperlink" Target="http://www.ecfr.gov/cgi-bin/text-idx?c=ecfr;sid=ed74dbcbb9102abb4fc388b062787bc3;rgn=div5;view=text;node=29%3A1.1.1.1.31;idno=29;cc=ecfr" TargetMode="External"/><Relationship Id="rId43" Type="http://schemas.openxmlformats.org/officeDocument/2006/relationships/hyperlink" Target="http://www.ecfr.gov/cgi-bin/text-idx?c=ecfr;sid=ed74dbcbb9102abb4fc388b062787bc3;rgn=div5;view=text;node=29%3A1.1.1.1.31;idno=29;cc=ecfr" TargetMode="External"/><Relationship Id="rId48" Type="http://schemas.openxmlformats.org/officeDocument/2006/relationships/hyperlink" Target="http://www.ecfr.gov/cgi-bin/text-idx?c=ecfr;sid=ed74dbcbb9102abb4fc388b062787bc3;rgn=div5;view=text;node=29%3A1.1.1.1.31;idno=29;cc=ecfr" TargetMode="External"/><Relationship Id="rId56" Type="http://schemas.openxmlformats.org/officeDocument/2006/relationships/hyperlink" Target="http://www.ecfr.gov/cgi-bin/text-idx?c=ecfr;sid=ed74dbcbb9102abb4fc388b062787bc3;rgn=div5;view=text;node=29%3A1.1.1.1.31;idno=29;cc=ecfr" TargetMode="External"/><Relationship Id="rId64" Type="http://schemas.openxmlformats.org/officeDocument/2006/relationships/hyperlink" Target="http://www.ecfr.gov/cgi-bin/text-idx?c=ecfr;sid=ed74dbcbb9102abb4fc388b062787bc3;rgn=div5;view=text;node=29%3A1.1.1.1.31;idno=29;cc=ecfr" TargetMode="External"/><Relationship Id="rId69" Type="http://schemas.openxmlformats.org/officeDocument/2006/relationships/hyperlink" Target="http://www.ecfr.gov/cgi-bin/text-idx?c=ecfr;sid=ed74dbcbb9102abb4fc388b062787bc3;rgn=div5;view=text;node=29%3A1.1.1.1.31;idno=29;cc=ecfr" TargetMode="External"/><Relationship Id="rId77" Type="http://schemas.openxmlformats.org/officeDocument/2006/relationships/hyperlink" Target="http://www.ecfr.gov/cgi-bin/text-idx?c=ecfr;sid=ed74dbcbb9102abb4fc388b062787bc3;rgn=div5;view=text;node=29%3A1.1.1.1.31;idno=29;cc=ecfr" TargetMode="External"/><Relationship Id="rId100" Type="http://schemas.openxmlformats.org/officeDocument/2006/relationships/hyperlink" Target="http://www.ecfr.gov/cgi-bin/text-idx?c=ecfr;sid=ed74dbcbb9102abb4fc388b062787bc3;rgn=div5;view=text;node=29%3A1.1.1.1.31;idno=29;cc=ecfr" TargetMode="External"/><Relationship Id="rId105" Type="http://schemas.openxmlformats.org/officeDocument/2006/relationships/hyperlink" Target="http://www.ecfr.gov/cgi-bin/text-idx?c=ecfr;sid=ed74dbcbb9102abb4fc388b062787bc3;rgn=div5;view=text;node=29%3A1.1.1.1.31;idno=29;cc=ecfr" TargetMode="External"/><Relationship Id="rId8" Type="http://schemas.openxmlformats.org/officeDocument/2006/relationships/hyperlink" Target="http://www.ecfr.gov/cgi-bin/text-idx?c=ecfr;sid=ed74dbcbb9102abb4fc388b062787bc3;rgn=div5;view=text;node=29%3A1.1.1.1.31;idno=29;cc=ecfr" TargetMode="External"/><Relationship Id="rId51" Type="http://schemas.openxmlformats.org/officeDocument/2006/relationships/hyperlink" Target="http://www.ecfr.gov/cgi-bin/text-idx?c=ecfr;sid=ed74dbcbb9102abb4fc388b062787bc3;rgn=div5;view=text;node=29%3A1.1.1.1.31;idno=29;cc=ecfr" TargetMode="External"/><Relationship Id="rId72" Type="http://schemas.openxmlformats.org/officeDocument/2006/relationships/hyperlink" Target="http://www.ecfr.gov/cgi-bin/text-idx?c=ecfr;sid=ed74dbcbb9102abb4fc388b062787bc3;rgn=div5;view=text;node=29%3A1.1.1.1.31;idno=29;cc=ecfr" TargetMode="External"/><Relationship Id="rId80" Type="http://schemas.openxmlformats.org/officeDocument/2006/relationships/hyperlink" Target="http://www.ecfr.gov/cgi-bin/text-idx?c=ecfr;sid=ed74dbcbb9102abb4fc388b062787bc3;rgn=div5;view=text;node=29%3A1.1.1.1.31;idno=29;cc=ecfr" TargetMode="External"/><Relationship Id="rId85" Type="http://schemas.openxmlformats.org/officeDocument/2006/relationships/hyperlink" Target="http://www.ecfr.gov/cgi-bin/text-idx?c=ecfr;sid=ed74dbcbb9102abb4fc388b062787bc3;rgn=div5;view=text;node=29%3A1.1.1.1.31;idno=29;cc=ecfr" TargetMode="External"/><Relationship Id="rId93" Type="http://schemas.openxmlformats.org/officeDocument/2006/relationships/hyperlink" Target="http://www.ecfr.gov/cgi-bin/text-idx?c=ecfr;sid=ed74dbcbb9102abb4fc388b062787bc3;rgn=div5;view=text;node=29%3A1.1.1.1.31;idno=29;cc=ecfr" TargetMode="External"/><Relationship Id="rId98" Type="http://schemas.openxmlformats.org/officeDocument/2006/relationships/hyperlink" Target="http://www.ecfr.gov/cgi-bin/text-idx?c=ecfr;sid=ed74dbcbb9102abb4fc388b062787bc3;rgn=div5;view=text;node=29%3A1.1.1.1.31;idno=29;cc=ecfr" TargetMode="External"/><Relationship Id="rId3" Type="http://schemas.microsoft.com/office/2007/relationships/stylesWithEffects" Target="stylesWithEffects.xml"/><Relationship Id="rId12" Type="http://schemas.openxmlformats.org/officeDocument/2006/relationships/hyperlink" Target="http://www.ecfr.gov/cgi-bin/text-idx?c=ecfr;sid=ed74dbcbb9102abb4fc388b062787bc3;rgn=div5;view=text;node=29%3A1.1.1.1.31;idno=29;cc=ecfr" TargetMode="External"/><Relationship Id="rId17" Type="http://schemas.openxmlformats.org/officeDocument/2006/relationships/hyperlink" Target="http://www.ecfr.gov/cgi-bin/text-idx?c=ecfr;sid=ed74dbcbb9102abb4fc388b062787bc3;rgn=div5;view=text;node=29%3A1.1.1.1.31;idno=29;cc=ecfr" TargetMode="External"/><Relationship Id="rId25" Type="http://schemas.openxmlformats.org/officeDocument/2006/relationships/hyperlink" Target="http://www.ecfr.gov/cgi-bin/text-idx?c=ecfr;sid=ed74dbcbb9102abb4fc388b062787bc3;rgn=div5;view=text;node=29%3A1.1.1.1.31;idno=29;cc=ecfr" TargetMode="External"/><Relationship Id="rId33" Type="http://schemas.openxmlformats.org/officeDocument/2006/relationships/hyperlink" Target="http://www.ecfr.gov/cgi-bin/text-idx?c=ecfr;sid=ed74dbcbb9102abb4fc388b062787bc3;rgn=div5;view=text;node=29%3A1.1.1.1.31;idno=29;cc=ecfr" TargetMode="External"/><Relationship Id="rId38" Type="http://schemas.openxmlformats.org/officeDocument/2006/relationships/hyperlink" Target="http://www.ecfr.gov/cgi-bin/text-idx?c=ecfr;sid=ed74dbcbb9102abb4fc388b062787bc3;rgn=div5;view=text;node=29%3A1.1.1.1.31;idno=29;cc=ecfr" TargetMode="External"/><Relationship Id="rId46" Type="http://schemas.openxmlformats.org/officeDocument/2006/relationships/hyperlink" Target="http://www.ecfr.gov/cgi-bin/text-idx?c=ecfr;sid=ed74dbcbb9102abb4fc388b062787bc3;rgn=div5;view=text;node=29%3A1.1.1.1.31;idno=29;cc=ecfr" TargetMode="External"/><Relationship Id="rId59" Type="http://schemas.openxmlformats.org/officeDocument/2006/relationships/hyperlink" Target="http://www.ecfr.gov/cgi-bin/text-idx?c=ecfr;sid=ed74dbcbb9102abb4fc388b062787bc3;rgn=div5;view=text;node=29%3A1.1.1.1.31;idno=29;cc=ecfr" TargetMode="External"/><Relationship Id="rId67" Type="http://schemas.openxmlformats.org/officeDocument/2006/relationships/hyperlink" Target="http://www.ecfr.gov/cgi-bin/text-idx?c=ecfr;sid=ed74dbcbb9102abb4fc388b062787bc3;rgn=div5;view=text;node=29%3A1.1.1.1.31;idno=29;cc=ecfr" TargetMode="External"/><Relationship Id="rId103" Type="http://schemas.openxmlformats.org/officeDocument/2006/relationships/hyperlink" Target="http://www.ecfr.gov/cgi-bin/text-idx?c=ecfr;sid=ed74dbcbb9102abb4fc388b062787bc3;rgn=div5;view=text;node=29%3A1.1.1.1.31;idno=29;cc=ecfr" TargetMode="External"/><Relationship Id="rId108" Type="http://schemas.openxmlformats.org/officeDocument/2006/relationships/hyperlink" Target="http://www.ecfr.gov/cgi-bin/text-idx?c=ecfr;sid=ed74dbcbb9102abb4fc388b062787bc3;rgn=div5;view=text;node=29%3A1.1.1.1.31;idno=29;cc=ecfr" TargetMode="External"/><Relationship Id="rId20" Type="http://schemas.openxmlformats.org/officeDocument/2006/relationships/hyperlink" Target="http://www.ecfr.gov/cgi-bin/text-idx?c=ecfr;sid=ed74dbcbb9102abb4fc388b062787bc3;rgn=div5;view=text;node=29%3A1.1.1.1.31;idno=29;cc=ecfr" TargetMode="External"/><Relationship Id="rId41" Type="http://schemas.openxmlformats.org/officeDocument/2006/relationships/hyperlink" Target="http://www.ecfr.gov/cgi-bin/text-idx?c=ecfr;sid=ed74dbcbb9102abb4fc388b062787bc3;rgn=div5;view=text;node=29%3A1.1.1.1.31;idno=29;cc=ecfr" TargetMode="External"/><Relationship Id="rId54" Type="http://schemas.openxmlformats.org/officeDocument/2006/relationships/hyperlink" Target="http://www.ecfr.gov/cgi-bin/text-idx?c=ecfr;sid=ed74dbcbb9102abb4fc388b062787bc3;rgn=div5;view=text;node=29%3A1.1.1.1.31;idno=29;cc=ecfr" TargetMode="External"/><Relationship Id="rId62" Type="http://schemas.openxmlformats.org/officeDocument/2006/relationships/hyperlink" Target="http://www.ecfr.gov/cgi-bin/text-idx?c=ecfr;sid=ed74dbcbb9102abb4fc388b062787bc3;rgn=div5;view=text;node=29%3A1.1.1.1.31;idno=29;cc=ecfr" TargetMode="External"/><Relationship Id="rId70" Type="http://schemas.openxmlformats.org/officeDocument/2006/relationships/hyperlink" Target="http://www.ecfr.gov/cgi-bin/text-idx?c=ecfr;sid=ed74dbcbb9102abb4fc388b062787bc3;rgn=div5;view=text;node=29%3A1.1.1.1.31;idno=29;cc=ecfr" TargetMode="External"/><Relationship Id="rId75" Type="http://schemas.openxmlformats.org/officeDocument/2006/relationships/hyperlink" Target="http://www.ecfr.gov/cgi-bin/text-idx?c=ecfr;sid=ed74dbcbb9102abb4fc388b062787bc3;rgn=div5;view=text;node=29%3A1.1.1.1.31;idno=29;cc=ecfr" TargetMode="External"/><Relationship Id="rId83" Type="http://schemas.openxmlformats.org/officeDocument/2006/relationships/hyperlink" Target="http://www.ecfr.gov/cgi-bin/text-idx?c=ecfr;sid=ed74dbcbb9102abb4fc388b062787bc3;rgn=div5;view=text;node=29%3A1.1.1.1.31;idno=29;cc=ecfr" TargetMode="External"/><Relationship Id="rId88" Type="http://schemas.openxmlformats.org/officeDocument/2006/relationships/hyperlink" Target="http://www.ecfr.gov/cgi-bin/text-idx?c=ecfr;sid=ed74dbcbb9102abb4fc388b062787bc3;rgn=div5;view=text;node=29%3A1.1.1.1.31;idno=29;cc=ecfr" TargetMode="External"/><Relationship Id="rId91" Type="http://schemas.openxmlformats.org/officeDocument/2006/relationships/hyperlink" Target="http://www.ecfr.gov/cgi-bin/text-idx?c=ecfr;sid=ed74dbcbb9102abb4fc388b062787bc3;rgn=div5;view=text;node=29%3A1.1.1.1.31;idno=29;cc=ecfr" TargetMode="External"/><Relationship Id="rId96" Type="http://schemas.openxmlformats.org/officeDocument/2006/relationships/hyperlink" Target="http://www.ecfr.gov/cgi-bin/text-idx?c=ecfr;sid=ed74dbcbb9102abb4fc388b062787bc3;rgn=div5;view=text;node=29%3A1.1.1.1.31;idno=29;cc=ecfr" TargetMode="Externa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cfr.gov/cgi-bin/text-idx?c=ecfr;sid=ed74dbcbb9102abb4fc388b062787bc3;rgn=div5;view=text;node=29%3A1.1.1.1.31;idno=29;cc=ecfr" TargetMode="External"/><Relationship Id="rId15" Type="http://schemas.openxmlformats.org/officeDocument/2006/relationships/hyperlink" Target="http://www.ecfr.gov/cgi-bin/text-idx?c=ecfr;sid=ed74dbcbb9102abb4fc388b062787bc3;rgn=div5;view=text;node=29%3A1.1.1.1.31;idno=29;cc=ecfr" TargetMode="External"/><Relationship Id="rId23" Type="http://schemas.openxmlformats.org/officeDocument/2006/relationships/hyperlink" Target="http://www.ecfr.gov/cgi-bin/text-idx?c=ecfr;sid=ed74dbcbb9102abb4fc388b062787bc3;rgn=div5;view=text;node=29%3A1.1.1.1.31;idno=29;cc=ecfr" TargetMode="External"/><Relationship Id="rId28" Type="http://schemas.openxmlformats.org/officeDocument/2006/relationships/hyperlink" Target="http://www.ecfr.gov/cgi-bin/text-idx?c=ecfr;sid=ed74dbcbb9102abb4fc388b062787bc3;rgn=div5;view=text;node=29%3A1.1.1.1.31;idno=29;cc=ecfr" TargetMode="External"/><Relationship Id="rId36" Type="http://schemas.openxmlformats.org/officeDocument/2006/relationships/hyperlink" Target="http://www.ecfr.gov/cgi-bin/text-idx?c=ecfr;sid=ed74dbcbb9102abb4fc388b062787bc3;rgn=div5;view=text;node=29%3A1.1.1.1.31;idno=29;cc=ecfr" TargetMode="External"/><Relationship Id="rId49" Type="http://schemas.openxmlformats.org/officeDocument/2006/relationships/hyperlink" Target="http://www.ecfr.gov/cgi-bin/text-idx?c=ecfr;sid=ed74dbcbb9102abb4fc388b062787bc3;rgn=div5;view=text;node=29%3A1.1.1.1.31;idno=29;cc=ecfr" TargetMode="External"/><Relationship Id="rId57" Type="http://schemas.openxmlformats.org/officeDocument/2006/relationships/hyperlink" Target="http://www.ecfr.gov/cgi-bin/text-idx?c=ecfr;sid=ed74dbcbb9102abb4fc388b062787bc3;rgn=div5;view=text;node=29%3A1.1.1.1.31;idno=29;cc=ecfr" TargetMode="External"/><Relationship Id="rId106" Type="http://schemas.openxmlformats.org/officeDocument/2006/relationships/hyperlink" Target="http://www.ecfr.gov/cgi-bin/text-idx?c=ecfr;sid=ed74dbcbb9102abb4fc388b062787bc3;rgn=div5;view=text;node=29%3A1.1.1.1.31;idno=29;cc=ecfr" TargetMode="External"/><Relationship Id="rId10" Type="http://schemas.openxmlformats.org/officeDocument/2006/relationships/hyperlink" Target="http://www.ecfr.gov/cgi-bin/text-idx?c=ecfr;sid=ed74dbcbb9102abb4fc388b062787bc3;rgn=div5;view=text;node=29%3A1.1.1.1.31;idno=29;cc=ecfr" TargetMode="External"/><Relationship Id="rId31" Type="http://schemas.openxmlformats.org/officeDocument/2006/relationships/hyperlink" Target="http://www.ecfr.gov/cgi-bin/text-idx?c=ecfr;sid=ed74dbcbb9102abb4fc388b062787bc3;rgn=div5;view=text;node=29%3A1.1.1.1.31;idno=29;cc=ecfr" TargetMode="External"/><Relationship Id="rId44" Type="http://schemas.openxmlformats.org/officeDocument/2006/relationships/hyperlink" Target="http://www.ecfr.gov/cgi-bin/text-idx?c=ecfr;sid=ed74dbcbb9102abb4fc388b062787bc3;rgn=div5;view=text;node=29%3A1.1.1.1.31;idno=29;cc=ecfr" TargetMode="External"/><Relationship Id="rId52" Type="http://schemas.openxmlformats.org/officeDocument/2006/relationships/hyperlink" Target="http://www.ecfr.gov/cgi-bin/text-idx?c=ecfr;sid=ed74dbcbb9102abb4fc388b062787bc3;rgn=div5;view=text;node=29%3A1.1.1.1.31;idno=29;cc=ecfr" TargetMode="External"/><Relationship Id="rId60" Type="http://schemas.openxmlformats.org/officeDocument/2006/relationships/hyperlink" Target="http://www.ecfr.gov/cgi-bin/text-idx?c=ecfr;sid=ed74dbcbb9102abb4fc388b062787bc3;rgn=div5;view=text;node=29%3A1.1.1.1.31;idno=29;cc=ecfr" TargetMode="External"/><Relationship Id="rId65" Type="http://schemas.openxmlformats.org/officeDocument/2006/relationships/hyperlink" Target="http://www.ecfr.gov/cgi-bin/text-idx?c=ecfr;sid=ed74dbcbb9102abb4fc388b062787bc3;rgn=div5;view=text;node=29%3A1.1.1.1.31;idno=29;cc=ecfr" TargetMode="External"/><Relationship Id="rId73" Type="http://schemas.openxmlformats.org/officeDocument/2006/relationships/hyperlink" Target="http://www.ecfr.gov/cgi-bin/text-idx?c=ecfr;sid=ed74dbcbb9102abb4fc388b062787bc3;rgn=div5;view=text;node=29%3A1.1.1.1.31;idno=29;cc=ecfr" TargetMode="External"/><Relationship Id="rId78" Type="http://schemas.openxmlformats.org/officeDocument/2006/relationships/hyperlink" Target="http://www.ecfr.gov/cgi-bin/text-idx?c=ecfr;sid=ed74dbcbb9102abb4fc388b062787bc3;rgn=div5;view=text;node=29%3A1.1.1.1.31;idno=29;cc=ecfr" TargetMode="External"/><Relationship Id="rId81" Type="http://schemas.openxmlformats.org/officeDocument/2006/relationships/hyperlink" Target="http://www.ecfr.gov/cgi-bin/text-idx?c=ecfr;sid=ed74dbcbb9102abb4fc388b062787bc3;rgn=div5;view=text;node=29%3A1.1.1.1.31;idno=29;cc=ecfr" TargetMode="External"/><Relationship Id="rId86" Type="http://schemas.openxmlformats.org/officeDocument/2006/relationships/hyperlink" Target="http://www.ecfr.gov/cgi-bin/text-idx?c=ecfr;sid=ed74dbcbb9102abb4fc388b062787bc3;rgn=div5;view=text;node=29%3A1.1.1.1.31;idno=29;cc=ecfr" TargetMode="External"/><Relationship Id="rId94" Type="http://schemas.openxmlformats.org/officeDocument/2006/relationships/hyperlink" Target="http://www.ecfr.gov/cgi-bin/text-idx?c=ecfr;sid=ed74dbcbb9102abb4fc388b062787bc3;rgn=div5;view=text;node=29%3A1.1.1.1.31;idno=29;cc=ecfr" TargetMode="External"/><Relationship Id="rId99" Type="http://schemas.openxmlformats.org/officeDocument/2006/relationships/hyperlink" Target="http://www.ecfr.gov/cgi-bin/text-idx?c=ecfr;sid=ed74dbcbb9102abb4fc388b062787bc3;rgn=div5;view=text;node=29%3A1.1.1.1.31;idno=29;cc=ecfr" TargetMode="External"/><Relationship Id="rId101" Type="http://schemas.openxmlformats.org/officeDocument/2006/relationships/hyperlink" Target="http://www.ecfr.gov/cgi-bin/text-idx?c=ecfr;sid=ed74dbcbb9102abb4fc388b062787bc3;rgn=div5;view=text;node=29%3A1.1.1.1.31;idno=29;cc=ecfr" TargetMode="External"/><Relationship Id="rId4" Type="http://schemas.openxmlformats.org/officeDocument/2006/relationships/settings" Target="settings.xml"/><Relationship Id="rId9" Type="http://schemas.openxmlformats.org/officeDocument/2006/relationships/hyperlink" Target="http://www.ecfr.gov/cgi-bin/text-idx?c=ecfr;sid=ed74dbcbb9102abb4fc388b062787bc3;rgn=div5;view=text;node=29%3A1.1.1.1.31;idno=29;cc=ecfr" TargetMode="External"/><Relationship Id="rId13" Type="http://schemas.openxmlformats.org/officeDocument/2006/relationships/hyperlink" Target="http://www.ecfr.gov/cgi-bin/text-idx?c=ecfr;sid=ed74dbcbb9102abb4fc388b062787bc3;rgn=div5;view=text;node=29%3A1.1.1.1.31;idno=29;cc=ecfr" TargetMode="External"/><Relationship Id="rId18" Type="http://schemas.openxmlformats.org/officeDocument/2006/relationships/hyperlink" Target="http://www.ecfr.gov/cgi-bin/text-idx?c=ecfr;sid=ed74dbcbb9102abb4fc388b062787bc3;rgn=div5;view=text;node=29%3A1.1.1.1.31;idno=29;cc=ecfr" TargetMode="External"/><Relationship Id="rId39" Type="http://schemas.openxmlformats.org/officeDocument/2006/relationships/hyperlink" Target="http://www.ecfr.gov/cgi-bin/text-idx?c=ecfr;sid=ed74dbcbb9102abb4fc388b062787bc3;rgn=div5;view=text;node=29%3A1.1.1.1.31;idno=29;cc=ecfr" TargetMode="External"/><Relationship Id="rId109" Type="http://schemas.openxmlformats.org/officeDocument/2006/relationships/hyperlink" Target="http://www.ecfr.gov/cgi-bin/text-idx?c=ecfr;sid=ed74dbcbb9102abb4fc388b062787bc3;rgn=div5;view=text;node=29%3A1.1.1.1.31;idno=29;cc=ecfr" TargetMode="External"/><Relationship Id="rId34" Type="http://schemas.openxmlformats.org/officeDocument/2006/relationships/hyperlink" Target="http://www.ecfr.gov/cgi-bin/text-idx?c=ecfr;sid=ed74dbcbb9102abb4fc388b062787bc3;rgn=div5;view=text;node=29%3A1.1.1.1.31;idno=29;cc=ecfr" TargetMode="External"/><Relationship Id="rId50" Type="http://schemas.openxmlformats.org/officeDocument/2006/relationships/hyperlink" Target="http://www.ecfr.gov/cgi-bin/text-idx?c=ecfr;sid=ed74dbcbb9102abb4fc388b062787bc3;rgn=div5;view=text;node=29%3A1.1.1.1.31;idno=29;cc=ecfr" TargetMode="External"/><Relationship Id="rId55" Type="http://schemas.openxmlformats.org/officeDocument/2006/relationships/hyperlink" Target="http://www.ecfr.gov/cgi-bin/text-idx?c=ecfr;sid=ed74dbcbb9102abb4fc388b062787bc3;rgn=div5;view=text;node=29%3A1.1.1.1.31;idno=29;cc=ecfr" TargetMode="External"/><Relationship Id="rId76" Type="http://schemas.openxmlformats.org/officeDocument/2006/relationships/hyperlink" Target="http://www.ecfr.gov/cgi-bin/text-idx?c=ecfr;sid=ed74dbcbb9102abb4fc388b062787bc3;rgn=div5;view=text;node=29%3A1.1.1.1.31;idno=29;cc=ecfr" TargetMode="External"/><Relationship Id="rId97" Type="http://schemas.openxmlformats.org/officeDocument/2006/relationships/hyperlink" Target="http://www.ecfr.gov/cgi-bin/text-idx?c=ecfr;sid=ed74dbcbb9102abb4fc388b062787bc3;rgn=div5;view=text;node=29%3A1.1.1.1.31;idno=29;cc=ecfr" TargetMode="External"/><Relationship Id="rId104" Type="http://schemas.openxmlformats.org/officeDocument/2006/relationships/hyperlink" Target="http://www.ecfr.gov/cgi-bin/text-idx?c=ecfr;sid=ed74dbcbb9102abb4fc388b062787bc3;rgn=div5;view=text;node=29%3A1.1.1.1.31;idno=29;cc=ecfr" TargetMode="External"/><Relationship Id="rId7" Type="http://schemas.openxmlformats.org/officeDocument/2006/relationships/hyperlink" Target="http://www.ecfr.gov/cgi-bin/text-idx?c=ecfr;sid=ed74dbcbb9102abb4fc388b062787bc3;rgn=div5;view=text;node=29%3A1.1.1.1.31;idno=29;cc=ecfr" TargetMode="External"/><Relationship Id="rId71" Type="http://schemas.openxmlformats.org/officeDocument/2006/relationships/hyperlink" Target="http://www.ecfr.gov/cgi-bin/text-idx?c=ecfr;sid=ed74dbcbb9102abb4fc388b062787bc3;rgn=div5;view=text;node=29%3A1.1.1.1.31;idno=29;cc=ecfr" TargetMode="External"/><Relationship Id="rId92" Type="http://schemas.openxmlformats.org/officeDocument/2006/relationships/hyperlink" Target="http://www.ecfr.gov/cgi-bin/text-idx?c=ecfr;sid=ed74dbcbb9102abb4fc388b062787bc3;rgn=div5;view=text;node=29%3A1.1.1.1.31;idno=29;cc=ec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55</Pages>
  <Words>26433</Words>
  <Characters>150673</Characters>
  <Application>Microsoft Office Word</Application>
  <DocSecurity>0</DocSecurity>
  <Lines>1255</Lines>
  <Paragraphs>353</Paragraphs>
  <ScaleCrop>false</ScaleCrop>
  <Company/>
  <LinksUpToDate>false</LinksUpToDate>
  <CharactersWithSpaces>176753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Larkin</dc:creator>
  <cp:keywords/>
  <dc:description/>
  <cp:lastModifiedBy>Larkin, Jessica K - OASAM CRC</cp:lastModifiedBy>
  <cp:revision>4</cp:revision>
  <dcterms:created xsi:type="dcterms:W3CDTF">2014-06-25T16:57:00Z</dcterms:created>
  <dcterms:modified xsi:type="dcterms:W3CDTF">2014-06-26T15:35:00Z</dcterms:modified>
</cp:coreProperties>
</file>