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450C7" w14:textId="77777777" w:rsidR="00E24868" w:rsidRPr="004314D9" w:rsidRDefault="00E4635C" w:rsidP="004314D9">
      <w:pPr>
        <w:jc w:val="center"/>
        <w:rPr>
          <w:b/>
        </w:rPr>
      </w:pPr>
      <w:r>
        <w:rPr>
          <w:b/>
        </w:rPr>
        <w:t>Attachment 6</w:t>
      </w:r>
    </w:p>
    <w:p w14:paraId="603BBD54" w14:textId="77777777" w:rsidR="004314D9" w:rsidRDefault="004314D9" w:rsidP="004314D9">
      <w:pPr>
        <w:jc w:val="center"/>
        <w:rPr>
          <w:b/>
        </w:rPr>
      </w:pPr>
      <w:r w:rsidRPr="004314D9">
        <w:rPr>
          <w:b/>
        </w:rPr>
        <w:t>29 CFR Part</w:t>
      </w:r>
      <w:r>
        <w:rPr>
          <w:b/>
        </w:rPr>
        <w:t>s 3</w:t>
      </w:r>
      <w:r w:rsidR="00E4635C">
        <w:rPr>
          <w:b/>
        </w:rPr>
        <w:t>2.5, 32.8, and 32.49</w:t>
      </w:r>
    </w:p>
    <w:p w14:paraId="6EDB33F4" w14:textId="77777777" w:rsidR="004314D9" w:rsidRDefault="004314D9" w:rsidP="004314D9">
      <w:pPr>
        <w:jc w:val="center"/>
        <w:rPr>
          <w:b/>
        </w:rPr>
      </w:pPr>
    </w:p>
    <w:p w14:paraId="6A64FBD1" w14:textId="77777777" w:rsidR="00836060" w:rsidRDefault="00836060" w:rsidP="004314D9">
      <w:pPr>
        <w:jc w:val="center"/>
        <w:rPr>
          <w:b/>
        </w:rPr>
      </w:pPr>
      <w:bookmarkStart w:id="0" w:name="_GoBack"/>
      <w:bookmarkEnd w:id="0"/>
    </w:p>
    <w:p w14:paraId="3F1D7B95" w14:textId="77777777" w:rsidR="00836060" w:rsidRPr="00836060" w:rsidRDefault="00836060" w:rsidP="00836060">
      <w:pPr>
        <w:pStyle w:val="NoSpacing"/>
        <w:rPr>
          <w:rFonts w:ascii="Times" w:hAnsi="Times"/>
          <w:b/>
          <w:sz w:val="20"/>
          <w:szCs w:val="20"/>
        </w:rPr>
      </w:pPr>
      <w:r w:rsidRPr="00836060">
        <w:rPr>
          <w:rFonts w:ascii="Times" w:hAnsi="Times"/>
          <w:b/>
          <w:sz w:val="20"/>
          <w:szCs w:val="20"/>
        </w:rPr>
        <w:t>§32.5   Assurances required.</w:t>
      </w:r>
    </w:p>
    <w:p w14:paraId="691AEA3A" w14:textId="77777777" w:rsidR="00836060" w:rsidRPr="00836060" w:rsidRDefault="00836060" w:rsidP="00836060">
      <w:pPr>
        <w:pStyle w:val="NoSpacing"/>
        <w:rPr>
          <w:rFonts w:ascii="Times" w:hAnsi="Times"/>
          <w:sz w:val="20"/>
          <w:szCs w:val="20"/>
        </w:rPr>
      </w:pPr>
      <w:r w:rsidRPr="00836060">
        <w:rPr>
          <w:rFonts w:ascii="Times" w:hAnsi="Times"/>
          <w:sz w:val="20"/>
          <w:szCs w:val="20"/>
        </w:rPr>
        <w:t xml:space="preserve">(a) </w:t>
      </w:r>
      <w:r w:rsidRPr="00836060">
        <w:rPr>
          <w:rFonts w:ascii="Times" w:hAnsi="Times"/>
          <w:i/>
          <w:iCs/>
          <w:sz w:val="20"/>
          <w:szCs w:val="20"/>
        </w:rPr>
        <w:t>Assurances.</w:t>
      </w:r>
      <w:r w:rsidRPr="00836060">
        <w:rPr>
          <w:rFonts w:ascii="Times" w:hAnsi="Times"/>
          <w:sz w:val="20"/>
          <w:szCs w:val="20"/>
        </w:rPr>
        <w:t xml:space="preserve"> An applicant for Federal financial assistance to which this part applies shall submit an assurance, on a form specified by the Assistant Secretary, that the program or activity </w:t>
      </w:r>
      <w:proofErr w:type="gramStart"/>
      <w:r w:rsidRPr="00836060">
        <w:rPr>
          <w:rFonts w:ascii="Times" w:hAnsi="Times"/>
          <w:sz w:val="20"/>
          <w:szCs w:val="20"/>
        </w:rPr>
        <w:t>will</w:t>
      </w:r>
      <w:proofErr w:type="gramEnd"/>
      <w:r w:rsidRPr="00836060">
        <w:rPr>
          <w:rFonts w:ascii="Times" w:hAnsi="Times"/>
          <w:sz w:val="20"/>
          <w:szCs w:val="20"/>
        </w:rPr>
        <w:t xml:space="preserve"> be operated in compliance with this part. An applicant may incorporate these assurances by reference in subsequent applications to the Department. </w:t>
      </w:r>
    </w:p>
    <w:p w14:paraId="4898B0E0" w14:textId="77777777" w:rsidR="00836060" w:rsidRPr="00836060" w:rsidRDefault="00836060" w:rsidP="00836060">
      <w:pPr>
        <w:pStyle w:val="NoSpacing"/>
        <w:rPr>
          <w:rFonts w:ascii="Times" w:hAnsi="Times"/>
          <w:sz w:val="20"/>
          <w:szCs w:val="20"/>
        </w:rPr>
      </w:pPr>
      <w:r w:rsidRPr="00836060">
        <w:rPr>
          <w:rFonts w:ascii="Times" w:hAnsi="Times"/>
          <w:sz w:val="20"/>
          <w:szCs w:val="20"/>
        </w:rPr>
        <w:t xml:space="preserve">(b) </w:t>
      </w:r>
      <w:r w:rsidRPr="00836060">
        <w:rPr>
          <w:rFonts w:ascii="Times" w:hAnsi="Times"/>
          <w:i/>
          <w:iCs/>
          <w:sz w:val="20"/>
          <w:szCs w:val="20"/>
        </w:rPr>
        <w:t>Duration of obligation.</w:t>
      </w:r>
      <w:r w:rsidRPr="00836060">
        <w:rPr>
          <w:rFonts w:ascii="Times" w:hAnsi="Times"/>
          <w:sz w:val="20"/>
          <w:szCs w:val="20"/>
        </w:rPr>
        <w:t xml:space="preserve"> (1) In the case of Federal financial assistance extended in the form of real property or structures on the property, the assurance will obligate the recipient or, in the case of a subsequent transfer, the transferee, for the period during which the real property or structures are used for the purpose involving the provision of similar services or benefits. </w:t>
      </w:r>
    </w:p>
    <w:p w14:paraId="24C65A3E" w14:textId="77777777" w:rsidR="00836060" w:rsidRPr="00836060" w:rsidRDefault="00836060" w:rsidP="00836060">
      <w:pPr>
        <w:pStyle w:val="NoSpacing"/>
        <w:rPr>
          <w:rFonts w:ascii="Times" w:hAnsi="Times"/>
          <w:sz w:val="20"/>
          <w:szCs w:val="20"/>
        </w:rPr>
      </w:pPr>
      <w:r w:rsidRPr="00836060">
        <w:rPr>
          <w:rFonts w:ascii="Times" w:hAnsi="Times"/>
          <w:sz w:val="20"/>
          <w:szCs w:val="20"/>
        </w:rPr>
        <w:t xml:space="preserve">(2) In the case of Federal financial assistance extended to provide personal property, the assurance will obligate the recipient for the period during which it retains ownership or possession of the property. </w:t>
      </w:r>
    </w:p>
    <w:p w14:paraId="6880C055" w14:textId="77777777" w:rsidR="00836060" w:rsidRPr="00836060" w:rsidRDefault="00836060" w:rsidP="00836060">
      <w:pPr>
        <w:pStyle w:val="NoSpacing"/>
        <w:rPr>
          <w:rFonts w:ascii="Times" w:hAnsi="Times"/>
          <w:sz w:val="20"/>
          <w:szCs w:val="20"/>
        </w:rPr>
      </w:pPr>
      <w:r w:rsidRPr="00836060">
        <w:rPr>
          <w:rFonts w:ascii="Times" w:hAnsi="Times"/>
          <w:sz w:val="20"/>
          <w:szCs w:val="20"/>
        </w:rPr>
        <w:t xml:space="preserve">(3) In all other cases the assurance will obligate the recipient for the period during which Federal financial assistance is extended or the federally-funded program or activity is operated, whichever is longer. </w:t>
      </w:r>
    </w:p>
    <w:p w14:paraId="2E5F657B" w14:textId="77777777" w:rsidR="00836060" w:rsidRPr="00836060" w:rsidRDefault="00836060" w:rsidP="00836060">
      <w:pPr>
        <w:pStyle w:val="NoSpacing"/>
        <w:rPr>
          <w:rFonts w:ascii="Times" w:hAnsi="Times"/>
          <w:sz w:val="20"/>
          <w:szCs w:val="20"/>
        </w:rPr>
      </w:pPr>
      <w:r w:rsidRPr="00836060">
        <w:rPr>
          <w:rFonts w:ascii="Times" w:hAnsi="Times"/>
          <w:sz w:val="20"/>
          <w:szCs w:val="20"/>
        </w:rPr>
        <w:t xml:space="preserve">(c) </w:t>
      </w:r>
      <w:r w:rsidRPr="00836060">
        <w:rPr>
          <w:rFonts w:ascii="Times" w:hAnsi="Times"/>
          <w:i/>
          <w:iCs/>
          <w:sz w:val="20"/>
          <w:szCs w:val="20"/>
        </w:rPr>
        <w:t>Covenants.</w:t>
      </w:r>
      <w:r w:rsidRPr="00836060">
        <w:rPr>
          <w:rFonts w:ascii="Times" w:hAnsi="Times"/>
          <w:sz w:val="20"/>
          <w:szCs w:val="20"/>
        </w:rPr>
        <w:t xml:space="preserve"> (1) Where Federal financial assistance is provided in the form of real property or interest in the property from the Department, the instrument effecting or recording this transfer shall contain a covenant running with the land to assure nondiscrimination for the period during which the real property is used for a purpose for which the Federal financial assistance is extended or for another purpose involving the provision of similar services or benefits. </w:t>
      </w:r>
    </w:p>
    <w:p w14:paraId="1CC4E90A" w14:textId="77777777" w:rsidR="00836060" w:rsidRPr="00836060" w:rsidRDefault="00836060" w:rsidP="00836060">
      <w:pPr>
        <w:pStyle w:val="NoSpacing"/>
        <w:rPr>
          <w:rFonts w:ascii="Times" w:hAnsi="Times"/>
          <w:sz w:val="20"/>
          <w:szCs w:val="20"/>
        </w:rPr>
      </w:pPr>
      <w:r w:rsidRPr="00836060">
        <w:rPr>
          <w:rFonts w:ascii="Times" w:hAnsi="Times"/>
          <w:sz w:val="20"/>
          <w:szCs w:val="20"/>
        </w:rPr>
        <w:t xml:space="preserve">(2) Where no Federal transfer of property is involved but property is purchased or improved with Federal financial assistance, the recipient shall agree to include the covenant described in paragraph (c)(1) of this section in the instrument effecting or recording any subsequent transfer of the property. </w:t>
      </w:r>
    </w:p>
    <w:p w14:paraId="492CF7CE" w14:textId="77777777" w:rsidR="00836060" w:rsidRPr="00836060" w:rsidRDefault="00836060" w:rsidP="00836060">
      <w:pPr>
        <w:pStyle w:val="NoSpacing"/>
        <w:rPr>
          <w:rFonts w:ascii="Times" w:hAnsi="Times"/>
          <w:sz w:val="20"/>
          <w:szCs w:val="20"/>
        </w:rPr>
      </w:pPr>
      <w:r w:rsidRPr="00836060">
        <w:rPr>
          <w:rFonts w:ascii="Times" w:hAnsi="Times"/>
          <w:sz w:val="20"/>
          <w:szCs w:val="20"/>
        </w:rPr>
        <w:t xml:space="preserve">(3) Where Federal financial assistance is provided in the form of real property or interest in the property from the Department, the covenant shall also include a condition coupled with a right to be reserved by the Department to revert title to the property in the event of a breach of the covenant. If a transferee of real property proposes to mortgage or otherwise encumber the real property as security to finance construction of new, or improvement of existing, facilities on the property for the purposes for which the property was transferred, the Assistant Secretary may agree to forbear the exercise of such right to revert title for so long as the lien of such mortgage or other encumbrance remains effective. Such an agreement by the Assistant Secretary may be entered into only upon the request of the transferee (recipient) if it is necessary to accomplish such financing and upon such terms and conditions as the Assistant Secretary deems appropriate. </w:t>
      </w:r>
    </w:p>
    <w:p w14:paraId="5D2B6523" w14:textId="77777777" w:rsidR="00836060" w:rsidRPr="00836060" w:rsidRDefault="00836060" w:rsidP="00836060">
      <w:pPr>
        <w:pStyle w:val="NoSpacing"/>
        <w:rPr>
          <w:rFonts w:ascii="Times" w:hAnsi="Times"/>
          <w:sz w:val="20"/>
          <w:szCs w:val="20"/>
        </w:rPr>
      </w:pPr>
      <w:r w:rsidRPr="00836060">
        <w:rPr>
          <w:rFonts w:ascii="Times" w:hAnsi="Times"/>
          <w:sz w:val="20"/>
          <w:szCs w:val="20"/>
        </w:rPr>
        <w:t xml:space="preserve">(d) </w:t>
      </w:r>
      <w:r w:rsidRPr="00836060">
        <w:rPr>
          <w:rFonts w:ascii="Times" w:hAnsi="Times"/>
          <w:i/>
          <w:iCs/>
          <w:sz w:val="20"/>
          <w:szCs w:val="20"/>
        </w:rPr>
        <w:t>Interagency agreements.</w:t>
      </w:r>
      <w:r w:rsidRPr="00836060">
        <w:rPr>
          <w:rFonts w:ascii="Times" w:hAnsi="Times"/>
          <w:sz w:val="20"/>
          <w:szCs w:val="20"/>
        </w:rPr>
        <w:t xml:space="preserve"> Where funds are granted by the Department to another Federal agency, and where the grant obligates the recipient agency to comply with the rules and regulations of the Department applicable to that grant the provisions of this part shall apply to programs or activities operated with such funds.</w:t>
      </w:r>
    </w:p>
    <w:p w14:paraId="64D3DE9B" w14:textId="77777777" w:rsidR="00836060" w:rsidRDefault="00836060" w:rsidP="00836060">
      <w:pPr>
        <w:pStyle w:val="NoSpacing"/>
        <w:rPr>
          <w:rFonts w:ascii="Times" w:hAnsi="Times"/>
          <w:sz w:val="20"/>
          <w:szCs w:val="20"/>
        </w:rPr>
      </w:pPr>
    </w:p>
    <w:p w14:paraId="2F0FD9EB" w14:textId="77777777" w:rsidR="00836060" w:rsidRPr="00836060" w:rsidRDefault="00836060" w:rsidP="00836060">
      <w:pPr>
        <w:pStyle w:val="NoSpacing"/>
        <w:rPr>
          <w:rFonts w:ascii="Times" w:hAnsi="Times"/>
          <w:b/>
          <w:sz w:val="20"/>
          <w:szCs w:val="20"/>
        </w:rPr>
      </w:pPr>
      <w:r w:rsidRPr="00836060">
        <w:rPr>
          <w:rFonts w:ascii="Times" w:hAnsi="Times"/>
          <w:b/>
          <w:sz w:val="20"/>
          <w:szCs w:val="20"/>
        </w:rPr>
        <w:t>§32.8   Notice.</w:t>
      </w:r>
    </w:p>
    <w:p w14:paraId="0E27DEA5" w14:textId="77777777" w:rsidR="00836060" w:rsidRPr="00836060" w:rsidRDefault="00836060" w:rsidP="00836060">
      <w:pPr>
        <w:pStyle w:val="NoSpacing"/>
        <w:rPr>
          <w:rFonts w:ascii="Times" w:hAnsi="Times"/>
          <w:sz w:val="20"/>
          <w:szCs w:val="20"/>
        </w:rPr>
      </w:pPr>
      <w:r w:rsidRPr="00836060">
        <w:rPr>
          <w:rFonts w:ascii="Times" w:hAnsi="Times"/>
          <w:sz w:val="20"/>
          <w:szCs w:val="20"/>
        </w:rPr>
        <w:t xml:space="preserve">(a) A recipient, other than a small recipient, shall take appropriate initial and continuing steps to notify participants, beneficiaries, referral sources, applicants, and employees, including those with impaired vision or hearing, and unions or professional organizations which have collective bargaining or professional agreements with the recipient, that it does not discriminate on the basis of handicap in violation of section 504 and of this part. The notification shall state, where appropriate, that the recipient does not discriminate in the admission or access to, or treatment or employment in, its programs or activities. The notification shall also include an identification of the responsible employee designated pursuant to §32.7. A recipient shall make the initial notifications required by this paragraph within 90 days of the effective date of this part. Methods of initial and continuing notification may include the posting of notices, publication in newspapers and magazines, placement of notices in recipient's publications, and distribution of memoranda or other written communications. </w:t>
      </w:r>
    </w:p>
    <w:p w14:paraId="2A95245A" w14:textId="77777777" w:rsidR="00836060" w:rsidRPr="00836060" w:rsidRDefault="00836060" w:rsidP="00836060">
      <w:pPr>
        <w:pStyle w:val="NoSpacing"/>
        <w:rPr>
          <w:rFonts w:ascii="Times" w:hAnsi="Times"/>
          <w:sz w:val="20"/>
          <w:szCs w:val="20"/>
        </w:rPr>
      </w:pPr>
      <w:r w:rsidRPr="00836060">
        <w:rPr>
          <w:rFonts w:ascii="Times" w:hAnsi="Times"/>
          <w:sz w:val="20"/>
          <w:szCs w:val="20"/>
        </w:rPr>
        <w:t xml:space="preserve">(b) If a recipient publishes or uses recruitment materials or publications containing general information that it makes available to participants, beneficiaries, applicants, or employees, it shall include in those materials or publications a statement of the policy described in paragraph (a) of this section. A recipient may meet </w:t>
      </w:r>
      <w:r w:rsidRPr="00836060">
        <w:rPr>
          <w:rFonts w:ascii="Times" w:hAnsi="Times"/>
          <w:sz w:val="20"/>
          <w:szCs w:val="20"/>
        </w:rPr>
        <w:lastRenderedPageBreak/>
        <w:t xml:space="preserve">the requirement of this paragraph either by including appropriate inserts in existing materials and publications or by revising and reprinting the materials and publications. </w:t>
      </w:r>
    </w:p>
    <w:p w14:paraId="36A06451" w14:textId="77777777" w:rsidR="00836060" w:rsidRDefault="00836060" w:rsidP="00836060">
      <w:pPr>
        <w:pStyle w:val="NoSpacing"/>
        <w:rPr>
          <w:rFonts w:ascii="Times" w:hAnsi="Times"/>
          <w:sz w:val="20"/>
          <w:szCs w:val="20"/>
        </w:rPr>
      </w:pPr>
    </w:p>
    <w:p w14:paraId="4235462D" w14:textId="77777777" w:rsidR="00836060" w:rsidRPr="00836060" w:rsidRDefault="00836060" w:rsidP="00836060">
      <w:pPr>
        <w:pStyle w:val="NoSpacing"/>
        <w:rPr>
          <w:rFonts w:ascii="Times" w:hAnsi="Times"/>
          <w:b/>
          <w:sz w:val="20"/>
          <w:szCs w:val="20"/>
        </w:rPr>
      </w:pPr>
      <w:r w:rsidRPr="00836060">
        <w:rPr>
          <w:rFonts w:ascii="Times" w:hAnsi="Times"/>
          <w:b/>
          <w:sz w:val="20"/>
          <w:szCs w:val="20"/>
        </w:rPr>
        <w:t>§32.49   Recordkeeping.</w:t>
      </w:r>
    </w:p>
    <w:p w14:paraId="10D20285" w14:textId="77777777" w:rsidR="00836060" w:rsidRPr="00836060" w:rsidRDefault="00836060" w:rsidP="00836060">
      <w:pPr>
        <w:pStyle w:val="NoSpacing"/>
        <w:rPr>
          <w:rFonts w:ascii="Times" w:hAnsi="Times"/>
          <w:sz w:val="20"/>
          <w:szCs w:val="20"/>
        </w:rPr>
      </w:pPr>
      <w:r w:rsidRPr="00836060">
        <w:rPr>
          <w:rFonts w:ascii="Times" w:hAnsi="Times"/>
          <w:sz w:val="20"/>
          <w:szCs w:val="20"/>
        </w:rPr>
        <w:t>(a) Each recipient shall maintain for a period of not less than three years records regarding complaints and actions taken thereunder, and such employment or other records as required by the Assistant Secretary or by this part and shall furnish such information in the form required by the Assistant Secretary or as the Assistant Secretary deems necessary for the administration of the Act and regulations in this part.</w:t>
      </w:r>
    </w:p>
    <w:p w14:paraId="63B75772" w14:textId="77777777" w:rsidR="00836060" w:rsidRPr="00836060" w:rsidRDefault="00836060" w:rsidP="00836060">
      <w:pPr>
        <w:pStyle w:val="NoSpacing"/>
        <w:rPr>
          <w:rFonts w:ascii="Times" w:hAnsi="Times"/>
          <w:sz w:val="20"/>
          <w:szCs w:val="20"/>
        </w:rPr>
      </w:pPr>
      <w:r w:rsidRPr="00836060">
        <w:rPr>
          <w:rFonts w:ascii="Times" w:hAnsi="Times"/>
          <w:sz w:val="20"/>
          <w:szCs w:val="20"/>
        </w:rPr>
        <w:t>(b) Failure to maintain and furnish complete and accurate records as required under this section is a ground for the imposition of appropriate sanctions.</w:t>
      </w:r>
    </w:p>
    <w:p w14:paraId="0BA293EC" w14:textId="77777777" w:rsidR="004314D9" w:rsidRPr="004314D9" w:rsidRDefault="004314D9" w:rsidP="004314D9">
      <w:pPr>
        <w:rPr>
          <w:b/>
        </w:rPr>
      </w:pPr>
    </w:p>
    <w:sectPr w:rsidR="004314D9" w:rsidRPr="004314D9" w:rsidSect="00717A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D9"/>
    <w:rsid w:val="004314D9"/>
    <w:rsid w:val="00717A61"/>
    <w:rsid w:val="00836060"/>
    <w:rsid w:val="00E24868"/>
    <w:rsid w:val="00E46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7F72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314D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14D9"/>
    <w:rPr>
      <w:rFonts w:ascii="Times" w:hAnsi="Times"/>
      <w:b/>
      <w:bCs/>
      <w:sz w:val="36"/>
      <w:szCs w:val="36"/>
    </w:rPr>
  </w:style>
  <w:style w:type="paragraph" w:customStyle="1" w:styleId="fp">
    <w:name w:val="fp"/>
    <w:basedOn w:val="Normal"/>
    <w:rsid w:val="004314D9"/>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4314D9"/>
    <w:rPr>
      <w:color w:val="0000FF"/>
      <w:u w:val="single"/>
    </w:rPr>
  </w:style>
  <w:style w:type="paragraph" w:styleId="NormalWeb">
    <w:name w:val="Normal (Web)"/>
    <w:basedOn w:val="Normal"/>
    <w:uiPriority w:val="99"/>
    <w:semiHidden/>
    <w:unhideWhenUsed/>
    <w:rsid w:val="004314D9"/>
    <w:pPr>
      <w:spacing w:before="100" w:beforeAutospacing="1" w:after="100" w:afterAutospacing="1"/>
    </w:pPr>
    <w:rPr>
      <w:rFonts w:ascii="Times" w:hAnsi="Times" w:cs="Times New Roman"/>
      <w:sz w:val="20"/>
      <w:szCs w:val="20"/>
    </w:rPr>
  </w:style>
  <w:style w:type="paragraph" w:customStyle="1" w:styleId="cita">
    <w:name w:val="cita"/>
    <w:basedOn w:val="Normal"/>
    <w:rsid w:val="004314D9"/>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31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4D9"/>
    <w:rPr>
      <w:rFonts w:ascii="Lucida Grande" w:hAnsi="Lucida Grande" w:cs="Lucida Grande"/>
      <w:sz w:val="18"/>
      <w:szCs w:val="18"/>
    </w:rPr>
  </w:style>
  <w:style w:type="paragraph" w:styleId="NoSpacing">
    <w:name w:val="No Spacing"/>
    <w:uiPriority w:val="1"/>
    <w:qFormat/>
    <w:rsid w:val="004314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314D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14D9"/>
    <w:rPr>
      <w:rFonts w:ascii="Times" w:hAnsi="Times"/>
      <w:b/>
      <w:bCs/>
      <w:sz w:val="36"/>
      <w:szCs w:val="36"/>
    </w:rPr>
  </w:style>
  <w:style w:type="paragraph" w:customStyle="1" w:styleId="fp">
    <w:name w:val="fp"/>
    <w:basedOn w:val="Normal"/>
    <w:rsid w:val="004314D9"/>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4314D9"/>
    <w:rPr>
      <w:color w:val="0000FF"/>
      <w:u w:val="single"/>
    </w:rPr>
  </w:style>
  <w:style w:type="paragraph" w:styleId="NormalWeb">
    <w:name w:val="Normal (Web)"/>
    <w:basedOn w:val="Normal"/>
    <w:uiPriority w:val="99"/>
    <w:semiHidden/>
    <w:unhideWhenUsed/>
    <w:rsid w:val="004314D9"/>
    <w:pPr>
      <w:spacing w:before="100" w:beforeAutospacing="1" w:after="100" w:afterAutospacing="1"/>
    </w:pPr>
    <w:rPr>
      <w:rFonts w:ascii="Times" w:hAnsi="Times" w:cs="Times New Roman"/>
      <w:sz w:val="20"/>
      <w:szCs w:val="20"/>
    </w:rPr>
  </w:style>
  <w:style w:type="paragraph" w:customStyle="1" w:styleId="cita">
    <w:name w:val="cita"/>
    <w:basedOn w:val="Normal"/>
    <w:rsid w:val="004314D9"/>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31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4D9"/>
    <w:rPr>
      <w:rFonts w:ascii="Lucida Grande" w:hAnsi="Lucida Grande" w:cs="Lucida Grande"/>
      <w:sz w:val="18"/>
      <w:szCs w:val="18"/>
    </w:rPr>
  </w:style>
  <w:style w:type="paragraph" w:styleId="NoSpacing">
    <w:name w:val="No Spacing"/>
    <w:uiPriority w:val="1"/>
    <w:qFormat/>
    <w:rsid w:val="0043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85357">
      <w:bodyDiv w:val="1"/>
      <w:marLeft w:val="0"/>
      <w:marRight w:val="0"/>
      <w:marTop w:val="0"/>
      <w:marBottom w:val="0"/>
      <w:divBdr>
        <w:top w:val="none" w:sz="0" w:space="0" w:color="auto"/>
        <w:left w:val="none" w:sz="0" w:space="0" w:color="auto"/>
        <w:bottom w:val="none" w:sz="0" w:space="0" w:color="auto"/>
        <w:right w:val="none" w:sz="0" w:space="0" w:color="auto"/>
      </w:divBdr>
      <w:divsChild>
        <w:div w:id="745691569">
          <w:marLeft w:val="0"/>
          <w:marRight w:val="0"/>
          <w:marTop w:val="0"/>
          <w:marBottom w:val="0"/>
          <w:divBdr>
            <w:top w:val="none" w:sz="0" w:space="0" w:color="auto"/>
            <w:left w:val="none" w:sz="0" w:space="0" w:color="auto"/>
            <w:bottom w:val="none" w:sz="0" w:space="0" w:color="auto"/>
            <w:right w:val="none" w:sz="0" w:space="0" w:color="auto"/>
          </w:divBdr>
        </w:div>
        <w:div w:id="2061466858">
          <w:marLeft w:val="0"/>
          <w:marRight w:val="0"/>
          <w:marTop w:val="0"/>
          <w:marBottom w:val="0"/>
          <w:divBdr>
            <w:top w:val="none" w:sz="0" w:space="0" w:color="auto"/>
            <w:left w:val="none" w:sz="0" w:space="0" w:color="auto"/>
            <w:bottom w:val="none" w:sz="0" w:space="0" w:color="auto"/>
            <w:right w:val="none" w:sz="0" w:space="0" w:color="auto"/>
          </w:divBdr>
        </w:div>
      </w:divsChild>
    </w:div>
    <w:div w:id="1476024925">
      <w:bodyDiv w:val="1"/>
      <w:marLeft w:val="0"/>
      <w:marRight w:val="0"/>
      <w:marTop w:val="0"/>
      <w:marBottom w:val="0"/>
      <w:divBdr>
        <w:top w:val="none" w:sz="0" w:space="0" w:color="auto"/>
        <w:left w:val="none" w:sz="0" w:space="0" w:color="auto"/>
        <w:bottom w:val="none" w:sz="0" w:space="0" w:color="auto"/>
        <w:right w:val="none" w:sz="0" w:space="0" w:color="auto"/>
      </w:divBdr>
    </w:div>
    <w:div w:id="1549107103">
      <w:bodyDiv w:val="1"/>
      <w:marLeft w:val="0"/>
      <w:marRight w:val="0"/>
      <w:marTop w:val="0"/>
      <w:marBottom w:val="0"/>
      <w:divBdr>
        <w:top w:val="none" w:sz="0" w:space="0" w:color="auto"/>
        <w:left w:val="none" w:sz="0" w:space="0" w:color="auto"/>
        <w:bottom w:val="none" w:sz="0" w:space="0" w:color="auto"/>
        <w:right w:val="none" w:sz="0" w:space="0" w:color="auto"/>
      </w:divBdr>
    </w:div>
    <w:div w:id="20841412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827</Words>
  <Characters>4716</Characters>
  <Application>Microsoft Macintosh Word</Application>
  <DocSecurity>0</DocSecurity>
  <Lines>39</Lines>
  <Paragraphs>11</Paragraphs>
  <ScaleCrop>false</ScaleCrop>
  <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Larkin</dc:creator>
  <cp:keywords/>
  <dc:description/>
  <cp:lastModifiedBy>Jessica Larkin</cp:lastModifiedBy>
  <cp:revision>3</cp:revision>
  <dcterms:created xsi:type="dcterms:W3CDTF">2014-06-25T18:27:00Z</dcterms:created>
  <dcterms:modified xsi:type="dcterms:W3CDTF">2014-06-25T18:29:00Z</dcterms:modified>
</cp:coreProperties>
</file>