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CF" w:rsidRPr="00714E1E" w:rsidRDefault="00C2417D" w:rsidP="005B6ACF">
      <w:pPr>
        <w:pStyle w:val="Heading1"/>
        <w:numPr>
          <w:ilvl w:val="0"/>
          <w:numId w:val="0"/>
        </w:numPr>
        <w:spacing w:after="200"/>
        <w:rPr>
          <w:color w:val="F0F4F6" w:themeColor="background1" w:themeTint="33"/>
        </w:rPr>
      </w:pPr>
      <w:r w:rsidRPr="00714E1E">
        <w:rPr>
          <w:color w:val="F0F4F6" w:themeColor="background1" w:themeTint="33"/>
        </w:rPr>
        <w:t xml:space="preserve">Appendix </w:t>
      </w:r>
      <w:r w:rsidR="00B00735">
        <w:rPr>
          <w:color w:val="F0F4F6" w:themeColor="background1" w:themeTint="33"/>
        </w:rPr>
        <w:t>E</w:t>
      </w:r>
      <w:r w:rsidRPr="00714E1E">
        <w:rPr>
          <w:color w:val="F0F4F6" w:themeColor="background1" w:themeTint="33"/>
        </w:rPr>
        <w:t xml:space="preserve">. Detailed Justification for Items in the </w:t>
      </w:r>
      <w:r w:rsidR="00C21AC8" w:rsidRPr="00714E1E">
        <w:rPr>
          <w:color w:val="F0F4F6" w:themeColor="background1" w:themeTint="33"/>
        </w:rPr>
        <w:t>Baseline Information Form (</w:t>
      </w:r>
      <w:r w:rsidRPr="00714E1E">
        <w:rPr>
          <w:color w:val="F0F4F6" w:themeColor="background1" w:themeTint="33"/>
        </w:rPr>
        <w:t>BIF</w:t>
      </w:r>
      <w:r w:rsidR="00C21AC8" w:rsidRPr="00714E1E">
        <w:rPr>
          <w:color w:val="F0F4F6" w:themeColor="background1" w:themeTint="33"/>
        </w:rPr>
        <w:t>)</w:t>
      </w:r>
      <w:r w:rsidRPr="00714E1E">
        <w:rPr>
          <w:color w:val="F0F4F6" w:themeColor="background1" w:themeTint="33"/>
        </w:rPr>
        <w:t xml:space="preserve"> and S</w:t>
      </w:r>
      <w:r w:rsidR="00C21AC8" w:rsidRPr="00714E1E">
        <w:rPr>
          <w:color w:val="F0F4F6" w:themeColor="background1" w:themeTint="33"/>
        </w:rPr>
        <w:t>elf-</w:t>
      </w:r>
      <w:r w:rsidRPr="00714E1E">
        <w:rPr>
          <w:color w:val="F0F4F6" w:themeColor="background1" w:themeTint="33"/>
        </w:rPr>
        <w:t>A</w:t>
      </w:r>
      <w:r w:rsidR="00C21AC8" w:rsidRPr="00714E1E">
        <w:rPr>
          <w:color w:val="F0F4F6" w:themeColor="background1" w:themeTint="33"/>
        </w:rPr>
        <w:t xml:space="preserve">dministered </w:t>
      </w:r>
      <w:r w:rsidRPr="00714E1E">
        <w:rPr>
          <w:color w:val="F0F4F6" w:themeColor="background1" w:themeTint="33"/>
        </w:rPr>
        <w:t>Q</w:t>
      </w:r>
      <w:r w:rsidR="00C21AC8" w:rsidRPr="00714E1E">
        <w:rPr>
          <w:color w:val="F0F4F6" w:themeColor="background1" w:themeTint="33"/>
        </w:rPr>
        <w:t>uestionnaire (SAQ)</w:t>
      </w:r>
    </w:p>
    <w:p w:rsidR="00BB5141" w:rsidRDefault="00BB5141" w:rsidP="00BB5141">
      <w:pPr>
        <w:pStyle w:val="Heading2"/>
      </w:pPr>
      <w:r>
        <w:t>Overview</w:t>
      </w:r>
    </w:p>
    <w:p w:rsidR="006D5284" w:rsidRPr="003651B1" w:rsidRDefault="00410235" w:rsidP="006D5284">
      <w:pPr>
        <w:rPr>
          <w:sz w:val="24"/>
          <w:szCs w:val="24"/>
        </w:rPr>
      </w:pPr>
      <w:r w:rsidRPr="003651B1">
        <w:rPr>
          <w:sz w:val="24"/>
          <w:szCs w:val="24"/>
        </w:rPr>
        <w:t xml:space="preserve">This </w:t>
      </w:r>
      <w:r>
        <w:rPr>
          <w:sz w:val="24"/>
          <w:szCs w:val="24"/>
        </w:rPr>
        <w:t>appendix</w:t>
      </w:r>
      <w:r w:rsidRPr="003651B1">
        <w:rPr>
          <w:sz w:val="24"/>
          <w:szCs w:val="24"/>
        </w:rPr>
        <w:t xml:space="preserve"> provides </w:t>
      </w:r>
      <w:r>
        <w:rPr>
          <w:sz w:val="24"/>
          <w:szCs w:val="24"/>
        </w:rPr>
        <w:t xml:space="preserve">detailed justifications for items in the </w:t>
      </w:r>
      <w:r w:rsidR="00C21AC8">
        <w:rPr>
          <w:sz w:val="24"/>
          <w:szCs w:val="24"/>
        </w:rPr>
        <w:t>Baseline Information Form (</w:t>
      </w:r>
      <w:r>
        <w:rPr>
          <w:sz w:val="24"/>
          <w:szCs w:val="24"/>
        </w:rPr>
        <w:t>BIF</w:t>
      </w:r>
      <w:r w:rsidR="00C21AC8">
        <w:rPr>
          <w:sz w:val="24"/>
          <w:szCs w:val="24"/>
        </w:rPr>
        <w:t>)</w:t>
      </w:r>
      <w:r>
        <w:rPr>
          <w:sz w:val="24"/>
          <w:szCs w:val="24"/>
        </w:rPr>
        <w:t xml:space="preserve"> and S</w:t>
      </w:r>
      <w:r w:rsidR="00C21AC8">
        <w:rPr>
          <w:sz w:val="24"/>
          <w:szCs w:val="24"/>
        </w:rPr>
        <w:t>elf-Administered Questionnaire (S</w:t>
      </w:r>
      <w:r>
        <w:rPr>
          <w:sz w:val="24"/>
          <w:szCs w:val="24"/>
        </w:rPr>
        <w:t>AQ</w:t>
      </w:r>
      <w:r w:rsidR="00C21AC8">
        <w:rPr>
          <w:sz w:val="24"/>
          <w:szCs w:val="24"/>
        </w:rPr>
        <w:t>)</w:t>
      </w:r>
      <w:r>
        <w:rPr>
          <w:sz w:val="24"/>
          <w:szCs w:val="24"/>
        </w:rPr>
        <w:t xml:space="preserve">.  </w:t>
      </w:r>
    </w:p>
    <w:p w:rsidR="00C2417D" w:rsidRDefault="00C2417D" w:rsidP="00C2417D">
      <w:pPr>
        <w:pStyle w:val="Heading2"/>
      </w:pPr>
      <w:r>
        <w:t>BIF</w:t>
      </w:r>
    </w:p>
    <w:tbl>
      <w:tblPr>
        <w:tblStyle w:val="TableGrid"/>
        <w:tblW w:w="9216" w:type="dxa"/>
        <w:tblInd w:w="108" w:type="dxa"/>
        <w:tblLook w:val="04A0" w:firstRow="1" w:lastRow="0" w:firstColumn="1" w:lastColumn="0" w:noHBand="0" w:noVBand="1"/>
      </w:tblPr>
      <w:tblGrid>
        <w:gridCol w:w="1548"/>
        <w:gridCol w:w="1260"/>
        <w:gridCol w:w="3960"/>
        <w:gridCol w:w="2448"/>
      </w:tblGrid>
      <w:tr w:rsidR="00115465" w:rsidRPr="00115465" w:rsidTr="00E27A47">
        <w:trPr>
          <w:cantSplit/>
          <w:tblHeader/>
        </w:trPr>
        <w:tc>
          <w:tcPr>
            <w:tcW w:w="1548" w:type="dxa"/>
          </w:tcPr>
          <w:p w:rsidR="00C72A77" w:rsidRPr="00115465" w:rsidRDefault="000E3EF1" w:rsidP="00E27A47">
            <w:pPr>
              <w:spacing w:before="60" w:after="60"/>
              <w:rPr>
                <w:rFonts w:ascii="Arial" w:hAnsi="Arial" w:cs="Arial"/>
                <w:b/>
                <w:sz w:val="20"/>
              </w:rPr>
            </w:pPr>
            <w:r>
              <w:rPr>
                <w:rFonts w:ascii="Arial" w:hAnsi="Arial" w:cs="Arial"/>
                <w:b/>
                <w:sz w:val="20"/>
              </w:rPr>
              <w:t>Item/</w:t>
            </w:r>
            <w:r w:rsidR="00C72A77" w:rsidRPr="00115465">
              <w:rPr>
                <w:rFonts w:ascii="Arial" w:hAnsi="Arial" w:cs="Arial"/>
                <w:b/>
                <w:sz w:val="20"/>
              </w:rPr>
              <w:t>Measure</w:t>
            </w:r>
          </w:p>
        </w:tc>
        <w:tc>
          <w:tcPr>
            <w:tcW w:w="1260" w:type="dxa"/>
          </w:tcPr>
          <w:p w:rsidR="00C72A77" w:rsidRPr="00115465" w:rsidRDefault="00115465" w:rsidP="00E27A47">
            <w:pPr>
              <w:spacing w:before="60" w:after="60"/>
              <w:rPr>
                <w:rFonts w:ascii="Arial" w:hAnsi="Arial" w:cs="Arial"/>
                <w:b/>
                <w:sz w:val="20"/>
              </w:rPr>
            </w:pPr>
            <w:r>
              <w:rPr>
                <w:rFonts w:ascii="Arial" w:hAnsi="Arial" w:cs="Arial"/>
                <w:b/>
                <w:sz w:val="20"/>
              </w:rPr>
              <w:t xml:space="preserve">Question </w:t>
            </w:r>
            <w:r w:rsidR="00C72A77" w:rsidRPr="00115465">
              <w:rPr>
                <w:rFonts w:ascii="Arial" w:hAnsi="Arial" w:cs="Arial"/>
                <w:b/>
                <w:sz w:val="20"/>
              </w:rPr>
              <w:t>Number(s)</w:t>
            </w:r>
          </w:p>
        </w:tc>
        <w:tc>
          <w:tcPr>
            <w:tcW w:w="3960" w:type="dxa"/>
          </w:tcPr>
          <w:p w:rsidR="00C72A77" w:rsidRPr="00115465" w:rsidRDefault="00C72A77" w:rsidP="00E27A47">
            <w:pPr>
              <w:spacing w:before="60" w:after="60"/>
              <w:rPr>
                <w:rFonts w:ascii="Arial" w:hAnsi="Arial" w:cs="Arial"/>
                <w:b/>
                <w:sz w:val="20"/>
              </w:rPr>
            </w:pPr>
            <w:r w:rsidRPr="00115465">
              <w:rPr>
                <w:rFonts w:ascii="Arial" w:hAnsi="Arial" w:cs="Arial"/>
                <w:b/>
                <w:sz w:val="20"/>
              </w:rPr>
              <w:t>Justification</w:t>
            </w:r>
          </w:p>
        </w:tc>
        <w:tc>
          <w:tcPr>
            <w:tcW w:w="2448" w:type="dxa"/>
          </w:tcPr>
          <w:p w:rsidR="00C72A77" w:rsidRPr="00115465" w:rsidRDefault="00C72A77" w:rsidP="00E27A47">
            <w:pPr>
              <w:spacing w:before="60" w:after="60"/>
              <w:rPr>
                <w:rFonts w:ascii="Arial" w:hAnsi="Arial" w:cs="Arial"/>
                <w:b/>
                <w:sz w:val="20"/>
              </w:rPr>
            </w:pPr>
            <w:r w:rsidRPr="00115465">
              <w:rPr>
                <w:rFonts w:ascii="Arial" w:hAnsi="Arial" w:cs="Arial"/>
                <w:b/>
                <w:sz w:val="20"/>
              </w:rPr>
              <w:t>Used in other DOL studies?</w:t>
            </w:r>
          </w:p>
        </w:tc>
      </w:tr>
      <w:tr w:rsidR="004B4362" w:rsidRPr="00C72A77" w:rsidTr="00E27A47">
        <w:trPr>
          <w:cantSplit/>
        </w:trPr>
        <w:tc>
          <w:tcPr>
            <w:tcW w:w="1548" w:type="dxa"/>
          </w:tcPr>
          <w:p w:rsidR="004B4362" w:rsidRPr="00C72A77" w:rsidRDefault="004B4362" w:rsidP="00E27A47">
            <w:pPr>
              <w:spacing w:before="60" w:after="60"/>
              <w:rPr>
                <w:rFonts w:ascii="Arial" w:hAnsi="Arial" w:cs="Arial"/>
                <w:sz w:val="20"/>
              </w:rPr>
            </w:pPr>
            <w:r>
              <w:rPr>
                <w:rFonts w:ascii="Arial" w:hAnsi="Arial" w:cs="Arial"/>
                <w:sz w:val="20"/>
              </w:rPr>
              <w:t>Contact information</w:t>
            </w:r>
          </w:p>
        </w:tc>
        <w:tc>
          <w:tcPr>
            <w:tcW w:w="1260" w:type="dxa"/>
          </w:tcPr>
          <w:p w:rsidR="004B4362" w:rsidRPr="00C72A77" w:rsidRDefault="004B4362" w:rsidP="00E27A47">
            <w:pPr>
              <w:spacing w:before="60" w:after="60"/>
              <w:rPr>
                <w:rFonts w:ascii="Arial" w:hAnsi="Arial" w:cs="Arial"/>
                <w:sz w:val="20"/>
              </w:rPr>
            </w:pPr>
            <w:r>
              <w:rPr>
                <w:rFonts w:ascii="Arial" w:hAnsi="Arial" w:cs="Arial"/>
                <w:sz w:val="20"/>
              </w:rPr>
              <w:t>1-5</w:t>
            </w:r>
          </w:p>
        </w:tc>
        <w:tc>
          <w:tcPr>
            <w:tcW w:w="3960" w:type="dxa"/>
          </w:tcPr>
          <w:p w:rsidR="004B4362" w:rsidRPr="00C72A77" w:rsidRDefault="004B4362" w:rsidP="00E27A47">
            <w:pPr>
              <w:spacing w:before="60" w:after="60"/>
              <w:rPr>
                <w:rFonts w:ascii="Arial" w:hAnsi="Arial" w:cs="Arial"/>
                <w:sz w:val="20"/>
              </w:rPr>
            </w:pPr>
            <w:r>
              <w:rPr>
                <w:rFonts w:ascii="Arial" w:hAnsi="Arial" w:cs="Arial"/>
                <w:sz w:val="20"/>
              </w:rPr>
              <w:t>Contact information important for locating respondent for 12-month follow-up survey; SSN required to match to NDNH records</w:t>
            </w:r>
          </w:p>
        </w:tc>
        <w:tc>
          <w:tcPr>
            <w:tcW w:w="2448" w:type="dxa"/>
          </w:tcPr>
          <w:p w:rsidR="004B4362" w:rsidRPr="00C72A77" w:rsidRDefault="004B4362" w:rsidP="00E27A47">
            <w:pPr>
              <w:spacing w:before="60" w:after="60"/>
              <w:rPr>
                <w:rFonts w:ascii="Arial" w:hAnsi="Arial" w:cs="Arial"/>
                <w:sz w:val="20"/>
              </w:rPr>
            </w:pPr>
            <w:r>
              <w:rPr>
                <w:rFonts w:ascii="Arial" w:hAnsi="Arial" w:cs="Arial"/>
                <w:sz w:val="20"/>
              </w:rPr>
              <w:t>Commonly.</w:t>
            </w:r>
          </w:p>
        </w:tc>
      </w:tr>
      <w:tr w:rsidR="004B4362" w:rsidRPr="00C72A77" w:rsidTr="00E27A47">
        <w:trPr>
          <w:cantSplit/>
        </w:trPr>
        <w:tc>
          <w:tcPr>
            <w:tcW w:w="1548" w:type="dxa"/>
          </w:tcPr>
          <w:p w:rsidR="004B4362" w:rsidRPr="00C72A77" w:rsidRDefault="00F268CD" w:rsidP="00E27A47">
            <w:pPr>
              <w:spacing w:before="60" w:after="60"/>
              <w:rPr>
                <w:rFonts w:ascii="Arial" w:hAnsi="Arial" w:cs="Arial"/>
                <w:sz w:val="20"/>
              </w:rPr>
            </w:pPr>
            <w:r>
              <w:rPr>
                <w:rFonts w:ascii="Arial" w:hAnsi="Arial" w:cs="Arial"/>
                <w:sz w:val="20"/>
              </w:rPr>
              <w:t>Demographic information</w:t>
            </w:r>
          </w:p>
        </w:tc>
        <w:tc>
          <w:tcPr>
            <w:tcW w:w="1260" w:type="dxa"/>
          </w:tcPr>
          <w:p w:rsidR="004B4362" w:rsidRPr="00C72A77" w:rsidRDefault="004B4362" w:rsidP="00E27A47">
            <w:pPr>
              <w:spacing w:before="60" w:after="60"/>
              <w:rPr>
                <w:rFonts w:ascii="Arial" w:hAnsi="Arial" w:cs="Arial"/>
                <w:sz w:val="20"/>
              </w:rPr>
            </w:pPr>
            <w:r>
              <w:rPr>
                <w:rFonts w:ascii="Arial" w:hAnsi="Arial" w:cs="Arial"/>
                <w:sz w:val="20"/>
              </w:rPr>
              <w:t>6-1</w:t>
            </w:r>
            <w:r w:rsidR="000E3EF1">
              <w:rPr>
                <w:rFonts w:ascii="Arial" w:hAnsi="Arial" w:cs="Arial"/>
                <w:sz w:val="20"/>
              </w:rPr>
              <w:t>1</w:t>
            </w:r>
          </w:p>
        </w:tc>
        <w:tc>
          <w:tcPr>
            <w:tcW w:w="3960" w:type="dxa"/>
          </w:tcPr>
          <w:p w:rsidR="004B4362" w:rsidRPr="00C72A77" w:rsidRDefault="00010F7B" w:rsidP="00E27A47">
            <w:pPr>
              <w:spacing w:before="60" w:after="60"/>
              <w:rPr>
                <w:rFonts w:ascii="Arial" w:hAnsi="Arial" w:cs="Arial"/>
                <w:sz w:val="20"/>
              </w:rPr>
            </w:pPr>
            <w:r>
              <w:rPr>
                <w:rFonts w:ascii="Arial" w:hAnsi="Arial" w:cs="Arial"/>
                <w:sz w:val="20"/>
              </w:rPr>
              <w:t xml:space="preserve">Descriptors of population interested in programs designed with TAACCCT funds. Assist to confirm statistical similarity of treatment and control groups. </w:t>
            </w:r>
          </w:p>
        </w:tc>
        <w:tc>
          <w:tcPr>
            <w:tcW w:w="2448" w:type="dxa"/>
          </w:tcPr>
          <w:p w:rsidR="004B4362" w:rsidRPr="00C72A77" w:rsidRDefault="004B4362" w:rsidP="00E27A47">
            <w:pPr>
              <w:spacing w:before="60" w:after="60"/>
              <w:rPr>
                <w:rFonts w:ascii="Arial" w:hAnsi="Arial" w:cs="Arial"/>
                <w:sz w:val="20"/>
              </w:rPr>
            </w:pPr>
            <w:r>
              <w:rPr>
                <w:rFonts w:ascii="Arial" w:hAnsi="Arial" w:cs="Arial"/>
                <w:sz w:val="20"/>
              </w:rPr>
              <w:t>Commonly</w:t>
            </w:r>
            <w:r w:rsidR="00F268CD">
              <w:rPr>
                <w:rFonts w:ascii="Arial" w:hAnsi="Arial" w:cs="Arial"/>
                <w:sz w:val="20"/>
              </w:rPr>
              <w:t>.</w:t>
            </w:r>
          </w:p>
        </w:tc>
      </w:tr>
      <w:tr w:rsidR="000E3EF1" w:rsidRPr="00C72A77" w:rsidTr="00E27A47">
        <w:trPr>
          <w:cantSplit/>
        </w:trPr>
        <w:tc>
          <w:tcPr>
            <w:tcW w:w="1548" w:type="dxa"/>
          </w:tcPr>
          <w:p w:rsidR="000E3EF1" w:rsidRPr="00C72A77" w:rsidRDefault="000E3EF1" w:rsidP="00E27A47">
            <w:pPr>
              <w:spacing w:before="60" w:after="60"/>
              <w:rPr>
                <w:rFonts w:ascii="Arial" w:hAnsi="Arial" w:cs="Arial"/>
                <w:sz w:val="20"/>
              </w:rPr>
            </w:pPr>
            <w:r>
              <w:rPr>
                <w:rFonts w:ascii="Arial" w:hAnsi="Arial" w:cs="Arial"/>
                <w:sz w:val="20"/>
              </w:rPr>
              <w:t>Tenure</w:t>
            </w:r>
          </w:p>
        </w:tc>
        <w:tc>
          <w:tcPr>
            <w:tcW w:w="1260" w:type="dxa"/>
          </w:tcPr>
          <w:p w:rsidR="000E3EF1" w:rsidRPr="00C72A77" w:rsidRDefault="000E3EF1" w:rsidP="00E27A47">
            <w:pPr>
              <w:spacing w:before="60" w:after="60"/>
              <w:rPr>
                <w:rFonts w:ascii="Arial" w:hAnsi="Arial" w:cs="Arial"/>
                <w:sz w:val="20"/>
              </w:rPr>
            </w:pPr>
            <w:r>
              <w:rPr>
                <w:rFonts w:ascii="Arial" w:hAnsi="Arial" w:cs="Arial"/>
                <w:sz w:val="20"/>
              </w:rPr>
              <w:t>12</w:t>
            </w:r>
          </w:p>
        </w:tc>
        <w:tc>
          <w:tcPr>
            <w:tcW w:w="3960" w:type="dxa"/>
          </w:tcPr>
          <w:p w:rsidR="000E3EF1" w:rsidRPr="00C72A77" w:rsidRDefault="000E3EF1" w:rsidP="00E27A47">
            <w:pPr>
              <w:spacing w:before="60" w:after="60"/>
              <w:rPr>
                <w:rFonts w:ascii="Arial" w:hAnsi="Arial" w:cs="Arial"/>
                <w:sz w:val="20"/>
              </w:rPr>
            </w:pPr>
            <w:r w:rsidRPr="00C72A77">
              <w:rPr>
                <w:rFonts w:ascii="Arial" w:hAnsi="Arial" w:cs="Arial"/>
                <w:sz w:val="20"/>
              </w:rPr>
              <w:t>Covariate in regression analysis of outcomes on treatment status.</w:t>
            </w:r>
          </w:p>
        </w:tc>
        <w:tc>
          <w:tcPr>
            <w:tcW w:w="2448" w:type="dxa"/>
          </w:tcPr>
          <w:p w:rsidR="000E3EF1" w:rsidRDefault="000E3EF1" w:rsidP="00E27A47">
            <w:pPr>
              <w:spacing w:before="60" w:after="60"/>
              <w:rPr>
                <w:rFonts w:ascii="Arial" w:hAnsi="Arial" w:cs="Arial"/>
                <w:sz w:val="20"/>
              </w:rPr>
            </w:pPr>
            <w:r>
              <w:rPr>
                <w:rFonts w:ascii="Arial" w:hAnsi="Arial" w:cs="Arial"/>
                <w:sz w:val="20"/>
              </w:rPr>
              <w:t>Commonly</w:t>
            </w:r>
            <w:r w:rsidR="00E27A47">
              <w:rPr>
                <w:rFonts w:ascii="Arial" w:hAnsi="Arial" w:cs="Arial"/>
                <w:sz w:val="20"/>
              </w:rPr>
              <w:t>.</w:t>
            </w:r>
          </w:p>
        </w:tc>
      </w:tr>
      <w:tr w:rsidR="000E3EF1" w:rsidRPr="00C72A77" w:rsidTr="00E27A47">
        <w:trPr>
          <w:cantSplit/>
        </w:trPr>
        <w:tc>
          <w:tcPr>
            <w:tcW w:w="1548" w:type="dxa"/>
          </w:tcPr>
          <w:p w:rsidR="000E3EF1" w:rsidRPr="00C72A77" w:rsidRDefault="000E3EF1" w:rsidP="00E27A47">
            <w:pPr>
              <w:spacing w:before="60" w:after="60"/>
              <w:rPr>
                <w:rFonts w:ascii="Arial" w:hAnsi="Arial" w:cs="Arial"/>
                <w:sz w:val="20"/>
              </w:rPr>
            </w:pPr>
            <w:r w:rsidRPr="00C72A77">
              <w:rPr>
                <w:rFonts w:ascii="Arial" w:hAnsi="Arial" w:cs="Arial"/>
                <w:sz w:val="20"/>
              </w:rPr>
              <w:t>Household composition</w:t>
            </w:r>
          </w:p>
        </w:tc>
        <w:tc>
          <w:tcPr>
            <w:tcW w:w="1260" w:type="dxa"/>
          </w:tcPr>
          <w:p w:rsidR="000E3EF1" w:rsidRPr="00C72A77" w:rsidRDefault="000E3EF1" w:rsidP="00E27A47">
            <w:pPr>
              <w:spacing w:before="60" w:after="60"/>
              <w:rPr>
                <w:rFonts w:ascii="Arial" w:hAnsi="Arial" w:cs="Arial"/>
                <w:sz w:val="20"/>
              </w:rPr>
            </w:pPr>
            <w:r w:rsidRPr="00C72A77">
              <w:rPr>
                <w:rFonts w:ascii="Arial" w:hAnsi="Arial" w:cs="Arial"/>
                <w:sz w:val="20"/>
              </w:rPr>
              <w:t>13,14</w:t>
            </w:r>
          </w:p>
        </w:tc>
        <w:tc>
          <w:tcPr>
            <w:tcW w:w="3960" w:type="dxa"/>
          </w:tcPr>
          <w:p w:rsidR="000E3EF1" w:rsidRPr="00C72A77" w:rsidRDefault="000E3EF1" w:rsidP="00E27A47">
            <w:pPr>
              <w:spacing w:before="60" w:after="60"/>
              <w:rPr>
                <w:rFonts w:ascii="Arial" w:hAnsi="Arial" w:cs="Arial"/>
                <w:sz w:val="20"/>
              </w:rPr>
            </w:pPr>
            <w:r w:rsidRPr="00C72A77">
              <w:rPr>
                <w:rFonts w:ascii="Arial" w:hAnsi="Arial" w:cs="Arial"/>
                <w:sz w:val="20"/>
              </w:rPr>
              <w:t>Important to measure poverty status</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 xml:space="preserve">Green Jobs and Health Care Impact evaluation; Evaluation of H-1B </w:t>
            </w:r>
            <w:r w:rsidR="00E27A47">
              <w:rPr>
                <w:rFonts w:ascii="Arial" w:hAnsi="Arial" w:cs="Arial"/>
                <w:sz w:val="20"/>
              </w:rPr>
              <w:t>Technical Skills Training (</w:t>
            </w:r>
            <w:r>
              <w:rPr>
                <w:rFonts w:ascii="Arial" w:hAnsi="Arial" w:cs="Arial"/>
                <w:sz w:val="20"/>
              </w:rPr>
              <w:t>TST</w:t>
            </w:r>
            <w:r w:rsidR="00E27A47">
              <w:rPr>
                <w:rFonts w:ascii="Arial" w:hAnsi="Arial" w:cs="Arial"/>
                <w:sz w:val="20"/>
              </w:rPr>
              <w:t>)</w:t>
            </w:r>
            <w:r>
              <w:rPr>
                <w:rFonts w:ascii="Arial" w:hAnsi="Arial" w:cs="Arial"/>
                <w:sz w:val="20"/>
              </w:rPr>
              <w:t>/</w:t>
            </w:r>
            <w:r w:rsidR="00E27A47">
              <w:rPr>
                <w:rFonts w:ascii="Arial" w:hAnsi="Arial" w:cs="Arial"/>
                <w:sz w:val="20"/>
              </w:rPr>
              <w:t>Ready to Work (</w:t>
            </w:r>
            <w:r>
              <w:rPr>
                <w:rFonts w:ascii="Arial" w:hAnsi="Arial" w:cs="Arial"/>
                <w:sz w:val="20"/>
              </w:rPr>
              <w:t>RTW</w:t>
            </w:r>
            <w:r w:rsidR="00E27A47">
              <w:rPr>
                <w:rFonts w:ascii="Arial" w:hAnsi="Arial" w:cs="Arial"/>
                <w:sz w:val="20"/>
              </w:rPr>
              <w:t>)</w:t>
            </w:r>
            <w:r>
              <w:rPr>
                <w:rFonts w:ascii="Arial" w:hAnsi="Arial" w:cs="Arial"/>
                <w:sz w:val="20"/>
              </w:rPr>
              <w:t xml:space="preserve"> grants</w:t>
            </w:r>
          </w:p>
        </w:tc>
      </w:tr>
      <w:tr w:rsidR="000E3EF1" w:rsidRPr="00C72A77" w:rsidTr="00E27A47">
        <w:trPr>
          <w:cantSplit/>
        </w:trPr>
        <w:tc>
          <w:tcPr>
            <w:tcW w:w="1548" w:type="dxa"/>
          </w:tcPr>
          <w:p w:rsidR="000E3EF1" w:rsidRPr="00C72A77" w:rsidRDefault="000E3EF1" w:rsidP="00E27A47">
            <w:pPr>
              <w:spacing w:before="60" w:after="60"/>
              <w:rPr>
                <w:rFonts w:ascii="Arial" w:hAnsi="Arial" w:cs="Arial"/>
                <w:sz w:val="20"/>
              </w:rPr>
            </w:pPr>
            <w:r>
              <w:rPr>
                <w:rFonts w:ascii="Arial" w:hAnsi="Arial" w:cs="Arial"/>
                <w:sz w:val="20"/>
              </w:rPr>
              <w:t>US Citizenship status</w:t>
            </w:r>
          </w:p>
        </w:tc>
        <w:tc>
          <w:tcPr>
            <w:tcW w:w="1260" w:type="dxa"/>
          </w:tcPr>
          <w:p w:rsidR="000E3EF1" w:rsidRPr="00C72A77" w:rsidRDefault="000E3EF1" w:rsidP="00E27A47">
            <w:pPr>
              <w:spacing w:before="60" w:after="60"/>
              <w:rPr>
                <w:rFonts w:ascii="Arial" w:hAnsi="Arial" w:cs="Arial"/>
                <w:sz w:val="20"/>
              </w:rPr>
            </w:pPr>
            <w:r>
              <w:rPr>
                <w:rFonts w:ascii="Arial" w:hAnsi="Arial" w:cs="Arial"/>
                <w:sz w:val="20"/>
              </w:rPr>
              <w:t>15</w:t>
            </w:r>
          </w:p>
        </w:tc>
        <w:tc>
          <w:tcPr>
            <w:tcW w:w="3960" w:type="dxa"/>
          </w:tcPr>
          <w:p w:rsidR="000E3EF1" w:rsidRPr="00C72A77" w:rsidRDefault="000E3EF1" w:rsidP="00E27A47">
            <w:pPr>
              <w:spacing w:before="60" w:after="60"/>
              <w:rPr>
                <w:rFonts w:ascii="Arial" w:hAnsi="Arial" w:cs="Arial"/>
                <w:sz w:val="20"/>
              </w:rPr>
            </w:pPr>
            <w:r w:rsidRPr="00C72A77">
              <w:rPr>
                <w:rFonts w:ascii="Arial" w:hAnsi="Arial" w:cs="Arial"/>
                <w:sz w:val="20"/>
              </w:rPr>
              <w:t>Descriptor of population interested in programs des</w:t>
            </w:r>
            <w:r>
              <w:rPr>
                <w:rFonts w:ascii="Arial" w:hAnsi="Arial" w:cs="Arial"/>
                <w:sz w:val="20"/>
              </w:rPr>
              <w:t xml:space="preserve">igned with TAACCCT </w:t>
            </w:r>
            <w:r w:rsidRPr="00C72A77">
              <w:rPr>
                <w:rFonts w:ascii="Arial" w:hAnsi="Arial" w:cs="Arial"/>
                <w:sz w:val="20"/>
              </w:rPr>
              <w:t>funds.</w:t>
            </w:r>
          </w:p>
        </w:tc>
        <w:tc>
          <w:tcPr>
            <w:tcW w:w="2448" w:type="dxa"/>
          </w:tcPr>
          <w:p w:rsidR="000E3EF1" w:rsidRDefault="000E3EF1" w:rsidP="00E27A47">
            <w:pPr>
              <w:spacing w:before="60" w:after="60"/>
              <w:rPr>
                <w:rFonts w:ascii="Arial" w:hAnsi="Arial" w:cs="Arial"/>
                <w:sz w:val="20"/>
              </w:rPr>
            </w:pPr>
            <w:r>
              <w:rPr>
                <w:rFonts w:ascii="Arial" w:hAnsi="Arial" w:cs="Arial"/>
                <w:sz w:val="20"/>
              </w:rPr>
              <w:t>Green Jobs and Health Care Impact evaluation; Evaluation of H-1B TST/RTW grants</w:t>
            </w:r>
          </w:p>
        </w:tc>
      </w:tr>
      <w:tr w:rsidR="000E3EF1" w:rsidRPr="00C72A77" w:rsidTr="00E27A47">
        <w:trPr>
          <w:cantSplit/>
        </w:trPr>
        <w:tc>
          <w:tcPr>
            <w:tcW w:w="1548" w:type="dxa"/>
          </w:tcPr>
          <w:p w:rsidR="000E3EF1" w:rsidRPr="00C72A77" w:rsidRDefault="000E3EF1" w:rsidP="00E27A47">
            <w:pPr>
              <w:spacing w:before="60" w:after="60"/>
              <w:rPr>
                <w:rFonts w:ascii="Arial" w:hAnsi="Arial" w:cs="Arial"/>
                <w:sz w:val="20"/>
              </w:rPr>
            </w:pPr>
            <w:r w:rsidRPr="00C72A77">
              <w:rPr>
                <w:rFonts w:ascii="Arial" w:hAnsi="Arial" w:cs="Arial"/>
                <w:sz w:val="20"/>
              </w:rPr>
              <w:t xml:space="preserve">Felony </w:t>
            </w:r>
            <w:r>
              <w:rPr>
                <w:rFonts w:ascii="Arial" w:hAnsi="Arial" w:cs="Arial"/>
                <w:sz w:val="20"/>
              </w:rPr>
              <w:t>c</w:t>
            </w:r>
            <w:r w:rsidRPr="00C72A77">
              <w:rPr>
                <w:rFonts w:ascii="Arial" w:hAnsi="Arial" w:cs="Arial"/>
                <w:sz w:val="20"/>
              </w:rPr>
              <w:t>onviction</w:t>
            </w:r>
          </w:p>
        </w:tc>
        <w:tc>
          <w:tcPr>
            <w:tcW w:w="1260" w:type="dxa"/>
          </w:tcPr>
          <w:p w:rsidR="000E3EF1" w:rsidRPr="00C72A77" w:rsidRDefault="000E3EF1" w:rsidP="00E27A47">
            <w:pPr>
              <w:spacing w:before="60" w:after="60"/>
              <w:rPr>
                <w:rFonts w:ascii="Arial" w:hAnsi="Arial" w:cs="Arial"/>
                <w:sz w:val="20"/>
              </w:rPr>
            </w:pPr>
            <w:r w:rsidRPr="00C72A77">
              <w:rPr>
                <w:rFonts w:ascii="Arial" w:hAnsi="Arial" w:cs="Arial"/>
                <w:sz w:val="20"/>
              </w:rPr>
              <w:t>16</w:t>
            </w:r>
          </w:p>
        </w:tc>
        <w:tc>
          <w:tcPr>
            <w:tcW w:w="3960" w:type="dxa"/>
          </w:tcPr>
          <w:p w:rsidR="000E3EF1" w:rsidRPr="00C72A77" w:rsidRDefault="000E3EF1" w:rsidP="00E27A47">
            <w:pPr>
              <w:spacing w:before="60" w:after="60"/>
              <w:rPr>
                <w:rFonts w:ascii="Arial" w:hAnsi="Arial" w:cs="Arial"/>
                <w:sz w:val="20"/>
              </w:rPr>
            </w:pPr>
            <w:r w:rsidRPr="00C72A77">
              <w:rPr>
                <w:rFonts w:ascii="Arial" w:hAnsi="Arial" w:cs="Arial"/>
                <w:sz w:val="20"/>
              </w:rPr>
              <w:t>Covariate in regression analysis of outcomes on treatment status.</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Green Jobs and Health Care Impact evaluation; Evaluation of H-1B TST/RTW grants</w:t>
            </w:r>
          </w:p>
        </w:tc>
      </w:tr>
      <w:tr w:rsidR="000E3EF1" w:rsidRPr="00C72A77" w:rsidTr="00E27A47">
        <w:trPr>
          <w:cantSplit/>
        </w:trPr>
        <w:tc>
          <w:tcPr>
            <w:tcW w:w="1548" w:type="dxa"/>
          </w:tcPr>
          <w:p w:rsidR="000E3EF1" w:rsidRPr="00C72A77" w:rsidRDefault="000E3EF1" w:rsidP="00E27A47">
            <w:pPr>
              <w:spacing w:before="60" w:after="60"/>
              <w:rPr>
                <w:rFonts w:ascii="Arial" w:hAnsi="Arial" w:cs="Arial"/>
                <w:sz w:val="20"/>
              </w:rPr>
            </w:pPr>
            <w:r w:rsidRPr="00C72A77">
              <w:rPr>
                <w:rFonts w:ascii="Arial" w:hAnsi="Arial" w:cs="Arial"/>
                <w:sz w:val="20"/>
              </w:rPr>
              <w:t xml:space="preserve">Completed </w:t>
            </w:r>
            <w:r>
              <w:rPr>
                <w:rFonts w:ascii="Arial" w:hAnsi="Arial" w:cs="Arial"/>
                <w:sz w:val="20"/>
              </w:rPr>
              <w:t>e</w:t>
            </w:r>
            <w:r w:rsidRPr="00C72A77">
              <w:rPr>
                <w:rFonts w:ascii="Arial" w:hAnsi="Arial" w:cs="Arial"/>
                <w:sz w:val="20"/>
              </w:rPr>
              <w:t>ducation</w:t>
            </w:r>
          </w:p>
        </w:tc>
        <w:tc>
          <w:tcPr>
            <w:tcW w:w="1260" w:type="dxa"/>
          </w:tcPr>
          <w:p w:rsidR="000E3EF1" w:rsidRPr="00C72A77" w:rsidRDefault="000E3EF1" w:rsidP="00E27A47">
            <w:pPr>
              <w:spacing w:before="60" w:after="60"/>
              <w:rPr>
                <w:rFonts w:ascii="Arial" w:hAnsi="Arial" w:cs="Arial"/>
                <w:sz w:val="20"/>
              </w:rPr>
            </w:pPr>
            <w:r w:rsidRPr="00C72A77">
              <w:rPr>
                <w:rFonts w:ascii="Arial" w:hAnsi="Arial" w:cs="Arial"/>
                <w:sz w:val="20"/>
              </w:rPr>
              <w:t>17</w:t>
            </w:r>
          </w:p>
        </w:tc>
        <w:tc>
          <w:tcPr>
            <w:tcW w:w="3960" w:type="dxa"/>
          </w:tcPr>
          <w:p w:rsidR="000E3EF1" w:rsidRPr="00C72A77" w:rsidRDefault="000E3EF1" w:rsidP="00E27A47">
            <w:pPr>
              <w:spacing w:before="60" w:after="60"/>
              <w:rPr>
                <w:rFonts w:ascii="Arial" w:hAnsi="Arial" w:cs="Arial"/>
                <w:sz w:val="20"/>
              </w:rPr>
            </w:pPr>
            <w:r w:rsidRPr="00C72A77">
              <w:rPr>
                <w:rFonts w:ascii="Arial" w:hAnsi="Arial" w:cs="Arial"/>
                <w:sz w:val="20"/>
              </w:rPr>
              <w:t>Covariate in regression analysis of outcomes on treatment status.  Also possible source for subdomains.</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Green Jobs and Health Care Impact evaluation; Evaluation of H-1B TST/RTW grants</w:t>
            </w:r>
          </w:p>
        </w:tc>
      </w:tr>
      <w:tr w:rsidR="000E3EF1" w:rsidRPr="00C72A77" w:rsidTr="00E27A47">
        <w:trPr>
          <w:cantSplit/>
        </w:trPr>
        <w:tc>
          <w:tcPr>
            <w:tcW w:w="1548" w:type="dxa"/>
          </w:tcPr>
          <w:p w:rsidR="000E3EF1" w:rsidRPr="00C72A77" w:rsidRDefault="000E3EF1" w:rsidP="00E27A47">
            <w:pPr>
              <w:spacing w:before="60" w:after="60"/>
              <w:rPr>
                <w:rFonts w:ascii="Arial" w:hAnsi="Arial" w:cs="Arial"/>
                <w:sz w:val="20"/>
              </w:rPr>
            </w:pPr>
            <w:r w:rsidRPr="00C72A77">
              <w:rPr>
                <w:rFonts w:ascii="Arial" w:hAnsi="Arial" w:cs="Arial"/>
                <w:sz w:val="20"/>
              </w:rPr>
              <w:t>Aspired education</w:t>
            </w:r>
          </w:p>
        </w:tc>
        <w:tc>
          <w:tcPr>
            <w:tcW w:w="1260" w:type="dxa"/>
          </w:tcPr>
          <w:p w:rsidR="000E3EF1" w:rsidRPr="00C72A77" w:rsidRDefault="000E3EF1" w:rsidP="00E27A47">
            <w:pPr>
              <w:spacing w:before="60" w:after="60"/>
              <w:rPr>
                <w:rFonts w:ascii="Arial" w:hAnsi="Arial" w:cs="Arial"/>
                <w:sz w:val="20"/>
              </w:rPr>
            </w:pPr>
            <w:r w:rsidRPr="00C72A77">
              <w:rPr>
                <w:rFonts w:ascii="Arial" w:hAnsi="Arial" w:cs="Arial"/>
                <w:sz w:val="20"/>
              </w:rPr>
              <w:t>18</w:t>
            </w:r>
          </w:p>
        </w:tc>
        <w:tc>
          <w:tcPr>
            <w:tcW w:w="3960" w:type="dxa"/>
          </w:tcPr>
          <w:p w:rsidR="000E3EF1" w:rsidRPr="00C72A77" w:rsidRDefault="000E3EF1" w:rsidP="00E27A47">
            <w:pPr>
              <w:spacing w:before="60" w:after="60"/>
              <w:rPr>
                <w:rFonts w:ascii="Arial" w:hAnsi="Arial" w:cs="Arial"/>
                <w:sz w:val="20"/>
              </w:rPr>
            </w:pPr>
            <w:r w:rsidRPr="00C72A77">
              <w:rPr>
                <w:rFonts w:ascii="Arial" w:hAnsi="Arial" w:cs="Arial"/>
                <w:sz w:val="20"/>
              </w:rPr>
              <w:t>Descriptor of population interested in programs des</w:t>
            </w:r>
            <w:r>
              <w:rPr>
                <w:rFonts w:ascii="Arial" w:hAnsi="Arial" w:cs="Arial"/>
                <w:sz w:val="20"/>
              </w:rPr>
              <w:t xml:space="preserve">igned with TAACCCT </w:t>
            </w:r>
            <w:r w:rsidRPr="00C72A77">
              <w:rPr>
                <w:rFonts w:ascii="Arial" w:hAnsi="Arial" w:cs="Arial"/>
                <w:sz w:val="20"/>
              </w:rPr>
              <w:t>funds.</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Green Jobs and Health Care Impact evaluation; Evaluation of H-1B TST/RTW grants</w:t>
            </w:r>
          </w:p>
        </w:tc>
      </w:tr>
      <w:tr w:rsidR="000E3EF1" w:rsidRPr="00C72A77" w:rsidTr="00E27A47">
        <w:trPr>
          <w:cantSplit/>
        </w:trPr>
        <w:tc>
          <w:tcPr>
            <w:tcW w:w="1548" w:type="dxa"/>
          </w:tcPr>
          <w:p w:rsidR="000E3EF1" w:rsidRPr="00C72A77" w:rsidRDefault="000E3EF1" w:rsidP="00E27A47">
            <w:pPr>
              <w:spacing w:before="60" w:after="60"/>
              <w:rPr>
                <w:rFonts w:ascii="Arial" w:hAnsi="Arial" w:cs="Arial"/>
                <w:sz w:val="20"/>
              </w:rPr>
            </w:pPr>
            <w:r>
              <w:rPr>
                <w:rFonts w:ascii="Arial" w:hAnsi="Arial" w:cs="Arial"/>
                <w:sz w:val="20"/>
              </w:rPr>
              <w:lastRenderedPageBreak/>
              <w:t>Current enrollment status</w:t>
            </w:r>
          </w:p>
        </w:tc>
        <w:tc>
          <w:tcPr>
            <w:tcW w:w="1260" w:type="dxa"/>
          </w:tcPr>
          <w:p w:rsidR="000E3EF1" w:rsidRPr="00C72A77" w:rsidRDefault="000E3EF1" w:rsidP="00E27A47">
            <w:pPr>
              <w:spacing w:before="60" w:after="60"/>
              <w:rPr>
                <w:rFonts w:ascii="Arial" w:hAnsi="Arial" w:cs="Arial"/>
                <w:sz w:val="20"/>
              </w:rPr>
            </w:pPr>
            <w:r>
              <w:rPr>
                <w:rFonts w:ascii="Arial" w:hAnsi="Arial" w:cs="Arial"/>
                <w:sz w:val="20"/>
              </w:rPr>
              <w:t>19</w:t>
            </w:r>
          </w:p>
        </w:tc>
        <w:tc>
          <w:tcPr>
            <w:tcW w:w="3960" w:type="dxa"/>
          </w:tcPr>
          <w:p w:rsidR="000E3EF1" w:rsidRPr="00C72A77" w:rsidRDefault="000E3EF1" w:rsidP="00E27A47">
            <w:pPr>
              <w:spacing w:before="60" w:after="60"/>
              <w:rPr>
                <w:rFonts w:ascii="Arial" w:hAnsi="Arial" w:cs="Arial"/>
                <w:sz w:val="20"/>
              </w:rPr>
            </w:pPr>
            <w:r w:rsidRPr="00491219">
              <w:rPr>
                <w:rFonts w:ascii="Arial" w:hAnsi="Arial" w:cs="Arial"/>
                <w:sz w:val="20"/>
              </w:rPr>
              <w:t>Descriptor of population interested in programs designed with TAACCCT funds</w:t>
            </w:r>
            <w:r>
              <w:rPr>
                <w:rFonts w:ascii="Arial" w:hAnsi="Arial" w:cs="Arial"/>
                <w:sz w:val="20"/>
              </w:rPr>
              <w:t>.</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Green Jobs and Health Care Impact evaluation; Evaluation of H-1B TST/RTW grants</w:t>
            </w:r>
          </w:p>
        </w:tc>
      </w:tr>
      <w:tr w:rsidR="000E3EF1" w:rsidRPr="00C72A77" w:rsidTr="00E27A47">
        <w:trPr>
          <w:cantSplit/>
        </w:trPr>
        <w:tc>
          <w:tcPr>
            <w:tcW w:w="1548" w:type="dxa"/>
          </w:tcPr>
          <w:p w:rsidR="000E3EF1" w:rsidRPr="00C72A77" w:rsidRDefault="000E3EF1" w:rsidP="00E27A47">
            <w:pPr>
              <w:spacing w:before="60" w:after="60"/>
              <w:rPr>
                <w:rFonts w:ascii="Arial" w:hAnsi="Arial" w:cs="Arial"/>
                <w:sz w:val="20"/>
              </w:rPr>
            </w:pPr>
            <w:r>
              <w:rPr>
                <w:rFonts w:ascii="Arial" w:hAnsi="Arial" w:cs="Arial"/>
                <w:sz w:val="20"/>
              </w:rPr>
              <w:t>Related training history</w:t>
            </w:r>
          </w:p>
        </w:tc>
        <w:tc>
          <w:tcPr>
            <w:tcW w:w="1260" w:type="dxa"/>
          </w:tcPr>
          <w:p w:rsidR="000E3EF1" w:rsidRPr="00C72A77" w:rsidRDefault="000E3EF1" w:rsidP="00E27A47">
            <w:pPr>
              <w:spacing w:before="60" w:after="60"/>
              <w:rPr>
                <w:rFonts w:ascii="Arial" w:hAnsi="Arial" w:cs="Arial"/>
                <w:sz w:val="20"/>
              </w:rPr>
            </w:pPr>
            <w:r>
              <w:rPr>
                <w:rFonts w:ascii="Arial" w:hAnsi="Arial" w:cs="Arial"/>
                <w:sz w:val="20"/>
              </w:rPr>
              <w:t>20</w:t>
            </w:r>
          </w:p>
        </w:tc>
        <w:tc>
          <w:tcPr>
            <w:tcW w:w="3960" w:type="dxa"/>
          </w:tcPr>
          <w:p w:rsidR="000E3EF1" w:rsidRPr="00C72A77" w:rsidRDefault="000E3EF1" w:rsidP="00E27A47">
            <w:pPr>
              <w:spacing w:before="60" w:after="60"/>
              <w:rPr>
                <w:rFonts w:ascii="Arial" w:hAnsi="Arial" w:cs="Arial"/>
                <w:sz w:val="20"/>
              </w:rPr>
            </w:pPr>
            <w:r w:rsidRPr="00491219">
              <w:rPr>
                <w:rFonts w:ascii="Arial" w:hAnsi="Arial" w:cs="Arial"/>
                <w:sz w:val="20"/>
              </w:rPr>
              <w:t>Descriptor of population interested in programs designed with TAACCCT funds</w:t>
            </w:r>
            <w:r>
              <w:rPr>
                <w:rFonts w:ascii="Arial" w:hAnsi="Arial" w:cs="Arial"/>
                <w:sz w:val="20"/>
              </w:rPr>
              <w:t>.</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Green Jobs and Health Care Impact evaluation; Evaluation of H-1B TST/RTW grants</w:t>
            </w:r>
          </w:p>
        </w:tc>
      </w:tr>
      <w:tr w:rsidR="000E3EF1" w:rsidRPr="00C72A77" w:rsidTr="00E27A47">
        <w:trPr>
          <w:cantSplit/>
        </w:trPr>
        <w:tc>
          <w:tcPr>
            <w:tcW w:w="1548" w:type="dxa"/>
          </w:tcPr>
          <w:p w:rsidR="000E3EF1" w:rsidRPr="00C72A77" w:rsidRDefault="000E3EF1" w:rsidP="00E27A47">
            <w:pPr>
              <w:spacing w:before="60" w:after="60"/>
              <w:rPr>
                <w:rFonts w:ascii="Arial" w:hAnsi="Arial" w:cs="Arial"/>
                <w:sz w:val="20"/>
              </w:rPr>
            </w:pPr>
            <w:r>
              <w:rPr>
                <w:rFonts w:ascii="Arial" w:hAnsi="Arial" w:cs="Arial"/>
                <w:sz w:val="20"/>
              </w:rPr>
              <w:t>Planned full/part-time status</w:t>
            </w:r>
          </w:p>
        </w:tc>
        <w:tc>
          <w:tcPr>
            <w:tcW w:w="1260" w:type="dxa"/>
          </w:tcPr>
          <w:p w:rsidR="000E3EF1" w:rsidRPr="00C72A77" w:rsidRDefault="000E3EF1" w:rsidP="00E27A47">
            <w:pPr>
              <w:spacing w:before="60" w:after="60"/>
              <w:rPr>
                <w:rFonts w:ascii="Arial" w:hAnsi="Arial" w:cs="Arial"/>
                <w:sz w:val="20"/>
              </w:rPr>
            </w:pPr>
            <w:r>
              <w:rPr>
                <w:rFonts w:ascii="Arial" w:hAnsi="Arial" w:cs="Arial"/>
                <w:sz w:val="20"/>
              </w:rPr>
              <w:t>21</w:t>
            </w:r>
          </w:p>
        </w:tc>
        <w:tc>
          <w:tcPr>
            <w:tcW w:w="3960" w:type="dxa"/>
          </w:tcPr>
          <w:p w:rsidR="000E3EF1" w:rsidRPr="00C72A77" w:rsidRDefault="000E3EF1" w:rsidP="00E27A47">
            <w:pPr>
              <w:spacing w:before="60" w:after="60"/>
              <w:rPr>
                <w:rFonts w:ascii="Arial" w:hAnsi="Arial" w:cs="Arial"/>
                <w:sz w:val="20"/>
              </w:rPr>
            </w:pPr>
            <w:r>
              <w:rPr>
                <w:rFonts w:ascii="Arial" w:hAnsi="Arial" w:cs="Arial"/>
                <w:sz w:val="20"/>
              </w:rPr>
              <w:t>Covariate in regression analysis of outcomes on treatment status.  Indirect measurement of financial pressures.</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HHS PACE</w:t>
            </w:r>
          </w:p>
        </w:tc>
      </w:tr>
      <w:tr w:rsidR="000E3EF1" w:rsidRPr="00C72A77" w:rsidTr="00E27A47">
        <w:trPr>
          <w:cantSplit/>
        </w:trPr>
        <w:tc>
          <w:tcPr>
            <w:tcW w:w="1548" w:type="dxa"/>
          </w:tcPr>
          <w:p w:rsidR="000E3EF1" w:rsidRDefault="000E3EF1" w:rsidP="00E27A47">
            <w:pPr>
              <w:spacing w:before="60" w:after="60"/>
              <w:rPr>
                <w:rFonts w:ascii="Arial" w:hAnsi="Arial" w:cs="Arial"/>
                <w:sz w:val="20"/>
              </w:rPr>
            </w:pPr>
            <w:r>
              <w:rPr>
                <w:rFonts w:ascii="Arial" w:hAnsi="Arial" w:cs="Arial"/>
                <w:sz w:val="20"/>
              </w:rPr>
              <w:t>Public assistance</w:t>
            </w:r>
          </w:p>
        </w:tc>
        <w:tc>
          <w:tcPr>
            <w:tcW w:w="1260" w:type="dxa"/>
          </w:tcPr>
          <w:p w:rsidR="000E3EF1" w:rsidRDefault="000E3EF1" w:rsidP="00E27A47">
            <w:pPr>
              <w:spacing w:before="60" w:after="60"/>
              <w:rPr>
                <w:rFonts w:ascii="Arial" w:hAnsi="Arial" w:cs="Arial"/>
                <w:sz w:val="20"/>
              </w:rPr>
            </w:pPr>
            <w:r>
              <w:rPr>
                <w:rFonts w:ascii="Arial" w:hAnsi="Arial" w:cs="Arial"/>
                <w:sz w:val="20"/>
              </w:rPr>
              <w:t>22-25</w:t>
            </w:r>
          </w:p>
        </w:tc>
        <w:tc>
          <w:tcPr>
            <w:tcW w:w="3960" w:type="dxa"/>
          </w:tcPr>
          <w:p w:rsidR="000E3EF1" w:rsidRPr="00491219" w:rsidRDefault="000E3EF1" w:rsidP="00E27A47">
            <w:pPr>
              <w:spacing w:before="60" w:after="60"/>
              <w:rPr>
                <w:rFonts w:ascii="Arial" w:hAnsi="Arial" w:cs="Arial"/>
                <w:sz w:val="20"/>
              </w:rPr>
            </w:pPr>
            <w:r w:rsidRPr="00491219">
              <w:rPr>
                <w:rFonts w:ascii="Arial" w:hAnsi="Arial" w:cs="Arial"/>
                <w:sz w:val="20"/>
              </w:rPr>
              <w:t>Descriptor of population interested in programs designed with TAACCCT funds</w:t>
            </w:r>
            <w:r>
              <w:rPr>
                <w:rFonts w:ascii="Arial" w:hAnsi="Arial" w:cs="Arial"/>
                <w:sz w:val="20"/>
              </w:rPr>
              <w:t>.</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Green Jobs and Health Care Impact evaluation; Evaluation of H-1B TST/RTW grants</w:t>
            </w:r>
          </w:p>
        </w:tc>
      </w:tr>
      <w:tr w:rsidR="000E3EF1" w:rsidRPr="00C72A77" w:rsidTr="00E27A47">
        <w:trPr>
          <w:cantSplit/>
        </w:trPr>
        <w:tc>
          <w:tcPr>
            <w:tcW w:w="1548" w:type="dxa"/>
          </w:tcPr>
          <w:p w:rsidR="000E3EF1" w:rsidRDefault="000E3EF1" w:rsidP="00E27A47">
            <w:pPr>
              <w:spacing w:before="60" w:after="60"/>
              <w:rPr>
                <w:rFonts w:ascii="Arial" w:hAnsi="Arial" w:cs="Arial"/>
                <w:sz w:val="20"/>
              </w:rPr>
            </w:pPr>
            <w:r>
              <w:rPr>
                <w:rFonts w:ascii="Arial" w:hAnsi="Arial" w:cs="Arial"/>
                <w:sz w:val="20"/>
              </w:rPr>
              <w:t>Work history</w:t>
            </w:r>
          </w:p>
        </w:tc>
        <w:tc>
          <w:tcPr>
            <w:tcW w:w="1260" w:type="dxa"/>
          </w:tcPr>
          <w:p w:rsidR="000E3EF1" w:rsidRDefault="000E3EF1" w:rsidP="00E27A47">
            <w:pPr>
              <w:spacing w:before="60" w:after="60"/>
              <w:rPr>
                <w:rFonts w:ascii="Arial" w:hAnsi="Arial" w:cs="Arial"/>
                <w:sz w:val="20"/>
              </w:rPr>
            </w:pPr>
            <w:r>
              <w:rPr>
                <w:rFonts w:ascii="Arial" w:hAnsi="Arial" w:cs="Arial"/>
                <w:sz w:val="20"/>
              </w:rPr>
              <w:t>26</w:t>
            </w:r>
          </w:p>
        </w:tc>
        <w:tc>
          <w:tcPr>
            <w:tcW w:w="3960" w:type="dxa"/>
          </w:tcPr>
          <w:p w:rsidR="000E3EF1" w:rsidRDefault="000E3EF1" w:rsidP="00E27A47">
            <w:pPr>
              <w:spacing w:before="60" w:after="60"/>
              <w:rPr>
                <w:rFonts w:ascii="Arial" w:hAnsi="Arial" w:cs="Arial"/>
                <w:sz w:val="20"/>
              </w:rPr>
            </w:pPr>
            <w:r w:rsidRPr="00491219">
              <w:rPr>
                <w:rFonts w:ascii="Arial" w:hAnsi="Arial" w:cs="Arial"/>
                <w:sz w:val="20"/>
              </w:rPr>
              <w:t>Descriptor of population interested in programs designed with TAACCCT funds</w:t>
            </w:r>
            <w:r>
              <w:rPr>
                <w:rFonts w:ascii="Arial" w:hAnsi="Arial" w:cs="Arial"/>
                <w:sz w:val="20"/>
              </w:rPr>
              <w:t>.</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Green Jobs and Health Care Impact evaluation; Evaluation of H-1B TST/RTW grants</w:t>
            </w:r>
          </w:p>
        </w:tc>
      </w:tr>
      <w:tr w:rsidR="000E3EF1" w:rsidRPr="00C72A77" w:rsidTr="00E27A47">
        <w:trPr>
          <w:cantSplit/>
        </w:trPr>
        <w:tc>
          <w:tcPr>
            <w:tcW w:w="1548" w:type="dxa"/>
          </w:tcPr>
          <w:p w:rsidR="000E3EF1" w:rsidRDefault="000E3EF1" w:rsidP="00E27A47">
            <w:pPr>
              <w:spacing w:before="60" w:after="60"/>
              <w:rPr>
                <w:rFonts w:ascii="Arial" w:hAnsi="Arial" w:cs="Arial"/>
                <w:sz w:val="20"/>
              </w:rPr>
            </w:pPr>
            <w:r>
              <w:rPr>
                <w:rFonts w:ascii="Arial" w:hAnsi="Arial" w:cs="Arial"/>
                <w:sz w:val="20"/>
              </w:rPr>
              <w:t>Prior 12-month earnings</w:t>
            </w:r>
          </w:p>
        </w:tc>
        <w:tc>
          <w:tcPr>
            <w:tcW w:w="1260" w:type="dxa"/>
          </w:tcPr>
          <w:p w:rsidR="000E3EF1" w:rsidRDefault="000E3EF1" w:rsidP="00E27A47">
            <w:pPr>
              <w:spacing w:before="60" w:after="60"/>
              <w:rPr>
                <w:rFonts w:ascii="Arial" w:hAnsi="Arial" w:cs="Arial"/>
                <w:sz w:val="20"/>
              </w:rPr>
            </w:pPr>
            <w:r>
              <w:rPr>
                <w:rFonts w:ascii="Arial" w:hAnsi="Arial" w:cs="Arial"/>
                <w:sz w:val="20"/>
              </w:rPr>
              <w:t>27</w:t>
            </w:r>
          </w:p>
        </w:tc>
        <w:tc>
          <w:tcPr>
            <w:tcW w:w="3960" w:type="dxa"/>
          </w:tcPr>
          <w:p w:rsidR="000E3EF1" w:rsidRDefault="000E3EF1" w:rsidP="00E27A47">
            <w:pPr>
              <w:spacing w:before="60" w:after="60"/>
              <w:rPr>
                <w:rFonts w:ascii="Arial" w:hAnsi="Arial" w:cs="Arial"/>
                <w:sz w:val="20"/>
              </w:rPr>
            </w:pPr>
            <w:r>
              <w:rPr>
                <w:rFonts w:ascii="Arial" w:hAnsi="Arial" w:cs="Arial"/>
                <w:sz w:val="20"/>
              </w:rPr>
              <w:t>Covariate in regression analysis of outcomes on treatment status.  We could drop this item and instead rely on NDNH figures, but self-reported earnings may be significantly higher than employer-reported earnings for workers with marginal labor force attachment.</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Evaluation of H-1B TST/RTW grants</w:t>
            </w:r>
          </w:p>
        </w:tc>
      </w:tr>
      <w:tr w:rsidR="000E3EF1" w:rsidRPr="00C72A77" w:rsidTr="00E27A47">
        <w:trPr>
          <w:cantSplit/>
        </w:trPr>
        <w:tc>
          <w:tcPr>
            <w:tcW w:w="1548" w:type="dxa"/>
          </w:tcPr>
          <w:p w:rsidR="000E3EF1" w:rsidRDefault="000E3EF1" w:rsidP="00E27A47">
            <w:pPr>
              <w:spacing w:before="60" w:after="60"/>
              <w:rPr>
                <w:rFonts w:ascii="Arial" w:hAnsi="Arial" w:cs="Arial"/>
                <w:sz w:val="20"/>
              </w:rPr>
            </w:pPr>
            <w:r>
              <w:rPr>
                <w:rFonts w:ascii="Arial" w:hAnsi="Arial" w:cs="Arial"/>
                <w:sz w:val="20"/>
              </w:rPr>
              <w:t>Industry of last job</w:t>
            </w:r>
          </w:p>
        </w:tc>
        <w:tc>
          <w:tcPr>
            <w:tcW w:w="1260" w:type="dxa"/>
          </w:tcPr>
          <w:p w:rsidR="000E3EF1" w:rsidRDefault="000E3EF1" w:rsidP="00E27A47">
            <w:pPr>
              <w:spacing w:before="60" w:after="60"/>
              <w:rPr>
                <w:rFonts w:ascii="Arial" w:hAnsi="Arial" w:cs="Arial"/>
                <w:sz w:val="20"/>
              </w:rPr>
            </w:pPr>
            <w:r>
              <w:rPr>
                <w:rFonts w:ascii="Arial" w:hAnsi="Arial" w:cs="Arial"/>
                <w:sz w:val="20"/>
              </w:rPr>
              <w:t>28</w:t>
            </w:r>
          </w:p>
        </w:tc>
        <w:tc>
          <w:tcPr>
            <w:tcW w:w="3960" w:type="dxa"/>
          </w:tcPr>
          <w:p w:rsidR="000E3EF1" w:rsidRDefault="000E3EF1" w:rsidP="00E27A47">
            <w:pPr>
              <w:spacing w:before="60" w:after="60"/>
              <w:rPr>
                <w:rFonts w:ascii="Arial" w:hAnsi="Arial" w:cs="Arial"/>
                <w:sz w:val="20"/>
              </w:rPr>
            </w:pPr>
            <w:r w:rsidRPr="00491219">
              <w:rPr>
                <w:rFonts w:ascii="Arial" w:hAnsi="Arial" w:cs="Arial"/>
                <w:sz w:val="20"/>
              </w:rPr>
              <w:t>Descriptor of population interested in programs designed with TAACCCT funds</w:t>
            </w:r>
            <w:r>
              <w:rPr>
                <w:rFonts w:ascii="Arial" w:hAnsi="Arial" w:cs="Arial"/>
                <w:sz w:val="20"/>
              </w:rPr>
              <w:t>.</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New; item uses 20 NAICS sectors</w:t>
            </w:r>
          </w:p>
        </w:tc>
      </w:tr>
      <w:tr w:rsidR="00702A91" w:rsidRPr="00C72A77" w:rsidTr="00E27A47">
        <w:trPr>
          <w:cantSplit/>
        </w:trPr>
        <w:tc>
          <w:tcPr>
            <w:tcW w:w="1548" w:type="dxa"/>
          </w:tcPr>
          <w:p w:rsidR="00702A91" w:rsidRDefault="00702A91" w:rsidP="00E27A47">
            <w:pPr>
              <w:spacing w:before="60" w:after="60"/>
              <w:rPr>
                <w:rFonts w:ascii="Arial" w:hAnsi="Arial" w:cs="Arial"/>
                <w:sz w:val="20"/>
              </w:rPr>
            </w:pPr>
            <w:r>
              <w:rPr>
                <w:rFonts w:ascii="Arial" w:hAnsi="Arial" w:cs="Arial"/>
                <w:sz w:val="20"/>
              </w:rPr>
              <w:t>Family income</w:t>
            </w:r>
          </w:p>
        </w:tc>
        <w:tc>
          <w:tcPr>
            <w:tcW w:w="1260" w:type="dxa"/>
          </w:tcPr>
          <w:p w:rsidR="00702A91" w:rsidRDefault="00702A91" w:rsidP="00E27A47">
            <w:pPr>
              <w:spacing w:before="60" w:after="60"/>
              <w:rPr>
                <w:rFonts w:ascii="Arial" w:hAnsi="Arial" w:cs="Arial"/>
                <w:sz w:val="20"/>
              </w:rPr>
            </w:pPr>
            <w:r>
              <w:rPr>
                <w:rFonts w:ascii="Arial" w:hAnsi="Arial" w:cs="Arial"/>
                <w:sz w:val="20"/>
              </w:rPr>
              <w:t>29</w:t>
            </w:r>
          </w:p>
        </w:tc>
        <w:tc>
          <w:tcPr>
            <w:tcW w:w="3960" w:type="dxa"/>
          </w:tcPr>
          <w:p w:rsidR="00702A91" w:rsidRPr="00491219" w:rsidRDefault="00702A91" w:rsidP="00E27A47">
            <w:pPr>
              <w:spacing w:before="60" w:after="60"/>
              <w:rPr>
                <w:rFonts w:ascii="Arial" w:hAnsi="Arial" w:cs="Arial"/>
                <w:sz w:val="20"/>
              </w:rPr>
            </w:pPr>
            <w:r w:rsidRPr="00C72A77">
              <w:rPr>
                <w:rFonts w:ascii="Arial" w:hAnsi="Arial" w:cs="Arial"/>
                <w:sz w:val="20"/>
              </w:rPr>
              <w:t>Covariate in regression analysis of outcomes on treatment status.</w:t>
            </w:r>
            <w:r>
              <w:rPr>
                <w:rFonts w:ascii="Arial" w:hAnsi="Arial" w:cs="Arial"/>
                <w:sz w:val="20"/>
              </w:rPr>
              <w:t xml:space="preserve">  Needed to calculate poverty status, which will be used as  descriptor of </w:t>
            </w:r>
            <w:r w:rsidRPr="00491219">
              <w:rPr>
                <w:rFonts w:ascii="Arial" w:hAnsi="Arial" w:cs="Arial"/>
                <w:sz w:val="20"/>
              </w:rPr>
              <w:t xml:space="preserve">population interested in </w:t>
            </w:r>
            <w:bookmarkStart w:id="0" w:name="_GoBack"/>
            <w:bookmarkEnd w:id="0"/>
            <w:r w:rsidRPr="00491219">
              <w:rPr>
                <w:rFonts w:ascii="Arial" w:hAnsi="Arial" w:cs="Arial"/>
                <w:sz w:val="20"/>
              </w:rPr>
              <w:t>programs designed with TAACCCT funds</w:t>
            </w:r>
            <w:r>
              <w:rPr>
                <w:rFonts w:ascii="Arial" w:hAnsi="Arial" w:cs="Arial"/>
                <w:sz w:val="20"/>
              </w:rPr>
              <w:t>.</w:t>
            </w:r>
          </w:p>
        </w:tc>
        <w:tc>
          <w:tcPr>
            <w:tcW w:w="2448" w:type="dxa"/>
          </w:tcPr>
          <w:p w:rsidR="00702A91" w:rsidRPr="00C72A77" w:rsidRDefault="00702A91" w:rsidP="004431AA">
            <w:pPr>
              <w:spacing w:before="60" w:after="60"/>
              <w:rPr>
                <w:rFonts w:ascii="Arial" w:hAnsi="Arial" w:cs="Arial"/>
                <w:sz w:val="20"/>
              </w:rPr>
            </w:pPr>
            <w:r>
              <w:rPr>
                <w:rFonts w:ascii="Arial" w:hAnsi="Arial" w:cs="Arial"/>
                <w:sz w:val="20"/>
              </w:rPr>
              <w:t>HHS PACE</w:t>
            </w:r>
          </w:p>
        </w:tc>
      </w:tr>
      <w:tr w:rsidR="000E3EF1" w:rsidRPr="00C72A77" w:rsidTr="00E27A47">
        <w:trPr>
          <w:cantSplit/>
        </w:trPr>
        <w:tc>
          <w:tcPr>
            <w:tcW w:w="1548" w:type="dxa"/>
          </w:tcPr>
          <w:p w:rsidR="000E3EF1" w:rsidRDefault="000E3EF1" w:rsidP="00E27A47">
            <w:pPr>
              <w:spacing w:before="60" w:after="60"/>
              <w:rPr>
                <w:rFonts w:ascii="Arial" w:hAnsi="Arial" w:cs="Arial"/>
                <w:sz w:val="20"/>
              </w:rPr>
            </w:pPr>
            <w:r>
              <w:rPr>
                <w:rFonts w:ascii="Arial" w:hAnsi="Arial" w:cs="Arial"/>
                <w:sz w:val="20"/>
              </w:rPr>
              <w:t>Work expectations</w:t>
            </w:r>
          </w:p>
        </w:tc>
        <w:tc>
          <w:tcPr>
            <w:tcW w:w="1260" w:type="dxa"/>
          </w:tcPr>
          <w:p w:rsidR="000E3EF1" w:rsidRDefault="000E3EF1" w:rsidP="00E27A47">
            <w:pPr>
              <w:spacing w:before="60" w:after="60"/>
              <w:rPr>
                <w:rFonts w:ascii="Arial" w:hAnsi="Arial" w:cs="Arial"/>
                <w:sz w:val="20"/>
              </w:rPr>
            </w:pPr>
            <w:r>
              <w:rPr>
                <w:rFonts w:ascii="Arial" w:hAnsi="Arial" w:cs="Arial"/>
                <w:sz w:val="20"/>
              </w:rPr>
              <w:t>30</w:t>
            </w:r>
          </w:p>
        </w:tc>
        <w:tc>
          <w:tcPr>
            <w:tcW w:w="3960" w:type="dxa"/>
          </w:tcPr>
          <w:p w:rsidR="000E3EF1" w:rsidRDefault="000E3EF1" w:rsidP="00E27A47">
            <w:pPr>
              <w:spacing w:before="60" w:after="60"/>
              <w:rPr>
                <w:rFonts w:ascii="Arial" w:hAnsi="Arial" w:cs="Arial"/>
                <w:sz w:val="20"/>
              </w:rPr>
            </w:pPr>
            <w:r>
              <w:rPr>
                <w:rFonts w:ascii="Arial" w:hAnsi="Arial" w:cs="Arial"/>
                <w:sz w:val="20"/>
              </w:rPr>
              <w:t>Covariate in regression analysis of outcomes on treatment status</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HHS PACE</w:t>
            </w:r>
          </w:p>
        </w:tc>
      </w:tr>
      <w:tr w:rsidR="000E3EF1" w:rsidRPr="00C72A77" w:rsidTr="00E27A47">
        <w:trPr>
          <w:cantSplit/>
        </w:trPr>
        <w:tc>
          <w:tcPr>
            <w:tcW w:w="1548" w:type="dxa"/>
          </w:tcPr>
          <w:p w:rsidR="000E3EF1" w:rsidRDefault="000E3EF1" w:rsidP="00E27A47">
            <w:pPr>
              <w:spacing w:before="60" w:after="60"/>
              <w:rPr>
                <w:rFonts w:ascii="Arial" w:hAnsi="Arial" w:cs="Arial"/>
                <w:sz w:val="20"/>
              </w:rPr>
            </w:pPr>
            <w:r>
              <w:rPr>
                <w:rFonts w:ascii="Arial" w:hAnsi="Arial" w:cs="Arial"/>
                <w:sz w:val="20"/>
              </w:rPr>
              <w:t>Motivation for program application</w:t>
            </w:r>
          </w:p>
        </w:tc>
        <w:tc>
          <w:tcPr>
            <w:tcW w:w="1260" w:type="dxa"/>
          </w:tcPr>
          <w:p w:rsidR="000E3EF1" w:rsidRDefault="000E3EF1" w:rsidP="00E27A47">
            <w:pPr>
              <w:spacing w:before="60" w:after="60"/>
              <w:rPr>
                <w:rFonts w:ascii="Arial" w:hAnsi="Arial" w:cs="Arial"/>
                <w:sz w:val="20"/>
              </w:rPr>
            </w:pPr>
            <w:r>
              <w:rPr>
                <w:rFonts w:ascii="Arial" w:hAnsi="Arial" w:cs="Arial"/>
                <w:sz w:val="20"/>
              </w:rPr>
              <w:t>31</w:t>
            </w:r>
          </w:p>
        </w:tc>
        <w:tc>
          <w:tcPr>
            <w:tcW w:w="3960" w:type="dxa"/>
          </w:tcPr>
          <w:p w:rsidR="000E3EF1" w:rsidRDefault="000E3EF1" w:rsidP="00E27A47">
            <w:pPr>
              <w:spacing w:before="60" w:after="60"/>
              <w:rPr>
                <w:rFonts w:ascii="Arial" w:hAnsi="Arial" w:cs="Arial"/>
                <w:sz w:val="20"/>
              </w:rPr>
            </w:pPr>
            <w:r w:rsidRPr="00491219">
              <w:rPr>
                <w:rFonts w:ascii="Arial" w:hAnsi="Arial" w:cs="Arial"/>
                <w:sz w:val="20"/>
              </w:rPr>
              <w:t>Descriptor of population interested in programs designed with TAACCCT funds</w:t>
            </w:r>
            <w:r>
              <w:rPr>
                <w:rFonts w:ascii="Arial" w:hAnsi="Arial" w:cs="Arial"/>
                <w:sz w:val="20"/>
              </w:rPr>
              <w:t>.</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Evaluation of H-1B TST/RTW grants</w:t>
            </w:r>
          </w:p>
        </w:tc>
      </w:tr>
      <w:tr w:rsidR="000E3EF1" w:rsidRPr="00C72A77" w:rsidTr="00E27A47">
        <w:trPr>
          <w:cantSplit/>
        </w:trPr>
        <w:tc>
          <w:tcPr>
            <w:tcW w:w="1548" w:type="dxa"/>
          </w:tcPr>
          <w:p w:rsidR="000E3EF1" w:rsidRDefault="000E3EF1" w:rsidP="00E27A47">
            <w:pPr>
              <w:spacing w:before="60" w:after="60"/>
              <w:rPr>
                <w:rFonts w:ascii="Arial" w:hAnsi="Arial" w:cs="Arial"/>
                <w:sz w:val="20"/>
              </w:rPr>
            </w:pPr>
            <w:r>
              <w:rPr>
                <w:rFonts w:ascii="Arial" w:hAnsi="Arial" w:cs="Arial"/>
                <w:sz w:val="20"/>
              </w:rPr>
              <w:t>Industry experience</w:t>
            </w:r>
          </w:p>
        </w:tc>
        <w:tc>
          <w:tcPr>
            <w:tcW w:w="1260" w:type="dxa"/>
          </w:tcPr>
          <w:p w:rsidR="000E3EF1" w:rsidRDefault="000E3EF1" w:rsidP="00E27A47">
            <w:pPr>
              <w:spacing w:before="60" w:after="60"/>
              <w:rPr>
                <w:rFonts w:ascii="Arial" w:hAnsi="Arial" w:cs="Arial"/>
                <w:sz w:val="20"/>
              </w:rPr>
            </w:pPr>
            <w:r>
              <w:rPr>
                <w:rFonts w:ascii="Arial" w:hAnsi="Arial" w:cs="Arial"/>
                <w:sz w:val="20"/>
              </w:rPr>
              <w:t>32</w:t>
            </w:r>
          </w:p>
        </w:tc>
        <w:tc>
          <w:tcPr>
            <w:tcW w:w="3960" w:type="dxa"/>
          </w:tcPr>
          <w:p w:rsidR="000E3EF1" w:rsidRDefault="000E3EF1" w:rsidP="00E27A47">
            <w:pPr>
              <w:spacing w:before="60" w:after="60"/>
              <w:rPr>
                <w:rFonts w:ascii="Arial" w:hAnsi="Arial" w:cs="Arial"/>
                <w:sz w:val="20"/>
              </w:rPr>
            </w:pPr>
            <w:r w:rsidRPr="00491219">
              <w:rPr>
                <w:rFonts w:ascii="Arial" w:hAnsi="Arial" w:cs="Arial"/>
                <w:sz w:val="20"/>
              </w:rPr>
              <w:t>Descriptor of population interested in programs designed with TAACCCT funds</w:t>
            </w:r>
            <w:r>
              <w:rPr>
                <w:rFonts w:ascii="Arial" w:hAnsi="Arial" w:cs="Arial"/>
                <w:sz w:val="20"/>
              </w:rPr>
              <w:t>.</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Evaluation of H-1B TST/RTW grants</w:t>
            </w:r>
          </w:p>
        </w:tc>
      </w:tr>
      <w:tr w:rsidR="000E3EF1" w:rsidRPr="00C72A77" w:rsidTr="00E27A47">
        <w:trPr>
          <w:cantSplit/>
        </w:trPr>
        <w:tc>
          <w:tcPr>
            <w:tcW w:w="1548" w:type="dxa"/>
          </w:tcPr>
          <w:p w:rsidR="000E3EF1" w:rsidRDefault="000E3EF1" w:rsidP="00E27A47">
            <w:pPr>
              <w:spacing w:before="60" w:after="60"/>
              <w:rPr>
                <w:rFonts w:ascii="Arial" w:hAnsi="Arial" w:cs="Arial"/>
                <w:sz w:val="20"/>
              </w:rPr>
            </w:pPr>
            <w:r>
              <w:rPr>
                <w:rFonts w:ascii="Arial" w:hAnsi="Arial" w:cs="Arial"/>
                <w:sz w:val="20"/>
              </w:rPr>
              <w:t>Education financing plan</w:t>
            </w:r>
          </w:p>
        </w:tc>
        <w:tc>
          <w:tcPr>
            <w:tcW w:w="1260" w:type="dxa"/>
          </w:tcPr>
          <w:p w:rsidR="000E3EF1" w:rsidRDefault="000E3EF1" w:rsidP="00E27A47">
            <w:pPr>
              <w:spacing w:before="60" w:after="60"/>
              <w:rPr>
                <w:rFonts w:ascii="Arial" w:hAnsi="Arial" w:cs="Arial"/>
                <w:sz w:val="20"/>
              </w:rPr>
            </w:pPr>
            <w:r>
              <w:rPr>
                <w:rFonts w:ascii="Arial" w:hAnsi="Arial" w:cs="Arial"/>
                <w:sz w:val="20"/>
              </w:rPr>
              <w:t>33</w:t>
            </w:r>
          </w:p>
        </w:tc>
        <w:tc>
          <w:tcPr>
            <w:tcW w:w="3960" w:type="dxa"/>
          </w:tcPr>
          <w:p w:rsidR="000E3EF1" w:rsidRDefault="000E3EF1" w:rsidP="00E27A47">
            <w:pPr>
              <w:spacing w:before="60" w:after="60"/>
              <w:rPr>
                <w:rFonts w:ascii="Arial" w:hAnsi="Arial" w:cs="Arial"/>
                <w:sz w:val="20"/>
              </w:rPr>
            </w:pPr>
            <w:r w:rsidRPr="00491219">
              <w:rPr>
                <w:rFonts w:ascii="Arial" w:hAnsi="Arial" w:cs="Arial"/>
                <w:sz w:val="20"/>
              </w:rPr>
              <w:t>Descriptor of population interested in programs designed with TAACCCT funds</w:t>
            </w:r>
            <w:r>
              <w:rPr>
                <w:rFonts w:ascii="Arial" w:hAnsi="Arial" w:cs="Arial"/>
                <w:sz w:val="20"/>
              </w:rPr>
              <w:t>.</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HHS PACE</w:t>
            </w:r>
          </w:p>
        </w:tc>
      </w:tr>
      <w:tr w:rsidR="000E3EF1" w:rsidRPr="00C72A77" w:rsidTr="00E27A47">
        <w:trPr>
          <w:cantSplit/>
        </w:trPr>
        <w:tc>
          <w:tcPr>
            <w:tcW w:w="1548" w:type="dxa"/>
          </w:tcPr>
          <w:p w:rsidR="000E3EF1" w:rsidRDefault="000E3EF1" w:rsidP="00E27A47">
            <w:pPr>
              <w:spacing w:before="60" w:after="60"/>
              <w:rPr>
                <w:rFonts w:ascii="Arial" w:hAnsi="Arial" w:cs="Arial"/>
                <w:sz w:val="20"/>
              </w:rPr>
            </w:pPr>
            <w:r>
              <w:rPr>
                <w:rFonts w:ascii="Arial" w:hAnsi="Arial" w:cs="Arial"/>
                <w:sz w:val="20"/>
              </w:rPr>
              <w:lastRenderedPageBreak/>
              <w:t>Future contact</w:t>
            </w:r>
          </w:p>
        </w:tc>
        <w:tc>
          <w:tcPr>
            <w:tcW w:w="1260" w:type="dxa"/>
          </w:tcPr>
          <w:p w:rsidR="000E3EF1" w:rsidRDefault="000E3EF1" w:rsidP="00E27A47">
            <w:pPr>
              <w:spacing w:before="60" w:after="60"/>
              <w:rPr>
                <w:rFonts w:ascii="Arial" w:hAnsi="Arial" w:cs="Arial"/>
                <w:sz w:val="20"/>
              </w:rPr>
            </w:pPr>
            <w:r>
              <w:rPr>
                <w:rFonts w:ascii="Arial" w:hAnsi="Arial" w:cs="Arial"/>
                <w:sz w:val="20"/>
              </w:rPr>
              <w:t>34-36</w:t>
            </w:r>
          </w:p>
        </w:tc>
        <w:tc>
          <w:tcPr>
            <w:tcW w:w="3960" w:type="dxa"/>
          </w:tcPr>
          <w:p w:rsidR="000E3EF1" w:rsidRDefault="000E3EF1" w:rsidP="00E27A47">
            <w:pPr>
              <w:spacing w:before="60" w:after="60"/>
              <w:rPr>
                <w:rFonts w:ascii="Arial" w:hAnsi="Arial" w:cs="Arial"/>
                <w:sz w:val="20"/>
              </w:rPr>
            </w:pPr>
            <w:r>
              <w:rPr>
                <w:rFonts w:ascii="Arial" w:hAnsi="Arial" w:cs="Arial"/>
                <w:sz w:val="20"/>
              </w:rPr>
              <w:t>Important information for locating respondent for 12-month follow-up survey</w:t>
            </w:r>
          </w:p>
        </w:tc>
        <w:tc>
          <w:tcPr>
            <w:tcW w:w="2448" w:type="dxa"/>
          </w:tcPr>
          <w:p w:rsidR="000E3EF1" w:rsidRPr="00C72A77" w:rsidRDefault="000E3EF1" w:rsidP="00E27A47">
            <w:pPr>
              <w:spacing w:before="60" w:after="60"/>
              <w:rPr>
                <w:rFonts w:ascii="Arial" w:hAnsi="Arial" w:cs="Arial"/>
                <w:sz w:val="20"/>
              </w:rPr>
            </w:pPr>
            <w:r>
              <w:rPr>
                <w:rFonts w:ascii="Arial" w:hAnsi="Arial" w:cs="Arial"/>
                <w:sz w:val="20"/>
              </w:rPr>
              <w:t>Green Jobs and Health Care Impact evaluation; evaluation of H-1B TST/RTW grants</w:t>
            </w:r>
          </w:p>
        </w:tc>
      </w:tr>
    </w:tbl>
    <w:p w:rsidR="00C2417D" w:rsidRDefault="00C2417D" w:rsidP="00C2417D"/>
    <w:p w:rsidR="00C2417D" w:rsidRDefault="00C2417D" w:rsidP="00C2417D">
      <w:pPr>
        <w:pStyle w:val="Heading2"/>
      </w:pPr>
      <w:r>
        <w:t>SAQ</w:t>
      </w:r>
    </w:p>
    <w:p w:rsidR="00C72A77" w:rsidRPr="003651B1" w:rsidRDefault="00C72A77" w:rsidP="00C72A77">
      <w:pPr>
        <w:rPr>
          <w:sz w:val="24"/>
          <w:szCs w:val="24"/>
        </w:rPr>
      </w:pPr>
      <w:r>
        <w:rPr>
          <w:sz w:val="24"/>
          <w:szCs w:val="24"/>
        </w:rPr>
        <w:t>As noted in Part A of the package, b</w:t>
      </w:r>
      <w:r w:rsidRPr="003651B1">
        <w:rPr>
          <w:sz w:val="24"/>
          <w:szCs w:val="24"/>
        </w:rPr>
        <w:t xml:space="preserve">ecause </w:t>
      </w:r>
      <w:r>
        <w:rPr>
          <w:sz w:val="24"/>
          <w:szCs w:val="24"/>
        </w:rPr>
        <w:t xml:space="preserve">some </w:t>
      </w:r>
      <w:r w:rsidRPr="003651B1">
        <w:rPr>
          <w:sz w:val="24"/>
          <w:szCs w:val="24"/>
        </w:rPr>
        <w:t xml:space="preserve">items </w:t>
      </w:r>
      <w:r>
        <w:rPr>
          <w:sz w:val="24"/>
          <w:szCs w:val="24"/>
        </w:rPr>
        <w:t>in</w:t>
      </w:r>
      <w:r w:rsidRPr="003651B1">
        <w:rPr>
          <w:sz w:val="24"/>
          <w:szCs w:val="24"/>
        </w:rPr>
        <w:t xml:space="preserve"> the SAQ </w:t>
      </w:r>
      <w:r>
        <w:rPr>
          <w:sz w:val="24"/>
          <w:szCs w:val="24"/>
        </w:rPr>
        <w:t xml:space="preserve">ask about personal strengths and weaknesses related to readiness for training and employment, </w:t>
      </w:r>
      <w:r w:rsidRPr="003651B1">
        <w:rPr>
          <w:sz w:val="24"/>
          <w:szCs w:val="24"/>
        </w:rPr>
        <w:t xml:space="preserve">individuals may feel more comfortable responding to questions if they know that grant/program staff will not see their answers. This also helps to address potential concerns from participant that their responses would influence their research group assignment. The SAQ </w:t>
      </w:r>
      <w:r>
        <w:rPr>
          <w:sz w:val="24"/>
          <w:szCs w:val="24"/>
        </w:rPr>
        <w:t>will</w:t>
      </w:r>
      <w:r w:rsidRPr="003651B1">
        <w:rPr>
          <w:sz w:val="24"/>
          <w:szCs w:val="24"/>
        </w:rPr>
        <w:t xml:space="preserve"> be completed after the BIF </w:t>
      </w:r>
      <w:r>
        <w:rPr>
          <w:sz w:val="24"/>
          <w:szCs w:val="24"/>
        </w:rPr>
        <w:t>but still</w:t>
      </w:r>
      <w:r w:rsidRPr="003651B1">
        <w:rPr>
          <w:sz w:val="24"/>
          <w:szCs w:val="24"/>
        </w:rPr>
        <w:t xml:space="preserve"> prior to random assignment. Study participants would fill out the paper form that will include a unique study ID, but no other identifiers.  Participants would seal it in an envelope so that grant/program staff would not see the responses. The form would be shipped to the evaluators for data entry. </w:t>
      </w:r>
    </w:p>
    <w:p w:rsidR="006D5284" w:rsidRDefault="006D5284" w:rsidP="006D5284">
      <w:pPr>
        <w:rPr>
          <w:sz w:val="24"/>
          <w:szCs w:val="24"/>
        </w:rPr>
      </w:pPr>
      <w:r w:rsidRPr="003651B1">
        <w:rPr>
          <w:sz w:val="24"/>
          <w:szCs w:val="24"/>
        </w:rPr>
        <w:t xml:space="preserve">A developing literature has demonstrated the importance of a variety of psycho-social skills in predicting perseverance in and completion of post-secondary training and in favorable employment outcomes. Major constructs in this category include: (1) the ability to self-motivate, commit to goals, and sustain discipline in pursuing them; (2) the ability to develop and maintain positive beliefs and feelings about one’s self and others; (3) skills needed to engage socially and develop social supports (actual and perceived) for one’s school and work pursuits; and (4) the ability to open oneself to new ideas and experiences, to be creative.  A growing body of research is establishing important, if complex and variable, evidence on these factors’ malleability and their connections to education and employment outcomes.  Accordingly, </w:t>
      </w:r>
      <w:r w:rsidR="00115465">
        <w:rPr>
          <w:sz w:val="24"/>
          <w:szCs w:val="24"/>
        </w:rPr>
        <w:t xml:space="preserve">the evaluators </w:t>
      </w:r>
      <w:r w:rsidRPr="003651B1">
        <w:rPr>
          <w:sz w:val="24"/>
          <w:szCs w:val="24"/>
        </w:rPr>
        <w:t xml:space="preserve">recommend measuring </w:t>
      </w:r>
      <w:r w:rsidR="008E3F30">
        <w:rPr>
          <w:sz w:val="24"/>
          <w:szCs w:val="24"/>
        </w:rPr>
        <w:t>four</w:t>
      </w:r>
      <w:r w:rsidRPr="003651B1">
        <w:rPr>
          <w:sz w:val="24"/>
          <w:szCs w:val="24"/>
        </w:rPr>
        <w:t xml:space="preserve"> specific psycho-social skills as part of the baseline data collection for the TAACCCT evaluation: grit, core self-evaluation, perceived stress, and math anxiety. </w:t>
      </w:r>
      <w:r w:rsidR="00115465">
        <w:rPr>
          <w:sz w:val="24"/>
          <w:szCs w:val="24"/>
        </w:rPr>
        <w:t>The evaluation team</w:t>
      </w:r>
      <w:r w:rsidR="00115465" w:rsidRPr="003651B1">
        <w:rPr>
          <w:sz w:val="24"/>
          <w:szCs w:val="24"/>
        </w:rPr>
        <w:t xml:space="preserve"> </w:t>
      </w:r>
      <w:r w:rsidRPr="003651B1">
        <w:rPr>
          <w:sz w:val="24"/>
          <w:szCs w:val="24"/>
        </w:rPr>
        <w:t>also propose</w:t>
      </w:r>
      <w:r w:rsidR="00115465">
        <w:rPr>
          <w:sz w:val="24"/>
          <w:szCs w:val="24"/>
        </w:rPr>
        <w:t>s</w:t>
      </w:r>
      <w:r w:rsidRPr="003651B1">
        <w:rPr>
          <w:sz w:val="24"/>
          <w:szCs w:val="24"/>
        </w:rPr>
        <w:t xml:space="preserve"> measuring one generalized occupational skill that </w:t>
      </w:r>
      <w:r w:rsidR="00115465">
        <w:rPr>
          <w:sz w:val="24"/>
          <w:szCs w:val="24"/>
        </w:rPr>
        <w:t xml:space="preserve">they </w:t>
      </w:r>
      <w:r w:rsidRPr="003651B1">
        <w:rPr>
          <w:sz w:val="24"/>
          <w:szCs w:val="24"/>
        </w:rPr>
        <w:t>theorize will be related to post-secondary education success: computer skills.</w:t>
      </w:r>
      <w:r w:rsidR="00CC2447">
        <w:rPr>
          <w:sz w:val="24"/>
          <w:szCs w:val="24"/>
        </w:rPr>
        <w:t xml:space="preserve"> Detailed notes follow on each.</w:t>
      </w:r>
    </w:p>
    <w:p w:rsidR="00B00900" w:rsidRDefault="008E3F30" w:rsidP="008E3F30">
      <w:pPr>
        <w:rPr>
          <w:sz w:val="24"/>
          <w:szCs w:val="24"/>
        </w:rPr>
      </w:pPr>
      <w:r>
        <w:rPr>
          <w:i/>
          <w:sz w:val="24"/>
          <w:szCs w:val="24"/>
        </w:rPr>
        <w:t>Grit</w:t>
      </w:r>
      <w:r w:rsidRPr="005C5535">
        <w:rPr>
          <w:i/>
          <w:sz w:val="24"/>
          <w:szCs w:val="24"/>
        </w:rPr>
        <w:t xml:space="preserve">. </w:t>
      </w:r>
      <w:r w:rsidR="00115465">
        <w:rPr>
          <w:sz w:val="24"/>
          <w:szCs w:val="24"/>
        </w:rPr>
        <w:t xml:space="preserve">(Question </w:t>
      </w:r>
      <w:r>
        <w:rPr>
          <w:sz w:val="24"/>
          <w:szCs w:val="24"/>
        </w:rPr>
        <w:t xml:space="preserve">1)  </w:t>
      </w:r>
    </w:p>
    <w:p w:rsidR="008E3F30" w:rsidRPr="005C5535" w:rsidRDefault="00115465" w:rsidP="008E3F30">
      <w:pPr>
        <w:rPr>
          <w:sz w:val="24"/>
          <w:szCs w:val="24"/>
        </w:rPr>
      </w:pPr>
      <w:r>
        <w:rPr>
          <w:sz w:val="24"/>
          <w:szCs w:val="24"/>
        </w:rPr>
        <w:t>The</w:t>
      </w:r>
      <w:r w:rsidR="008E3F30">
        <w:rPr>
          <w:sz w:val="24"/>
          <w:szCs w:val="24"/>
        </w:rPr>
        <w:t xml:space="preserve"> 8-i</w:t>
      </w:r>
      <w:r w:rsidR="00CC2447">
        <w:rPr>
          <w:sz w:val="24"/>
          <w:szCs w:val="24"/>
        </w:rPr>
        <w:t>t</w:t>
      </w:r>
      <w:r w:rsidR="008E3F30">
        <w:rPr>
          <w:sz w:val="24"/>
          <w:szCs w:val="24"/>
        </w:rPr>
        <w:t xml:space="preserve">em version of this scale </w:t>
      </w:r>
      <w:r w:rsidR="008E3F30" w:rsidRPr="003651B1">
        <w:rPr>
          <w:sz w:val="24"/>
          <w:szCs w:val="24"/>
        </w:rPr>
        <w:t>(Duckworth, et al., 2007)</w:t>
      </w:r>
      <w:r>
        <w:rPr>
          <w:sz w:val="24"/>
          <w:szCs w:val="24"/>
        </w:rPr>
        <w:t xml:space="preserve"> </w:t>
      </w:r>
      <w:r w:rsidR="008E3F30">
        <w:rPr>
          <w:sz w:val="24"/>
          <w:szCs w:val="24"/>
        </w:rPr>
        <w:t>has very strong psychometrics</w:t>
      </w:r>
      <w:r w:rsidR="00DE4FB9">
        <w:rPr>
          <w:sz w:val="24"/>
          <w:szCs w:val="24"/>
        </w:rPr>
        <w:t xml:space="preserve"> (excellent reliability and demonstrated validity)</w:t>
      </w:r>
      <w:r w:rsidR="008E3F30">
        <w:rPr>
          <w:sz w:val="24"/>
          <w:szCs w:val="24"/>
        </w:rPr>
        <w:t xml:space="preserve">.  In addition, </w:t>
      </w:r>
      <w:r w:rsidR="008E3F30" w:rsidRPr="003651B1">
        <w:rPr>
          <w:sz w:val="24"/>
          <w:szCs w:val="24"/>
        </w:rPr>
        <w:t xml:space="preserve">early analyses of PACE data </w:t>
      </w:r>
      <w:r w:rsidR="00BF02C4">
        <w:rPr>
          <w:sz w:val="24"/>
          <w:szCs w:val="24"/>
        </w:rPr>
        <w:t xml:space="preserve">(Pathways for Advancing Careers and Education, formerly known as ISIS, OMB No. 0970-0397) </w:t>
      </w:r>
      <w:r w:rsidR="008E3F30" w:rsidRPr="003651B1">
        <w:rPr>
          <w:sz w:val="24"/>
          <w:szCs w:val="24"/>
        </w:rPr>
        <w:t xml:space="preserve">confirmed </w:t>
      </w:r>
      <w:r w:rsidR="008E3F30">
        <w:rPr>
          <w:sz w:val="24"/>
          <w:szCs w:val="24"/>
        </w:rPr>
        <w:t xml:space="preserve">that Grit has a strong correlation with </w:t>
      </w:r>
      <w:r w:rsidR="008E3F30" w:rsidRPr="003651B1">
        <w:rPr>
          <w:sz w:val="24"/>
          <w:szCs w:val="24"/>
        </w:rPr>
        <w:t xml:space="preserve">post-secondary persistence at </w:t>
      </w:r>
      <w:r>
        <w:rPr>
          <w:sz w:val="24"/>
          <w:szCs w:val="24"/>
        </w:rPr>
        <w:t>15-month</w:t>
      </w:r>
      <w:r w:rsidRPr="003651B1">
        <w:rPr>
          <w:sz w:val="24"/>
          <w:szCs w:val="24"/>
        </w:rPr>
        <w:t xml:space="preserve"> </w:t>
      </w:r>
      <w:r w:rsidR="008E3F30" w:rsidRPr="003651B1">
        <w:rPr>
          <w:sz w:val="24"/>
          <w:szCs w:val="24"/>
        </w:rPr>
        <w:t>follow-up</w:t>
      </w:r>
      <w:r w:rsidR="008E3F30">
        <w:rPr>
          <w:sz w:val="24"/>
          <w:szCs w:val="24"/>
        </w:rPr>
        <w:t>.</w:t>
      </w:r>
    </w:p>
    <w:p w:rsidR="00B00900" w:rsidRDefault="00CC2447" w:rsidP="00CC2447">
      <w:pPr>
        <w:rPr>
          <w:sz w:val="24"/>
          <w:szCs w:val="24"/>
        </w:rPr>
      </w:pPr>
      <w:r>
        <w:rPr>
          <w:i/>
          <w:sz w:val="24"/>
          <w:szCs w:val="24"/>
        </w:rPr>
        <w:t>Core Self-Evaluation</w:t>
      </w:r>
      <w:r w:rsidRPr="005C5535">
        <w:rPr>
          <w:i/>
          <w:sz w:val="24"/>
          <w:szCs w:val="24"/>
        </w:rPr>
        <w:t xml:space="preserve">. </w:t>
      </w:r>
      <w:r w:rsidRPr="005C5535">
        <w:rPr>
          <w:sz w:val="24"/>
          <w:szCs w:val="24"/>
        </w:rPr>
        <w:t>(</w:t>
      </w:r>
      <w:r w:rsidR="00115465">
        <w:rPr>
          <w:sz w:val="24"/>
          <w:szCs w:val="24"/>
        </w:rPr>
        <w:t xml:space="preserve">Question </w:t>
      </w:r>
      <w:r>
        <w:rPr>
          <w:sz w:val="24"/>
          <w:szCs w:val="24"/>
        </w:rPr>
        <w:t xml:space="preserve">2)  </w:t>
      </w:r>
    </w:p>
    <w:p w:rsidR="00CC2447" w:rsidRPr="005C5535" w:rsidRDefault="00115465" w:rsidP="00CC2447">
      <w:pPr>
        <w:rPr>
          <w:sz w:val="24"/>
          <w:szCs w:val="24"/>
        </w:rPr>
      </w:pPr>
      <w:r>
        <w:rPr>
          <w:sz w:val="24"/>
          <w:szCs w:val="24"/>
        </w:rPr>
        <w:t>The</w:t>
      </w:r>
      <w:r w:rsidR="00CC2447">
        <w:rPr>
          <w:sz w:val="24"/>
          <w:szCs w:val="24"/>
        </w:rPr>
        <w:t xml:space="preserve"> 12-item version of this scale (Judge, 2009</w:t>
      </w:r>
      <w:r w:rsidR="00CC2447" w:rsidRPr="003651B1">
        <w:rPr>
          <w:sz w:val="24"/>
          <w:szCs w:val="24"/>
        </w:rPr>
        <w:t>)</w:t>
      </w:r>
      <w:r w:rsidR="00CC2447">
        <w:rPr>
          <w:sz w:val="24"/>
          <w:szCs w:val="24"/>
        </w:rPr>
        <w:t xml:space="preserve"> has very strong psychometrics.  In addition, </w:t>
      </w:r>
      <w:r w:rsidR="00CC2447" w:rsidRPr="003651B1">
        <w:rPr>
          <w:sz w:val="24"/>
          <w:szCs w:val="24"/>
        </w:rPr>
        <w:t xml:space="preserve">early analyses of PACE data confirmed </w:t>
      </w:r>
      <w:r w:rsidR="00CC2447">
        <w:rPr>
          <w:sz w:val="24"/>
          <w:szCs w:val="24"/>
        </w:rPr>
        <w:t xml:space="preserve">that Core Self-Evaluation has a strong correlation with </w:t>
      </w:r>
      <w:r w:rsidR="00CC2447" w:rsidRPr="003651B1">
        <w:rPr>
          <w:sz w:val="24"/>
          <w:szCs w:val="24"/>
        </w:rPr>
        <w:t xml:space="preserve">post-secondary persistence at </w:t>
      </w:r>
      <w:r>
        <w:rPr>
          <w:sz w:val="24"/>
          <w:szCs w:val="24"/>
        </w:rPr>
        <w:t>15-month</w:t>
      </w:r>
      <w:r w:rsidRPr="003651B1">
        <w:rPr>
          <w:sz w:val="24"/>
          <w:szCs w:val="24"/>
        </w:rPr>
        <w:t xml:space="preserve"> </w:t>
      </w:r>
      <w:r w:rsidR="00CC2447" w:rsidRPr="003651B1">
        <w:rPr>
          <w:sz w:val="24"/>
          <w:szCs w:val="24"/>
        </w:rPr>
        <w:t>follow-up</w:t>
      </w:r>
      <w:r w:rsidR="00CC2447">
        <w:rPr>
          <w:sz w:val="24"/>
          <w:szCs w:val="24"/>
        </w:rPr>
        <w:t>.</w:t>
      </w:r>
    </w:p>
    <w:p w:rsidR="00D23FB2" w:rsidRDefault="00CC2447" w:rsidP="00CC2447">
      <w:pPr>
        <w:rPr>
          <w:sz w:val="24"/>
          <w:szCs w:val="24"/>
        </w:rPr>
      </w:pPr>
      <w:r>
        <w:rPr>
          <w:i/>
          <w:sz w:val="24"/>
          <w:szCs w:val="24"/>
        </w:rPr>
        <w:t>Perceived Stress</w:t>
      </w:r>
      <w:r w:rsidRPr="005C5535">
        <w:rPr>
          <w:i/>
          <w:sz w:val="24"/>
          <w:szCs w:val="24"/>
        </w:rPr>
        <w:t xml:space="preserve">. </w:t>
      </w:r>
      <w:r w:rsidRPr="005C5535">
        <w:rPr>
          <w:sz w:val="24"/>
          <w:szCs w:val="24"/>
        </w:rPr>
        <w:t>(</w:t>
      </w:r>
      <w:r w:rsidR="00115465">
        <w:rPr>
          <w:sz w:val="24"/>
          <w:szCs w:val="24"/>
        </w:rPr>
        <w:t xml:space="preserve">Question </w:t>
      </w:r>
      <w:r>
        <w:rPr>
          <w:sz w:val="24"/>
          <w:szCs w:val="24"/>
        </w:rPr>
        <w:t xml:space="preserve">3)  </w:t>
      </w:r>
    </w:p>
    <w:p w:rsidR="00CC2447" w:rsidRPr="005C5535" w:rsidRDefault="00115465" w:rsidP="00CC2447">
      <w:pPr>
        <w:rPr>
          <w:sz w:val="24"/>
          <w:szCs w:val="24"/>
        </w:rPr>
      </w:pPr>
      <w:r>
        <w:rPr>
          <w:sz w:val="24"/>
          <w:szCs w:val="24"/>
        </w:rPr>
        <w:t>The</w:t>
      </w:r>
      <w:r w:rsidR="00CC2447">
        <w:rPr>
          <w:sz w:val="24"/>
          <w:szCs w:val="24"/>
        </w:rPr>
        <w:t xml:space="preserve"> 4-item version of this scale (</w:t>
      </w:r>
      <w:r w:rsidR="00CC2447" w:rsidRPr="003651B1">
        <w:rPr>
          <w:sz w:val="24"/>
          <w:szCs w:val="24"/>
        </w:rPr>
        <w:t xml:space="preserve">Cohen, </w:t>
      </w:r>
      <w:proofErr w:type="spellStart"/>
      <w:r w:rsidR="00CC2447" w:rsidRPr="003651B1">
        <w:rPr>
          <w:sz w:val="24"/>
          <w:szCs w:val="24"/>
        </w:rPr>
        <w:t>Kamarck</w:t>
      </w:r>
      <w:proofErr w:type="spellEnd"/>
      <w:r w:rsidR="00CC2447" w:rsidRPr="003651B1">
        <w:rPr>
          <w:sz w:val="24"/>
          <w:szCs w:val="24"/>
        </w:rPr>
        <w:t xml:space="preserve">, and </w:t>
      </w:r>
      <w:proofErr w:type="spellStart"/>
      <w:r w:rsidR="00CC2447" w:rsidRPr="003651B1">
        <w:rPr>
          <w:sz w:val="24"/>
          <w:szCs w:val="24"/>
        </w:rPr>
        <w:t>Mermelstein</w:t>
      </w:r>
      <w:proofErr w:type="spellEnd"/>
      <w:r w:rsidR="00CC2447" w:rsidRPr="003651B1">
        <w:rPr>
          <w:sz w:val="24"/>
          <w:szCs w:val="24"/>
        </w:rPr>
        <w:t>, 1983)</w:t>
      </w:r>
      <w:r>
        <w:rPr>
          <w:sz w:val="24"/>
          <w:szCs w:val="24"/>
        </w:rPr>
        <w:t xml:space="preserve"> </w:t>
      </w:r>
      <w:r w:rsidR="00CC2447">
        <w:rPr>
          <w:sz w:val="24"/>
          <w:szCs w:val="24"/>
        </w:rPr>
        <w:t xml:space="preserve">has very strong psychometrics.  In addition, </w:t>
      </w:r>
      <w:r w:rsidR="00CC2447" w:rsidRPr="003651B1">
        <w:rPr>
          <w:sz w:val="24"/>
          <w:szCs w:val="24"/>
        </w:rPr>
        <w:t xml:space="preserve">early analyses of PACE data confirmed </w:t>
      </w:r>
      <w:r w:rsidR="00CC2447">
        <w:rPr>
          <w:sz w:val="24"/>
          <w:szCs w:val="24"/>
        </w:rPr>
        <w:t xml:space="preserve">that Perceived Stress has a strong correlation with </w:t>
      </w:r>
      <w:r w:rsidR="00CC2447" w:rsidRPr="003651B1">
        <w:rPr>
          <w:sz w:val="24"/>
          <w:szCs w:val="24"/>
        </w:rPr>
        <w:t xml:space="preserve">post-secondary persistence at </w:t>
      </w:r>
      <w:r w:rsidR="00D23FB2">
        <w:rPr>
          <w:sz w:val="24"/>
          <w:szCs w:val="24"/>
        </w:rPr>
        <w:t xml:space="preserve">15-month </w:t>
      </w:r>
      <w:r w:rsidR="00CC2447" w:rsidRPr="003651B1">
        <w:rPr>
          <w:sz w:val="24"/>
          <w:szCs w:val="24"/>
        </w:rPr>
        <w:t>follow-up</w:t>
      </w:r>
      <w:r w:rsidR="00CC2447">
        <w:rPr>
          <w:sz w:val="24"/>
          <w:szCs w:val="24"/>
        </w:rPr>
        <w:t>.</w:t>
      </w:r>
    </w:p>
    <w:p w:rsidR="00B00900" w:rsidRDefault="00CC2447" w:rsidP="00CC2447">
      <w:pPr>
        <w:rPr>
          <w:sz w:val="24"/>
          <w:szCs w:val="24"/>
        </w:rPr>
      </w:pPr>
      <w:r w:rsidRPr="003651B1">
        <w:rPr>
          <w:i/>
          <w:sz w:val="24"/>
          <w:szCs w:val="24"/>
        </w:rPr>
        <w:t>Computer Skills.</w:t>
      </w:r>
      <w:r w:rsidRPr="003651B1">
        <w:rPr>
          <w:sz w:val="24"/>
          <w:szCs w:val="24"/>
        </w:rPr>
        <w:t xml:space="preserve">  </w:t>
      </w:r>
      <w:r>
        <w:rPr>
          <w:sz w:val="24"/>
          <w:szCs w:val="24"/>
        </w:rPr>
        <w:t>(</w:t>
      </w:r>
      <w:r w:rsidR="00115465">
        <w:rPr>
          <w:sz w:val="24"/>
          <w:szCs w:val="24"/>
        </w:rPr>
        <w:t xml:space="preserve">Question </w:t>
      </w:r>
      <w:r>
        <w:rPr>
          <w:sz w:val="24"/>
          <w:szCs w:val="24"/>
        </w:rPr>
        <w:t xml:space="preserve">4) </w:t>
      </w:r>
    </w:p>
    <w:p w:rsidR="00CC2447" w:rsidRPr="003651B1" w:rsidRDefault="00D23FB2" w:rsidP="00CC2447">
      <w:pPr>
        <w:rPr>
          <w:sz w:val="24"/>
          <w:szCs w:val="24"/>
        </w:rPr>
      </w:pPr>
      <w:r>
        <w:rPr>
          <w:sz w:val="24"/>
          <w:szCs w:val="24"/>
        </w:rPr>
        <w:t>This question</w:t>
      </w:r>
      <w:r w:rsidR="00CC2447" w:rsidRPr="003651B1">
        <w:rPr>
          <w:sz w:val="24"/>
          <w:szCs w:val="24"/>
        </w:rPr>
        <w:t xml:space="preserve"> measure</w:t>
      </w:r>
      <w:r>
        <w:rPr>
          <w:sz w:val="24"/>
          <w:szCs w:val="24"/>
        </w:rPr>
        <w:t>s</w:t>
      </w:r>
      <w:r w:rsidR="00CC2447" w:rsidRPr="003651B1">
        <w:rPr>
          <w:sz w:val="24"/>
          <w:szCs w:val="24"/>
        </w:rPr>
        <w:t xml:space="preserve"> computer skills, as a generalized occupational skill that may be an issue for older workers who are retraining for new professions.  A recent DOL report</w:t>
      </w:r>
      <w:r w:rsidR="00CC2447">
        <w:rPr>
          <w:sz w:val="24"/>
          <w:szCs w:val="24"/>
        </w:rPr>
        <w:t xml:space="preserve"> (Heidkamp, Mabe and DeGraaf, 2012)</w:t>
      </w:r>
      <w:r w:rsidR="00CC2447" w:rsidRPr="003651B1">
        <w:rPr>
          <w:sz w:val="24"/>
          <w:szCs w:val="24"/>
        </w:rPr>
        <w:t xml:space="preserve"> stated that,</w:t>
      </w:r>
      <w:r w:rsidR="00CC2447" w:rsidRPr="003651B1">
        <w:rPr>
          <w:b/>
          <w:sz w:val="24"/>
          <w:szCs w:val="24"/>
        </w:rPr>
        <w:t xml:space="preserve"> </w:t>
      </w:r>
      <w:r w:rsidR="00CC2447" w:rsidRPr="003651B1">
        <w:rPr>
          <w:sz w:val="24"/>
          <w:szCs w:val="24"/>
        </w:rPr>
        <w:t>“</w:t>
      </w:r>
      <w:r w:rsidR="00CC2447" w:rsidRPr="003651B1">
        <w:rPr>
          <w:color w:val="221E1F"/>
          <w:sz w:val="24"/>
          <w:szCs w:val="24"/>
        </w:rPr>
        <w:t>The lack of technology skills came up repeatedly in the literature and in interviews as a particular hindrance for many older job seekers. Levine (2010) cited research that found that the high demand for computer skills is one of the factors that is positively correlated with older job seekers’ limited access to employment.</w:t>
      </w:r>
      <w:r w:rsidR="00CC2447" w:rsidRPr="003651B1">
        <w:rPr>
          <w:sz w:val="24"/>
          <w:szCs w:val="24"/>
        </w:rPr>
        <w:t>”</w:t>
      </w:r>
      <w:r w:rsidR="00CC2447">
        <w:rPr>
          <w:sz w:val="24"/>
          <w:szCs w:val="24"/>
        </w:rPr>
        <w:t xml:space="preserve">  To measure this trait, </w:t>
      </w:r>
      <w:r>
        <w:rPr>
          <w:sz w:val="24"/>
          <w:szCs w:val="24"/>
        </w:rPr>
        <w:t xml:space="preserve">the evaluation team </w:t>
      </w:r>
      <w:r w:rsidR="00CC2447">
        <w:rPr>
          <w:sz w:val="24"/>
          <w:szCs w:val="24"/>
        </w:rPr>
        <w:t>propose</w:t>
      </w:r>
      <w:r>
        <w:rPr>
          <w:sz w:val="24"/>
          <w:szCs w:val="24"/>
        </w:rPr>
        <w:t xml:space="preserve">s </w:t>
      </w:r>
      <w:r w:rsidR="00CC2447">
        <w:rPr>
          <w:sz w:val="24"/>
          <w:szCs w:val="24"/>
        </w:rPr>
        <w:t>to use the seven</w:t>
      </w:r>
      <w:r w:rsidR="00CC2447" w:rsidRPr="003651B1">
        <w:rPr>
          <w:sz w:val="24"/>
          <w:szCs w:val="24"/>
        </w:rPr>
        <w:t xml:space="preserve"> items </w:t>
      </w:r>
      <w:r w:rsidR="00CC2447">
        <w:rPr>
          <w:sz w:val="24"/>
          <w:szCs w:val="24"/>
        </w:rPr>
        <w:t>in</w:t>
      </w:r>
      <w:r w:rsidR="00CC2447" w:rsidRPr="003651B1">
        <w:rPr>
          <w:sz w:val="24"/>
          <w:szCs w:val="24"/>
        </w:rPr>
        <w:t xml:space="preserve"> the background survey used for the </w:t>
      </w:r>
      <w:r w:rsidR="00CC2447" w:rsidRPr="00CC2447">
        <w:rPr>
          <w:rStyle w:val="Strong"/>
          <w:b w:val="0"/>
          <w:sz w:val="24"/>
          <w:szCs w:val="24"/>
        </w:rPr>
        <w:t>Program for the International Assessment of Adult Competencies (PIAAC)</w:t>
      </w:r>
      <w:r w:rsidR="00CC2447">
        <w:rPr>
          <w:sz w:val="24"/>
          <w:szCs w:val="24"/>
        </w:rPr>
        <w:t xml:space="preserve"> (NCES 2012). </w:t>
      </w:r>
      <w:r w:rsidR="00CC2447" w:rsidRPr="003651B1">
        <w:rPr>
          <w:b/>
          <w:sz w:val="24"/>
          <w:szCs w:val="24"/>
        </w:rPr>
        <w:t xml:space="preserve"> </w:t>
      </w:r>
    </w:p>
    <w:p w:rsidR="00B00900" w:rsidRDefault="006D5284" w:rsidP="006D5284">
      <w:pPr>
        <w:rPr>
          <w:sz w:val="24"/>
          <w:szCs w:val="24"/>
        </w:rPr>
      </w:pPr>
      <w:r w:rsidRPr="003651B1">
        <w:rPr>
          <w:i/>
          <w:sz w:val="24"/>
          <w:szCs w:val="24"/>
        </w:rPr>
        <w:t>Math anxiety:</w:t>
      </w:r>
      <w:r w:rsidRPr="003651B1">
        <w:rPr>
          <w:sz w:val="24"/>
          <w:szCs w:val="24"/>
        </w:rPr>
        <w:t xml:space="preserve"> </w:t>
      </w:r>
      <w:r w:rsidR="00CC2447">
        <w:rPr>
          <w:sz w:val="24"/>
          <w:szCs w:val="24"/>
        </w:rPr>
        <w:t>(</w:t>
      </w:r>
      <w:r w:rsidR="00115465">
        <w:rPr>
          <w:sz w:val="24"/>
          <w:szCs w:val="24"/>
        </w:rPr>
        <w:t xml:space="preserve">Question </w:t>
      </w:r>
      <w:r w:rsidR="00CC2447">
        <w:rPr>
          <w:sz w:val="24"/>
          <w:szCs w:val="24"/>
        </w:rPr>
        <w:t xml:space="preserve">5)  </w:t>
      </w:r>
    </w:p>
    <w:p w:rsidR="006D5284" w:rsidRPr="003651B1" w:rsidRDefault="006D5284" w:rsidP="006D5284">
      <w:pPr>
        <w:rPr>
          <w:sz w:val="24"/>
          <w:szCs w:val="24"/>
        </w:rPr>
      </w:pPr>
      <w:r w:rsidRPr="003651B1">
        <w:rPr>
          <w:sz w:val="24"/>
          <w:szCs w:val="24"/>
        </w:rPr>
        <w:t>Woodward (2004) review</w:t>
      </w:r>
      <w:r w:rsidR="00D23FB2">
        <w:rPr>
          <w:sz w:val="24"/>
          <w:szCs w:val="24"/>
        </w:rPr>
        <w:t>s</w:t>
      </w:r>
      <w:r w:rsidRPr="003651B1">
        <w:rPr>
          <w:sz w:val="24"/>
          <w:szCs w:val="24"/>
        </w:rPr>
        <w:t xml:space="preserve"> the importance of math anxiety in the success of post-secondary developmental students.  To the extent that programs funded by TAACCCT grants train older and other nontraditional students, we think that a good measurement of this trait could also be a powerful addition to regression models for treatment effects.  </w:t>
      </w:r>
    </w:p>
    <w:p w:rsidR="006D5284" w:rsidRDefault="006D5284" w:rsidP="006D5284">
      <w:pPr>
        <w:rPr>
          <w:sz w:val="24"/>
          <w:szCs w:val="24"/>
        </w:rPr>
      </w:pPr>
      <w:r w:rsidRPr="003651B1">
        <w:rPr>
          <w:sz w:val="24"/>
          <w:szCs w:val="24"/>
        </w:rPr>
        <w:t xml:space="preserve">The original scale for measuring this trait has 98 items </w:t>
      </w:r>
      <w:r>
        <w:rPr>
          <w:sz w:val="24"/>
          <w:szCs w:val="24"/>
        </w:rPr>
        <w:t xml:space="preserve">(Richardson and </w:t>
      </w:r>
      <w:proofErr w:type="spellStart"/>
      <w:r>
        <w:rPr>
          <w:sz w:val="24"/>
          <w:szCs w:val="24"/>
        </w:rPr>
        <w:t>Suinn</w:t>
      </w:r>
      <w:proofErr w:type="spellEnd"/>
      <w:r>
        <w:rPr>
          <w:sz w:val="24"/>
          <w:szCs w:val="24"/>
        </w:rPr>
        <w:t>, 1972</w:t>
      </w:r>
      <w:r w:rsidR="00D23FB2">
        <w:rPr>
          <w:sz w:val="24"/>
          <w:szCs w:val="24"/>
        </w:rPr>
        <w:t>), which is long for a baseline data collection tool.</w:t>
      </w:r>
      <w:r w:rsidRPr="003651B1">
        <w:rPr>
          <w:sz w:val="24"/>
          <w:szCs w:val="24"/>
        </w:rPr>
        <w:t xml:space="preserve">  Alternatives include the 9-item Abbreviated Math Anxiety Scale (AMAS) (Hopko, et al., 2003).  </w:t>
      </w:r>
      <w:r w:rsidR="00D23FB2">
        <w:rPr>
          <w:sz w:val="24"/>
          <w:szCs w:val="24"/>
        </w:rPr>
        <w:t xml:space="preserve">Although the </w:t>
      </w:r>
      <w:r w:rsidRPr="003651B1">
        <w:rPr>
          <w:sz w:val="24"/>
          <w:szCs w:val="24"/>
        </w:rPr>
        <w:t xml:space="preserve">AMAS was developed on a younger sample (undergraduates with a mean age of 19.6 years) than </w:t>
      </w:r>
      <w:r w:rsidR="00D23FB2">
        <w:rPr>
          <w:sz w:val="24"/>
          <w:szCs w:val="24"/>
        </w:rPr>
        <w:t xml:space="preserve">may be enrolling in TAACCCT services, </w:t>
      </w:r>
      <w:r w:rsidRPr="003651B1">
        <w:rPr>
          <w:sz w:val="24"/>
          <w:szCs w:val="24"/>
        </w:rPr>
        <w:t>Jameson and Fusco</w:t>
      </w:r>
      <w:r>
        <w:rPr>
          <w:sz w:val="24"/>
          <w:szCs w:val="24"/>
        </w:rPr>
        <w:t xml:space="preserve"> (</w:t>
      </w:r>
      <w:r w:rsidRPr="003651B1">
        <w:rPr>
          <w:sz w:val="24"/>
          <w:szCs w:val="24"/>
        </w:rPr>
        <w:t>2014</w:t>
      </w:r>
      <w:r>
        <w:rPr>
          <w:sz w:val="24"/>
          <w:szCs w:val="24"/>
        </w:rPr>
        <w:t>)</w:t>
      </w:r>
      <w:r w:rsidRPr="003651B1">
        <w:rPr>
          <w:sz w:val="24"/>
          <w:szCs w:val="24"/>
        </w:rPr>
        <w:t xml:space="preserve"> report using the AMAS on adult learners without problem.  In fact, they found no difference in math anxiety between adult learners and tradit</w:t>
      </w:r>
      <w:r w:rsidR="00FE44FC">
        <w:rPr>
          <w:sz w:val="24"/>
          <w:szCs w:val="24"/>
        </w:rPr>
        <w:t>i</w:t>
      </w:r>
      <w:r w:rsidRPr="003651B1">
        <w:rPr>
          <w:sz w:val="24"/>
          <w:szCs w:val="24"/>
        </w:rPr>
        <w:t xml:space="preserve">onal undergraduates.  Accordingly, </w:t>
      </w:r>
      <w:r w:rsidR="00D23FB2">
        <w:rPr>
          <w:sz w:val="24"/>
          <w:szCs w:val="24"/>
        </w:rPr>
        <w:t>the evaluation team added this scale to the SAQ</w:t>
      </w:r>
      <w:r w:rsidRPr="003651B1">
        <w:rPr>
          <w:sz w:val="24"/>
          <w:szCs w:val="24"/>
        </w:rPr>
        <w:t xml:space="preserve">.  </w:t>
      </w:r>
    </w:p>
    <w:p w:rsidR="004C4F2C" w:rsidRDefault="004C4F2C">
      <w:pPr>
        <w:spacing w:after="0" w:line="240" w:lineRule="auto"/>
        <w:rPr>
          <w:sz w:val="24"/>
          <w:szCs w:val="24"/>
        </w:rPr>
      </w:pPr>
      <w:r>
        <w:rPr>
          <w:sz w:val="24"/>
          <w:szCs w:val="24"/>
        </w:rPr>
        <w:br w:type="page"/>
      </w:r>
    </w:p>
    <w:p w:rsidR="004C4F2C" w:rsidRDefault="004C4F2C" w:rsidP="004C4F2C">
      <w:pPr>
        <w:pStyle w:val="Heading1"/>
        <w:numPr>
          <w:ilvl w:val="0"/>
          <w:numId w:val="0"/>
        </w:numPr>
      </w:pPr>
      <w:bookmarkStart w:id="1" w:name="_Toc322083620"/>
      <w:r>
        <w:t>Reference</w:t>
      </w:r>
      <w:bookmarkEnd w:id="1"/>
      <w:r>
        <w:t>s</w:t>
      </w:r>
    </w:p>
    <w:p w:rsidR="004C4F2C" w:rsidRPr="0033439F" w:rsidRDefault="004C4F2C" w:rsidP="004C4F2C">
      <w:pPr>
        <w:ind w:left="450" w:hanging="450"/>
        <w:rPr>
          <w:szCs w:val="22"/>
        </w:rPr>
      </w:pPr>
      <w:r w:rsidRPr="0033439F">
        <w:rPr>
          <w:szCs w:val="22"/>
        </w:rPr>
        <w:t xml:space="preserve">Alexander, L. and </w:t>
      </w:r>
      <w:proofErr w:type="spellStart"/>
      <w:r w:rsidRPr="0033439F">
        <w:rPr>
          <w:szCs w:val="22"/>
        </w:rPr>
        <w:t>Martray</w:t>
      </w:r>
      <w:proofErr w:type="spellEnd"/>
      <w:r w:rsidRPr="0033439F">
        <w:rPr>
          <w:szCs w:val="22"/>
        </w:rPr>
        <w:t xml:space="preserve">, C. (1989). The development of an abbreviated version of the mathematics anxiety rating scale. </w:t>
      </w:r>
      <w:r w:rsidRPr="0033439F">
        <w:rPr>
          <w:i/>
          <w:iCs/>
          <w:szCs w:val="22"/>
        </w:rPr>
        <w:t>Measurement and Evaluation in Counseling and Development</w:t>
      </w:r>
      <w:r w:rsidRPr="0033439F">
        <w:rPr>
          <w:szCs w:val="22"/>
        </w:rPr>
        <w:t xml:space="preserve">, </w:t>
      </w:r>
      <w:r w:rsidRPr="0033439F">
        <w:rPr>
          <w:b/>
          <w:bCs/>
          <w:szCs w:val="22"/>
        </w:rPr>
        <w:t>22</w:t>
      </w:r>
      <w:r w:rsidRPr="0033439F">
        <w:rPr>
          <w:szCs w:val="22"/>
        </w:rPr>
        <w:t xml:space="preserve">, 143-150. </w:t>
      </w:r>
    </w:p>
    <w:p w:rsidR="004C4F2C" w:rsidRPr="0033439F" w:rsidRDefault="004C4F2C" w:rsidP="004C4F2C">
      <w:pPr>
        <w:ind w:left="450" w:hanging="450"/>
        <w:rPr>
          <w:szCs w:val="22"/>
        </w:rPr>
      </w:pPr>
      <w:r w:rsidRPr="0033439F">
        <w:rPr>
          <w:szCs w:val="22"/>
          <w:lang w:val="de-DE"/>
        </w:rPr>
        <w:t xml:space="preserve">Cohen, S., Kamarck, T., and Mermelstein, R. (1983). </w:t>
      </w:r>
      <w:r w:rsidRPr="0033439F">
        <w:rPr>
          <w:szCs w:val="22"/>
        </w:rPr>
        <w:t xml:space="preserve">A global measure of perceived stress. </w:t>
      </w:r>
      <w:r w:rsidRPr="0033439F">
        <w:rPr>
          <w:i/>
          <w:iCs/>
          <w:szCs w:val="22"/>
        </w:rPr>
        <w:t>Journal of Health and Social Behavior</w:t>
      </w:r>
      <w:r w:rsidRPr="0033439F">
        <w:rPr>
          <w:szCs w:val="22"/>
        </w:rPr>
        <w:t xml:space="preserve">, </w:t>
      </w:r>
      <w:r w:rsidRPr="0033439F">
        <w:rPr>
          <w:b/>
          <w:bCs/>
          <w:szCs w:val="22"/>
        </w:rPr>
        <w:t>24</w:t>
      </w:r>
      <w:r w:rsidRPr="0033439F">
        <w:rPr>
          <w:szCs w:val="22"/>
        </w:rPr>
        <w:t>(4), 385-396.</w:t>
      </w:r>
    </w:p>
    <w:p w:rsidR="004C4F2C" w:rsidRPr="0033439F" w:rsidRDefault="004C4F2C" w:rsidP="004C4F2C">
      <w:pPr>
        <w:ind w:left="450" w:hanging="450"/>
        <w:rPr>
          <w:szCs w:val="22"/>
        </w:rPr>
      </w:pPr>
      <w:r w:rsidRPr="0033439F">
        <w:rPr>
          <w:szCs w:val="22"/>
        </w:rPr>
        <w:t xml:space="preserve">Duckworth, A.L., Peterson, C., Matthews, M.D., and Kelly, D.R. (2007).  Grit: Perseverance and passion for long-term goals.  </w:t>
      </w:r>
      <w:r w:rsidRPr="0033439F">
        <w:rPr>
          <w:i/>
          <w:iCs/>
          <w:szCs w:val="22"/>
        </w:rPr>
        <w:t>Journal of Personality and Social Psychology</w:t>
      </w:r>
      <w:r w:rsidRPr="0033439F">
        <w:rPr>
          <w:szCs w:val="22"/>
        </w:rPr>
        <w:t xml:space="preserve">, </w:t>
      </w:r>
      <w:r w:rsidRPr="0033439F">
        <w:rPr>
          <w:b/>
          <w:bCs/>
          <w:szCs w:val="22"/>
        </w:rPr>
        <w:t>92</w:t>
      </w:r>
      <w:r w:rsidRPr="0033439F">
        <w:rPr>
          <w:szCs w:val="22"/>
        </w:rPr>
        <w:t xml:space="preserve">(6), 1087-1101. </w:t>
      </w:r>
    </w:p>
    <w:p w:rsidR="004C4F2C" w:rsidRPr="0033439F" w:rsidRDefault="004C4F2C" w:rsidP="004C4F2C">
      <w:pPr>
        <w:ind w:left="450" w:hanging="450"/>
        <w:rPr>
          <w:szCs w:val="22"/>
        </w:rPr>
      </w:pPr>
      <w:proofErr w:type="spellStart"/>
      <w:r w:rsidRPr="0033439F">
        <w:rPr>
          <w:szCs w:val="22"/>
        </w:rPr>
        <w:t>Heidkamp</w:t>
      </w:r>
      <w:proofErr w:type="spellEnd"/>
      <w:r w:rsidRPr="0033439F">
        <w:rPr>
          <w:szCs w:val="22"/>
        </w:rPr>
        <w:t xml:space="preserve">, M., </w:t>
      </w:r>
      <w:proofErr w:type="spellStart"/>
      <w:r w:rsidRPr="0033439F">
        <w:rPr>
          <w:szCs w:val="22"/>
        </w:rPr>
        <w:t>Mabe</w:t>
      </w:r>
      <w:proofErr w:type="spellEnd"/>
      <w:r w:rsidRPr="0033439F">
        <w:rPr>
          <w:szCs w:val="22"/>
        </w:rPr>
        <w:t xml:space="preserve">, W., and </w:t>
      </w:r>
      <w:proofErr w:type="spellStart"/>
      <w:r w:rsidRPr="0033439F">
        <w:rPr>
          <w:szCs w:val="22"/>
        </w:rPr>
        <w:t>DeGraaf</w:t>
      </w:r>
      <w:proofErr w:type="spellEnd"/>
      <w:r w:rsidRPr="0033439F">
        <w:rPr>
          <w:szCs w:val="22"/>
        </w:rPr>
        <w:t xml:space="preserve">, B. (2012). </w:t>
      </w:r>
      <w:r w:rsidRPr="0033439F">
        <w:rPr>
          <w:i/>
          <w:szCs w:val="22"/>
        </w:rPr>
        <w:t>The Public Workforce System: Serving Older Job Seekers and the Disability Implications of an Aging Workforce</w:t>
      </w:r>
      <w:r w:rsidRPr="0033439F">
        <w:rPr>
          <w:szCs w:val="22"/>
        </w:rPr>
        <w:t>. The NTAR Leadership Center: Rutgers, NJ. http://www.dol.gov/odep/pdf/NTAR_Public_Workforce_System_Report_Final.pdf</w:t>
      </w:r>
    </w:p>
    <w:p w:rsidR="004C4F2C" w:rsidRPr="0033439F" w:rsidRDefault="004C4F2C" w:rsidP="004C4F2C">
      <w:pPr>
        <w:ind w:left="450" w:hanging="450"/>
        <w:rPr>
          <w:szCs w:val="22"/>
        </w:rPr>
      </w:pPr>
      <w:proofErr w:type="spellStart"/>
      <w:r w:rsidRPr="0033439F">
        <w:rPr>
          <w:szCs w:val="22"/>
        </w:rPr>
        <w:t>Hopko</w:t>
      </w:r>
      <w:proofErr w:type="spellEnd"/>
      <w:r w:rsidRPr="0033439F">
        <w:rPr>
          <w:szCs w:val="22"/>
        </w:rPr>
        <w:t xml:space="preserve">, D.R., </w:t>
      </w:r>
      <w:proofErr w:type="spellStart"/>
      <w:r w:rsidRPr="0033439F">
        <w:rPr>
          <w:szCs w:val="22"/>
        </w:rPr>
        <w:t>Mahadevan</w:t>
      </w:r>
      <w:proofErr w:type="spellEnd"/>
      <w:r w:rsidRPr="0033439F">
        <w:rPr>
          <w:szCs w:val="22"/>
        </w:rPr>
        <w:t xml:space="preserve">, R., Bare, R.L., and Hunt, M.K. (2003). The Abbreviated Math Anxiety Scale (AMAS): Construction, validity, and reliability. </w:t>
      </w:r>
      <w:r w:rsidRPr="0033439F">
        <w:rPr>
          <w:i/>
          <w:szCs w:val="22"/>
        </w:rPr>
        <w:t>Assessment,</w:t>
      </w:r>
      <w:r w:rsidRPr="0033439F">
        <w:rPr>
          <w:szCs w:val="22"/>
        </w:rPr>
        <w:t xml:space="preserve"> </w:t>
      </w:r>
      <w:r w:rsidRPr="0033439F">
        <w:rPr>
          <w:b/>
          <w:szCs w:val="22"/>
        </w:rPr>
        <w:t>10</w:t>
      </w:r>
      <w:r w:rsidRPr="0033439F">
        <w:rPr>
          <w:szCs w:val="22"/>
        </w:rPr>
        <w:t xml:space="preserve">(2), 178-182.  </w:t>
      </w:r>
    </w:p>
    <w:p w:rsidR="004C4F2C" w:rsidRPr="0033439F" w:rsidRDefault="004C4F2C" w:rsidP="004C4F2C">
      <w:pPr>
        <w:ind w:left="450" w:hanging="450"/>
        <w:rPr>
          <w:szCs w:val="22"/>
        </w:rPr>
      </w:pPr>
      <w:r w:rsidRPr="0033439F">
        <w:rPr>
          <w:szCs w:val="22"/>
        </w:rPr>
        <w:t xml:space="preserve">Jameson, M.M. and Fusco, B.R. (2014). Math anxiety, math self-concept, and math self-efficacy in adult learners compared to traditional undergraduate students. </w:t>
      </w:r>
      <w:r w:rsidRPr="0033439F">
        <w:rPr>
          <w:i/>
          <w:szCs w:val="22"/>
        </w:rPr>
        <w:t>Adult Education Quarterly</w:t>
      </w:r>
      <w:r w:rsidRPr="0033439F">
        <w:rPr>
          <w:szCs w:val="22"/>
        </w:rPr>
        <w:t xml:space="preserve">, </w:t>
      </w:r>
      <w:r w:rsidRPr="0033439F">
        <w:rPr>
          <w:b/>
          <w:szCs w:val="22"/>
        </w:rPr>
        <w:t>64</w:t>
      </w:r>
      <w:r w:rsidRPr="0033439F">
        <w:rPr>
          <w:szCs w:val="22"/>
        </w:rPr>
        <w:t xml:space="preserve">(4), 306-322. </w:t>
      </w:r>
    </w:p>
    <w:p w:rsidR="004C4F2C" w:rsidRPr="0033439F" w:rsidRDefault="004C4F2C" w:rsidP="004C4F2C">
      <w:pPr>
        <w:ind w:left="450" w:hanging="450"/>
        <w:rPr>
          <w:szCs w:val="22"/>
        </w:rPr>
      </w:pPr>
      <w:r w:rsidRPr="0033439F">
        <w:rPr>
          <w:szCs w:val="22"/>
        </w:rPr>
        <w:t xml:space="preserve">Judge, T.A. (2009). Core self-evaluations and work success. </w:t>
      </w:r>
      <w:r w:rsidRPr="0033439F">
        <w:rPr>
          <w:i/>
          <w:iCs/>
          <w:szCs w:val="22"/>
        </w:rPr>
        <w:t>Current Directions in Psychological Science</w:t>
      </w:r>
      <w:r w:rsidRPr="0033439F">
        <w:rPr>
          <w:szCs w:val="22"/>
        </w:rPr>
        <w:t xml:space="preserve">, </w:t>
      </w:r>
      <w:r w:rsidRPr="0033439F">
        <w:rPr>
          <w:b/>
          <w:bCs/>
          <w:szCs w:val="22"/>
        </w:rPr>
        <w:t>18</w:t>
      </w:r>
      <w:r w:rsidRPr="0033439F">
        <w:rPr>
          <w:szCs w:val="22"/>
        </w:rPr>
        <w:t xml:space="preserve">(1), 58-62. </w:t>
      </w:r>
    </w:p>
    <w:p w:rsidR="004C4F2C" w:rsidRPr="0033439F" w:rsidRDefault="004C4F2C" w:rsidP="004C4F2C">
      <w:pPr>
        <w:ind w:left="450" w:hanging="450"/>
        <w:rPr>
          <w:szCs w:val="22"/>
          <w:lang w:val="de-DE"/>
        </w:rPr>
      </w:pPr>
      <w:r w:rsidRPr="0033439F">
        <w:rPr>
          <w:color w:val="221E1F"/>
          <w:szCs w:val="22"/>
        </w:rPr>
        <w:t xml:space="preserve">Levine, L. (2010). </w:t>
      </w:r>
      <w:r w:rsidRPr="0033439F">
        <w:rPr>
          <w:i/>
          <w:iCs/>
          <w:color w:val="221E1F"/>
          <w:szCs w:val="22"/>
        </w:rPr>
        <w:t>Older displaced workers in the context of an aging and slowly growing population</w:t>
      </w:r>
      <w:r w:rsidRPr="0033439F">
        <w:rPr>
          <w:color w:val="221E1F"/>
          <w:szCs w:val="22"/>
        </w:rPr>
        <w:t xml:space="preserve">. Washington, D.C.: Congressional Research Service. Retrieved from: </w:t>
      </w:r>
      <w:r w:rsidRPr="0033439F">
        <w:rPr>
          <w:i/>
          <w:iCs/>
          <w:color w:val="1B3864"/>
          <w:szCs w:val="22"/>
        </w:rPr>
        <w:t>http://aging.senate.gov/crs/aging22.pdf</w:t>
      </w:r>
      <w:r w:rsidRPr="0033439F">
        <w:rPr>
          <w:color w:val="221E1F"/>
          <w:szCs w:val="22"/>
        </w:rPr>
        <w:t>.</w:t>
      </w:r>
    </w:p>
    <w:p w:rsidR="004C4F2C" w:rsidRPr="0033439F" w:rsidRDefault="004C4F2C" w:rsidP="004C4F2C">
      <w:pPr>
        <w:ind w:left="450" w:hanging="450"/>
        <w:rPr>
          <w:szCs w:val="22"/>
        </w:rPr>
      </w:pPr>
      <w:proofErr w:type="spellStart"/>
      <w:r w:rsidRPr="0033439F">
        <w:rPr>
          <w:szCs w:val="22"/>
        </w:rPr>
        <w:t>Plake</w:t>
      </w:r>
      <w:proofErr w:type="spellEnd"/>
      <w:r w:rsidRPr="0033439F">
        <w:rPr>
          <w:szCs w:val="22"/>
        </w:rPr>
        <w:t xml:space="preserve">, B.S. and Parker, C.S. (1982). The development and validation of a revised version of the Mathematics Anxiety Rating Scale. </w:t>
      </w:r>
      <w:r w:rsidRPr="0033439F">
        <w:rPr>
          <w:i/>
          <w:szCs w:val="22"/>
        </w:rPr>
        <w:t>Educational and Psychological Measurement</w:t>
      </w:r>
      <w:r w:rsidRPr="0033439F">
        <w:rPr>
          <w:szCs w:val="22"/>
        </w:rPr>
        <w:t xml:space="preserve">, </w:t>
      </w:r>
      <w:r w:rsidRPr="0033439F">
        <w:rPr>
          <w:b/>
          <w:szCs w:val="22"/>
        </w:rPr>
        <w:t>42</w:t>
      </w:r>
      <w:r w:rsidRPr="0033439F">
        <w:rPr>
          <w:szCs w:val="22"/>
        </w:rPr>
        <w:t>, 551-557.</w:t>
      </w:r>
    </w:p>
    <w:p w:rsidR="004C4F2C" w:rsidRPr="0033439F" w:rsidRDefault="004C4F2C" w:rsidP="004C4F2C">
      <w:pPr>
        <w:ind w:left="450" w:hanging="450"/>
        <w:rPr>
          <w:szCs w:val="22"/>
        </w:rPr>
      </w:pPr>
      <w:r w:rsidRPr="0033439F">
        <w:rPr>
          <w:szCs w:val="22"/>
        </w:rPr>
        <w:t xml:space="preserve">Richardson, F.C. and </w:t>
      </w:r>
      <w:proofErr w:type="spellStart"/>
      <w:r w:rsidRPr="0033439F">
        <w:rPr>
          <w:szCs w:val="22"/>
        </w:rPr>
        <w:t>Suinn</w:t>
      </w:r>
      <w:proofErr w:type="spellEnd"/>
      <w:r w:rsidRPr="0033439F">
        <w:rPr>
          <w:szCs w:val="22"/>
        </w:rPr>
        <w:t xml:space="preserve">, R.M. (1972).  The Mathematics Anxiety Rating Scale. </w:t>
      </w:r>
      <w:r w:rsidRPr="0033439F">
        <w:rPr>
          <w:i/>
          <w:szCs w:val="22"/>
        </w:rPr>
        <w:t>Journal of Counseling Psychology</w:t>
      </w:r>
      <w:r w:rsidRPr="0033439F">
        <w:rPr>
          <w:szCs w:val="22"/>
        </w:rPr>
        <w:t xml:space="preserve">, </w:t>
      </w:r>
      <w:r w:rsidRPr="0033439F">
        <w:rPr>
          <w:b/>
          <w:szCs w:val="22"/>
        </w:rPr>
        <w:t>19</w:t>
      </w:r>
      <w:r w:rsidRPr="0033439F">
        <w:rPr>
          <w:szCs w:val="22"/>
        </w:rPr>
        <w:t>, 551-554.</w:t>
      </w:r>
    </w:p>
    <w:p w:rsidR="004C4F2C" w:rsidRPr="0033439F" w:rsidRDefault="004C4F2C" w:rsidP="004C4F2C">
      <w:pPr>
        <w:ind w:left="450" w:hanging="450"/>
        <w:rPr>
          <w:szCs w:val="22"/>
        </w:rPr>
      </w:pPr>
      <w:r w:rsidRPr="0033439F">
        <w:rPr>
          <w:szCs w:val="22"/>
        </w:rPr>
        <w:t xml:space="preserve">Woodward, T. (2004). The effects of math anxiety on post-secondary developmental students as related to achievement, gender, and age.  </w:t>
      </w:r>
      <w:r w:rsidRPr="0033439F">
        <w:rPr>
          <w:i/>
          <w:szCs w:val="22"/>
        </w:rPr>
        <w:t>Inquiry</w:t>
      </w:r>
      <w:r w:rsidRPr="0033439F">
        <w:rPr>
          <w:szCs w:val="22"/>
        </w:rPr>
        <w:t xml:space="preserve">, </w:t>
      </w:r>
      <w:r w:rsidRPr="0033439F">
        <w:rPr>
          <w:b/>
          <w:szCs w:val="22"/>
        </w:rPr>
        <w:t>9</w:t>
      </w:r>
      <w:r w:rsidRPr="0033439F">
        <w:rPr>
          <w:szCs w:val="22"/>
        </w:rPr>
        <w:t xml:space="preserve">(1).  </w:t>
      </w:r>
      <w:hyperlink r:id="rId9" w:history="1">
        <w:r w:rsidRPr="0033439F">
          <w:rPr>
            <w:rStyle w:val="Hyperlink"/>
            <w:szCs w:val="22"/>
          </w:rPr>
          <w:t>http://www.vccaedu.org/inquiry/inquiry-spring2004/i-91-woodard.html</w:t>
        </w:r>
      </w:hyperlink>
    </w:p>
    <w:p w:rsidR="004C4F2C" w:rsidRPr="003651B1" w:rsidRDefault="004C4F2C" w:rsidP="004C4F2C">
      <w:pPr>
        <w:ind w:left="450" w:hanging="450"/>
        <w:rPr>
          <w:sz w:val="24"/>
          <w:szCs w:val="24"/>
        </w:rPr>
      </w:pPr>
    </w:p>
    <w:sectPr w:rsidR="004C4F2C" w:rsidRPr="003651B1" w:rsidSect="00E27A47">
      <w:footerReference w:type="default" r:id="rId10"/>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4B" w:rsidRDefault="0076084B" w:rsidP="00D979EA">
      <w:r>
        <w:separator/>
      </w:r>
    </w:p>
  </w:endnote>
  <w:endnote w:type="continuationSeparator" w:id="0">
    <w:p w:rsidR="0076084B" w:rsidRDefault="0076084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4B" w:rsidRPr="0066134E" w:rsidRDefault="0076084B" w:rsidP="003F6E89">
    <w:pPr>
      <w:pStyle w:val="Footer"/>
      <w:tabs>
        <w:tab w:val="clear" w:pos="4507"/>
      </w:tabs>
    </w:pPr>
    <w:r w:rsidRPr="00967D7C">
      <w:rPr>
        <w:color w:val="DA291C"/>
      </w:rPr>
      <w:t>Abt Associates Inc.</w:t>
    </w:r>
    <w:r w:rsidRPr="0066134E">
      <w:rPr>
        <w:rStyle w:val="PageNumber"/>
        <w:b/>
      </w:rPr>
      <w:tab/>
    </w:r>
    <w:r>
      <w:rPr>
        <w:rStyle w:val="PageNumber"/>
        <w:b/>
      </w:rPr>
      <w:t>DRAFT-</w:t>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02A91">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4B" w:rsidRDefault="0076084B" w:rsidP="00D979EA">
      <w:r>
        <w:separator/>
      </w:r>
    </w:p>
  </w:footnote>
  <w:footnote w:type="continuationSeparator" w:id="0">
    <w:p w:rsidR="0076084B" w:rsidRDefault="0076084B"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FB100D"/>
    <w:multiLevelType w:val="hybridMultilevel"/>
    <w:tmpl w:val="EB98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20"/>
  </w:num>
  <w:num w:numId="4">
    <w:abstractNumId w:val="9"/>
  </w:num>
  <w:num w:numId="5">
    <w:abstractNumId w:val="21"/>
  </w:num>
  <w:num w:numId="6">
    <w:abstractNumId w:val="15"/>
  </w:num>
  <w:num w:numId="7">
    <w:abstractNumId w:val="7"/>
  </w:num>
  <w:num w:numId="8">
    <w:abstractNumId w:val="2"/>
  </w:num>
  <w:num w:numId="9">
    <w:abstractNumId w:val="12"/>
  </w:num>
  <w:num w:numId="10">
    <w:abstractNumId w:val="17"/>
  </w:num>
  <w:num w:numId="11">
    <w:abstractNumId w:val="4"/>
    <w:lvlOverride w:ilvl="0">
      <w:startOverride w:val="1"/>
    </w:lvlOverride>
  </w:num>
  <w:num w:numId="12">
    <w:abstractNumId w:val="4"/>
    <w:lvlOverride w:ilvl="0">
      <w:startOverride w:val="1"/>
    </w:lvlOverride>
  </w:num>
  <w:num w:numId="13">
    <w:abstractNumId w:val="14"/>
  </w:num>
  <w:num w:numId="14">
    <w:abstractNumId w:val="9"/>
  </w:num>
  <w:num w:numId="15">
    <w:abstractNumId w:val="3"/>
  </w:num>
  <w:num w:numId="16">
    <w:abstractNumId w:val="13"/>
  </w:num>
  <w:num w:numId="17">
    <w:abstractNumId w:val="0"/>
  </w:num>
  <w:num w:numId="18">
    <w:abstractNumId w:val="11"/>
  </w:num>
  <w:num w:numId="19">
    <w:abstractNumId w:val="10"/>
  </w:num>
  <w:num w:numId="20">
    <w:abstractNumId w:val="5"/>
  </w:num>
  <w:num w:numId="21">
    <w:abstractNumId w:val="1"/>
  </w:num>
  <w:num w:numId="22">
    <w:abstractNumId w:val="8"/>
  </w:num>
  <w:num w:numId="23">
    <w:abstractNumId w:val="6"/>
  </w:num>
  <w:num w:numId="24">
    <w:abstractNumId w:val="19"/>
  </w:num>
  <w:num w:numId="2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963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6B3A"/>
    <w:rsid w:val="00010F7B"/>
    <w:rsid w:val="000136F3"/>
    <w:rsid w:val="00016E17"/>
    <w:rsid w:val="0002185C"/>
    <w:rsid w:val="0002216E"/>
    <w:rsid w:val="00036ECE"/>
    <w:rsid w:val="00040E00"/>
    <w:rsid w:val="00046728"/>
    <w:rsid w:val="000525E0"/>
    <w:rsid w:val="00053EEF"/>
    <w:rsid w:val="000543DC"/>
    <w:rsid w:val="00055022"/>
    <w:rsid w:val="0005750B"/>
    <w:rsid w:val="0006045E"/>
    <w:rsid w:val="000623C6"/>
    <w:rsid w:val="0006587B"/>
    <w:rsid w:val="00070322"/>
    <w:rsid w:val="000713DF"/>
    <w:rsid w:val="00076649"/>
    <w:rsid w:val="0007783C"/>
    <w:rsid w:val="0008244A"/>
    <w:rsid w:val="00082D01"/>
    <w:rsid w:val="0008447D"/>
    <w:rsid w:val="00087856"/>
    <w:rsid w:val="000902AA"/>
    <w:rsid w:val="000950AD"/>
    <w:rsid w:val="00095D40"/>
    <w:rsid w:val="000A00A2"/>
    <w:rsid w:val="000A1C6D"/>
    <w:rsid w:val="000A61EF"/>
    <w:rsid w:val="000A7D69"/>
    <w:rsid w:val="000B33D1"/>
    <w:rsid w:val="000C0A39"/>
    <w:rsid w:val="000C3040"/>
    <w:rsid w:val="000C484C"/>
    <w:rsid w:val="000D0179"/>
    <w:rsid w:val="000D53F1"/>
    <w:rsid w:val="000D5777"/>
    <w:rsid w:val="000E322C"/>
    <w:rsid w:val="000E3EF1"/>
    <w:rsid w:val="000E6B75"/>
    <w:rsid w:val="000F47B7"/>
    <w:rsid w:val="000F53F4"/>
    <w:rsid w:val="001034D7"/>
    <w:rsid w:val="00104F2A"/>
    <w:rsid w:val="00107A04"/>
    <w:rsid w:val="0011170B"/>
    <w:rsid w:val="00111CB5"/>
    <w:rsid w:val="00115465"/>
    <w:rsid w:val="001178CA"/>
    <w:rsid w:val="00127986"/>
    <w:rsid w:val="001307A5"/>
    <w:rsid w:val="00137474"/>
    <w:rsid w:val="001467ED"/>
    <w:rsid w:val="00152153"/>
    <w:rsid w:val="00157E04"/>
    <w:rsid w:val="00160657"/>
    <w:rsid w:val="00160B87"/>
    <w:rsid w:val="001677DC"/>
    <w:rsid w:val="00172119"/>
    <w:rsid w:val="001746D2"/>
    <w:rsid w:val="00177861"/>
    <w:rsid w:val="001845BD"/>
    <w:rsid w:val="001960DE"/>
    <w:rsid w:val="001A04CE"/>
    <w:rsid w:val="001A0E0A"/>
    <w:rsid w:val="001A12C0"/>
    <w:rsid w:val="001A23B5"/>
    <w:rsid w:val="001A403F"/>
    <w:rsid w:val="001A4633"/>
    <w:rsid w:val="001B0C68"/>
    <w:rsid w:val="001B4509"/>
    <w:rsid w:val="001C036E"/>
    <w:rsid w:val="001C0891"/>
    <w:rsid w:val="001C10AF"/>
    <w:rsid w:val="001D3DDD"/>
    <w:rsid w:val="001D4FDD"/>
    <w:rsid w:val="001D69EB"/>
    <w:rsid w:val="001E2CF1"/>
    <w:rsid w:val="001F49BF"/>
    <w:rsid w:val="001F7AEF"/>
    <w:rsid w:val="00200E58"/>
    <w:rsid w:val="002064D3"/>
    <w:rsid w:val="002106BF"/>
    <w:rsid w:val="00216B09"/>
    <w:rsid w:val="002176B8"/>
    <w:rsid w:val="002216AD"/>
    <w:rsid w:val="00221D99"/>
    <w:rsid w:val="00222854"/>
    <w:rsid w:val="00223A9F"/>
    <w:rsid w:val="002251AA"/>
    <w:rsid w:val="0022674D"/>
    <w:rsid w:val="00227977"/>
    <w:rsid w:val="0023449A"/>
    <w:rsid w:val="00235CB8"/>
    <w:rsid w:val="00235F88"/>
    <w:rsid w:val="00241772"/>
    <w:rsid w:val="00251F31"/>
    <w:rsid w:val="0025208E"/>
    <w:rsid w:val="00255975"/>
    <w:rsid w:val="00265CA5"/>
    <w:rsid w:val="002702F7"/>
    <w:rsid w:val="00273EAA"/>
    <w:rsid w:val="00273FC1"/>
    <w:rsid w:val="00275398"/>
    <w:rsid w:val="00276702"/>
    <w:rsid w:val="0028328D"/>
    <w:rsid w:val="002838F5"/>
    <w:rsid w:val="00285BB6"/>
    <w:rsid w:val="0029491C"/>
    <w:rsid w:val="00295A2B"/>
    <w:rsid w:val="00295C47"/>
    <w:rsid w:val="00296F1B"/>
    <w:rsid w:val="002A4078"/>
    <w:rsid w:val="002A5CE0"/>
    <w:rsid w:val="002B2F3C"/>
    <w:rsid w:val="002B445F"/>
    <w:rsid w:val="002C32AB"/>
    <w:rsid w:val="002C41F9"/>
    <w:rsid w:val="002C4495"/>
    <w:rsid w:val="002C5AC8"/>
    <w:rsid w:val="002C6C06"/>
    <w:rsid w:val="002C76AB"/>
    <w:rsid w:val="002D4536"/>
    <w:rsid w:val="002D6268"/>
    <w:rsid w:val="002E310E"/>
    <w:rsid w:val="002E65B6"/>
    <w:rsid w:val="002F2C61"/>
    <w:rsid w:val="002F38F6"/>
    <w:rsid w:val="002F48C8"/>
    <w:rsid w:val="002F55CE"/>
    <w:rsid w:val="002F6E62"/>
    <w:rsid w:val="002F76F5"/>
    <w:rsid w:val="00302A2C"/>
    <w:rsid w:val="00310C8D"/>
    <w:rsid w:val="00314A8A"/>
    <w:rsid w:val="00324EC2"/>
    <w:rsid w:val="003279F2"/>
    <w:rsid w:val="00331A40"/>
    <w:rsid w:val="0033439F"/>
    <w:rsid w:val="00342BA9"/>
    <w:rsid w:val="003432B2"/>
    <w:rsid w:val="003455BC"/>
    <w:rsid w:val="00346F17"/>
    <w:rsid w:val="00354503"/>
    <w:rsid w:val="003623F0"/>
    <w:rsid w:val="003676F5"/>
    <w:rsid w:val="00370164"/>
    <w:rsid w:val="003711CD"/>
    <w:rsid w:val="00380DB1"/>
    <w:rsid w:val="00381CB8"/>
    <w:rsid w:val="00383BFC"/>
    <w:rsid w:val="00384611"/>
    <w:rsid w:val="00384CA0"/>
    <w:rsid w:val="00386F09"/>
    <w:rsid w:val="003870BA"/>
    <w:rsid w:val="00395A89"/>
    <w:rsid w:val="003A0028"/>
    <w:rsid w:val="003A17F4"/>
    <w:rsid w:val="003A2FA8"/>
    <w:rsid w:val="003A3403"/>
    <w:rsid w:val="003B4770"/>
    <w:rsid w:val="003B7D8F"/>
    <w:rsid w:val="003C20BF"/>
    <w:rsid w:val="003C3A85"/>
    <w:rsid w:val="003C3DC4"/>
    <w:rsid w:val="003C712F"/>
    <w:rsid w:val="003D5616"/>
    <w:rsid w:val="003E42C4"/>
    <w:rsid w:val="003E666B"/>
    <w:rsid w:val="003F3E19"/>
    <w:rsid w:val="003F6E89"/>
    <w:rsid w:val="00403F96"/>
    <w:rsid w:val="00410235"/>
    <w:rsid w:val="004179F2"/>
    <w:rsid w:val="00423092"/>
    <w:rsid w:val="004253E8"/>
    <w:rsid w:val="00426B73"/>
    <w:rsid w:val="00427EA9"/>
    <w:rsid w:val="00431693"/>
    <w:rsid w:val="004319BC"/>
    <w:rsid w:val="004350B0"/>
    <w:rsid w:val="00436CE5"/>
    <w:rsid w:val="0045437A"/>
    <w:rsid w:val="00460BCC"/>
    <w:rsid w:val="00470AB4"/>
    <w:rsid w:val="00470D4B"/>
    <w:rsid w:val="00472E16"/>
    <w:rsid w:val="004734DF"/>
    <w:rsid w:val="004736EB"/>
    <w:rsid w:val="0047466C"/>
    <w:rsid w:val="00486943"/>
    <w:rsid w:val="00495B91"/>
    <w:rsid w:val="004A5408"/>
    <w:rsid w:val="004B4362"/>
    <w:rsid w:val="004B630F"/>
    <w:rsid w:val="004C18DF"/>
    <w:rsid w:val="004C29E5"/>
    <w:rsid w:val="004C2B46"/>
    <w:rsid w:val="004C4F2C"/>
    <w:rsid w:val="004C5E23"/>
    <w:rsid w:val="004D4C6D"/>
    <w:rsid w:val="004E0069"/>
    <w:rsid w:val="004E01A4"/>
    <w:rsid w:val="004E5457"/>
    <w:rsid w:val="004F2550"/>
    <w:rsid w:val="004F6742"/>
    <w:rsid w:val="004F709B"/>
    <w:rsid w:val="00503049"/>
    <w:rsid w:val="00522A16"/>
    <w:rsid w:val="00530B3E"/>
    <w:rsid w:val="00534B03"/>
    <w:rsid w:val="00534C33"/>
    <w:rsid w:val="00536DB4"/>
    <w:rsid w:val="0054025D"/>
    <w:rsid w:val="0055123E"/>
    <w:rsid w:val="00555E0E"/>
    <w:rsid w:val="00563383"/>
    <w:rsid w:val="00573FA9"/>
    <w:rsid w:val="00574240"/>
    <w:rsid w:val="00574572"/>
    <w:rsid w:val="00581C65"/>
    <w:rsid w:val="00581E37"/>
    <w:rsid w:val="00585CA4"/>
    <w:rsid w:val="00593AFC"/>
    <w:rsid w:val="00597948"/>
    <w:rsid w:val="005A2ABC"/>
    <w:rsid w:val="005B1AC5"/>
    <w:rsid w:val="005B6A25"/>
    <w:rsid w:val="005B6ACF"/>
    <w:rsid w:val="005C4647"/>
    <w:rsid w:val="005C5535"/>
    <w:rsid w:val="005D0FF2"/>
    <w:rsid w:val="005E0CF2"/>
    <w:rsid w:val="005E2AEA"/>
    <w:rsid w:val="005E6334"/>
    <w:rsid w:val="005E6B70"/>
    <w:rsid w:val="005F5D79"/>
    <w:rsid w:val="00601239"/>
    <w:rsid w:val="006035AF"/>
    <w:rsid w:val="00611973"/>
    <w:rsid w:val="006122D8"/>
    <w:rsid w:val="0061247A"/>
    <w:rsid w:val="00615938"/>
    <w:rsid w:val="0063014E"/>
    <w:rsid w:val="00635E36"/>
    <w:rsid w:val="00647889"/>
    <w:rsid w:val="0065112D"/>
    <w:rsid w:val="00651FA9"/>
    <w:rsid w:val="00653E2F"/>
    <w:rsid w:val="0066134E"/>
    <w:rsid w:val="006679A9"/>
    <w:rsid w:val="00674194"/>
    <w:rsid w:val="006814BB"/>
    <w:rsid w:val="006840EB"/>
    <w:rsid w:val="0069342C"/>
    <w:rsid w:val="006A0712"/>
    <w:rsid w:val="006A541C"/>
    <w:rsid w:val="006A5B3B"/>
    <w:rsid w:val="006B1969"/>
    <w:rsid w:val="006B1DA6"/>
    <w:rsid w:val="006B377B"/>
    <w:rsid w:val="006C6103"/>
    <w:rsid w:val="006C7A4C"/>
    <w:rsid w:val="006D0CE1"/>
    <w:rsid w:val="006D406B"/>
    <w:rsid w:val="006D5284"/>
    <w:rsid w:val="006D6E50"/>
    <w:rsid w:val="006E2B32"/>
    <w:rsid w:val="006F299B"/>
    <w:rsid w:val="006F2B34"/>
    <w:rsid w:val="00702A91"/>
    <w:rsid w:val="007057ED"/>
    <w:rsid w:val="0070672F"/>
    <w:rsid w:val="00707708"/>
    <w:rsid w:val="007105A6"/>
    <w:rsid w:val="00714E1E"/>
    <w:rsid w:val="00715417"/>
    <w:rsid w:val="0071542F"/>
    <w:rsid w:val="007216E3"/>
    <w:rsid w:val="00722A2E"/>
    <w:rsid w:val="00724F52"/>
    <w:rsid w:val="00726DD4"/>
    <w:rsid w:val="00730F56"/>
    <w:rsid w:val="00733C58"/>
    <w:rsid w:val="0073677C"/>
    <w:rsid w:val="00744E2C"/>
    <w:rsid w:val="00752119"/>
    <w:rsid w:val="00754408"/>
    <w:rsid w:val="007560B0"/>
    <w:rsid w:val="0076084B"/>
    <w:rsid w:val="00762DD6"/>
    <w:rsid w:val="007631C7"/>
    <w:rsid w:val="00763CCC"/>
    <w:rsid w:val="00764280"/>
    <w:rsid w:val="007751E3"/>
    <w:rsid w:val="00776C72"/>
    <w:rsid w:val="007807DC"/>
    <w:rsid w:val="0078258F"/>
    <w:rsid w:val="007846BC"/>
    <w:rsid w:val="00790C7A"/>
    <w:rsid w:val="00792131"/>
    <w:rsid w:val="00794B6E"/>
    <w:rsid w:val="007969A4"/>
    <w:rsid w:val="007A0114"/>
    <w:rsid w:val="007B08EE"/>
    <w:rsid w:val="007B1321"/>
    <w:rsid w:val="007B1904"/>
    <w:rsid w:val="007B5E91"/>
    <w:rsid w:val="007D6370"/>
    <w:rsid w:val="007E092F"/>
    <w:rsid w:val="007E5112"/>
    <w:rsid w:val="007E5EC0"/>
    <w:rsid w:val="007F3520"/>
    <w:rsid w:val="0080098A"/>
    <w:rsid w:val="00801761"/>
    <w:rsid w:val="008111EB"/>
    <w:rsid w:val="008130C9"/>
    <w:rsid w:val="00813D02"/>
    <w:rsid w:val="00814833"/>
    <w:rsid w:val="0082033D"/>
    <w:rsid w:val="008222AD"/>
    <w:rsid w:val="00824B92"/>
    <w:rsid w:val="00826631"/>
    <w:rsid w:val="0083104D"/>
    <w:rsid w:val="008349AE"/>
    <w:rsid w:val="00834E0B"/>
    <w:rsid w:val="00842C2C"/>
    <w:rsid w:val="0084427B"/>
    <w:rsid w:val="00846D77"/>
    <w:rsid w:val="00847E3D"/>
    <w:rsid w:val="00852480"/>
    <w:rsid w:val="00856632"/>
    <w:rsid w:val="008615B4"/>
    <w:rsid w:val="00867308"/>
    <w:rsid w:val="0089099B"/>
    <w:rsid w:val="00891F62"/>
    <w:rsid w:val="008B0543"/>
    <w:rsid w:val="008C0888"/>
    <w:rsid w:val="008C3505"/>
    <w:rsid w:val="008D30EA"/>
    <w:rsid w:val="008D55C8"/>
    <w:rsid w:val="008E20DE"/>
    <w:rsid w:val="008E2A56"/>
    <w:rsid w:val="008E3F30"/>
    <w:rsid w:val="008F1770"/>
    <w:rsid w:val="008F2FB5"/>
    <w:rsid w:val="009013C5"/>
    <w:rsid w:val="00901BD5"/>
    <w:rsid w:val="009061A4"/>
    <w:rsid w:val="00911BD5"/>
    <w:rsid w:val="00912E02"/>
    <w:rsid w:val="00923623"/>
    <w:rsid w:val="009315EE"/>
    <w:rsid w:val="00932E88"/>
    <w:rsid w:val="0093440F"/>
    <w:rsid w:val="00942024"/>
    <w:rsid w:val="00944550"/>
    <w:rsid w:val="00950085"/>
    <w:rsid w:val="009550AD"/>
    <w:rsid w:val="009565D4"/>
    <w:rsid w:val="00964F6A"/>
    <w:rsid w:val="00967D7C"/>
    <w:rsid w:val="0097214E"/>
    <w:rsid w:val="00972AFF"/>
    <w:rsid w:val="0097600C"/>
    <w:rsid w:val="00977D73"/>
    <w:rsid w:val="00985F4F"/>
    <w:rsid w:val="0099262A"/>
    <w:rsid w:val="0099739B"/>
    <w:rsid w:val="009A025A"/>
    <w:rsid w:val="009A05F3"/>
    <w:rsid w:val="009B56DA"/>
    <w:rsid w:val="009C42CD"/>
    <w:rsid w:val="009D13BB"/>
    <w:rsid w:val="009D50EB"/>
    <w:rsid w:val="009D61F4"/>
    <w:rsid w:val="009E32F5"/>
    <w:rsid w:val="009E34AC"/>
    <w:rsid w:val="009E4074"/>
    <w:rsid w:val="009E6279"/>
    <w:rsid w:val="009F1F1A"/>
    <w:rsid w:val="009F2649"/>
    <w:rsid w:val="009F704C"/>
    <w:rsid w:val="00A0215D"/>
    <w:rsid w:val="00A06666"/>
    <w:rsid w:val="00A079EF"/>
    <w:rsid w:val="00A105E0"/>
    <w:rsid w:val="00A27534"/>
    <w:rsid w:val="00A3018B"/>
    <w:rsid w:val="00A3128D"/>
    <w:rsid w:val="00A324EA"/>
    <w:rsid w:val="00A332DE"/>
    <w:rsid w:val="00A33A46"/>
    <w:rsid w:val="00A45B43"/>
    <w:rsid w:val="00A4794A"/>
    <w:rsid w:val="00A5124D"/>
    <w:rsid w:val="00A52527"/>
    <w:rsid w:val="00A533DE"/>
    <w:rsid w:val="00A53D74"/>
    <w:rsid w:val="00A53E2B"/>
    <w:rsid w:val="00A817CE"/>
    <w:rsid w:val="00A928FA"/>
    <w:rsid w:val="00A9358B"/>
    <w:rsid w:val="00A950B5"/>
    <w:rsid w:val="00AA08ED"/>
    <w:rsid w:val="00AA7B0B"/>
    <w:rsid w:val="00AB3167"/>
    <w:rsid w:val="00AB32CF"/>
    <w:rsid w:val="00AB4548"/>
    <w:rsid w:val="00AB4BAB"/>
    <w:rsid w:val="00AB7637"/>
    <w:rsid w:val="00AB7A6D"/>
    <w:rsid w:val="00AC0C31"/>
    <w:rsid w:val="00AC59EB"/>
    <w:rsid w:val="00AD2235"/>
    <w:rsid w:val="00AD6564"/>
    <w:rsid w:val="00AE093E"/>
    <w:rsid w:val="00B00735"/>
    <w:rsid w:val="00B00900"/>
    <w:rsid w:val="00B02599"/>
    <w:rsid w:val="00B058CF"/>
    <w:rsid w:val="00B11D0F"/>
    <w:rsid w:val="00B14060"/>
    <w:rsid w:val="00B16B3C"/>
    <w:rsid w:val="00B24BAF"/>
    <w:rsid w:val="00B255B7"/>
    <w:rsid w:val="00B25EE3"/>
    <w:rsid w:val="00B269D4"/>
    <w:rsid w:val="00B3357C"/>
    <w:rsid w:val="00B36809"/>
    <w:rsid w:val="00B53ADE"/>
    <w:rsid w:val="00B574B1"/>
    <w:rsid w:val="00B61677"/>
    <w:rsid w:val="00B61C4A"/>
    <w:rsid w:val="00B61EC9"/>
    <w:rsid w:val="00B6232C"/>
    <w:rsid w:val="00B632EE"/>
    <w:rsid w:val="00B679AD"/>
    <w:rsid w:val="00B7123F"/>
    <w:rsid w:val="00B7148E"/>
    <w:rsid w:val="00B7744A"/>
    <w:rsid w:val="00B82D4D"/>
    <w:rsid w:val="00B87EE6"/>
    <w:rsid w:val="00B9260A"/>
    <w:rsid w:val="00B93FF4"/>
    <w:rsid w:val="00B96ABD"/>
    <w:rsid w:val="00BA11C5"/>
    <w:rsid w:val="00BA5983"/>
    <w:rsid w:val="00BA73C6"/>
    <w:rsid w:val="00BA7BA0"/>
    <w:rsid w:val="00BB5141"/>
    <w:rsid w:val="00BD42E5"/>
    <w:rsid w:val="00BE2D0F"/>
    <w:rsid w:val="00BE711C"/>
    <w:rsid w:val="00BF02C4"/>
    <w:rsid w:val="00BF18DC"/>
    <w:rsid w:val="00C04B4F"/>
    <w:rsid w:val="00C13DE2"/>
    <w:rsid w:val="00C14408"/>
    <w:rsid w:val="00C14776"/>
    <w:rsid w:val="00C17F58"/>
    <w:rsid w:val="00C20BE7"/>
    <w:rsid w:val="00C21AC8"/>
    <w:rsid w:val="00C2417D"/>
    <w:rsid w:val="00C307E7"/>
    <w:rsid w:val="00C34A92"/>
    <w:rsid w:val="00C35829"/>
    <w:rsid w:val="00C370A7"/>
    <w:rsid w:val="00C43356"/>
    <w:rsid w:val="00C57E90"/>
    <w:rsid w:val="00C62F1C"/>
    <w:rsid w:val="00C6380F"/>
    <w:rsid w:val="00C65A80"/>
    <w:rsid w:val="00C72A77"/>
    <w:rsid w:val="00C744A3"/>
    <w:rsid w:val="00C81DB5"/>
    <w:rsid w:val="00C85F93"/>
    <w:rsid w:val="00C900FF"/>
    <w:rsid w:val="00CA2E0C"/>
    <w:rsid w:val="00CA7FB3"/>
    <w:rsid w:val="00CB3FC8"/>
    <w:rsid w:val="00CB442A"/>
    <w:rsid w:val="00CB66A6"/>
    <w:rsid w:val="00CB6C1C"/>
    <w:rsid w:val="00CC0990"/>
    <w:rsid w:val="00CC2447"/>
    <w:rsid w:val="00CC63C0"/>
    <w:rsid w:val="00CD4B2E"/>
    <w:rsid w:val="00CD4DE4"/>
    <w:rsid w:val="00CD5478"/>
    <w:rsid w:val="00CD6527"/>
    <w:rsid w:val="00CD6B3F"/>
    <w:rsid w:val="00CF3E63"/>
    <w:rsid w:val="00CF561E"/>
    <w:rsid w:val="00D0273C"/>
    <w:rsid w:val="00D143BA"/>
    <w:rsid w:val="00D20DD2"/>
    <w:rsid w:val="00D23FB2"/>
    <w:rsid w:val="00D33287"/>
    <w:rsid w:val="00D34EEE"/>
    <w:rsid w:val="00D36E67"/>
    <w:rsid w:val="00D37BAF"/>
    <w:rsid w:val="00D40A64"/>
    <w:rsid w:val="00D46C86"/>
    <w:rsid w:val="00D51337"/>
    <w:rsid w:val="00D51B1E"/>
    <w:rsid w:val="00D52184"/>
    <w:rsid w:val="00D54E6F"/>
    <w:rsid w:val="00D71743"/>
    <w:rsid w:val="00D836D2"/>
    <w:rsid w:val="00D91C3B"/>
    <w:rsid w:val="00D960FF"/>
    <w:rsid w:val="00D96598"/>
    <w:rsid w:val="00D979EA"/>
    <w:rsid w:val="00DA014B"/>
    <w:rsid w:val="00DA02B9"/>
    <w:rsid w:val="00DA42EA"/>
    <w:rsid w:val="00DA61E6"/>
    <w:rsid w:val="00DA7FEA"/>
    <w:rsid w:val="00DB269B"/>
    <w:rsid w:val="00DB2E3E"/>
    <w:rsid w:val="00DC02B5"/>
    <w:rsid w:val="00DD27D1"/>
    <w:rsid w:val="00DD4409"/>
    <w:rsid w:val="00DD5176"/>
    <w:rsid w:val="00DE143B"/>
    <w:rsid w:val="00DE221A"/>
    <w:rsid w:val="00DE2334"/>
    <w:rsid w:val="00DE4FB9"/>
    <w:rsid w:val="00DE5C1E"/>
    <w:rsid w:val="00DF599C"/>
    <w:rsid w:val="00DF68F0"/>
    <w:rsid w:val="00DF6CDE"/>
    <w:rsid w:val="00E0113D"/>
    <w:rsid w:val="00E039CB"/>
    <w:rsid w:val="00E065C4"/>
    <w:rsid w:val="00E07F01"/>
    <w:rsid w:val="00E1423B"/>
    <w:rsid w:val="00E15A93"/>
    <w:rsid w:val="00E27A47"/>
    <w:rsid w:val="00E316A8"/>
    <w:rsid w:val="00E317E1"/>
    <w:rsid w:val="00E33231"/>
    <w:rsid w:val="00E435B5"/>
    <w:rsid w:val="00E569C9"/>
    <w:rsid w:val="00E6186E"/>
    <w:rsid w:val="00E70701"/>
    <w:rsid w:val="00E72F03"/>
    <w:rsid w:val="00E7429A"/>
    <w:rsid w:val="00E75D89"/>
    <w:rsid w:val="00E84434"/>
    <w:rsid w:val="00E9511F"/>
    <w:rsid w:val="00EA0512"/>
    <w:rsid w:val="00EB30F5"/>
    <w:rsid w:val="00EB4A14"/>
    <w:rsid w:val="00EB5C8B"/>
    <w:rsid w:val="00EC3CC1"/>
    <w:rsid w:val="00EC47CA"/>
    <w:rsid w:val="00EC5F47"/>
    <w:rsid w:val="00ED263C"/>
    <w:rsid w:val="00ED2A92"/>
    <w:rsid w:val="00ED2B55"/>
    <w:rsid w:val="00ED3BFF"/>
    <w:rsid w:val="00ED503D"/>
    <w:rsid w:val="00EE11FD"/>
    <w:rsid w:val="00EE1D07"/>
    <w:rsid w:val="00EE2DA2"/>
    <w:rsid w:val="00EE4B98"/>
    <w:rsid w:val="00EE58FD"/>
    <w:rsid w:val="00F030AA"/>
    <w:rsid w:val="00F050EB"/>
    <w:rsid w:val="00F13235"/>
    <w:rsid w:val="00F145E8"/>
    <w:rsid w:val="00F1494E"/>
    <w:rsid w:val="00F23798"/>
    <w:rsid w:val="00F260AC"/>
    <w:rsid w:val="00F268CD"/>
    <w:rsid w:val="00F26DFB"/>
    <w:rsid w:val="00F27043"/>
    <w:rsid w:val="00F32C54"/>
    <w:rsid w:val="00F32E6E"/>
    <w:rsid w:val="00F41461"/>
    <w:rsid w:val="00F4263A"/>
    <w:rsid w:val="00F42B60"/>
    <w:rsid w:val="00F47E96"/>
    <w:rsid w:val="00F50A3A"/>
    <w:rsid w:val="00F53A4C"/>
    <w:rsid w:val="00F5526E"/>
    <w:rsid w:val="00F569E1"/>
    <w:rsid w:val="00F62A1E"/>
    <w:rsid w:val="00F64DB9"/>
    <w:rsid w:val="00F65513"/>
    <w:rsid w:val="00F82350"/>
    <w:rsid w:val="00F85399"/>
    <w:rsid w:val="00F93183"/>
    <w:rsid w:val="00F96D00"/>
    <w:rsid w:val="00FA035F"/>
    <w:rsid w:val="00FA2276"/>
    <w:rsid w:val="00FA512D"/>
    <w:rsid w:val="00FA686C"/>
    <w:rsid w:val="00FA6932"/>
    <w:rsid w:val="00FA6CEA"/>
    <w:rsid w:val="00FB1945"/>
    <w:rsid w:val="00FB3972"/>
    <w:rsid w:val="00FB70DE"/>
    <w:rsid w:val="00FC0EBA"/>
    <w:rsid w:val="00FC0EDD"/>
    <w:rsid w:val="00FC2BD1"/>
    <w:rsid w:val="00FC3E8A"/>
    <w:rsid w:val="00FD17C2"/>
    <w:rsid w:val="00FD634F"/>
    <w:rsid w:val="00FE0A7C"/>
    <w:rsid w:val="00FE2611"/>
    <w:rsid w:val="00FE44FC"/>
    <w:rsid w:val="00FF2067"/>
    <w:rsid w:val="00FF2AB0"/>
    <w:rsid w:val="00FF3FFA"/>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character" w:styleId="Strong">
    <w:name w:val="Strong"/>
    <w:basedOn w:val="DefaultParagraphFont"/>
    <w:uiPriority w:val="22"/>
    <w:qFormat/>
    <w:rsid w:val="006D52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character" w:styleId="Strong">
    <w:name w:val="Strong"/>
    <w:basedOn w:val="DefaultParagraphFont"/>
    <w:uiPriority w:val="22"/>
    <w:qFormat/>
    <w:rsid w:val="006D5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ccaedu.org/inquiry/inquiry-spring2004/i-91-woodar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8D252-0031-4C27-A172-489FC165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3</TotalTime>
  <Pages>5</Pages>
  <Words>1515</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10837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David Judkins</cp:lastModifiedBy>
  <cp:revision>3</cp:revision>
  <cp:lastPrinted>2015-04-24T19:10:00Z</cp:lastPrinted>
  <dcterms:created xsi:type="dcterms:W3CDTF">2015-05-19T20:06:00Z</dcterms:created>
  <dcterms:modified xsi:type="dcterms:W3CDTF">2015-05-19T20:09:00Z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