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12AD9D" w14:textId="77777777" w:rsidR="008E7740" w:rsidRPr="007A5D4B" w:rsidRDefault="008E7740" w:rsidP="008E7740">
      <w:pPr>
        <w:suppressAutoHyphens/>
        <w:jc w:val="center"/>
        <w:rPr>
          <w:rFonts w:ascii="Arial" w:hAnsi="Arial" w:cs="Arial"/>
          <w:b/>
          <w:sz w:val="22"/>
          <w:szCs w:val="22"/>
        </w:rPr>
      </w:pPr>
    </w:p>
    <w:p w14:paraId="389B0CC5" w14:textId="77777777" w:rsidR="008E7740" w:rsidRPr="007A5D4B" w:rsidRDefault="008E7740" w:rsidP="008E7740">
      <w:pPr>
        <w:suppressAutoHyphens/>
        <w:jc w:val="center"/>
        <w:rPr>
          <w:rFonts w:ascii="Arial" w:hAnsi="Arial" w:cs="Arial"/>
          <w:b/>
          <w:sz w:val="22"/>
          <w:szCs w:val="22"/>
        </w:rPr>
      </w:pPr>
      <w:r w:rsidRPr="007A5D4B">
        <w:rPr>
          <w:rFonts w:ascii="Arial" w:hAnsi="Arial" w:cs="Arial"/>
          <w:b/>
          <w:sz w:val="22"/>
          <w:szCs w:val="22"/>
        </w:rPr>
        <w:t xml:space="preserve">ALCOHOL AND TOBACCO TAX AND TRADE BUREAU </w:t>
      </w:r>
    </w:p>
    <w:p w14:paraId="2F45A5E7" w14:textId="77777777" w:rsidR="008E7740" w:rsidRPr="007A5D4B" w:rsidRDefault="008E7740" w:rsidP="008E7740">
      <w:pPr>
        <w:suppressAutoHyphens/>
        <w:jc w:val="center"/>
        <w:rPr>
          <w:rFonts w:ascii="Arial" w:hAnsi="Arial" w:cs="Arial"/>
          <w:b/>
          <w:sz w:val="22"/>
          <w:szCs w:val="22"/>
        </w:rPr>
      </w:pPr>
    </w:p>
    <w:p w14:paraId="1DFA5B92" w14:textId="77777777" w:rsidR="008E7740" w:rsidRPr="007A5D4B" w:rsidRDefault="008E7740" w:rsidP="008E7740">
      <w:pPr>
        <w:suppressAutoHyphens/>
        <w:jc w:val="center"/>
        <w:rPr>
          <w:rFonts w:ascii="Arial" w:hAnsi="Arial" w:cs="Arial"/>
          <w:b/>
          <w:sz w:val="22"/>
          <w:szCs w:val="22"/>
        </w:rPr>
      </w:pPr>
      <w:r w:rsidRPr="007A5D4B">
        <w:rPr>
          <w:rFonts w:ascii="Arial" w:hAnsi="Arial" w:cs="Arial"/>
          <w:b/>
          <w:sz w:val="22"/>
          <w:szCs w:val="22"/>
        </w:rPr>
        <w:t xml:space="preserve">Supporting Statement –– Information Collection Request </w:t>
      </w:r>
    </w:p>
    <w:p w14:paraId="2897C2E9" w14:textId="77777777" w:rsidR="008E7740" w:rsidRPr="007A5D4B" w:rsidRDefault="008E7740" w:rsidP="008E7740">
      <w:pPr>
        <w:suppressAutoHyphens/>
        <w:jc w:val="center"/>
        <w:rPr>
          <w:rFonts w:ascii="Arial" w:hAnsi="Arial" w:cs="Arial"/>
          <w:b/>
          <w:sz w:val="22"/>
          <w:szCs w:val="22"/>
        </w:rPr>
      </w:pPr>
    </w:p>
    <w:p w14:paraId="611D3A70" w14:textId="77777777" w:rsidR="008E7740" w:rsidRPr="007A5D4B" w:rsidRDefault="008E7740" w:rsidP="008E7740">
      <w:pPr>
        <w:suppressAutoHyphens/>
        <w:jc w:val="center"/>
        <w:rPr>
          <w:rFonts w:ascii="Arial" w:hAnsi="Arial" w:cs="Arial"/>
          <w:b/>
          <w:sz w:val="22"/>
          <w:szCs w:val="22"/>
        </w:rPr>
      </w:pPr>
      <w:r w:rsidRPr="00CC2DE7">
        <w:rPr>
          <w:rFonts w:ascii="Arial" w:hAnsi="Arial" w:cs="Arial"/>
          <w:b/>
          <w:sz w:val="22"/>
          <w:szCs w:val="22"/>
        </w:rPr>
        <w:t xml:space="preserve">OMB Control Number </w:t>
      </w:r>
      <w:r w:rsidRPr="008E7740">
        <w:rPr>
          <w:rFonts w:ascii="Arial" w:hAnsi="Arial" w:cs="Arial"/>
          <w:b/>
          <w:sz w:val="22"/>
          <w:szCs w:val="22"/>
        </w:rPr>
        <w:t>1513–0112</w:t>
      </w:r>
      <w:r>
        <w:rPr>
          <w:rFonts w:ascii="Arial" w:hAnsi="Arial" w:cs="Arial"/>
          <w:b/>
          <w:sz w:val="22"/>
          <w:szCs w:val="22"/>
        </w:rPr>
        <w:t xml:space="preserve"> </w:t>
      </w:r>
    </w:p>
    <w:p w14:paraId="3957B3B4" w14:textId="77777777" w:rsidR="008E7740" w:rsidRPr="007A5D4B" w:rsidRDefault="008E7740" w:rsidP="008E7740">
      <w:pPr>
        <w:suppressAutoHyphens/>
        <w:rPr>
          <w:rFonts w:ascii="Arial" w:hAnsi="Arial" w:cs="Arial"/>
          <w:sz w:val="22"/>
          <w:szCs w:val="22"/>
        </w:rPr>
      </w:pPr>
    </w:p>
    <w:p w14:paraId="7495D222" w14:textId="77777777" w:rsidR="008E7740" w:rsidRDefault="008E7740" w:rsidP="008E7740">
      <w:pPr>
        <w:suppressAutoHyphens/>
        <w:rPr>
          <w:rFonts w:ascii="Arial" w:hAnsi="Arial" w:cs="Arial"/>
          <w:sz w:val="22"/>
          <w:szCs w:val="22"/>
        </w:rPr>
      </w:pPr>
    </w:p>
    <w:p w14:paraId="32AB6913" w14:textId="77777777" w:rsidR="008E7740" w:rsidRDefault="008E7740" w:rsidP="008E7740">
      <w:pPr>
        <w:suppressAutoHyphens/>
        <w:rPr>
          <w:rFonts w:ascii="Arial" w:hAnsi="Arial" w:cs="Arial"/>
          <w:sz w:val="22"/>
          <w:szCs w:val="22"/>
          <w:u w:val="single"/>
        </w:rPr>
      </w:pPr>
      <w:r w:rsidRPr="00E86B1B">
        <w:rPr>
          <w:rFonts w:ascii="Arial" w:hAnsi="Arial" w:cs="Arial"/>
          <w:sz w:val="22"/>
          <w:szCs w:val="22"/>
          <w:u w:val="single"/>
        </w:rPr>
        <w:t xml:space="preserve">Information Collection Request Title: </w:t>
      </w:r>
    </w:p>
    <w:p w14:paraId="74EAC827" w14:textId="77777777" w:rsidR="008E7740" w:rsidRPr="00E86B1B" w:rsidRDefault="008E7740" w:rsidP="008E7740">
      <w:pPr>
        <w:suppressAutoHyphens/>
        <w:rPr>
          <w:rFonts w:ascii="Arial" w:hAnsi="Arial" w:cs="Arial"/>
          <w:sz w:val="22"/>
          <w:szCs w:val="22"/>
          <w:u w:val="single"/>
        </w:rPr>
      </w:pPr>
    </w:p>
    <w:p w14:paraId="6E0D8098" w14:textId="77777777" w:rsidR="008E7740" w:rsidRPr="008E7740" w:rsidRDefault="008E7740" w:rsidP="008E7740">
      <w:pPr>
        <w:rPr>
          <w:rFonts w:ascii="Arial" w:hAnsi="Arial" w:cs="Arial"/>
          <w:sz w:val="22"/>
          <w:szCs w:val="22"/>
        </w:rPr>
      </w:pPr>
      <w:r w:rsidRPr="008E7740">
        <w:rPr>
          <w:rFonts w:ascii="Arial" w:hAnsi="Arial" w:cs="Arial"/>
          <w:sz w:val="22"/>
          <w:szCs w:val="22"/>
        </w:rPr>
        <w:t xml:space="preserve">Alcohol Special (Occupational) Tax Registration and Return; Alcohol Dealer Registration (For Use On and After July 1, 2008); and Special Tax Registration and Return – Tobacco </w:t>
      </w:r>
    </w:p>
    <w:p w14:paraId="170B2DF3" w14:textId="77777777" w:rsidR="008E7740" w:rsidRDefault="008E7740" w:rsidP="008E7740">
      <w:pPr>
        <w:rPr>
          <w:rFonts w:ascii="Arial" w:hAnsi="Arial" w:cs="Arial"/>
          <w:sz w:val="22"/>
          <w:szCs w:val="22"/>
          <w:highlight w:val="yellow"/>
        </w:rPr>
      </w:pPr>
    </w:p>
    <w:p w14:paraId="22EE77F4" w14:textId="77777777" w:rsidR="008E7740" w:rsidRPr="008E7740" w:rsidRDefault="008E7740" w:rsidP="008E7740">
      <w:pPr>
        <w:rPr>
          <w:rFonts w:ascii="Arial" w:hAnsi="Arial" w:cs="Arial"/>
          <w:sz w:val="22"/>
          <w:szCs w:val="22"/>
          <w:u w:val="single"/>
        </w:rPr>
      </w:pPr>
      <w:r w:rsidRPr="008E7740">
        <w:rPr>
          <w:rFonts w:ascii="Arial" w:hAnsi="Arial" w:cs="Arial"/>
          <w:sz w:val="22"/>
          <w:szCs w:val="22"/>
          <w:u w:val="single"/>
        </w:rPr>
        <w:t xml:space="preserve">Information Collections Issued under this Title: </w:t>
      </w:r>
    </w:p>
    <w:p w14:paraId="317C99B8" w14:textId="77777777" w:rsidR="008E7740" w:rsidRPr="00987432" w:rsidRDefault="008E7740" w:rsidP="008E7740">
      <w:pPr>
        <w:ind w:firstLine="360"/>
        <w:rPr>
          <w:rFonts w:ascii="Arial" w:hAnsi="Arial" w:cs="Arial"/>
          <w:sz w:val="22"/>
          <w:szCs w:val="22"/>
        </w:rPr>
      </w:pPr>
    </w:p>
    <w:p w14:paraId="1421E5AA" w14:textId="77777777" w:rsidR="008E7740" w:rsidRPr="008E7740" w:rsidRDefault="008E7740" w:rsidP="004D1604">
      <w:pPr>
        <w:pStyle w:val="ListParagraph"/>
        <w:numPr>
          <w:ilvl w:val="0"/>
          <w:numId w:val="4"/>
        </w:numPr>
        <w:spacing w:after="120"/>
        <w:contextualSpacing w:val="0"/>
        <w:rPr>
          <w:rFonts w:ascii="Arial" w:hAnsi="Arial" w:cs="Arial"/>
          <w:sz w:val="22"/>
          <w:szCs w:val="22"/>
        </w:rPr>
      </w:pPr>
      <w:r w:rsidRPr="008E7740">
        <w:rPr>
          <w:rFonts w:ascii="Arial" w:hAnsi="Arial" w:cs="Arial"/>
          <w:sz w:val="22"/>
          <w:szCs w:val="22"/>
        </w:rPr>
        <w:t xml:space="preserve">TTB F 5630.5a </w:t>
      </w:r>
      <w:r>
        <w:rPr>
          <w:rFonts w:ascii="Arial" w:hAnsi="Arial" w:cs="Arial"/>
          <w:sz w:val="22"/>
          <w:szCs w:val="22"/>
        </w:rPr>
        <w:t>–</w:t>
      </w:r>
      <w:r w:rsidRPr="008E7740">
        <w:rPr>
          <w:rFonts w:ascii="Arial" w:hAnsi="Arial" w:cs="Arial"/>
          <w:sz w:val="22"/>
          <w:szCs w:val="22"/>
        </w:rPr>
        <w:t xml:space="preserve"> Alcohol Special (</w:t>
      </w:r>
      <w:r>
        <w:rPr>
          <w:rFonts w:ascii="Arial" w:hAnsi="Arial" w:cs="Arial"/>
          <w:sz w:val="22"/>
          <w:szCs w:val="22"/>
        </w:rPr>
        <w:t>O</w:t>
      </w:r>
      <w:r w:rsidRPr="008E7740">
        <w:rPr>
          <w:rFonts w:ascii="Arial" w:hAnsi="Arial" w:cs="Arial"/>
          <w:sz w:val="22"/>
          <w:szCs w:val="22"/>
        </w:rPr>
        <w:t>ccupational) Tax Registration and Return – For Periods Ending On or Before June 30, 2008</w:t>
      </w:r>
      <w:r w:rsidR="004D1604">
        <w:rPr>
          <w:rFonts w:ascii="Arial" w:hAnsi="Arial" w:cs="Arial"/>
          <w:sz w:val="22"/>
          <w:szCs w:val="22"/>
        </w:rPr>
        <w:t xml:space="preserve">; </w:t>
      </w:r>
    </w:p>
    <w:p w14:paraId="7374589C" w14:textId="77777777" w:rsidR="008E7740" w:rsidRPr="008E7740" w:rsidRDefault="008E7740" w:rsidP="004D1604">
      <w:pPr>
        <w:pStyle w:val="ListParagraph"/>
        <w:numPr>
          <w:ilvl w:val="0"/>
          <w:numId w:val="5"/>
        </w:numPr>
        <w:spacing w:after="120"/>
        <w:contextualSpacing w:val="0"/>
        <w:rPr>
          <w:rFonts w:ascii="Arial" w:hAnsi="Arial" w:cs="Arial"/>
          <w:sz w:val="22"/>
          <w:szCs w:val="22"/>
        </w:rPr>
      </w:pPr>
      <w:r w:rsidRPr="008E7740">
        <w:rPr>
          <w:rFonts w:ascii="Arial" w:hAnsi="Arial" w:cs="Arial"/>
          <w:sz w:val="22"/>
          <w:szCs w:val="22"/>
        </w:rPr>
        <w:t xml:space="preserve">TTB F 5630.5d </w:t>
      </w:r>
      <w:r>
        <w:rPr>
          <w:rFonts w:ascii="Arial" w:hAnsi="Arial" w:cs="Arial"/>
          <w:sz w:val="22"/>
          <w:szCs w:val="22"/>
        </w:rPr>
        <w:t>–</w:t>
      </w:r>
      <w:r w:rsidRPr="008E7740">
        <w:rPr>
          <w:rFonts w:ascii="Arial" w:hAnsi="Arial" w:cs="Arial"/>
          <w:sz w:val="22"/>
          <w:szCs w:val="22"/>
        </w:rPr>
        <w:t xml:space="preserve"> Alcohol Dealer Registration – For Use On and After July 1, 2008</w:t>
      </w:r>
      <w:r w:rsidR="004D1604">
        <w:rPr>
          <w:rFonts w:ascii="Arial" w:hAnsi="Arial" w:cs="Arial"/>
          <w:sz w:val="22"/>
          <w:szCs w:val="22"/>
        </w:rPr>
        <w:t xml:space="preserve">; </w:t>
      </w:r>
    </w:p>
    <w:p w14:paraId="51785F2B" w14:textId="77777777" w:rsidR="008E7740" w:rsidRPr="00987432" w:rsidRDefault="008E7740" w:rsidP="008E7740">
      <w:pPr>
        <w:numPr>
          <w:ilvl w:val="0"/>
          <w:numId w:val="1"/>
        </w:numPr>
        <w:tabs>
          <w:tab w:val="left" w:pos="360"/>
        </w:tabs>
        <w:spacing w:before="80"/>
        <w:rPr>
          <w:rFonts w:ascii="Arial" w:hAnsi="Arial" w:cs="Arial"/>
          <w:sz w:val="22"/>
          <w:szCs w:val="22"/>
        </w:rPr>
      </w:pPr>
      <w:r w:rsidRPr="000E77A1">
        <w:rPr>
          <w:rFonts w:ascii="Arial" w:hAnsi="Arial" w:cs="Arial"/>
          <w:sz w:val="22"/>
          <w:szCs w:val="22"/>
        </w:rPr>
        <w:t xml:space="preserve">TTB F 5630.5t </w:t>
      </w:r>
      <w:r>
        <w:rPr>
          <w:rFonts w:ascii="Arial" w:hAnsi="Arial" w:cs="Arial"/>
          <w:sz w:val="22"/>
          <w:szCs w:val="22"/>
        </w:rPr>
        <w:t>–</w:t>
      </w:r>
      <w:r w:rsidRPr="000E77A1">
        <w:rPr>
          <w:rFonts w:ascii="Arial" w:hAnsi="Arial" w:cs="Arial"/>
          <w:sz w:val="22"/>
          <w:szCs w:val="22"/>
        </w:rPr>
        <w:t xml:space="preserve"> Special Tax Registration and Return </w:t>
      </w:r>
      <w:r>
        <w:rPr>
          <w:rFonts w:ascii="Arial" w:hAnsi="Arial" w:cs="Arial"/>
          <w:sz w:val="22"/>
          <w:szCs w:val="22"/>
        </w:rPr>
        <w:t>–</w:t>
      </w:r>
      <w:r w:rsidRPr="000E77A1">
        <w:rPr>
          <w:rFonts w:ascii="Arial" w:hAnsi="Arial" w:cs="Arial"/>
          <w:sz w:val="22"/>
          <w:szCs w:val="22"/>
        </w:rPr>
        <w:t xml:space="preserve"> Tobacco</w:t>
      </w:r>
      <w:r w:rsidR="004D1604">
        <w:rPr>
          <w:rFonts w:ascii="Arial" w:hAnsi="Arial" w:cs="Arial"/>
          <w:sz w:val="22"/>
          <w:szCs w:val="22"/>
        </w:rPr>
        <w:t>.</w:t>
      </w:r>
      <w:r w:rsidRPr="00987432">
        <w:rPr>
          <w:rFonts w:ascii="Arial" w:hAnsi="Arial" w:cs="Arial"/>
          <w:sz w:val="22"/>
          <w:szCs w:val="22"/>
        </w:rPr>
        <w:t xml:space="preserve"> </w:t>
      </w:r>
    </w:p>
    <w:p w14:paraId="11E7D043" w14:textId="77777777" w:rsidR="008E7740" w:rsidRPr="007A5D4B" w:rsidRDefault="008E7740" w:rsidP="008E7740">
      <w:pPr>
        <w:suppressAutoHyphens/>
        <w:rPr>
          <w:rFonts w:ascii="Arial" w:hAnsi="Arial" w:cs="Arial"/>
          <w:sz w:val="22"/>
          <w:szCs w:val="22"/>
        </w:rPr>
      </w:pPr>
    </w:p>
    <w:p w14:paraId="36E6B2E6" w14:textId="77777777" w:rsidR="008E7740" w:rsidRPr="007A5D4B" w:rsidRDefault="008E7740" w:rsidP="008E7740">
      <w:pPr>
        <w:suppressAutoHyphens/>
        <w:rPr>
          <w:rFonts w:ascii="Arial" w:hAnsi="Arial" w:cs="Arial"/>
          <w:b/>
          <w:sz w:val="22"/>
          <w:szCs w:val="22"/>
          <w:u w:val="single"/>
        </w:rPr>
      </w:pPr>
      <w:r w:rsidRPr="007A5D4B">
        <w:rPr>
          <w:rFonts w:ascii="Arial" w:hAnsi="Arial" w:cs="Arial"/>
          <w:b/>
          <w:sz w:val="22"/>
          <w:szCs w:val="22"/>
          <w:u w:val="single"/>
        </w:rPr>
        <w:t xml:space="preserve">A.  Justification </w:t>
      </w:r>
    </w:p>
    <w:p w14:paraId="4B69F8C5" w14:textId="77777777" w:rsidR="008E7740" w:rsidRPr="007A5D4B" w:rsidRDefault="008E7740" w:rsidP="008E7740">
      <w:pPr>
        <w:suppressAutoHyphens/>
        <w:rPr>
          <w:rFonts w:ascii="Arial" w:hAnsi="Arial" w:cs="Arial"/>
          <w:sz w:val="22"/>
          <w:szCs w:val="22"/>
        </w:rPr>
      </w:pPr>
    </w:p>
    <w:p w14:paraId="3B7987E4" w14:textId="77777777" w:rsidR="008E7740" w:rsidRPr="007A5D4B" w:rsidRDefault="008E7740" w:rsidP="008E7740">
      <w:pPr>
        <w:tabs>
          <w:tab w:val="left" w:pos="360"/>
        </w:tabs>
        <w:suppressAutoHyphens/>
        <w:rPr>
          <w:rFonts w:ascii="Arial" w:hAnsi="Arial" w:cs="Arial"/>
          <w:i/>
          <w:sz w:val="22"/>
          <w:szCs w:val="22"/>
        </w:rPr>
      </w:pPr>
      <w:r w:rsidRPr="007A5D4B">
        <w:rPr>
          <w:rFonts w:ascii="Arial" w:hAnsi="Arial" w:cs="Arial"/>
          <w:i/>
          <w:sz w:val="22"/>
          <w:szCs w:val="22"/>
        </w:rPr>
        <w:t xml:space="preserve">1.  What are the circumstances that make this collection of information necessary, and what legal or administrative requirements necessitate the collection?  Also align the information collection to TTB’s Line of Business/Sub-function and IT Investment, if one is used. </w:t>
      </w:r>
    </w:p>
    <w:p w14:paraId="405F0600" w14:textId="77777777" w:rsidR="00C35E68" w:rsidRDefault="00C35E68" w:rsidP="00C35E68">
      <w:pPr>
        <w:pStyle w:val="NormalWeb"/>
        <w:spacing w:before="0" w:after="0"/>
        <w:ind w:left="360" w:right="230"/>
        <w:rPr>
          <w:rFonts w:ascii="Arial" w:hAnsi="Arial" w:cs="Arial"/>
          <w:color w:val="auto"/>
          <w:sz w:val="22"/>
          <w:szCs w:val="22"/>
        </w:rPr>
      </w:pPr>
    </w:p>
    <w:p w14:paraId="1876157B" w14:textId="77777777" w:rsidR="00985715" w:rsidRPr="00987432" w:rsidRDefault="00985715" w:rsidP="00985715">
      <w:pPr>
        <w:ind w:left="360"/>
        <w:rPr>
          <w:rFonts w:ascii="Arial" w:hAnsi="Arial" w:cs="Arial"/>
          <w:sz w:val="22"/>
          <w:szCs w:val="22"/>
        </w:rPr>
      </w:pPr>
      <w:r w:rsidRPr="00987432">
        <w:rPr>
          <w:rFonts w:ascii="Arial" w:hAnsi="Arial" w:cs="Arial"/>
          <w:sz w:val="22"/>
          <w:szCs w:val="22"/>
        </w:rPr>
        <w:t xml:space="preserve">The Alcohol and Tobacco Tax and Trade Bureau (TTB) administers chapter 51 (distilled spirits, wine and beer), chapter 52 (tobacco products and cigarette papers and tubes), and sections 4181–4182 (firearms and ammunition excise taxes) of the Internal Revenue Code of 1986, as amended, (IRC, 26 U.S.C.) pursuant to section 1111(d) of the Homeland Security Act of 2002, as codified at 6 U.S.C. 531(d).  In addition, the Secretary of the Treasury has delegated certain IRC administrative and enforcement authorities to TTB through Treasury Department Order 120–01. </w:t>
      </w:r>
    </w:p>
    <w:p w14:paraId="0522BD3E" w14:textId="77777777" w:rsidR="00985715" w:rsidRPr="00B06EE5" w:rsidRDefault="00985715" w:rsidP="00985715">
      <w:pPr>
        <w:ind w:left="360"/>
        <w:rPr>
          <w:rFonts w:ascii="Arial" w:hAnsi="Arial" w:cs="Arial"/>
          <w:sz w:val="22"/>
          <w:szCs w:val="22"/>
          <w:highlight w:val="yellow"/>
        </w:rPr>
      </w:pPr>
    </w:p>
    <w:p w14:paraId="20C2B7C9" w14:textId="77777777" w:rsidR="00C35E68" w:rsidRDefault="00C35E68" w:rsidP="00C35E68">
      <w:pPr>
        <w:pStyle w:val="NormalWeb"/>
        <w:spacing w:before="0" w:after="0"/>
        <w:ind w:left="360" w:right="230"/>
        <w:rPr>
          <w:rFonts w:ascii="Arial" w:hAnsi="Arial" w:cs="Arial"/>
          <w:color w:val="auto"/>
          <w:sz w:val="22"/>
          <w:szCs w:val="22"/>
        </w:rPr>
      </w:pPr>
      <w:r w:rsidRPr="00C35E68">
        <w:rPr>
          <w:rFonts w:ascii="Arial" w:hAnsi="Arial" w:cs="Arial"/>
          <w:color w:val="auto"/>
          <w:sz w:val="22"/>
          <w:szCs w:val="22"/>
        </w:rPr>
        <w:t xml:space="preserve">On August 10, 2005, President Bush signed into law the “Safe, Accountable, Flexible, Efficient Transportation Equity Act: </w:t>
      </w:r>
      <w:r>
        <w:rPr>
          <w:rFonts w:ascii="Arial" w:hAnsi="Arial" w:cs="Arial"/>
          <w:color w:val="auto"/>
          <w:sz w:val="22"/>
          <w:szCs w:val="22"/>
        </w:rPr>
        <w:t xml:space="preserve"> </w:t>
      </w:r>
      <w:r w:rsidRPr="00C35E68">
        <w:rPr>
          <w:rFonts w:ascii="Arial" w:hAnsi="Arial" w:cs="Arial"/>
          <w:color w:val="auto"/>
          <w:sz w:val="22"/>
          <w:szCs w:val="22"/>
        </w:rPr>
        <w:t>A Legacy for Users,” Public Law 109-59</w:t>
      </w:r>
      <w:r w:rsidR="002775A0">
        <w:rPr>
          <w:rFonts w:ascii="Arial" w:hAnsi="Arial" w:cs="Arial"/>
          <w:color w:val="auto"/>
          <w:sz w:val="22"/>
          <w:szCs w:val="22"/>
        </w:rPr>
        <w:t xml:space="preserve"> (the Act)</w:t>
      </w:r>
      <w:r w:rsidRPr="00C35E68">
        <w:rPr>
          <w:rFonts w:ascii="Arial" w:hAnsi="Arial" w:cs="Arial"/>
          <w:color w:val="auto"/>
          <w:sz w:val="22"/>
          <w:szCs w:val="22"/>
        </w:rPr>
        <w:t>.</w:t>
      </w:r>
      <w:r>
        <w:rPr>
          <w:rFonts w:ascii="Arial" w:hAnsi="Arial" w:cs="Arial"/>
          <w:color w:val="auto"/>
          <w:sz w:val="22"/>
          <w:szCs w:val="22"/>
        </w:rPr>
        <w:t xml:space="preserve"> </w:t>
      </w:r>
      <w:r w:rsidRPr="00C35E68">
        <w:rPr>
          <w:rFonts w:ascii="Arial" w:hAnsi="Arial" w:cs="Arial"/>
          <w:color w:val="auto"/>
          <w:sz w:val="22"/>
          <w:szCs w:val="22"/>
        </w:rPr>
        <w:t xml:space="preserve"> Section 11125 of </w:t>
      </w:r>
      <w:r w:rsidR="002775A0" w:rsidRPr="00C35E68">
        <w:rPr>
          <w:rFonts w:ascii="Arial" w:hAnsi="Arial" w:cs="Arial"/>
          <w:color w:val="auto"/>
          <w:sz w:val="22"/>
          <w:szCs w:val="22"/>
        </w:rPr>
        <w:t>th</w:t>
      </w:r>
      <w:r w:rsidR="002775A0">
        <w:rPr>
          <w:rFonts w:ascii="Arial" w:hAnsi="Arial" w:cs="Arial"/>
          <w:color w:val="auto"/>
          <w:sz w:val="22"/>
          <w:szCs w:val="22"/>
        </w:rPr>
        <w:t>e</w:t>
      </w:r>
      <w:r w:rsidR="002775A0" w:rsidRPr="00C35E68">
        <w:rPr>
          <w:rFonts w:ascii="Arial" w:hAnsi="Arial" w:cs="Arial"/>
          <w:color w:val="auto"/>
          <w:sz w:val="22"/>
          <w:szCs w:val="22"/>
        </w:rPr>
        <w:t xml:space="preserve"> </w:t>
      </w:r>
      <w:r w:rsidRPr="00C35E68">
        <w:rPr>
          <w:rFonts w:ascii="Arial" w:hAnsi="Arial" w:cs="Arial"/>
          <w:color w:val="auto"/>
          <w:sz w:val="22"/>
          <w:szCs w:val="22"/>
        </w:rPr>
        <w:t xml:space="preserve">Act permanently repealed, </w:t>
      </w:r>
      <w:r w:rsidR="004D1604">
        <w:rPr>
          <w:rStyle w:val="Strong"/>
          <w:rFonts w:ascii="Arial" w:hAnsi="Arial" w:cs="Arial"/>
          <w:color w:val="auto"/>
          <w:sz w:val="22"/>
          <w:szCs w:val="22"/>
        </w:rPr>
        <w:t>effective July </w:t>
      </w:r>
      <w:r w:rsidRPr="00C35E68">
        <w:rPr>
          <w:rStyle w:val="Strong"/>
          <w:rFonts w:ascii="Arial" w:hAnsi="Arial" w:cs="Arial"/>
          <w:color w:val="auto"/>
          <w:sz w:val="22"/>
          <w:szCs w:val="22"/>
        </w:rPr>
        <w:t>1, 2008</w:t>
      </w:r>
      <w:r w:rsidRPr="00C35E68">
        <w:rPr>
          <w:rFonts w:ascii="Arial" w:hAnsi="Arial" w:cs="Arial"/>
          <w:color w:val="auto"/>
          <w:sz w:val="22"/>
          <w:szCs w:val="22"/>
        </w:rPr>
        <w:t xml:space="preserve">, the special (occupational) taxes (SOT) on: </w:t>
      </w:r>
    </w:p>
    <w:p w14:paraId="69115FB3" w14:textId="77777777" w:rsidR="00C35E68" w:rsidRPr="00C35E68" w:rsidRDefault="00C35E68" w:rsidP="00C35E68">
      <w:pPr>
        <w:pStyle w:val="NormalWeb"/>
        <w:spacing w:before="0" w:after="0"/>
        <w:ind w:left="360" w:right="230"/>
        <w:rPr>
          <w:rFonts w:ascii="Arial" w:hAnsi="Arial" w:cs="Arial"/>
          <w:color w:val="auto"/>
          <w:sz w:val="22"/>
          <w:szCs w:val="22"/>
        </w:rPr>
      </w:pPr>
    </w:p>
    <w:p w14:paraId="5A915362" w14:textId="77777777" w:rsidR="00C35E68" w:rsidRPr="00C35E68" w:rsidRDefault="00C35E68" w:rsidP="004D1604">
      <w:pPr>
        <w:numPr>
          <w:ilvl w:val="0"/>
          <w:numId w:val="6"/>
        </w:numPr>
        <w:tabs>
          <w:tab w:val="clear" w:pos="720"/>
          <w:tab w:val="left" w:pos="1080"/>
        </w:tabs>
        <w:ind w:right="150" w:firstLine="0"/>
        <w:rPr>
          <w:rFonts w:ascii="Arial" w:hAnsi="Arial" w:cs="Arial"/>
          <w:sz w:val="22"/>
          <w:szCs w:val="22"/>
        </w:rPr>
      </w:pPr>
      <w:r w:rsidRPr="00C35E68">
        <w:rPr>
          <w:rFonts w:ascii="Arial" w:hAnsi="Arial" w:cs="Arial"/>
          <w:sz w:val="22"/>
          <w:szCs w:val="22"/>
        </w:rPr>
        <w:t xml:space="preserve">alcohol beverages producers and marketers, </w:t>
      </w:r>
    </w:p>
    <w:p w14:paraId="1438AC06" w14:textId="77777777" w:rsidR="00C35E68" w:rsidRPr="00C35E68" w:rsidRDefault="00C35E68" w:rsidP="004D1604">
      <w:pPr>
        <w:numPr>
          <w:ilvl w:val="0"/>
          <w:numId w:val="6"/>
        </w:numPr>
        <w:tabs>
          <w:tab w:val="clear" w:pos="720"/>
          <w:tab w:val="left" w:pos="1080"/>
        </w:tabs>
        <w:ind w:right="150" w:firstLine="0"/>
        <w:rPr>
          <w:rFonts w:ascii="Arial" w:hAnsi="Arial" w:cs="Arial"/>
          <w:sz w:val="22"/>
          <w:szCs w:val="22"/>
        </w:rPr>
      </w:pPr>
      <w:r w:rsidRPr="00C35E68">
        <w:rPr>
          <w:rFonts w:ascii="Arial" w:hAnsi="Arial" w:cs="Arial"/>
          <w:sz w:val="22"/>
          <w:szCs w:val="22"/>
        </w:rPr>
        <w:t>non-beverage products manufacture</w:t>
      </w:r>
      <w:r w:rsidR="0007212F">
        <w:rPr>
          <w:rFonts w:ascii="Arial" w:hAnsi="Arial" w:cs="Arial"/>
          <w:sz w:val="22"/>
          <w:szCs w:val="22"/>
        </w:rPr>
        <w:t>r</w:t>
      </w:r>
      <w:r w:rsidRPr="00C35E68">
        <w:rPr>
          <w:rFonts w:ascii="Arial" w:hAnsi="Arial" w:cs="Arial"/>
          <w:sz w:val="22"/>
          <w:szCs w:val="22"/>
        </w:rPr>
        <w:t xml:space="preserve">s, </w:t>
      </w:r>
    </w:p>
    <w:p w14:paraId="5D2C185A" w14:textId="77777777" w:rsidR="00C35E68" w:rsidRPr="00C35E68" w:rsidRDefault="00C35E68" w:rsidP="004D1604">
      <w:pPr>
        <w:numPr>
          <w:ilvl w:val="0"/>
          <w:numId w:val="6"/>
        </w:numPr>
        <w:tabs>
          <w:tab w:val="clear" w:pos="720"/>
          <w:tab w:val="left" w:pos="1080"/>
        </w:tabs>
        <w:ind w:right="150" w:firstLine="0"/>
        <w:rPr>
          <w:rFonts w:ascii="Arial" w:hAnsi="Arial" w:cs="Arial"/>
          <w:sz w:val="22"/>
          <w:szCs w:val="22"/>
        </w:rPr>
      </w:pPr>
      <w:r w:rsidRPr="00C35E68">
        <w:rPr>
          <w:rFonts w:ascii="Arial" w:hAnsi="Arial" w:cs="Arial"/>
          <w:sz w:val="22"/>
          <w:szCs w:val="22"/>
        </w:rPr>
        <w:t xml:space="preserve">tax-free alcohol users, and </w:t>
      </w:r>
    </w:p>
    <w:p w14:paraId="7FAF1B0B" w14:textId="77777777" w:rsidR="00C35E68" w:rsidRPr="00C35E68" w:rsidRDefault="00C35E68" w:rsidP="004D1604">
      <w:pPr>
        <w:numPr>
          <w:ilvl w:val="0"/>
          <w:numId w:val="6"/>
        </w:numPr>
        <w:tabs>
          <w:tab w:val="clear" w:pos="720"/>
          <w:tab w:val="left" w:pos="1080"/>
        </w:tabs>
        <w:ind w:right="150" w:firstLine="0"/>
        <w:rPr>
          <w:rFonts w:ascii="Arial" w:hAnsi="Arial" w:cs="Arial"/>
          <w:sz w:val="22"/>
          <w:szCs w:val="22"/>
        </w:rPr>
      </w:pPr>
      <w:r w:rsidRPr="00C35E68">
        <w:rPr>
          <w:rFonts w:ascii="Arial" w:hAnsi="Arial" w:cs="Arial"/>
          <w:sz w:val="22"/>
          <w:szCs w:val="22"/>
        </w:rPr>
        <w:t xml:space="preserve">specially denatured spirits users and dealers. </w:t>
      </w:r>
    </w:p>
    <w:p w14:paraId="7BAD79D7" w14:textId="77777777" w:rsidR="00C35E68" w:rsidRDefault="00C35E68" w:rsidP="00C35E68">
      <w:pPr>
        <w:pStyle w:val="NormalWeb"/>
        <w:spacing w:before="0" w:after="0"/>
        <w:ind w:left="360"/>
        <w:rPr>
          <w:rFonts w:ascii="Arial" w:hAnsi="Arial" w:cs="Arial"/>
          <w:color w:val="auto"/>
          <w:sz w:val="22"/>
          <w:szCs w:val="22"/>
        </w:rPr>
      </w:pPr>
    </w:p>
    <w:p w14:paraId="49282F41" w14:textId="77777777" w:rsidR="00C35E68" w:rsidRPr="00C35E68" w:rsidRDefault="00C35E68" w:rsidP="00C35E68">
      <w:pPr>
        <w:pStyle w:val="NormalWeb"/>
        <w:spacing w:before="0" w:after="0"/>
        <w:ind w:left="360"/>
        <w:rPr>
          <w:rFonts w:ascii="Arial" w:hAnsi="Arial" w:cs="Arial"/>
          <w:color w:val="auto"/>
          <w:sz w:val="22"/>
          <w:szCs w:val="22"/>
        </w:rPr>
      </w:pPr>
      <w:r w:rsidRPr="00C35E68">
        <w:rPr>
          <w:rFonts w:ascii="Arial" w:hAnsi="Arial" w:cs="Arial"/>
          <w:color w:val="auto"/>
          <w:sz w:val="22"/>
          <w:szCs w:val="22"/>
        </w:rPr>
        <w:t>Although the tax has been repealed</w:t>
      </w:r>
      <w:r w:rsidR="00A60C4F">
        <w:rPr>
          <w:rFonts w:ascii="Arial" w:hAnsi="Arial" w:cs="Arial"/>
          <w:color w:val="auto"/>
          <w:sz w:val="22"/>
          <w:szCs w:val="22"/>
        </w:rPr>
        <w:t xml:space="preserve"> for the alcohol-related occupations mentioned above</w:t>
      </w:r>
      <w:r w:rsidRPr="00C35E68">
        <w:rPr>
          <w:rFonts w:ascii="Arial" w:hAnsi="Arial" w:cs="Arial"/>
          <w:color w:val="auto"/>
          <w:sz w:val="22"/>
          <w:szCs w:val="22"/>
        </w:rPr>
        <w:t>, recordkeeping and registration requirements remain.</w:t>
      </w:r>
      <w:r>
        <w:rPr>
          <w:rFonts w:ascii="Arial" w:hAnsi="Arial" w:cs="Arial"/>
          <w:color w:val="auto"/>
          <w:sz w:val="22"/>
          <w:szCs w:val="22"/>
        </w:rPr>
        <w:t xml:space="preserve"> </w:t>
      </w:r>
      <w:r w:rsidRPr="00C35E68">
        <w:rPr>
          <w:rFonts w:ascii="Arial" w:hAnsi="Arial" w:cs="Arial"/>
          <w:color w:val="auto"/>
          <w:sz w:val="22"/>
          <w:szCs w:val="22"/>
        </w:rPr>
        <w:t xml:space="preserve"> Further, any tax liabilities that were incurred for periods before the law’s effective date remain.</w:t>
      </w:r>
      <w:r>
        <w:rPr>
          <w:rFonts w:ascii="Arial" w:hAnsi="Arial" w:cs="Arial"/>
          <w:color w:val="auto"/>
          <w:sz w:val="22"/>
          <w:szCs w:val="22"/>
        </w:rPr>
        <w:t xml:space="preserve"> </w:t>
      </w:r>
      <w:r w:rsidRPr="00C35E68">
        <w:rPr>
          <w:rFonts w:ascii="Arial" w:hAnsi="Arial" w:cs="Arial"/>
          <w:color w:val="auto"/>
          <w:sz w:val="22"/>
          <w:szCs w:val="22"/>
        </w:rPr>
        <w:t xml:space="preserve"> (However, there is no liability for alcohol occupations, other than users of tax-free alcohol and users and dealers of specially denatured spirits, during the previously enacted 3-year ta</w:t>
      </w:r>
      <w:r w:rsidR="004D1604">
        <w:rPr>
          <w:rFonts w:ascii="Arial" w:hAnsi="Arial" w:cs="Arial"/>
          <w:color w:val="auto"/>
          <w:sz w:val="22"/>
          <w:szCs w:val="22"/>
        </w:rPr>
        <w:t>x suspension that ran from July </w:t>
      </w:r>
      <w:r w:rsidRPr="00C35E68">
        <w:rPr>
          <w:rFonts w:ascii="Arial" w:hAnsi="Arial" w:cs="Arial"/>
          <w:color w:val="auto"/>
          <w:sz w:val="22"/>
          <w:szCs w:val="22"/>
        </w:rPr>
        <w:t>1, 2005, through June 30, 2008.)</w:t>
      </w:r>
    </w:p>
    <w:p w14:paraId="25A9BE16" w14:textId="77777777" w:rsidR="00C35E68" w:rsidRDefault="00C35E68" w:rsidP="00C35E68">
      <w:pPr>
        <w:pStyle w:val="NormalWeb"/>
        <w:spacing w:before="0" w:after="0"/>
        <w:ind w:left="360"/>
        <w:rPr>
          <w:rFonts w:ascii="Arial" w:hAnsi="Arial" w:cs="Arial"/>
          <w:color w:val="auto"/>
          <w:sz w:val="22"/>
          <w:szCs w:val="22"/>
        </w:rPr>
      </w:pPr>
    </w:p>
    <w:p w14:paraId="7BEE13ED" w14:textId="77777777" w:rsidR="00C35E68" w:rsidRDefault="00C35E68" w:rsidP="00C35E68">
      <w:pPr>
        <w:pStyle w:val="NormalWeb"/>
        <w:spacing w:before="0" w:after="0"/>
        <w:ind w:left="360"/>
        <w:rPr>
          <w:rFonts w:ascii="Arial" w:hAnsi="Arial" w:cs="Arial"/>
          <w:color w:val="auto"/>
          <w:sz w:val="22"/>
          <w:szCs w:val="22"/>
        </w:rPr>
      </w:pPr>
      <w:r w:rsidRPr="00C35E68">
        <w:rPr>
          <w:rFonts w:ascii="Arial" w:hAnsi="Arial" w:cs="Arial"/>
          <w:color w:val="auto"/>
          <w:sz w:val="22"/>
          <w:szCs w:val="22"/>
        </w:rPr>
        <w:t xml:space="preserve">Section 11125 of </w:t>
      </w:r>
      <w:r w:rsidR="002775A0">
        <w:rPr>
          <w:rFonts w:ascii="Arial" w:hAnsi="Arial" w:cs="Arial"/>
          <w:color w:val="auto"/>
          <w:sz w:val="22"/>
          <w:szCs w:val="22"/>
        </w:rPr>
        <w:t>the Act</w:t>
      </w:r>
      <w:r w:rsidRPr="00C35E68">
        <w:rPr>
          <w:rFonts w:ascii="Arial" w:hAnsi="Arial" w:cs="Arial"/>
          <w:color w:val="auto"/>
          <w:sz w:val="22"/>
          <w:szCs w:val="22"/>
        </w:rPr>
        <w:t xml:space="preserve"> did not affect </w:t>
      </w:r>
      <w:r w:rsidR="006E7BB9">
        <w:rPr>
          <w:rFonts w:ascii="Arial" w:hAnsi="Arial" w:cs="Arial"/>
          <w:color w:val="auto"/>
          <w:sz w:val="22"/>
          <w:szCs w:val="22"/>
        </w:rPr>
        <w:t>the SOT imposed on specified tobacco</w:t>
      </w:r>
      <w:r w:rsidR="00032577">
        <w:rPr>
          <w:rFonts w:ascii="Arial" w:hAnsi="Arial" w:cs="Arial"/>
          <w:color w:val="auto"/>
          <w:sz w:val="22"/>
          <w:szCs w:val="22"/>
        </w:rPr>
        <w:t xml:space="preserve"> occupations by the IRC at 26 U.S.C. 5731.</w:t>
      </w:r>
      <w:r w:rsidR="00032577" w:rsidRPr="00C35E68">
        <w:rPr>
          <w:rFonts w:ascii="Arial" w:hAnsi="Arial" w:cs="Arial"/>
          <w:color w:val="auto"/>
          <w:sz w:val="22"/>
          <w:szCs w:val="22"/>
        </w:rPr>
        <w:t xml:space="preserve"> </w:t>
      </w:r>
      <w:r w:rsidR="00032577">
        <w:rPr>
          <w:rFonts w:ascii="Arial" w:hAnsi="Arial" w:cs="Arial"/>
          <w:color w:val="auto"/>
          <w:sz w:val="22"/>
          <w:szCs w:val="22"/>
        </w:rPr>
        <w:t xml:space="preserve"> T</w:t>
      </w:r>
      <w:r w:rsidRPr="00C35E68">
        <w:rPr>
          <w:rFonts w:ascii="Arial" w:hAnsi="Arial" w:cs="Arial"/>
          <w:color w:val="auto"/>
          <w:sz w:val="22"/>
          <w:szCs w:val="22"/>
        </w:rPr>
        <w:t xml:space="preserve">herefore, </w:t>
      </w:r>
      <w:r w:rsidR="00D43F5A">
        <w:rPr>
          <w:rFonts w:ascii="Arial" w:hAnsi="Arial" w:cs="Arial"/>
          <w:color w:val="auto"/>
          <w:sz w:val="22"/>
          <w:szCs w:val="22"/>
        </w:rPr>
        <w:t xml:space="preserve">the following entities must </w:t>
      </w:r>
      <w:r w:rsidR="00D43F5A" w:rsidRPr="00C35E68">
        <w:rPr>
          <w:rFonts w:ascii="Arial" w:hAnsi="Arial" w:cs="Arial"/>
          <w:color w:val="auto"/>
          <w:sz w:val="22"/>
          <w:szCs w:val="22"/>
        </w:rPr>
        <w:t>continue to register and pay the SOT every year</w:t>
      </w:r>
      <w:r w:rsidR="00D43F5A">
        <w:rPr>
          <w:rFonts w:ascii="Arial" w:hAnsi="Arial" w:cs="Arial"/>
          <w:color w:val="auto"/>
          <w:sz w:val="22"/>
          <w:szCs w:val="22"/>
        </w:rPr>
        <w:t>:</w:t>
      </w:r>
    </w:p>
    <w:p w14:paraId="777F654D" w14:textId="77777777" w:rsidR="00C35E68" w:rsidRPr="00C35E68" w:rsidRDefault="00C35E68" w:rsidP="00C35E68">
      <w:pPr>
        <w:pStyle w:val="NormalWeb"/>
        <w:spacing w:before="0" w:after="0"/>
        <w:ind w:left="360"/>
        <w:rPr>
          <w:rFonts w:ascii="Arial" w:hAnsi="Arial" w:cs="Arial"/>
          <w:color w:val="auto"/>
          <w:sz w:val="22"/>
          <w:szCs w:val="22"/>
        </w:rPr>
      </w:pPr>
    </w:p>
    <w:p w14:paraId="6D5E4510" w14:textId="77777777" w:rsidR="00C35E68" w:rsidRPr="00C35E68" w:rsidRDefault="00032577" w:rsidP="004D1604">
      <w:pPr>
        <w:numPr>
          <w:ilvl w:val="0"/>
          <w:numId w:val="7"/>
        </w:numPr>
        <w:tabs>
          <w:tab w:val="clear" w:pos="720"/>
          <w:tab w:val="left" w:pos="1080"/>
        </w:tabs>
        <w:ind w:right="150" w:firstLine="0"/>
        <w:rPr>
          <w:rFonts w:ascii="Arial" w:hAnsi="Arial" w:cs="Arial"/>
          <w:sz w:val="22"/>
          <w:szCs w:val="22"/>
        </w:rPr>
      </w:pPr>
      <w:r>
        <w:rPr>
          <w:rFonts w:ascii="Arial" w:hAnsi="Arial" w:cs="Arial"/>
          <w:sz w:val="22"/>
          <w:szCs w:val="22"/>
        </w:rPr>
        <w:t xml:space="preserve">manufacturers of </w:t>
      </w:r>
      <w:r w:rsidR="00C35E68" w:rsidRPr="00C35E68">
        <w:rPr>
          <w:rFonts w:ascii="Arial" w:hAnsi="Arial" w:cs="Arial"/>
          <w:sz w:val="22"/>
          <w:szCs w:val="22"/>
        </w:rPr>
        <w:t xml:space="preserve">tobacco products, </w:t>
      </w:r>
    </w:p>
    <w:p w14:paraId="548C6E06" w14:textId="77777777" w:rsidR="00C35E68" w:rsidRPr="00C35E68" w:rsidRDefault="00032577" w:rsidP="004D1604">
      <w:pPr>
        <w:numPr>
          <w:ilvl w:val="0"/>
          <w:numId w:val="7"/>
        </w:numPr>
        <w:tabs>
          <w:tab w:val="clear" w:pos="720"/>
          <w:tab w:val="left" w:pos="1080"/>
        </w:tabs>
        <w:ind w:right="150" w:firstLine="0"/>
        <w:rPr>
          <w:rFonts w:ascii="Arial" w:hAnsi="Arial" w:cs="Arial"/>
          <w:sz w:val="22"/>
          <w:szCs w:val="22"/>
        </w:rPr>
      </w:pPr>
      <w:r>
        <w:rPr>
          <w:rFonts w:ascii="Arial" w:hAnsi="Arial" w:cs="Arial"/>
          <w:sz w:val="22"/>
          <w:szCs w:val="22"/>
        </w:rPr>
        <w:t xml:space="preserve">manufacturers of </w:t>
      </w:r>
      <w:r w:rsidR="00C35E68" w:rsidRPr="00C35E68">
        <w:rPr>
          <w:rFonts w:ascii="Arial" w:hAnsi="Arial" w:cs="Arial"/>
          <w:sz w:val="22"/>
          <w:szCs w:val="22"/>
        </w:rPr>
        <w:t xml:space="preserve">cigarette papers and tubes, and </w:t>
      </w:r>
    </w:p>
    <w:p w14:paraId="2A65B5B8" w14:textId="77777777" w:rsidR="00C35E68" w:rsidRPr="00C35E68" w:rsidRDefault="00C35E68" w:rsidP="004D1604">
      <w:pPr>
        <w:numPr>
          <w:ilvl w:val="0"/>
          <w:numId w:val="7"/>
        </w:numPr>
        <w:tabs>
          <w:tab w:val="clear" w:pos="720"/>
          <w:tab w:val="left" w:pos="1080"/>
        </w:tabs>
        <w:ind w:right="150" w:firstLine="0"/>
        <w:rPr>
          <w:rFonts w:ascii="Arial" w:hAnsi="Arial" w:cs="Arial"/>
          <w:sz w:val="22"/>
          <w:szCs w:val="22"/>
        </w:rPr>
      </w:pPr>
      <w:r w:rsidRPr="00C35E68">
        <w:rPr>
          <w:rFonts w:ascii="Arial" w:hAnsi="Arial" w:cs="Arial"/>
          <w:sz w:val="22"/>
          <w:szCs w:val="22"/>
        </w:rPr>
        <w:t>tobacco export warehouse proprietors</w:t>
      </w:r>
      <w:r w:rsidR="0062346E">
        <w:rPr>
          <w:rFonts w:ascii="Arial" w:hAnsi="Arial" w:cs="Arial"/>
          <w:sz w:val="22"/>
          <w:szCs w:val="22"/>
        </w:rPr>
        <w:t>.</w:t>
      </w:r>
    </w:p>
    <w:p w14:paraId="1AF93002" w14:textId="77777777" w:rsidR="00C35E68" w:rsidRDefault="00C35E68" w:rsidP="00C35E68">
      <w:pPr>
        <w:pStyle w:val="NormalWeb"/>
        <w:spacing w:before="0" w:after="0"/>
        <w:ind w:left="360"/>
        <w:rPr>
          <w:rFonts w:ascii="Arial" w:hAnsi="Arial" w:cs="Arial"/>
          <w:color w:val="auto"/>
          <w:sz w:val="22"/>
          <w:szCs w:val="22"/>
        </w:rPr>
      </w:pPr>
    </w:p>
    <w:p w14:paraId="64B3803C" w14:textId="77777777" w:rsidR="00C35E68" w:rsidRPr="00C35E68" w:rsidRDefault="00C35E68" w:rsidP="00C35E68">
      <w:pPr>
        <w:pStyle w:val="NormalWeb"/>
        <w:spacing w:before="0" w:after="0"/>
        <w:ind w:left="360"/>
        <w:rPr>
          <w:rFonts w:ascii="Arial" w:hAnsi="Arial" w:cs="Arial"/>
          <w:color w:val="auto"/>
          <w:sz w:val="22"/>
          <w:szCs w:val="22"/>
        </w:rPr>
      </w:pPr>
      <w:r w:rsidRPr="00C35E68">
        <w:rPr>
          <w:rFonts w:ascii="Arial" w:hAnsi="Arial" w:cs="Arial"/>
          <w:color w:val="auto"/>
          <w:sz w:val="22"/>
          <w:szCs w:val="22"/>
        </w:rPr>
        <w:t xml:space="preserve">The registration and tax for these </w:t>
      </w:r>
      <w:r w:rsidR="00E351E3">
        <w:rPr>
          <w:rFonts w:ascii="Arial" w:hAnsi="Arial" w:cs="Arial"/>
          <w:color w:val="auto"/>
          <w:sz w:val="22"/>
          <w:szCs w:val="22"/>
        </w:rPr>
        <w:t>entities</w:t>
      </w:r>
      <w:r w:rsidRPr="00C35E68">
        <w:rPr>
          <w:rFonts w:ascii="Arial" w:hAnsi="Arial" w:cs="Arial"/>
          <w:color w:val="auto"/>
          <w:sz w:val="22"/>
          <w:szCs w:val="22"/>
        </w:rPr>
        <w:t xml:space="preserve"> is due</w:t>
      </w:r>
      <w:r w:rsidR="002E7720">
        <w:rPr>
          <w:rFonts w:ascii="Arial" w:hAnsi="Arial" w:cs="Arial"/>
          <w:color w:val="auto"/>
          <w:sz w:val="22"/>
          <w:szCs w:val="22"/>
        </w:rPr>
        <w:t xml:space="preserve"> on or</w:t>
      </w:r>
      <w:r w:rsidRPr="00C35E68">
        <w:rPr>
          <w:rFonts w:ascii="Arial" w:hAnsi="Arial" w:cs="Arial"/>
          <w:color w:val="auto"/>
          <w:sz w:val="22"/>
          <w:szCs w:val="22"/>
        </w:rPr>
        <w:t xml:space="preserve"> before</w:t>
      </w:r>
      <w:r w:rsidR="002E7720">
        <w:rPr>
          <w:rFonts w:ascii="Arial" w:hAnsi="Arial" w:cs="Arial"/>
          <w:color w:val="auto"/>
          <w:sz w:val="22"/>
          <w:szCs w:val="22"/>
        </w:rPr>
        <w:t xml:space="preserve"> the date of commencing</w:t>
      </w:r>
      <w:r w:rsidRPr="00C35E68">
        <w:rPr>
          <w:rFonts w:ascii="Arial" w:hAnsi="Arial" w:cs="Arial"/>
          <w:color w:val="auto"/>
          <w:sz w:val="22"/>
          <w:szCs w:val="22"/>
        </w:rPr>
        <w:t xml:space="preserve"> business, and on or before July 1 of every year after that.</w:t>
      </w:r>
    </w:p>
    <w:p w14:paraId="554B70E3" w14:textId="77777777" w:rsidR="008E7740" w:rsidRDefault="008E7740" w:rsidP="00C35E68">
      <w:pPr>
        <w:ind w:left="360"/>
        <w:rPr>
          <w:rFonts w:ascii="Arial" w:hAnsi="Arial" w:cs="Arial"/>
          <w:sz w:val="22"/>
          <w:szCs w:val="22"/>
        </w:rPr>
      </w:pPr>
    </w:p>
    <w:p w14:paraId="4A368E4E" w14:textId="77777777" w:rsidR="004A316E" w:rsidRPr="000E77A1" w:rsidRDefault="00E351E3" w:rsidP="004A316E">
      <w:pPr>
        <w:pStyle w:val="NormalWeb"/>
        <w:spacing w:before="0" w:after="0"/>
        <w:ind w:left="360"/>
        <w:rPr>
          <w:rFonts w:ascii="Arial" w:hAnsi="Arial" w:cs="Arial"/>
          <w:sz w:val="22"/>
          <w:szCs w:val="22"/>
        </w:rPr>
      </w:pPr>
      <w:r>
        <w:rPr>
          <w:rFonts w:ascii="Arial" w:hAnsi="Arial" w:cs="Arial"/>
          <w:color w:val="000000"/>
          <w:sz w:val="22"/>
          <w:szCs w:val="22"/>
        </w:rPr>
        <w:t xml:space="preserve">As noted above, although </w:t>
      </w:r>
      <w:r w:rsidR="004A316E" w:rsidRPr="000E77A1">
        <w:rPr>
          <w:rFonts w:ascii="Arial" w:hAnsi="Arial" w:cs="Arial"/>
          <w:color w:val="000000"/>
          <w:sz w:val="22"/>
          <w:szCs w:val="22"/>
        </w:rPr>
        <w:t xml:space="preserve">the </w:t>
      </w:r>
      <w:r w:rsidR="002775A0">
        <w:rPr>
          <w:rFonts w:ascii="Arial" w:hAnsi="Arial" w:cs="Arial"/>
          <w:color w:val="000000"/>
          <w:sz w:val="22"/>
          <w:szCs w:val="22"/>
        </w:rPr>
        <w:t>Act</w:t>
      </w:r>
      <w:r w:rsidR="002775A0" w:rsidRPr="000E77A1">
        <w:rPr>
          <w:rFonts w:ascii="Arial" w:hAnsi="Arial" w:cs="Arial"/>
          <w:color w:val="000000"/>
          <w:sz w:val="22"/>
          <w:szCs w:val="22"/>
        </w:rPr>
        <w:t xml:space="preserve"> </w:t>
      </w:r>
      <w:r w:rsidR="004A316E" w:rsidRPr="000E77A1">
        <w:rPr>
          <w:rFonts w:ascii="Arial" w:hAnsi="Arial" w:cs="Arial"/>
          <w:color w:val="000000"/>
          <w:sz w:val="22"/>
          <w:szCs w:val="22"/>
        </w:rPr>
        <w:t xml:space="preserve">repealed the payment of tax for some industry members, the requirement to register </w:t>
      </w:r>
      <w:r w:rsidR="001941D7" w:rsidRPr="000E77A1">
        <w:rPr>
          <w:rFonts w:ascii="Arial" w:hAnsi="Arial" w:cs="Arial"/>
          <w:color w:val="000000"/>
          <w:sz w:val="22"/>
          <w:szCs w:val="22"/>
        </w:rPr>
        <w:t>remain</w:t>
      </w:r>
      <w:r w:rsidR="001941D7">
        <w:rPr>
          <w:rFonts w:ascii="Arial" w:hAnsi="Arial" w:cs="Arial"/>
          <w:color w:val="000000"/>
          <w:sz w:val="22"/>
          <w:szCs w:val="22"/>
        </w:rPr>
        <w:t>s</w:t>
      </w:r>
      <w:r w:rsidR="004A316E" w:rsidRPr="000E77A1">
        <w:rPr>
          <w:rFonts w:ascii="Arial" w:hAnsi="Arial" w:cs="Arial"/>
          <w:color w:val="000000"/>
          <w:sz w:val="22"/>
          <w:szCs w:val="22"/>
        </w:rPr>
        <w:t>.  Therefore, to cover all possibilities, TTB has three separate forms</w:t>
      </w:r>
      <w:r w:rsidR="001672D5">
        <w:rPr>
          <w:rFonts w:ascii="Arial" w:hAnsi="Arial" w:cs="Arial"/>
          <w:color w:val="000000"/>
          <w:sz w:val="22"/>
          <w:szCs w:val="22"/>
        </w:rPr>
        <w:t xml:space="preserve"> related to </w:t>
      </w:r>
      <w:r w:rsidR="0062346E">
        <w:rPr>
          <w:rFonts w:ascii="Arial" w:hAnsi="Arial" w:cs="Arial"/>
          <w:color w:val="000000"/>
          <w:sz w:val="22"/>
          <w:szCs w:val="22"/>
        </w:rPr>
        <w:t xml:space="preserve">registration and </w:t>
      </w:r>
      <w:r w:rsidR="001672D5">
        <w:rPr>
          <w:rFonts w:ascii="Arial" w:hAnsi="Arial" w:cs="Arial"/>
          <w:color w:val="000000"/>
          <w:sz w:val="22"/>
          <w:szCs w:val="22"/>
        </w:rPr>
        <w:t>SOT taxation</w:t>
      </w:r>
      <w:r w:rsidR="004A316E" w:rsidRPr="000E77A1">
        <w:rPr>
          <w:rFonts w:ascii="Arial" w:hAnsi="Arial" w:cs="Arial"/>
          <w:color w:val="000000"/>
          <w:sz w:val="22"/>
          <w:szCs w:val="22"/>
        </w:rPr>
        <w:t xml:space="preserve">: TTB F 5630.5t </w:t>
      </w:r>
      <w:r>
        <w:rPr>
          <w:rFonts w:ascii="Arial" w:hAnsi="Arial" w:cs="Arial"/>
          <w:color w:val="000000"/>
          <w:sz w:val="22"/>
          <w:szCs w:val="22"/>
        </w:rPr>
        <w:t xml:space="preserve">is designed for industry members who must continue to pay SOT and, as a result, it </w:t>
      </w:r>
      <w:r w:rsidR="0057226F">
        <w:rPr>
          <w:rFonts w:ascii="Arial" w:hAnsi="Arial" w:cs="Arial"/>
          <w:color w:val="000000"/>
          <w:sz w:val="22"/>
          <w:szCs w:val="22"/>
        </w:rPr>
        <w:t xml:space="preserve">must be filed by </w:t>
      </w:r>
      <w:r>
        <w:rPr>
          <w:rFonts w:ascii="Arial" w:hAnsi="Arial" w:cs="Arial"/>
          <w:color w:val="000000"/>
          <w:sz w:val="22"/>
          <w:szCs w:val="22"/>
        </w:rPr>
        <w:t>export warehouse proprietors</w:t>
      </w:r>
      <w:r w:rsidR="004A316E" w:rsidRPr="000E77A1">
        <w:rPr>
          <w:rFonts w:ascii="Arial" w:hAnsi="Arial" w:cs="Arial"/>
          <w:color w:val="000000"/>
          <w:sz w:val="22"/>
          <w:szCs w:val="22"/>
        </w:rPr>
        <w:t xml:space="preserve">, </w:t>
      </w:r>
      <w:r>
        <w:rPr>
          <w:rFonts w:ascii="Arial" w:hAnsi="Arial" w:cs="Arial"/>
          <w:color w:val="000000"/>
          <w:sz w:val="22"/>
          <w:szCs w:val="22"/>
        </w:rPr>
        <w:t>manufacturers of tobacco products and manufacturers of cigarette papers and tubes</w:t>
      </w:r>
      <w:r w:rsidR="004A316E" w:rsidRPr="000E77A1">
        <w:rPr>
          <w:rFonts w:ascii="Arial" w:hAnsi="Arial" w:cs="Arial"/>
          <w:color w:val="000000"/>
          <w:sz w:val="22"/>
          <w:szCs w:val="22"/>
        </w:rPr>
        <w:t xml:space="preserve">; TTB F 5630.5d </w:t>
      </w:r>
      <w:r w:rsidR="00D664DB">
        <w:rPr>
          <w:rFonts w:ascii="Arial" w:hAnsi="Arial" w:cs="Arial"/>
          <w:color w:val="000000"/>
          <w:sz w:val="22"/>
          <w:szCs w:val="22"/>
        </w:rPr>
        <w:t xml:space="preserve">pertains to </w:t>
      </w:r>
      <w:r w:rsidR="004A316E" w:rsidRPr="000E77A1">
        <w:rPr>
          <w:rFonts w:ascii="Arial" w:hAnsi="Arial" w:cs="Arial"/>
          <w:color w:val="000000"/>
          <w:sz w:val="22"/>
          <w:szCs w:val="22"/>
        </w:rPr>
        <w:t xml:space="preserve">the registration requirements </w:t>
      </w:r>
      <w:r w:rsidR="00391397">
        <w:rPr>
          <w:rFonts w:ascii="Arial" w:hAnsi="Arial" w:cs="Arial"/>
          <w:color w:val="000000"/>
          <w:sz w:val="22"/>
          <w:szCs w:val="22"/>
        </w:rPr>
        <w:t xml:space="preserve">in effect </w:t>
      </w:r>
      <w:r w:rsidR="004A316E" w:rsidRPr="000E77A1">
        <w:rPr>
          <w:rFonts w:ascii="Arial" w:hAnsi="Arial" w:cs="Arial"/>
          <w:color w:val="000000"/>
          <w:sz w:val="22"/>
          <w:szCs w:val="22"/>
        </w:rPr>
        <w:t>on and after July 1, 2008</w:t>
      </w:r>
      <w:r w:rsidR="00D664DB">
        <w:rPr>
          <w:rFonts w:ascii="Arial" w:hAnsi="Arial" w:cs="Arial"/>
          <w:color w:val="000000"/>
          <w:sz w:val="22"/>
          <w:szCs w:val="22"/>
        </w:rPr>
        <w:t xml:space="preserve"> for certain alcohol dealers</w:t>
      </w:r>
      <w:r w:rsidR="004A316E" w:rsidRPr="000E77A1">
        <w:rPr>
          <w:rFonts w:ascii="Arial" w:hAnsi="Arial" w:cs="Arial"/>
          <w:color w:val="000000"/>
          <w:sz w:val="22"/>
          <w:szCs w:val="22"/>
        </w:rPr>
        <w:t xml:space="preserve">; and TTB F 5630.5a </w:t>
      </w:r>
      <w:r w:rsidR="00D664DB">
        <w:rPr>
          <w:rFonts w:ascii="Arial" w:hAnsi="Arial" w:cs="Arial"/>
          <w:color w:val="000000"/>
          <w:sz w:val="22"/>
          <w:szCs w:val="22"/>
        </w:rPr>
        <w:t>pertains to</w:t>
      </w:r>
      <w:r w:rsidR="004A316E" w:rsidRPr="000E77A1">
        <w:rPr>
          <w:rFonts w:ascii="Arial" w:hAnsi="Arial" w:cs="Arial"/>
          <w:color w:val="000000"/>
          <w:sz w:val="22"/>
          <w:szCs w:val="22"/>
        </w:rPr>
        <w:t xml:space="preserve"> the registration </w:t>
      </w:r>
      <w:r w:rsidR="004A316E" w:rsidRPr="000E77A1">
        <w:rPr>
          <w:rFonts w:ascii="Arial" w:hAnsi="Arial" w:cs="Arial"/>
          <w:color w:val="auto"/>
          <w:sz w:val="22"/>
          <w:szCs w:val="22"/>
        </w:rPr>
        <w:t xml:space="preserve">and/or </w:t>
      </w:r>
      <w:r w:rsidR="00D664DB">
        <w:rPr>
          <w:rFonts w:ascii="Arial" w:hAnsi="Arial" w:cs="Arial"/>
          <w:color w:val="auto"/>
          <w:sz w:val="22"/>
          <w:szCs w:val="22"/>
        </w:rPr>
        <w:t xml:space="preserve">tax </w:t>
      </w:r>
      <w:r w:rsidR="004A316E" w:rsidRPr="000E77A1">
        <w:rPr>
          <w:rFonts w:ascii="Arial" w:hAnsi="Arial" w:cs="Arial"/>
          <w:color w:val="auto"/>
          <w:sz w:val="22"/>
          <w:szCs w:val="22"/>
        </w:rPr>
        <w:t>payment</w:t>
      </w:r>
      <w:r w:rsidR="004A316E" w:rsidRPr="000E77A1">
        <w:rPr>
          <w:rFonts w:ascii="Arial" w:hAnsi="Arial" w:cs="Arial"/>
          <w:color w:val="000000"/>
          <w:sz w:val="22"/>
          <w:szCs w:val="22"/>
        </w:rPr>
        <w:t xml:space="preserve"> requirements</w:t>
      </w:r>
      <w:r w:rsidR="00D664DB">
        <w:rPr>
          <w:rFonts w:ascii="Arial" w:hAnsi="Arial" w:cs="Arial"/>
          <w:color w:val="000000"/>
          <w:sz w:val="22"/>
          <w:szCs w:val="22"/>
        </w:rPr>
        <w:t xml:space="preserve"> that were</w:t>
      </w:r>
      <w:r w:rsidR="004A316E" w:rsidRPr="000E77A1">
        <w:rPr>
          <w:rFonts w:ascii="Arial" w:hAnsi="Arial" w:cs="Arial"/>
          <w:color w:val="000000"/>
          <w:sz w:val="22"/>
          <w:szCs w:val="22"/>
        </w:rPr>
        <w:t xml:space="preserve"> </w:t>
      </w:r>
      <w:r w:rsidR="00391397">
        <w:rPr>
          <w:rFonts w:ascii="Arial" w:hAnsi="Arial" w:cs="Arial"/>
          <w:color w:val="000000"/>
          <w:sz w:val="22"/>
          <w:szCs w:val="22"/>
        </w:rPr>
        <w:t xml:space="preserve">in effect </w:t>
      </w:r>
      <w:r w:rsidR="004A316E" w:rsidRPr="000E77A1">
        <w:rPr>
          <w:rFonts w:ascii="Arial" w:hAnsi="Arial" w:cs="Arial"/>
          <w:color w:val="000000"/>
          <w:sz w:val="22"/>
          <w:szCs w:val="22"/>
        </w:rPr>
        <w:t xml:space="preserve">on and before </w:t>
      </w:r>
      <w:r w:rsidR="004A316E">
        <w:rPr>
          <w:rFonts w:ascii="Arial" w:hAnsi="Arial" w:cs="Arial"/>
          <w:color w:val="000000"/>
          <w:sz w:val="22"/>
          <w:szCs w:val="22"/>
        </w:rPr>
        <w:t>June</w:t>
      </w:r>
      <w:r w:rsidR="004A316E" w:rsidRPr="000E77A1">
        <w:rPr>
          <w:rFonts w:ascii="Arial" w:hAnsi="Arial" w:cs="Arial"/>
          <w:color w:val="000000"/>
          <w:sz w:val="22"/>
          <w:szCs w:val="22"/>
        </w:rPr>
        <w:t xml:space="preserve"> </w:t>
      </w:r>
      <w:r w:rsidR="004A316E">
        <w:rPr>
          <w:rFonts w:ascii="Arial" w:hAnsi="Arial" w:cs="Arial"/>
          <w:color w:val="000000"/>
          <w:sz w:val="22"/>
          <w:szCs w:val="22"/>
        </w:rPr>
        <w:t>30</w:t>
      </w:r>
      <w:r w:rsidR="004A316E" w:rsidRPr="000E77A1">
        <w:rPr>
          <w:rFonts w:ascii="Arial" w:hAnsi="Arial" w:cs="Arial"/>
          <w:color w:val="000000"/>
          <w:sz w:val="22"/>
          <w:szCs w:val="22"/>
        </w:rPr>
        <w:t>, 2008</w:t>
      </w:r>
      <w:r w:rsidR="00D664DB">
        <w:rPr>
          <w:rFonts w:ascii="Arial" w:hAnsi="Arial" w:cs="Arial"/>
          <w:color w:val="000000"/>
          <w:sz w:val="22"/>
          <w:szCs w:val="22"/>
        </w:rPr>
        <w:t xml:space="preserve"> for certain alcohol-related occupations</w:t>
      </w:r>
      <w:r w:rsidR="004A316E" w:rsidRPr="000E77A1">
        <w:rPr>
          <w:rFonts w:ascii="Arial" w:hAnsi="Arial" w:cs="Arial"/>
          <w:color w:val="000000"/>
          <w:sz w:val="22"/>
          <w:szCs w:val="22"/>
        </w:rPr>
        <w:t>. </w:t>
      </w:r>
    </w:p>
    <w:p w14:paraId="29FE1802" w14:textId="77777777" w:rsidR="004A316E" w:rsidRPr="000E77A1" w:rsidRDefault="004A316E" w:rsidP="004A316E">
      <w:pPr>
        <w:suppressAutoHyphens/>
        <w:ind w:left="360"/>
        <w:rPr>
          <w:rFonts w:ascii="Arial" w:hAnsi="Arial" w:cs="Arial"/>
          <w:sz w:val="22"/>
          <w:szCs w:val="22"/>
        </w:rPr>
      </w:pPr>
    </w:p>
    <w:p w14:paraId="13EBDE1E" w14:textId="77777777" w:rsidR="004A316E" w:rsidRDefault="004A316E" w:rsidP="004A316E">
      <w:pPr>
        <w:widowControl w:val="0"/>
        <w:suppressAutoHyphens/>
        <w:autoSpaceDE w:val="0"/>
        <w:autoSpaceDN w:val="0"/>
        <w:adjustRightInd w:val="0"/>
        <w:ind w:left="360"/>
        <w:rPr>
          <w:rFonts w:ascii="Arial" w:hAnsi="Arial" w:cs="Arial"/>
          <w:sz w:val="22"/>
          <w:szCs w:val="22"/>
        </w:rPr>
      </w:pPr>
      <w:r>
        <w:rPr>
          <w:rFonts w:ascii="Arial" w:hAnsi="Arial" w:cs="Arial"/>
          <w:sz w:val="22"/>
          <w:szCs w:val="22"/>
        </w:rPr>
        <w:t xml:space="preserve">The implementing regulations regarding the registration and payment of SOT </w:t>
      </w:r>
      <w:r w:rsidR="00483B43">
        <w:rPr>
          <w:rFonts w:ascii="Arial" w:hAnsi="Arial" w:cs="Arial"/>
          <w:sz w:val="22"/>
          <w:szCs w:val="22"/>
        </w:rPr>
        <w:t xml:space="preserve">and that reflect information collection requirements </w:t>
      </w:r>
      <w:r>
        <w:rPr>
          <w:rFonts w:ascii="Arial" w:hAnsi="Arial" w:cs="Arial"/>
          <w:sz w:val="22"/>
          <w:szCs w:val="22"/>
        </w:rPr>
        <w:t>are found in 27 CFR:</w:t>
      </w:r>
    </w:p>
    <w:p w14:paraId="5AB4F31F" w14:textId="77777777" w:rsidR="004A316E" w:rsidRDefault="004A316E" w:rsidP="004A316E">
      <w:pPr>
        <w:widowControl w:val="0"/>
        <w:suppressAutoHyphens/>
        <w:autoSpaceDE w:val="0"/>
        <w:autoSpaceDN w:val="0"/>
        <w:adjustRightInd w:val="0"/>
        <w:ind w:left="360"/>
        <w:rPr>
          <w:rFonts w:ascii="Arial" w:hAnsi="Arial" w:cs="Arial"/>
          <w:sz w:val="22"/>
          <w:szCs w:val="22"/>
        </w:rPr>
      </w:pPr>
    </w:p>
    <w:tbl>
      <w:tblPr>
        <w:tblStyle w:val="TableGrid"/>
        <w:tblW w:w="0" w:type="auto"/>
        <w:tblInd w:w="985" w:type="dxa"/>
        <w:tblLook w:val="04A0" w:firstRow="1" w:lastRow="0" w:firstColumn="1" w:lastColumn="0" w:noHBand="0" w:noVBand="1"/>
      </w:tblPr>
      <w:tblGrid>
        <w:gridCol w:w="2520"/>
        <w:gridCol w:w="2520"/>
        <w:gridCol w:w="2520"/>
      </w:tblGrid>
      <w:tr w:rsidR="001C1C26" w14:paraId="5DAC4AA7" w14:textId="77777777" w:rsidTr="00285A19">
        <w:tc>
          <w:tcPr>
            <w:tcW w:w="2520" w:type="dxa"/>
          </w:tcPr>
          <w:p w14:paraId="6ADFDE60" w14:textId="77777777" w:rsidR="001C1C26" w:rsidRDefault="001C1C26" w:rsidP="004A316E">
            <w:pPr>
              <w:widowControl w:val="0"/>
              <w:suppressAutoHyphens/>
              <w:autoSpaceDE w:val="0"/>
              <w:autoSpaceDN w:val="0"/>
              <w:adjustRightInd w:val="0"/>
              <w:rPr>
                <w:rFonts w:ascii="Arial" w:hAnsi="Arial" w:cs="Arial"/>
                <w:sz w:val="22"/>
                <w:szCs w:val="22"/>
              </w:rPr>
            </w:pPr>
            <w:r>
              <w:rPr>
                <w:rFonts w:ascii="Arial" w:hAnsi="Arial" w:cs="Arial"/>
                <w:sz w:val="22"/>
                <w:szCs w:val="22"/>
              </w:rPr>
              <w:t>31.11</w:t>
            </w:r>
          </w:p>
          <w:p w14:paraId="2962FB38" w14:textId="77777777" w:rsidR="001C1C26" w:rsidRDefault="001C1C26" w:rsidP="004A316E">
            <w:pPr>
              <w:widowControl w:val="0"/>
              <w:suppressAutoHyphens/>
              <w:autoSpaceDE w:val="0"/>
              <w:autoSpaceDN w:val="0"/>
              <w:adjustRightInd w:val="0"/>
              <w:rPr>
                <w:rFonts w:ascii="Arial" w:hAnsi="Arial" w:cs="Arial"/>
                <w:sz w:val="22"/>
                <w:szCs w:val="22"/>
              </w:rPr>
            </w:pPr>
            <w:r>
              <w:rPr>
                <w:rFonts w:ascii="Arial" w:hAnsi="Arial" w:cs="Arial"/>
                <w:sz w:val="22"/>
                <w:szCs w:val="22"/>
              </w:rPr>
              <w:t>31.112</w:t>
            </w:r>
          </w:p>
          <w:p w14:paraId="554C4E03" w14:textId="77777777" w:rsidR="001C1C26" w:rsidRDefault="001C1C26" w:rsidP="004A316E">
            <w:pPr>
              <w:widowControl w:val="0"/>
              <w:suppressAutoHyphens/>
              <w:autoSpaceDE w:val="0"/>
              <w:autoSpaceDN w:val="0"/>
              <w:adjustRightInd w:val="0"/>
              <w:rPr>
                <w:rFonts w:ascii="Arial" w:hAnsi="Arial" w:cs="Arial"/>
                <w:sz w:val="22"/>
                <w:szCs w:val="22"/>
              </w:rPr>
            </w:pPr>
            <w:r>
              <w:rPr>
                <w:rFonts w:ascii="Arial" w:hAnsi="Arial" w:cs="Arial"/>
                <w:sz w:val="22"/>
                <w:szCs w:val="22"/>
              </w:rPr>
              <w:t>31.113</w:t>
            </w:r>
          </w:p>
          <w:p w14:paraId="6B59AB8B" w14:textId="77777777" w:rsidR="001C1C26" w:rsidRDefault="001C1C26" w:rsidP="004A316E">
            <w:pPr>
              <w:widowControl w:val="0"/>
              <w:suppressAutoHyphens/>
              <w:autoSpaceDE w:val="0"/>
              <w:autoSpaceDN w:val="0"/>
              <w:adjustRightInd w:val="0"/>
              <w:rPr>
                <w:rFonts w:ascii="Arial" w:hAnsi="Arial" w:cs="Arial"/>
                <w:sz w:val="22"/>
                <w:szCs w:val="22"/>
              </w:rPr>
            </w:pPr>
            <w:r>
              <w:rPr>
                <w:rFonts w:ascii="Arial" w:hAnsi="Arial" w:cs="Arial"/>
                <w:sz w:val="22"/>
                <w:szCs w:val="22"/>
              </w:rPr>
              <w:t>31.114</w:t>
            </w:r>
          </w:p>
          <w:p w14:paraId="72DE446B" w14:textId="53F3B38E" w:rsidR="006F3B94" w:rsidRDefault="006F3B94" w:rsidP="004A316E">
            <w:pPr>
              <w:widowControl w:val="0"/>
              <w:suppressAutoHyphens/>
              <w:autoSpaceDE w:val="0"/>
              <w:autoSpaceDN w:val="0"/>
              <w:adjustRightInd w:val="0"/>
              <w:rPr>
                <w:rFonts w:ascii="Arial" w:hAnsi="Arial" w:cs="Arial"/>
                <w:sz w:val="22"/>
                <w:szCs w:val="22"/>
              </w:rPr>
            </w:pPr>
            <w:r>
              <w:rPr>
                <w:rFonts w:ascii="Arial" w:hAnsi="Arial" w:cs="Arial"/>
                <w:sz w:val="22"/>
                <w:szCs w:val="22"/>
              </w:rPr>
              <w:t>31.115</w:t>
            </w:r>
          </w:p>
          <w:p w14:paraId="6A16E742" w14:textId="77777777" w:rsidR="001C1C26" w:rsidRDefault="001C1C26" w:rsidP="004A316E">
            <w:pPr>
              <w:widowControl w:val="0"/>
              <w:suppressAutoHyphens/>
              <w:autoSpaceDE w:val="0"/>
              <w:autoSpaceDN w:val="0"/>
              <w:adjustRightInd w:val="0"/>
              <w:rPr>
                <w:rFonts w:ascii="Arial" w:hAnsi="Arial" w:cs="Arial"/>
                <w:sz w:val="22"/>
                <w:szCs w:val="22"/>
              </w:rPr>
            </w:pPr>
            <w:r>
              <w:rPr>
                <w:rFonts w:ascii="Arial" w:hAnsi="Arial" w:cs="Arial"/>
                <w:sz w:val="22"/>
                <w:szCs w:val="22"/>
              </w:rPr>
              <w:t>31.116</w:t>
            </w:r>
          </w:p>
          <w:p w14:paraId="0BB2C13F" w14:textId="77777777" w:rsidR="001C1C26" w:rsidRDefault="001C1C26" w:rsidP="004A316E">
            <w:pPr>
              <w:widowControl w:val="0"/>
              <w:suppressAutoHyphens/>
              <w:autoSpaceDE w:val="0"/>
              <w:autoSpaceDN w:val="0"/>
              <w:adjustRightInd w:val="0"/>
              <w:rPr>
                <w:rFonts w:ascii="Arial" w:hAnsi="Arial" w:cs="Arial"/>
                <w:sz w:val="22"/>
                <w:szCs w:val="22"/>
              </w:rPr>
            </w:pPr>
            <w:r>
              <w:rPr>
                <w:rFonts w:ascii="Arial" w:hAnsi="Arial" w:cs="Arial"/>
                <w:sz w:val="22"/>
                <w:szCs w:val="22"/>
              </w:rPr>
              <w:t>31.121</w:t>
            </w:r>
          </w:p>
          <w:p w14:paraId="63AC416F" w14:textId="77777777" w:rsidR="001C1C26" w:rsidRDefault="001C1C26" w:rsidP="004A316E">
            <w:pPr>
              <w:widowControl w:val="0"/>
              <w:suppressAutoHyphens/>
              <w:autoSpaceDE w:val="0"/>
              <w:autoSpaceDN w:val="0"/>
              <w:adjustRightInd w:val="0"/>
              <w:rPr>
                <w:rFonts w:ascii="Arial" w:hAnsi="Arial" w:cs="Arial"/>
                <w:sz w:val="22"/>
                <w:szCs w:val="22"/>
              </w:rPr>
            </w:pPr>
            <w:r>
              <w:rPr>
                <w:rFonts w:ascii="Arial" w:hAnsi="Arial" w:cs="Arial"/>
                <w:sz w:val="22"/>
                <w:szCs w:val="22"/>
              </w:rPr>
              <w:t>31.122</w:t>
            </w:r>
          </w:p>
          <w:p w14:paraId="62573E53" w14:textId="77777777" w:rsidR="001C1C26" w:rsidRDefault="001C1C26" w:rsidP="004A316E">
            <w:pPr>
              <w:widowControl w:val="0"/>
              <w:suppressAutoHyphens/>
              <w:autoSpaceDE w:val="0"/>
              <w:autoSpaceDN w:val="0"/>
              <w:adjustRightInd w:val="0"/>
              <w:rPr>
                <w:rFonts w:ascii="Arial" w:hAnsi="Arial" w:cs="Arial"/>
                <w:sz w:val="22"/>
                <w:szCs w:val="22"/>
              </w:rPr>
            </w:pPr>
            <w:r>
              <w:rPr>
                <w:rFonts w:ascii="Arial" w:hAnsi="Arial" w:cs="Arial"/>
                <w:sz w:val="22"/>
                <w:szCs w:val="22"/>
              </w:rPr>
              <w:t>31.123</w:t>
            </w:r>
          </w:p>
          <w:p w14:paraId="47FEF1C9" w14:textId="77777777" w:rsidR="001C1C26" w:rsidRDefault="001C1C26" w:rsidP="004A316E">
            <w:pPr>
              <w:widowControl w:val="0"/>
              <w:suppressAutoHyphens/>
              <w:autoSpaceDE w:val="0"/>
              <w:autoSpaceDN w:val="0"/>
              <w:adjustRightInd w:val="0"/>
              <w:rPr>
                <w:rFonts w:ascii="Arial" w:hAnsi="Arial" w:cs="Arial"/>
                <w:sz w:val="22"/>
                <w:szCs w:val="22"/>
              </w:rPr>
            </w:pPr>
            <w:r>
              <w:rPr>
                <w:rFonts w:ascii="Arial" w:hAnsi="Arial" w:cs="Arial"/>
                <w:sz w:val="22"/>
                <w:szCs w:val="22"/>
              </w:rPr>
              <w:t>31.124</w:t>
            </w:r>
          </w:p>
          <w:p w14:paraId="1A8E7A9F" w14:textId="77777777" w:rsidR="001C1C26" w:rsidRDefault="001C1C26" w:rsidP="004A316E">
            <w:pPr>
              <w:widowControl w:val="0"/>
              <w:suppressAutoHyphens/>
              <w:autoSpaceDE w:val="0"/>
              <w:autoSpaceDN w:val="0"/>
              <w:adjustRightInd w:val="0"/>
              <w:rPr>
                <w:rFonts w:ascii="Arial" w:hAnsi="Arial" w:cs="Arial"/>
                <w:sz w:val="22"/>
                <w:szCs w:val="22"/>
              </w:rPr>
            </w:pPr>
            <w:r>
              <w:rPr>
                <w:rFonts w:ascii="Arial" w:hAnsi="Arial" w:cs="Arial"/>
                <w:sz w:val="22"/>
                <w:szCs w:val="22"/>
              </w:rPr>
              <w:t>31.125</w:t>
            </w:r>
          </w:p>
          <w:p w14:paraId="6702EDFE" w14:textId="77777777" w:rsidR="001C1C26" w:rsidRDefault="001C1C26" w:rsidP="004A316E">
            <w:pPr>
              <w:widowControl w:val="0"/>
              <w:suppressAutoHyphens/>
              <w:autoSpaceDE w:val="0"/>
              <w:autoSpaceDN w:val="0"/>
              <w:adjustRightInd w:val="0"/>
              <w:rPr>
                <w:rFonts w:ascii="Arial" w:hAnsi="Arial" w:cs="Arial"/>
                <w:sz w:val="22"/>
                <w:szCs w:val="22"/>
              </w:rPr>
            </w:pPr>
            <w:r>
              <w:rPr>
                <w:rFonts w:ascii="Arial" w:hAnsi="Arial" w:cs="Arial"/>
                <w:sz w:val="22"/>
                <w:szCs w:val="22"/>
              </w:rPr>
              <w:t>31.131</w:t>
            </w:r>
          </w:p>
          <w:p w14:paraId="76710701" w14:textId="77777777" w:rsidR="001C1C26" w:rsidRDefault="001C1C26" w:rsidP="004A316E">
            <w:pPr>
              <w:widowControl w:val="0"/>
              <w:suppressAutoHyphens/>
              <w:autoSpaceDE w:val="0"/>
              <w:autoSpaceDN w:val="0"/>
              <w:adjustRightInd w:val="0"/>
              <w:rPr>
                <w:rFonts w:ascii="Arial" w:hAnsi="Arial" w:cs="Arial"/>
                <w:sz w:val="22"/>
                <w:szCs w:val="22"/>
              </w:rPr>
            </w:pPr>
            <w:r>
              <w:rPr>
                <w:rFonts w:ascii="Arial" w:hAnsi="Arial" w:cs="Arial"/>
                <w:sz w:val="22"/>
                <w:szCs w:val="22"/>
              </w:rPr>
              <w:t>31.132</w:t>
            </w:r>
          </w:p>
          <w:p w14:paraId="6926BA7B" w14:textId="77777777" w:rsidR="001C1C26" w:rsidRDefault="001C1C26" w:rsidP="004A316E">
            <w:pPr>
              <w:widowControl w:val="0"/>
              <w:suppressAutoHyphens/>
              <w:autoSpaceDE w:val="0"/>
              <w:autoSpaceDN w:val="0"/>
              <w:adjustRightInd w:val="0"/>
              <w:rPr>
                <w:rFonts w:ascii="Arial" w:hAnsi="Arial" w:cs="Arial"/>
                <w:sz w:val="22"/>
                <w:szCs w:val="22"/>
              </w:rPr>
            </w:pPr>
            <w:r>
              <w:rPr>
                <w:rFonts w:ascii="Arial" w:hAnsi="Arial" w:cs="Arial"/>
                <w:sz w:val="22"/>
                <w:szCs w:val="22"/>
              </w:rPr>
              <w:t>31.133</w:t>
            </w:r>
          </w:p>
          <w:p w14:paraId="0DCCEA1C" w14:textId="77777777" w:rsidR="001C1C26" w:rsidRDefault="001C1C26" w:rsidP="004A316E">
            <w:pPr>
              <w:widowControl w:val="0"/>
              <w:suppressAutoHyphens/>
              <w:autoSpaceDE w:val="0"/>
              <w:autoSpaceDN w:val="0"/>
              <w:adjustRightInd w:val="0"/>
              <w:rPr>
                <w:rFonts w:ascii="Arial" w:hAnsi="Arial" w:cs="Arial"/>
                <w:sz w:val="22"/>
                <w:szCs w:val="22"/>
              </w:rPr>
            </w:pPr>
            <w:r>
              <w:rPr>
                <w:rFonts w:ascii="Arial" w:hAnsi="Arial" w:cs="Arial"/>
                <w:sz w:val="22"/>
                <w:szCs w:val="22"/>
              </w:rPr>
              <w:t>31.134</w:t>
            </w:r>
          </w:p>
          <w:p w14:paraId="093DFD75" w14:textId="77777777" w:rsidR="001C1C26" w:rsidRDefault="001C1C26" w:rsidP="004A316E">
            <w:pPr>
              <w:widowControl w:val="0"/>
              <w:suppressAutoHyphens/>
              <w:autoSpaceDE w:val="0"/>
              <w:autoSpaceDN w:val="0"/>
              <w:adjustRightInd w:val="0"/>
              <w:rPr>
                <w:rFonts w:ascii="Arial" w:hAnsi="Arial" w:cs="Arial"/>
                <w:sz w:val="22"/>
                <w:szCs w:val="22"/>
              </w:rPr>
            </w:pPr>
            <w:r>
              <w:rPr>
                <w:rFonts w:ascii="Arial" w:hAnsi="Arial" w:cs="Arial"/>
                <w:sz w:val="22"/>
                <w:szCs w:val="22"/>
              </w:rPr>
              <w:t>31.135</w:t>
            </w:r>
          </w:p>
          <w:p w14:paraId="2A311758" w14:textId="77777777" w:rsidR="001C1C26" w:rsidRDefault="001C1C26" w:rsidP="004A316E">
            <w:pPr>
              <w:widowControl w:val="0"/>
              <w:suppressAutoHyphens/>
              <w:autoSpaceDE w:val="0"/>
              <w:autoSpaceDN w:val="0"/>
              <w:adjustRightInd w:val="0"/>
              <w:rPr>
                <w:rFonts w:ascii="Arial" w:hAnsi="Arial" w:cs="Arial"/>
                <w:sz w:val="22"/>
                <w:szCs w:val="22"/>
              </w:rPr>
            </w:pPr>
            <w:r>
              <w:rPr>
                <w:rFonts w:ascii="Arial" w:hAnsi="Arial" w:cs="Arial"/>
                <w:sz w:val="22"/>
                <w:szCs w:val="22"/>
              </w:rPr>
              <w:t>31.136</w:t>
            </w:r>
          </w:p>
          <w:p w14:paraId="38595A65" w14:textId="77777777" w:rsidR="001C1C26" w:rsidRDefault="001C1C26" w:rsidP="004A316E">
            <w:pPr>
              <w:widowControl w:val="0"/>
              <w:suppressAutoHyphens/>
              <w:autoSpaceDE w:val="0"/>
              <w:autoSpaceDN w:val="0"/>
              <w:adjustRightInd w:val="0"/>
              <w:rPr>
                <w:rFonts w:ascii="Arial" w:hAnsi="Arial" w:cs="Arial"/>
                <w:sz w:val="22"/>
                <w:szCs w:val="22"/>
              </w:rPr>
            </w:pPr>
            <w:r>
              <w:rPr>
                <w:rFonts w:ascii="Arial" w:hAnsi="Arial" w:cs="Arial"/>
                <w:sz w:val="22"/>
                <w:szCs w:val="22"/>
              </w:rPr>
              <w:t>31.138</w:t>
            </w:r>
          </w:p>
          <w:p w14:paraId="56ED9CD9" w14:textId="77777777" w:rsidR="001C1C26" w:rsidRDefault="001C1C26" w:rsidP="004A316E">
            <w:pPr>
              <w:widowControl w:val="0"/>
              <w:suppressAutoHyphens/>
              <w:autoSpaceDE w:val="0"/>
              <w:autoSpaceDN w:val="0"/>
              <w:adjustRightInd w:val="0"/>
              <w:rPr>
                <w:rFonts w:ascii="Arial" w:hAnsi="Arial" w:cs="Arial"/>
                <w:sz w:val="22"/>
                <w:szCs w:val="22"/>
              </w:rPr>
            </w:pPr>
            <w:r>
              <w:rPr>
                <w:rFonts w:ascii="Arial" w:hAnsi="Arial" w:cs="Arial"/>
                <w:sz w:val="22"/>
                <w:szCs w:val="22"/>
              </w:rPr>
              <w:t>31.234</w:t>
            </w:r>
          </w:p>
        </w:tc>
        <w:tc>
          <w:tcPr>
            <w:tcW w:w="2520" w:type="dxa"/>
          </w:tcPr>
          <w:p w14:paraId="74A70799" w14:textId="77777777" w:rsidR="001C1C26" w:rsidRDefault="001C1C26" w:rsidP="004A316E">
            <w:pPr>
              <w:widowControl w:val="0"/>
              <w:suppressAutoHyphens/>
              <w:autoSpaceDE w:val="0"/>
              <w:autoSpaceDN w:val="0"/>
              <w:adjustRightInd w:val="0"/>
              <w:rPr>
                <w:rFonts w:ascii="Arial" w:hAnsi="Arial" w:cs="Arial"/>
                <w:sz w:val="22"/>
                <w:szCs w:val="22"/>
              </w:rPr>
            </w:pPr>
            <w:r>
              <w:rPr>
                <w:rFonts w:ascii="Arial" w:hAnsi="Arial" w:cs="Arial"/>
                <w:sz w:val="22"/>
                <w:szCs w:val="22"/>
              </w:rPr>
              <w:t>40.31</w:t>
            </w:r>
          </w:p>
          <w:p w14:paraId="46DB5F75" w14:textId="77777777" w:rsidR="008A6E89" w:rsidRDefault="008A6E89" w:rsidP="004A316E">
            <w:pPr>
              <w:widowControl w:val="0"/>
              <w:suppressAutoHyphens/>
              <w:autoSpaceDE w:val="0"/>
              <w:autoSpaceDN w:val="0"/>
              <w:adjustRightInd w:val="0"/>
              <w:rPr>
                <w:rFonts w:ascii="Arial" w:hAnsi="Arial" w:cs="Arial"/>
                <w:sz w:val="22"/>
                <w:szCs w:val="22"/>
              </w:rPr>
            </w:pPr>
            <w:r>
              <w:rPr>
                <w:rFonts w:ascii="Arial" w:hAnsi="Arial" w:cs="Arial"/>
                <w:sz w:val="22"/>
                <w:szCs w:val="22"/>
              </w:rPr>
              <w:t>40.359</w:t>
            </w:r>
          </w:p>
          <w:p w14:paraId="68E9F47A" w14:textId="77777777" w:rsidR="001C1C26" w:rsidRDefault="001C1C26" w:rsidP="004A316E">
            <w:pPr>
              <w:widowControl w:val="0"/>
              <w:suppressAutoHyphens/>
              <w:autoSpaceDE w:val="0"/>
              <w:autoSpaceDN w:val="0"/>
              <w:adjustRightInd w:val="0"/>
              <w:rPr>
                <w:rFonts w:ascii="Arial" w:hAnsi="Arial" w:cs="Arial"/>
                <w:sz w:val="22"/>
                <w:szCs w:val="22"/>
              </w:rPr>
            </w:pPr>
            <w:r>
              <w:rPr>
                <w:rFonts w:ascii="Arial" w:hAnsi="Arial" w:cs="Arial"/>
                <w:sz w:val="22"/>
                <w:szCs w:val="22"/>
              </w:rPr>
              <w:t>40.371</w:t>
            </w:r>
          </w:p>
          <w:p w14:paraId="7254D884" w14:textId="77777777" w:rsidR="001C1C26" w:rsidRDefault="001C1C26" w:rsidP="004A316E">
            <w:pPr>
              <w:widowControl w:val="0"/>
              <w:suppressAutoHyphens/>
              <w:autoSpaceDE w:val="0"/>
              <w:autoSpaceDN w:val="0"/>
              <w:adjustRightInd w:val="0"/>
              <w:rPr>
                <w:rFonts w:ascii="Arial" w:hAnsi="Arial" w:cs="Arial"/>
                <w:sz w:val="22"/>
                <w:szCs w:val="22"/>
              </w:rPr>
            </w:pPr>
          </w:p>
          <w:p w14:paraId="3C0324E2" w14:textId="77777777" w:rsidR="001C1C26" w:rsidRDefault="001C1C26" w:rsidP="004A316E">
            <w:pPr>
              <w:widowControl w:val="0"/>
              <w:suppressAutoHyphens/>
              <w:autoSpaceDE w:val="0"/>
              <w:autoSpaceDN w:val="0"/>
              <w:adjustRightInd w:val="0"/>
              <w:rPr>
                <w:rFonts w:ascii="Arial" w:hAnsi="Arial" w:cs="Arial"/>
                <w:sz w:val="22"/>
                <w:szCs w:val="22"/>
              </w:rPr>
            </w:pPr>
          </w:p>
          <w:p w14:paraId="5FAABF5A" w14:textId="77777777" w:rsidR="001C1C26" w:rsidRDefault="001C1C26" w:rsidP="004A316E">
            <w:pPr>
              <w:widowControl w:val="0"/>
              <w:suppressAutoHyphens/>
              <w:autoSpaceDE w:val="0"/>
              <w:autoSpaceDN w:val="0"/>
              <w:adjustRightInd w:val="0"/>
              <w:rPr>
                <w:rFonts w:ascii="Arial" w:hAnsi="Arial" w:cs="Arial"/>
                <w:sz w:val="22"/>
                <w:szCs w:val="22"/>
              </w:rPr>
            </w:pPr>
            <w:r>
              <w:rPr>
                <w:rFonts w:ascii="Arial" w:hAnsi="Arial" w:cs="Arial"/>
                <w:sz w:val="22"/>
                <w:szCs w:val="22"/>
              </w:rPr>
              <w:t>44.31</w:t>
            </w:r>
          </w:p>
        </w:tc>
        <w:tc>
          <w:tcPr>
            <w:tcW w:w="2520" w:type="dxa"/>
          </w:tcPr>
          <w:p w14:paraId="347BC3F3" w14:textId="77777777" w:rsidR="001C1C26" w:rsidRDefault="001C1C26" w:rsidP="004A316E">
            <w:pPr>
              <w:widowControl w:val="0"/>
              <w:suppressAutoHyphens/>
              <w:autoSpaceDE w:val="0"/>
              <w:autoSpaceDN w:val="0"/>
              <w:adjustRightInd w:val="0"/>
              <w:rPr>
                <w:rFonts w:ascii="Arial" w:hAnsi="Arial" w:cs="Arial"/>
                <w:sz w:val="22"/>
                <w:szCs w:val="22"/>
              </w:rPr>
            </w:pPr>
            <w:r>
              <w:rPr>
                <w:rFonts w:ascii="Arial" w:hAnsi="Arial" w:cs="Arial"/>
                <w:sz w:val="22"/>
                <w:szCs w:val="22"/>
              </w:rPr>
              <w:t>46.101</w:t>
            </w:r>
          </w:p>
          <w:p w14:paraId="0B191C78" w14:textId="77777777" w:rsidR="001C1C26" w:rsidRDefault="001C1C26" w:rsidP="004A316E">
            <w:pPr>
              <w:widowControl w:val="0"/>
              <w:suppressAutoHyphens/>
              <w:autoSpaceDE w:val="0"/>
              <w:autoSpaceDN w:val="0"/>
              <w:adjustRightInd w:val="0"/>
              <w:rPr>
                <w:rFonts w:ascii="Arial" w:hAnsi="Arial" w:cs="Arial"/>
                <w:sz w:val="22"/>
                <w:szCs w:val="22"/>
              </w:rPr>
            </w:pPr>
            <w:r>
              <w:rPr>
                <w:rFonts w:ascii="Arial" w:hAnsi="Arial" w:cs="Arial"/>
                <w:sz w:val="22"/>
                <w:szCs w:val="22"/>
              </w:rPr>
              <w:t>46.107</w:t>
            </w:r>
          </w:p>
          <w:p w14:paraId="5D65DD3E" w14:textId="77777777" w:rsidR="001C1C26" w:rsidRDefault="001C1C26" w:rsidP="004A316E">
            <w:pPr>
              <w:widowControl w:val="0"/>
              <w:suppressAutoHyphens/>
              <w:autoSpaceDE w:val="0"/>
              <w:autoSpaceDN w:val="0"/>
              <w:adjustRightInd w:val="0"/>
              <w:rPr>
                <w:rFonts w:ascii="Arial" w:hAnsi="Arial" w:cs="Arial"/>
                <w:sz w:val="22"/>
                <w:szCs w:val="22"/>
              </w:rPr>
            </w:pPr>
            <w:r>
              <w:rPr>
                <w:rFonts w:ascii="Arial" w:hAnsi="Arial" w:cs="Arial"/>
                <w:sz w:val="22"/>
                <w:szCs w:val="22"/>
              </w:rPr>
              <w:t>46.116</w:t>
            </w:r>
          </w:p>
          <w:p w14:paraId="27E56F76" w14:textId="77777777" w:rsidR="001C1C26" w:rsidRDefault="001C1C26" w:rsidP="004A316E">
            <w:pPr>
              <w:widowControl w:val="0"/>
              <w:suppressAutoHyphens/>
              <w:autoSpaceDE w:val="0"/>
              <w:autoSpaceDN w:val="0"/>
              <w:adjustRightInd w:val="0"/>
              <w:rPr>
                <w:rFonts w:ascii="Arial" w:hAnsi="Arial" w:cs="Arial"/>
                <w:sz w:val="22"/>
                <w:szCs w:val="22"/>
              </w:rPr>
            </w:pPr>
            <w:r>
              <w:rPr>
                <w:rFonts w:ascii="Arial" w:hAnsi="Arial" w:cs="Arial"/>
                <w:sz w:val="22"/>
                <w:szCs w:val="22"/>
              </w:rPr>
              <w:t>46.119</w:t>
            </w:r>
          </w:p>
          <w:p w14:paraId="27F1D6D6" w14:textId="77777777" w:rsidR="001C1C26" w:rsidRDefault="001C1C26" w:rsidP="004A316E">
            <w:pPr>
              <w:widowControl w:val="0"/>
              <w:suppressAutoHyphens/>
              <w:autoSpaceDE w:val="0"/>
              <w:autoSpaceDN w:val="0"/>
              <w:adjustRightInd w:val="0"/>
              <w:rPr>
                <w:rFonts w:ascii="Arial" w:hAnsi="Arial" w:cs="Arial"/>
                <w:sz w:val="22"/>
                <w:szCs w:val="22"/>
              </w:rPr>
            </w:pPr>
            <w:r>
              <w:rPr>
                <w:rFonts w:ascii="Arial" w:hAnsi="Arial" w:cs="Arial"/>
                <w:sz w:val="22"/>
                <w:szCs w:val="22"/>
              </w:rPr>
              <w:t>46.120</w:t>
            </w:r>
          </w:p>
          <w:p w14:paraId="03CBA8D6" w14:textId="77777777" w:rsidR="001C1C26" w:rsidRDefault="001C1C26" w:rsidP="004A316E">
            <w:pPr>
              <w:widowControl w:val="0"/>
              <w:suppressAutoHyphens/>
              <w:autoSpaceDE w:val="0"/>
              <w:autoSpaceDN w:val="0"/>
              <w:adjustRightInd w:val="0"/>
              <w:rPr>
                <w:rFonts w:ascii="Arial" w:hAnsi="Arial" w:cs="Arial"/>
                <w:sz w:val="22"/>
                <w:szCs w:val="22"/>
              </w:rPr>
            </w:pPr>
            <w:r>
              <w:rPr>
                <w:rFonts w:ascii="Arial" w:hAnsi="Arial" w:cs="Arial"/>
                <w:sz w:val="22"/>
                <w:szCs w:val="22"/>
              </w:rPr>
              <w:t>46.126</w:t>
            </w:r>
          </w:p>
          <w:p w14:paraId="3718CC18" w14:textId="77777777" w:rsidR="001C1C26" w:rsidRDefault="001C1C26" w:rsidP="004A316E">
            <w:pPr>
              <w:widowControl w:val="0"/>
              <w:suppressAutoHyphens/>
              <w:autoSpaceDE w:val="0"/>
              <w:autoSpaceDN w:val="0"/>
              <w:adjustRightInd w:val="0"/>
              <w:rPr>
                <w:rFonts w:ascii="Arial" w:hAnsi="Arial" w:cs="Arial"/>
                <w:sz w:val="22"/>
                <w:szCs w:val="22"/>
              </w:rPr>
            </w:pPr>
            <w:r>
              <w:rPr>
                <w:rFonts w:ascii="Arial" w:hAnsi="Arial" w:cs="Arial"/>
                <w:sz w:val="22"/>
                <w:szCs w:val="22"/>
              </w:rPr>
              <w:t>46.127</w:t>
            </w:r>
          </w:p>
          <w:p w14:paraId="4D5A90F4" w14:textId="77777777" w:rsidR="001C1C26" w:rsidRDefault="001C1C26" w:rsidP="004A316E">
            <w:pPr>
              <w:widowControl w:val="0"/>
              <w:suppressAutoHyphens/>
              <w:autoSpaceDE w:val="0"/>
              <w:autoSpaceDN w:val="0"/>
              <w:adjustRightInd w:val="0"/>
              <w:rPr>
                <w:rFonts w:ascii="Arial" w:hAnsi="Arial" w:cs="Arial"/>
                <w:sz w:val="22"/>
                <w:szCs w:val="22"/>
              </w:rPr>
            </w:pPr>
            <w:r>
              <w:rPr>
                <w:rFonts w:ascii="Arial" w:hAnsi="Arial" w:cs="Arial"/>
                <w:sz w:val="22"/>
                <w:szCs w:val="22"/>
              </w:rPr>
              <w:t>46.131</w:t>
            </w:r>
          </w:p>
          <w:p w14:paraId="2677D17C" w14:textId="77777777" w:rsidR="001C1C26" w:rsidRDefault="001C1C26" w:rsidP="004A316E">
            <w:pPr>
              <w:widowControl w:val="0"/>
              <w:suppressAutoHyphens/>
              <w:autoSpaceDE w:val="0"/>
              <w:autoSpaceDN w:val="0"/>
              <w:adjustRightInd w:val="0"/>
              <w:rPr>
                <w:rFonts w:ascii="Arial" w:hAnsi="Arial" w:cs="Arial"/>
                <w:sz w:val="22"/>
                <w:szCs w:val="22"/>
              </w:rPr>
            </w:pPr>
            <w:r>
              <w:rPr>
                <w:rFonts w:ascii="Arial" w:hAnsi="Arial" w:cs="Arial"/>
                <w:sz w:val="22"/>
                <w:szCs w:val="22"/>
              </w:rPr>
              <w:t>46.132</w:t>
            </w:r>
          </w:p>
        </w:tc>
      </w:tr>
    </w:tbl>
    <w:p w14:paraId="35B8C2E2" w14:textId="77777777" w:rsidR="001C1C26" w:rsidRDefault="001C1C26" w:rsidP="004A316E">
      <w:pPr>
        <w:widowControl w:val="0"/>
        <w:suppressAutoHyphens/>
        <w:autoSpaceDE w:val="0"/>
        <w:autoSpaceDN w:val="0"/>
        <w:adjustRightInd w:val="0"/>
        <w:ind w:left="360"/>
        <w:rPr>
          <w:rFonts w:ascii="Arial" w:hAnsi="Arial" w:cs="Arial"/>
          <w:sz w:val="22"/>
          <w:szCs w:val="22"/>
        </w:rPr>
      </w:pPr>
    </w:p>
    <w:p w14:paraId="6543DFFF" w14:textId="77777777" w:rsidR="00985715" w:rsidRPr="00ED4A03" w:rsidRDefault="00985715" w:rsidP="00985715">
      <w:pPr>
        <w:suppressAutoHyphens/>
        <w:ind w:left="360"/>
        <w:rPr>
          <w:rFonts w:ascii="Arial" w:hAnsi="Arial" w:cs="Arial"/>
          <w:sz w:val="22"/>
          <w:szCs w:val="22"/>
        </w:rPr>
      </w:pPr>
      <w:r w:rsidRPr="00ED4A03">
        <w:rPr>
          <w:rFonts w:ascii="Arial" w:hAnsi="Arial" w:cs="Arial"/>
          <w:sz w:val="22"/>
          <w:szCs w:val="22"/>
        </w:rPr>
        <w:t>Th</w:t>
      </w:r>
      <w:r>
        <w:rPr>
          <w:rFonts w:ascii="Arial" w:hAnsi="Arial" w:cs="Arial"/>
          <w:sz w:val="22"/>
          <w:szCs w:val="22"/>
        </w:rPr>
        <w:t>is</w:t>
      </w:r>
      <w:r w:rsidRPr="00ED4A03">
        <w:rPr>
          <w:rFonts w:ascii="Arial" w:hAnsi="Arial" w:cs="Arial"/>
          <w:sz w:val="22"/>
          <w:szCs w:val="22"/>
        </w:rPr>
        <w:t xml:space="preserve"> information collection is aligned with –– </w:t>
      </w:r>
    </w:p>
    <w:p w14:paraId="77F526A7" w14:textId="77777777" w:rsidR="00985715" w:rsidRPr="00ED4A03" w:rsidRDefault="00985715" w:rsidP="00EE7FB5">
      <w:pPr>
        <w:numPr>
          <w:ilvl w:val="0"/>
          <w:numId w:val="8"/>
        </w:numPr>
        <w:suppressAutoHyphens/>
        <w:rPr>
          <w:rFonts w:ascii="Arial" w:hAnsi="Arial" w:cs="Arial"/>
          <w:sz w:val="22"/>
          <w:szCs w:val="22"/>
        </w:rPr>
      </w:pPr>
      <w:r w:rsidRPr="00ED4A03">
        <w:rPr>
          <w:rFonts w:ascii="Arial" w:hAnsi="Arial" w:cs="Arial"/>
          <w:sz w:val="22"/>
          <w:szCs w:val="22"/>
        </w:rPr>
        <w:t xml:space="preserve">Line of Business/Sub-function:  </w:t>
      </w:r>
      <w:r w:rsidRPr="000E77A1">
        <w:rPr>
          <w:rFonts w:ascii="Arial" w:hAnsi="Arial" w:cs="Arial"/>
          <w:sz w:val="22"/>
          <w:szCs w:val="22"/>
        </w:rPr>
        <w:t>General Government/Taxation Management</w:t>
      </w:r>
      <w:r>
        <w:rPr>
          <w:rFonts w:ascii="Arial" w:hAnsi="Arial" w:cs="Arial"/>
          <w:sz w:val="22"/>
          <w:szCs w:val="22"/>
        </w:rPr>
        <w:t xml:space="preserve">. </w:t>
      </w:r>
    </w:p>
    <w:p w14:paraId="12D8DFE3" w14:textId="77777777" w:rsidR="00985715" w:rsidRPr="00ED4A03" w:rsidRDefault="00985715" w:rsidP="00EE7FB5">
      <w:pPr>
        <w:numPr>
          <w:ilvl w:val="0"/>
          <w:numId w:val="8"/>
        </w:numPr>
        <w:suppressAutoHyphens/>
        <w:rPr>
          <w:rFonts w:ascii="Arial" w:hAnsi="Arial" w:cs="Arial"/>
          <w:sz w:val="22"/>
          <w:szCs w:val="22"/>
        </w:rPr>
      </w:pPr>
      <w:r w:rsidRPr="00ED4A03">
        <w:rPr>
          <w:rFonts w:ascii="Arial" w:hAnsi="Arial" w:cs="Arial"/>
          <w:sz w:val="22"/>
          <w:szCs w:val="22"/>
        </w:rPr>
        <w:t xml:space="preserve">IT Investment:  </w:t>
      </w:r>
      <w:r w:rsidRPr="000E77A1">
        <w:rPr>
          <w:rFonts w:ascii="Arial" w:hAnsi="Arial" w:cs="Arial"/>
          <w:sz w:val="22"/>
          <w:szCs w:val="22"/>
        </w:rPr>
        <w:t>Tax Major Application Systems</w:t>
      </w:r>
      <w:r>
        <w:rPr>
          <w:rFonts w:ascii="Arial" w:hAnsi="Arial" w:cs="Arial"/>
          <w:sz w:val="22"/>
          <w:szCs w:val="22"/>
        </w:rPr>
        <w:t xml:space="preserve">. </w:t>
      </w:r>
    </w:p>
    <w:p w14:paraId="2511CDD3" w14:textId="77777777" w:rsidR="004A316E" w:rsidRDefault="004A316E" w:rsidP="00902789">
      <w:pPr>
        <w:rPr>
          <w:rFonts w:ascii="Arial" w:hAnsi="Arial" w:cs="Arial"/>
          <w:sz w:val="22"/>
          <w:szCs w:val="22"/>
        </w:rPr>
      </w:pPr>
    </w:p>
    <w:p w14:paraId="0EC2A79D" w14:textId="77777777" w:rsidR="00285A19" w:rsidRDefault="00285A19">
      <w:pPr>
        <w:spacing w:after="160" w:line="259" w:lineRule="auto"/>
        <w:rPr>
          <w:rFonts w:ascii="Arial" w:hAnsi="Arial" w:cs="Arial"/>
          <w:i/>
          <w:sz w:val="22"/>
          <w:szCs w:val="22"/>
        </w:rPr>
      </w:pPr>
      <w:r>
        <w:rPr>
          <w:rFonts w:ascii="Arial" w:hAnsi="Arial" w:cs="Arial"/>
          <w:i/>
          <w:sz w:val="22"/>
          <w:szCs w:val="22"/>
        </w:rPr>
        <w:br w:type="page"/>
      </w:r>
    </w:p>
    <w:p w14:paraId="3711E0A2" w14:textId="170DFD7F" w:rsidR="00902789" w:rsidRPr="00902789" w:rsidRDefault="00902789" w:rsidP="00902789">
      <w:pPr>
        <w:suppressAutoHyphens/>
        <w:rPr>
          <w:rFonts w:ascii="Arial" w:hAnsi="Arial" w:cs="Arial"/>
          <w:i/>
          <w:sz w:val="22"/>
          <w:szCs w:val="22"/>
        </w:rPr>
      </w:pPr>
      <w:r w:rsidRPr="00902789">
        <w:rPr>
          <w:rFonts w:ascii="Arial" w:hAnsi="Arial" w:cs="Arial"/>
          <w:i/>
          <w:sz w:val="22"/>
          <w:szCs w:val="22"/>
        </w:rPr>
        <w:lastRenderedPageBreak/>
        <w:t xml:space="preserve">2.  How, by whom, and for what purpose is this information used? </w:t>
      </w:r>
    </w:p>
    <w:p w14:paraId="43E37D8B" w14:textId="77777777" w:rsidR="00902789" w:rsidRPr="00902789" w:rsidRDefault="00902789" w:rsidP="00902789">
      <w:pPr>
        <w:suppressAutoHyphens/>
        <w:rPr>
          <w:rFonts w:ascii="Arial" w:hAnsi="Arial" w:cs="Arial"/>
          <w:sz w:val="22"/>
          <w:szCs w:val="22"/>
        </w:rPr>
      </w:pPr>
    </w:p>
    <w:p w14:paraId="09541D68" w14:textId="77777777" w:rsidR="00902789" w:rsidRPr="000E77A1" w:rsidRDefault="00902789" w:rsidP="00902789">
      <w:pPr>
        <w:suppressAutoHyphens/>
        <w:ind w:left="360"/>
        <w:rPr>
          <w:rFonts w:ascii="Arial" w:hAnsi="Arial" w:cs="Arial"/>
          <w:sz w:val="22"/>
          <w:szCs w:val="22"/>
        </w:rPr>
      </w:pPr>
      <w:r w:rsidRPr="000E77A1">
        <w:rPr>
          <w:rFonts w:ascii="Arial" w:hAnsi="Arial" w:cs="Arial"/>
          <w:sz w:val="22"/>
          <w:szCs w:val="22"/>
        </w:rPr>
        <w:t>TTB F 5630.5a is to be completed by persons who are already in business</w:t>
      </w:r>
      <w:r>
        <w:rPr>
          <w:rFonts w:ascii="Arial" w:hAnsi="Arial" w:cs="Arial"/>
          <w:sz w:val="22"/>
          <w:szCs w:val="22"/>
        </w:rPr>
        <w:t xml:space="preserve"> </w:t>
      </w:r>
      <w:r w:rsidRPr="000E77A1">
        <w:rPr>
          <w:rFonts w:ascii="Arial" w:hAnsi="Arial" w:cs="Arial"/>
          <w:sz w:val="22"/>
          <w:szCs w:val="22"/>
        </w:rPr>
        <w:t xml:space="preserve">but have failed to register or pay the SOT </w:t>
      </w:r>
      <w:r>
        <w:rPr>
          <w:rFonts w:ascii="Arial" w:hAnsi="Arial" w:cs="Arial"/>
          <w:sz w:val="22"/>
          <w:szCs w:val="22"/>
        </w:rPr>
        <w:t xml:space="preserve">on or </w:t>
      </w:r>
      <w:r w:rsidRPr="000E77A1">
        <w:rPr>
          <w:rFonts w:ascii="Arial" w:hAnsi="Arial" w:cs="Arial"/>
          <w:sz w:val="22"/>
          <w:szCs w:val="22"/>
        </w:rPr>
        <w:t>prior to June 30, 2008.</w:t>
      </w:r>
      <w:r>
        <w:rPr>
          <w:rFonts w:ascii="Arial" w:hAnsi="Arial" w:cs="Arial"/>
          <w:sz w:val="22"/>
          <w:szCs w:val="22"/>
        </w:rPr>
        <w:t xml:space="preserve">  </w:t>
      </w:r>
      <w:r w:rsidRPr="000E77A1">
        <w:rPr>
          <w:rFonts w:ascii="Arial" w:hAnsi="Arial" w:cs="Arial"/>
          <w:sz w:val="22"/>
          <w:szCs w:val="22"/>
        </w:rPr>
        <w:t>TTB F 5630.5d is to be completed</w:t>
      </w:r>
      <w:r w:rsidRPr="000E77A1">
        <w:rPr>
          <w:rFonts w:ascii="Arial" w:hAnsi="Arial" w:cs="Arial"/>
          <w:color w:val="FF0000"/>
          <w:sz w:val="22"/>
          <w:szCs w:val="22"/>
        </w:rPr>
        <w:t xml:space="preserve"> </w:t>
      </w:r>
      <w:r w:rsidRPr="000E77A1">
        <w:rPr>
          <w:rFonts w:ascii="Arial" w:hAnsi="Arial" w:cs="Arial"/>
          <w:sz w:val="22"/>
          <w:szCs w:val="22"/>
        </w:rPr>
        <w:t>by new wholesale and retail liquor dealers and by</w:t>
      </w:r>
      <w:r>
        <w:rPr>
          <w:rFonts w:ascii="Arial" w:hAnsi="Arial" w:cs="Arial"/>
          <w:sz w:val="22"/>
          <w:szCs w:val="22"/>
        </w:rPr>
        <w:t xml:space="preserve"> existing</w:t>
      </w:r>
      <w:r w:rsidRPr="000E77A1">
        <w:rPr>
          <w:rFonts w:ascii="Arial" w:hAnsi="Arial" w:cs="Arial"/>
          <w:sz w:val="22"/>
          <w:szCs w:val="22"/>
        </w:rPr>
        <w:t xml:space="preserve"> wholesale</w:t>
      </w:r>
      <w:r>
        <w:rPr>
          <w:rFonts w:ascii="Arial" w:hAnsi="Arial" w:cs="Arial"/>
          <w:sz w:val="22"/>
          <w:szCs w:val="22"/>
        </w:rPr>
        <w:t xml:space="preserve"> and retail </w:t>
      </w:r>
      <w:r w:rsidRPr="000E77A1">
        <w:rPr>
          <w:rFonts w:ascii="Arial" w:hAnsi="Arial" w:cs="Arial"/>
          <w:sz w:val="22"/>
          <w:szCs w:val="22"/>
        </w:rPr>
        <w:t>liquor</w:t>
      </w:r>
      <w:r>
        <w:rPr>
          <w:rFonts w:ascii="Arial" w:hAnsi="Arial" w:cs="Arial"/>
          <w:sz w:val="22"/>
          <w:szCs w:val="22"/>
        </w:rPr>
        <w:t xml:space="preserve"> </w:t>
      </w:r>
      <w:r w:rsidRPr="000E77A1">
        <w:rPr>
          <w:rFonts w:ascii="Arial" w:hAnsi="Arial" w:cs="Arial"/>
          <w:sz w:val="22"/>
          <w:szCs w:val="22"/>
        </w:rPr>
        <w:t>dealers</w:t>
      </w:r>
      <w:r w:rsidR="00912EE0">
        <w:rPr>
          <w:rFonts w:ascii="Arial" w:hAnsi="Arial" w:cs="Arial"/>
          <w:sz w:val="22"/>
          <w:szCs w:val="22"/>
        </w:rPr>
        <w:t xml:space="preserve"> required</w:t>
      </w:r>
      <w:r w:rsidRPr="000E77A1">
        <w:rPr>
          <w:rFonts w:ascii="Arial" w:hAnsi="Arial" w:cs="Arial"/>
          <w:sz w:val="22"/>
          <w:szCs w:val="22"/>
        </w:rPr>
        <w:t xml:space="preserve"> to register changes in business</w:t>
      </w:r>
      <w:r>
        <w:rPr>
          <w:rFonts w:ascii="Arial" w:hAnsi="Arial" w:cs="Arial"/>
          <w:sz w:val="22"/>
          <w:szCs w:val="22"/>
        </w:rPr>
        <w:t xml:space="preserve"> </w:t>
      </w:r>
      <w:r w:rsidRPr="000E77A1">
        <w:rPr>
          <w:rFonts w:ascii="Arial" w:hAnsi="Arial" w:cs="Arial"/>
          <w:sz w:val="22"/>
          <w:szCs w:val="22"/>
        </w:rPr>
        <w:t xml:space="preserve">operations.  However, </w:t>
      </w:r>
      <w:r>
        <w:rPr>
          <w:rFonts w:ascii="Arial" w:hAnsi="Arial" w:cs="Arial"/>
          <w:sz w:val="22"/>
          <w:szCs w:val="22"/>
        </w:rPr>
        <w:t xml:space="preserve">businesses </w:t>
      </w:r>
      <w:r w:rsidRPr="000E77A1">
        <w:rPr>
          <w:rFonts w:ascii="Arial" w:hAnsi="Arial" w:cs="Arial"/>
          <w:sz w:val="22"/>
          <w:szCs w:val="22"/>
        </w:rPr>
        <w:t>that file a registrati</w:t>
      </w:r>
      <w:r>
        <w:rPr>
          <w:rFonts w:ascii="Arial" w:hAnsi="Arial" w:cs="Arial"/>
          <w:sz w:val="22"/>
          <w:szCs w:val="22"/>
        </w:rPr>
        <w:t xml:space="preserve">on or brewer’s </w:t>
      </w:r>
      <w:r w:rsidRPr="000E77A1">
        <w:rPr>
          <w:rFonts w:ascii="Arial" w:hAnsi="Arial" w:cs="Arial"/>
          <w:sz w:val="22"/>
          <w:szCs w:val="22"/>
        </w:rPr>
        <w:t>notice under the</w:t>
      </w:r>
      <w:r>
        <w:rPr>
          <w:rFonts w:ascii="Arial" w:hAnsi="Arial" w:cs="Arial"/>
          <w:sz w:val="22"/>
          <w:szCs w:val="22"/>
        </w:rPr>
        <w:t xml:space="preserve"> </w:t>
      </w:r>
      <w:r w:rsidRPr="000E77A1">
        <w:rPr>
          <w:rFonts w:ascii="Arial" w:hAnsi="Arial" w:cs="Arial"/>
          <w:sz w:val="22"/>
          <w:szCs w:val="22"/>
        </w:rPr>
        <w:t xml:space="preserve">qualification provisions of Parts </w:t>
      </w:r>
      <w:r>
        <w:rPr>
          <w:rFonts w:ascii="Arial" w:hAnsi="Arial" w:cs="Arial"/>
          <w:sz w:val="22"/>
          <w:szCs w:val="22"/>
        </w:rPr>
        <w:t xml:space="preserve">19, 24, </w:t>
      </w:r>
      <w:r w:rsidR="006164BB">
        <w:rPr>
          <w:rFonts w:ascii="Arial" w:hAnsi="Arial" w:cs="Arial"/>
          <w:sz w:val="22"/>
          <w:szCs w:val="22"/>
        </w:rPr>
        <w:t>or</w:t>
      </w:r>
      <w:r>
        <w:rPr>
          <w:rFonts w:ascii="Arial" w:hAnsi="Arial" w:cs="Arial"/>
          <w:sz w:val="22"/>
          <w:szCs w:val="22"/>
        </w:rPr>
        <w:t xml:space="preserve"> </w:t>
      </w:r>
      <w:r w:rsidRPr="000E77A1">
        <w:rPr>
          <w:rFonts w:ascii="Arial" w:hAnsi="Arial" w:cs="Arial"/>
          <w:sz w:val="22"/>
          <w:szCs w:val="22"/>
        </w:rPr>
        <w:t>25</w:t>
      </w:r>
      <w:r>
        <w:rPr>
          <w:rFonts w:ascii="Arial" w:hAnsi="Arial" w:cs="Arial"/>
          <w:sz w:val="22"/>
          <w:szCs w:val="22"/>
        </w:rPr>
        <w:t xml:space="preserve"> of the TTB regulations </w:t>
      </w:r>
      <w:r w:rsidR="006164BB">
        <w:rPr>
          <w:rFonts w:ascii="Arial" w:hAnsi="Arial" w:cs="Arial"/>
          <w:sz w:val="22"/>
          <w:szCs w:val="22"/>
        </w:rPr>
        <w:t>do</w:t>
      </w:r>
      <w:r>
        <w:rPr>
          <w:rFonts w:ascii="Arial" w:hAnsi="Arial" w:cs="Arial"/>
          <w:sz w:val="22"/>
          <w:szCs w:val="22"/>
        </w:rPr>
        <w:t xml:space="preserve"> </w:t>
      </w:r>
      <w:r w:rsidRPr="000E77A1">
        <w:rPr>
          <w:rFonts w:ascii="Arial" w:hAnsi="Arial" w:cs="Arial"/>
          <w:sz w:val="22"/>
          <w:szCs w:val="22"/>
        </w:rPr>
        <w:t>not have to file TTB F 5630.5d.</w:t>
      </w:r>
    </w:p>
    <w:p w14:paraId="7AF8E56F" w14:textId="77777777" w:rsidR="00902789" w:rsidRPr="000E77A1" w:rsidRDefault="00902789" w:rsidP="00902789">
      <w:pPr>
        <w:suppressAutoHyphens/>
        <w:ind w:left="360"/>
        <w:rPr>
          <w:rFonts w:ascii="Arial" w:hAnsi="Arial" w:cs="Arial"/>
          <w:sz w:val="22"/>
          <w:szCs w:val="22"/>
        </w:rPr>
      </w:pPr>
    </w:p>
    <w:p w14:paraId="3986DE8B" w14:textId="287C208D" w:rsidR="00902789" w:rsidRPr="000E77A1" w:rsidRDefault="00902789" w:rsidP="00902789">
      <w:pPr>
        <w:suppressAutoHyphens/>
        <w:ind w:left="360"/>
        <w:rPr>
          <w:rFonts w:ascii="Arial" w:hAnsi="Arial" w:cs="Arial"/>
          <w:sz w:val="22"/>
          <w:szCs w:val="22"/>
        </w:rPr>
      </w:pPr>
      <w:r w:rsidRPr="000E77A1">
        <w:rPr>
          <w:rFonts w:ascii="Arial" w:hAnsi="Arial" w:cs="Arial"/>
          <w:sz w:val="22"/>
          <w:szCs w:val="22"/>
        </w:rPr>
        <w:t xml:space="preserve">TTB F 5630.5t is to be completed by </w:t>
      </w:r>
      <w:r w:rsidR="0087390F">
        <w:rPr>
          <w:rFonts w:ascii="Arial" w:hAnsi="Arial" w:cs="Arial"/>
          <w:sz w:val="22"/>
          <w:szCs w:val="22"/>
        </w:rPr>
        <w:t xml:space="preserve">manufacturers of </w:t>
      </w:r>
      <w:r w:rsidRPr="000E77A1">
        <w:rPr>
          <w:rFonts w:ascii="Arial" w:hAnsi="Arial" w:cs="Arial"/>
          <w:sz w:val="22"/>
          <w:szCs w:val="22"/>
        </w:rPr>
        <w:t xml:space="preserve">tobacco </w:t>
      </w:r>
      <w:r w:rsidR="0087390F">
        <w:rPr>
          <w:rFonts w:ascii="Arial" w:hAnsi="Arial" w:cs="Arial"/>
          <w:sz w:val="22"/>
          <w:szCs w:val="22"/>
        </w:rPr>
        <w:t xml:space="preserve">products and cigarette papers and tubes, as well as </w:t>
      </w:r>
      <w:r w:rsidRPr="000E77A1">
        <w:rPr>
          <w:rFonts w:ascii="Arial" w:hAnsi="Arial" w:cs="Arial"/>
          <w:sz w:val="22"/>
          <w:szCs w:val="22"/>
        </w:rPr>
        <w:t>tobacco export warehouse</w:t>
      </w:r>
      <w:r w:rsidR="0087390F">
        <w:rPr>
          <w:rFonts w:ascii="Arial" w:hAnsi="Arial" w:cs="Arial"/>
          <w:sz w:val="22"/>
          <w:szCs w:val="22"/>
        </w:rPr>
        <w:t xml:space="preserve"> proprietors, </w:t>
      </w:r>
      <w:r w:rsidRPr="000E77A1">
        <w:rPr>
          <w:rFonts w:ascii="Arial" w:hAnsi="Arial" w:cs="Arial"/>
          <w:sz w:val="22"/>
          <w:szCs w:val="22"/>
        </w:rPr>
        <w:t xml:space="preserve">to register and pay SOT. </w:t>
      </w:r>
    </w:p>
    <w:p w14:paraId="061440DC" w14:textId="77777777" w:rsidR="00902789" w:rsidRPr="000E77A1" w:rsidRDefault="00902789" w:rsidP="00902789">
      <w:pPr>
        <w:suppressAutoHyphens/>
        <w:ind w:left="360"/>
        <w:rPr>
          <w:rFonts w:ascii="Arial" w:hAnsi="Arial" w:cs="Arial"/>
          <w:sz w:val="22"/>
          <w:szCs w:val="22"/>
        </w:rPr>
      </w:pPr>
    </w:p>
    <w:p w14:paraId="5208DA8A" w14:textId="0366F90B" w:rsidR="00902789" w:rsidRPr="000E77A1" w:rsidRDefault="00902789" w:rsidP="00902789">
      <w:pPr>
        <w:suppressAutoHyphens/>
        <w:ind w:left="360"/>
        <w:rPr>
          <w:rFonts w:ascii="Arial" w:hAnsi="Arial" w:cs="Arial"/>
          <w:sz w:val="22"/>
          <w:szCs w:val="22"/>
        </w:rPr>
      </w:pPr>
      <w:r w:rsidRPr="000E77A1">
        <w:rPr>
          <w:rFonts w:ascii="Arial" w:hAnsi="Arial" w:cs="Arial"/>
          <w:sz w:val="22"/>
          <w:szCs w:val="22"/>
        </w:rPr>
        <w:t xml:space="preserve">The forms are used to compute and report the tax, </w:t>
      </w:r>
      <w:r w:rsidR="006F3B94">
        <w:rPr>
          <w:rFonts w:ascii="Arial" w:hAnsi="Arial" w:cs="Arial"/>
          <w:sz w:val="22"/>
          <w:szCs w:val="22"/>
        </w:rPr>
        <w:t>or</w:t>
      </w:r>
      <w:r w:rsidR="006F3B94" w:rsidRPr="000E77A1">
        <w:rPr>
          <w:rFonts w:ascii="Arial" w:hAnsi="Arial" w:cs="Arial"/>
          <w:sz w:val="22"/>
          <w:szCs w:val="22"/>
        </w:rPr>
        <w:t xml:space="preserve"> </w:t>
      </w:r>
      <w:r w:rsidRPr="000E77A1">
        <w:rPr>
          <w:rFonts w:ascii="Arial" w:hAnsi="Arial" w:cs="Arial"/>
          <w:sz w:val="22"/>
          <w:szCs w:val="22"/>
        </w:rPr>
        <w:t>as applications for registry as required by statute.  TTB</w:t>
      </w:r>
      <w:r w:rsidR="0019068F">
        <w:rPr>
          <w:rFonts w:ascii="Arial" w:hAnsi="Arial" w:cs="Arial"/>
          <w:sz w:val="22"/>
          <w:szCs w:val="22"/>
        </w:rPr>
        <w:t>’s</w:t>
      </w:r>
      <w:r w:rsidRPr="000E77A1">
        <w:rPr>
          <w:rFonts w:ascii="Arial" w:hAnsi="Arial" w:cs="Arial"/>
          <w:sz w:val="22"/>
          <w:szCs w:val="22"/>
        </w:rPr>
        <w:t xml:space="preserve"> National Revenue Center</w:t>
      </w:r>
      <w:r w:rsidR="0019068F">
        <w:rPr>
          <w:rFonts w:ascii="Arial" w:hAnsi="Arial" w:cs="Arial"/>
          <w:sz w:val="22"/>
          <w:szCs w:val="22"/>
        </w:rPr>
        <w:t xml:space="preserve"> (NRC)</w:t>
      </w:r>
      <w:r w:rsidRPr="000E77A1">
        <w:rPr>
          <w:rFonts w:ascii="Arial" w:hAnsi="Arial" w:cs="Arial"/>
          <w:sz w:val="22"/>
          <w:szCs w:val="22"/>
        </w:rPr>
        <w:t xml:space="preserve"> </w:t>
      </w:r>
      <w:r w:rsidR="0019068F">
        <w:rPr>
          <w:rFonts w:ascii="Arial" w:hAnsi="Arial" w:cs="Arial"/>
          <w:sz w:val="22"/>
          <w:szCs w:val="22"/>
        </w:rPr>
        <w:t>is responsible</w:t>
      </w:r>
      <w:r w:rsidRPr="000E77A1">
        <w:rPr>
          <w:rFonts w:ascii="Arial" w:hAnsi="Arial" w:cs="Arial"/>
          <w:sz w:val="22"/>
          <w:szCs w:val="22"/>
        </w:rPr>
        <w:t xml:space="preserve"> for maintaining the accounting records to accurately reflect each taxpayer’s liabilities and payments</w:t>
      </w:r>
      <w:r w:rsidR="0019068F">
        <w:rPr>
          <w:rFonts w:ascii="Arial" w:hAnsi="Arial" w:cs="Arial"/>
          <w:sz w:val="22"/>
          <w:szCs w:val="22"/>
        </w:rPr>
        <w:t>.</w:t>
      </w:r>
      <w:r w:rsidRPr="000E77A1">
        <w:rPr>
          <w:rFonts w:ascii="Arial" w:hAnsi="Arial" w:cs="Arial"/>
          <w:sz w:val="22"/>
          <w:szCs w:val="22"/>
        </w:rPr>
        <w:t xml:space="preserve"> </w:t>
      </w:r>
      <w:r w:rsidR="0019068F">
        <w:rPr>
          <w:rFonts w:ascii="Arial" w:hAnsi="Arial" w:cs="Arial"/>
          <w:sz w:val="22"/>
          <w:szCs w:val="22"/>
        </w:rPr>
        <w:t xml:space="preserve"> The NRC</w:t>
      </w:r>
      <w:r w:rsidR="0019068F" w:rsidRPr="000E77A1">
        <w:rPr>
          <w:rFonts w:ascii="Arial" w:hAnsi="Arial" w:cs="Arial"/>
          <w:sz w:val="22"/>
          <w:szCs w:val="22"/>
        </w:rPr>
        <w:t xml:space="preserve"> </w:t>
      </w:r>
      <w:r w:rsidR="0019068F">
        <w:rPr>
          <w:rFonts w:ascii="Arial" w:hAnsi="Arial" w:cs="Arial"/>
          <w:sz w:val="22"/>
          <w:szCs w:val="22"/>
        </w:rPr>
        <w:t xml:space="preserve">is also responsible </w:t>
      </w:r>
      <w:r w:rsidRPr="000E77A1">
        <w:rPr>
          <w:rFonts w:ascii="Arial" w:hAnsi="Arial" w:cs="Arial"/>
          <w:sz w:val="22"/>
          <w:szCs w:val="22"/>
        </w:rPr>
        <w:t>for processing taxpayers’ SOT returns.</w:t>
      </w:r>
      <w:r>
        <w:rPr>
          <w:rFonts w:ascii="Arial" w:hAnsi="Arial" w:cs="Arial"/>
          <w:sz w:val="22"/>
          <w:szCs w:val="22"/>
        </w:rPr>
        <w:t xml:space="preserve"> </w:t>
      </w:r>
    </w:p>
    <w:p w14:paraId="38B4B6D3" w14:textId="77777777" w:rsidR="00902789" w:rsidRPr="000E77A1" w:rsidRDefault="00902789" w:rsidP="00902789">
      <w:pPr>
        <w:suppressAutoHyphens/>
        <w:ind w:left="360"/>
        <w:rPr>
          <w:rFonts w:ascii="Arial" w:hAnsi="Arial" w:cs="Arial"/>
          <w:sz w:val="22"/>
          <w:szCs w:val="22"/>
        </w:rPr>
      </w:pPr>
    </w:p>
    <w:p w14:paraId="07D69C90" w14:textId="77777777" w:rsidR="00902789" w:rsidRPr="000E77A1" w:rsidRDefault="00902789" w:rsidP="00902789">
      <w:pPr>
        <w:suppressAutoHyphens/>
        <w:ind w:left="360"/>
        <w:rPr>
          <w:rFonts w:ascii="Arial" w:hAnsi="Arial" w:cs="Arial"/>
          <w:sz w:val="22"/>
          <w:szCs w:val="22"/>
        </w:rPr>
      </w:pPr>
      <w:r w:rsidRPr="000E77A1">
        <w:rPr>
          <w:rFonts w:ascii="Arial" w:hAnsi="Arial" w:cs="Arial"/>
          <w:sz w:val="22"/>
          <w:szCs w:val="22"/>
        </w:rPr>
        <w:t>TTB’s staff will examine the returns and use automated methods to determine</w:t>
      </w:r>
      <w:r>
        <w:rPr>
          <w:rFonts w:ascii="Arial" w:hAnsi="Arial" w:cs="Arial"/>
          <w:sz w:val="22"/>
          <w:szCs w:val="22"/>
        </w:rPr>
        <w:t xml:space="preserve"> whether</w:t>
      </w:r>
      <w:r w:rsidRPr="000E77A1">
        <w:rPr>
          <w:rFonts w:ascii="Arial" w:hAnsi="Arial" w:cs="Arial"/>
          <w:sz w:val="22"/>
          <w:szCs w:val="22"/>
        </w:rPr>
        <w:t>:</w:t>
      </w:r>
      <w:r>
        <w:rPr>
          <w:rFonts w:ascii="Arial" w:hAnsi="Arial" w:cs="Arial"/>
          <w:sz w:val="22"/>
          <w:szCs w:val="22"/>
        </w:rPr>
        <w:t xml:space="preserve"> </w:t>
      </w:r>
    </w:p>
    <w:p w14:paraId="4F4106F8" w14:textId="77777777" w:rsidR="00902789" w:rsidRPr="000E77A1" w:rsidRDefault="00902789" w:rsidP="00902789">
      <w:pPr>
        <w:suppressAutoHyphens/>
        <w:ind w:left="360"/>
        <w:rPr>
          <w:rFonts w:ascii="Arial" w:hAnsi="Arial" w:cs="Arial"/>
          <w:sz w:val="22"/>
          <w:szCs w:val="22"/>
        </w:rPr>
      </w:pPr>
    </w:p>
    <w:p w14:paraId="0CB53CF3" w14:textId="77777777" w:rsidR="00902789" w:rsidRPr="00902789" w:rsidRDefault="00902789" w:rsidP="00EE7FB5">
      <w:pPr>
        <w:pStyle w:val="ListParagraph"/>
        <w:numPr>
          <w:ilvl w:val="0"/>
          <w:numId w:val="10"/>
        </w:numPr>
        <w:suppressAutoHyphens/>
        <w:rPr>
          <w:rFonts w:ascii="Arial" w:hAnsi="Arial" w:cs="Arial"/>
          <w:sz w:val="22"/>
          <w:szCs w:val="22"/>
        </w:rPr>
      </w:pPr>
      <w:r w:rsidRPr="00902789">
        <w:rPr>
          <w:rFonts w:ascii="Arial" w:hAnsi="Arial" w:cs="Arial"/>
          <w:sz w:val="22"/>
          <w:szCs w:val="22"/>
        </w:rPr>
        <w:t>the return was timely filed;</w:t>
      </w:r>
      <w:r>
        <w:rPr>
          <w:rFonts w:ascii="Arial" w:hAnsi="Arial" w:cs="Arial"/>
          <w:sz w:val="22"/>
          <w:szCs w:val="22"/>
        </w:rPr>
        <w:t xml:space="preserve"> </w:t>
      </w:r>
    </w:p>
    <w:p w14:paraId="1FEFFC7D" w14:textId="77777777" w:rsidR="00902789" w:rsidRPr="00902789" w:rsidRDefault="00902789" w:rsidP="00EE7FB5">
      <w:pPr>
        <w:pStyle w:val="ListParagraph"/>
        <w:numPr>
          <w:ilvl w:val="0"/>
          <w:numId w:val="10"/>
        </w:numPr>
        <w:suppressAutoHyphens/>
        <w:rPr>
          <w:rFonts w:ascii="Arial" w:hAnsi="Arial" w:cs="Arial"/>
          <w:sz w:val="22"/>
          <w:szCs w:val="22"/>
        </w:rPr>
      </w:pPr>
      <w:r w:rsidRPr="00902789">
        <w:rPr>
          <w:rFonts w:ascii="Arial" w:hAnsi="Arial" w:cs="Arial"/>
          <w:sz w:val="22"/>
          <w:szCs w:val="22"/>
        </w:rPr>
        <w:t>the return is mathematically correct;</w:t>
      </w:r>
      <w:r>
        <w:rPr>
          <w:rFonts w:ascii="Arial" w:hAnsi="Arial" w:cs="Arial"/>
          <w:sz w:val="22"/>
          <w:szCs w:val="22"/>
        </w:rPr>
        <w:t xml:space="preserve"> </w:t>
      </w:r>
    </w:p>
    <w:p w14:paraId="54B60274" w14:textId="77777777" w:rsidR="00902789" w:rsidRPr="00902789" w:rsidRDefault="00902789" w:rsidP="00EE7FB5">
      <w:pPr>
        <w:pStyle w:val="ListParagraph"/>
        <w:numPr>
          <w:ilvl w:val="0"/>
          <w:numId w:val="10"/>
        </w:numPr>
        <w:suppressAutoHyphens/>
        <w:rPr>
          <w:rFonts w:ascii="Arial" w:hAnsi="Arial" w:cs="Arial"/>
          <w:sz w:val="22"/>
          <w:szCs w:val="22"/>
        </w:rPr>
      </w:pPr>
      <w:r w:rsidRPr="00902789">
        <w:rPr>
          <w:rFonts w:ascii="Arial" w:hAnsi="Arial" w:cs="Arial"/>
          <w:sz w:val="22"/>
          <w:szCs w:val="22"/>
        </w:rPr>
        <w:t>the taxpayer has properly registered;</w:t>
      </w:r>
      <w:r>
        <w:rPr>
          <w:rFonts w:ascii="Arial" w:hAnsi="Arial" w:cs="Arial"/>
          <w:sz w:val="22"/>
          <w:szCs w:val="22"/>
        </w:rPr>
        <w:t xml:space="preserve"> </w:t>
      </w:r>
    </w:p>
    <w:p w14:paraId="6588FB13" w14:textId="77777777" w:rsidR="00902789" w:rsidRPr="00902789" w:rsidRDefault="00902789" w:rsidP="00EE7FB5">
      <w:pPr>
        <w:pStyle w:val="ListParagraph"/>
        <w:numPr>
          <w:ilvl w:val="0"/>
          <w:numId w:val="10"/>
        </w:numPr>
        <w:suppressAutoHyphens/>
        <w:rPr>
          <w:rFonts w:ascii="Arial" w:hAnsi="Arial" w:cs="Arial"/>
          <w:sz w:val="22"/>
          <w:szCs w:val="22"/>
        </w:rPr>
      </w:pPr>
      <w:r w:rsidRPr="00902789">
        <w:rPr>
          <w:rFonts w:ascii="Arial" w:hAnsi="Arial" w:cs="Arial"/>
          <w:sz w:val="22"/>
          <w:szCs w:val="22"/>
        </w:rPr>
        <w:t>the taxpayer has accounted for all businesses and any change of the number of locations, or if there has been a change in control of the business;</w:t>
      </w:r>
      <w:r>
        <w:rPr>
          <w:rFonts w:ascii="Arial" w:hAnsi="Arial" w:cs="Arial"/>
          <w:sz w:val="22"/>
          <w:szCs w:val="22"/>
        </w:rPr>
        <w:t xml:space="preserve"> </w:t>
      </w:r>
    </w:p>
    <w:p w14:paraId="5314E70F" w14:textId="77777777" w:rsidR="00902789" w:rsidRPr="00902789" w:rsidRDefault="00902789" w:rsidP="00EE7FB5">
      <w:pPr>
        <w:pStyle w:val="ListParagraph"/>
        <w:numPr>
          <w:ilvl w:val="0"/>
          <w:numId w:val="10"/>
        </w:numPr>
        <w:suppressAutoHyphens/>
        <w:rPr>
          <w:rFonts w:ascii="Arial" w:hAnsi="Arial" w:cs="Arial"/>
          <w:sz w:val="22"/>
          <w:szCs w:val="22"/>
        </w:rPr>
      </w:pPr>
      <w:r w:rsidRPr="00902789">
        <w:rPr>
          <w:rFonts w:ascii="Arial" w:hAnsi="Arial" w:cs="Arial"/>
          <w:sz w:val="22"/>
          <w:szCs w:val="22"/>
        </w:rPr>
        <w:t>the taxpayer has notified TTB that the business has been discontinued; and</w:t>
      </w:r>
      <w:r>
        <w:rPr>
          <w:rFonts w:ascii="Arial" w:hAnsi="Arial" w:cs="Arial"/>
          <w:sz w:val="22"/>
          <w:szCs w:val="22"/>
        </w:rPr>
        <w:t xml:space="preserve"> </w:t>
      </w:r>
    </w:p>
    <w:p w14:paraId="63F11E83" w14:textId="77777777" w:rsidR="00902789" w:rsidRPr="00902789" w:rsidRDefault="00902789" w:rsidP="00EE7FB5">
      <w:pPr>
        <w:pStyle w:val="ListParagraph"/>
        <w:numPr>
          <w:ilvl w:val="0"/>
          <w:numId w:val="10"/>
        </w:numPr>
        <w:suppressAutoHyphens/>
        <w:rPr>
          <w:rFonts w:ascii="Arial" w:hAnsi="Arial" w:cs="Arial"/>
          <w:sz w:val="22"/>
          <w:szCs w:val="22"/>
        </w:rPr>
      </w:pPr>
      <w:r w:rsidRPr="00902789">
        <w:rPr>
          <w:rFonts w:ascii="Arial" w:hAnsi="Arial" w:cs="Arial"/>
          <w:sz w:val="22"/>
          <w:szCs w:val="22"/>
        </w:rPr>
        <w:t xml:space="preserve">the taxpayer has satisfied his/her full SOT liability. </w:t>
      </w:r>
    </w:p>
    <w:p w14:paraId="342C6F4B" w14:textId="77777777" w:rsidR="00902789" w:rsidRPr="00902789" w:rsidRDefault="00902789" w:rsidP="00902789">
      <w:pPr>
        <w:ind w:left="576" w:hanging="576"/>
        <w:rPr>
          <w:rFonts w:ascii="Arial" w:hAnsi="Arial" w:cs="Arial"/>
          <w:sz w:val="22"/>
          <w:szCs w:val="22"/>
        </w:rPr>
      </w:pPr>
    </w:p>
    <w:p w14:paraId="27B652B6" w14:textId="77777777" w:rsidR="00902789" w:rsidRPr="00902789" w:rsidRDefault="00902789" w:rsidP="00902789">
      <w:pPr>
        <w:suppressAutoHyphens/>
        <w:rPr>
          <w:rFonts w:ascii="Arial" w:hAnsi="Arial" w:cs="Arial"/>
          <w:i/>
          <w:sz w:val="22"/>
          <w:szCs w:val="22"/>
        </w:rPr>
      </w:pPr>
      <w:r w:rsidRPr="00902789">
        <w:rPr>
          <w:rFonts w:ascii="Arial" w:hAnsi="Arial" w:cs="Arial"/>
          <w:i/>
          <w:sz w:val="22"/>
          <w:szCs w:val="22"/>
        </w:rPr>
        <w:t xml:space="preserve">3.  To what extent does this collection of information involve the use of automated, electronic, mechanical, or other technological collection techniques or other forms of information technology?  What consideration is given to use information technology to reduce burden? </w:t>
      </w:r>
    </w:p>
    <w:p w14:paraId="188FC804" w14:textId="77777777" w:rsidR="00902789" w:rsidRPr="00902789" w:rsidRDefault="00902789" w:rsidP="00902789">
      <w:pPr>
        <w:suppressAutoHyphens/>
        <w:rPr>
          <w:rFonts w:ascii="Arial" w:hAnsi="Arial" w:cs="Arial"/>
          <w:sz w:val="22"/>
          <w:szCs w:val="22"/>
        </w:rPr>
      </w:pPr>
    </w:p>
    <w:p w14:paraId="5EF90842" w14:textId="77777777" w:rsidR="00902789" w:rsidRPr="00902789" w:rsidRDefault="00902789" w:rsidP="00902789">
      <w:pPr>
        <w:tabs>
          <w:tab w:val="left" w:pos="8496"/>
        </w:tabs>
        <w:suppressAutoHyphens/>
        <w:ind w:left="360"/>
        <w:rPr>
          <w:rFonts w:ascii="Arial" w:hAnsi="Arial" w:cs="Arial"/>
          <w:sz w:val="22"/>
          <w:szCs w:val="22"/>
          <w:highlight w:val="yellow"/>
        </w:rPr>
      </w:pPr>
      <w:r w:rsidRPr="00902789">
        <w:rPr>
          <w:rFonts w:ascii="Arial" w:hAnsi="Arial" w:cs="Arial"/>
          <w:sz w:val="22"/>
          <w:szCs w:val="22"/>
        </w:rPr>
        <w:t>TTB has approved and will continue to approve, on a case</w:t>
      </w:r>
      <w:r w:rsidR="00285246">
        <w:rPr>
          <w:rFonts w:ascii="Arial" w:hAnsi="Arial" w:cs="Arial"/>
          <w:sz w:val="22"/>
          <w:szCs w:val="22"/>
        </w:rPr>
        <w:t>-by-</w:t>
      </w:r>
      <w:r w:rsidRPr="00902789">
        <w:rPr>
          <w:rFonts w:ascii="Arial" w:hAnsi="Arial" w:cs="Arial"/>
          <w:sz w:val="22"/>
          <w:szCs w:val="22"/>
        </w:rPr>
        <w:t xml:space="preserve">case basis, the use of improved information technology for the collection and maintenance of required information. </w:t>
      </w:r>
      <w:r w:rsidR="009941BE">
        <w:rPr>
          <w:rFonts w:ascii="Arial" w:hAnsi="Arial" w:cs="Arial"/>
          <w:sz w:val="22"/>
          <w:szCs w:val="22"/>
        </w:rPr>
        <w:t xml:space="preserve"> The forms subject to this information collection are fillable and printable on TTB’s website at </w:t>
      </w:r>
      <w:r w:rsidR="009941BE" w:rsidRPr="009941BE">
        <w:rPr>
          <w:rFonts w:ascii="Arial" w:hAnsi="Arial" w:cs="Arial"/>
          <w:sz w:val="22"/>
          <w:szCs w:val="22"/>
        </w:rPr>
        <w:t>http://www.ttb.gov/forms/</w:t>
      </w:r>
      <w:r w:rsidR="009941BE">
        <w:rPr>
          <w:rFonts w:ascii="Arial" w:hAnsi="Arial" w:cs="Arial"/>
          <w:sz w:val="22"/>
          <w:szCs w:val="22"/>
        </w:rPr>
        <w:t xml:space="preserve">. </w:t>
      </w:r>
    </w:p>
    <w:p w14:paraId="12BEBEC5" w14:textId="77777777" w:rsidR="00902789" w:rsidRPr="00902789" w:rsidRDefault="00902789" w:rsidP="00902789">
      <w:pPr>
        <w:suppressAutoHyphens/>
        <w:rPr>
          <w:rFonts w:ascii="Arial" w:hAnsi="Arial" w:cs="Arial"/>
          <w:sz w:val="22"/>
          <w:szCs w:val="22"/>
        </w:rPr>
      </w:pPr>
    </w:p>
    <w:p w14:paraId="3AA94988" w14:textId="77777777" w:rsidR="00902789" w:rsidRPr="00902789" w:rsidRDefault="00902789" w:rsidP="00902789">
      <w:pPr>
        <w:suppressAutoHyphens/>
        <w:rPr>
          <w:rFonts w:ascii="Arial" w:hAnsi="Arial" w:cs="Arial"/>
          <w:i/>
          <w:sz w:val="22"/>
          <w:szCs w:val="22"/>
        </w:rPr>
      </w:pPr>
      <w:r w:rsidRPr="00902789">
        <w:rPr>
          <w:rFonts w:ascii="Arial" w:hAnsi="Arial" w:cs="Arial"/>
          <w:i/>
          <w:sz w:val="22"/>
          <w:szCs w:val="22"/>
        </w:rPr>
        <w:t xml:space="preserve">4.  What efforts are used to identify duplication?  Can similar information already available be used or modified for use for the purposes described in Item 2 above? </w:t>
      </w:r>
    </w:p>
    <w:p w14:paraId="0B76C891" w14:textId="77777777" w:rsidR="00902789" w:rsidRPr="00902789" w:rsidRDefault="00902789" w:rsidP="00285246">
      <w:pPr>
        <w:suppressAutoHyphens/>
        <w:ind w:left="480" w:hanging="480"/>
        <w:rPr>
          <w:rFonts w:ascii="Arial" w:hAnsi="Arial" w:cs="Arial"/>
          <w:sz w:val="22"/>
          <w:szCs w:val="22"/>
        </w:rPr>
      </w:pPr>
    </w:p>
    <w:p w14:paraId="66F91434" w14:textId="77777777" w:rsidR="009176CD" w:rsidRDefault="00285246" w:rsidP="00285246">
      <w:pPr>
        <w:pStyle w:val="BodyTextIndent2"/>
        <w:tabs>
          <w:tab w:val="clear" w:pos="0"/>
          <w:tab w:val="clear" w:pos="480"/>
          <w:tab w:val="clear" w:pos="1080"/>
          <w:tab w:val="clear" w:pos="1680"/>
          <w:tab w:val="clear" w:pos="2280"/>
          <w:tab w:val="clear" w:pos="2880"/>
          <w:tab w:val="clear" w:pos="3480"/>
          <w:tab w:val="clear" w:pos="4680"/>
          <w:tab w:val="clear" w:pos="5280"/>
          <w:tab w:val="clear" w:pos="5760"/>
        </w:tabs>
        <w:spacing w:line="240" w:lineRule="auto"/>
        <w:ind w:left="360" w:firstLine="0"/>
        <w:rPr>
          <w:sz w:val="22"/>
          <w:szCs w:val="22"/>
        </w:rPr>
      </w:pPr>
      <w:r w:rsidRPr="000E77A1">
        <w:rPr>
          <w:sz w:val="22"/>
          <w:szCs w:val="22"/>
        </w:rPr>
        <w:t>Many alcohol beverage dealers do not otherwise register with TTB, and there is no similar information already available.  However, TTB consider</w:t>
      </w:r>
      <w:r w:rsidR="00736110">
        <w:rPr>
          <w:sz w:val="22"/>
          <w:szCs w:val="22"/>
        </w:rPr>
        <w:t>s</w:t>
      </w:r>
      <w:r w:rsidRPr="000E77A1">
        <w:rPr>
          <w:sz w:val="22"/>
          <w:szCs w:val="22"/>
        </w:rPr>
        <w:t xml:space="preserve"> applications for registration and brewer’s notice</w:t>
      </w:r>
      <w:r>
        <w:rPr>
          <w:sz w:val="22"/>
          <w:szCs w:val="22"/>
        </w:rPr>
        <w:t>s</w:t>
      </w:r>
      <w:r w:rsidRPr="000E77A1">
        <w:rPr>
          <w:sz w:val="22"/>
          <w:szCs w:val="22"/>
        </w:rPr>
        <w:t xml:space="preserve"> filed by distilled spirits plants, breweries, wineries, bonded wine warehouses, and taxpaid bottling houses under the qualification provisions of 27 CFR parts 19, 24, or 25 as a registration for SOT purposes and </w:t>
      </w:r>
      <w:r w:rsidR="00736110">
        <w:rPr>
          <w:sz w:val="22"/>
          <w:szCs w:val="22"/>
        </w:rPr>
        <w:t xml:space="preserve">does </w:t>
      </w:r>
      <w:r w:rsidRPr="000E77A1">
        <w:rPr>
          <w:sz w:val="22"/>
          <w:szCs w:val="22"/>
        </w:rPr>
        <w:t xml:space="preserve">not require a TTB F 5630.5d to be filed.  </w:t>
      </w:r>
    </w:p>
    <w:p w14:paraId="7C88EB33" w14:textId="77777777" w:rsidR="009176CD" w:rsidRDefault="009176CD" w:rsidP="00285246">
      <w:pPr>
        <w:pStyle w:val="BodyTextIndent2"/>
        <w:tabs>
          <w:tab w:val="clear" w:pos="0"/>
          <w:tab w:val="clear" w:pos="480"/>
          <w:tab w:val="clear" w:pos="1080"/>
          <w:tab w:val="clear" w:pos="1680"/>
          <w:tab w:val="clear" w:pos="2280"/>
          <w:tab w:val="clear" w:pos="2880"/>
          <w:tab w:val="clear" w:pos="3480"/>
          <w:tab w:val="clear" w:pos="4680"/>
          <w:tab w:val="clear" w:pos="5280"/>
          <w:tab w:val="clear" w:pos="5760"/>
        </w:tabs>
        <w:spacing w:line="240" w:lineRule="auto"/>
        <w:ind w:left="360" w:firstLine="0"/>
        <w:rPr>
          <w:sz w:val="22"/>
          <w:szCs w:val="22"/>
        </w:rPr>
      </w:pPr>
    </w:p>
    <w:p w14:paraId="2BB3FB57" w14:textId="77777777" w:rsidR="00285246" w:rsidRPr="000E77A1" w:rsidRDefault="00285246" w:rsidP="00285246">
      <w:pPr>
        <w:pStyle w:val="BodyTextIndent2"/>
        <w:tabs>
          <w:tab w:val="clear" w:pos="0"/>
          <w:tab w:val="clear" w:pos="480"/>
          <w:tab w:val="clear" w:pos="1080"/>
          <w:tab w:val="clear" w:pos="1680"/>
          <w:tab w:val="clear" w:pos="2280"/>
          <w:tab w:val="clear" w:pos="2880"/>
          <w:tab w:val="clear" w:pos="3480"/>
          <w:tab w:val="clear" w:pos="4680"/>
          <w:tab w:val="clear" w:pos="5280"/>
          <w:tab w:val="clear" w:pos="5760"/>
        </w:tabs>
        <w:spacing w:line="240" w:lineRule="auto"/>
        <w:ind w:left="360" w:firstLine="0"/>
        <w:rPr>
          <w:sz w:val="22"/>
          <w:szCs w:val="22"/>
        </w:rPr>
      </w:pPr>
      <w:r w:rsidRPr="000E77A1">
        <w:rPr>
          <w:sz w:val="22"/>
          <w:szCs w:val="22"/>
        </w:rPr>
        <w:t>For tobacco businesses</w:t>
      </w:r>
      <w:r w:rsidR="009176CD">
        <w:rPr>
          <w:sz w:val="22"/>
          <w:szCs w:val="22"/>
        </w:rPr>
        <w:t xml:space="preserve">, </w:t>
      </w:r>
      <w:r w:rsidR="009176CD" w:rsidRPr="000E77A1">
        <w:rPr>
          <w:sz w:val="22"/>
          <w:szCs w:val="22"/>
        </w:rPr>
        <w:t>TTB F 5630.5t</w:t>
      </w:r>
      <w:r w:rsidR="009176CD" w:rsidRPr="009176CD">
        <w:rPr>
          <w:sz w:val="22"/>
          <w:szCs w:val="22"/>
        </w:rPr>
        <w:t xml:space="preserve"> contains information pertinent to each respondent and </w:t>
      </w:r>
      <w:r w:rsidR="00736110">
        <w:rPr>
          <w:sz w:val="22"/>
          <w:szCs w:val="22"/>
        </w:rPr>
        <w:t xml:space="preserve">is used for registration and </w:t>
      </w:r>
      <w:r w:rsidR="009176CD">
        <w:rPr>
          <w:sz w:val="22"/>
          <w:szCs w:val="22"/>
        </w:rPr>
        <w:t>payment of SOT</w:t>
      </w:r>
      <w:r w:rsidR="009176CD" w:rsidRPr="009176CD">
        <w:rPr>
          <w:sz w:val="22"/>
          <w:szCs w:val="22"/>
        </w:rPr>
        <w:t>.  As far as TTB is able to determine, similar information is not available elsewhere</w:t>
      </w:r>
      <w:r w:rsidR="009176CD">
        <w:rPr>
          <w:sz w:val="22"/>
          <w:szCs w:val="22"/>
        </w:rPr>
        <w:t>.</w:t>
      </w:r>
      <w:r>
        <w:rPr>
          <w:sz w:val="22"/>
          <w:szCs w:val="22"/>
        </w:rPr>
        <w:t xml:space="preserve"> </w:t>
      </w:r>
    </w:p>
    <w:p w14:paraId="32BDFD2A" w14:textId="77777777" w:rsidR="00902789" w:rsidRPr="00902789" w:rsidRDefault="00902789" w:rsidP="00902789">
      <w:pPr>
        <w:suppressAutoHyphens/>
        <w:rPr>
          <w:rFonts w:ascii="Arial" w:hAnsi="Arial" w:cs="Arial"/>
          <w:sz w:val="22"/>
          <w:szCs w:val="22"/>
        </w:rPr>
      </w:pPr>
    </w:p>
    <w:p w14:paraId="3DA615D1" w14:textId="77777777" w:rsidR="00902789" w:rsidRPr="00902789" w:rsidRDefault="00902789" w:rsidP="00902789">
      <w:pPr>
        <w:suppressAutoHyphens/>
        <w:rPr>
          <w:rFonts w:ascii="Arial" w:hAnsi="Arial" w:cs="Arial"/>
          <w:i/>
          <w:sz w:val="22"/>
          <w:szCs w:val="22"/>
        </w:rPr>
      </w:pPr>
      <w:r w:rsidRPr="00902789">
        <w:rPr>
          <w:rFonts w:ascii="Arial" w:hAnsi="Arial" w:cs="Arial"/>
          <w:i/>
          <w:sz w:val="22"/>
          <w:szCs w:val="22"/>
        </w:rPr>
        <w:lastRenderedPageBreak/>
        <w:t xml:space="preserve">5.  If this collection of information impacts small businesses or other small entities, what methods are used to minimize burden? </w:t>
      </w:r>
    </w:p>
    <w:p w14:paraId="279FB96F" w14:textId="77777777" w:rsidR="00902789" w:rsidRPr="00902789" w:rsidRDefault="00902789" w:rsidP="00902789">
      <w:pPr>
        <w:suppressAutoHyphens/>
        <w:ind w:left="480" w:hanging="480"/>
        <w:rPr>
          <w:rFonts w:ascii="Arial" w:hAnsi="Arial" w:cs="Arial"/>
          <w:sz w:val="22"/>
          <w:szCs w:val="22"/>
        </w:rPr>
      </w:pPr>
    </w:p>
    <w:p w14:paraId="3599AE3E" w14:textId="77777777" w:rsidR="0018766E" w:rsidRPr="000E77A1" w:rsidRDefault="0018766E" w:rsidP="0018766E">
      <w:pPr>
        <w:suppressAutoHyphens/>
        <w:ind w:left="360"/>
        <w:rPr>
          <w:rFonts w:ascii="Arial" w:hAnsi="Arial" w:cs="Arial"/>
          <w:sz w:val="22"/>
          <w:szCs w:val="22"/>
        </w:rPr>
      </w:pPr>
      <w:r w:rsidRPr="000E77A1">
        <w:rPr>
          <w:rFonts w:ascii="Arial" w:hAnsi="Arial" w:cs="Arial"/>
          <w:sz w:val="22"/>
          <w:szCs w:val="22"/>
        </w:rPr>
        <w:t>TTB has minimized the burden on all entities by (1) considering alternatives to</w:t>
      </w:r>
      <w:r>
        <w:rPr>
          <w:rFonts w:ascii="Arial" w:hAnsi="Arial" w:cs="Arial"/>
          <w:sz w:val="22"/>
          <w:szCs w:val="22"/>
        </w:rPr>
        <w:t xml:space="preserve"> </w:t>
      </w:r>
      <w:r w:rsidRPr="000E77A1">
        <w:rPr>
          <w:rFonts w:ascii="Arial" w:hAnsi="Arial" w:cs="Arial"/>
          <w:sz w:val="22"/>
          <w:szCs w:val="22"/>
        </w:rPr>
        <w:t xml:space="preserve">registration as described in our answer to </w:t>
      </w:r>
      <w:r>
        <w:rPr>
          <w:rFonts w:ascii="Arial" w:hAnsi="Arial" w:cs="Arial"/>
          <w:sz w:val="22"/>
          <w:szCs w:val="22"/>
        </w:rPr>
        <w:t xml:space="preserve">number </w:t>
      </w:r>
      <w:r w:rsidRPr="000E77A1">
        <w:rPr>
          <w:rFonts w:ascii="Arial" w:hAnsi="Arial" w:cs="Arial"/>
          <w:sz w:val="22"/>
          <w:szCs w:val="22"/>
        </w:rPr>
        <w:t xml:space="preserve">4 above; and (2) requiring </w:t>
      </w:r>
      <w:r>
        <w:rPr>
          <w:rFonts w:ascii="Arial" w:hAnsi="Arial" w:cs="Arial"/>
          <w:sz w:val="22"/>
          <w:szCs w:val="22"/>
        </w:rPr>
        <w:t xml:space="preserve">that the </w:t>
      </w:r>
      <w:r w:rsidRPr="000E77A1">
        <w:rPr>
          <w:rFonts w:ascii="Arial" w:hAnsi="Arial" w:cs="Arial"/>
          <w:sz w:val="22"/>
          <w:szCs w:val="22"/>
        </w:rPr>
        <w:t>forms be submitted only when tax is due or changes to the information provided on the registration forms occurs.</w:t>
      </w:r>
      <w:r>
        <w:rPr>
          <w:rFonts w:ascii="Arial" w:hAnsi="Arial" w:cs="Arial"/>
          <w:sz w:val="22"/>
          <w:szCs w:val="22"/>
        </w:rPr>
        <w:t xml:space="preserve"> </w:t>
      </w:r>
    </w:p>
    <w:p w14:paraId="63BE4EF9" w14:textId="77777777" w:rsidR="00902789" w:rsidRPr="004C0F84" w:rsidRDefault="00902789" w:rsidP="004C0F84">
      <w:pPr>
        <w:suppressAutoHyphens/>
        <w:rPr>
          <w:rFonts w:ascii="Arial" w:hAnsi="Arial" w:cs="Arial"/>
          <w:sz w:val="22"/>
          <w:szCs w:val="22"/>
        </w:rPr>
      </w:pPr>
    </w:p>
    <w:p w14:paraId="16E8871E" w14:textId="77777777" w:rsidR="00902789" w:rsidRPr="00902789" w:rsidRDefault="00902789" w:rsidP="00902789">
      <w:pPr>
        <w:suppressAutoHyphens/>
        <w:rPr>
          <w:rFonts w:ascii="Arial" w:hAnsi="Arial" w:cs="Arial"/>
          <w:i/>
          <w:sz w:val="22"/>
          <w:szCs w:val="22"/>
        </w:rPr>
      </w:pPr>
      <w:r w:rsidRPr="00902789">
        <w:rPr>
          <w:rFonts w:ascii="Arial" w:hAnsi="Arial" w:cs="Arial"/>
          <w:i/>
          <w:sz w:val="22"/>
          <w:szCs w:val="22"/>
        </w:rPr>
        <w:t xml:space="preserve">6.  What consequences to Federal program or policy activities and what, if any, technical or legal obstacles to reducing burden will occur if this collection is not conducted or is conducted less frequently? </w:t>
      </w:r>
    </w:p>
    <w:p w14:paraId="71944983" w14:textId="77777777" w:rsidR="00902789" w:rsidRPr="00902789" w:rsidRDefault="00902789" w:rsidP="004C0F84">
      <w:pPr>
        <w:suppressAutoHyphens/>
        <w:ind w:left="480" w:hanging="480"/>
        <w:rPr>
          <w:rFonts w:ascii="Arial" w:hAnsi="Arial" w:cs="Arial"/>
          <w:sz w:val="22"/>
          <w:szCs w:val="22"/>
        </w:rPr>
      </w:pPr>
    </w:p>
    <w:p w14:paraId="60D50898" w14:textId="77777777" w:rsidR="004C0F84" w:rsidRPr="000E77A1" w:rsidRDefault="004C0F84" w:rsidP="004C0F84">
      <w:pPr>
        <w:suppressAutoHyphens/>
        <w:ind w:left="360"/>
        <w:rPr>
          <w:rFonts w:ascii="Arial" w:hAnsi="Arial" w:cs="Arial"/>
          <w:sz w:val="22"/>
          <w:szCs w:val="22"/>
        </w:rPr>
      </w:pPr>
      <w:r w:rsidRPr="000E77A1">
        <w:rPr>
          <w:rFonts w:ascii="Arial" w:hAnsi="Arial" w:cs="Arial"/>
          <w:sz w:val="22"/>
          <w:szCs w:val="22"/>
        </w:rPr>
        <w:t>Without the use of these forms, the Federal SOT payment and registration requirements</w:t>
      </w:r>
      <w:r>
        <w:rPr>
          <w:rFonts w:ascii="Arial" w:hAnsi="Arial" w:cs="Arial"/>
          <w:sz w:val="22"/>
          <w:szCs w:val="22"/>
        </w:rPr>
        <w:t xml:space="preserve"> </w:t>
      </w:r>
      <w:r w:rsidRPr="000E77A1">
        <w:rPr>
          <w:rFonts w:ascii="Arial" w:hAnsi="Arial" w:cs="Arial"/>
          <w:sz w:val="22"/>
          <w:szCs w:val="22"/>
        </w:rPr>
        <w:t>imposed by statute would not be enforced.  These forms are used only as often as</w:t>
      </w:r>
      <w:r>
        <w:rPr>
          <w:rFonts w:ascii="Arial" w:hAnsi="Arial" w:cs="Arial"/>
          <w:sz w:val="22"/>
          <w:szCs w:val="22"/>
        </w:rPr>
        <w:t xml:space="preserve"> </w:t>
      </w:r>
      <w:r w:rsidRPr="000E77A1">
        <w:rPr>
          <w:rFonts w:ascii="Arial" w:hAnsi="Arial" w:cs="Arial"/>
          <w:sz w:val="22"/>
          <w:szCs w:val="22"/>
        </w:rPr>
        <w:t>necessary to adhere to statutory requirements.</w:t>
      </w:r>
    </w:p>
    <w:p w14:paraId="67B79F89" w14:textId="77777777" w:rsidR="00902789" w:rsidRPr="00902789" w:rsidRDefault="00902789" w:rsidP="004C0F84">
      <w:pPr>
        <w:suppressAutoHyphens/>
        <w:rPr>
          <w:rFonts w:ascii="Arial" w:hAnsi="Arial" w:cs="Arial"/>
          <w:sz w:val="22"/>
          <w:szCs w:val="22"/>
        </w:rPr>
      </w:pPr>
    </w:p>
    <w:p w14:paraId="0A702F54" w14:textId="77777777" w:rsidR="00902789" w:rsidRPr="00902789" w:rsidRDefault="00902789" w:rsidP="00902789">
      <w:pPr>
        <w:suppressAutoHyphens/>
        <w:rPr>
          <w:rFonts w:ascii="Arial" w:hAnsi="Arial" w:cs="Arial"/>
          <w:i/>
          <w:sz w:val="22"/>
          <w:szCs w:val="22"/>
        </w:rPr>
      </w:pPr>
      <w:r w:rsidRPr="00902789">
        <w:rPr>
          <w:rFonts w:ascii="Arial" w:hAnsi="Arial" w:cs="Arial"/>
          <w:i/>
          <w:sz w:val="22"/>
          <w:szCs w:val="22"/>
        </w:rPr>
        <w:t xml:space="preserve">7.  Are there any special circumstances associated with this information collection that would require it to be conducted in a manner inconsistent with OMB guidelines? </w:t>
      </w:r>
    </w:p>
    <w:p w14:paraId="0CD453DB" w14:textId="77777777" w:rsidR="00902789" w:rsidRPr="00902789" w:rsidRDefault="00902789" w:rsidP="00902789">
      <w:pPr>
        <w:rPr>
          <w:rFonts w:ascii="Arial" w:hAnsi="Arial" w:cs="Arial"/>
          <w:sz w:val="22"/>
          <w:szCs w:val="22"/>
        </w:rPr>
      </w:pPr>
    </w:p>
    <w:p w14:paraId="48A19DB9" w14:textId="77777777" w:rsidR="00902789" w:rsidRPr="00902789" w:rsidRDefault="00902789" w:rsidP="00902789">
      <w:pPr>
        <w:ind w:left="360"/>
        <w:rPr>
          <w:rFonts w:ascii="Arial" w:hAnsi="Arial" w:cs="Arial"/>
          <w:sz w:val="22"/>
          <w:szCs w:val="22"/>
        </w:rPr>
      </w:pPr>
      <w:r w:rsidRPr="00902789">
        <w:rPr>
          <w:rFonts w:ascii="Arial" w:hAnsi="Arial" w:cs="Arial"/>
          <w:sz w:val="22"/>
          <w:szCs w:val="22"/>
        </w:rPr>
        <w:t xml:space="preserve">There are no special circumstances associated with this information collection. </w:t>
      </w:r>
    </w:p>
    <w:p w14:paraId="7B2C9FA4" w14:textId="77777777" w:rsidR="00902789" w:rsidRPr="00902789" w:rsidRDefault="00902789" w:rsidP="00902789">
      <w:pPr>
        <w:rPr>
          <w:rFonts w:ascii="Arial" w:hAnsi="Arial" w:cs="Arial"/>
          <w:sz w:val="22"/>
          <w:szCs w:val="22"/>
        </w:rPr>
      </w:pPr>
    </w:p>
    <w:p w14:paraId="79F543D2" w14:textId="77777777" w:rsidR="00902789" w:rsidRPr="00902789" w:rsidRDefault="00902789" w:rsidP="00902789">
      <w:pPr>
        <w:rPr>
          <w:rFonts w:ascii="Arial" w:hAnsi="Arial" w:cs="Arial"/>
          <w:i/>
          <w:sz w:val="22"/>
          <w:szCs w:val="22"/>
        </w:rPr>
      </w:pPr>
      <w:r w:rsidRPr="00902789">
        <w:rPr>
          <w:rFonts w:ascii="Arial" w:hAnsi="Arial" w:cs="Arial"/>
          <w:i/>
          <w:sz w:val="22"/>
          <w:szCs w:val="22"/>
        </w:rPr>
        <w:t xml:space="preserve">8.  What effort was made to notify the general public about this collection of information?  Summarize the public comments that were received and describe the action taken by the agency in response to those comments. </w:t>
      </w:r>
    </w:p>
    <w:p w14:paraId="5137C932" w14:textId="77777777" w:rsidR="00902789" w:rsidRPr="00902789" w:rsidRDefault="00902789" w:rsidP="00902789">
      <w:pPr>
        <w:suppressAutoHyphens/>
        <w:ind w:left="480" w:hanging="480"/>
        <w:rPr>
          <w:rFonts w:ascii="Arial" w:hAnsi="Arial" w:cs="Arial"/>
          <w:sz w:val="22"/>
          <w:szCs w:val="22"/>
        </w:rPr>
      </w:pPr>
    </w:p>
    <w:p w14:paraId="642E7162" w14:textId="77777777" w:rsidR="00902789" w:rsidRDefault="00902789" w:rsidP="00902789">
      <w:pPr>
        <w:ind w:left="360"/>
        <w:rPr>
          <w:rFonts w:ascii="Arial" w:hAnsi="Arial" w:cs="Arial"/>
          <w:sz w:val="22"/>
          <w:szCs w:val="22"/>
        </w:rPr>
      </w:pPr>
      <w:r w:rsidRPr="00902789">
        <w:rPr>
          <w:rFonts w:ascii="Arial" w:hAnsi="Arial" w:cs="Arial"/>
          <w:sz w:val="22"/>
          <w:szCs w:val="22"/>
        </w:rPr>
        <w:t>To solicit comments from the general public, TTB published a “60-day” comment request notice for this information collection in the Federal Register on</w:t>
      </w:r>
      <w:r w:rsidR="003729DD">
        <w:rPr>
          <w:rFonts w:ascii="Arial" w:hAnsi="Arial" w:cs="Arial"/>
          <w:sz w:val="22"/>
          <w:szCs w:val="22"/>
        </w:rPr>
        <w:t xml:space="preserve"> Thursday, March 12, 2015, 80 FR 13073. </w:t>
      </w:r>
      <w:r w:rsidRPr="00902789">
        <w:rPr>
          <w:rFonts w:ascii="Arial" w:hAnsi="Arial" w:cs="Arial"/>
          <w:sz w:val="22"/>
          <w:szCs w:val="22"/>
        </w:rPr>
        <w:t xml:space="preserve"> </w:t>
      </w:r>
      <w:r w:rsidRPr="00285A19">
        <w:rPr>
          <w:rFonts w:ascii="Arial" w:hAnsi="Arial" w:cs="Arial"/>
          <w:sz w:val="22"/>
          <w:szCs w:val="22"/>
        </w:rPr>
        <w:t>TTB received no comments on this information collection in response.</w:t>
      </w:r>
      <w:r w:rsidRPr="00902789">
        <w:rPr>
          <w:rFonts w:ascii="Arial" w:hAnsi="Arial" w:cs="Arial"/>
          <w:sz w:val="22"/>
          <w:szCs w:val="22"/>
        </w:rPr>
        <w:t xml:space="preserve"> </w:t>
      </w:r>
    </w:p>
    <w:p w14:paraId="64C09DDB" w14:textId="77777777" w:rsidR="00902789" w:rsidRPr="00902789" w:rsidRDefault="00902789" w:rsidP="00902789">
      <w:pPr>
        <w:suppressAutoHyphens/>
        <w:rPr>
          <w:rFonts w:ascii="Arial" w:hAnsi="Arial" w:cs="Arial"/>
          <w:sz w:val="22"/>
          <w:szCs w:val="22"/>
        </w:rPr>
      </w:pPr>
    </w:p>
    <w:p w14:paraId="4C74D1EB" w14:textId="77777777" w:rsidR="00902789" w:rsidRPr="00902789" w:rsidRDefault="00902789" w:rsidP="00902789">
      <w:pPr>
        <w:suppressAutoHyphens/>
        <w:rPr>
          <w:rFonts w:ascii="Arial" w:hAnsi="Arial" w:cs="Arial"/>
          <w:i/>
          <w:sz w:val="22"/>
          <w:szCs w:val="22"/>
        </w:rPr>
      </w:pPr>
      <w:r w:rsidRPr="00902789">
        <w:rPr>
          <w:rFonts w:ascii="Arial" w:hAnsi="Arial" w:cs="Arial"/>
          <w:i/>
          <w:sz w:val="22"/>
          <w:szCs w:val="22"/>
        </w:rPr>
        <w:t xml:space="preserve">9.  Was any payment or gift given to respondents, other than remuneration of contractors or grantees?  If so, why? </w:t>
      </w:r>
    </w:p>
    <w:p w14:paraId="38A60BC6" w14:textId="77777777" w:rsidR="00902789" w:rsidRPr="00902789" w:rsidRDefault="00902789" w:rsidP="00902789">
      <w:pPr>
        <w:suppressAutoHyphens/>
        <w:rPr>
          <w:rFonts w:ascii="Arial" w:hAnsi="Arial" w:cs="Arial"/>
          <w:sz w:val="22"/>
          <w:szCs w:val="22"/>
        </w:rPr>
      </w:pPr>
    </w:p>
    <w:p w14:paraId="551E77E1" w14:textId="77777777" w:rsidR="00902789" w:rsidRPr="00902789" w:rsidRDefault="00902789" w:rsidP="00902789">
      <w:pPr>
        <w:suppressAutoHyphens/>
        <w:ind w:left="360"/>
        <w:rPr>
          <w:rFonts w:ascii="Arial" w:hAnsi="Arial" w:cs="Arial"/>
          <w:sz w:val="22"/>
          <w:szCs w:val="22"/>
        </w:rPr>
      </w:pPr>
      <w:r w:rsidRPr="00902789">
        <w:rPr>
          <w:rFonts w:ascii="Arial" w:hAnsi="Arial" w:cs="Arial"/>
          <w:sz w:val="22"/>
          <w:szCs w:val="22"/>
        </w:rPr>
        <w:t xml:space="preserve">No payment or gift is associated with this collection. </w:t>
      </w:r>
    </w:p>
    <w:p w14:paraId="0CE9E17C" w14:textId="77777777" w:rsidR="00902789" w:rsidRPr="00902789" w:rsidRDefault="00902789" w:rsidP="00902789">
      <w:pPr>
        <w:suppressAutoHyphens/>
        <w:rPr>
          <w:rFonts w:ascii="Arial" w:hAnsi="Arial" w:cs="Arial"/>
          <w:sz w:val="22"/>
          <w:szCs w:val="22"/>
        </w:rPr>
      </w:pPr>
    </w:p>
    <w:p w14:paraId="037C175C" w14:textId="77777777" w:rsidR="00902789" w:rsidRPr="00902789" w:rsidRDefault="00902789" w:rsidP="00902789">
      <w:pPr>
        <w:suppressAutoHyphens/>
        <w:rPr>
          <w:rFonts w:ascii="Arial" w:hAnsi="Arial" w:cs="Arial"/>
          <w:i/>
          <w:sz w:val="22"/>
          <w:szCs w:val="22"/>
        </w:rPr>
      </w:pPr>
      <w:r w:rsidRPr="00902789">
        <w:rPr>
          <w:rFonts w:ascii="Arial" w:hAnsi="Arial" w:cs="Arial"/>
          <w:i/>
          <w:sz w:val="22"/>
          <w:szCs w:val="22"/>
        </w:rPr>
        <w:t xml:space="preserve">10.  What assurance of confidentiality was provided to respondents, and what was the basis for the assurance in statute, regulations, or agency policy? </w:t>
      </w:r>
    </w:p>
    <w:p w14:paraId="4A98D892" w14:textId="77777777" w:rsidR="00902789" w:rsidRPr="00902789" w:rsidRDefault="00902789" w:rsidP="00902789">
      <w:pPr>
        <w:rPr>
          <w:rFonts w:ascii="Arial" w:hAnsi="Arial" w:cs="Arial"/>
          <w:sz w:val="22"/>
          <w:szCs w:val="22"/>
        </w:rPr>
      </w:pPr>
    </w:p>
    <w:p w14:paraId="64B94310" w14:textId="77777777" w:rsidR="00902789" w:rsidRPr="00902789" w:rsidRDefault="00902789" w:rsidP="00902789">
      <w:pPr>
        <w:ind w:left="360"/>
        <w:rPr>
          <w:rFonts w:ascii="Arial" w:hAnsi="Arial" w:cs="Arial"/>
          <w:sz w:val="22"/>
          <w:szCs w:val="22"/>
        </w:rPr>
      </w:pPr>
      <w:r w:rsidRPr="00902789">
        <w:rPr>
          <w:rFonts w:ascii="Arial" w:hAnsi="Arial" w:cs="Arial"/>
          <w:sz w:val="22"/>
          <w:szCs w:val="22"/>
        </w:rPr>
        <w:t xml:space="preserve">No specific assurance of confidentiality is provided on this form.  However, Federal law at 5 U.S.C. 552 protects the confidentiality of proprietary information obtained by the Government from regulated businesses and individuals, and 26 U.S.C. 6103 prohibits disclosure of tax returns and related information unless disclosure is specifically authorized by that section.  TTB maintains these records in secure file rooms </w:t>
      </w:r>
      <w:r w:rsidRPr="00285A19">
        <w:rPr>
          <w:rFonts w:ascii="Arial" w:hAnsi="Arial" w:cs="Arial"/>
          <w:sz w:val="22"/>
          <w:szCs w:val="22"/>
        </w:rPr>
        <w:t>and computer systems</w:t>
      </w:r>
      <w:r w:rsidRPr="00902789">
        <w:rPr>
          <w:rFonts w:ascii="Arial" w:hAnsi="Arial" w:cs="Arial"/>
          <w:sz w:val="22"/>
          <w:szCs w:val="22"/>
        </w:rPr>
        <w:t xml:space="preserve"> with controlled access. </w:t>
      </w:r>
    </w:p>
    <w:p w14:paraId="324E977A" w14:textId="77777777" w:rsidR="00902789" w:rsidRPr="00902789" w:rsidRDefault="00902789" w:rsidP="00902789">
      <w:pPr>
        <w:suppressAutoHyphens/>
        <w:rPr>
          <w:rFonts w:ascii="Arial" w:hAnsi="Arial" w:cs="Arial"/>
          <w:sz w:val="22"/>
          <w:szCs w:val="22"/>
        </w:rPr>
      </w:pPr>
    </w:p>
    <w:p w14:paraId="0C15F4EC" w14:textId="77777777" w:rsidR="00902789" w:rsidRPr="00902789" w:rsidRDefault="00902789" w:rsidP="00902789">
      <w:pPr>
        <w:rPr>
          <w:rFonts w:ascii="Arial" w:hAnsi="Arial" w:cs="Arial"/>
          <w:i/>
          <w:sz w:val="22"/>
          <w:szCs w:val="22"/>
        </w:rPr>
      </w:pPr>
      <w:r w:rsidRPr="00902789">
        <w:rPr>
          <w:rFonts w:ascii="Arial" w:hAnsi="Arial" w:cs="Arial"/>
          <w:i/>
          <w:sz w:val="22"/>
          <w:szCs w:val="22"/>
        </w:rPr>
        <w:t xml:space="preserve">11.  What is the justification for questions of a sensitive nature?  If personally identifiable information (PII) is being collected in an electronic system, identify the Privacy Impact Assessment (PIA) that has been conducted for the information collected under this request and/or the Privacy Act System of Records notice (SORN) issued for the electronic system in which the PII is being stored. </w:t>
      </w:r>
    </w:p>
    <w:p w14:paraId="4161ADCB" w14:textId="77777777" w:rsidR="00902789" w:rsidRPr="00902789" w:rsidRDefault="00902789" w:rsidP="00902789">
      <w:pPr>
        <w:rPr>
          <w:rFonts w:ascii="Arial" w:hAnsi="Arial" w:cs="Arial"/>
          <w:i/>
          <w:sz w:val="22"/>
          <w:szCs w:val="22"/>
        </w:rPr>
      </w:pPr>
    </w:p>
    <w:p w14:paraId="5B551717" w14:textId="77777777" w:rsidR="00902789" w:rsidRPr="00902789" w:rsidRDefault="00902789" w:rsidP="00902789">
      <w:pPr>
        <w:widowControl w:val="0"/>
        <w:suppressAutoHyphens/>
        <w:autoSpaceDE w:val="0"/>
        <w:autoSpaceDN w:val="0"/>
        <w:adjustRightInd w:val="0"/>
        <w:ind w:left="360"/>
        <w:rPr>
          <w:rFonts w:ascii="Arial" w:hAnsi="Arial" w:cs="Arial"/>
          <w:sz w:val="22"/>
          <w:szCs w:val="22"/>
        </w:rPr>
      </w:pPr>
      <w:r w:rsidRPr="00902789">
        <w:rPr>
          <w:rFonts w:ascii="Arial" w:hAnsi="Arial" w:cs="Arial"/>
          <w:sz w:val="22"/>
          <w:szCs w:val="22"/>
        </w:rPr>
        <w:t xml:space="preserve">This information collection contains no questions of a sensitive nature. </w:t>
      </w:r>
    </w:p>
    <w:p w14:paraId="6A63BF18" w14:textId="77777777" w:rsidR="00902789" w:rsidRPr="00902789" w:rsidRDefault="00902789" w:rsidP="00902789">
      <w:pPr>
        <w:widowControl w:val="0"/>
        <w:suppressAutoHyphens/>
        <w:autoSpaceDE w:val="0"/>
        <w:autoSpaceDN w:val="0"/>
        <w:adjustRightInd w:val="0"/>
        <w:ind w:left="360"/>
        <w:rPr>
          <w:rFonts w:ascii="Arial" w:hAnsi="Arial" w:cs="Arial"/>
          <w:sz w:val="22"/>
          <w:szCs w:val="22"/>
        </w:rPr>
      </w:pPr>
    </w:p>
    <w:p w14:paraId="0FA6F196" w14:textId="77777777" w:rsidR="00902789" w:rsidRPr="00902789" w:rsidRDefault="00902789" w:rsidP="00902789">
      <w:pPr>
        <w:widowControl w:val="0"/>
        <w:suppressAutoHyphens/>
        <w:autoSpaceDE w:val="0"/>
        <w:autoSpaceDN w:val="0"/>
        <w:adjustRightInd w:val="0"/>
        <w:ind w:left="360"/>
        <w:rPr>
          <w:rFonts w:ascii="Arial" w:hAnsi="Arial" w:cs="Arial"/>
          <w:sz w:val="22"/>
          <w:szCs w:val="22"/>
        </w:rPr>
      </w:pPr>
      <w:r w:rsidRPr="00902789">
        <w:rPr>
          <w:rFonts w:ascii="Arial" w:hAnsi="Arial" w:cs="Arial"/>
          <w:sz w:val="22"/>
          <w:szCs w:val="22"/>
        </w:rPr>
        <w:t xml:space="preserve">A Privacy Impact Assessment (PIA) has been conducted for information collected under this request as part of </w:t>
      </w:r>
      <w:r w:rsidRPr="00E52DEC">
        <w:rPr>
          <w:rFonts w:ascii="Arial" w:hAnsi="Arial" w:cs="Arial"/>
          <w:sz w:val="22"/>
          <w:szCs w:val="22"/>
        </w:rPr>
        <w:t>the Tax Major Application System, and a Privacy Act System of Records notice (SORN) has been issued</w:t>
      </w:r>
      <w:r w:rsidR="00E52DEC" w:rsidRPr="00E52DEC">
        <w:rPr>
          <w:rFonts w:ascii="Arial" w:hAnsi="Arial" w:cs="Arial"/>
          <w:sz w:val="22"/>
          <w:szCs w:val="22"/>
        </w:rPr>
        <w:t xml:space="preserve"> for this system under TTB .001–</w:t>
      </w:r>
      <w:r w:rsidRPr="00E52DEC">
        <w:rPr>
          <w:rFonts w:ascii="Arial" w:hAnsi="Arial" w:cs="Arial"/>
          <w:sz w:val="22"/>
          <w:szCs w:val="22"/>
        </w:rPr>
        <w:t xml:space="preserve">Regulatory Enforcement Record System and published in the Federal Register on </w:t>
      </w:r>
      <w:r w:rsidR="00E52DEC" w:rsidRPr="00E52DEC">
        <w:rPr>
          <w:rFonts w:ascii="Arial" w:hAnsi="Arial" w:cs="Arial"/>
          <w:sz w:val="22"/>
          <w:szCs w:val="22"/>
        </w:rPr>
        <w:t xml:space="preserve">January 28, 2015, </w:t>
      </w:r>
      <w:r w:rsidRPr="00E52DEC">
        <w:rPr>
          <w:rFonts w:ascii="Arial" w:hAnsi="Arial" w:cs="Arial"/>
          <w:sz w:val="22"/>
          <w:szCs w:val="22"/>
        </w:rPr>
        <w:t xml:space="preserve">at </w:t>
      </w:r>
      <w:r w:rsidR="00E52DEC" w:rsidRPr="00E52DEC">
        <w:rPr>
          <w:rFonts w:ascii="Arial" w:hAnsi="Arial" w:cs="Arial"/>
          <w:sz w:val="22"/>
          <w:szCs w:val="22"/>
        </w:rPr>
        <w:t>80</w:t>
      </w:r>
      <w:r w:rsidRPr="00E52DEC">
        <w:rPr>
          <w:rFonts w:ascii="Arial" w:hAnsi="Arial" w:cs="Arial"/>
          <w:sz w:val="22"/>
          <w:szCs w:val="22"/>
        </w:rPr>
        <w:t xml:space="preserve"> FR </w:t>
      </w:r>
      <w:r w:rsidR="00E52DEC" w:rsidRPr="00E52DEC">
        <w:rPr>
          <w:rFonts w:ascii="Arial" w:hAnsi="Arial" w:cs="Arial"/>
          <w:sz w:val="22"/>
          <w:szCs w:val="22"/>
        </w:rPr>
        <w:t>4637</w:t>
      </w:r>
      <w:r w:rsidRPr="00E52DEC">
        <w:rPr>
          <w:rFonts w:ascii="Arial" w:hAnsi="Arial" w:cs="Arial"/>
          <w:sz w:val="22"/>
          <w:szCs w:val="22"/>
        </w:rPr>
        <w:t>.</w:t>
      </w:r>
      <w:r w:rsidRPr="00902789">
        <w:rPr>
          <w:rFonts w:ascii="Arial" w:hAnsi="Arial" w:cs="Arial"/>
          <w:sz w:val="22"/>
          <w:szCs w:val="22"/>
        </w:rPr>
        <w:t xml:space="preserve">  TTB’s PIAs are available on the TTB website at </w:t>
      </w:r>
      <w:hyperlink r:id="rId12" w:history="1">
        <w:r w:rsidRPr="00902789">
          <w:rPr>
            <w:rStyle w:val="Hyperlink"/>
            <w:rFonts w:ascii="Arial" w:hAnsi="Arial" w:cs="Arial"/>
            <w:sz w:val="22"/>
            <w:szCs w:val="22"/>
          </w:rPr>
          <w:t>http://www.ttb.gov/foia/pia.shtml</w:t>
        </w:r>
      </w:hyperlink>
      <w:r w:rsidRPr="00902789">
        <w:rPr>
          <w:rFonts w:ascii="Arial" w:hAnsi="Arial" w:cs="Arial"/>
          <w:sz w:val="22"/>
          <w:szCs w:val="22"/>
        </w:rPr>
        <w:t xml:space="preserve">. </w:t>
      </w:r>
    </w:p>
    <w:p w14:paraId="070C8043" w14:textId="77777777" w:rsidR="00902789" w:rsidRPr="00902789" w:rsidRDefault="00902789" w:rsidP="00902789">
      <w:pPr>
        <w:suppressAutoHyphens/>
        <w:rPr>
          <w:rFonts w:ascii="Arial" w:hAnsi="Arial" w:cs="Arial"/>
          <w:sz w:val="22"/>
          <w:szCs w:val="22"/>
        </w:rPr>
      </w:pPr>
    </w:p>
    <w:p w14:paraId="05A14B3B" w14:textId="77777777" w:rsidR="00902789" w:rsidRPr="00902789" w:rsidRDefault="00902789" w:rsidP="00902789">
      <w:pPr>
        <w:suppressAutoHyphens/>
        <w:rPr>
          <w:rFonts w:ascii="Arial" w:hAnsi="Arial" w:cs="Arial"/>
          <w:i/>
          <w:sz w:val="22"/>
          <w:szCs w:val="22"/>
        </w:rPr>
      </w:pPr>
      <w:r w:rsidRPr="00902789">
        <w:rPr>
          <w:rFonts w:ascii="Arial" w:hAnsi="Arial" w:cs="Arial"/>
          <w:i/>
          <w:sz w:val="22"/>
          <w:szCs w:val="22"/>
        </w:rPr>
        <w:t xml:space="preserve">12.  What is the estimated hour burden of this collection of information? </w:t>
      </w:r>
    </w:p>
    <w:p w14:paraId="17CFD573" w14:textId="77777777" w:rsidR="00902789" w:rsidRPr="00493EF8" w:rsidRDefault="00902789" w:rsidP="00493EF8">
      <w:pPr>
        <w:suppressAutoHyphens/>
        <w:rPr>
          <w:rFonts w:ascii="Arial" w:hAnsi="Arial" w:cs="Arial"/>
          <w:sz w:val="22"/>
          <w:szCs w:val="22"/>
        </w:rPr>
      </w:pPr>
    </w:p>
    <w:p w14:paraId="1B3C6D67" w14:textId="13484A9B" w:rsidR="00493EF8" w:rsidRPr="00493EF8" w:rsidRDefault="002E1A3B" w:rsidP="00493EF8">
      <w:pPr>
        <w:ind w:left="360"/>
        <w:rPr>
          <w:rFonts w:ascii="Arial" w:hAnsi="Arial" w:cs="Arial"/>
          <w:sz w:val="22"/>
          <w:szCs w:val="22"/>
        </w:rPr>
      </w:pPr>
      <w:r>
        <w:rPr>
          <w:rFonts w:ascii="Arial" w:hAnsi="Arial" w:cs="Arial"/>
          <w:sz w:val="22"/>
          <w:szCs w:val="22"/>
        </w:rPr>
        <w:t>Summary of burden</w:t>
      </w:r>
      <w:bookmarkStart w:id="0" w:name="_GoBack"/>
      <w:bookmarkEnd w:id="0"/>
      <w:r w:rsidR="00493EF8" w:rsidRPr="00493EF8">
        <w:rPr>
          <w:rFonts w:ascii="Arial" w:hAnsi="Arial" w:cs="Arial"/>
          <w:sz w:val="22"/>
          <w:szCs w:val="22"/>
        </w:rPr>
        <w:t>:</w:t>
      </w:r>
    </w:p>
    <w:tbl>
      <w:tblPr>
        <w:tblStyle w:val="TableGrid"/>
        <w:tblW w:w="0" w:type="auto"/>
        <w:tblInd w:w="360" w:type="dxa"/>
        <w:tblLook w:val="04A0" w:firstRow="1" w:lastRow="0" w:firstColumn="1" w:lastColumn="0" w:noHBand="0" w:noVBand="1"/>
      </w:tblPr>
      <w:tblGrid>
        <w:gridCol w:w="1541"/>
        <w:gridCol w:w="1553"/>
        <w:gridCol w:w="1545"/>
        <w:gridCol w:w="1538"/>
        <w:gridCol w:w="1529"/>
        <w:gridCol w:w="1510"/>
      </w:tblGrid>
      <w:tr w:rsidR="002B5AB8" w14:paraId="2270545C" w14:textId="77777777" w:rsidTr="002B5AB8">
        <w:tc>
          <w:tcPr>
            <w:tcW w:w="1596" w:type="dxa"/>
            <w:vAlign w:val="center"/>
          </w:tcPr>
          <w:p w14:paraId="0A7AC2F1" w14:textId="46D3C67B" w:rsidR="00600AA4" w:rsidRPr="002B5AB8" w:rsidRDefault="002B5AB8" w:rsidP="002B5AB8">
            <w:pPr>
              <w:jc w:val="center"/>
              <w:rPr>
                <w:rFonts w:ascii="Arial Narrow" w:hAnsi="Arial Narrow" w:cs="Arial"/>
                <w:sz w:val="20"/>
                <w:szCs w:val="20"/>
              </w:rPr>
            </w:pPr>
            <w:r w:rsidRPr="002B5AB8">
              <w:rPr>
                <w:rFonts w:ascii="Arial Narrow" w:hAnsi="Arial Narrow" w:cs="Arial"/>
                <w:sz w:val="20"/>
                <w:szCs w:val="20"/>
              </w:rPr>
              <w:t>TTB F</w:t>
            </w:r>
          </w:p>
        </w:tc>
        <w:tc>
          <w:tcPr>
            <w:tcW w:w="1596" w:type="dxa"/>
            <w:vAlign w:val="center"/>
          </w:tcPr>
          <w:p w14:paraId="22954988" w14:textId="45723CF7" w:rsidR="00600AA4" w:rsidRPr="002B5AB8" w:rsidRDefault="002B5AB8" w:rsidP="002B5AB8">
            <w:pPr>
              <w:jc w:val="center"/>
              <w:rPr>
                <w:rFonts w:ascii="Arial Narrow" w:hAnsi="Arial Narrow" w:cs="Arial"/>
                <w:sz w:val="20"/>
                <w:szCs w:val="20"/>
              </w:rPr>
            </w:pPr>
            <w:r w:rsidRPr="002B5AB8">
              <w:rPr>
                <w:rFonts w:ascii="Arial Narrow" w:hAnsi="Arial Narrow" w:cs="Arial"/>
                <w:sz w:val="20"/>
                <w:szCs w:val="20"/>
              </w:rPr>
              <w:t># Respondents</w:t>
            </w:r>
          </w:p>
        </w:tc>
        <w:tc>
          <w:tcPr>
            <w:tcW w:w="1596" w:type="dxa"/>
            <w:vAlign w:val="center"/>
          </w:tcPr>
          <w:p w14:paraId="54329FCD" w14:textId="190717F1" w:rsidR="00600AA4" w:rsidRPr="002B5AB8" w:rsidRDefault="002B5AB8" w:rsidP="002B5AB8">
            <w:pPr>
              <w:jc w:val="center"/>
              <w:rPr>
                <w:rFonts w:ascii="Arial Narrow" w:hAnsi="Arial Narrow" w:cs="Arial"/>
                <w:sz w:val="20"/>
                <w:szCs w:val="20"/>
              </w:rPr>
            </w:pPr>
            <w:r>
              <w:rPr>
                <w:rFonts w:ascii="Arial Narrow" w:hAnsi="Arial Narrow" w:cs="Arial"/>
                <w:sz w:val="20"/>
                <w:szCs w:val="20"/>
              </w:rPr>
              <w:t># Responses Per Respondent</w:t>
            </w:r>
          </w:p>
        </w:tc>
        <w:tc>
          <w:tcPr>
            <w:tcW w:w="1596" w:type="dxa"/>
            <w:vAlign w:val="center"/>
          </w:tcPr>
          <w:p w14:paraId="35295A8F" w14:textId="402E432E" w:rsidR="00600AA4" w:rsidRPr="002B5AB8" w:rsidRDefault="002B5AB8" w:rsidP="002B5AB8">
            <w:pPr>
              <w:jc w:val="center"/>
              <w:rPr>
                <w:rFonts w:ascii="Arial Narrow" w:hAnsi="Arial Narrow" w:cs="Arial"/>
                <w:sz w:val="20"/>
                <w:szCs w:val="20"/>
              </w:rPr>
            </w:pPr>
            <w:r>
              <w:rPr>
                <w:rFonts w:ascii="Arial Narrow" w:hAnsi="Arial Narrow" w:cs="Arial"/>
                <w:sz w:val="20"/>
                <w:szCs w:val="20"/>
              </w:rPr>
              <w:t>Total Annual Responses</w:t>
            </w:r>
          </w:p>
        </w:tc>
        <w:tc>
          <w:tcPr>
            <w:tcW w:w="1596" w:type="dxa"/>
            <w:vAlign w:val="center"/>
          </w:tcPr>
          <w:p w14:paraId="0E83E6AF" w14:textId="49D41241" w:rsidR="00600AA4" w:rsidRPr="002B5AB8" w:rsidRDefault="002B5AB8" w:rsidP="002B5AB8">
            <w:pPr>
              <w:jc w:val="center"/>
              <w:rPr>
                <w:rFonts w:ascii="Arial Narrow" w:hAnsi="Arial Narrow" w:cs="Arial"/>
                <w:sz w:val="20"/>
                <w:szCs w:val="20"/>
              </w:rPr>
            </w:pPr>
            <w:r>
              <w:rPr>
                <w:rFonts w:ascii="Arial Narrow" w:hAnsi="Arial Narrow" w:cs="Arial"/>
                <w:sz w:val="20"/>
                <w:szCs w:val="20"/>
              </w:rPr>
              <w:t>Hours Per Response</w:t>
            </w:r>
          </w:p>
        </w:tc>
        <w:tc>
          <w:tcPr>
            <w:tcW w:w="1596" w:type="dxa"/>
            <w:vAlign w:val="center"/>
          </w:tcPr>
          <w:p w14:paraId="75358D08" w14:textId="67CD1995" w:rsidR="00600AA4" w:rsidRPr="002B5AB8" w:rsidRDefault="002B5AB8" w:rsidP="002B5AB8">
            <w:pPr>
              <w:jc w:val="center"/>
              <w:rPr>
                <w:rFonts w:ascii="Arial Narrow" w:hAnsi="Arial Narrow" w:cs="Arial"/>
                <w:sz w:val="20"/>
                <w:szCs w:val="20"/>
              </w:rPr>
            </w:pPr>
            <w:r>
              <w:rPr>
                <w:rFonts w:ascii="Arial Narrow" w:hAnsi="Arial Narrow" w:cs="Arial"/>
                <w:sz w:val="20"/>
                <w:szCs w:val="20"/>
              </w:rPr>
              <w:t>Total Burden</w:t>
            </w:r>
          </w:p>
        </w:tc>
      </w:tr>
      <w:tr w:rsidR="002B5AB8" w14:paraId="761F6EF2" w14:textId="77777777" w:rsidTr="00600AA4">
        <w:tc>
          <w:tcPr>
            <w:tcW w:w="1596" w:type="dxa"/>
          </w:tcPr>
          <w:p w14:paraId="4A6108D7" w14:textId="78AE2B96" w:rsidR="00600AA4" w:rsidRDefault="00600AA4" w:rsidP="00493EF8">
            <w:pPr>
              <w:rPr>
                <w:rFonts w:ascii="Arial" w:hAnsi="Arial" w:cs="Arial"/>
                <w:sz w:val="22"/>
                <w:szCs w:val="22"/>
              </w:rPr>
            </w:pPr>
            <w:r>
              <w:rPr>
                <w:rFonts w:ascii="Arial" w:hAnsi="Arial" w:cs="Arial"/>
                <w:sz w:val="22"/>
                <w:szCs w:val="22"/>
              </w:rPr>
              <w:t>5630.5a</w:t>
            </w:r>
          </w:p>
        </w:tc>
        <w:tc>
          <w:tcPr>
            <w:tcW w:w="1596" w:type="dxa"/>
          </w:tcPr>
          <w:p w14:paraId="079CFB86" w14:textId="0FEA56B3" w:rsidR="00600AA4" w:rsidRDefault="00600AA4" w:rsidP="002B5AB8">
            <w:pPr>
              <w:jc w:val="right"/>
              <w:rPr>
                <w:rFonts w:ascii="Arial" w:hAnsi="Arial" w:cs="Arial"/>
                <w:sz w:val="22"/>
                <w:szCs w:val="22"/>
              </w:rPr>
            </w:pPr>
            <w:r>
              <w:rPr>
                <w:rFonts w:ascii="Arial" w:hAnsi="Arial" w:cs="Arial"/>
                <w:sz w:val="22"/>
                <w:szCs w:val="22"/>
              </w:rPr>
              <w:t>50</w:t>
            </w:r>
          </w:p>
        </w:tc>
        <w:tc>
          <w:tcPr>
            <w:tcW w:w="1596" w:type="dxa"/>
          </w:tcPr>
          <w:p w14:paraId="2C69E7DF" w14:textId="258BE016" w:rsidR="00600AA4" w:rsidRDefault="00600AA4" w:rsidP="002B5AB8">
            <w:pPr>
              <w:jc w:val="right"/>
              <w:rPr>
                <w:rFonts w:ascii="Arial" w:hAnsi="Arial" w:cs="Arial"/>
                <w:sz w:val="22"/>
                <w:szCs w:val="22"/>
              </w:rPr>
            </w:pPr>
            <w:r>
              <w:rPr>
                <w:rFonts w:ascii="Arial" w:hAnsi="Arial" w:cs="Arial"/>
                <w:sz w:val="22"/>
                <w:szCs w:val="22"/>
              </w:rPr>
              <w:t>1</w:t>
            </w:r>
          </w:p>
        </w:tc>
        <w:tc>
          <w:tcPr>
            <w:tcW w:w="1596" w:type="dxa"/>
          </w:tcPr>
          <w:p w14:paraId="75F12595" w14:textId="183DD360" w:rsidR="00600AA4" w:rsidRDefault="002B5AB8" w:rsidP="002B5AB8">
            <w:pPr>
              <w:jc w:val="right"/>
              <w:rPr>
                <w:rFonts w:ascii="Arial" w:hAnsi="Arial" w:cs="Arial"/>
                <w:sz w:val="22"/>
                <w:szCs w:val="22"/>
              </w:rPr>
            </w:pPr>
            <w:r>
              <w:rPr>
                <w:rFonts w:ascii="Arial" w:hAnsi="Arial" w:cs="Arial"/>
                <w:sz w:val="22"/>
                <w:szCs w:val="22"/>
              </w:rPr>
              <w:t>50</w:t>
            </w:r>
          </w:p>
        </w:tc>
        <w:tc>
          <w:tcPr>
            <w:tcW w:w="1596" w:type="dxa"/>
          </w:tcPr>
          <w:p w14:paraId="3F3BC196" w14:textId="32FD8219" w:rsidR="00600AA4" w:rsidRDefault="00600AA4" w:rsidP="002B5AB8">
            <w:pPr>
              <w:jc w:val="right"/>
              <w:rPr>
                <w:rFonts w:ascii="Arial" w:hAnsi="Arial" w:cs="Arial"/>
                <w:sz w:val="22"/>
                <w:szCs w:val="22"/>
              </w:rPr>
            </w:pPr>
            <w:r>
              <w:rPr>
                <w:rFonts w:ascii="Arial" w:hAnsi="Arial" w:cs="Arial"/>
                <w:sz w:val="22"/>
                <w:szCs w:val="22"/>
              </w:rPr>
              <w:t>0.42</w:t>
            </w:r>
          </w:p>
        </w:tc>
        <w:tc>
          <w:tcPr>
            <w:tcW w:w="1596" w:type="dxa"/>
          </w:tcPr>
          <w:p w14:paraId="727E6617" w14:textId="16E2B928" w:rsidR="00600AA4" w:rsidRDefault="002B5AB8" w:rsidP="002B5AB8">
            <w:pPr>
              <w:jc w:val="right"/>
              <w:rPr>
                <w:rFonts w:ascii="Arial" w:hAnsi="Arial" w:cs="Arial"/>
                <w:sz w:val="22"/>
                <w:szCs w:val="22"/>
              </w:rPr>
            </w:pPr>
            <w:r>
              <w:rPr>
                <w:rFonts w:ascii="Arial" w:hAnsi="Arial" w:cs="Arial"/>
                <w:sz w:val="22"/>
                <w:szCs w:val="22"/>
              </w:rPr>
              <w:t>20</w:t>
            </w:r>
          </w:p>
        </w:tc>
      </w:tr>
      <w:tr w:rsidR="002B5AB8" w14:paraId="52B4601D" w14:textId="77777777" w:rsidTr="00600AA4">
        <w:tc>
          <w:tcPr>
            <w:tcW w:w="1596" w:type="dxa"/>
          </w:tcPr>
          <w:p w14:paraId="2EF03E04" w14:textId="5EB0FE82" w:rsidR="00600AA4" w:rsidRDefault="002B5AB8" w:rsidP="00493EF8">
            <w:pPr>
              <w:rPr>
                <w:rFonts w:ascii="Arial" w:hAnsi="Arial" w:cs="Arial"/>
                <w:sz w:val="22"/>
                <w:szCs w:val="22"/>
              </w:rPr>
            </w:pPr>
            <w:r>
              <w:rPr>
                <w:rFonts w:ascii="Arial" w:hAnsi="Arial" w:cs="Arial"/>
                <w:sz w:val="22"/>
                <w:szCs w:val="22"/>
              </w:rPr>
              <w:t>5630.5d</w:t>
            </w:r>
          </w:p>
        </w:tc>
        <w:tc>
          <w:tcPr>
            <w:tcW w:w="1596" w:type="dxa"/>
          </w:tcPr>
          <w:p w14:paraId="5187DBEB" w14:textId="4720B6A4" w:rsidR="00600AA4" w:rsidRDefault="002B5AB8" w:rsidP="002B5AB8">
            <w:pPr>
              <w:jc w:val="right"/>
              <w:rPr>
                <w:rFonts w:ascii="Arial" w:hAnsi="Arial" w:cs="Arial"/>
                <w:sz w:val="22"/>
                <w:szCs w:val="22"/>
              </w:rPr>
            </w:pPr>
            <w:r>
              <w:rPr>
                <w:rFonts w:ascii="Arial" w:hAnsi="Arial" w:cs="Arial"/>
                <w:sz w:val="22"/>
                <w:szCs w:val="22"/>
              </w:rPr>
              <w:t>8,000</w:t>
            </w:r>
          </w:p>
        </w:tc>
        <w:tc>
          <w:tcPr>
            <w:tcW w:w="1596" w:type="dxa"/>
          </w:tcPr>
          <w:p w14:paraId="640CB69D" w14:textId="4D0B7D41" w:rsidR="00600AA4" w:rsidRDefault="002B5AB8" w:rsidP="002B5AB8">
            <w:pPr>
              <w:jc w:val="right"/>
              <w:rPr>
                <w:rFonts w:ascii="Arial" w:hAnsi="Arial" w:cs="Arial"/>
                <w:sz w:val="22"/>
                <w:szCs w:val="22"/>
              </w:rPr>
            </w:pPr>
            <w:r>
              <w:rPr>
                <w:rFonts w:ascii="Arial" w:hAnsi="Arial" w:cs="Arial"/>
                <w:sz w:val="22"/>
                <w:szCs w:val="22"/>
              </w:rPr>
              <w:t>1</w:t>
            </w:r>
          </w:p>
        </w:tc>
        <w:tc>
          <w:tcPr>
            <w:tcW w:w="1596" w:type="dxa"/>
          </w:tcPr>
          <w:p w14:paraId="56C6829F" w14:textId="4CD111FC" w:rsidR="00600AA4" w:rsidRDefault="002B5AB8" w:rsidP="002B5AB8">
            <w:pPr>
              <w:jc w:val="right"/>
              <w:rPr>
                <w:rFonts w:ascii="Arial" w:hAnsi="Arial" w:cs="Arial"/>
                <w:sz w:val="22"/>
                <w:szCs w:val="22"/>
              </w:rPr>
            </w:pPr>
            <w:r>
              <w:rPr>
                <w:rFonts w:ascii="Arial" w:hAnsi="Arial" w:cs="Arial"/>
                <w:sz w:val="22"/>
                <w:szCs w:val="22"/>
              </w:rPr>
              <w:t>8,000</w:t>
            </w:r>
          </w:p>
        </w:tc>
        <w:tc>
          <w:tcPr>
            <w:tcW w:w="1596" w:type="dxa"/>
          </w:tcPr>
          <w:p w14:paraId="188DE295" w14:textId="0BABD58E" w:rsidR="00600AA4" w:rsidRDefault="002B5AB8" w:rsidP="002B5AB8">
            <w:pPr>
              <w:jc w:val="right"/>
              <w:rPr>
                <w:rFonts w:ascii="Arial" w:hAnsi="Arial" w:cs="Arial"/>
                <w:sz w:val="22"/>
                <w:szCs w:val="22"/>
              </w:rPr>
            </w:pPr>
            <w:r>
              <w:rPr>
                <w:rFonts w:ascii="Arial" w:hAnsi="Arial" w:cs="Arial"/>
                <w:sz w:val="22"/>
                <w:szCs w:val="22"/>
              </w:rPr>
              <w:t>0.42</w:t>
            </w:r>
          </w:p>
        </w:tc>
        <w:tc>
          <w:tcPr>
            <w:tcW w:w="1596" w:type="dxa"/>
          </w:tcPr>
          <w:p w14:paraId="163A3949" w14:textId="5A2C565E" w:rsidR="00600AA4" w:rsidRDefault="002B5AB8" w:rsidP="002B5AB8">
            <w:pPr>
              <w:jc w:val="right"/>
              <w:rPr>
                <w:rFonts w:ascii="Arial" w:hAnsi="Arial" w:cs="Arial"/>
                <w:sz w:val="22"/>
                <w:szCs w:val="22"/>
              </w:rPr>
            </w:pPr>
            <w:r>
              <w:rPr>
                <w:rFonts w:ascii="Arial" w:hAnsi="Arial" w:cs="Arial"/>
                <w:sz w:val="22"/>
                <w:szCs w:val="22"/>
              </w:rPr>
              <w:t>3,333</w:t>
            </w:r>
          </w:p>
        </w:tc>
      </w:tr>
      <w:tr w:rsidR="002B5AB8" w14:paraId="7B835704" w14:textId="77777777" w:rsidTr="002B5AB8">
        <w:tc>
          <w:tcPr>
            <w:tcW w:w="1596" w:type="dxa"/>
            <w:tcBorders>
              <w:bottom w:val="single" w:sz="12" w:space="0" w:color="auto"/>
            </w:tcBorders>
          </w:tcPr>
          <w:p w14:paraId="6CD81405" w14:textId="71FA2D4F" w:rsidR="00600AA4" w:rsidRDefault="002B5AB8" w:rsidP="00493EF8">
            <w:pPr>
              <w:rPr>
                <w:rFonts w:ascii="Arial" w:hAnsi="Arial" w:cs="Arial"/>
                <w:sz w:val="22"/>
                <w:szCs w:val="22"/>
              </w:rPr>
            </w:pPr>
            <w:r>
              <w:rPr>
                <w:rFonts w:ascii="Arial" w:hAnsi="Arial" w:cs="Arial"/>
                <w:sz w:val="22"/>
                <w:szCs w:val="22"/>
              </w:rPr>
              <w:t>5630.5t</w:t>
            </w:r>
          </w:p>
        </w:tc>
        <w:tc>
          <w:tcPr>
            <w:tcW w:w="1596" w:type="dxa"/>
            <w:tcBorders>
              <w:bottom w:val="single" w:sz="12" w:space="0" w:color="auto"/>
            </w:tcBorders>
          </w:tcPr>
          <w:p w14:paraId="3884FBB4" w14:textId="25A935BF" w:rsidR="00600AA4" w:rsidRDefault="002B5AB8" w:rsidP="002B5AB8">
            <w:pPr>
              <w:jc w:val="right"/>
              <w:rPr>
                <w:rFonts w:ascii="Arial" w:hAnsi="Arial" w:cs="Arial"/>
                <w:sz w:val="22"/>
                <w:szCs w:val="22"/>
              </w:rPr>
            </w:pPr>
            <w:r>
              <w:rPr>
                <w:rFonts w:ascii="Arial" w:hAnsi="Arial" w:cs="Arial"/>
                <w:sz w:val="22"/>
                <w:szCs w:val="22"/>
              </w:rPr>
              <w:t>300</w:t>
            </w:r>
          </w:p>
        </w:tc>
        <w:tc>
          <w:tcPr>
            <w:tcW w:w="1596" w:type="dxa"/>
            <w:tcBorders>
              <w:bottom w:val="single" w:sz="12" w:space="0" w:color="auto"/>
            </w:tcBorders>
          </w:tcPr>
          <w:p w14:paraId="60B8F3D7" w14:textId="677FB893" w:rsidR="00600AA4" w:rsidRDefault="002B5AB8" w:rsidP="002B5AB8">
            <w:pPr>
              <w:jc w:val="right"/>
              <w:rPr>
                <w:rFonts w:ascii="Arial" w:hAnsi="Arial" w:cs="Arial"/>
                <w:sz w:val="22"/>
                <w:szCs w:val="22"/>
              </w:rPr>
            </w:pPr>
            <w:r>
              <w:rPr>
                <w:rFonts w:ascii="Arial" w:hAnsi="Arial" w:cs="Arial"/>
                <w:sz w:val="22"/>
                <w:szCs w:val="22"/>
              </w:rPr>
              <w:t>1</w:t>
            </w:r>
          </w:p>
        </w:tc>
        <w:tc>
          <w:tcPr>
            <w:tcW w:w="1596" w:type="dxa"/>
            <w:tcBorders>
              <w:bottom w:val="single" w:sz="12" w:space="0" w:color="auto"/>
            </w:tcBorders>
          </w:tcPr>
          <w:p w14:paraId="326F7BF0" w14:textId="29D8D797" w:rsidR="00600AA4" w:rsidRDefault="002B5AB8" w:rsidP="002B5AB8">
            <w:pPr>
              <w:jc w:val="right"/>
              <w:rPr>
                <w:rFonts w:ascii="Arial" w:hAnsi="Arial" w:cs="Arial"/>
                <w:sz w:val="22"/>
                <w:szCs w:val="22"/>
              </w:rPr>
            </w:pPr>
            <w:r>
              <w:rPr>
                <w:rFonts w:ascii="Arial" w:hAnsi="Arial" w:cs="Arial"/>
                <w:sz w:val="22"/>
                <w:szCs w:val="22"/>
              </w:rPr>
              <w:t>300</w:t>
            </w:r>
          </w:p>
        </w:tc>
        <w:tc>
          <w:tcPr>
            <w:tcW w:w="1596" w:type="dxa"/>
            <w:tcBorders>
              <w:bottom w:val="single" w:sz="12" w:space="0" w:color="auto"/>
            </w:tcBorders>
          </w:tcPr>
          <w:p w14:paraId="79F27130" w14:textId="7ED37CD1" w:rsidR="00600AA4" w:rsidRDefault="002B5AB8" w:rsidP="002B5AB8">
            <w:pPr>
              <w:jc w:val="right"/>
              <w:rPr>
                <w:rFonts w:ascii="Arial" w:hAnsi="Arial" w:cs="Arial"/>
                <w:sz w:val="22"/>
                <w:szCs w:val="22"/>
              </w:rPr>
            </w:pPr>
            <w:r>
              <w:rPr>
                <w:rFonts w:ascii="Arial" w:hAnsi="Arial" w:cs="Arial"/>
                <w:sz w:val="22"/>
                <w:szCs w:val="22"/>
              </w:rPr>
              <w:t>0.42</w:t>
            </w:r>
          </w:p>
        </w:tc>
        <w:tc>
          <w:tcPr>
            <w:tcW w:w="1596" w:type="dxa"/>
            <w:tcBorders>
              <w:bottom w:val="single" w:sz="12" w:space="0" w:color="auto"/>
            </w:tcBorders>
          </w:tcPr>
          <w:p w14:paraId="64ED37D2" w14:textId="12684A46" w:rsidR="00600AA4" w:rsidRDefault="002B5AB8" w:rsidP="002B5AB8">
            <w:pPr>
              <w:jc w:val="right"/>
              <w:rPr>
                <w:rFonts w:ascii="Arial" w:hAnsi="Arial" w:cs="Arial"/>
                <w:sz w:val="22"/>
                <w:szCs w:val="22"/>
              </w:rPr>
            </w:pPr>
            <w:r>
              <w:rPr>
                <w:rFonts w:ascii="Arial" w:hAnsi="Arial" w:cs="Arial"/>
                <w:sz w:val="22"/>
                <w:szCs w:val="22"/>
              </w:rPr>
              <w:t>125</w:t>
            </w:r>
          </w:p>
        </w:tc>
      </w:tr>
      <w:tr w:rsidR="002B5AB8" w14:paraId="21C38B9D" w14:textId="77777777" w:rsidTr="002B5AB8">
        <w:tc>
          <w:tcPr>
            <w:tcW w:w="1596" w:type="dxa"/>
            <w:tcBorders>
              <w:top w:val="single" w:sz="12" w:space="0" w:color="auto"/>
            </w:tcBorders>
          </w:tcPr>
          <w:p w14:paraId="019C38CF" w14:textId="2FABAADE" w:rsidR="002B5AB8" w:rsidRDefault="002B5AB8" w:rsidP="002B5AB8">
            <w:pPr>
              <w:jc w:val="right"/>
              <w:rPr>
                <w:rFonts w:ascii="Arial" w:hAnsi="Arial" w:cs="Arial"/>
                <w:sz w:val="22"/>
                <w:szCs w:val="22"/>
              </w:rPr>
            </w:pPr>
            <w:r>
              <w:rPr>
                <w:rFonts w:ascii="Arial" w:hAnsi="Arial" w:cs="Arial"/>
                <w:sz w:val="22"/>
                <w:szCs w:val="22"/>
              </w:rPr>
              <w:t>TOTALS</w:t>
            </w:r>
          </w:p>
        </w:tc>
        <w:tc>
          <w:tcPr>
            <w:tcW w:w="1596" w:type="dxa"/>
            <w:tcBorders>
              <w:top w:val="single" w:sz="12" w:space="0" w:color="auto"/>
            </w:tcBorders>
          </w:tcPr>
          <w:p w14:paraId="613C16BE" w14:textId="61F87523" w:rsidR="002B5AB8" w:rsidRDefault="002B5AB8" w:rsidP="002B5AB8">
            <w:pPr>
              <w:jc w:val="right"/>
              <w:rPr>
                <w:rFonts w:ascii="Arial" w:hAnsi="Arial" w:cs="Arial"/>
                <w:sz w:val="22"/>
                <w:szCs w:val="22"/>
              </w:rPr>
            </w:pPr>
            <w:r>
              <w:rPr>
                <w:rFonts w:ascii="Arial" w:hAnsi="Arial" w:cs="Arial"/>
                <w:sz w:val="22"/>
                <w:szCs w:val="22"/>
              </w:rPr>
              <w:t>8,350</w:t>
            </w:r>
          </w:p>
        </w:tc>
        <w:tc>
          <w:tcPr>
            <w:tcW w:w="1596" w:type="dxa"/>
            <w:tcBorders>
              <w:top w:val="single" w:sz="12" w:space="0" w:color="auto"/>
            </w:tcBorders>
          </w:tcPr>
          <w:p w14:paraId="5941640B" w14:textId="77777777" w:rsidR="002B5AB8" w:rsidRDefault="002B5AB8" w:rsidP="002B5AB8">
            <w:pPr>
              <w:jc w:val="right"/>
              <w:rPr>
                <w:rFonts w:ascii="Arial" w:hAnsi="Arial" w:cs="Arial"/>
                <w:sz w:val="22"/>
                <w:szCs w:val="22"/>
              </w:rPr>
            </w:pPr>
          </w:p>
        </w:tc>
        <w:tc>
          <w:tcPr>
            <w:tcW w:w="1596" w:type="dxa"/>
            <w:tcBorders>
              <w:top w:val="single" w:sz="12" w:space="0" w:color="auto"/>
            </w:tcBorders>
          </w:tcPr>
          <w:p w14:paraId="3CA7EA50" w14:textId="6D96A20D" w:rsidR="002B5AB8" w:rsidRDefault="002B5AB8" w:rsidP="002B5AB8">
            <w:pPr>
              <w:jc w:val="right"/>
              <w:rPr>
                <w:rFonts w:ascii="Arial" w:hAnsi="Arial" w:cs="Arial"/>
                <w:sz w:val="22"/>
                <w:szCs w:val="22"/>
              </w:rPr>
            </w:pPr>
            <w:r>
              <w:rPr>
                <w:rFonts w:ascii="Arial" w:hAnsi="Arial" w:cs="Arial"/>
                <w:sz w:val="22"/>
                <w:szCs w:val="22"/>
              </w:rPr>
              <w:t>8,350</w:t>
            </w:r>
          </w:p>
        </w:tc>
        <w:tc>
          <w:tcPr>
            <w:tcW w:w="1596" w:type="dxa"/>
            <w:tcBorders>
              <w:top w:val="single" w:sz="12" w:space="0" w:color="auto"/>
            </w:tcBorders>
          </w:tcPr>
          <w:p w14:paraId="10D4E39F" w14:textId="77777777" w:rsidR="002B5AB8" w:rsidRDefault="002B5AB8" w:rsidP="002B5AB8">
            <w:pPr>
              <w:jc w:val="right"/>
              <w:rPr>
                <w:rFonts w:ascii="Arial" w:hAnsi="Arial" w:cs="Arial"/>
                <w:sz w:val="22"/>
                <w:szCs w:val="22"/>
              </w:rPr>
            </w:pPr>
          </w:p>
        </w:tc>
        <w:tc>
          <w:tcPr>
            <w:tcW w:w="1596" w:type="dxa"/>
            <w:tcBorders>
              <w:top w:val="single" w:sz="12" w:space="0" w:color="auto"/>
            </w:tcBorders>
          </w:tcPr>
          <w:p w14:paraId="522CF518" w14:textId="65CFBD1B" w:rsidR="002B5AB8" w:rsidRDefault="002B5AB8" w:rsidP="002B5AB8">
            <w:pPr>
              <w:jc w:val="right"/>
              <w:rPr>
                <w:rFonts w:ascii="Arial" w:hAnsi="Arial" w:cs="Arial"/>
                <w:sz w:val="22"/>
                <w:szCs w:val="22"/>
              </w:rPr>
            </w:pPr>
            <w:r>
              <w:rPr>
                <w:rFonts w:ascii="Arial" w:hAnsi="Arial" w:cs="Arial"/>
                <w:sz w:val="22"/>
                <w:szCs w:val="22"/>
              </w:rPr>
              <w:t>3,478</w:t>
            </w:r>
          </w:p>
        </w:tc>
      </w:tr>
    </w:tbl>
    <w:p w14:paraId="086815D9" w14:textId="5F5C37F4" w:rsidR="00493EF8" w:rsidRPr="00493EF8" w:rsidRDefault="00493EF8" w:rsidP="00493EF8">
      <w:pPr>
        <w:ind w:left="360"/>
        <w:rPr>
          <w:rFonts w:ascii="Arial" w:hAnsi="Arial" w:cs="Arial"/>
          <w:sz w:val="22"/>
          <w:szCs w:val="22"/>
        </w:rPr>
      </w:pPr>
      <w:r w:rsidRPr="00493EF8">
        <w:rPr>
          <w:rFonts w:ascii="Arial" w:hAnsi="Arial" w:cs="Arial"/>
          <w:sz w:val="22"/>
          <w:szCs w:val="22"/>
        </w:rPr>
        <w:t>It takes each respondent approximately 25 minutes to complete the applicable form.  The total burden is approximately 3,</w:t>
      </w:r>
      <w:r w:rsidR="002B5AB8">
        <w:rPr>
          <w:rFonts w:ascii="Arial" w:hAnsi="Arial" w:cs="Arial"/>
          <w:sz w:val="22"/>
          <w:szCs w:val="22"/>
        </w:rPr>
        <w:t>478</w:t>
      </w:r>
      <w:r w:rsidRPr="00493EF8">
        <w:rPr>
          <w:rFonts w:ascii="Arial" w:hAnsi="Arial" w:cs="Arial"/>
          <w:sz w:val="22"/>
          <w:szCs w:val="22"/>
        </w:rPr>
        <w:t xml:space="preserve"> hours. </w:t>
      </w:r>
    </w:p>
    <w:p w14:paraId="1C1AD2CB" w14:textId="77777777" w:rsidR="00902789" w:rsidRPr="00902789" w:rsidRDefault="00902789" w:rsidP="00902789">
      <w:pPr>
        <w:rPr>
          <w:rFonts w:ascii="Arial" w:hAnsi="Arial" w:cs="Arial"/>
          <w:sz w:val="22"/>
          <w:szCs w:val="22"/>
        </w:rPr>
      </w:pPr>
    </w:p>
    <w:p w14:paraId="4C157420" w14:textId="77777777" w:rsidR="00902789" w:rsidRPr="00902789" w:rsidRDefault="00902789" w:rsidP="00902789">
      <w:pPr>
        <w:suppressAutoHyphens/>
        <w:rPr>
          <w:rFonts w:ascii="Arial" w:hAnsi="Arial" w:cs="Arial"/>
          <w:i/>
          <w:sz w:val="22"/>
          <w:szCs w:val="22"/>
        </w:rPr>
      </w:pPr>
      <w:r w:rsidRPr="00902789">
        <w:rPr>
          <w:rFonts w:ascii="Arial" w:hAnsi="Arial" w:cs="Arial"/>
          <w:i/>
          <w:sz w:val="22"/>
          <w:szCs w:val="22"/>
        </w:rPr>
        <w:t xml:space="preserve">13.  What is the estimated annual cost burden to respondents or record keepers resulting from this information collection request (excluding the value of the hour burden in Question 12 above)? </w:t>
      </w:r>
    </w:p>
    <w:p w14:paraId="6E14BE8F" w14:textId="77777777" w:rsidR="00902789" w:rsidRPr="00902789" w:rsidRDefault="00902789" w:rsidP="00902789">
      <w:pPr>
        <w:suppressAutoHyphens/>
        <w:ind w:left="480" w:hanging="480"/>
        <w:rPr>
          <w:rFonts w:ascii="Arial" w:hAnsi="Arial" w:cs="Arial"/>
          <w:sz w:val="22"/>
          <w:szCs w:val="22"/>
        </w:rPr>
      </w:pPr>
    </w:p>
    <w:p w14:paraId="2CDF6EAF" w14:textId="77777777" w:rsidR="00902789" w:rsidRPr="00902789" w:rsidRDefault="00902789" w:rsidP="00902789">
      <w:pPr>
        <w:suppressAutoHyphens/>
        <w:ind w:left="360"/>
        <w:rPr>
          <w:rFonts w:ascii="Arial" w:hAnsi="Arial" w:cs="Arial"/>
          <w:sz w:val="22"/>
          <w:szCs w:val="22"/>
        </w:rPr>
      </w:pPr>
      <w:r w:rsidRPr="00902789">
        <w:rPr>
          <w:rFonts w:ascii="Arial" w:hAnsi="Arial" w:cs="Arial"/>
          <w:sz w:val="22"/>
          <w:szCs w:val="22"/>
        </w:rPr>
        <w:t xml:space="preserve">There is no cost to respondents associated with this collection. </w:t>
      </w:r>
    </w:p>
    <w:p w14:paraId="12A5F76F" w14:textId="77777777" w:rsidR="00902789" w:rsidRPr="00902789" w:rsidRDefault="00902789" w:rsidP="00902789">
      <w:pPr>
        <w:suppressAutoHyphens/>
        <w:rPr>
          <w:rFonts w:ascii="Arial" w:hAnsi="Arial" w:cs="Arial"/>
          <w:sz w:val="22"/>
          <w:szCs w:val="22"/>
        </w:rPr>
      </w:pPr>
    </w:p>
    <w:p w14:paraId="04121839" w14:textId="77777777" w:rsidR="00902789" w:rsidRPr="00902789" w:rsidRDefault="00902789" w:rsidP="00902789">
      <w:pPr>
        <w:suppressAutoHyphens/>
        <w:ind w:left="480" w:hanging="480"/>
        <w:rPr>
          <w:rFonts w:ascii="Arial" w:hAnsi="Arial" w:cs="Arial"/>
          <w:i/>
          <w:sz w:val="22"/>
          <w:szCs w:val="22"/>
        </w:rPr>
      </w:pPr>
      <w:r w:rsidRPr="00902789">
        <w:rPr>
          <w:rFonts w:ascii="Arial" w:hAnsi="Arial" w:cs="Arial"/>
          <w:i/>
          <w:sz w:val="22"/>
          <w:szCs w:val="22"/>
        </w:rPr>
        <w:t xml:space="preserve">14.  What is the annualized cost to the Federal Government? </w:t>
      </w:r>
    </w:p>
    <w:p w14:paraId="4537ED57" w14:textId="77777777" w:rsidR="00902789" w:rsidRPr="00493EF8" w:rsidRDefault="00902789" w:rsidP="00493EF8">
      <w:pPr>
        <w:suppressAutoHyphens/>
        <w:ind w:left="480" w:hanging="480"/>
        <w:rPr>
          <w:rFonts w:ascii="Arial" w:hAnsi="Arial" w:cs="Arial"/>
          <w:sz w:val="22"/>
          <w:szCs w:val="22"/>
        </w:rPr>
      </w:pPr>
    </w:p>
    <w:p w14:paraId="0D990A03" w14:textId="77777777" w:rsidR="00493EF8" w:rsidRPr="00493EF8" w:rsidRDefault="00493EF8" w:rsidP="00493EF8">
      <w:pPr>
        <w:rPr>
          <w:rFonts w:ascii="Arial" w:hAnsi="Arial" w:cs="Arial"/>
          <w:sz w:val="22"/>
          <w:szCs w:val="22"/>
        </w:rPr>
      </w:pPr>
      <w:r w:rsidRPr="00493EF8">
        <w:rPr>
          <w:rFonts w:ascii="Arial" w:hAnsi="Arial" w:cs="Arial"/>
          <w:sz w:val="22"/>
          <w:szCs w:val="22"/>
        </w:rPr>
        <w:t xml:space="preserve">The estimated annual cost to the Federal Government for these forms is $175,000.  Included in this total cost is cost for printing, distribution, and clerical and administrative cost. </w:t>
      </w:r>
    </w:p>
    <w:p w14:paraId="4321BBAE" w14:textId="77777777" w:rsidR="00902789" w:rsidRPr="00493EF8" w:rsidRDefault="00902789" w:rsidP="00493EF8">
      <w:pPr>
        <w:rPr>
          <w:rFonts w:ascii="Arial" w:hAnsi="Arial" w:cs="Arial"/>
          <w:sz w:val="22"/>
          <w:szCs w:val="22"/>
        </w:rPr>
      </w:pPr>
    </w:p>
    <w:p w14:paraId="0029CA99" w14:textId="77777777" w:rsidR="00902789" w:rsidRPr="00902789" w:rsidRDefault="00902789" w:rsidP="00902789">
      <w:pPr>
        <w:suppressAutoHyphens/>
        <w:rPr>
          <w:rFonts w:ascii="Arial" w:hAnsi="Arial" w:cs="Arial"/>
          <w:i/>
          <w:sz w:val="22"/>
          <w:szCs w:val="22"/>
        </w:rPr>
      </w:pPr>
      <w:r w:rsidRPr="00902789">
        <w:rPr>
          <w:rFonts w:ascii="Arial" w:hAnsi="Arial" w:cs="Arial"/>
          <w:i/>
          <w:sz w:val="22"/>
          <w:szCs w:val="22"/>
        </w:rPr>
        <w:t xml:space="preserve">15.  What is the reason for any program changes or adjustments reported? </w:t>
      </w:r>
    </w:p>
    <w:p w14:paraId="5E4DEE87" w14:textId="77777777" w:rsidR="00902789" w:rsidRPr="00902789" w:rsidRDefault="00902789" w:rsidP="00902789">
      <w:pPr>
        <w:suppressAutoHyphens/>
        <w:rPr>
          <w:rFonts w:ascii="Arial" w:hAnsi="Arial" w:cs="Arial"/>
          <w:sz w:val="22"/>
          <w:szCs w:val="22"/>
        </w:rPr>
      </w:pPr>
    </w:p>
    <w:p w14:paraId="35EC99DF" w14:textId="77777777" w:rsidR="00F225D2" w:rsidRDefault="00F225D2" w:rsidP="00F225D2">
      <w:pPr>
        <w:pStyle w:val="ListParagraph"/>
        <w:ind w:left="0"/>
        <w:rPr>
          <w:rFonts w:ascii="Arial" w:hAnsi="Arial" w:cs="Arial"/>
          <w:sz w:val="22"/>
          <w:szCs w:val="22"/>
        </w:rPr>
      </w:pPr>
      <w:r w:rsidRPr="00F225D2">
        <w:rPr>
          <w:rFonts w:ascii="Arial" w:hAnsi="Arial" w:cs="Arial"/>
          <w:sz w:val="22"/>
          <w:szCs w:val="22"/>
        </w:rPr>
        <w:t>The burden for this collection has decreased due to several factors: </w:t>
      </w:r>
    </w:p>
    <w:p w14:paraId="119D1C02" w14:textId="2E399145" w:rsidR="00F225D2" w:rsidRDefault="00F225D2" w:rsidP="00F225D2">
      <w:pPr>
        <w:pStyle w:val="ListParagraph"/>
        <w:numPr>
          <w:ilvl w:val="0"/>
          <w:numId w:val="13"/>
        </w:numPr>
        <w:ind w:left="0" w:firstLine="360"/>
        <w:rPr>
          <w:rFonts w:ascii="Arial" w:hAnsi="Arial" w:cs="Arial"/>
          <w:sz w:val="22"/>
          <w:szCs w:val="22"/>
        </w:rPr>
      </w:pPr>
      <w:r w:rsidRPr="00F225D2">
        <w:rPr>
          <w:rFonts w:ascii="Arial" w:hAnsi="Arial" w:cs="Arial"/>
          <w:sz w:val="22"/>
          <w:szCs w:val="22"/>
        </w:rPr>
        <w:t>TTB F 5630.5a is completed by persons who are already in business, but have failed to register or pay the special (occupational) tax (SOT) on or prior to June 30, 2008.  The number of respondents has decreased because most are in compliance.  A reduction of 13,950 respondents and 5,813 burden hour is attributed to this adjustment.</w:t>
      </w:r>
    </w:p>
    <w:p w14:paraId="534830B2" w14:textId="0E3FDCC5" w:rsidR="00F225D2" w:rsidRDefault="00F225D2" w:rsidP="00F225D2">
      <w:pPr>
        <w:pStyle w:val="ListParagraph"/>
        <w:numPr>
          <w:ilvl w:val="0"/>
          <w:numId w:val="13"/>
        </w:numPr>
        <w:ind w:left="0" w:firstLine="360"/>
        <w:rPr>
          <w:rFonts w:ascii="Arial" w:hAnsi="Arial" w:cs="Arial"/>
          <w:sz w:val="22"/>
          <w:szCs w:val="22"/>
        </w:rPr>
      </w:pPr>
      <w:r w:rsidRPr="00F225D2">
        <w:rPr>
          <w:rFonts w:ascii="Arial" w:hAnsi="Arial" w:cs="Arial"/>
          <w:sz w:val="22"/>
          <w:szCs w:val="22"/>
        </w:rPr>
        <w:t>TTB F 5630.5d is completed by new wholesale and retail liquor dealers and by existing wholesale and retail liquor dealers required to register changes in business operations.  However, businesses that file a registration or brewer's notice under the qualification provisions of 27 CFR Parts 19, 24, or 25 of the TTB regulations do not have to file TTB F 5630.5d since their registration or notice filed under those provisions fulfills the SOT registration requirement.  A reduction of 12,000 respondents and 5,000 burden hours is attributed to this program change.</w:t>
      </w:r>
    </w:p>
    <w:p w14:paraId="138110CE" w14:textId="43051B14" w:rsidR="00F225D2" w:rsidRPr="00F225D2" w:rsidRDefault="00F225D2" w:rsidP="00F225D2">
      <w:pPr>
        <w:pStyle w:val="ListParagraph"/>
        <w:numPr>
          <w:ilvl w:val="0"/>
          <w:numId w:val="13"/>
        </w:numPr>
        <w:ind w:left="0" w:firstLine="360"/>
        <w:rPr>
          <w:rFonts w:ascii="Arial" w:hAnsi="Arial" w:cs="Arial"/>
          <w:sz w:val="22"/>
          <w:szCs w:val="22"/>
        </w:rPr>
      </w:pPr>
      <w:r w:rsidRPr="00F225D2">
        <w:rPr>
          <w:rFonts w:ascii="Arial" w:hAnsi="Arial" w:cs="Arial"/>
          <w:sz w:val="22"/>
          <w:szCs w:val="22"/>
        </w:rPr>
        <w:t>TTB F 5630.5t is completed by tobacco industry respondents and the number of such respondents engaged in business has decreased.  A reduction of 700 respondents and 292 burden hours is due to an adjustment.  </w:t>
      </w:r>
    </w:p>
    <w:p w14:paraId="765BC1C6" w14:textId="77777777" w:rsidR="00F225D2" w:rsidRDefault="00F225D2" w:rsidP="00F225D2">
      <w:pPr>
        <w:rPr>
          <w:rFonts w:ascii="Arial" w:hAnsi="Arial" w:cs="Arial"/>
          <w:sz w:val="22"/>
          <w:szCs w:val="22"/>
        </w:rPr>
      </w:pPr>
    </w:p>
    <w:p w14:paraId="596E7724" w14:textId="16E89608" w:rsidR="00F225D2" w:rsidRPr="00F225D2" w:rsidRDefault="00F225D2" w:rsidP="00F225D2">
      <w:pPr>
        <w:rPr>
          <w:rFonts w:ascii="Arial" w:hAnsi="Arial" w:cs="Arial"/>
          <w:sz w:val="22"/>
          <w:szCs w:val="22"/>
        </w:rPr>
      </w:pPr>
      <w:r w:rsidRPr="00F225D2">
        <w:rPr>
          <w:rFonts w:ascii="Arial" w:hAnsi="Arial" w:cs="Arial"/>
          <w:sz w:val="22"/>
          <w:szCs w:val="22"/>
        </w:rPr>
        <w:t xml:space="preserve">A total of 3,478 burden hours </w:t>
      </w:r>
      <w:r w:rsidR="00152135">
        <w:rPr>
          <w:rFonts w:ascii="Arial" w:hAnsi="Arial" w:cs="Arial"/>
          <w:sz w:val="22"/>
          <w:szCs w:val="22"/>
        </w:rPr>
        <w:t xml:space="preserve">is </w:t>
      </w:r>
      <w:r w:rsidRPr="00F225D2">
        <w:rPr>
          <w:rFonts w:ascii="Arial" w:hAnsi="Arial" w:cs="Arial"/>
          <w:sz w:val="22"/>
          <w:szCs w:val="22"/>
        </w:rPr>
        <w:t>requested.</w:t>
      </w:r>
    </w:p>
    <w:p w14:paraId="052ABF00" w14:textId="77777777" w:rsidR="00902789" w:rsidRPr="00902789" w:rsidRDefault="00902789" w:rsidP="00902789">
      <w:pPr>
        <w:suppressAutoHyphens/>
        <w:rPr>
          <w:rFonts w:ascii="Arial" w:hAnsi="Arial" w:cs="Arial"/>
          <w:sz w:val="22"/>
          <w:szCs w:val="22"/>
        </w:rPr>
      </w:pPr>
    </w:p>
    <w:p w14:paraId="53EE1294" w14:textId="77777777" w:rsidR="00902789" w:rsidRPr="00902789" w:rsidRDefault="00902789" w:rsidP="00902789">
      <w:pPr>
        <w:suppressAutoHyphens/>
        <w:rPr>
          <w:rFonts w:ascii="Arial" w:hAnsi="Arial" w:cs="Arial"/>
          <w:i/>
          <w:sz w:val="22"/>
          <w:szCs w:val="22"/>
        </w:rPr>
      </w:pPr>
      <w:r w:rsidRPr="00902789">
        <w:rPr>
          <w:rFonts w:ascii="Arial" w:hAnsi="Arial" w:cs="Arial"/>
          <w:i/>
          <w:sz w:val="22"/>
          <w:szCs w:val="22"/>
        </w:rPr>
        <w:t xml:space="preserve">16.  Outline plans for tabulation and publication for collections of information whose results will be published. </w:t>
      </w:r>
    </w:p>
    <w:p w14:paraId="6F4B9EB7" w14:textId="77777777" w:rsidR="00902789" w:rsidRPr="00902789" w:rsidRDefault="00902789" w:rsidP="00902789">
      <w:pPr>
        <w:suppressAutoHyphens/>
        <w:ind w:left="480" w:hanging="480"/>
        <w:rPr>
          <w:rFonts w:ascii="Arial" w:hAnsi="Arial" w:cs="Arial"/>
          <w:sz w:val="22"/>
          <w:szCs w:val="22"/>
        </w:rPr>
      </w:pPr>
    </w:p>
    <w:p w14:paraId="4314C259" w14:textId="77777777" w:rsidR="00902789" w:rsidRPr="00902789" w:rsidRDefault="00902789" w:rsidP="00902789">
      <w:pPr>
        <w:suppressAutoHyphens/>
        <w:ind w:left="360"/>
        <w:rPr>
          <w:rFonts w:ascii="Arial" w:hAnsi="Arial" w:cs="Arial"/>
          <w:sz w:val="22"/>
          <w:szCs w:val="22"/>
        </w:rPr>
      </w:pPr>
      <w:r w:rsidRPr="00902789">
        <w:rPr>
          <w:rFonts w:ascii="Arial" w:hAnsi="Arial" w:cs="Arial"/>
          <w:sz w:val="22"/>
          <w:szCs w:val="22"/>
        </w:rPr>
        <w:t xml:space="preserve">TTB will not publish the results of this collection. </w:t>
      </w:r>
    </w:p>
    <w:p w14:paraId="0E70B184" w14:textId="77777777" w:rsidR="00902789" w:rsidRPr="00902789" w:rsidRDefault="00902789" w:rsidP="00902789">
      <w:pPr>
        <w:suppressAutoHyphens/>
        <w:rPr>
          <w:rFonts w:ascii="Arial" w:hAnsi="Arial" w:cs="Arial"/>
          <w:sz w:val="22"/>
          <w:szCs w:val="22"/>
        </w:rPr>
      </w:pPr>
    </w:p>
    <w:p w14:paraId="1456DEFC" w14:textId="77777777" w:rsidR="00902789" w:rsidRPr="00902789" w:rsidRDefault="00902789" w:rsidP="00902789">
      <w:pPr>
        <w:suppressAutoHyphens/>
        <w:rPr>
          <w:rFonts w:ascii="Arial" w:hAnsi="Arial" w:cs="Arial"/>
          <w:i/>
          <w:sz w:val="22"/>
          <w:szCs w:val="22"/>
        </w:rPr>
      </w:pPr>
      <w:r w:rsidRPr="00902789">
        <w:rPr>
          <w:rFonts w:ascii="Arial" w:hAnsi="Arial" w:cs="Arial"/>
          <w:i/>
          <w:sz w:val="22"/>
          <w:szCs w:val="22"/>
        </w:rPr>
        <w:t xml:space="preserve">17.  If seeking approval to not display the expiration date for OMB approval of this information collection, what are the reasons that the display would be inappropriate? </w:t>
      </w:r>
    </w:p>
    <w:p w14:paraId="63B52EB4" w14:textId="77777777" w:rsidR="00902789" w:rsidRPr="00902789" w:rsidRDefault="00902789" w:rsidP="00902789">
      <w:pPr>
        <w:suppressAutoHyphens/>
        <w:rPr>
          <w:rFonts w:ascii="Arial" w:hAnsi="Arial" w:cs="Arial"/>
          <w:sz w:val="22"/>
          <w:szCs w:val="22"/>
        </w:rPr>
      </w:pPr>
    </w:p>
    <w:p w14:paraId="38CDA255" w14:textId="77777777" w:rsidR="00902789" w:rsidRPr="00902789" w:rsidRDefault="007D7A29" w:rsidP="00902789">
      <w:pPr>
        <w:autoSpaceDE w:val="0"/>
        <w:autoSpaceDN w:val="0"/>
        <w:ind w:left="360"/>
        <w:rPr>
          <w:rFonts w:ascii="Arial" w:hAnsi="Arial" w:cs="Arial"/>
          <w:sz w:val="22"/>
          <w:szCs w:val="22"/>
        </w:rPr>
      </w:pPr>
      <w:r w:rsidRPr="007D7A29">
        <w:rPr>
          <w:rFonts w:ascii="Arial" w:hAnsi="Arial" w:cs="Arial"/>
          <w:sz w:val="22"/>
          <w:szCs w:val="22"/>
        </w:rPr>
        <w:t>As a cost saving measure for both TTB and the general public, TTB is seeking approval not to display the expiration date for OMB approval of this information collection.  By not displaying the expiration date of this collection on the related form, TTB will not have to update the form’s expiration date on its electronic systems and website pages or on the form’s paper version each time the information collection is approved.  More importantly, this avoids confusion among users of the form when the OMB approval date may have passed but the form is approved under interim short-term approvals while the form is under OMB review but before OMB has taken action.  In addition, TTB-regulated businesses will not have to update their stocks of paper forms or alter electronic copies of the form, including any versions of the form produced by some businesses, at their own expense, for use with their electronic systems or for sale to other businesses or individuals.</w:t>
      </w:r>
      <w:r w:rsidR="00902789" w:rsidRPr="00902789">
        <w:rPr>
          <w:rFonts w:ascii="Arial" w:hAnsi="Arial" w:cs="Arial"/>
          <w:sz w:val="22"/>
          <w:szCs w:val="22"/>
        </w:rPr>
        <w:t xml:space="preserve"> </w:t>
      </w:r>
    </w:p>
    <w:p w14:paraId="43D962C8" w14:textId="77777777" w:rsidR="00902789" w:rsidRPr="00902789" w:rsidRDefault="00902789" w:rsidP="00EE7FB5">
      <w:pPr>
        <w:autoSpaceDE w:val="0"/>
        <w:autoSpaceDN w:val="0"/>
        <w:rPr>
          <w:rFonts w:ascii="Arial" w:hAnsi="Arial" w:cs="Arial"/>
          <w:sz w:val="22"/>
          <w:szCs w:val="22"/>
        </w:rPr>
      </w:pPr>
    </w:p>
    <w:p w14:paraId="05AF6C93" w14:textId="77777777" w:rsidR="00902789" w:rsidRPr="00902789" w:rsidRDefault="00902789" w:rsidP="00902789">
      <w:pPr>
        <w:suppressAutoHyphens/>
        <w:rPr>
          <w:rFonts w:ascii="Arial" w:hAnsi="Arial" w:cs="Arial"/>
          <w:i/>
          <w:sz w:val="22"/>
          <w:szCs w:val="22"/>
        </w:rPr>
      </w:pPr>
      <w:r w:rsidRPr="00902789">
        <w:rPr>
          <w:rFonts w:ascii="Arial" w:hAnsi="Arial" w:cs="Arial"/>
          <w:i/>
          <w:sz w:val="22"/>
          <w:szCs w:val="22"/>
        </w:rPr>
        <w:t xml:space="preserve">18.  What are the exceptions to the certification statement? </w:t>
      </w:r>
    </w:p>
    <w:p w14:paraId="35E4F5AE" w14:textId="77777777" w:rsidR="00902789" w:rsidRPr="00902789" w:rsidRDefault="00902789" w:rsidP="00EE7FB5">
      <w:pPr>
        <w:suppressAutoHyphens/>
        <w:rPr>
          <w:rFonts w:ascii="Arial" w:hAnsi="Arial" w:cs="Arial"/>
          <w:sz w:val="22"/>
          <w:szCs w:val="22"/>
        </w:rPr>
      </w:pPr>
    </w:p>
    <w:p w14:paraId="2BB1E97B" w14:textId="77777777" w:rsidR="00902789" w:rsidRPr="00902789" w:rsidRDefault="00902789" w:rsidP="00902789">
      <w:pPr>
        <w:ind w:left="360"/>
        <w:rPr>
          <w:rFonts w:ascii="Arial" w:hAnsi="Arial" w:cs="Arial"/>
          <w:sz w:val="22"/>
          <w:szCs w:val="22"/>
        </w:rPr>
      </w:pPr>
      <w:r w:rsidRPr="00902789">
        <w:rPr>
          <w:rFonts w:ascii="Arial" w:hAnsi="Arial" w:cs="Arial"/>
          <w:sz w:val="22"/>
          <w:szCs w:val="22"/>
        </w:rPr>
        <w:t xml:space="preserve">(c)  See item 5 above. </w:t>
      </w:r>
    </w:p>
    <w:p w14:paraId="6356E248" w14:textId="77777777" w:rsidR="00902789" w:rsidRPr="00902789" w:rsidRDefault="00902789" w:rsidP="00902789">
      <w:pPr>
        <w:ind w:left="360"/>
        <w:rPr>
          <w:rFonts w:ascii="Arial" w:hAnsi="Arial" w:cs="Arial"/>
          <w:sz w:val="22"/>
          <w:szCs w:val="22"/>
        </w:rPr>
      </w:pPr>
      <w:r w:rsidRPr="00902789">
        <w:rPr>
          <w:rFonts w:ascii="Arial" w:hAnsi="Arial" w:cs="Arial"/>
          <w:sz w:val="22"/>
          <w:szCs w:val="22"/>
        </w:rPr>
        <w:t xml:space="preserve">(f)  This is not a recordkeeping requirement. </w:t>
      </w:r>
    </w:p>
    <w:p w14:paraId="1733D2C1" w14:textId="77777777" w:rsidR="00902789" w:rsidRPr="00902789" w:rsidRDefault="00624A2F" w:rsidP="00902789">
      <w:pPr>
        <w:ind w:left="360"/>
        <w:rPr>
          <w:rFonts w:ascii="Arial" w:hAnsi="Arial" w:cs="Arial"/>
          <w:sz w:val="22"/>
          <w:szCs w:val="22"/>
        </w:rPr>
      </w:pPr>
      <w:r>
        <w:rPr>
          <w:rFonts w:ascii="Arial" w:hAnsi="Arial" w:cs="Arial"/>
          <w:sz w:val="22"/>
          <w:szCs w:val="22"/>
        </w:rPr>
        <w:t xml:space="preserve">(i)  </w:t>
      </w:r>
      <w:r w:rsidR="00902789" w:rsidRPr="00902789">
        <w:rPr>
          <w:rFonts w:ascii="Arial" w:hAnsi="Arial" w:cs="Arial"/>
          <w:sz w:val="22"/>
          <w:szCs w:val="22"/>
        </w:rPr>
        <w:t xml:space="preserve">No statistics are involved. </w:t>
      </w:r>
    </w:p>
    <w:p w14:paraId="4F2B90CD" w14:textId="77777777" w:rsidR="00902789" w:rsidRPr="00902789" w:rsidRDefault="00902789" w:rsidP="00902789">
      <w:pPr>
        <w:rPr>
          <w:rFonts w:ascii="Arial" w:hAnsi="Arial" w:cs="Arial"/>
          <w:sz w:val="22"/>
          <w:szCs w:val="22"/>
        </w:rPr>
      </w:pPr>
    </w:p>
    <w:p w14:paraId="555EF1BF" w14:textId="77777777" w:rsidR="00902789" w:rsidRPr="00902789" w:rsidRDefault="00902789" w:rsidP="00902789">
      <w:pPr>
        <w:rPr>
          <w:rFonts w:ascii="Arial" w:hAnsi="Arial" w:cs="Arial"/>
          <w:b/>
          <w:bCs/>
          <w:sz w:val="22"/>
          <w:szCs w:val="22"/>
        </w:rPr>
      </w:pPr>
      <w:r w:rsidRPr="00902789">
        <w:rPr>
          <w:rFonts w:ascii="Arial" w:hAnsi="Arial" w:cs="Arial"/>
          <w:b/>
          <w:bCs/>
          <w:sz w:val="22"/>
          <w:szCs w:val="22"/>
        </w:rPr>
        <w:t xml:space="preserve">B.  </w:t>
      </w:r>
      <w:r w:rsidRPr="00902789">
        <w:rPr>
          <w:rFonts w:ascii="Arial" w:hAnsi="Arial" w:cs="Arial"/>
          <w:b/>
          <w:bCs/>
          <w:sz w:val="22"/>
          <w:szCs w:val="22"/>
          <w:u w:val="single"/>
        </w:rPr>
        <w:t>Collections of Information Employing Statistical Methods</w:t>
      </w:r>
      <w:r w:rsidRPr="00902789">
        <w:rPr>
          <w:rFonts w:ascii="Arial" w:hAnsi="Arial" w:cs="Arial"/>
          <w:b/>
          <w:bCs/>
          <w:sz w:val="22"/>
          <w:szCs w:val="22"/>
        </w:rPr>
        <w:t>.</w:t>
      </w:r>
    </w:p>
    <w:p w14:paraId="366D0E18" w14:textId="77777777" w:rsidR="00902789" w:rsidRPr="00902789" w:rsidRDefault="00902789" w:rsidP="00902789">
      <w:pPr>
        <w:pStyle w:val="Header"/>
        <w:tabs>
          <w:tab w:val="clear" w:pos="4320"/>
          <w:tab w:val="clear" w:pos="8640"/>
        </w:tabs>
        <w:rPr>
          <w:rFonts w:ascii="Arial" w:hAnsi="Arial" w:cs="Arial"/>
          <w:sz w:val="22"/>
          <w:szCs w:val="22"/>
        </w:rPr>
      </w:pPr>
    </w:p>
    <w:p w14:paraId="10C2832B" w14:textId="77777777" w:rsidR="00902789" w:rsidRPr="00902789" w:rsidRDefault="00902789" w:rsidP="00902789">
      <w:pPr>
        <w:pStyle w:val="Header"/>
        <w:tabs>
          <w:tab w:val="clear" w:pos="4320"/>
          <w:tab w:val="clear" w:pos="8640"/>
        </w:tabs>
        <w:ind w:left="360"/>
        <w:rPr>
          <w:rFonts w:ascii="Arial" w:hAnsi="Arial" w:cs="Arial"/>
          <w:sz w:val="22"/>
          <w:szCs w:val="22"/>
        </w:rPr>
      </w:pPr>
      <w:r w:rsidRPr="00902789">
        <w:rPr>
          <w:rFonts w:ascii="Arial" w:hAnsi="Arial" w:cs="Arial"/>
          <w:sz w:val="22"/>
          <w:szCs w:val="22"/>
        </w:rPr>
        <w:t xml:space="preserve">This collection does not employ statistical methods. </w:t>
      </w:r>
    </w:p>
    <w:p w14:paraId="112EB0F0" w14:textId="77777777" w:rsidR="00902789" w:rsidRPr="00902789" w:rsidRDefault="00902789" w:rsidP="00902789">
      <w:pPr>
        <w:suppressAutoHyphens/>
        <w:rPr>
          <w:rFonts w:ascii="Arial" w:hAnsi="Arial" w:cs="Arial"/>
          <w:sz w:val="22"/>
          <w:szCs w:val="22"/>
        </w:rPr>
      </w:pPr>
    </w:p>
    <w:sectPr w:rsidR="00902789" w:rsidRPr="00902789" w:rsidSect="00EE7FB5">
      <w:head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B5C59C" w14:textId="77777777" w:rsidR="008A6E89" w:rsidRDefault="008A6E89" w:rsidP="00EE7FB5">
      <w:r>
        <w:separator/>
      </w:r>
    </w:p>
  </w:endnote>
  <w:endnote w:type="continuationSeparator" w:id="0">
    <w:p w14:paraId="0C98008C" w14:textId="77777777" w:rsidR="008A6E89" w:rsidRDefault="008A6E89" w:rsidP="00EE7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7BA0B9" w14:textId="77777777" w:rsidR="008A6E89" w:rsidRDefault="008A6E89" w:rsidP="00EE7FB5">
      <w:r>
        <w:separator/>
      </w:r>
    </w:p>
  </w:footnote>
  <w:footnote w:type="continuationSeparator" w:id="0">
    <w:p w14:paraId="64667BB8" w14:textId="77777777" w:rsidR="008A6E89" w:rsidRDefault="008A6E89" w:rsidP="00EE7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178F1" w14:textId="77777777" w:rsidR="008A6E89" w:rsidRPr="00EE7FB5" w:rsidRDefault="008A6E89" w:rsidP="00EE7FB5">
    <w:pPr>
      <w:pStyle w:val="Header"/>
      <w:jc w:val="center"/>
      <w:rPr>
        <w:rFonts w:ascii="Arial" w:hAnsi="Arial" w:cs="Arial"/>
        <w:sz w:val="22"/>
        <w:szCs w:val="22"/>
      </w:rPr>
    </w:pPr>
    <w:r w:rsidRPr="00EE7FB5">
      <w:rPr>
        <w:rFonts w:ascii="Arial" w:hAnsi="Arial" w:cs="Arial"/>
        <w:sz w:val="22"/>
        <w:szCs w:val="22"/>
      </w:rPr>
      <w:t>-</w:t>
    </w:r>
    <w:r>
      <w:rPr>
        <w:rFonts w:ascii="Arial" w:hAnsi="Arial" w:cs="Arial"/>
        <w:sz w:val="22"/>
        <w:szCs w:val="22"/>
      </w:rPr>
      <w:t xml:space="preserve"> </w:t>
    </w:r>
    <w:sdt>
      <w:sdtPr>
        <w:rPr>
          <w:rFonts w:ascii="Arial" w:hAnsi="Arial" w:cs="Arial"/>
          <w:sz w:val="22"/>
          <w:szCs w:val="22"/>
        </w:rPr>
        <w:id w:val="1447733923"/>
        <w:docPartObj>
          <w:docPartGallery w:val="Page Numbers (Top of Page)"/>
          <w:docPartUnique/>
        </w:docPartObj>
      </w:sdtPr>
      <w:sdtEndPr>
        <w:rPr>
          <w:noProof/>
        </w:rPr>
      </w:sdtEndPr>
      <w:sdtContent>
        <w:r w:rsidRPr="00EE7FB5">
          <w:rPr>
            <w:rFonts w:ascii="Arial" w:hAnsi="Arial" w:cs="Arial"/>
            <w:sz w:val="22"/>
            <w:szCs w:val="22"/>
          </w:rPr>
          <w:fldChar w:fldCharType="begin"/>
        </w:r>
        <w:r w:rsidRPr="00EE7FB5">
          <w:rPr>
            <w:rFonts w:ascii="Arial" w:hAnsi="Arial" w:cs="Arial"/>
            <w:sz w:val="22"/>
            <w:szCs w:val="22"/>
          </w:rPr>
          <w:instrText xml:space="preserve"> PAGE   \* MERGEFORMAT </w:instrText>
        </w:r>
        <w:r w:rsidRPr="00EE7FB5">
          <w:rPr>
            <w:rFonts w:ascii="Arial" w:hAnsi="Arial" w:cs="Arial"/>
            <w:sz w:val="22"/>
            <w:szCs w:val="22"/>
          </w:rPr>
          <w:fldChar w:fldCharType="separate"/>
        </w:r>
        <w:r w:rsidR="002E1A3B">
          <w:rPr>
            <w:rFonts w:ascii="Arial" w:hAnsi="Arial" w:cs="Arial"/>
            <w:noProof/>
            <w:sz w:val="22"/>
            <w:szCs w:val="22"/>
          </w:rPr>
          <w:t>5</w:t>
        </w:r>
        <w:r w:rsidRPr="00EE7FB5">
          <w:rPr>
            <w:rFonts w:ascii="Arial" w:hAnsi="Arial" w:cs="Arial"/>
            <w:noProof/>
            <w:sz w:val="22"/>
            <w:szCs w:val="22"/>
          </w:rPr>
          <w:fldChar w:fldCharType="end"/>
        </w:r>
        <w:r>
          <w:rPr>
            <w:rFonts w:ascii="Arial" w:hAnsi="Arial" w:cs="Arial"/>
            <w:noProof/>
            <w:sz w:val="22"/>
            <w:szCs w:val="22"/>
          </w:rPr>
          <w:t xml:space="preserve"> -</w:t>
        </w:r>
      </w:sdtContent>
    </w:sdt>
  </w:p>
  <w:p w14:paraId="20596B34" w14:textId="77777777" w:rsidR="008A6E89" w:rsidRPr="00EE7FB5" w:rsidRDefault="008A6E89">
    <w:pPr>
      <w:pStyle w:val="Header"/>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60883"/>
    <w:multiLevelType w:val="hybridMultilevel"/>
    <w:tmpl w:val="7220C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96145D"/>
    <w:multiLevelType w:val="hybridMultilevel"/>
    <w:tmpl w:val="C07A8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FA66E7"/>
    <w:multiLevelType w:val="hybridMultilevel"/>
    <w:tmpl w:val="3ED2662A"/>
    <w:lvl w:ilvl="0" w:tplc="4134E874">
      <w:start w:val="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F9145A"/>
    <w:multiLevelType w:val="multilevel"/>
    <w:tmpl w:val="CEC88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757705"/>
    <w:multiLevelType w:val="hybridMultilevel"/>
    <w:tmpl w:val="3202C61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FFF01A8"/>
    <w:multiLevelType w:val="hybridMultilevel"/>
    <w:tmpl w:val="BCF6D072"/>
    <w:lvl w:ilvl="0" w:tplc="E472927A">
      <w:start w:val="5"/>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6">
    <w:nsid w:val="41453605"/>
    <w:multiLevelType w:val="hybridMultilevel"/>
    <w:tmpl w:val="18829D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2C3E28"/>
    <w:multiLevelType w:val="multilevel"/>
    <w:tmpl w:val="81B44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662A9C"/>
    <w:multiLevelType w:val="hybridMultilevel"/>
    <w:tmpl w:val="9F38A0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5E6300"/>
    <w:multiLevelType w:val="hybridMultilevel"/>
    <w:tmpl w:val="68365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7C48F9"/>
    <w:multiLevelType w:val="hybridMultilevel"/>
    <w:tmpl w:val="8E387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855A77"/>
    <w:multiLevelType w:val="hybridMultilevel"/>
    <w:tmpl w:val="142ACD6C"/>
    <w:lvl w:ilvl="0" w:tplc="AEAC7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147F71"/>
    <w:multiLevelType w:val="hybridMultilevel"/>
    <w:tmpl w:val="E1C49960"/>
    <w:lvl w:ilvl="0" w:tplc="04090001">
      <w:start w:val="1"/>
      <w:numFmt w:val="bullet"/>
      <w:lvlText w:val=""/>
      <w:lvlJc w:val="left"/>
      <w:pPr>
        <w:ind w:left="720" w:hanging="360"/>
      </w:pPr>
      <w:rPr>
        <w:rFonts w:ascii="Symbol" w:hAnsi="Symbol" w:hint="default"/>
      </w:rPr>
    </w:lvl>
    <w:lvl w:ilvl="1" w:tplc="7494E95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7E56E2"/>
    <w:multiLevelType w:val="hybridMultilevel"/>
    <w:tmpl w:val="AC9E9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0"/>
  </w:num>
  <w:num w:numId="4">
    <w:abstractNumId w:val="13"/>
  </w:num>
  <w:num w:numId="5">
    <w:abstractNumId w:val="0"/>
  </w:num>
  <w:num w:numId="6">
    <w:abstractNumId w:val="7"/>
  </w:num>
  <w:num w:numId="7">
    <w:abstractNumId w:val="3"/>
  </w:num>
  <w:num w:numId="8">
    <w:abstractNumId w:val="9"/>
  </w:num>
  <w:num w:numId="9">
    <w:abstractNumId w:val="5"/>
  </w:num>
  <w:num w:numId="10">
    <w:abstractNumId w:val="6"/>
  </w:num>
  <w:num w:numId="11">
    <w:abstractNumId w:val="1"/>
  </w:num>
  <w:num w:numId="12">
    <w:abstractNumId w:val="2"/>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740"/>
    <w:rsid w:val="00032577"/>
    <w:rsid w:val="0003576F"/>
    <w:rsid w:val="0007212F"/>
    <w:rsid w:val="0007614B"/>
    <w:rsid w:val="00087E76"/>
    <w:rsid w:val="000A3959"/>
    <w:rsid w:val="00152135"/>
    <w:rsid w:val="00155D06"/>
    <w:rsid w:val="001672D5"/>
    <w:rsid w:val="0018766E"/>
    <w:rsid w:val="0019068F"/>
    <w:rsid w:val="001941D7"/>
    <w:rsid w:val="001C1C26"/>
    <w:rsid w:val="002775A0"/>
    <w:rsid w:val="00285246"/>
    <w:rsid w:val="00285A19"/>
    <w:rsid w:val="002B5AB8"/>
    <w:rsid w:val="002E1A3B"/>
    <w:rsid w:val="002E7720"/>
    <w:rsid w:val="00370382"/>
    <w:rsid w:val="003729DD"/>
    <w:rsid w:val="00391397"/>
    <w:rsid w:val="003A0663"/>
    <w:rsid w:val="003F1831"/>
    <w:rsid w:val="00405BCF"/>
    <w:rsid w:val="004425D0"/>
    <w:rsid w:val="00483B43"/>
    <w:rsid w:val="00493EF8"/>
    <w:rsid w:val="004A316E"/>
    <w:rsid w:val="004C0F84"/>
    <w:rsid w:val="004D1604"/>
    <w:rsid w:val="0057226F"/>
    <w:rsid w:val="0059488E"/>
    <w:rsid w:val="005B4063"/>
    <w:rsid w:val="005D7BCD"/>
    <w:rsid w:val="00600AA4"/>
    <w:rsid w:val="006164BB"/>
    <w:rsid w:val="0062346E"/>
    <w:rsid w:val="00624A2F"/>
    <w:rsid w:val="00644E47"/>
    <w:rsid w:val="006E7BB9"/>
    <w:rsid w:val="006F3B94"/>
    <w:rsid w:val="00736110"/>
    <w:rsid w:val="00743BDD"/>
    <w:rsid w:val="007504FE"/>
    <w:rsid w:val="007D7A29"/>
    <w:rsid w:val="0087390F"/>
    <w:rsid w:val="0087751E"/>
    <w:rsid w:val="00891D9A"/>
    <w:rsid w:val="008A6E89"/>
    <w:rsid w:val="008E7740"/>
    <w:rsid w:val="00902789"/>
    <w:rsid w:val="00912EE0"/>
    <w:rsid w:val="009176CD"/>
    <w:rsid w:val="0097078D"/>
    <w:rsid w:val="00985715"/>
    <w:rsid w:val="009941BE"/>
    <w:rsid w:val="009A44D0"/>
    <w:rsid w:val="009D1AE5"/>
    <w:rsid w:val="00A459C9"/>
    <w:rsid w:val="00A60C4F"/>
    <w:rsid w:val="00A6589D"/>
    <w:rsid w:val="00B07D9A"/>
    <w:rsid w:val="00BA1611"/>
    <w:rsid w:val="00C10A95"/>
    <w:rsid w:val="00C35E68"/>
    <w:rsid w:val="00C377F2"/>
    <w:rsid w:val="00C65BC3"/>
    <w:rsid w:val="00CB65CF"/>
    <w:rsid w:val="00D43F5A"/>
    <w:rsid w:val="00D46DFF"/>
    <w:rsid w:val="00D664DB"/>
    <w:rsid w:val="00DA1EA3"/>
    <w:rsid w:val="00DA3D87"/>
    <w:rsid w:val="00E351E3"/>
    <w:rsid w:val="00E52DEC"/>
    <w:rsid w:val="00E7069E"/>
    <w:rsid w:val="00E91AA6"/>
    <w:rsid w:val="00EE7FB5"/>
    <w:rsid w:val="00EF0980"/>
    <w:rsid w:val="00F225D2"/>
    <w:rsid w:val="00F555D8"/>
    <w:rsid w:val="00FB2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2D4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7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740"/>
    <w:pPr>
      <w:ind w:left="720"/>
      <w:contextualSpacing/>
    </w:pPr>
  </w:style>
  <w:style w:type="paragraph" w:styleId="NormalWeb">
    <w:name w:val="Normal (Web)"/>
    <w:basedOn w:val="Normal"/>
    <w:rsid w:val="00C35E68"/>
    <w:pPr>
      <w:spacing w:before="150" w:after="75"/>
      <w:ind w:left="75" w:right="225"/>
    </w:pPr>
    <w:rPr>
      <w:color w:val="333333"/>
    </w:rPr>
  </w:style>
  <w:style w:type="character" w:styleId="Strong">
    <w:name w:val="Strong"/>
    <w:qFormat/>
    <w:rsid w:val="00C35E68"/>
    <w:rPr>
      <w:b/>
      <w:bCs/>
    </w:rPr>
  </w:style>
  <w:style w:type="table" w:styleId="TableGrid">
    <w:name w:val="Table Grid"/>
    <w:basedOn w:val="TableNormal"/>
    <w:uiPriority w:val="39"/>
    <w:rsid w:val="004A3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985715"/>
    <w:rPr>
      <w:sz w:val="16"/>
      <w:szCs w:val="16"/>
    </w:rPr>
  </w:style>
  <w:style w:type="paragraph" w:styleId="CommentText">
    <w:name w:val="annotation text"/>
    <w:basedOn w:val="Normal"/>
    <w:link w:val="CommentTextChar"/>
    <w:rsid w:val="00985715"/>
    <w:rPr>
      <w:sz w:val="20"/>
      <w:szCs w:val="20"/>
    </w:rPr>
  </w:style>
  <w:style w:type="character" w:customStyle="1" w:styleId="CommentTextChar">
    <w:name w:val="Comment Text Char"/>
    <w:basedOn w:val="DefaultParagraphFont"/>
    <w:link w:val="CommentText"/>
    <w:rsid w:val="0098571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857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715"/>
    <w:rPr>
      <w:rFonts w:ascii="Segoe UI" w:eastAsia="Times New Roman" w:hAnsi="Segoe UI" w:cs="Segoe UI"/>
      <w:sz w:val="18"/>
      <w:szCs w:val="18"/>
    </w:rPr>
  </w:style>
  <w:style w:type="paragraph" w:styleId="Header">
    <w:name w:val="header"/>
    <w:basedOn w:val="Normal"/>
    <w:link w:val="HeaderChar"/>
    <w:uiPriority w:val="99"/>
    <w:rsid w:val="00902789"/>
    <w:pPr>
      <w:tabs>
        <w:tab w:val="center" w:pos="4320"/>
        <w:tab w:val="right" w:pos="8640"/>
      </w:tabs>
    </w:pPr>
    <w:rPr>
      <w:sz w:val="20"/>
      <w:szCs w:val="20"/>
    </w:rPr>
  </w:style>
  <w:style w:type="character" w:customStyle="1" w:styleId="HeaderChar">
    <w:name w:val="Header Char"/>
    <w:basedOn w:val="DefaultParagraphFont"/>
    <w:link w:val="Header"/>
    <w:uiPriority w:val="99"/>
    <w:rsid w:val="00902789"/>
    <w:rPr>
      <w:rFonts w:ascii="Times New Roman" w:eastAsia="Times New Roman" w:hAnsi="Times New Roman" w:cs="Times New Roman"/>
      <w:sz w:val="20"/>
      <w:szCs w:val="20"/>
    </w:rPr>
  </w:style>
  <w:style w:type="character" w:styleId="Hyperlink">
    <w:name w:val="Hyperlink"/>
    <w:rsid w:val="00902789"/>
    <w:rPr>
      <w:color w:val="0000FF"/>
      <w:u w:val="single"/>
    </w:rPr>
  </w:style>
  <w:style w:type="paragraph" w:styleId="BodyTextIndent2">
    <w:name w:val="Body Text Indent 2"/>
    <w:basedOn w:val="Normal"/>
    <w:link w:val="BodyTextIndent2Char"/>
    <w:rsid w:val="00285246"/>
    <w:pPr>
      <w:tabs>
        <w:tab w:val="left" w:pos="0"/>
        <w:tab w:val="left" w:pos="480"/>
        <w:tab w:val="left" w:pos="1080"/>
        <w:tab w:val="left" w:pos="1680"/>
        <w:tab w:val="left" w:pos="2280"/>
        <w:tab w:val="left" w:pos="2880"/>
        <w:tab w:val="left" w:pos="3480"/>
        <w:tab w:val="left" w:pos="4680"/>
        <w:tab w:val="left" w:pos="5280"/>
        <w:tab w:val="left" w:pos="5760"/>
      </w:tabs>
      <w:suppressAutoHyphens/>
      <w:spacing w:line="240" w:lineRule="atLeast"/>
      <w:ind w:left="1080" w:hanging="1080"/>
    </w:pPr>
    <w:rPr>
      <w:rFonts w:ascii="Arial" w:hAnsi="Arial" w:cs="Arial"/>
    </w:rPr>
  </w:style>
  <w:style w:type="character" w:customStyle="1" w:styleId="BodyTextIndent2Char">
    <w:name w:val="Body Text Indent 2 Char"/>
    <w:basedOn w:val="DefaultParagraphFont"/>
    <w:link w:val="BodyTextIndent2"/>
    <w:rsid w:val="00285246"/>
    <w:rPr>
      <w:rFonts w:ascii="Arial" w:eastAsia="Times New Roman" w:hAnsi="Arial" w:cs="Arial"/>
      <w:sz w:val="24"/>
      <w:szCs w:val="24"/>
    </w:rPr>
  </w:style>
  <w:style w:type="paragraph" w:styleId="Footer">
    <w:name w:val="footer"/>
    <w:basedOn w:val="Normal"/>
    <w:link w:val="FooterChar"/>
    <w:uiPriority w:val="99"/>
    <w:unhideWhenUsed/>
    <w:rsid w:val="00EE7FB5"/>
    <w:pPr>
      <w:tabs>
        <w:tab w:val="center" w:pos="4680"/>
        <w:tab w:val="right" w:pos="9360"/>
      </w:tabs>
    </w:pPr>
  </w:style>
  <w:style w:type="character" w:customStyle="1" w:styleId="FooterChar">
    <w:name w:val="Footer Char"/>
    <w:basedOn w:val="DefaultParagraphFont"/>
    <w:link w:val="Footer"/>
    <w:uiPriority w:val="99"/>
    <w:rsid w:val="00EE7FB5"/>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87751E"/>
    <w:rPr>
      <w:b/>
      <w:bCs/>
    </w:rPr>
  </w:style>
  <w:style w:type="character" w:customStyle="1" w:styleId="CommentSubjectChar">
    <w:name w:val="Comment Subject Char"/>
    <w:basedOn w:val="CommentTextChar"/>
    <w:link w:val="CommentSubject"/>
    <w:uiPriority w:val="99"/>
    <w:semiHidden/>
    <w:rsid w:val="0087751E"/>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7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740"/>
    <w:pPr>
      <w:ind w:left="720"/>
      <w:contextualSpacing/>
    </w:pPr>
  </w:style>
  <w:style w:type="paragraph" w:styleId="NormalWeb">
    <w:name w:val="Normal (Web)"/>
    <w:basedOn w:val="Normal"/>
    <w:rsid w:val="00C35E68"/>
    <w:pPr>
      <w:spacing w:before="150" w:after="75"/>
      <w:ind w:left="75" w:right="225"/>
    </w:pPr>
    <w:rPr>
      <w:color w:val="333333"/>
    </w:rPr>
  </w:style>
  <w:style w:type="character" w:styleId="Strong">
    <w:name w:val="Strong"/>
    <w:qFormat/>
    <w:rsid w:val="00C35E68"/>
    <w:rPr>
      <w:b/>
      <w:bCs/>
    </w:rPr>
  </w:style>
  <w:style w:type="table" w:styleId="TableGrid">
    <w:name w:val="Table Grid"/>
    <w:basedOn w:val="TableNormal"/>
    <w:uiPriority w:val="39"/>
    <w:rsid w:val="004A3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985715"/>
    <w:rPr>
      <w:sz w:val="16"/>
      <w:szCs w:val="16"/>
    </w:rPr>
  </w:style>
  <w:style w:type="paragraph" w:styleId="CommentText">
    <w:name w:val="annotation text"/>
    <w:basedOn w:val="Normal"/>
    <w:link w:val="CommentTextChar"/>
    <w:rsid w:val="00985715"/>
    <w:rPr>
      <w:sz w:val="20"/>
      <w:szCs w:val="20"/>
    </w:rPr>
  </w:style>
  <w:style w:type="character" w:customStyle="1" w:styleId="CommentTextChar">
    <w:name w:val="Comment Text Char"/>
    <w:basedOn w:val="DefaultParagraphFont"/>
    <w:link w:val="CommentText"/>
    <w:rsid w:val="0098571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857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715"/>
    <w:rPr>
      <w:rFonts w:ascii="Segoe UI" w:eastAsia="Times New Roman" w:hAnsi="Segoe UI" w:cs="Segoe UI"/>
      <w:sz w:val="18"/>
      <w:szCs w:val="18"/>
    </w:rPr>
  </w:style>
  <w:style w:type="paragraph" w:styleId="Header">
    <w:name w:val="header"/>
    <w:basedOn w:val="Normal"/>
    <w:link w:val="HeaderChar"/>
    <w:uiPriority w:val="99"/>
    <w:rsid w:val="00902789"/>
    <w:pPr>
      <w:tabs>
        <w:tab w:val="center" w:pos="4320"/>
        <w:tab w:val="right" w:pos="8640"/>
      </w:tabs>
    </w:pPr>
    <w:rPr>
      <w:sz w:val="20"/>
      <w:szCs w:val="20"/>
    </w:rPr>
  </w:style>
  <w:style w:type="character" w:customStyle="1" w:styleId="HeaderChar">
    <w:name w:val="Header Char"/>
    <w:basedOn w:val="DefaultParagraphFont"/>
    <w:link w:val="Header"/>
    <w:uiPriority w:val="99"/>
    <w:rsid w:val="00902789"/>
    <w:rPr>
      <w:rFonts w:ascii="Times New Roman" w:eastAsia="Times New Roman" w:hAnsi="Times New Roman" w:cs="Times New Roman"/>
      <w:sz w:val="20"/>
      <w:szCs w:val="20"/>
    </w:rPr>
  </w:style>
  <w:style w:type="character" w:styleId="Hyperlink">
    <w:name w:val="Hyperlink"/>
    <w:rsid w:val="00902789"/>
    <w:rPr>
      <w:color w:val="0000FF"/>
      <w:u w:val="single"/>
    </w:rPr>
  </w:style>
  <w:style w:type="paragraph" w:styleId="BodyTextIndent2">
    <w:name w:val="Body Text Indent 2"/>
    <w:basedOn w:val="Normal"/>
    <w:link w:val="BodyTextIndent2Char"/>
    <w:rsid w:val="00285246"/>
    <w:pPr>
      <w:tabs>
        <w:tab w:val="left" w:pos="0"/>
        <w:tab w:val="left" w:pos="480"/>
        <w:tab w:val="left" w:pos="1080"/>
        <w:tab w:val="left" w:pos="1680"/>
        <w:tab w:val="left" w:pos="2280"/>
        <w:tab w:val="left" w:pos="2880"/>
        <w:tab w:val="left" w:pos="3480"/>
        <w:tab w:val="left" w:pos="4680"/>
        <w:tab w:val="left" w:pos="5280"/>
        <w:tab w:val="left" w:pos="5760"/>
      </w:tabs>
      <w:suppressAutoHyphens/>
      <w:spacing w:line="240" w:lineRule="atLeast"/>
      <w:ind w:left="1080" w:hanging="1080"/>
    </w:pPr>
    <w:rPr>
      <w:rFonts w:ascii="Arial" w:hAnsi="Arial" w:cs="Arial"/>
    </w:rPr>
  </w:style>
  <w:style w:type="character" w:customStyle="1" w:styleId="BodyTextIndent2Char">
    <w:name w:val="Body Text Indent 2 Char"/>
    <w:basedOn w:val="DefaultParagraphFont"/>
    <w:link w:val="BodyTextIndent2"/>
    <w:rsid w:val="00285246"/>
    <w:rPr>
      <w:rFonts w:ascii="Arial" w:eastAsia="Times New Roman" w:hAnsi="Arial" w:cs="Arial"/>
      <w:sz w:val="24"/>
      <w:szCs w:val="24"/>
    </w:rPr>
  </w:style>
  <w:style w:type="paragraph" w:styleId="Footer">
    <w:name w:val="footer"/>
    <w:basedOn w:val="Normal"/>
    <w:link w:val="FooterChar"/>
    <w:uiPriority w:val="99"/>
    <w:unhideWhenUsed/>
    <w:rsid w:val="00EE7FB5"/>
    <w:pPr>
      <w:tabs>
        <w:tab w:val="center" w:pos="4680"/>
        <w:tab w:val="right" w:pos="9360"/>
      </w:tabs>
    </w:pPr>
  </w:style>
  <w:style w:type="character" w:customStyle="1" w:styleId="FooterChar">
    <w:name w:val="Footer Char"/>
    <w:basedOn w:val="DefaultParagraphFont"/>
    <w:link w:val="Footer"/>
    <w:uiPriority w:val="99"/>
    <w:rsid w:val="00EE7FB5"/>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87751E"/>
    <w:rPr>
      <w:b/>
      <w:bCs/>
    </w:rPr>
  </w:style>
  <w:style w:type="character" w:customStyle="1" w:styleId="CommentSubjectChar">
    <w:name w:val="Comment Subject Char"/>
    <w:basedOn w:val="CommentTextChar"/>
    <w:link w:val="CommentSubject"/>
    <w:uiPriority w:val="99"/>
    <w:semiHidden/>
    <w:rsid w:val="0087751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351381">
      <w:bodyDiv w:val="1"/>
      <w:marLeft w:val="0"/>
      <w:marRight w:val="0"/>
      <w:marTop w:val="0"/>
      <w:marBottom w:val="0"/>
      <w:divBdr>
        <w:top w:val="none" w:sz="0" w:space="0" w:color="auto"/>
        <w:left w:val="none" w:sz="0" w:space="0" w:color="auto"/>
        <w:bottom w:val="none" w:sz="0" w:space="0" w:color="auto"/>
        <w:right w:val="none" w:sz="0" w:space="0" w:color="auto"/>
      </w:divBdr>
    </w:div>
    <w:div w:id="966400165">
      <w:bodyDiv w:val="1"/>
      <w:marLeft w:val="0"/>
      <w:marRight w:val="0"/>
      <w:marTop w:val="0"/>
      <w:marBottom w:val="0"/>
      <w:divBdr>
        <w:top w:val="none" w:sz="0" w:space="0" w:color="auto"/>
        <w:left w:val="none" w:sz="0" w:space="0" w:color="auto"/>
        <w:bottom w:val="none" w:sz="0" w:space="0" w:color="auto"/>
        <w:right w:val="none" w:sz="0" w:space="0" w:color="auto"/>
      </w:divBdr>
    </w:div>
    <w:div w:id="135603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ttb.gov/foia/pia.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6C840A4812634487DA37674BCB9CBF" ma:contentTypeVersion="0" ma:contentTypeDescription="Create a new document." ma:contentTypeScope="" ma:versionID="92c3aef47f2aac238d42c976285e75ca">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CE039-D8B4-4AFE-A819-A17FF68FA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870340C-1704-4AE5-93A5-B6982E614AED}">
  <ds:schemaRefs>
    <ds:schemaRef ds:uri="http://schemas.microsoft.com/sharepoint/v3/contenttype/forms"/>
  </ds:schemaRefs>
</ds:datastoreItem>
</file>

<file path=customXml/itemProps3.xml><?xml version="1.0" encoding="utf-8"?>
<ds:datastoreItem xmlns:ds="http://schemas.openxmlformats.org/officeDocument/2006/customXml" ds:itemID="{C7A4A7E0-7401-439F-855D-C86CEDC23D06}">
  <ds:schemaRefs>
    <ds:schemaRef ds:uri="http://schemas.openxmlformats.org/package/2006/metadata/core-properties"/>
    <ds:schemaRef ds:uri="http://schemas.microsoft.com/office/2006/documentManagement/types"/>
    <ds:schemaRef ds:uri="http://purl.org/dc/dcmitype/"/>
    <ds:schemaRef ds:uri="http://purl.org/dc/elements/1.1/"/>
    <ds:schemaRef ds:uri="http://www.w3.org/XML/1998/namespace"/>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BF2916AF-268A-4322-92A9-16272136D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2153</Words>
  <Characters>12274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2015-05-28T12:25:00Z</dcterms:created>
  <dcterms:modified xsi:type="dcterms:W3CDTF">2015-05-28T12:27:00Z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0x010100B96C840A4812634487DA37674BCB9CBF</vt:lpwstr>
  </property>
</Properties>
</file>