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7D6FD" w14:textId="77777777" w:rsidR="00470720" w:rsidRPr="006068EC" w:rsidRDefault="00470720" w:rsidP="004203CB">
      <w:pPr>
        <w:pStyle w:val="Title"/>
        <w:widowControl/>
        <w:rPr>
          <w:rFonts w:ascii="Times New Roman" w:hAnsi="Times New Roman"/>
          <w:sz w:val="28"/>
          <w:szCs w:val="28"/>
          <w:u w:val="none"/>
        </w:rPr>
      </w:pPr>
      <w:r w:rsidRPr="006068EC">
        <w:rPr>
          <w:rFonts w:ascii="Times New Roman" w:hAnsi="Times New Roman"/>
          <w:sz w:val="28"/>
          <w:szCs w:val="28"/>
          <w:u w:val="none"/>
        </w:rPr>
        <w:t>Department of Transportation</w:t>
      </w:r>
    </w:p>
    <w:p w14:paraId="154F8546" w14:textId="77777777" w:rsidR="00470720" w:rsidRPr="006068EC" w:rsidRDefault="00470720" w:rsidP="004203CB">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14:paraId="26B88E58" w14:textId="77777777" w:rsidR="00470720" w:rsidRPr="006068EC" w:rsidRDefault="00470720" w:rsidP="004203CB">
      <w:pPr>
        <w:pStyle w:val="Title"/>
        <w:widowControl/>
        <w:rPr>
          <w:rFonts w:ascii="Times New Roman" w:hAnsi="Times New Roman"/>
        </w:rPr>
      </w:pPr>
    </w:p>
    <w:p w14:paraId="11399D7D" w14:textId="77777777" w:rsidR="0004749E" w:rsidRPr="006068EC" w:rsidRDefault="0004749E" w:rsidP="004203CB">
      <w:pPr>
        <w:pStyle w:val="Title"/>
        <w:widowControl/>
        <w:outlineLvl w:val="0"/>
        <w:rPr>
          <w:rFonts w:ascii="Times New Roman" w:hAnsi="Times New Roman"/>
        </w:rPr>
      </w:pPr>
      <w:r w:rsidRPr="006068EC">
        <w:rPr>
          <w:rFonts w:ascii="Times New Roman" w:hAnsi="Times New Roman"/>
        </w:rPr>
        <w:t>SUPPORTING STATEMENT</w:t>
      </w:r>
    </w:p>
    <w:p w14:paraId="6A5B7DE1" w14:textId="77777777" w:rsidR="00F94A46" w:rsidRPr="006068EC" w:rsidRDefault="00F94A46" w:rsidP="004203CB">
      <w:pPr>
        <w:pStyle w:val="Title"/>
        <w:widowControl/>
        <w:outlineLvl w:val="0"/>
        <w:rPr>
          <w:rFonts w:ascii="Times New Roman" w:hAnsi="Times New Roman"/>
        </w:rPr>
      </w:pPr>
    </w:p>
    <w:p w14:paraId="52F906CA" w14:textId="77777777" w:rsidR="0004749E" w:rsidRPr="006068EC" w:rsidRDefault="00965E53" w:rsidP="004203CB">
      <w:pPr>
        <w:pStyle w:val="Title"/>
        <w:widowControl/>
        <w:rPr>
          <w:rFonts w:ascii="Times New Roman" w:hAnsi="Times New Roman"/>
          <w:u w:val="none"/>
        </w:rPr>
      </w:pPr>
      <w:r w:rsidRPr="006068EC">
        <w:rPr>
          <w:rFonts w:ascii="Times New Roman" w:hAnsi="Times New Roman"/>
          <w:u w:val="none"/>
        </w:rPr>
        <w:t>Commercial Motor Vehicle Marking Requirements</w:t>
      </w:r>
    </w:p>
    <w:p w14:paraId="36865C5C" w14:textId="77777777" w:rsidR="0004749E" w:rsidRPr="006068EC" w:rsidRDefault="0004749E" w:rsidP="004203CB">
      <w:pPr>
        <w:widowControl/>
        <w:rPr>
          <w:rFonts w:ascii="Times New Roman" w:hAnsi="Times New Roman"/>
          <w:b/>
          <w:bCs/>
          <w:sz w:val="24"/>
          <w:szCs w:val="24"/>
        </w:rPr>
      </w:pPr>
    </w:p>
    <w:p w14:paraId="5B91FB41" w14:textId="77777777" w:rsidR="00105F8E" w:rsidRPr="006068EC" w:rsidRDefault="00105F8E" w:rsidP="004203CB">
      <w:pPr>
        <w:widowControl/>
        <w:rPr>
          <w:rFonts w:ascii="Times New Roman" w:hAnsi="Times New Roman"/>
          <w:b/>
          <w:bCs/>
          <w:sz w:val="24"/>
          <w:szCs w:val="24"/>
        </w:rPr>
      </w:pPr>
    </w:p>
    <w:p w14:paraId="0A60D18C" w14:textId="77777777" w:rsidR="0004749E" w:rsidRPr="006068EC" w:rsidRDefault="0004749E" w:rsidP="004203CB">
      <w:pPr>
        <w:pStyle w:val="Subtitle"/>
        <w:widowControl/>
        <w:outlineLvl w:val="0"/>
        <w:rPr>
          <w:rFonts w:ascii="Times New Roman" w:hAnsi="Times New Roman"/>
        </w:rPr>
      </w:pPr>
      <w:r w:rsidRPr="006068EC">
        <w:rPr>
          <w:rFonts w:ascii="Times New Roman" w:hAnsi="Times New Roman"/>
        </w:rPr>
        <w:t>INTRODUCTION</w:t>
      </w:r>
    </w:p>
    <w:p w14:paraId="3F538EAC" w14:textId="77777777" w:rsidR="0004749E" w:rsidRPr="006068EC" w:rsidRDefault="0004749E" w:rsidP="004203CB">
      <w:pPr>
        <w:widowControl/>
        <w:rPr>
          <w:rFonts w:ascii="Times New Roman" w:hAnsi="Times New Roman"/>
          <w:b/>
          <w:bCs/>
          <w:sz w:val="24"/>
          <w:szCs w:val="24"/>
        </w:rPr>
      </w:pPr>
    </w:p>
    <w:p w14:paraId="039539C6" w14:textId="1446CF20" w:rsidR="009F3A44" w:rsidRDefault="009F3A44" w:rsidP="004203CB">
      <w:pPr>
        <w:widowControl/>
        <w:rPr>
          <w:rFonts w:ascii="Times New Roman" w:hAnsi="Times New Roman"/>
          <w:sz w:val="24"/>
          <w:szCs w:val="24"/>
        </w:rPr>
      </w:pPr>
      <w:r w:rsidRPr="009F3A44">
        <w:rPr>
          <w:rFonts w:ascii="Times New Roman" w:hAnsi="Times New Roman"/>
          <w:sz w:val="24"/>
          <w:szCs w:val="24"/>
        </w:rPr>
        <w:t xml:space="preserve">This is to request the Office of Management and Budget (OMB) to </w:t>
      </w:r>
      <w:r>
        <w:rPr>
          <w:rFonts w:ascii="Times New Roman" w:hAnsi="Times New Roman"/>
          <w:sz w:val="24"/>
          <w:szCs w:val="24"/>
        </w:rPr>
        <w:t xml:space="preserve">revise the </w:t>
      </w:r>
      <w:r w:rsidRPr="009F3A44">
        <w:rPr>
          <w:rFonts w:ascii="Times New Roman" w:hAnsi="Times New Roman"/>
          <w:sz w:val="24"/>
          <w:szCs w:val="24"/>
        </w:rPr>
        <w:t>current approval of  the OMB Control Number 2126-00</w:t>
      </w:r>
      <w:r>
        <w:rPr>
          <w:rFonts w:ascii="Times New Roman" w:hAnsi="Times New Roman"/>
          <w:sz w:val="24"/>
          <w:szCs w:val="24"/>
        </w:rPr>
        <w:t>54</w:t>
      </w:r>
      <w:r w:rsidRPr="009F3A44">
        <w:rPr>
          <w:rFonts w:ascii="Times New Roman" w:hAnsi="Times New Roman"/>
          <w:sz w:val="24"/>
          <w:szCs w:val="24"/>
        </w:rPr>
        <w:t>, “</w:t>
      </w:r>
      <w:r>
        <w:rPr>
          <w:rFonts w:ascii="Times New Roman" w:hAnsi="Times New Roman"/>
          <w:sz w:val="24"/>
          <w:szCs w:val="24"/>
        </w:rPr>
        <w:t>Commercial Motor Vehicle Marking Requirements</w:t>
      </w:r>
      <w:r w:rsidRPr="009F3A44">
        <w:rPr>
          <w:rFonts w:ascii="Times New Roman" w:hAnsi="Times New Roman"/>
          <w:sz w:val="24"/>
          <w:szCs w:val="24"/>
        </w:rPr>
        <w:t>,” information collection request (ICR), which is currently due to expire on J</w:t>
      </w:r>
      <w:r>
        <w:rPr>
          <w:rFonts w:ascii="Times New Roman" w:hAnsi="Times New Roman"/>
          <w:sz w:val="24"/>
          <w:szCs w:val="24"/>
        </w:rPr>
        <w:t xml:space="preserve">anuary </w:t>
      </w:r>
      <w:r w:rsidRPr="009F3A44">
        <w:rPr>
          <w:rFonts w:ascii="Times New Roman" w:hAnsi="Times New Roman"/>
          <w:sz w:val="24"/>
          <w:szCs w:val="24"/>
        </w:rPr>
        <w:t>31, 201</w:t>
      </w:r>
      <w:r>
        <w:rPr>
          <w:rFonts w:ascii="Times New Roman" w:hAnsi="Times New Roman"/>
          <w:sz w:val="24"/>
          <w:szCs w:val="24"/>
        </w:rPr>
        <w:t>7</w:t>
      </w:r>
      <w:r w:rsidR="00631352">
        <w:rPr>
          <w:rFonts w:ascii="Times New Roman" w:hAnsi="Times New Roman"/>
          <w:sz w:val="24"/>
          <w:szCs w:val="24"/>
        </w:rPr>
        <w:t>, and extend it</w:t>
      </w:r>
      <w:r w:rsidRPr="009F3A44">
        <w:rPr>
          <w:rFonts w:ascii="Times New Roman" w:hAnsi="Times New Roman"/>
          <w:sz w:val="24"/>
          <w:szCs w:val="24"/>
        </w:rPr>
        <w:t xml:space="preserve"> for three years. This request to revise the ICR is based upon new FMCSA program requirements in a final rule entitled, “</w:t>
      </w:r>
      <w:r>
        <w:rPr>
          <w:rFonts w:ascii="Times New Roman" w:hAnsi="Times New Roman"/>
          <w:sz w:val="24"/>
          <w:szCs w:val="24"/>
        </w:rPr>
        <w:t xml:space="preserve">Lease and Interchange of Vehicles; Motor Carriers of </w:t>
      </w:r>
      <w:r w:rsidR="00281251">
        <w:rPr>
          <w:rFonts w:ascii="Times New Roman" w:hAnsi="Times New Roman"/>
          <w:sz w:val="24"/>
          <w:szCs w:val="24"/>
        </w:rPr>
        <w:t>P</w:t>
      </w:r>
      <w:r>
        <w:rPr>
          <w:rFonts w:ascii="Times New Roman" w:hAnsi="Times New Roman"/>
          <w:sz w:val="24"/>
          <w:szCs w:val="24"/>
        </w:rPr>
        <w:t>assengers</w:t>
      </w:r>
      <w:r w:rsidRPr="009F3A44">
        <w:rPr>
          <w:rFonts w:ascii="Times New Roman" w:hAnsi="Times New Roman"/>
          <w:sz w:val="24"/>
          <w:szCs w:val="24"/>
        </w:rPr>
        <w:t xml:space="preserve">,” </w:t>
      </w:r>
      <w:r w:rsidRPr="00406240">
        <w:rPr>
          <w:rFonts w:ascii="Times New Roman" w:hAnsi="Times New Roman"/>
          <w:sz w:val="24"/>
          <w:szCs w:val="24"/>
        </w:rPr>
        <w:t>(</w:t>
      </w:r>
      <w:r w:rsidR="00406240">
        <w:rPr>
          <w:rFonts w:ascii="Times New Roman" w:hAnsi="Times New Roman"/>
          <w:sz w:val="24"/>
          <w:szCs w:val="24"/>
        </w:rPr>
        <w:t>80</w:t>
      </w:r>
      <w:r w:rsidRPr="00406240">
        <w:rPr>
          <w:rFonts w:ascii="Times New Roman" w:hAnsi="Times New Roman"/>
          <w:sz w:val="24"/>
          <w:szCs w:val="24"/>
        </w:rPr>
        <w:t xml:space="preserve"> FR </w:t>
      </w:r>
      <w:r w:rsidR="00406240">
        <w:rPr>
          <w:rFonts w:ascii="Times New Roman" w:hAnsi="Times New Roman"/>
          <w:sz w:val="24"/>
          <w:szCs w:val="24"/>
        </w:rPr>
        <w:t>30164</w:t>
      </w:r>
      <w:r w:rsidRPr="00406240">
        <w:rPr>
          <w:rFonts w:ascii="Times New Roman" w:hAnsi="Times New Roman"/>
          <w:sz w:val="24"/>
          <w:szCs w:val="24"/>
        </w:rPr>
        <w:t xml:space="preserve"> dated </w:t>
      </w:r>
      <w:r w:rsidR="00406240">
        <w:rPr>
          <w:rFonts w:ascii="Times New Roman" w:hAnsi="Times New Roman"/>
          <w:sz w:val="24"/>
          <w:szCs w:val="24"/>
        </w:rPr>
        <w:t>May 27</w:t>
      </w:r>
      <w:r w:rsidRPr="00406240">
        <w:rPr>
          <w:rFonts w:ascii="Times New Roman" w:hAnsi="Times New Roman"/>
          <w:sz w:val="24"/>
          <w:szCs w:val="24"/>
        </w:rPr>
        <w:t>, 2015</w:t>
      </w:r>
      <w:r w:rsidR="00406240">
        <w:rPr>
          <w:rFonts w:ascii="Times New Roman" w:hAnsi="Times New Roman"/>
          <w:sz w:val="24"/>
          <w:szCs w:val="24"/>
        </w:rPr>
        <w:t>)</w:t>
      </w:r>
      <w:r w:rsidRPr="009F3A44">
        <w:rPr>
          <w:rFonts w:ascii="Times New Roman" w:hAnsi="Times New Roman"/>
          <w:sz w:val="24"/>
          <w:szCs w:val="24"/>
        </w:rPr>
        <w:t xml:space="preserve"> (Attachment A).  The final rule will </w:t>
      </w:r>
      <w:r>
        <w:rPr>
          <w:rFonts w:ascii="Times New Roman" w:hAnsi="Times New Roman"/>
          <w:sz w:val="24"/>
          <w:szCs w:val="24"/>
        </w:rPr>
        <w:t xml:space="preserve">modify how leased and </w:t>
      </w:r>
      <w:r w:rsidR="00610092">
        <w:rPr>
          <w:rFonts w:ascii="Times New Roman" w:hAnsi="Times New Roman"/>
          <w:sz w:val="24"/>
          <w:szCs w:val="24"/>
        </w:rPr>
        <w:t xml:space="preserve">interchanged passenger-carrying vehicles </w:t>
      </w:r>
      <w:r w:rsidR="00281251">
        <w:rPr>
          <w:rFonts w:ascii="Times New Roman" w:hAnsi="Times New Roman"/>
          <w:sz w:val="24"/>
          <w:szCs w:val="24"/>
        </w:rPr>
        <w:t xml:space="preserve">operated by for-hire and private motor carriers of passengers </w:t>
      </w:r>
      <w:r>
        <w:rPr>
          <w:rFonts w:ascii="Times New Roman" w:hAnsi="Times New Roman"/>
          <w:sz w:val="24"/>
          <w:szCs w:val="24"/>
        </w:rPr>
        <w:t>must be marked</w:t>
      </w:r>
      <w:r w:rsidRPr="009F3A44">
        <w:rPr>
          <w:rFonts w:ascii="Times New Roman" w:hAnsi="Times New Roman"/>
          <w:sz w:val="24"/>
          <w:szCs w:val="24"/>
        </w:rPr>
        <w:t>.</w:t>
      </w:r>
    </w:p>
    <w:p w14:paraId="0ED619E1" w14:textId="77777777" w:rsidR="009F3A44" w:rsidRDefault="009F3A44" w:rsidP="004203CB">
      <w:pPr>
        <w:widowControl/>
        <w:rPr>
          <w:rFonts w:ascii="Times New Roman" w:hAnsi="Times New Roman"/>
          <w:sz w:val="24"/>
          <w:szCs w:val="24"/>
        </w:rPr>
      </w:pPr>
    </w:p>
    <w:p w14:paraId="46AB8203" w14:textId="1F756A41" w:rsidR="0004749E" w:rsidRPr="006068EC" w:rsidRDefault="00A40EA2" w:rsidP="004203CB">
      <w:pPr>
        <w:widowControl/>
        <w:rPr>
          <w:rFonts w:ascii="Times New Roman" w:hAnsi="Times New Roman"/>
          <w:sz w:val="24"/>
          <w:szCs w:val="24"/>
        </w:rPr>
      </w:pPr>
      <w:r w:rsidRPr="006068EC">
        <w:rPr>
          <w:rFonts w:ascii="Times New Roman" w:hAnsi="Times New Roman"/>
          <w:sz w:val="24"/>
          <w:szCs w:val="24"/>
        </w:rPr>
        <w:t xml:space="preserve">These </w:t>
      </w:r>
      <w:r w:rsidR="009F3A44">
        <w:rPr>
          <w:rFonts w:ascii="Times New Roman" w:hAnsi="Times New Roman"/>
          <w:sz w:val="24"/>
          <w:szCs w:val="24"/>
        </w:rPr>
        <w:t xml:space="preserve">marking </w:t>
      </w:r>
      <w:r w:rsidRPr="006068EC">
        <w:rPr>
          <w:rFonts w:ascii="Times New Roman" w:hAnsi="Times New Roman"/>
          <w:sz w:val="24"/>
          <w:szCs w:val="24"/>
        </w:rPr>
        <w:t xml:space="preserve">regulations require </w:t>
      </w:r>
      <w:r w:rsidR="00091D8E" w:rsidRPr="006068EC">
        <w:rPr>
          <w:rFonts w:ascii="Times New Roman" w:hAnsi="Times New Roman"/>
          <w:sz w:val="24"/>
          <w:szCs w:val="24"/>
        </w:rPr>
        <w:t>vehicles and intermodal equipment</w:t>
      </w:r>
      <w:r w:rsidR="00281251">
        <w:rPr>
          <w:rFonts w:ascii="Times New Roman" w:hAnsi="Times New Roman"/>
          <w:sz w:val="24"/>
          <w:szCs w:val="24"/>
        </w:rPr>
        <w:t xml:space="preserve"> to</w:t>
      </w:r>
      <w:r w:rsidR="00091D8E" w:rsidRPr="006068EC">
        <w:rPr>
          <w:rFonts w:ascii="Times New Roman" w:hAnsi="Times New Roman"/>
          <w:sz w:val="24"/>
          <w:szCs w:val="24"/>
        </w:rPr>
        <w:t xml:space="preserve"> </w:t>
      </w:r>
      <w:r w:rsidR="009F3A44">
        <w:rPr>
          <w:rFonts w:ascii="Times New Roman" w:hAnsi="Times New Roman"/>
          <w:sz w:val="24"/>
          <w:szCs w:val="24"/>
        </w:rPr>
        <w:t xml:space="preserve">display certain information about </w:t>
      </w:r>
      <w:r w:rsidR="00091D8E" w:rsidRPr="006068EC">
        <w:rPr>
          <w:rFonts w:ascii="Times New Roman" w:hAnsi="Times New Roman"/>
          <w:sz w:val="24"/>
          <w:szCs w:val="24"/>
        </w:rPr>
        <w:t xml:space="preserve">motor carriers, freight forwarders </w:t>
      </w:r>
      <w:r w:rsidR="009F3A44">
        <w:rPr>
          <w:rFonts w:ascii="Times New Roman" w:hAnsi="Times New Roman"/>
          <w:sz w:val="24"/>
          <w:szCs w:val="24"/>
        </w:rPr>
        <w:t xml:space="preserve">or </w:t>
      </w:r>
      <w:r w:rsidR="00091D8E" w:rsidRPr="006068EC">
        <w:rPr>
          <w:rFonts w:ascii="Times New Roman" w:hAnsi="Times New Roman"/>
          <w:sz w:val="24"/>
          <w:szCs w:val="24"/>
        </w:rPr>
        <w:t>intermodal equipment providers (IEPs) engaging in interstate transportation.</w:t>
      </w:r>
    </w:p>
    <w:p w14:paraId="3CA78C8D" w14:textId="77777777" w:rsidR="00A40EA2" w:rsidRPr="006068EC" w:rsidRDefault="00A40EA2" w:rsidP="004203CB">
      <w:pPr>
        <w:widowControl/>
        <w:rPr>
          <w:rFonts w:ascii="Times New Roman" w:hAnsi="Times New Roman"/>
          <w:sz w:val="24"/>
          <w:szCs w:val="24"/>
        </w:rPr>
      </w:pPr>
    </w:p>
    <w:p w14:paraId="02C7C070" w14:textId="77777777" w:rsidR="00A40EA2" w:rsidRPr="006068EC" w:rsidRDefault="00A40EA2" w:rsidP="004203CB">
      <w:pPr>
        <w:widowControl/>
        <w:rPr>
          <w:rFonts w:ascii="Times New Roman" w:hAnsi="Times New Roman"/>
          <w:b/>
          <w:bCs/>
          <w:sz w:val="24"/>
          <w:szCs w:val="24"/>
        </w:rPr>
      </w:pPr>
    </w:p>
    <w:p w14:paraId="442E398A" w14:textId="77777777" w:rsidR="0004749E" w:rsidRPr="006068EC" w:rsidRDefault="0004749E" w:rsidP="004203CB">
      <w:pPr>
        <w:widowControl/>
        <w:tabs>
          <w:tab w:val="left" w:pos="-1440"/>
          <w:tab w:val="left" w:pos="-720"/>
        </w:tabs>
        <w:outlineLvl w:val="0"/>
        <w:rPr>
          <w:rFonts w:ascii="Times New Roman" w:hAnsi="Times New Roman"/>
          <w:b/>
          <w:bCs/>
          <w:sz w:val="24"/>
          <w:szCs w:val="24"/>
        </w:rPr>
      </w:pPr>
      <w:r w:rsidRPr="006068EC">
        <w:rPr>
          <w:rFonts w:ascii="Times New Roman" w:hAnsi="Times New Roman"/>
          <w:b/>
          <w:bCs/>
          <w:sz w:val="24"/>
          <w:u w:val="single"/>
        </w:rPr>
        <w:t>Part A. Justification</w:t>
      </w:r>
    </w:p>
    <w:p w14:paraId="3C624D75" w14:textId="77777777" w:rsidR="0004749E" w:rsidRPr="006068EC" w:rsidRDefault="0004749E" w:rsidP="004203CB">
      <w:pPr>
        <w:widowControl/>
        <w:tabs>
          <w:tab w:val="left" w:pos="-1440"/>
          <w:tab w:val="left" w:pos="-720"/>
        </w:tabs>
        <w:rPr>
          <w:rFonts w:ascii="Times New Roman" w:hAnsi="Times New Roman"/>
          <w:b/>
          <w:bCs/>
          <w:sz w:val="24"/>
          <w:szCs w:val="24"/>
        </w:rPr>
      </w:pPr>
    </w:p>
    <w:p w14:paraId="224268AF" w14:textId="77777777" w:rsidR="001C1B4B" w:rsidRPr="006068EC" w:rsidRDefault="00C14920" w:rsidP="004203CB">
      <w:pPr>
        <w:widowControl/>
        <w:numPr>
          <w:ilvl w:val="0"/>
          <w:numId w:val="18"/>
        </w:numPr>
        <w:tabs>
          <w:tab w:val="left" w:pos="-1440"/>
          <w:tab w:val="left" w:pos="-720"/>
        </w:tabs>
        <w:rPr>
          <w:rFonts w:ascii="Times New Roman" w:hAnsi="Times New Roman"/>
          <w:b/>
          <w:bCs/>
          <w:sz w:val="24"/>
          <w:szCs w:val="24"/>
          <w:u w:val="single"/>
        </w:rPr>
      </w:pPr>
      <w:r w:rsidRPr="006068EC">
        <w:rPr>
          <w:rFonts w:ascii="Times New Roman" w:hAnsi="Times New Roman"/>
          <w:b/>
          <w:bCs/>
          <w:sz w:val="24"/>
          <w:szCs w:val="24"/>
        </w:rPr>
        <w:t>CIRCUMSTANCES THAT MAKE THE COLLECTION OF INFORMATION NECESSARY</w:t>
      </w:r>
    </w:p>
    <w:p w14:paraId="68B6B99E" w14:textId="77777777" w:rsidR="009B4625" w:rsidRDefault="00C14920" w:rsidP="004203CB">
      <w:pPr>
        <w:widowControl/>
        <w:tabs>
          <w:tab w:val="left" w:pos="-1440"/>
          <w:tab w:val="left" w:pos="-720"/>
        </w:tabs>
        <w:ind w:left="360"/>
        <w:rPr>
          <w:rFonts w:ascii="Times New Roman" w:hAnsi="Times New Roman"/>
          <w:bCs/>
          <w:sz w:val="24"/>
          <w:szCs w:val="24"/>
        </w:rPr>
      </w:pPr>
      <w:r w:rsidRPr="006068EC">
        <w:rPr>
          <w:rFonts w:ascii="Times New Roman" w:hAnsi="Times New Roman"/>
          <w:b/>
          <w:bCs/>
          <w:sz w:val="24"/>
          <w:szCs w:val="24"/>
        </w:rPr>
        <w:br/>
      </w:r>
      <w:r w:rsidR="009B4625" w:rsidRPr="006068EC">
        <w:rPr>
          <w:rFonts w:ascii="Times New Roman" w:hAnsi="Times New Roman"/>
          <w:bCs/>
          <w:sz w:val="24"/>
          <w:szCs w:val="24"/>
        </w:rPr>
        <w:t>The USDOT number is used to identify all motor carriers in FMCSA's registration</w:t>
      </w:r>
      <w:r w:rsidR="000500A8" w:rsidRPr="006068EC">
        <w:rPr>
          <w:rFonts w:ascii="Times New Roman" w:hAnsi="Times New Roman"/>
          <w:bCs/>
          <w:sz w:val="24"/>
          <w:szCs w:val="24"/>
        </w:rPr>
        <w:t xml:space="preserve"> and </w:t>
      </w:r>
      <w:r w:rsidR="0011172E" w:rsidRPr="006068EC">
        <w:rPr>
          <w:rFonts w:ascii="Times New Roman" w:hAnsi="Times New Roman"/>
          <w:bCs/>
          <w:sz w:val="24"/>
          <w:szCs w:val="24"/>
        </w:rPr>
        <w:t>information</w:t>
      </w:r>
      <w:r w:rsidR="009B4625" w:rsidRPr="006068EC">
        <w:rPr>
          <w:rFonts w:ascii="Times New Roman" w:hAnsi="Times New Roman"/>
          <w:bCs/>
          <w:sz w:val="24"/>
          <w:szCs w:val="24"/>
        </w:rPr>
        <w:t xml:space="preserve"> systems. </w:t>
      </w:r>
      <w:r w:rsidR="00ED7C28">
        <w:rPr>
          <w:rFonts w:ascii="Times New Roman" w:hAnsi="Times New Roman"/>
          <w:bCs/>
          <w:sz w:val="24"/>
          <w:szCs w:val="24"/>
        </w:rPr>
        <w:t xml:space="preserve"> </w:t>
      </w:r>
      <w:r w:rsidR="009B4625" w:rsidRPr="006068EC">
        <w:rPr>
          <w:rFonts w:ascii="Times New Roman" w:hAnsi="Times New Roman"/>
          <w:bCs/>
          <w:sz w:val="24"/>
          <w:szCs w:val="24"/>
        </w:rPr>
        <w:t>It is also used by States as the key identifier in the Performance and Registration Information Systems Management (PRISM)</w:t>
      </w:r>
      <w:r w:rsidR="00C52247" w:rsidRPr="006068EC">
        <w:rPr>
          <w:rFonts w:ascii="Times New Roman" w:hAnsi="Times New Roman"/>
          <w:bCs/>
          <w:sz w:val="24"/>
          <w:szCs w:val="24"/>
        </w:rPr>
        <w:t xml:space="preserve"> system, a cooperative Federal/</w:t>
      </w:r>
      <w:r w:rsidR="009B4625" w:rsidRPr="006068EC">
        <w:rPr>
          <w:rFonts w:ascii="Times New Roman" w:hAnsi="Times New Roman"/>
          <w:bCs/>
          <w:sz w:val="24"/>
          <w:szCs w:val="24"/>
        </w:rPr>
        <w:t>State program that makes motor carrier safety a requi</w:t>
      </w:r>
      <w:r w:rsidR="00C52247" w:rsidRPr="006068EC">
        <w:rPr>
          <w:rFonts w:ascii="Times New Roman" w:hAnsi="Times New Roman"/>
          <w:bCs/>
          <w:sz w:val="24"/>
          <w:szCs w:val="24"/>
        </w:rPr>
        <w:t>rement for obtaining and maintaining</w:t>
      </w:r>
      <w:r w:rsidR="009B4625" w:rsidRPr="006068EC">
        <w:rPr>
          <w:rFonts w:ascii="Times New Roman" w:hAnsi="Times New Roman"/>
          <w:bCs/>
          <w:sz w:val="24"/>
          <w:szCs w:val="24"/>
        </w:rPr>
        <w:t xml:space="preserve"> commercial motor vehicle registration and privileges. </w:t>
      </w:r>
    </w:p>
    <w:p w14:paraId="44FBDD81" w14:textId="77777777" w:rsidR="002B2D4B" w:rsidRDefault="002B2D4B" w:rsidP="004203CB">
      <w:pPr>
        <w:widowControl/>
        <w:tabs>
          <w:tab w:val="left" w:pos="-1440"/>
          <w:tab w:val="left" w:pos="-720"/>
        </w:tabs>
        <w:ind w:left="360"/>
        <w:jc w:val="both"/>
        <w:rPr>
          <w:rFonts w:ascii="Times New Roman" w:hAnsi="Times New Roman"/>
          <w:bCs/>
          <w:sz w:val="24"/>
          <w:szCs w:val="24"/>
        </w:rPr>
      </w:pPr>
    </w:p>
    <w:p w14:paraId="0D6D886A" w14:textId="5ECFC104" w:rsidR="002B2D4B" w:rsidRDefault="002B2D4B" w:rsidP="004203CB">
      <w:pPr>
        <w:widowControl/>
        <w:tabs>
          <w:tab w:val="left" w:pos="-1440"/>
          <w:tab w:val="left" w:pos="-720"/>
        </w:tabs>
        <w:ind w:left="360"/>
        <w:jc w:val="both"/>
        <w:rPr>
          <w:rFonts w:ascii="Times New Roman" w:hAnsi="Times New Roman"/>
          <w:bCs/>
          <w:sz w:val="24"/>
          <w:szCs w:val="24"/>
        </w:rPr>
      </w:pPr>
      <w:r w:rsidRPr="002B2D4B">
        <w:rPr>
          <w:rFonts w:ascii="Times New Roman" w:hAnsi="Times New Roman"/>
          <w:bCs/>
          <w:sz w:val="24"/>
          <w:szCs w:val="24"/>
        </w:rPr>
        <w:t>FMCSA has authority to require motor carriers to conduct recordkeeping, reporting, and disclosure of information (see 49 U.S.C. 31133(a</w:t>
      </w:r>
      <w:proofErr w:type="gramStart"/>
      <w:r w:rsidRPr="002B2D4B">
        <w:rPr>
          <w:rFonts w:ascii="Times New Roman" w:hAnsi="Times New Roman"/>
          <w:bCs/>
          <w:sz w:val="24"/>
          <w:szCs w:val="24"/>
        </w:rPr>
        <w:t>)(</w:t>
      </w:r>
      <w:proofErr w:type="gramEnd"/>
      <w:r w:rsidRPr="002B2D4B">
        <w:rPr>
          <w:rFonts w:ascii="Times New Roman" w:hAnsi="Times New Roman"/>
          <w:bCs/>
          <w:sz w:val="24"/>
          <w:szCs w:val="24"/>
        </w:rPr>
        <w:t>8) or 31133(a)(10))</w:t>
      </w:r>
      <w:r w:rsidR="008F5CA6">
        <w:rPr>
          <w:rFonts w:ascii="Times New Roman" w:hAnsi="Times New Roman"/>
          <w:bCs/>
          <w:sz w:val="24"/>
          <w:szCs w:val="24"/>
        </w:rPr>
        <w:t xml:space="preserve"> (Att</w:t>
      </w:r>
      <w:r w:rsidR="005C615B">
        <w:rPr>
          <w:rFonts w:ascii="Times New Roman" w:hAnsi="Times New Roman"/>
          <w:bCs/>
          <w:sz w:val="24"/>
          <w:szCs w:val="24"/>
        </w:rPr>
        <w:t xml:space="preserve">achment </w:t>
      </w:r>
      <w:r w:rsidR="00452F23">
        <w:rPr>
          <w:rFonts w:ascii="Times New Roman" w:hAnsi="Times New Roman"/>
          <w:bCs/>
          <w:sz w:val="24"/>
          <w:szCs w:val="24"/>
        </w:rPr>
        <w:t>B</w:t>
      </w:r>
      <w:r w:rsidR="005C615B">
        <w:rPr>
          <w:rFonts w:ascii="Times New Roman" w:hAnsi="Times New Roman"/>
          <w:bCs/>
          <w:sz w:val="24"/>
          <w:szCs w:val="24"/>
        </w:rPr>
        <w:t>)</w:t>
      </w:r>
      <w:r w:rsidR="00895892">
        <w:rPr>
          <w:rFonts w:ascii="Times New Roman" w:hAnsi="Times New Roman"/>
          <w:bCs/>
          <w:sz w:val="24"/>
          <w:szCs w:val="24"/>
        </w:rPr>
        <w:t>.</w:t>
      </w:r>
    </w:p>
    <w:p w14:paraId="3E170939" w14:textId="77777777" w:rsidR="00895892" w:rsidRDefault="00895892" w:rsidP="004203CB">
      <w:pPr>
        <w:widowControl/>
        <w:tabs>
          <w:tab w:val="left" w:pos="-1440"/>
          <w:tab w:val="left" w:pos="-720"/>
        </w:tabs>
        <w:ind w:left="360"/>
        <w:jc w:val="both"/>
        <w:rPr>
          <w:rFonts w:ascii="Times New Roman" w:hAnsi="Times New Roman"/>
          <w:bCs/>
          <w:sz w:val="24"/>
          <w:szCs w:val="24"/>
        </w:rPr>
      </w:pPr>
    </w:p>
    <w:p w14:paraId="14C9AAD3"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proofErr w:type="gramStart"/>
      <w:r>
        <w:rPr>
          <w:rFonts w:ascii="Times New Roman" w:hAnsi="Times New Roman"/>
          <w:bCs/>
          <w:sz w:val="24"/>
          <w:szCs w:val="24"/>
        </w:rPr>
        <w:t xml:space="preserve">49 U.S.C. </w:t>
      </w:r>
      <w:r w:rsidRPr="00895892">
        <w:rPr>
          <w:rFonts w:ascii="Times New Roman" w:hAnsi="Times New Roman"/>
          <w:bCs/>
          <w:sz w:val="24"/>
          <w:szCs w:val="24"/>
        </w:rPr>
        <w:t>31133.</w:t>
      </w:r>
      <w:proofErr w:type="gramEnd"/>
      <w:r w:rsidRPr="00895892">
        <w:rPr>
          <w:rFonts w:ascii="Times New Roman" w:hAnsi="Times New Roman"/>
          <w:bCs/>
          <w:sz w:val="24"/>
          <w:szCs w:val="24"/>
        </w:rPr>
        <w:t xml:space="preserve"> </w:t>
      </w:r>
      <w:r w:rsidRPr="00895892">
        <w:rPr>
          <w:rFonts w:ascii="Times New Roman" w:hAnsi="Times New Roman"/>
          <w:b/>
          <w:bCs/>
          <w:sz w:val="24"/>
          <w:szCs w:val="24"/>
        </w:rPr>
        <w:t xml:space="preserve">General </w:t>
      </w:r>
      <w:proofErr w:type="gramStart"/>
      <w:r w:rsidRPr="00895892">
        <w:rPr>
          <w:rFonts w:ascii="Times New Roman" w:hAnsi="Times New Roman"/>
          <w:b/>
          <w:bCs/>
          <w:sz w:val="24"/>
          <w:szCs w:val="24"/>
        </w:rPr>
        <w:t>powers</w:t>
      </w:r>
      <w:proofErr w:type="gramEnd"/>
      <w:r w:rsidRPr="00895892">
        <w:rPr>
          <w:rFonts w:ascii="Times New Roman" w:hAnsi="Times New Roman"/>
          <w:b/>
          <w:bCs/>
          <w:sz w:val="24"/>
          <w:szCs w:val="24"/>
        </w:rPr>
        <w:t xml:space="preserve"> of the Secretary of Transportation</w:t>
      </w:r>
    </w:p>
    <w:p w14:paraId="17AB0F56"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sidRPr="00895892">
        <w:rPr>
          <w:rFonts w:ascii="Times New Roman" w:hAnsi="Times New Roman"/>
          <w:bCs/>
          <w:sz w:val="24"/>
          <w:szCs w:val="24"/>
        </w:rPr>
        <w:t>(a) GENERAL.—</w:t>
      </w:r>
      <w:proofErr w:type="gramStart"/>
      <w:r w:rsidRPr="00895892">
        <w:rPr>
          <w:rFonts w:ascii="Times New Roman" w:hAnsi="Times New Roman"/>
          <w:bCs/>
          <w:sz w:val="24"/>
          <w:szCs w:val="24"/>
        </w:rPr>
        <w:t>In</w:t>
      </w:r>
      <w:proofErr w:type="gramEnd"/>
      <w:r w:rsidRPr="00895892">
        <w:rPr>
          <w:rFonts w:ascii="Times New Roman" w:hAnsi="Times New Roman"/>
          <w:bCs/>
          <w:sz w:val="24"/>
          <w:szCs w:val="24"/>
        </w:rPr>
        <w:t xml:space="preserve"> carrying out this subchapter</w:t>
      </w:r>
      <w:r>
        <w:rPr>
          <w:rFonts w:ascii="Times New Roman" w:hAnsi="Times New Roman"/>
          <w:bCs/>
          <w:sz w:val="24"/>
          <w:szCs w:val="24"/>
        </w:rPr>
        <w:t xml:space="preserve"> </w:t>
      </w:r>
      <w:r w:rsidRPr="00895892">
        <w:rPr>
          <w:rFonts w:ascii="Times New Roman" w:hAnsi="Times New Roman"/>
          <w:bCs/>
          <w:sz w:val="24"/>
          <w:szCs w:val="24"/>
        </w:rPr>
        <w:t>and regulations prescribed under section 31102 of</w:t>
      </w:r>
      <w:r>
        <w:rPr>
          <w:rFonts w:ascii="Times New Roman" w:hAnsi="Times New Roman"/>
          <w:bCs/>
          <w:sz w:val="24"/>
          <w:szCs w:val="24"/>
        </w:rPr>
        <w:t xml:space="preserve"> </w:t>
      </w:r>
      <w:r w:rsidRPr="00895892">
        <w:rPr>
          <w:rFonts w:ascii="Times New Roman" w:hAnsi="Times New Roman"/>
          <w:bCs/>
          <w:sz w:val="24"/>
          <w:szCs w:val="24"/>
        </w:rPr>
        <w:t>this title, the Secretary of Transportation</w:t>
      </w:r>
      <w:r>
        <w:rPr>
          <w:rFonts w:ascii="Times New Roman" w:hAnsi="Times New Roman"/>
          <w:bCs/>
          <w:sz w:val="24"/>
          <w:szCs w:val="24"/>
        </w:rPr>
        <w:t xml:space="preserve"> </w:t>
      </w:r>
      <w:r w:rsidRPr="00895892">
        <w:rPr>
          <w:rFonts w:ascii="Times New Roman" w:hAnsi="Times New Roman"/>
          <w:bCs/>
          <w:sz w:val="24"/>
          <w:szCs w:val="24"/>
        </w:rPr>
        <w:t>may—</w:t>
      </w:r>
    </w:p>
    <w:p w14:paraId="18780FF1"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p>
    <w:p w14:paraId="51083EC8"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(8) prescribe recordkeeping and reporting requirements;</w:t>
      </w:r>
    </w:p>
    <w:p w14:paraId="445D5B45"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r w:rsidRPr="00895892">
        <w:rPr>
          <w:rFonts w:ascii="Times New Roman" w:hAnsi="Times New Roman"/>
          <w:bCs/>
          <w:sz w:val="24"/>
          <w:szCs w:val="24"/>
        </w:rPr>
        <w:t>;</w:t>
      </w:r>
      <w:r>
        <w:rPr>
          <w:rFonts w:ascii="Times New Roman" w:hAnsi="Times New Roman"/>
          <w:bCs/>
          <w:sz w:val="24"/>
          <w:szCs w:val="24"/>
        </w:rPr>
        <w:t xml:space="preserve"> </w:t>
      </w:r>
      <w:r w:rsidRPr="00895892">
        <w:rPr>
          <w:rFonts w:ascii="Times New Roman" w:hAnsi="Times New Roman"/>
          <w:bCs/>
          <w:sz w:val="24"/>
          <w:szCs w:val="24"/>
        </w:rPr>
        <w:t>and</w:t>
      </w:r>
    </w:p>
    <w:p w14:paraId="4C832D06" w14:textId="77777777" w:rsidR="00895892" w:rsidRPr="006068EC"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 xml:space="preserve">(10) </w:t>
      </w:r>
      <w:proofErr w:type="gramStart"/>
      <w:r w:rsidRPr="00895892">
        <w:rPr>
          <w:rFonts w:ascii="Times New Roman" w:hAnsi="Times New Roman"/>
          <w:bCs/>
          <w:sz w:val="24"/>
          <w:szCs w:val="24"/>
        </w:rPr>
        <w:t>perform</w:t>
      </w:r>
      <w:proofErr w:type="gramEnd"/>
      <w:r w:rsidRPr="00895892">
        <w:rPr>
          <w:rFonts w:ascii="Times New Roman" w:hAnsi="Times New Roman"/>
          <w:bCs/>
          <w:sz w:val="24"/>
          <w:szCs w:val="24"/>
        </w:rPr>
        <w:t xml:space="preserve"> other acts the Secretary considers</w:t>
      </w:r>
      <w:r>
        <w:rPr>
          <w:rFonts w:ascii="Times New Roman" w:hAnsi="Times New Roman"/>
          <w:bCs/>
          <w:sz w:val="24"/>
          <w:szCs w:val="24"/>
        </w:rPr>
        <w:t xml:space="preserve"> </w:t>
      </w:r>
      <w:r w:rsidRPr="00895892">
        <w:rPr>
          <w:rFonts w:ascii="Times New Roman" w:hAnsi="Times New Roman"/>
          <w:bCs/>
          <w:sz w:val="24"/>
          <w:szCs w:val="24"/>
        </w:rPr>
        <w:t>appropriate.</w:t>
      </w:r>
    </w:p>
    <w:p w14:paraId="5F63198B" w14:textId="77777777" w:rsidR="009B4625" w:rsidRPr="006068EC" w:rsidRDefault="009B4625" w:rsidP="004203CB">
      <w:pPr>
        <w:widowControl/>
        <w:tabs>
          <w:tab w:val="left" w:pos="-1440"/>
          <w:tab w:val="left" w:pos="-720"/>
        </w:tabs>
        <w:ind w:left="360"/>
        <w:jc w:val="both"/>
        <w:rPr>
          <w:rFonts w:ascii="Times New Roman" w:hAnsi="Times New Roman"/>
          <w:bCs/>
          <w:sz w:val="24"/>
          <w:szCs w:val="24"/>
        </w:rPr>
      </w:pPr>
    </w:p>
    <w:p w14:paraId="77D7C594" w14:textId="77777777" w:rsidR="0070342A" w:rsidRDefault="00707FD9" w:rsidP="004203CB">
      <w:pPr>
        <w:widowControl/>
        <w:tabs>
          <w:tab w:val="left" w:pos="-1440"/>
          <w:tab w:val="left" w:pos="-720"/>
        </w:tabs>
        <w:ind w:left="360"/>
        <w:jc w:val="both"/>
        <w:rPr>
          <w:rFonts w:ascii="Times New Roman" w:hAnsi="Times New Roman"/>
          <w:bCs/>
          <w:sz w:val="24"/>
          <w:szCs w:val="24"/>
        </w:rPr>
      </w:pPr>
      <w:r w:rsidRPr="006068EC">
        <w:rPr>
          <w:rFonts w:ascii="Times New Roman" w:hAnsi="Times New Roman"/>
          <w:bCs/>
          <w:sz w:val="24"/>
          <w:szCs w:val="24"/>
        </w:rPr>
        <w:lastRenderedPageBreak/>
        <w:t>Vehicle marking requirements are intended to</w:t>
      </w:r>
      <w:r w:rsidR="00291C15" w:rsidRPr="006068EC">
        <w:rPr>
          <w:rFonts w:ascii="Times New Roman" w:hAnsi="Times New Roman"/>
          <w:bCs/>
          <w:sz w:val="24"/>
          <w:szCs w:val="24"/>
        </w:rPr>
        <w:t xml:space="preserve"> ensure that FMCSA, the </w:t>
      </w:r>
      <w:r w:rsidR="00C52247" w:rsidRPr="006068EC">
        <w:rPr>
          <w:rFonts w:ascii="Times New Roman" w:hAnsi="Times New Roman"/>
          <w:bCs/>
          <w:sz w:val="24"/>
          <w:szCs w:val="24"/>
        </w:rPr>
        <w:t>National Transportation Safety Board (</w:t>
      </w:r>
      <w:r w:rsidR="00291C15" w:rsidRPr="006068EC">
        <w:rPr>
          <w:rFonts w:ascii="Times New Roman" w:hAnsi="Times New Roman"/>
          <w:bCs/>
          <w:sz w:val="24"/>
          <w:szCs w:val="24"/>
        </w:rPr>
        <w:t>NTSB</w:t>
      </w:r>
      <w:r w:rsidR="00C52247" w:rsidRPr="006068EC">
        <w:rPr>
          <w:rFonts w:ascii="Times New Roman" w:hAnsi="Times New Roman"/>
          <w:bCs/>
          <w:sz w:val="24"/>
          <w:szCs w:val="24"/>
        </w:rPr>
        <w:t>)</w:t>
      </w:r>
      <w:r w:rsidR="00291C15" w:rsidRPr="006068EC">
        <w:rPr>
          <w:rFonts w:ascii="Times New Roman" w:hAnsi="Times New Roman"/>
          <w:bCs/>
          <w:sz w:val="24"/>
          <w:szCs w:val="24"/>
        </w:rPr>
        <w:t xml:space="preserve">, and State safety officials are able to identify motor carriers and correctly assign responsibility for regulatory violations during inspections, investigations, compliance reviews, and crash studies. </w:t>
      </w:r>
      <w:r w:rsidR="006A2261">
        <w:rPr>
          <w:rFonts w:ascii="Times New Roman" w:hAnsi="Times New Roman"/>
          <w:bCs/>
          <w:sz w:val="24"/>
          <w:szCs w:val="24"/>
        </w:rPr>
        <w:t xml:space="preserve"> </w:t>
      </w:r>
      <w:r w:rsidR="009B4625" w:rsidRPr="006068EC">
        <w:rPr>
          <w:rFonts w:ascii="Times New Roman" w:hAnsi="Times New Roman"/>
          <w:bCs/>
          <w:sz w:val="24"/>
          <w:szCs w:val="24"/>
        </w:rPr>
        <w:t xml:space="preserve">These </w:t>
      </w:r>
      <w:r w:rsidR="00E12337" w:rsidRPr="006068EC">
        <w:rPr>
          <w:rFonts w:ascii="Times New Roman" w:hAnsi="Times New Roman"/>
          <w:bCs/>
          <w:sz w:val="24"/>
          <w:szCs w:val="24"/>
        </w:rPr>
        <w:t xml:space="preserve">marking </w:t>
      </w:r>
      <w:r w:rsidR="009B4625" w:rsidRPr="006068EC">
        <w:rPr>
          <w:rFonts w:ascii="Times New Roman" w:hAnsi="Times New Roman"/>
          <w:bCs/>
          <w:sz w:val="24"/>
          <w:szCs w:val="24"/>
        </w:rPr>
        <w:t xml:space="preserve">requirements will also provide the public with beneficial information that could also assist in identifying carriers for the purposes of commerce, complaints or emergency notification. </w:t>
      </w:r>
    </w:p>
    <w:p w14:paraId="2BC3C809" w14:textId="77777777" w:rsidR="00745D90" w:rsidRDefault="00745D90" w:rsidP="004203CB">
      <w:pPr>
        <w:widowControl/>
        <w:tabs>
          <w:tab w:val="left" w:pos="-1440"/>
          <w:tab w:val="left" w:pos="-720"/>
        </w:tabs>
        <w:ind w:left="360"/>
        <w:jc w:val="both"/>
        <w:rPr>
          <w:rFonts w:ascii="Times New Roman" w:hAnsi="Times New Roman"/>
          <w:bCs/>
          <w:sz w:val="24"/>
          <w:szCs w:val="24"/>
        </w:rPr>
      </w:pPr>
    </w:p>
    <w:p w14:paraId="28D2A25D" w14:textId="42A7DC63" w:rsidR="00893D39" w:rsidRPr="00A227BC" w:rsidRDefault="00745D90" w:rsidP="004203CB">
      <w:pPr>
        <w:widowControl/>
        <w:tabs>
          <w:tab w:val="left" w:pos="-1440"/>
          <w:tab w:val="left" w:pos="-720"/>
        </w:tabs>
        <w:ind w:left="360"/>
        <w:jc w:val="both"/>
        <w:rPr>
          <w:rFonts w:ascii="Times New Roman" w:hAnsi="Times New Roman"/>
          <w:bCs/>
          <w:sz w:val="24"/>
          <w:szCs w:val="24"/>
        </w:rPr>
      </w:pPr>
      <w:r w:rsidRPr="00A227BC">
        <w:rPr>
          <w:rFonts w:ascii="Times New Roman" w:hAnsi="Times New Roman"/>
          <w:bCs/>
          <w:sz w:val="24"/>
          <w:szCs w:val="24"/>
        </w:rPr>
        <w:t xml:space="preserve">The burden for the CMV marking requirement was initially documented in the final rule entitled, “Federal Motor Carrier </w:t>
      </w:r>
      <w:r w:rsidR="00E31539" w:rsidRPr="00A227BC">
        <w:rPr>
          <w:rFonts w:ascii="Times New Roman" w:hAnsi="Times New Roman"/>
          <w:bCs/>
          <w:sz w:val="24"/>
          <w:szCs w:val="24"/>
        </w:rPr>
        <w:t xml:space="preserve">Safety Regulations: General </w:t>
      </w:r>
      <w:r w:rsidR="003C5D2F" w:rsidRPr="00A227BC">
        <w:rPr>
          <w:rFonts w:ascii="Times New Roman" w:hAnsi="Times New Roman"/>
          <w:bCs/>
          <w:sz w:val="24"/>
          <w:szCs w:val="24"/>
        </w:rPr>
        <w:t xml:space="preserve">Commercial </w:t>
      </w:r>
      <w:r w:rsidR="004D5515" w:rsidRPr="00A227BC">
        <w:rPr>
          <w:rFonts w:ascii="Times New Roman" w:hAnsi="Times New Roman"/>
          <w:bCs/>
          <w:sz w:val="24"/>
          <w:szCs w:val="24"/>
        </w:rPr>
        <w:t xml:space="preserve">Motor Vehicle Marking,” (65 FR 35287), June 2, 2000 (Attachment </w:t>
      </w:r>
      <w:r w:rsidR="00452F23">
        <w:rPr>
          <w:rFonts w:ascii="Times New Roman" w:hAnsi="Times New Roman"/>
          <w:bCs/>
          <w:sz w:val="24"/>
          <w:szCs w:val="24"/>
        </w:rPr>
        <w:t>C</w:t>
      </w:r>
      <w:r w:rsidR="004D5515" w:rsidRPr="00A227BC">
        <w:rPr>
          <w:rFonts w:ascii="Times New Roman" w:hAnsi="Times New Roman"/>
          <w:bCs/>
          <w:sz w:val="24"/>
          <w:szCs w:val="24"/>
        </w:rPr>
        <w:t>).</w:t>
      </w:r>
    </w:p>
    <w:p w14:paraId="33AB9EFB" w14:textId="77777777" w:rsidR="005869F3" w:rsidRDefault="005869F3" w:rsidP="004203CB">
      <w:pPr>
        <w:widowControl/>
        <w:tabs>
          <w:tab w:val="left" w:pos="-1440"/>
          <w:tab w:val="left" w:pos="-720"/>
        </w:tabs>
        <w:ind w:left="360"/>
        <w:rPr>
          <w:rFonts w:ascii="Times New Roman" w:hAnsi="Times New Roman"/>
          <w:bCs/>
          <w:sz w:val="24"/>
          <w:szCs w:val="24"/>
        </w:rPr>
      </w:pPr>
    </w:p>
    <w:p w14:paraId="59FECAD0" w14:textId="792F4B33" w:rsidR="00893D39" w:rsidRPr="006068EC" w:rsidRDefault="00893D39" w:rsidP="004203CB">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FMCSA discovered that the annual burden for the CMV marking requirement needed to be updated during the development of the Notice of proposed rulemaking (NPRM) entitled, “</w:t>
      </w:r>
      <w:r w:rsidR="000F1704" w:rsidRPr="00A227BC">
        <w:rPr>
          <w:rFonts w:ascii="Times New Roman" w:hAnsi="Times New Roman"/>
          <w:bCs/>
          <w:sz w:val="24"/>
          <w:szCs w:val="24"/>
        </w:rPr>
        <w:t xml:space="preserve">Lease and Interchange of Vehicles; Motor Carriers of Passengers,” (78 FR 57822), September 20, 2013 (Attachment </w:t>
      </w:r>
      <w:r w:rsidR="00452F23">
        <w:rPr>
          <w:rFonts w:ascii="Times New Roman" w:hAnsi="Times New Roman"/>
          <w:bCs/>
          <w:sz w:val="24"/>
          <w:szCs w:val="24"/>
        </w:rPr>
        <w:t>D</w:t>
      </w:r>
      <w:r w:rsidR="000F1704" w:rsidRPr="00A227BC">
        <w:rPr>
          <w:rFonts w:ascii="Times New Roman" w:hAnsi="Times New Roman"/>
          <w:bCs/>
          <w:sz w:val="24"/>
          <w:szCs w:val="24"/>
        </w:rPr>
        <w:t>).</w:t>
      </w:r>
      <w:r w:rsidR="00937E4D" w:rsidRPr="00A227BC">
        <w:rPr>
          <w:rFonts w:ascii="Times New Roman" w:hAnsi="Times New Roman"/>
          <w:bCs/>
          <w:sz w:val="24"/>
          <w:szCs w:val="24"/>
        </w:rPr>
        <w:t xml:space="preserve">  </w:t>
      </w:r>
      <w:r w:rsidR="00010ACD" w:rsidRPr="00A227BC">
        <w:rPr>
          <w:rFonts w:ascii="Times New Roman" w:hAnsi="Times New Roman"/>
          <w:bCs/>
          <w:sz w:val="24"/>
          <w:szCs w:val="24"/>
        </w:rPr>
        <w:t xml:space="preserve">The Agency, therefore, submits this </w:t>
      </w:r>
      <w:r w:rsidR="005869F3">
        <w:rPr>
          <w:rFonts w:ascii="Times New Roman" w:hAnsi="Times New Roman"/>
          <w:bCs/>
          <w:sz w:val="24"/>
          <w:szCs w:val="24"/>
        </w:rPr>
        <w:t xml:space="preserve">revised </w:t>
      </w:r>
      <w:r w:rsidR="00010ACD" w:rsidRPr="00A227BC">
        <w:rPr>
          <w:rFonts w:ascii="Times New Roman" w:hAnsi="Times New Roman"/>
          <w:bCs/>
          <w:sz w:val="24"/>
          <w:szCs w:val="24"/>
        </w:rPr>
        <w:t>ICR</w:t>
      </w:r>
      <w:r w:rsidR="005869F3">
        <w:rPr>
          <w:rFonts w:ascii="Times New Roman" w:hAnsi="Times New Roman"/>
          <w:bCs/>
          <w:sz w:val="24"/>
          <w:szCs w:val="24"/>
        </w:rPr>
        <w:t xml:space="preserve"> </w:t>
      </w:r>
      <w:r w:rsidR="00010ACD" w:rsidRPr="00A227BC">
        <w:rPr>
          <w:rFonts w:ascii="Times New Roman" w:hAnsi="Times New Roman"/>
          <w:bCs/>
          <w:sz w:val="24"/>
          <w:szCs w:val="24"/>
        </w:rPr>
        <w:t xml:space="preserve">to </w:t>
      </w:r>
      <w:r w:rsidR="005869F3">
        <w:rPr>
          <w:rFonts w:ascii="Times New Roman" w:hAnsi="Times New Roman"/>
          <w:bCs/>
          <w:sz w:val="24"/>
          <w:szCs w:val="24"/>
        </w:rPr>
        <w:t>add the final rule for this rulemaking</w:t>
      </w:r>
      <w:r w:rsidR="00010ACD" w:rsidRPr="00A227BC">
        <w:rPr>
          <w:rFonts w:ascii="Times New Roman" w:hAnsi="Times New Roman"/>
          <w:bCs/>
          <w:sz w:val="24"/>
          <w:szCs w:val="24"/>
        </w:rPr>
        <w:t>.</w:t>
      </w:r>
    </w:p>
    <w:p w14:paraId="1EB78048" w14:textId="77777777" w:rsidR="0070342A" w:rsidRPr="006068EC" w:rsidRDefault="0070342A" w:rsidP="004203CB">
      <w:pPr>
        <w:widowControl/>
        <w:tabs>
          <w:tab w:val="left" w:pos="-1440"/>
          <w:tab w:val="left" w:pos="-720"/>
        </w:tabs>
        <w:ind w:left="360"/>
        <w:rPr>
          <w:rFonts w:ascii="Times New Roman" w:hAnsi="Times New Roman"/>
          <w:b/>
          <w:bCs/>
          <w:sz w:val="24"/>
          <w:szCs w:val="24"/>
        </w:rPr>
      </w:pPr>
    </w:p>
    <w:p w14:paraId="00C10128" w14:textId="77777777" w:rsidR="00F1201C" w:rsidRPr="006068EC" w:rsidRDefault="00707FD9" w:rsidP="004203CB">
      <w:pPr>
        <w:widowControl/>
        <w:tabs>
          <w:tab w:val="left" w:pos="360"/>
        </w:tabs>
        <w:ind w:left="360"/>
        <w:rPr>
          <w:rFonts w:ascii="Times New Roman" w:hAnsi="Times New Roman"/>
          <w:bCs/>
          <w:sz w:val="24"/>
          <w:szCs w:val="24"/>
        </w:rPr>
      </w:pPr>
      <w:r w:rsidRPr="006068EC">
        <w:rPr>
          <w:rFonts w:ascii="Times New Roman" w:hAnsi="Times New Roman"/>
          <w:bCs/>
          <w:sz w:val="24"/>
          <w:szCs w:val="24"/>
        </w:rPr>
        <w:t>This information collection supports the DOT strategic goals of safety and organizational excellence.</w:t>
      </w:r>
    </w:p>
    <w:p w14:paraId="07561B73" w14:textId="77777777" w:rsidR="009B4625" w:rsidRPr="006068EC" w:rsidRDefault="009B4625" w:rsidP="004203CB">
      <w:pPr>
        <w:widowControl/>
        <w:tabs>
          <w:tab w:val="left" w:pos="360"/>
        </w:tabs>
        <w:rPr>
          <w:rFonts w:ascii="Times New Roman" w:hAnsi="Times New Roman"/>
          <w:bCs/>
          <w:sz w:val="24"/>
          <w:szCs w:val="24"/>
          <w:u w:val="single"/>
        </w:rPr>
      </w:pPr>
    </w:p>
    <w:p w14:paraId="0D67BBEF" w14:textId="77777777" w:rsidR="001C1B4B" w:rsidRPr="006068EC" w:rsidRDefault="00C14920" w:rsidP="004203CB">
      <w:pPr>
        <w:widowControl/>
        <w:numPr>
          <w:ilvl w:val="0"/>
          <w:numId w:val="18"/>
        </w:numPr>
        <w:tabs>
          <w:tab w:val="left" w:pos="360"/>
        </w:tabs>
        <w:rPr>
          <w:rFonts w:ascii="Times New Roman" w:hAnsi="Times New Roman"/>
          <w:bCs/>
          <w:sz w:val="24"/>
          <w:szCs w:val="24"/>
          <w:u w:val="single"/>
        </w:rPr>
      </w:pPr>
      <w:r w:rsidRPr="006068EC">
        <w:rPr>
          <w:rFonts w:ascii="Times New Roman" w:hAnsi="Times New Roman"/>
          <w:b/>
          <w:bCs/>
          <w:sz w:val="24"/>
          <w:szCs w:val="24"/>
        </w:rPr>
        <w:t>HOW, BY WHOM, AND FOR WHAT PURPOSE IS THE INFORMATION USED</w:t>
      </w:r>
      <w:r w:rsidR="009D4F72" w:rsidRPr="006068EC">
        <w:rPr>
          <w:rFonts w:ascii="Times New Roman" w:hAnsi="Times New Roman"/>
          <w:b/>
          <w:bCs/>
          <w:sz w:val="24"/>
          <w:szCs w:val="24"/>
        </w:rPr>
        <w:t xml:space="preserve"> </w:t>
      </w:r>
    </w:p>
    <w:p w14:paraId="5FA184CB" w14:textId="2BDEC5B3" w:rsidR="00DE3A22" w:rsidRPr="005E0914" w:rsidRDefault="005612EB" w:rsidP="004203CB">
      <w:pPr>
        <w:widowControl/>
        <w:tabs>
          <w:tab w:val="left" w:pos="360"/>
        </w:tabs>
        <w:ind w:left="360"/>
        <w:rPr>
          <w:rFonts w:ascii="Times New Roman" w:hAnsi="Times New Roman"/>
          <w:sz w:val="24"/>
          <w:szCs w:val="24"/>
        </w:rPr>
      </w:pPr>
      <w:r w:rsidRPr="006068EC">
        <w:rPr>
          <w:rFonts w:ascii="Times New Roman" w:hAnsi="Times New Roman"/>
          <w:b/>
          <w:bCs/>
          <w:sz w:val="24"/>
          <w:szCs w:val="24"/>
        </w:rPr>
        <w:br/>
      </w:r>
      <w:r w:rsidR="00E12337" w:rsidRPr="005E0914">
        <w:rPr>
          <w:rFonts w:ascii="Times New Roman" w:hAnsi="Times New Roman"/>
          <w:sz w:val="24"/>
          <w:szCs w:val="24"/>
        </w:rPr>
        <w:t>The</w:t>
      </w:r>
      <w:r w:rsidR="00DD5E98" w:rsidRPr="005E0914">
        <w:rPr>
          <w:rFonts w:ascii="Times New Roman" w:hAnsi="Times New Roman"/>
          <w:sz w:val="24"/>
          <w:szCs w:val="24"/>
        </w:rPr>
        <w:t xml:space="preserve"> marking requirement</w:t>
      </w:r>
      <w:r w:rsidR="00E12337" w:rsidRPr="005E0914">
        <w:rPr>
          <w:rFonts w:ascii="Times New Roman" w:hAnsi="Times New Roman"/>
          <w:sz w:val="24"/>
          <w:szCs w:val="24"/>
        </w:rPr>
        <w:t>s apply</w:t>
      </w:r>
      <w:r w:rsidR="00DD5E98" w:rsidRPr="005E0914">
        <w:rPr>
          <w:rFonts w:ascii="Times New Roman" w:hAnsi="Times New Roman"/>
          <w:sz w:val="24"/>
          <w:szCs w:val="24"/>
        </w:rPr>
        <w:t xml:space="preserve"> to motor carriers, freight forwarders and in</w:t>
      </w:r>
      <w:r w:rsidR="00343B81" w:rsidRPr="005E0914">
        <w:rPr>
          <w:rFonts w:ascii="Times New Roman" w:hAnsi="Times New Roman"/>
          <w:sz w:val="24"/>
          <w:szCs w:val="24"/>
        </w:rPr>
        <w:t xml:space="preserve">termodal equipment providers </w:t>
      </w:r>
      <w:r w:rsidR="00E12337" w:rsidRPr="005E0914">
        <w:rPr>
          <w:rFonts w:ascii="Times New Roman" w:hAnsi="Times New Roman"/>
          <w:sz w:val="24"/>
          <w:szCs w:val="24"/>
        </w:rPr>
        <w:t xml:space="preserve">(IEPs) </w:t>
      </w:r>
      <w:r w:rsidR="00343B81" w:rsidRPr="005E0914">
        <w:rPr>
          <w:rFonts w:ascii="Times New Roman" w:hAnsi="Times New Roman"/>
          <w:sz w:val="24"/>
          <w:szCs w:val="24"/>
        </w:rPr>
        <w:t xml:space="preserve">engaging in interstate transportation. </w:t>
      </w:r>
      <w:r w:rsidR="00ED7C28">
        <w:rPr>
          <w:rFonts w:ascii="Times New Roman" w:hAnsi="Times New Roman"/>
          <w:sz w:val="24"/>
          <w:szCs w:val="24"/>
        </w:rPr>
        <w:t xml:space="preserve"> </w:t>
      </w:r>
      <w:r w:rsidR="00E12337" w:rsidRPr="005E0914">
        <w:rPr>
          <w:rFonts w:ascii="Times New Roman" w:hAnsi="Times New Roman"/>
          <w:sz w:val="24"/>
          <w:szCs w:val="24"/>
        </w:rPr>
        <w:t>T</w:t>
      </w:r>
      <w:r w:rsidR="00343B81" w:rsidRPr="005E0914">
        <w:rPr>
          <w:rFonts w:ascii="Times New Roman" w:hAnsi="Times New Roman"/>
          <w:sz w:val="24"/>
          <w:szCs w:val="24"/>
        </w:rPr>
        <w:t xml:space="preserve">he Agency </w:t>
      </w:r>
      <w:r w:rsidR="00610092">
        <w:rPr>
          <w:rFonts w:ascii="Times New Roman" w:hAnsi="Times New Roman"/>
          <w:sz w:val="24"/>
          <w:szCs w:val="24"/>
        </w:rPr>
        <w:t xml:space="preserve">provides performance-based requirements for the marking but </w:t>
      </w:r>
      <w:r w:rsidR="00343B81" w:rsidRPr="005E0914">
        <w:rPr>
          <w:rFonts w:ascii="Times New Roman" w:hAnsi="Times New Roman"/>
          <w:sz w:val="24"/>
          <w:szCs w:val="24"/>
        </w:rPr>
        <w:t>does not require a specific method of marking as long as the method complies</w:t>
      </w:r>
      <w:r w:rsidR="00E12337" w:rsidRPr="005E0914">
        <w:rPr>
          <w:rFonts w:ascii="Times New Roman" w:hAnsi="Times New Roman"/>
          <w:sz w:val="24"/>
          <w:szCs w:val="24"/>
        </w:rPr>
        <w:t xml:space="preserve"> with FMCSA’s regulations.</w:t>
      </w:r>
      <w:r w:rsidR="00ED7C28">
        <w:rPr>
          <w:rFonts w:ascii="Times New Roman" w:hAnsi="Times New Roman"/>
          <w:sz w:val="24"/>
          <w:szCs w:val="24"/>
        </w:rPr>
        <w:t xml:space="preserve"> </w:t>
      </w:r>
      <w:r w:rsidR="00E12337" w:rsidRPr="005E0914">
        <w:rPr>
          <w:rFonts w:ascii="Times New Roman" w:hAnsi="Times New Roman"/>
          <w:sz w:val="24"/>
          <w:szCs w:val="24"/>
        </w:rPr>
        <w:t xml:space="preserve"> These </w:t>
      </w:r>
      <w:r w:rsidR="00F749C4" w:rsidRPr="005E0914">
        <w:rPr>
          <w:rFonts w:ascii="Times New Roman" w:hAnsi="Times New Roman"/>
          <w:sz w:val="24"/>
          <w:szCs w:val="24"/>
        </w:rPr>
        <w:t>requirements ensure</w:t>
      </w:r>
      <w:r w:rsidR="00343B81" w:rsidRPr="005E0914">
        <w:rPr>
          <w:rFonts w:ascii="Times New Roman" w:hAnsi="Times New Roman"/>
          <w:sz w:val="24"/>
          <w:szCs w:val="24"/>
        </w:rPr>
        <w:t xml:space="preserve"> that FMCSA, NTSB and the States are able to identify motor carriers and correctly assign responsibility for regulatory violations during inspections, investigations, compliance r</w:t>
      </w:r>
      <w:r w:rsidR="00E12337" w:rsidRPr="005E0914">
        <w:rPr>
          <w:rFonts w:ascii="Times New Roman" w:hAnsi="Times New Roman"/>
          <w:sz w:val="24"/>
          <w:szCs w:val="24"/>
        </w:rPr>
        <w:t>eviews, and crash studies.  These</w:t>
      </w:r>
      <w:r w:rsidR="00343B81" w:rsidRPr="005E0914">
        <w:rPr>
          <w:rFonts w:ascii="Times New Roman" w:hAnsi="Times New Roman"/>
          <w:sz w:val="24"/>
          <w:szCs w:val="24"/>
        </w:rPr>
        <w:t xml:space="preserve"> 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will also provide </w:t>
      </w:r>
      <w:r w:rsidR="00AA6D90" w:rsidRPr="005E0914">
        <w:rPr>
          <w:rFonts w:ascii="Times New Roman" w:hAnsi="Times New Roman"/>
          <w:sz w:val="24"/>
          <w:szCs w:val="24"/>
        </w:rPr>
        <w:t xml:space="preserve">the public with beneficial information that could also assist in identifying carriers for the purposes of commerce, complaints or emergency notification. </w:t>
      </w:r>
    </w:p>
    <w:p w14:paraId="52705472" w14:textId="77777777" w:rsidR="00A613EE" w:rsidRPr="006068EC" w:rsidRDefault="00A613EE" w:rsidP="004203CB">
      <w:pPr>
        <w:widowControl/>
        <w:rPr>
          <w:rFonts w:ascii="Times New Roman" w:hAnsi="Times New Roman"/>
          <w:bCs/>
          <w:sz w:val="24"/>
          <w:szCs w:val="24"/>
        </w:rPr>
      </w:pPr>
    </w:p>
    <w:p w14:paraId="3A6482C4" w14:textId="77777777" w:rsidR="005813B2"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EXTENT OF AUTOMATED INFORMATION COLLECTION</w:t>
      </w:r>
    </w:p>
    <w:p w14:paraId="3CF95B84" w14:textId="77777777" w:rsidR="008E4E78" w:rsidRPr="005E0914" w:rsidRDefault="009D4F72" w:rsidP="004203CB">
      <w:pPr>
        <w:widowControl/>
        <w:ind w:left="360"/>
        <w:rPr>
          <w:rFonts w:ascii="Times New Roman" w:hAnsi="Times New Roman"/>
          <w:iCs/>
          <w:sz w:val="24"/>
          <w:szCs w:val="24"/>
        </w:rPr>
      </w:pPr>
      <w:r w:rsidRPr="006068EC">
        <w:rPr>
          <w:rFonts w:ascii="Times New Roman" w:hAnsi="Times New Roman"/>
          <w:b/>
          <w:bCs/>
        </w:rPr>
        <w:t xml:space="preserve"> </w:t>
      </w:r>
      <w:r w:rsidR="005612EB" w:rsidRPr="006068EC">
        <w:rPr>
          <w:rFonts w:ascii="Times New Roman" w:hAnsi="Times New Roman"/>
          <w:b/>
          <w:bCs/>
        </w:rPr>
        <w:br/>
      </w:r>
      <w:r w:rsidR="00AA6D90" w:rsidRPr="005E0914">
        <w:rPr>
          <w:rFonts w:ascii="Times New Roman" w:hAnsi="Times New Roman"/>
          <w:iCs/>
          <w:sz w:val="24"/>
          <w:szCs w:val="24"/>
        </w:rPr>
        <w:t xml:space="preserve">Motor carriers will not be subject to any reporting requirement </w:t>
      </w:r>
      <w:r w:rsidR="005E0914">
        <w:rPr>
          <w:rFonts w:ascii="Times New Roman" w:hAnsi="Times New Roman"/>
          <w:iCs/>
          <w:sz w:val="24"/>
          <w:szCs w:val="24"/>
        </w:rPr>
        <w:t>in response to this ICR</w:t>
      </w:r>
      <w:r w:rsidR="00AA6D90" w:rsidRPr="005E0914">
        <w:rPr>
          <w:rFonts w:ascii="Times New Roman" w:hAnsi="Times New Roman"/>
          <w:iCs/>
          <w:sz w:val="24"/>
          <w:szCs w:val="24"/>
        </w:rPr>
        <w:t>.</w:t>
      </w:r>
    </w:p>
    <w:p w14:paraId="4538A747" w14:textId="77777777" w:rsidR="00A613EE" w:rsidRPr="006068EC" w:rsidRDefault="00A613EE" w:rsidP="004203CB">
      <w:pPr>
        <w:widowControl/>
        <w:rPr>
          <w:rFonts w:ascii="Times New Roman" w:hAnsi="Times New Roman"/>
          <w:sz w:val="24"/>
        </w:rPr>
      </w:pPr>
    </w:p>
    <w:p w14:paraId="29761DD8" w14:textId="77777777" w:rsidR="005813B2" w:rsidRPr="006068EC" w:rsidRDefault="00C14920" w:rsidP="004203CB">
      <w:pPr>
        <w:pStyle w:val="NormalWeb"/>
        <w:numPr>
          <w:ilvl w:val="0"/>
          <w:numId w:val="18"/>
        </w:numPr>
        <w:spacing w:before="0" w:beforeAutospacing="0" w:after="0" w:afterAutospacing="0"/>
        <w:rPr>
          <w:rFonts w:ascii="Times New Roman" w:hAnsi="Times New Roman" w:cs="Times New Roman"/>
          <w:bCs/>
          <w:szCs w:val="20"/>
        </w:rPr>
      </w:pPr>
      <w:r w:rsidRPr="006068EC">
        <w:rPr>
          <w:rFonts w:ascii="Times New Roman" w:hAnsi="Times New Roman" w:cs="Times New Roman"/>
          <w:b/>
          <w:bCs/>
          <w:szCs w:val="20"/>
        </w:rPr>
        <w:t>EFFORTS TO IDENTIFY DUPLICATION</w:t>
      </w:r>
    </w:p>
    <w:p w14:paraId="3363B326" w14:textId="77777777" w:rsidR="0004749E" w:rsidRPr="006068EC" w:rsidRDefault="00A613EE" w:rsidP="004203CB">
      <w:pPr>
        <w:pStyle w:val="NormalWeb"/>
        <w:spacing w:before="0" w:beforeAutospacing="0" w:after="0" w:afterAutospacing="0"/>
        <w:ind w:left="360"/>
        <w:rPr>
          <w:rFonts w:ascii="Times New Roman" w:hAnsi="Times New Roman" w:cs="Times New Roman"/>
          <w:bCs/>
          <w:szCs w:val="20"/>
        </w:rPr>
      </w:pPr>
      <w:r w:rsidRPr="006068EC">
        <w:rPr>
          <w:rFonts w:ascii="Times New Roman" w:hAnsi="Times New Roman" w:cs="Times New Roman"/>
          <w:b/>
          <w:bCs/>
          <w:szCs w:val="20"/>
        </w:rPr>
        <w:br/>
      </w:r>
      <w:r w:rsidR="00897896" w:rsidRPr="006068EC">
        <w:rPr>
          <w:rFonts w:ascii="Times New Roman" w:hAnsi="Times New Roman" w:cs="Times New Roman"/>
          <w:bCs/>
          <w:szCs w:val="20"/>
        </w:rPr>
        <w:t xml:space="preserve">There are no </w:t>
      </w:r>
      <w:r w:rsidR="005E0914">
        <w:rPr>
          <w:rFonts w:ascii="Times New Roman" w:hAnsi="Times New Roman" w:cs="Times New Roman"/>
          <w:bCs/>
          <w:szCs w:val="20"/>
        </w:rPr>
        <w:t>other Federal agencies that ha</w:t>
      </w:r>
      <w:r w:rsidR="005E0102">
        <w:rPr>
          <w:rFonts w:ascii="Times New Roman" w:hAnsi="Times New Roman" w:cs="Times New Roman"/>
          <w:bCs/>
          <w:szCs w:val="20"/>
        </w:rPr>
        <w:t>ve</w:t>
      </w:r>
      <w:r w:rsidR="005E0914">
        <w:rPr>
          <w:rFonts w:ascii="Times New Roman" w:hAnsi="Times New Roman" w:cs="Times New Roman"/>
          <w:bCs/>
          <w:szCs w:val="20"/>
        </w:rPr>
        <w:t xml:space="preserve"> the commercial mo</w:t>
      </w:r>
      <w:r w:rsidR="005E0102">
        <w:rPr>
          <w:rFonts w:ascii="Times New Roman" w:hAnsi="Times New Roman" w:cs="Times New Roman"/>
          <w:bCs/>
          <w:szCs w:val="20"/>
        </w:rPr>
        <w:t>tor vehicle marking requirement.</w:t>
      </w:r>
      <w:r w:rsidR="00897896" w:rsidRPr="006068EC">
        <w:rPr>
          <w:rFonts w:ascii="Times New Roman" w:hAnsi="Times New Roman" w:cs="Times New Roman"/>
          <w:bCs/>
          <w:szCs w:val="20"/>
        </w:rPr>
        <w:t xml:space="preserve"> </w:t>
      </w:r>
    </w:p>
    <w:p w14:paraId="2FD37991" w14:textId="77777777" w:rsidR="00937E4D" w:rsidRPr="006068EC" w:rsidRDefault="00937E4D" w:rsidP="004203CB">
      <w:pPr>
        <w:widowControl/>
        <w:rPr>
          <w:rFonts w:ascii="Times New Roman" w:hAnsi="Times New Roman"/>
          <w:sz w:val="24"/>
        </w:rPr>
      </w:pPr>
    </w:p>
    <w:p w14:paraId="5EEB83D2" w14:textId="77777777" w:rsidR="001C1B4B"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EFFORTS TO MINIMIZE THE BURDEN ON SMALL BUSINESSES</w:t>
      </w:r>
    </w:p>
    <w:p w14:paraId="0C2CE875" w14:textId="77777777" w:rsidR="005E0102" w:rsidRDefault="005E0102" w:rsidP="004203CB">
      <w:pPr>
        <w:widowControl/>
        <w:ind w:left="360"/>
        <w:rPr>
          <w:rFonts w:ascii="Times New Roman" w:hAnsi="Times New Roman"/>
          <w:sz w:val="24"/>
          <w:szCs w:val="24"/>
        </w:rPr>
      </w:pPr>
    </w:p>
    <w:p w14:paraId="31DE89D3" w14:textId="77777777" w:rsidR="00291C15" w:rsidRPr="006068EC" w:rsidRDefault="00CB0188" w:rsidP="004203CB">
      <w:pPr>
        <w:widowControl/>
        <w:ind w:left="360"/>
        <w:rPr>
          <w:rFonts w:ascii="Times New Roman" w:hAnsi="Times New Roman"/>
          <w:sz w:val="24"/>
          <w:szCs w:val="24"/>
        </w:rPr>
      </w:pPr>
      <w:r w:rsidRPr="006068EC">
        <w:rPr>
          <w:rFonts w:ascii="Times New Roman" w:hAnsi="Times New Roman"/>
          <w:sz w:val="24"/>
          <w:szCs w:val="24"/>
        </w:rPr>
        <w:t xml:space="preserve">The </w:t>
      </w:r>
      <w:r w:rsidR="00897896" w:rsidRPr="006068EC">
        <w:rPr>
          <w:rFonts w:ascii="Times New Roman" w:hAnsi="Times New Roman"/>
          <w:sz w:val="24"/>
          <w:szCs w:val="24"/>
        </w:rPr>
        <w:t>marking requirements</w:t>
      </w:r>
      <w:r w:rsidRPr="006068EC">
        <w:rPr>
          <w:rFonts w:ascii="Times New Roman" w:hAnsi="Times New Roman"/>
          <w:sz w:val="24"/>
          <w:szCs w:val="24"/>
        </w:rPr>
        <w:t xml:space="preserve"> impose min</w:t>
      </w:r>
      <w:r w:rsidR="00344C64" w:rsidRPr="006068EC">
        <w:rPr>
          <w:rFonts w:ascii="Times New Roman" w:hAnsi="Times New Roman"/>
          <w:sz w:val="24"/>
          <w:szCs w:val="24"/>
        </w:rPr>
        <w:t>imal burden on small business</w:t>
      </w:r>
      <w:r w:rsidR="00897896" w:rsidRPr="006068EC">
        <w:rPr>
          <w:rFonts w:ascii="Times New Roman" w:hAnsi="Times New Roman"/>
          <w:sz w:val="24"/>
          <w:szCs w:val="24"/>
        </w:rPr>
        <w:t>es</w:t>
      </w:r>
      <w:r w:rsidR="00344C64" w:rsidRPr="006068EC">
        <w:rPr>
          <w:rFonts w:ascii="Times New Roman" w:hAnsi="Times New Roman"/>
          <w:sz w:val="24"/>
          <w:szCs w:val="24"/>
        </w:rPr>
        <w:t xml:space="preserve">. </w:t>
      </w:r>
      <w:r w:rsidR="00ED7C28">
        <w:rPr>
          <w:rFonts w:ascii="Times New Roman" w:hAnsi="Times New Roman"/>
          <w:sz w:val="24"/>
          <w:szCs w:val="24"/>
        </w:rPr>
        <w:t xml:space="preserve"> </w:t>
      </w:r>
      <w:r w:rsidR="004B4DA5" w:rsidRPr="006068EC">
        <w:rPr>
          <w:rFonts w:ascii="Times New Roman" w:hAnsi="Times New Roman"/>
          <w:sz w:val="24"/>
          <w:szCs w:val="24"/>
        </w:rPr>
        <w:t>Considerable fl</w:t>
      </w:r>
      <w:r w:rsidRPr="006068EC">
        <w:rPr>
          <w:rFonts w:ascii="Times New Roman" w:hAnsi="Times New Roman"/>
          <w:sz w:val="24"/>
          <w:szCs w:val="24"/>
        </w:rPr>
        <w:t>exibil</w:t>
      </w:r>
      <w:r w:rsidR="00B45F1A" w:rsidRPr="006068EC">
        <w:rPr>
          <w:rFonts w:ascii="Times New Roman" w:hAnsi="Times New Roman"/>
          <w:sz w:val="24"/>
          <w:szCs w:val="24"/>
        </w:rPr>
        <w:t xml:space="preserve">ity is afforded in meeting </w:t>
      </w:r>
      <w:r w:rsidR="00897896" w:rsidRPr="006068EC">
        <w:rPr>
          <w:rFonts w:ascii="Times New Roman" w:hAnsi="Times New Roman"/>
          <w:sz w:val="24"/>
          <w:szCs w:val="24"/>
        </w:rPr>
        <w:t>those requirements</w:t>
      </w:r>
      <w:r w:rsidRPr="006068EC">
        <w:rPr>
          <w:rFonts w:ascii="Times New Roman" w:hAnsi="Times New Roman"/>
          <w:sz w:val="24"/>
          <w:szCs w:val="24"/>
        </w:rPr>
        <w:t xml:space="preserve">.  </w:t>
      </w:r>
      <w:r w:rsidR="00B45F1A" w:rsidRPr="006068EC">
        <w:rPr>
          <w:rFonts w:ascii="Times New Roman" w:hAnsi="Times New Roman"/>
          <w:sz w:val="24"/>
          <w:szCs w:val="24"/>
        </w:rPr>
        <w:t>Marking may be painted on the vehicles, app</w:t>
      </w:r>
      <w:r w:rsidR="00897896" w:rsidRPr="006068EC">
        <w:rPr>
          <w:rFonts w:ascii="Times New Roman" w:hAnsi="Times New Roman"/>
          <w:sz w:val="24"/>
          <w:szCs w:val="24"/>
        </w:rPr>
        <w:t>lied with stencils, decals,</w:t>
      </w:r>
      <w:r w:rsidR="00B45F1A" w:rsidRPr="006068EC">
        <w:rPr>
          <w:rFonts w:ascii="Times New Roman" w:hAnsi="Times New Roman"/>
          <w:sz w:val="24"/>
          <w:szCs w:val="24"/>
        </w:rPr>
        <w:t xml:space="preserve"> </w:t>
      </w:r>
      <w:r w:rsidR="00897896" w:rsidRPr="006068EC">
        <w:rPr>
          <w:rFonts w:ascii="Times New Roman" w:hAnsi="Times New Roman"/>
          <w:sz w:val="24"/>
          <w:szCs w:val="24"/>
        </w:rPr>
        <w:t xml:space="preserve">or </w:t>
      </w:r>
      <w:r w:rsidR="00B45F1A" w:rsidRPr="006068EC">
        <w:rPr>
          <w:rFonts w:ascii="Times New Roman" w:hAnsi="Times New Roman"/>
          <w:sz w:val="24"/>
          <w:szCs w:val="24"/>
        </w:rPr>
        <w:t>affixed by any other means</w:t>
      </w:r>
      <w:r w:rsidR="00897896" w:rsidRPr="006068EC">
        <w:rPr>
          <w:rFonts w:ascii="Times New Roman" w:hAnsi="Times New Roman"/>
          <w:sz w:val="24"/>
          <w:szCs w:val="24"/>
        </w:rPr>
        <w:t>, including paper, provided the method(s) meets the requirements.</w:t>
      </w:r>
      <w:r w:rsidR="00B45F1A" w:rsidRPr="006068EC">
        <w:rPr>
          <w:rFonts w:ascii="Times New Roman" w:hAnsi="Times New Roman"/>
          <w:sz w:val="24"/>
          <w:szCs w:val="24"/>
        </w:rPr>
        <w:t xml:space="preserve"> </w:t>
      </w:r>
      <w:r w:rsidR="00ED7C28">
        <w:rPr>
          <w:rFonts w:ascii="Times New Roman" w:hAnsi="Times New Roman"/>
          <w:sz w:val="24"/>
          <w:szCs w:val="24"/>
        </w:rPr>
        <w:t xml:space="preserve"> </w:t>
      </w:r>
      <w:r w:rsidR="00B45F1A" w:rsidRPr="006068EC">
        <w:rPr>
          <w:rFonts w:ascii="Times New Roman" w:hAnsi="Times New Roman"/>
          <w:sz w:val="24"/>
          <w:szCs w:val="24"/>
        </w:rPr>
        <w:t xml:space="preserve">The cost of marking includes the cost of materials, labor, and the opportunity cost of the </w:t>
      </w:r>
      <w:r w:rsidR="000525A4" w:rsidRPr="006068EC">
        <w:rPr>
          <w:rFonts w:ascii="Times New Roman" w:hAnsi="Times New Roman"/>
          <w:sz w:val="24"/>
          <w:szCs w:val="24"/>
        </w:rPr>
        <w:t>vehicles' time out of service (</w:t>
      </w:r>
      <w:r w:rsidR="00817764" w:rsidRPr="006068EC">
        <w:rPr>
          <w:rFonts w:ascii="Times New Roman" w:hAnsi="Times New Roman"/>
          <w:sz w:val="24"/>
          <w:szCs w:val="24"/>
        </w:rPr>
        <w:t>negligible</w:t>
      </w:r>
      <w:r w:rsidR="009A51F0" w:rsidRPr="006068EC">
        <w:rPr>
          <w:rFonts w:ascii="Times New Roman" w:hAnsi="Times New Roman"/>
          <w:sz w:val="24"/>
          <w:szCs w:val="24"/>
        </w:rPr>
        <w:t>)</w:t>
      </w:r>
      <w:r w:rsidR="00B45F1A" w:rsidRPr="006068EC">
        <w:rPr>
          <w:rFonts w:ascii="Times New Roman" w:hAnsi="Times New Roman"/>
          <w:sz w:val="24"/>
          <w:szCs w:val="24"/>
        </w:rPr>
        <w:t xml:space="preserve">. </w:t>
      </w:r>
    </w:p>
    <w:p w14:paraId="3DB3BF6C" w14:textId="77777777" w:rsidR="005E0102" w:rsidRDefault="00C14920" w:rsidP="004203CB">
      <w:pPr>
        <w:widowControl/>
        <w:numPr>
          <w:ilvl w:val="0"/>
          <w:numId w:val="18"/>
        </w:numPr>
        <w:rPr>
          <w:rFonts w:ascii="Times New Roman" w:hAnsi="Times New Roman"/>
        </w:rPr>
      </w:pPr>
      <w:r w:rsidRPr="006068EC">
        <w:rPr>
          <w:rFonts w:ascii="Times New Roman" w:hAnsi="Times New Roman"/>
          <w:b/>
          <w:bCs/>
          <w:sz w:val="24"/>
          <w:szCs w:val="24"/>
        </w:rPr>
        <w:lastRenderedPageBreak/>
        <w:t>IMPACT OF LESS FREQUENT COLLECTION OF INFORMATION</w:t>
      </w:r>
      <w:r w:rsidR="00A613EE" w:rsidRPr="006068EC">
        <w:rPr>
          <w:rFonts w:ascii="Times New Roman" w:hAnsi="Times New Roman"/>
          <w:b/>
          <w:sz w:val="24"/>
          <w:szCs w:val="24"/>
        </w:rPr>
        <w:br/>
      </w:r>
    </w:p>
    <w:p w14:paraId="33C35752" w14:textId="615C1589" w:rsidR="00AC57C7" w:rsidRDefault="00905572" w:rsidP="004203CB">
      <w:pPr>
        <w:widowControl/>
        <w:ind w:left="360"/>
        <w:rPr>
          <w:rFonts w:ascii="Times New Roman" w:hAnsi="Times New Roman"/>
          <w:sz w:val="24"/>
          <w:szCs w:val="24"/>
        </w:rPr>
      </w:pPr>
      <w:r w:rsidRPr="005E0102">
        <w:rPr>
          <w:rFonts w:ascii="Times New Roman" w:hAnsi="Times New Roman"/>
          <w:sz w:val="24"/>
          <w:szCs w:val="24"/>
        </w:rPr>
        <w:t xml:space="preserve">The appropriate </w:t>
      </w:r>
      <w:r w:rsidR="008E5B11" w:rsidRPr="005E0102">
        <w:rPr>
          <w:rFonts w:ascii="Times New Roman" w:hAnsi="Times New Roman"/>
          <w:sz w:val="24"/>
          <w:szCs w:val="24"/>
        </w:rPr>
        <w:t>m</w:t>
      </w:r>
      <w:r w:rsidRPr="005E0102">
        <w:rPr>
          <w:rFonts w:ascii="Times New Roman" w:hAnsi="Times New Roman"/>
          <w:sz w:val="24"/>
          <w:szCs w:val="24"/>
        </w:rPr>
        <w:t xml:space="preserve">arking of vehicles, owned, leased or rented, </w:t>
      </w:r>
      <w:r w:rsidR="008E5B11" w:rsidRPr="005E0102">
        <w:rPr>
          <w:rFonts w:ascii="Times New Roman" w:hAnsi="Times New Roman"/>
          <w:sz w:val="24"/>
          <w:szCs w:val="24"/>
        </w:rPr>
        <w:t>assist</w:t>
      </w:r>
      <w:r w:rsidR="00610092">
        <w:rPr>
          <w:rFonts w:ascii="Times New Roman" w:hAnsi="Times New Roman"/>
          <w:sz w:val="24"/>
          <w:szCs w:val="24"/>
        </w:rPr>
        <w:t>s</w:t>
      </w:r>
      <w:r w:rsidR="008E5B11" w:rsidRPr="005E0102">
        <w:rPr>
          <w:rFonts w:ascii="Times New Roman" w:hAnsi="Times New Roman"/>
          <w:sz w:val="24"/>
          <w:szCs w:val="24"/>
        </w:rPr>
        <w:t xml:space="preserve"> FMCSA </w:t>
      </w:r>
      <w:r w:rsidR="008D52D6">
        <w:rPr>
          <w:rFonts w:ascii="Times New Roman" w:hAnsi="Times New Roman"/>
          <w:sz w:val="24"/>
          <w:szCs w:val="24"/>
        </w:rPr>
        <w:t>in</w:t>
      </w:r>
      <w:r w:rsidR="00610092">
        <w:rPr>
          <w:rFonts w:ascii="Times New Roman" w:hAnsi="Times New Roman"/>
          <w:sz w:val="24"/>
          <w:szCs w:val="24"/>
        </w:rPr>
        <w:t xml:space="preserve"> identifying motor carriers and monitoring the safety performance and crash involvement, thereby helping the Agency </w:t>
      </w:r>
      <w:r w:rsidR="008E5B11" w:rsidRPr="005E0102">
        <w:rPr>
          <w:rFonts w:ascii="Times New Roman" w:hAnsi="Times New Roman"/>
          <w:sz w:val="24"/>
          <w:szCs w:val="24"/>
        </w:rPr>
        <w:t xml:space="preserve">identify </w:t>
      </w:r>
      <w:r w:rsidR="00610092" w:rsidRPr="005E0102">
        <w:rPr>
          <w:rFonts w:ascii="Times New Roman" w:hAnsi="Times New Roman"/>
          <w:sz w:val="24"/>
          <w:szCs w:val="24"/>
        </w:rPr>
        <w:t>unsafe</w:t>
      </w:r>
      <w:r w:rsidR="00610092">
        <w:rPr>
          <w:rFonts w:ascii="Times New Roman" w:hAnsi="Times New Roman"/>
          <w:sz w:val="24"/>
          <w:szCs w:val="24"/>
        </w:rPr>
        <w:t xml:space="preserve">, </w:t>
      </w:r>
      <w:r w:rsidR="008E5B11" w:rsidRPr="005E0102">
        <w:rPr>
          <w:rFonts w:ascii="Times New Roman" w:hAnsi="Times New Roman"/>
          <w:sz w:val="24"/>
          <w:szCs w:val="24"/>
        </w:rPr>
        <w:t xml:space="preserve">high risk motor carriers. </w:t>
      </w:r>
      <w:r w:rsidR="00ED7C28">
        <w:rPr>
          <w:rFonts w:ascii="Times New Roman" w:hAnsi="Times New Roman"/>
          <w:sz w:val="24"/>
          <w:szCs w:val="24"/>
        </w:rPr>
        <w:t xml:space="preserve"> </w:t>
      </w:r>
      <w:r w:rsidR="008E5B11" w:rsidRPr="005E0102">
        <w:rPr>
          <w:rFonts w:ascii="Times New Roman" w:hAnsi="Times New Roman"/>
          <w:sz w:val="24"/>
          <w:szCs w:val="24"/>
        </w:rPr>
        <w:t xml:space="preserve">This </w:t>
      </w:r>
      <w:r w:rsidR="00A65227">
        <w:rPr>
          <w:rFonts w:ascii="Times New Roman" w:hAnsi="Times New Roman"/>
          <w:sz w:val="24"/>
          <w:szCs w:val="24"/>
        </w:rPr>
        <w:t>ICR</w:t>
      </w:r>
      <w:r w:rsidR="008E5B11" w:rsidRPr="005E0102">
        <w:rPr>
          <w:rFonts w:ascii="Times New Roman" w:hAnsi="Times New Roman"/>
          <w:sz w:val="24"/>
          <w:szCs w:val="24"/>
        </w:rPr>
        <w:t xml:space="preserve"> also greatly assist</w:t>
      </w:r>
      <w:r w:rsidR="00610092">
        <w:rPr>
          <w:rFonts w:ascii="Times New Roman" w:hAnsi="Times New Roman"/>
          <w:sz w:val="24"/>
          <w:szCs w:val="24"/>
        </w:rPr>
        <w:t xml:space="preserve">s FMCSA and its State partners in </w:t>
      </w:r>
      <w:r w:rsidR="008E5B11" w:rsidRPr="005E0102">
        <w:rPr>
          <w:rFonts w:ascii="Times New Roman" w:hAnsi="Times New Roman"/>
          <w:sz w:val="24"/>
          <w:szCs w:val="24"/>
        </w:rPr>
        <w:t>meet</w:t>
      </w:r>
      <w:r w:rsidR="00610092">
        <w:rPr>
          <w:rFonts w:ascii="Times New Roman" w:hAnsi="Times New Roman"/>
          <w:sz w:val="24"/>
          <w:szCs w:val="24"/>
        </w:rPr>
        <w:t>ing</w:t>
      </w:r>
      <w:r w:rsidR="008E5B11" w:rsidRPr="005E0102">
        <w:rPr>
          <w:rFonts w:ascii="Times New Roman" w:hAnsi="Times New Roman"/>
          <w:sz w:val="24"/>
          <w:szCs w:val="24"/>
        </w:rPr>
        <w:t xml:space="preserve"> the standard burden of proof </w:t>
      </w:r>
      <w:r w:rsidR="00610092">
        <w:rPr>
          <w:rFonts w:ascii="Times New Roman" w:hAnsi="Times New Roman"/>
          <w:sz w:val="24"/>
          <w:szCs w:val="24"/>
        </w:rPr>
        <w:t>for enforcement actions against</w:t>
      </w:r>
      <w:r w:rsidR="00DD213E" w:rsidRPr="005E0102">
        <w:rPr>
          <w:rFonts w:ascii="Times New Roman" w:hAnsi="Times New Roman"/>
          <w:sz w:val="24"/>
          <w:szCs w:val="24"/>
        </w:rPr>
        <w:t xml:space="preserve"> non-compliant carriers, </w:t>
      </w:r>
      <w:r w:rsidR="008E5B11" w:rsidRPr="005E0102">
        <w:rPr>
          <w:rFonts w:ascii="Times New Roman" w:hAnsi="Times New Roman"/>
          <w:sz w:val="24"/>
          <w:szCs w:val="24"/>
        </w:rPr>
        <w:t>as well as assist</w:t>
      </w:r>
      <w:r w:rsidR="00A65227">
        <w:rPr>
          <w:rFonts w:ascii="Times New Roman" w:hAnsi="Times New Roman"/>
          <w:sz w:val="24"/>
          <w:szCs w:val="24"/>
        </w:rPr>
        <w:t>s</w:t>
      </w:r>
      <w:r w:rsidR="008E5B11" w:rsidRPr="005E0102">
        <w:rPr>
          <w:rFonts w:ascii="Times New Roman" w:hAnsi="Times New Roman"/>
          <w:sz w:val="24"/>
          <w:szCs w:val="24"/>
        </w:rPr>
        <w:t xml:space="preserve"> State partners during accident investigations in determining the responsible motor carrier involved in a </w:t>
      </w:r>
      <w:r w:rsidRPr="005E0102">
        <w:rPr>
          <w:rFonts w:ascii="Times New Roman" w:hAnsi="Times New Roman"/>
          <w:sz w:val="24"/>
          <w:szCs w:val="24"/>
        </w:rPr>
        <w:t>CMV</w:t>
      </w:r>
      <w:r w:rsidR="002B2D4B" w:rsidRPr="005E0102">
        <w:rPr>
          <w:rFonts w:ascii="Times New Roman" w:hAnsi="Times New Roman"/>
          <w:sz w:val="24"/>
          <w:szCs w:val="24"/>
        </w:rPr>
        <w:t xml:space="preserve"> </w:t>
      </w:r>
      <w:r w:rsidR="008E5B11" w:rsidRPr="005E0102">
        <w:rPr>
          <w:rFonts w:ascii="Times New Roman" w:hAnsi="Times New Roman"/>
          <w:sz w:val="24"/>
          <w:szCs w:val="24"/>
        </w:rPr>
        <w:t>crash</w:t>
      </w:r>
      <w:r w:rsidR="00ED7C28" w:rsidRPr="005E0102">
        <w:rPr>
          <w:rFonts w:ascii="Times New Roman" w:hAnsi="Times New Roman"/>
          <w:sz w:val="24"/>
          <w:szCs w:val="24"/>
        </w:rPr>
        <w:t>.</w:t>
      </w:r>
      <w:r w:rsidR="00ED7C28">
        <w:rPr>
          <w:rFonts w:ascii="Times New Roman" w:hAnsi="Times New Roman"/>
          <w:sz w:val="24"/>
          <w:szCs w:val="24"/>
        </w:rPr>
        <w:t xml:space="preserve">  </w:t>
      </w:r>
      <w:r w:rsidR="00A63E8C">
        <w:rPr>
          <w:rFonts w:ascii="Times New Roman" w:hAnsi="Times New Roman"/>
          <w:sz w:val="24"/>
          <w:szCs w:val="24"/>
        </w:rPr>
        <w:t xml:space="preserve">The regulations </w:t>
      </w:r>
      <w:r w:rsidR="008D52D6">
        <w:rPr>
          <w:rFonts w:ascii="Times New Roman" w:hAnsi="Times New Roman"/>
          <w:sz w:val="24"/>
          <w:szCs w:val="24"/>
        </w:rPr>
        <w:t>include</w:t>
      </w:r>
      <w:r w:rsidR="00A63E8C">
        <w:rPr>
          <w:rFonts w:ascii="Times New Roman" w:hAnsi="Times New Roman"/>
          <w:sz w:val="24"/>
          <w:szCs w:val="24"/>
        </w:rPr>
        <w:t xml:space="preserve"> </w:t>
      </w:r>
      <w:r w:rsidR="00897896" w:rsidRPr="005E0102">
        <w:rPr>
          <w:rFonts w:ascii="Times New Roman" w:hAnsi="Times New Roman"/>
          <w:sz w:val="24"/>
          <w:szCs w:val="24"/>
        </w:rPr>
        <w:t xml:space="preserve">a marking requirement, which depending on the need and </w:t>
      </w:r>
      <w:r w:rsidR="009E756D" w:rsidRPr="005E0102">
        <w:rPr>
          <w:rFonts w:ascii="Times New Roman" w:hAnsi="Times New Roman"/>
          <w:sz w:val="24"/>
          <w:szCs w:val="24"/>
        </w:rPr>
        <w:t>method</w:t>
      </w:r>
      <w:r w:rsidR="00897896" w:rsidRPr="005E0102">
        <w:rPr>
          <w:rFonts w:ascii="Times New Roman" w:hAnsi="Times New Roman"/>
          <w:sz w:val="24"/>
          <w:szCs w:val="24"/>
        </w:rPr>
        <w:t xml:space="preserve"> could be permanent or temporary.  </w:t>
      </w:r>
    </w:p>
    <w:p w14:paraId="67F9AA65" w14:textId="77777777" w:rsidR="00044F42" w:rsidRPr="005E0102" w:rsidRDefault="00044F42" w:rsidP="004203CB">
      <w:pPr>
        <w:widowControl/>
        <w:ind w:left="360"/>
        <w:rPr>
          <w:rFonts w:ascii="Times New Roman" w:hAnsi="Times New Roman"/>
          <w:sz w:val="24"/>
          <w:szCs w:val="24"/>
        </w:rPr>
      </w:pPr>
    </w:p>
    <w:p w14:paraId="700ADB13" w14:textId="77777777" w:rsidR="005E0102" w:rsidRPr="005E0102"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SPECIAL CIRCUMSTANCES</w:t>
      </w:r>
      <w:r w:rsidR="00470720" w:rsidRPr="006068EC">
        <w:rPr>
          <w:rFonts w:ascii="Times New Roman" w:hAnsi="Times New Roman"/>
          <w:b/>
          <w:bCs/>
        </w:rPr>
        <w:t xml:space="preserve">  </w:t>
      </w:r>
    </w:p>
    <w:p w14:paraId="6B8367CD" w14:textId="77777777" w:rsidR="00470720" w:rsidRPr="006068EC" w:rsidRDefault="00470720" w:rsidP="004203CB">
      <w:pPr>
        <w:widowControl/>
        <w:ind w:left="360"/>
        <w:rPr>
          <w:rFonts w:ascii="Times New Roman" w:hAnsi="Times New Roman"/>
          <w:sz w:val="24"/>
          <w:szCs w:val="24"/>
        </w:rPr>
      </w:pPr>
    </w:p>
    <w:p w14:paraId="2B322613" w14:textId="77777777" w:rsidR="008E5B11" w:rsidRPr="006068EC" w:rsidRDefault="008E5B11" w:rsidP="004203CB">
      <w:pPr>
        <w:widowControl/>
        <w:rPr>
          <w:rFonts w:ascii="Times New Roman" w:hAnsi="Times New Roman"/>
          <w:sz w:val="24"/>
          <w:szCs w:val="24"/>
        </w:rPr>
      </w:pPr>
      <w:r w:rsidRPr="006068EC">
        <w:rPr>
          <w:rFonts w:ascii="Times New Roman" w:hAnsi="Times New Roman"/>
          <w:sz w:val="24"/>
          <w:szCs w:val="24"/>
        </w:rPr>
        <w:t xml:space="preserve">      There are no special circumstances associated with this </w:t>
      </w:r>
      <w:r w:rsidR="005E0102">
        <w:rPr>
          <w:rFonts w:ascii="Times New Roman" w:hAnsi="Times New Roman"/>
          <w:sz w:val="24"/>
          <w:szCs w:val="24"/>
        </w:rPr>
        <w:t>ICR</w:t>
      </w:r>
      <w:r w:rsidRPr="006068EC">
        <w:rPr>
          <w:rFonts w:ascii="Times New Roman" w:hAnsi="Times New Roman"/>
          <w:sz w:val="24"/>
          <w:szCs w:val="24"/>
        </w:rPr>
        <w:t>.</w:t>
      </w:r>
    </w:p>
    <w:p w14:paraId="3DEB7175" w14:textId="77777777" w:rsidR="001C2B34" w:rsidRPr="006068EC" w:rsidRDefault="001C2B34" w:rsidP="004203CB">
      <w:pPr>
        <w:pStyle w:val="ListParagraph"/>
        <w:widowControl/>
        <w:ind w:left="360"/>
        <w:rPr>
          <w:rFonts w:ascii="Times New Roman" w:hAnsi="Times New Roman"/>
          <w:sz w:val="24"/>
          <w:szCs w:val="24"/>
        </w:rPr>
      </w:pPr>
    </w:p>
    <w:p w14:paraId="0C6C6515" w14:textId="77777777" w:rsidR="006C714E" w:rsidRPr="00EB7DAD" w:rsidRDefault="00F358A1" w:rsidP="004203CB">
      <w:pPr>
        <w:widowControl/>
        <w:numPr>
          <w:ilvl w:val="0"/>
          <w:numId w:val="18"/>
        </w:numPr>
        <w:rPr>
          <w:rFonts w:ascii="Times New Roman" w:hAnsi="Times New Roman"/>
          <w:b/>
        </w:rPr>
      </w:pPr>
      <w:r w:rsidRPr="00EB7DAD">
        <w:rPr>
          <w:rFonts w:ascii="Times New Roman" w:hAnsi="Times New Roman"/>
          <w:b/>
          <w:bCs/>
          <w:sz w:val="24"/>
          <w:szCs w:val="24"/>
        </w:rPr>
        <w:t>COMPLIANCE WITH 5 CFR 1320.8</w:t>
      </w:r>
      <w:r w:rsidR="00470720" w:rsidRPr="00EB7DAD">
        <w:rPr>
          <w:rFonts w:ascii="Times New Roman" w:hAnsi="Times New Roman"/>
          <w:b/>
          <w:bCs/>
        </w:rPr>
        <w:t xml:space="preserve"> </w:t>
      </w:r>
      <w:r w:rsidR="00A613EE" w:rsidRPr="00EB7DAD">
        <w:rPr>
          <w:rFonts w:ascii="Times New Roman" w:hAnsi="Times New Roman"/>
          <w:b/>
          <w:bCs/>
        </w:rPr>
        <w:br/>
      </w:r>
    </w:p>
    <w:p w14:paraId="356E865C" w14:textId="08366676" w:rsidR="00AC4222" w:rsidRDefault="002B2D4B" w:rsidP="004203CB">
      <w:pPr>
        <w:widowControl/>
        <w:ind w:left="360"/>
        <w:rPr>
          <w:rFonts w:ascii="Times New Roman" w:hAnsi="Times New Roman"/>
          <w:sz w:val="24"/>
          <w:szCs w:val="24"/>
        </w:rPr>
      </w:pPr>
      <w:r w:rsidRPr="002B2D4B">
        <w:rPr>
          <w:rFonts w:ascii="Times New Roman" w:hAnsi="Times New Roman"/>
          <w:sz w:val="24"/>
          <w:szCs w:val="24"/>
        </w:rPr>
        <w:t xml:space="preserve">On </w:t>
      </w:r>
      <w:r w:rsidR="005869F3">
        <w:rPr>
          <w:rFonts w:ascii="Times New Roman" w:hAnsi="Times New Roman"/>
          <w:sz w:val="24"/>
          <w:szCs w:val="24"/>
        </w:rPr>
        <w:t>September 20</w:t>
      </w:r>
      <w:r w:rsidR="001E404B">
        <w:rPr>
          <w:rFonts w:ascii="Times New Roman" w:hAnsi="Times New Roman"/>
          <w:sz w:val="24"/>
          <w:szCs w:val="24"/>
        </w:rPr>
        <w:t xml:space="preserve">, </w:t>
      </w:r>
      <w:r w:rsidRPr="002B2D4B">
        <w:rPr>
          <w:rFonts w:ascii="Times New Roman" w:hAnsi="Times New Roman"/>
          <w:sz w:val="24"/>
          <w:szCs w:val="24"/>
        </w:rPr>
        <w:t xml:space="preserve">2013 (78 FR </w:t>
      </w:r>
      <w:r w:rsidR="005869F3">
        <w:rPr>
          <w:rFonts w:ascii="Times New Roman" w:hAnsi="Times New Roman"/>
          <w:sz w:val="24"/>
          <w:szCs w:val="24"/>
        </w:rPr>
        <w:t>57822</w:t>
      </w:r>
      <w:r w:rsidR="007D65EF">
        <w:rPr>
          <w:rFonts w:ascii="Times New Roman" w:hAnsi="Times New Roman"/>
          <w:sz w:val="24"/>
          <w:szCs w:val="24"/>
        </w:rPr>
        <w:t>)</w:t>
      </w:r>
      <w:r w:rsidRPr="002B2D4B">
        <w:rPr>
          <w:rFonts w:ascii="Times New Roman" w:hAnsi="Times New Roman"/>
          <w:sz w:val="24"/>
          <w:szCs w:val="24"/>
        </w:rPr>
        <w:t xml:space="preserve"> (See Attachment </w:t>
      </w:r>
      <w:r w:rsidR="00452F23">
        <w:rPr>
          <w:rFonts w:ascii="Times New Roman" w:hAnsi="Times New Roman"/>
          <w:sz w:val="24"/>
          <w:szCs w:val="24"/>
        </w:rPr>
        <w:t>D</w:t>
      </w:r>
      <w:r w:rsidRPr="002B2D4B">
        <w:rPr>
          <w:rFonts w:ascii="Times New Roman" w:hAnsi="Times New Roman"/>
          <w:sz w:val="24"/>
          <w:szCs w:val="24"/>
        </w:rPr>
        <w:t>), FMCSA published a</w:t>
      </w:r>
      <w:r w:rsidR="005869F3">
        <w:rPr>
          <w:rFonts w:ascii="Times New Roman" w:hAnsi="Times New Roman"/>
          <w:sz w:val="24"/>
          <w:szCs w:val="24"/>
        </w:rPr>
        <w:t>n NPRM</w:t>
      </w:r>
      <w:r w:rsidRPr="002B2D4B">
        <w:rPr>
          <w:rFonts w:ascii="Times New Roman" w:hAnsi="Times New Roman"/>
          <w:sz w:val="24"/>
          <w:szCs w:val="24"/>
        </w:rPr>
        <w:t xml:space="preserve"> in the Federal Register requesting public comments on</w:t>
      </w:r>
      <w:r w:rsidR="007F3F22">
        <w:rPr>
          <w:rFonts w:ascii="Times New Roman" w:hAnsi="Times New Roman"/>
          <w:sz w:val="24"/>
          <w:szCs w:val="24"/>
        </w:rPr>
        <w:t xml:space="preserve"> a variety of proposals, including</w:t>
      </w:r>
      <w:r w:rsidR="005869F3">
        <w:rPr>
          <w:rFonts w:ascii="Times New Roman" w:hAnsi="Times New Roman"/>
          <w:sz w:val="24"/>
          <w:szCs w:val="24"/>
        </w:rPr>
        <w:t xml:space="preserve"> changes to the marking </w:t>
      </w:r>
      <w:r w:rsidR="007F3F22">
        <w:rPr>
          <w:rFonts w:ascii="Times New Roman" w:hAnsi="Times New Roman"/>
          <w:sz w:val="24"/>
          <w:szCs w:val="24"/>
        </w:rPr>
        <w:t>requirements for</w:t>
      </w:r>
      <w:r w:rsidR="005869F3">
        <w:rPr>
          <w:rFonts w:ascii="Times New Roman" w:hAnsi="Times New Roman"/>
          <w:sz w:val="24"/>
          <w:szCs w:val="24"/>
        </w:rPr>
        <w:t xml:space="preserve"> buses and </w:t>
      </w:r>
      <w:proofErr w:type="spellStart"/>
      <w:r w:rsidR="005869F3">
        <w:rPr>
          <w:rFonts w:ascii="Times New Roman" w:hAnsi="Times New Roman"/>
          <w:sz w:val="24"/>
          <w:szCs w:val="24"/>
        </w:rPr>
        <w:t>motorcoaches</w:t>
      </w:r>
      <w:proofErr w:type="spellEnd"/>
      <w:r w:rsidR="005869F3">
        <w:rPr>
          <w:rFonts w:ascii="Times New Roman" w:hAnsi="Times New Roman"/>
          <w:sz w:val="24"/>
          <w:szCs w:val="24"/>
        </w:rPr>
        <w:t xml:space="preserve"> being rented or leased</w:t>
      </w:r>
      <w:r w:rsidRPr="002B2D4B">
        <w:rPr>
          <w:rFonts w:ascii="Times New Roman" w:hAnsi="Times New Roman"/>
          <w:sz w:val="24"/>
          <w:szCs w:val="24"/>
        </w:rPr>
        <w:t xml:space="preserve">.  </w:t>
      </w:r>
      <w:r w:rsidR="007F3F22">
        <w:rPr>
          <w:rFonts w:ascii="Times New Roman" w:hAnsi="Times New Roman"/>
          <w:sz w:val="24"/>
          <w:szCs w:val="24"/>
        </w:rPr>
        <w:t>Several passenger carriers and carrier organizations submitted comments objecting to the burdens associated with the proposal, though none singled out marking as the primary concern.</w:t>
      </w:r>
    </w:p>
    <w:p w14:paraId="5F60A740" w14:textId="77777777" w:rsidR="007F7BC7" w:rsidRDefault="007F7BC7" w:rsidP="004203CB">
      <w:pPr>
        <w:widowControl/>
        <w:ind w:left="360"/>
        <w:rPr>
          <w:rFonts w:ascii="Times New Roman" w:hAnsi="Times New Roman"/>
          <w:sz w:val="24"/>
          <w:szCs w:val="24"/>
        </w:rPr>
      </w:pPr>
    </w:p>
    <w:p w14:paraId="19FD380A" w14:textId="77777777" w:rsidR="007F7BC7" w:rsidRPr="007944A1" w:rsidRDefault="007F7BC7" w:rsidP="004203CB">
      <w:pPr>
        <w:keepNext/>
        <w:widowControl/>
        <w:ind w:right="720" w:firstLine="720"/>
        <w:outlineLvl w:val="0"/>
        <w:rPr>
          <w:rFonts w:ascii="Times New Roman" w:eastAsia="MS Mincho" w:hAnsi="Times New Roman"/>
          <w:bCs/>
          <w:sz w:val="24"/>
        </w:rPr>
      </w:pPr>
      <w:r w:rsidRPr="007944A1">
        <w:rPr>
          <w:rFonts w:ascii="Times New Roman" w:eastAsia="MS Mincho" w:hAnsi="Times New Roman"/>
          <w:bCs/>
          <w:sz w:val="24"/>
          <w:u w:val="single"/>
        </w:rPr>
        <w:t>Emergency Exception</w:t>
      </w:r>
    </w:p>
    <w:p w14:paraId="225B9FCA" w14:textId="77777777"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 xml:space="preserve">ABA, UMA, Greyhound, and Coach USA noted that mechanical failures can unexpectedly strand passengers at places where safe accommodations may not exist.  The commenters argued that, in order to minimize the resulting inconvenience and possible danger to passengers, the carrier must obtain a replacement vehicle as quickly as possible, sometimes from an unknown lessor, and without waiting to negotiate and exchange written lease documents.  These commenters requested an exception to the proposed leasing requirements for emergency situations. </w:t>
      </w:r>
    </w:p>
    <w:p w14:paraId="1F369BAF" w14:textId="1BE16484"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 xml:space="preserve">FMCSA agrees that negotiating and writing an emergency lease for a replacement vehicle (perhaps with a driver) from a local passenger carrier and exchanging the appropriate documents could unnecessarily prolong the delays and increase the risks experienced by passengers.  On the other hand, the benefits the Agency expects to derive from this rule would be lost if the requirement for a lease were simply waived in these situations.  FMCSA has therefore adopted an emergency exception to give the operating carrier and the lessor up to 48 hours after the lessee takes possession of the replacement vehicle to reduce to writing the terms of their lease agreement [§ 390.303(a)(3)].  Because the replacement vehicle will pick up the stranded passengers and resume the interrupted trip almost immediately, a lessee that cannot transmit an electronic copy of the subsequently completed lease to the driver’s smartphone, notepad or other computer may not be able to ensure that a copy of the lease is carried on the </w:t>
      </w:r>
      <w:proofErr w:type="spellStart"/>
      <w:r w:rsidRPr="007944A1">
        <w:rPr>
          <w:rFonts w:ascii="Times New Roman" w:eastAsia="MS Mincho" w:hAnsi="Times New Roman"/>
          <w:bCs/>
          <w:sz w:val="24"/>
        </w:rPr>
        <w:t>motorcoach</w:t>
      </w:r>
      <w:proofErr w:type="spellEnd"/>
      <w:r w:rsidRPr="007944A1">
        <w:rPr>
          <w:rFonts w:ascii="Times New Roman" w:eastAsia="MS Mincho" w:hAnsi="Times New Roman"/>
          <w:bCs/>
          <w:sz w:val="24"/>
        </w:rPr>
        <w:t>, as required by § 390.303(</w:t>
      </w:r>
      <w:r w:rsidR="008F5CA6">
        <w:rPr>
          <w:rFonts w:ascii="Times New Roman" w:eastAsia="MS Mincho" w:hAnsi="Times New Roman"/>
          <w:bCs/>
          <w:sz w:val="24"/>
        </w:rPr>
        <w:t>f</w:t>
      </w:r>
      <w:proofErr w:type="gramStart"/>
      <w:r w:rsidRPr="007944A1">
        <w:rPr>
          <w:rFonts w:ascii="Times New Roman" w:eastAsia="MS Mincho" w:hAnsi="Times New Roman"/>
          <w:bCs/>
          <w:sz w:val="24"/>
        </w:rPr>
        <w:t>)(</w:t>
      </w:r>
      <w:proofErr w:type="gramEnd"/>
      <w:r w:rsidRPr="007944A1">
        <w:rPr>
          <w:rFonts w:ascii="Times New Roman" w:eastAsia="MS Mincho" w:hAnsi="Times New Roman"/>
          <w:bCs/>
          <w:sz w:val="24"/>
        </w:rPr>
        <w:t xml:space="preserve">2).  In this limited situation and for the duration of the lease, FMCSA will instead allow the lessee to carry a statement signed by the driver or any available company official that </w:t>
      </w:r>
      <w:r w:rsidRPr="007944A1">
        <w:rPr>
          <w:rFonts w:ascii="Times New Roman" w:hAnsi="Times New Roman"/>
          <w:sz w:val="24"/>
        </w:rPr>
        <w:t>“[Carrier A] has leased this vehicle to [Carrier B] pursuant to 49 CFR 390.303(a</w:t>
      </w:r>
      <w:proofErr w:type="gramStart"/>
      <w:r w:rsidRPr="007944A1">
        <w:rPr>
          <w:rFonts w:ascii="Times New Roman" w:hAnsi="Times New Roman"/>
          <w:sz w:val="24"/>
        </w:rPr>
        <w:t>)(</w:t>
      </w:r>
      <w:proofErr w:type="gramEnd"/>
      <w:r w:rsidR="008F5CA6">
        <w:rPr>
          <w:rFonts w:ascii="Times New Roman" w:hAnsi="Times New Roman"/>
          <w:sz w:val="24"/>
        </w:rPr>
        <w:t>2</w:t>
      </w:r>
      <w:r w:rsidRPr="007944A1">
        <w:rPr>
          <w:rFonts w:ascii="Times New Roman" w:hAnsi="Times New Roman"/>
          <w:sz w:val="24"/>
        </w:rPr>
        <w:t>).”</w:t>
      </w:r>
      <w:r w:rsidR="007F3F22">
        <w:rPr>
          <w:rFonts w:ascii="Times New Roman" w:hAnsi="Times New Roman"/>
          <w:sz w:val="24"/>
        </w:rPr>
        <w:t xml:space="preserve">  Nonetheless, the lessee must mark the vehicle in accordance with §§ 390.21(f) and 390.303(</w:t>
      </w:r>
      <w:r w:rsidR="008F5CA6">
        <w:rPr>
          <w:rFonts w:ascii="Times New Roman" w:hAnsi="Times New Roman"/>
          <w:sz w:val="24"/>
        </w:rPr>
        <w:t>f</w:t>
      </w:r>
      <w:proofErr w:type="gramStart"/>
      <w:r w:rsidR="007F3F22">
        <w:rPr>
          <w:rFonts w:ascii="Times New Roman" w:hAnsi="Times New Roman"/>
          <w:sz w:val="24"/>
        </w:rPr>
        <w:t>)(</w:t>
      </w:r>
      <w:proofErr w:type="gramEnd"/>
      <w:r w:rsidR="007F3F22">
        <w:rPr>
          <w:rFonts w:ascii="Times New Roman" w:hAnsi="Times New Roman"/>
          <w:sz w:val="24"/>
        </w:rPr>
        <w:t>1) before operating it.</w:t>
      </w:r>
    </w:p>
    <w:p w14:paraId="0CFF4B1D" w14:textId="77777777" w:rsidR="007F7BC7" w:rsidRPr="007944A1" w:rsidRDefault="007F7BC7" w:rsidP="004203CB">
      <w:pPr>
        <w:widowControl/>
        <w:ind w:left="360"/>
        <w:rPr>
          <w:rFonts w:ascii="Times New Roman" w:hAnsi="Times New Roman"/>
          <w:sz w:val="24"/>
        </w:rPr>
      </w:pPr>
    </w:p>
    <w:p w14:paraId="38F15667" w14:textId="77777777" w:rsidR="007F7BC7" w:rsidRPr="007944A1" w:rsidRDefault="007F7BC7" w:rsidP="004203CB">
      <w:pPr>
        <w:keepNext/>
        <w:widowControl/>
        <w:ind w:right="720" w:firstLine="720"/>
        <w:outlineLvl w:val="0"/>
        <w:rPr>
          <w:rFonts w:ascii="Times New Roman" w:eastAsia="MS Mincho" w:hAnsi="Times New Roman"/>
          <w:bCs/>
          <w:sz w:val="24"/>
        </w:rPr>
      </w:pPr>
      <w:r w:rsidRPr="007944A1">
        <w:rPr>
          <w:rFonts w:ascii="Times New Roman" w:eastAsia="MS Mincho" w:hAnsi="Times New Roman"/>
          <w:bCs/>
          <w:sz w:val="24"/>
          <w:u w:val="single"/>
        </w:rPr>
        <w:t>Revenue Pooling Agreements</w:t>
      </w:r>
    </w:p>
    <w:p w14:paraId="1D8C701B" w14:textId="77777777"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 xml:space="preserve">ABA pointed out that 49 U.S.C. 14302(b) authorizes the Surface Transportation Board (STB) to approve revenue pooling agreements among carriers.  Adirondack </w:t>
      </w:r>
      <w:proofErr w:type="spellStart"/>
      <w:r w:rsidRPr="007944A1">
        <w:rPr>
          <w:rFonts w:ascii="Times New Roman" w:eastAsia="MS Mincho" w:hAnsi="Times New Roman"/>
          <w:bCs/>
          <w:sz w:val="24"/>
        </w:rPr>
        <w:t>Trailways</w:t>
      </w:r>
      <w:proofErr w:type="spellEnd"/>
      <w:r w:rsidRPr="007944A1">
        <w:rPr>
          <w:rFonts w:ascii="Times New Roman" w:eastAsia="MS Mincho" w:hAnsi="Times New Roman"/>
          <w:bCs/>
          <w:sz w:val="24"/>
        </w:rPr>
        <w:t xml:space="preserve"> indicated that it is a party to STB-approved revenue pooling agreements and that the requirements of the NPRM were inconsistent with the procedures authorized under the pooling agreements. Greyhound said that, in 2012, it “operated a total of 8,089 trips with buses leased on an interchange basis from its pool or interline partners.”</w:t>
      </w:r>
    </w:p>
    <w:p w14:paraId="6246A97A" w14:textId="77777777"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FMCSA agrees that operations under revenue pooling agreements approved by the STB should be exempt from the lease and receipt requirements of this rule.  The final rule therefore imposes only a few requirements to enable the agency to track the safety performance of all members of the pool and specifically identify the carrier responsible for safety.  Each vehicle must have available, either in hard copy or electronically, the number and date of the STB decision approving the pool and the names of the pool members.  In addition, each vehicle must have available a list of (1) all routes covered by the pooling agreement, (2) the carrier or carriers authorized to operate on each route or portion of a route, (3) all points of origin, destination, or interchange (should interchanges be part of the agreement).   However, all members of the revenue pool must mark the vehicles with the name of the operating carrier, as required by § 390.21(f).  The advantage of this exception is that the parties to a pooling agreement need not exchange lease documents and receipts.</w:t>
      </w:r>
    </w:p>
    <w:p w14:paraId="4BE0A13C" w14:textId="77777777" w:rsidR="007F7BC7" w:rsidRPr="007944A1" w:rsidRDefault="007F7BC7" w:rsidP="004203CB">
      <w:pPr>
        <w:widowControl/>
        <w:ind w:left="360"/>
        <w:rPr>
          <w:rFonts w:ascii="Times New Roman" w:hAnsi="Times New Roman"/>
          <w:sz w:val="24"/>
        </w:rPr>
      </w:pPr>
    </w:p>
    <w:p w14:paraId="03965491" w14:textId="77777777" w:rsidR="007F7BC7" w:rsidRPr="007944A1" w:rsidRDefault="007F7BC7" w:rsidP="004203CB">
      <w:pPr>
        <w:keepNext/>
        <w:widowControl/>
        <w:ind w:right="720" w:firstLine="720"/>
        <w:outlineLvl w:val="0"/>
        <w:rPr>
          <w:rFonts w:ascii="Times New Roman" w:eastAsia="MS Mincho" w:hAnsi="Times New Roman"/>
          <w:bCs/>
          <w:sz w:val="24"/>
          <w:u w:val="single"/>
        </w:rPr>
      </w:pPr>
      <w:r w:rsidRPr="007944A1">
        <w:rPr>
          <w:rFonts w:ascii="Times New Roman" w:eastAsia="MS Mincho" w:hAnsi="Times New Roman"/>
          <w:bCs/>
          <w:sz w:val="24"/>
          <w:u w:val="single"/>
        </w:rPr>
        <w:t>Common Ownership and Control</w:t>
      </w:r>
    </w:p>
    <w:p w14:paraId="3936E304" w14:textId="77777777"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 xml:space="preserve">Coach USA, a non-carrier that controls many passenger carriers, requested “an exemption from the requirements of proposed section 390.303 for vehicle exchanges between affiliated companies. By ‘affiliated companies,’ Coach USA means companies that share a common parent company.”  Similar comments were submitted by Adirondack </w:t>
      </w:r>
      <w:proofErr w:type="spellStart"/>
      <w:r w:rsidRPr="007944A1">
        <w:rPr>
          <w:rFonts w:ascii="Times New Roman" w:eastAsia="MS Mincho" w:hAnsi="Times New Roman"/>
          <w:bCs/>
          <w:sz w:val="24"/>
        </w:rPr>
        <w:t>Trailways</w:t>
      </w:r>
      <w:proofErr w:type="spellEnd"/>
      <w:r w:rsidRPr="007944A1">
        <w:rPr>
          <w:rFonts w:ascii="Times New Roman" w:eastAsia="MS Mincho" w:hAnsi="Times New Roman"/>
          <w:bCs/>
          <w:sz w:val="24"/>
        </w:rPr>
        <w:t xml:space="preserve">, which is commonly owned and controlled with two other carriers, Pine Hill </w:t>
      </w:r>
      <w:proofErr w:type="spellStart"/>
      <w:r w:rsidRPr="007944A1">
        <w:rPr>
          <w:rFonts w:ascii="Times New Roman" w:eastAsia="MS Mincho" w:hAnsi="Times New Roman"/>
          <w:bCs/>
          <w:sz w:val="24"/>
        </w:rPr>
        <w:t>Trailways</w:t>
      </w:r>
      <w:proofErr w:type="spellEnd"/>
      <w:r w:rsidRPr="007944A1">
        <w:rPr>
          <w:rFonts w:ascii="Times New Roman" w:eastAsia="MS Mincho" w:hAnsi="Times New Roman"/>
          <w:bCs/>
          <w:sz w:val="24"/>
        </w:rPr>
        <w:t xml:space="preserve"> and New York </w:t>
      </w:r>
      <w:proofErr w:type="spellStart"/>
      <w:r w:rsidRPr="007944A1">
        <w:rPr>
          <w:rFonts w:ascii="Times New Roman" w:eastAsia="MS Mincho" w:hAnsi="Times New Roman"/>
          <w:bCs/>
          <w:sz w:val="24"/>
        </w:rPr>
        <w:t>Trailways</w:t>
      </w:r>
      <w:proofErr w:type="spellEnd"/>
      <w:r w:rsidRPr="007944A1">
        <w:rPr>
          <w:rFonts w:ascii="Times New Roman" w:eastAsia="MS Mincho" w:hAnsi="Times New Roman"/>
          <w:bCs/>
          <w:sz w:val="24"/>
        </w:rPr>
        <w:t>.  Adirondack stated that “[t]</w:t>
      </w:r>
      <w:proofErr w:type="spellStart"/>
      <w:r w:rsidRPr="007944A1">
        <w:rPr>
          <w:rFonts w:ascii="Times New Roman" w:eastAsia="MS Mincho" w:hAnsi="Times New Roman"/>
          <w:bCs/>
          <w:sz w:val="24"/>
        </w:rPr>
        <w:t>hese</w:t>
      </w:r>
      <w:proofErr w:type="spellEnd"/>
      <w:r w:rsidRPr="007944A1">
        <w:rPr>
          <w:rFonts w:ascii="Times New Roman" w:eastAsia="MS Mincho" w:hAnsi="Times New Roman"/>
          <w:bCs/>
          <w:sz w:val="24"/>
        </w:rPr>
        <w:t xml:space="preserve"> three companies interchange buses and drivers on a regular basis every single day” and that operational agreements among these carriers were inconsistent with, and should be exempted from, the requirements of the NPRM</w:t>
      </w:r>
    </w:p>
    <w:p w14:paraId="3D48EA95" w14:textId="30D9CCCF"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FMCSA agrees that there is no need for individual leases and receipts when vehicles are interchanged between or among commonly owned and controlled passenger carriers.  Such a requirement would add nothing to these carriers’ standard business practices and impose unnecessary paperwork.  In most cases, all of the “family” members are likely to be operating according to the same administrative procedures and safety standards.  The carrier responsible for safety and regulatory compliance can be readily identified by the less complex trip summary which § 390.301(b</w:t>
      </w:r>
      <w:proofErr w:type="gramStart"/>
      <w:r w:rsidRPr="007944A1">
        <w:rPr>
          <w:rFonts w:ascii="Times New Roman" w:eastAsia="MS Mincho" w:hAnsi="Times New Roman"/>
          <w:bCs/>
          <w:sz w:val="24"/>
        </w:rPr>
        <w:t>)(</w:t>
      </w:r>
      <w:proofErr w:type="gramEnd"/>
      <w:r w:rsidRPr="007944A1">
        <w:rPr>
          <w:rFonts w:ascii="Times New Roman" w:eastAsia="MS Mincho" w:hAnsi="Times New Roman"/>
          <w:bCs/>
          <w:sz w:val="24"/>
        </w:rPr>
        <w:t xml:space="preserve">2) requires these exchanged or interchanged vehicles to carry.  The trip summary is necessary since large holding companies seek to minimize their regulatory and tort exposure by dividing their motor carrier business into multiple limited liability companies (LLCs) while operating them very much like a single corporation.  Therefore, each driver in a group of commonly owned and controlled motor carriers must carry a summary document listing all members of the corporate family, along with their USDOT numbers and business addresses.  The document must also identify the operating carrier, the trip (by charter number, run number, or something similar), the vehicle (by the carrier’s internal number or license plate number), and the date of the trip. These trip summaries are subject to the </w:t>
      </w:r>
      <w:r w:rsidRPr="007944A1">
        <w:rPr>
          <w:rFonts w:ascii="Times New Roman" w:eastAsia="MS Mincho" w:hAnsi="Times New Roman"/>
          <w:bCs/>
          <w:sz w:val="24"/>
        </w:rPr>
        <w:lastRenderedPageBreak/>
        <w:t>one-year record retention requirement of § 390.303(</w:t>
      </w:r>
      <w:r w:rsidR="008F5CA6">
        <w:rPr>
          <w:rFonts w:ascii="Times New Roman" w:eastAsia="MS Mincho" w:hAnsi="Times New Roman"/>
          <w:bCs/>
          <w:sz w:val="24"/>
        </w:rPr>
        <w:t>d</w:t>
      </w:r>
      <w:r w:rsidRPr="007944A1">
        <w:rPr>
          <w:rFonts w:ascii="Times New Roman" w:eastAsia="MS Mincho" w:hAnsi="Times New Roman"/>
          <w:bCs/>
          <w:sz w:val="24"/>
        </w:rPr>
        <w:t>).</w:t>
      </w:r>
      <w:r w:rsidR="00F37CCA">
        <w:rPr>
          <w:rFonts w:ascii="Times New Roman" w:eastAsia="MS Mincho" w:hAnsi="Times New Roman"/>
          <w:bCs/>
          <w:sz w:val="24"/>
        </w:rPr>
        <w:t xml:space="preserve"> Each vehicle exchanged or interchanged must be marked as required by § 390.21(f).</w:t>
      </w:r>
      <w:r w:rsidRPr="007944A1">
        <w:rPr>
          <w:rFonts w:ascii="Times New Roman" w:eastAsia="MS Mincho" w:hAnsi="Times New Roman"/>
          <w:bCs/>
          <w:sz w:val="24"/>
        </w:rPr>
        <w:t xml:space="preserve"> Like the parties to a pooling agreement, however, commonly owned and controlled carriers need not prepare leases or receipts when they exchange vehicles.</w:t>
      </w:r>
    </w:p>
    <w:p w14:paraId="315C2567" w14:textId="77777777" w:rsidR="007F7BC7" w:rsidRPr="007944A1" w:rsidRDefault="007F7BC7" w:rsidP="004203CB">
      <w:pPr>
        <w:widowControl/>
        <w:ind w:left="360"/>
        <w:rPr>
          <w:rFonts w:ascii="Times New Roman" w:hAnsi="Times New Roman"/>
          <w:sz w:val="24"/>
        </w:rPr>
      </w:pPr>
    </w:p>
    <w:p w14:paraId="3713C100" w14:textId="77777777" w:rsidR="007F7BC7" w:rsidRPr="007944A1" w:rsidRDefault="007F7BC7" w:rsidP="004203CB">
      <w:pPr>
        <w:keepNext/>
        <w:widowControl/>
        <w:ind w:right="720" w:firstLine="720"/>
        <w:outlineLvl w:val="0"/>
        <w:rPr>
          <w:rFonts w:ascii="Times New Roman" w:eastAsia="MS Mincho" w:hAnsi="Times New Roman"/>
          <w:bCs/>
          <w:sz w:val="24"/>
        </w:rPr>
      </w:pPr>
      <w:r w:rsidRPr="007944A1">
        <w:rPr>
          <w:rFonts w:ascii="Times New Roman" w:eastAsia="MS Mincho" w:hAnsi="Times New Roman"/>
          <w:bCs/>
          <w:sz w:val="24"/>
          <w:u w:val="single"/>
        </w:rPr>
        <w:t>Lease vs. Charter or Hiring</w:t>
      </w:r>
    </w:p>
    <w:p w14:paraId="0BDFFC03" w14:textId="77777777" w:rsidR="007F7BC7" w:rsidRPr="007944A1" w:rsidRDefault="007F7BC7" w:rsidP="004203CB">
      <w:pPr>
        <w:widowControl/>
        <w:ind w:right="720" w:firstLine="720"/>
        <w:outlineLvl w:val="0"/>
        <w:rPr>
          <w:rFonts w:ascii="Times New Roman" w:eastAsia="MS Mincho" w:hAnsi="Times New Roman"/>
          <w:bCs/>
          <w:sz w:val="24"/>
        </w:rPr>
      </w:pPr>
      <w:r w:rsidRPr="007944A1">
        <w:rPr>
          <w:rFonts w:ascii="Times New Roman" w:eastAsia="MS Mincho" w:hAnsi="Times New Roman"/>
          <w:bCs/>
          <w:sz w:val="24"/>
        </w:rPr>
        <w:t xml:space="preserve">ABA said that the NPRM “does not define, or even mention, the term ‘charter’ which is how </w:t>
      </w:r>
      <w:proofErr w:type="spellStart"/>
      <w:r w:rsidRPr="007944A1">
        <w:rPr>
          <w:rFonts w:ascii="Times New Roman" w:eastAsia="MS Mincho" w:hAnsi="Times New Roman"/>
          <w:bCs/>
          <w:sz w:val="24"/>
        </w:rPr>
        <w:t>motorcoach</w:t>
      </w:r>
      <w:proofErr w:type="spellEnd"/>
      <w:r w:rsidRPr="007944A1">
        <w:rPr>
          <w:rFonts w:ascii="Times New Roman" w:eastAsia="MS Mincho" w:hAnsi="Times New Roman"/>
          <w:bCs/>
          <w:sz w:val="24"/>
        </w:rPr>
        <w:t xml:space="preserve"> carriers of passengers view the hiring or interchange of vehicles.”  UMA commented that “Interstate passenger carriers routinely charter the services of other passenger carriers for emergencies or capacity reasons.  . . .  It is generally considered that the chartered company assumes all responsibilities for regulatory compliance.  . . .  This system is so effective, FMCSA should completely evaluate the positive attributes of these charter arrangements versus the possibilities that a lease may actually reduce an otherwise compliant chartered passenger carrier’s responsibilities and motives; thereby reducing their safety and compliance concerns.”</w:t>
      </w:r>
    </w:p>
    <w:p w14:paraId="40D99E14" w14:textId="77777777" w:rsidR="007109EF" w:rsidRDefault="007109EF" w:rsidP="004203CB">
      <w:pPr>
        <w:widowControl/>
        <w:ind w:firstLine="720"/>
        <w:outlineLvl w:val="0"/>
        <w:rPr>
          <w:rFonts w:ascii="Times New Roman" w:eastAsia="MS Mincho" w:hAnsi="Times New Roman"/>
          <w:bCs/>
          <w:sz w:val="24"/>
        </w:rPr>
      </w:pPr>
      <w:r w:rsidRPr="00A65227">
        <w:rPr>
          <w:rFonts w:ascii="Times New Roman" w:eastAsia="MS Mincho" w:hAnsi="Times New Roman"/>
          <w:bCs/>
          <w:sz w:val="24"/>
        </w:rPr>
        <w:t>The NPRM did not specifically discuss “passenger carriers chartering other passenger carriers” because the Agency believed it was sufficiently clear that such arrangements, depending on their specific terms, either would not be subject to the proposed rule at all because they involved no leases, or would be subject to the rule because the “chartered” carrier was leasing vehicles and drivers to another passenger carrier. Based upon the comments received, it is apparent that clarification is needed.</w:t>
      </w:r>
    </w:p>
    <w:p w14:paraId="779238F5" w14:textId="7700ADDF" w:rsidR="007109EF" w:rsidRPr="00A65227" w:rsidRDefault="007109EF" w:rsidP="004203CB">
      <w:pPr>
        <w:widowControl/>
        <w:ind w:firstLine="720"/>
        <w:outlineLvl w:val="0"/>
        <w:rPr>
          <w:rFonts w:ascii="Times New Roman" w:eastAsia="MS Mincho" w:hAnsi="Times New Roman"/>
          <w:bCs/>
          <w:sz w:val="24"/>
        </w:rPr>
      </w:pPr>
      <w:r w:rsidRPr="00A65227">
        <w:rPr>
          <w:rFonts w:ascii="Times New Roman" w:eastAsia="MS Mincho" w:hAnsi="Times New Roman"/>
          <w:bCs/>
          <w:sz w:val="24"/>
        </w:rPr>
        <w:t>A passenger carrier that agrees to transport a tour or travel group on a particular trip may find itself without the capacity to accommodate the group. In that case, the carrier might transfer the contract to a second carrier that has the necessary capacity. The second carrier may or may not pay a fee to the transferring passenger carrier. In any case, this rule would not apply to that transaction because the first carrier has not leased equipment from the second. The contract has been reassigned and the second carrier has undertaken the trip in its own name on its own authority with its own vehicle(s), and is therefore responsible for compliance with the FMCSRs. As a good business practice, the transferring passenger carrier should of course immediately notify the tour or travel group that another carrier will provide the transportation. Disgruntled customers have occasionally contacted FMCSA when such notification does not occur and an unknown carrier arrives unexpectedly to pick up a group of passengers. While the final rule does not address this problem,</w:t>
      </w:r>
      <w:r>
        <w:rPr>
          <w:rFonts w:ascii="Times New Roman" w:eastAsia="MS Mincho" w:hAnsi="Times New Roman"/>
          <w:bCs/>
          <w:sz w:val="24"/>
        </w:rPr>
        <w:t xml:space="preserve"> the industry should note that </w:t>
      </w:r>
      <w:r w:rsidRPr="00A65227">
        <w:rPr>
          <w:rFonts w:ascii="Times New Roman" w:eastAsia="MS Mincho" w:hAnsi="Times New Roman"/>
          <w:bCs/>
          <w:sz w:val="24"/>
        </w:rPr>
        <w:t xml:space="preserve">the interests of tour operators and their customers are not adequately protected when transportation contracts are transferred among carriers without prior notice to the passengers affected by the change. </w:t>
      </w:r>
    </w:p>
    <w:p w14:paraId="3FA00B16" w14:textId="77777777" w:rsidR="007109EF" w:rsidRPr="00A65227" w:rsidRDefault="007109EF" w:rsidP="004203CB">
      <w:pPr>
        <w:widowControl/>
        <w:ind w:firstLine="720"/>
        <w:outlineLvl w:val="0"/>
        <w:rPr>
          <w:rFonts w:ascii="Times New Roman" w:eastAsia="MS Mincho" w:hAnsi="Times New Roman"/>
          <w:bCs/>
          <w:sz w:val="24"/>
        </w:rPr>
      </w:pPr>
      <w:r w:rsidRPr="00A65227">
        <w:rPr>
          <w:rFonts w:ascii="Times New Roman" w:eastAsia="MS Mincho" w:hAnsi="Times New Roman"/>
          <w:bCs/>
          <w:sz w:val="24"/>
        </w:rPr>
        <w:t xml:space="preserve">On the other hand, a passenger carrier that needs one or more additional vehicles may subcontract with another carrier to supply the vehicle(s) and possibly also driver(s) while still nominally performing the contract with the tour or travel group. When a passenger carrier hires or charters (i.e., contracts for) the services of another passenger carrier to help perform a contract, it has leased vehicles and services from that carrier. In these circumstances, a lease must be prepared and receipts exchanged in compliance with this rule to indicate that the prime contractor is responsible for the lessor’s (i.e., </w:t>
      </w:r>
      <w:proofErr w:type="gramStart"/>
      <w:r w:rsidRPr="00A65227">
        <w:rPr>
          <w:rFonts w:ascii="Times New Roman" w:eastAsia="MS Mincho" w:hAnsi="Times New Roman"/>
          <w:bCs/>
          <w:sz w:val="24"/>
        </w:rPr>
        <w:t>subcontractor’s</w:t>
      </w:r>
      <w:proofErr w:type="gramEnd"/>
      <w:r w:rsidRPr="00A65227">
        <w:rPr>
          <w:rFonts w:ascii="Times New Roman" w:eastAsia="MS Mincho" w:hAnsi="Times New Roman"/>
          <w:bCs/>
          <w:sz w:val="24"/>
        </w:rPr>
        <w:t>) regulatory compliance.</w:t>
      </w:r>
      <w:r w:rsidRPr="00A65227">
        <w:rPr>
          <w:rFonts w:ascii="Times New Roman" w:eastAsia="MS Mincho" w:hAnsi="Times New Roman"/>
          <w:bCs/>
          <w:color w:val="000000" w:themeColor="text1"/>
          <w:sz w:val="24"/>
        </w:rPr>
        <w:t xml:space="preserve"> A copy of the lease or written agreement must be on the vehicle obtained from the subcontracted lessor, and the hiring passenger carrier’s legal name and USDOT number must be marked on the vehicle as prescribed in 49 CFR 390.21. </w:t>
      </w:r>
      <w:r w:rsidRPr="00A65227">
        <w:rPr>
          <w:rFonts w:ascii="Times New Roman" w:eastAsia="MS Mincho" w:hAnsi="Times New Roman"/>
          <w:bCs/>
          <w:sz w:val="24"/>
        </w:rPr>
        <w:t xml:space="preserve">While the prime contractor (i.e., the lessee carrier) may require the subcontractor to comply with all applicable provisions of the FMCSRs and to indemnify it for any civil penalties assessed for violations of those provisions by the subcontracted lessor, </w:t>
      </w:r>
      <w:r w:rsidRPr="00A65227">
        <w:rPr>
          <w:rFonts w:ascii="Times New Roman" w:eastAsia="MS Mincho" w:hAnsi="Times New Roman"/>
          <w:bCs/>
          <w:sz w:val="24"/>
        </w:rPr>
        <w:lastRenderedPageBreak/>
        <w:t xml:space="preserve">FMCSA and its State partners will hold both the prime contractor and its subcontractor responsible for completion of the lease described in this final rule. </w:t>
      </w:r>
    </w:p>
    <w:p w14:paraId="79D61D09" w14:textId="77777777" w:rsidR="007109EF" w:rsidRPr="00A65227" w:rsidRDefault="007109EF" w:rsidP="004203CB">
      <w:pPr>
        <w:widowControl/>
        <w:ind w:firstLine="720"/>
        <w:outlineLvl w:val="0"/>
        <w:rPr>
          <w:rFonts w:ascii="Times New Roman" w:eastAsia="MS Mincho" w:hAnsi="Times New Roman"/>
          <w:bCs/>
          <w:sz w:val="24"/>
        </w:rPr>
      </w:pPr>
      <w:r w:rsidRPr="00A65227">
        <w:rPr>
          <w:rFonts w:ascii="Times New Roman" w:eastAsia="MS Mincho" w:hAnsi="Times New Roman"/>
          <w:bCs/>
          <w:sz w:val="24"/>
        </w:rPr>
        <w:t>In this situation described above, the lessee carrier is fully responsible for the regulatory compliance of the lessor carrier and must mark the vehicles leased from the lessor with the information required by 49 CFR 390.21(f). However, because the name and/or logo of the chartered or hired passenger carrier is likely to be displayed prominently on the vehicles, passengers might overlook the smaller placard required by § 390.21(f</w:t>
      </w:r>
      <w:proofErr w:type="gramStart"/>
      <w:r w:rsidRPr="00A65227">
        <w:rPr>
          <w:rFonts w:ascii="Times New Roman" w:eastAsia="MS Mincho" w:hAnsi="Times New Roman"/>
          <w:bCs/>
          <w:sz w:val="24"/>
        </w:rPr>
        <w:t>)(</w:t>
      </w:r>
      <w:proofErr w:type="gramEnd"/>
      <w:r w:rsidRPr="00A65227">
        <w:rPr>
          <w:rFonts w:ascii="Times New Roman" w:eastAsia="MS Mincho" w:hAnsi="Times New Roman"/>
          <w:bCs/>
          <w:sz w:val="24"/>
        </w:rPr>
        <w:t xml:space="preserve">2) and assume that a different carrier was providing the transportation. To reduce the possibility of confusion, FMCSA has added a provision to the rule that requires a passenger carrier that subcontracts all or a portion of a transportation service to notify the tour or travel group within 24 hours of establishing the subcontracting arrangement that all or some of the transportation will be performed by a lessor subcontractor. </w:t>
      </w:r>
    </w:p>
    <w:p w14:paraId="35AB6698" w14:textId="01492D6C" w:rsidR="002B2D4B" w:rsidRDefault="007109EF" w:rsidP="004203CB">
      <w:pPr>
        <w:widowControl/>
        <w:spacing w:after="240"/>
        <w:ind w:firstLine="720"/>
        <w:outlineLvl w:val="0"/>
        <w:rPr>
          <w:rFonts w:ascii="Times New Roman" w:hAnsi="Times New Roman"/>
          <w:sz w:val="24"/>
          <w:szCs w:val="24"/>
        </w:rPr>
      </w:pPr>
      <w:r w:rsidRPr="00A65227">
        <w:rPr>
          <w:rFonts w:ascii="Times New Roman" w:eastAsia="MS Mincho" w:hAnsi="Times New Roman"/>
          <w:bCs/>
          <w:sz w:val="24"/>
        </w:rPr>
        <w:t xml:space="preserve"> While UMA asserted that the chartered passenger carrier generally assumes all responsibilities for regulatory compliance, this final rule does not prevent the two carriers from including in the charter (i.e., lease) contract a provision making the chartered carrier responsible for such compliance, with appropriate indemnification language for penalties imposed by regulatory agencies, but the relationship between the two parties remains that of a lessor and lessee. This rule holds the lessee carrier directly responsible for violations of the FMCSRs. The “charter contract” described by UMA appears to involve negotiation and paperwork burdens similar to those associated with a lease. The net burden imposed by this rule therefore should be minor.</w:t>
      </w:r>
    </w:p>
    <w:p w14:paraId="53D033F7" w14:textId="77777777" w:rsidR="00C10D7C" w:rsidRPr="002B2D4B" w:rsidRDefault="00C10D7C" w:rsidP="004203CB">
      <w:pPr>
        <w:widowControl/>
        <w:ind w:left="360"/>
        <w:rPr>
          <w:rFonts w:ascii="Times New Roman" w:hAnsi="Times New Roman"/>
          <w:sz w:val="24"/>
          <w:szCs w:val="24"/>
        </w:rPr>
      </w:pPr>
    </w:p>
    <w:p w14:paraId="0B8B9DE7" w14:textId="77777777" w:rsidR="00470720" w:rsidRPr="006068EC" w:rsidRDefault="00F358A1" w:rsidP="004203CB">
      <w:pPr>
        <w:widowControl/>
        <w:numPr>
          <w:ilvl w:val="0"/>
          <w:numId w:val="18"/>
        </w:numPr>
        <w:rPr>
          <w:rFonts w:ascii="Times New Roman" w:hAnsi="Times New Roman"/>
        </w:rPr>
      </w:pPr>
      <w:r w:rsidRPr="006068EC">
        <w:rPr>
          <w:rFonts w:ascii="Times New Roman" w:hAnsi="Times New Roman"/>
          <w:b/>
          <w:bCs/>
          <w:sz w:val="24"/>
          <w:szCs w:val="24"/>
        </w:rPr>
        <w:t>PAYMENTS OR GIFTS TO RESPONDENTS</w:t>
      </w:r>
      <w:r w:rsidR="00A613EE" w:rsidRPr="006068EC">
        <w:rPr>
          <w:rFonts w:ascii="Times New Roman" w:hAnsi="Times New Roman"/>
          <w:b/>
          <w:bCs/>
        </w:rPr>
        <w:br/>
      </w:r>
    </w:p>
    <w:p w14:paraId="063561BE" w14:textId="77777777" w:rsidR="00F358A1" w:rsidRPr="006068EC" w:rsidRDefault="00043CA1" w:rsidP="004203CB">
      <w:pPr>
        <w:widowControl/>
        <w:outlineLvl w:val="0"/>
        <w:rPr>
          <w:rFonts w:ascii="Times New Roman" w:hAnsi="Times New Roman"/>
          <w:sz w:val="24"/>
          <w:szCs w:val="24"/>
        </w:rPr>
      </w:pPr>
      <w:r w:rsidRPr="006068EC">
        <w:rPr>
          <w:rFonts w:ascii="Times New Roman" w:hAnsi="Times New Roman"/>
        </w:rPr>
        <w:t xml:space="preserve">        </w:t>
      </w:r>
      <w:r w:rsidRPr="006068EC">
        <w:rPr>
          <w:rFonts w:ascii="Times New Roman" w:hAnsi="Times New Roman"/>
          <w:sz w:val="24"/>
          <w:szCs w:val="24"/>
        </w:rPr>
        <w:t xml:space="preserve">No payments or gifts are provided.  </w:t>
      </w:r>
    </w:p>
    <w:p w14:paraId="48F359B0" w14:textId="77777777" w:rsidR="008E4E78" w:rsidRPr="006068EC" w:rsidRDefault="008E4E78" w:rsidP="004203CB">
      <w:pPr>
        <w:widowControl/>
        <w:rPr>
          <w:rFonts w:ascii="Times New Roman" w:hAnsi="Times New Roman"/>
        </w:rPr>
      </w:pPr>
    </w:p>
    <w:p w14:paraId="3AC4A076" w14:textId="77777777" w:rsidR="00546B07" w:rsidRPr="00546B07"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ASSURANCE OF CONFIDENTIALITY</w:t>
      </w:r>
    </w:p>
    <w:p w14:paraId="244C9B72" w14:textId="77777777" w:rsidR="000B3AF8" w:rsidRPr="00546B07" w:rsidRDefault="00F92057" w:rsidP="004203CB">
      <w:pPr>
        <w:widowControl/>
        <w:ind w:left="360"/>
        <w:rPr>
          <w:rFonts w:ascii="Times New Roman" w:hAnsi="Times New Roman"/>
          <w:sz w:val="24"/>
          <w:szCs w:val="24"/>
        </w:rPr>
      </w:pPr>
      <w:r w:rsidRPr="00546B07">
        <w:rPr>
          <w:rFonts w:ascii="Times New Roman" w:hAnsi="Times New Roman"/>
          <w:sz w:val="24"/>
          <w:szCs w:val="24"/>
        </w:rPr>
        <w:br/>
      </w:r>
      <w:r w:rsidR="00DF4E1A" w:rsidRPr="00546B07">
        <w:rPr>
          <w:rFonts w:ascii="Times New Roman" w:hAnsi="Times New Roman"/>
          <w:sz w:val="24"/>
          <w:szCs w:val="24"/>
        </w:rPr>
        <w:t xml:space="preserve">There are no confidential reporting requirements associated with this </w:t>
      </w:r>
      <w:r w:rsidR="002B2D4B" w:rsidRPr="00546B07">
        <w:rPr>
          <w:rFonts w:ascii="Times New Roman" w:hAnsi="Times New Roman"/>
          <w:sz w:val="24"/>
          <w:szCs w:val="24"/>
        </w:rPr>
        <w:t>information collection</w:t>
      </w:r>
      <w:r w:rsidR="00DF4E1A" w:rsidRPr="00546B07">
        <w:rPr>
          <w:rFonts w:ascii="Times New Roman" w:hAnsi="Times New Roman"/>
          <w:sz w:val="24"/>
          <w:szCs w:val="24"/>
        </w:rPr>
        <w:t xml:space="preserve">.  The requirement is limited to marking vehicles </w:t>
      </w:r>
      <w:r w:rsidR="002B2D4B" w:rsidRPr="00546B07">
        <w:rPr>
          <w:rFonts w:ascii="Times New Roman" w:hAnsi="Times New Roman"/>
          <w:sz w:val="24"/>
          <w:szCs w:val="24"/>
        </w:rPr>
        <w:t>operated in interstate commerce with an FMCSA-furnished USDOT registration number</w:t>
      </w:r>
      <w:r w:rsidR="00DF4E1A" w:rsidRPr="00546B07">
        <w:rPr>
          <w:rFonts w:ascii="Times New Roman" w:hAnsi="Times New Roman"/>
          <w:sz w:val="24"/>
          <w:szCs w:val="24"/>
        </w:rPr>
        <w:t xml:space="preserve">. </w:t>
      </w:r>
    </w:p>
    <w:p w14:paraId="29F43051" w14:textId="77777777" w:rsidR="000B3AF8" w:rsidRPr="006068EC" w:rsidRDefault="000B3AF8" w:rsidP="004203C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14:paraId="17EE6D58" w14:textId="77777777" w:rsidR="00043CA1" w:rsidRPr="006068EC" w:rsidRDefault="00F358A1" w:rsidP="004203CB">
      <w:pPr>
        <w:widowControl/>
        <w:numPr>
          <w:ilvl w:val="0"/>
          <w:numId w:val="18"/>
        </w:numPr>
        <w:tabs>
          <w:tab w:val="left" w:pos="360"/>
        </w:tabs>
        <w:ind w:left="-180" w:firstLine="180"/>
        <w:rPr>
          <w:rFonts w:ascii="Times New Roman" w:hAnsi="Times New Roman"/>
          <w:i/>
          <w:sz w:val="24"/>
          <w:szCs w:val="24"/>
        </w:rPr>
      </w:pPr>
      <w:r w:rsidRPr="006068EC">
        <w:rPr>
          <w:rFonts w:ascii="Times New Roman" w:hAnsi="Times New Roman"/>
          <w:b/>
          <w:bCs/>
          <w:sz w:val="24"/>
          <w:szCs w:val="24"/>
        </w:rPr>
        <w:t>JUSTIFICATION FOR COLLECTION OF SENSITIVE INFORMATION</w:t>
      </w:r>
      <w:r w:rsidR="00470720" w:rsidRPr="006068EC">
        <w:rPr>
          <w:rFonts w:ascii="Times New Roman" w:hAnsi="Times New Roman"/>
        </w:rPr>
        <w:t xml:space="preserve"> </w:t>
      </w:r>
      <w:r w:rsidR="00A613EE" w:rsidRPr="006068EC">
        <w:rPr>
          <w:rFonts w:ascii="Times New Roman" w:hAnsi="Times New Roman"/>
        </w:rPr>
        <w:br/>
      </w:r>
    </w:p>
    <w:p w14:paraId="30E57B3F" w14:textId="77777777" w:rsidR="003E0C15" w:rsidRDefault="00DF4E1A" w:rsidP="004203CB">
      <w:pPr>
        <w:widowControl/>
        <w:ind w:left="360"/>
        <w:rPr>
          <w:rFonts w:ascii="Times New Roman" w:hAnsi="Times New Roman"/>
          <w:sz w:val="24"/>
          <w:szCs w:val="24"/>
        </w:rPr>
      </w:pPr>
      <w:r w:rsidRPr="006068EC">
        <w:rPr>
          <w:rFonts w:ascii="Times New Roman" w:hAnsi="Times New Roman"/>
          <w:sz w:val="24"/>
          <w:szCs w:val="24"/>
        </w:rPr>
        <w:t>The information requested and collected is not of a sensitive nature.</w:t>
      </w:r>
    </w:p>
    <w:p w14:paraId="6DF62FBB" w14:textId="77777777" w:rsidR="000F1704" w:rsidRDefault="000F1704" w:rsidP="004203CB">
      <w:pPr>
        <w:widowControl/>
        <w:tabs>
          <w:tab w:val="left" w:pos="360"/>
        </w:tabs>
        <w:rPr>
          <w:rFonts w:ascii="Times New Roman" w:hAnsi="Times New Roman"/>
          <w:b/>
          <w:bCs/>
          <w:sz w:val="24"/>
          <w:szCs w:val="24"/>
        </w:rPr>
      </w:pPr>
    </w:p>
    <w:p w14:paraId="18921DEF" w14:textId="77777777" w:rsidR="008F4BDA" w:rsidRPr="008F4BDA" w:rsidRDefault="008F4BDA" w:rsidP="004203CB">
      <w:pPr>
        <w:keepNext/>
        <w:widowControl/>
        <w:tabs>
          <w:tab w:val="left" w:pos="360"/>
        </w:tabs>
        <w:rPr>
          <w:rFonts w:ascii="Times New Roman" w:hAnsi="Times New Roman"/>
          <w:b/>
          <w:bCs/>
          <w:sz w:val="24"/>
          <w:szCs w:val="24"/>
        </w:rPr>
      </w:pPr>
      <w:r w:rsidRPr="008F4BDA">
        <w:rPr>
          <w:rFonts w:ascii="Times New Roman" w:hAnsi="Times New Roman"/>
          <w:b/>
          <w:bCs/>
          <w:sz w:val="24"/>
          <w:szCs w:val="24"/>
        </w:rPr>
        <w:t>12. ESTIMATE OF BURDEN HOURS FOR INFORMATION REQUESTED</w:t>
      </w:r>
    </w:p>
    <w:p w14:paraId="38931D2F" w14:textId="77777777" w:rsidR="008F4BDA" w:rsidRPr="008F4BDA" w:rsidRDefault="008F4BDA" w:rsidP="004203CB">
      <w:pPr>
        <w:keepNext/>
        <w:widowControl/>
        <w:tabs>
          <w:tab w:val="left" w:pos="360"/>
        </w:tabs>
        <w:ind w:firstLine="360"/>
        <w:rPr>
          <w:rFonts w:ascii="Times New Roman" w:hAnsi="Times New Roman"/>
          <w:b/>
          <w:bCs/>
          <w:sz w:val="24"/>
          <w:szCs w:val="24"/>
        </w:rPr>
      </w:pPr>
    </w:p>
    <w:p w14:paraId="7ED37939" w14:textId="77777777" w:rsidR="008F4BDA" w:rsidRPr="008F4BDA" w:rsidRDefault="008F4BDA" w:rsidP="004203CB">
      <w:pPr>
        <w:widowControl/>
        <w:tabs>
          <w:tab w:val="left" w:pos="360"/>
        </w:tabs>
        <w:ind w:firstLine="360"/>
        <w:rPr>
          <w:rFonts w:ascii="Times New Roman" w:hAnsi="Times New Roman"/>
          <w:bCs/>
          <w:sz w:val="24"/>
          <w:szCs w:val="24"/>
        </w:rPr>
      </w:pPr>
      <w:r w:rsidRPr="008F4BDA">
        <w:rPr>
          <w:rFonts w:ascii="Times New Roman" w:hAnsi="Times New Roman"/>
          <w:bCs/>
          <w:sz w:val="24"/>
          <w:szCs w:val="24"/>
        </w:rPr>
        <w:t xml:space="preserve">The estimate of burden hours depends on four factors: the type of entity, size of entity, type </w:t>
      </w:r>
      <w:r w:rsidRPr="008F4BDA">
        <w:rPr>
          <w:rFonts w:ascii="Times New Roman" w:hAnsi="Times New Roman"/>
          <w:bCs/>
          <w:sz w:val="24"/>
          <w:szCs w:val="24"/>
        </w:rPr>
        <w:tab/>
        <w:t>of vehicle ownership (owned vs. leased), and the type of marking.</w:t>
      </w:r>
    </w:p>
    <w:p w14:paraId="11DE8828" w14:textId="77777777" w:rsidR="008F4BDA" w:rsidRPr="008F4BDA" w:rsidRDefault="008F4BDA" w:rsidP="004203CB">
      <w:pPr>
        <w:widowControl/>
        <w:tabs>
          <w:tab w:val="left" w:pos="360"/>
        </w:tabs>
        <w:ind w:firstLine="360"/>
        <w:rPr>
          <w:rFonts w:ascii="Times New Roman" w:hAnsi="Times New Roman"/>
          <w:bCs/>
          <w:sz w:val="24"/>
          <w:szCs w:val="24"/>
        </w:rPr>
      </w:pPr>
    </w:p>
    <w:p w14:paraId="211A112B" w14:textId="77777777" w:rsidR="008F4BDA" w:rsidRPr="008F4BDA" w:rsidRDefault="008F4BDA" w:rsidP="004203CB">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1: Freight-carrying commercial motor carriers (i.e., trucking companies)</w:t>
      </w:r>
    </w:p>
    <w:p w14:paraId="00115FAA" w14:textId="77777777" w:rsidR="008F4BDA" w:rsidRPr="008F4BDA" w:rsidRDefault="008F4BDA" w:rsidP="004203CB">
      <w:pPr>
        <w:widowControl/>
        <w:tabs>
          <w:tab w:val="left" w:pos="360"/>
        </w:tabs>
        <w:rPr>
          <w:rFonts w:ascii="Times New Roman" w:hAnsi="Times New Roman"/>
          <w:b/>
          <w:bCs/>
          <w:sz w:val="24"/>
          <w:szCs w:val="24"/>
        </w:rPr>
      </w:pPr>
    </w:p>
    <w:p w14:paraId="358FA359"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Small carriers are assumed to use individual stencil kits.</w:t>
      </w:r>
    </w:p>
    <w:p w14:paraId="627A55B6"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Medium carriers are assumed to use larger stencil kits.</w:t>
      </w:r>
    </w:p>
    <w:p w14:paraId="0A37206E"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Large carriers are assumed to use individually developed decals.</w:t>
      </w:r>
    </w:p>
    <w:p w14:paraId="7FE3D25B" w14:textId="77777777" w:rsidR="008F4BDA" w:rsidRPr="008F4BDA" w:rsidRDefault="008F4BDA" w:rsidP="004203CB">
      <w:pPr>
        <w:widowControl/>
        <w:tabs>
          <w:tab w:val="left" w:pos="360"/>
        </w:tabs>
        <w:ind w:left="1800"/>
        <w:rPr>
          <w:rFonts w:ascii="Times New Roman" w:hAnsi="Times New Roman"/>
          <w:bCs/>
          <w:sz w:val="24"/>
          <w:szCs w:val="24"/>
        </w:rPr>
      </w:pPr>
    </w:p>
    <w:p w14:paraId="6209E850" w14:textId="3B3889C4"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lastRenderedPageBreak/>
        <w:t xml:space="preserve">The estimated average time for affixing a DOT number is 12 minutes (assuming an average of 7 digits), and the estimated average time for affixing a carrier name is 14 minutes (assuming an average of 21 alphanumeric characters); these estimates incorporate a number of factors that vary, including marking via stencils versus decals, amount of cleaning required, weather, and whether a new or existing vehicle is being marked.  (These estimates are based on responses to the Federal Highway Administration [FHWA, the predecessor organization to the FMCSA] interviews with metropolitan Washington, D.C. signage companies and Agency employees formerly employed by the motor carrier industry, which were undertaken during the original rulemaking process.  This rule was published </w:t>
      </w:r>
      <w:r w:rsidR="008F5CA6">
        <w:rPr>
          <w:rFonts w:ascii="Times New Roman" w:hAnsi="Times New Roman"/>
          <w:bCs/>
          <w:sz w:val="24"/>
          <w:szCs w:val="24"/>
        </w:rPr>
        <w:t>June</w:t>
      </w:r>
      <w:r w:rsidRPr="008F4BDA">
        <w:rPr>
          <w:rFonts w:ascii="Times New Roman" w:hAnsi="Times New Roman"/>
          <w:bCs/>
          <w:sz w:val="24"/>
          <w:szCs w:val="24"/>
        </w:rPr>
        <w:t xml:space="preserve"> 3, 2000.</w:t>
      </w:r>
      <w:r w:rsidRPr="008F4BDA">
        <w:rPr>
          <w:rFonts w:ascii="Times New Roman" w:hAnsi="Times New Roman"/>
          <w:bCs/>
          <w:sz w:val="24"/>
          <w:szCs w:val="24"/>
          <w:vertAlign w:val="superscript"/>
        </w:rPr>
        <w:footnoteReference w:id="1"/>
      </w:r>
      <w:r w:rsidRPr="008F4BDA">
        <w:rPr>
          <w:rFonts w:ascii="Times New Roman" w:hAnsi="Times New Roman"/>
          <w:bCs/>
          <w:sz w:val="24"/>
          <w:szCs w:val="24"/>
        </w:rPr>
        <w:t xml:space="preserve">) The combined total is 26 minutes. </w:t>
      </w:r>
    </w:p>
    <w:p w14:paraId="31223DA0" w14:textId="77777777" w:rsidR="008F4BDA" w:rsidRPr="008F4BDA" w:rsidRDefault="008F4BDA" w:rsidP="004203CB">
      <w:pPr>
        <w:widowControl/>
        <w:tabs>
          <w:tab w:val="left" w:pos="360"/>
        </w:tabs>
        <w:ind w:left="360"/>
        <w:rPr>
          <w:rFonts w:ascii="Times New Roman" w:hAnsi="Times New Roman"/>
          <w:bCs/>
          <w:sz w:val="24"/>
          <w:szCs w:val="24"/>
        </w:rPr>
      </w:pPr>
    </w:p>
    <w:p w14:paraId="09A2E092" w14:textId="3DCFA045" w:rsidR="008F4BDA" w:rsidRPr="006C62B2"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FMCSA’s Motor Carrier Management Information System (MCMIS) database indicates that there are </w:t>
      </w:r>
      <w:r w:rsidR="00EC04A4">
        <w:rPr>
          <w:rFonts w:ascii="Times New Roman" w:hAnsi="Times New Roman"/>
          <w:bCs/>
          <w:sz w:val="24"/>
          <w:szCs w:val="24"/>
        </w:rPr>
        <w:t>699,000 active</w:t>
      </w:r>
      <w:r w:rsidR="003C3A63">
        <w:rPr>
          <w:rFonts w:ascii="Times New Roman" w:hAnsi="Times New Roman"/>
          <w:bCs/>
          <w:sz w:val="24"/>
          <w:szCs w:val="24"/>
        </w:rPr>
        <w:t xml:space="preserve"> </w:t>
      </w:r>
      <w:r w:rsidRPr="008F4BDA">
        <w:rPr>
          <w:rFonts w:ascii="Times New Roman" w:hAnsi="Times New Roman"/>
          <w:bCs/>
          <w:sz w:val="24"/>
          <w:szCs w:val="24"/>
        </w:rPr>
        <w:t xml:space="preserve">freight carriers </w:t>
      </w:r>
      <w:r w:rsidR="00E47E3F">
        <w:rPr>
          <w:rFonts w:ascii="Times New Roman" w:hAnsi="Times New Roman"/>
          <w:bCs/>
          <w:sz w:val="24"/>
          <w:szCs w:val="24"/>
        </w:rPr>
        <w:t xml:space="preserve">operating approximately </w:t>
      </w:r>
      <w:r w:rsidR="005E7FA9">
        <w:rPr>
          <w:rFonts w:ascii="Times New Roman" w:hAnsi="Times New Roman"/>
          <w:bCs/>
          <w:sz w:val="24"/>
          <w:szCs w:val="24"/>
        </w:rPr>
        <w:t>4,732,000</w:t>
      </w:r>
      <w:r w:rsidRPr="008F4BDA">
        <w:rPr>
          <w:rFonts w:ascii="Times New Roman" w:hAnsi="Times New Roman"/>
          <w:bCs/>
          <w:sz w:val="24"/>
          <w:szCs w:val="24"/>
        </w:rPr>
        <w:t xml:space="preserve"> CMVs, as of </w:t>
      </w:r>
      <w:r w:rsidR="005E7FA9">
        <w:rPr>
          <w:rFonts w:ascii="Times New Roman" w:hAnsi="Times New Roman"/>
          <w:bCs/>
          <w:sz w:val="24"/>
          <w:szCs w:val="24"/>
        </w:rPr>
        <w:t>a January 23, 2015</w:t>
      </w:r>
      <w:r w:rsidRPr="008F4BDA">
        <w:rPr>
          <w:rFonts w:ascii="Times New Roman" w:hAnsi="Times New Roman"/>
          <w:bCs/>
          <w:sz w:val="24"/>
          <w:szCs w:val="24"/>
        </w:rPr>
        <w:t xml:space="preserve"> snapshot</w:t>
      </w:r>
      <w:r w:rsidR="00A86202">
        <w:rPr>
          <w:rFonts w:ascii="Times New Roman" w:hAnsi="Times New Roman"/>
          <w:bCs/>
          <w:sz w:val="24"/>
          <w:szCs w:val="24"/>
        </w:rPr>
        <w:t xml:space="preserve"> (both figures are rounded)</w:t>
      </w:r>
      <w:r w:rsidRPr="008F4BDA">
        <w:rPr>
          <w:rFonts w:ascii="Times New Roman" w:hAnsi="Times New Roman"/>
          <w:bCs/>
          <w:sz w:val="24"/>
          <w:szCs w:val="24"/>
        </w:rPr>
        <w:t xml:space="preserve">. </w:t>
      </w:r>
      <w:r w:rsidR="007518E9">
        <w:rPr>
          <w:rFonts w:ascii="Times New Roman" w:hAnsi="Times New Roman"/>
          <w:bCs/>
          <w:sz w:val="24"/>
          <w:szCs w:val="24"/>
        </w:rPr>
        <w:t xml:space="preserve">To estimate Component 1’s burden on a consistent basis </w:t>
      </w:r>
      <w:r w:rsidR="00930AEA">
        <w:rPr>
          <w:rFonts w:ascii="Times New Roman" w:hAnsi="Times New Roman"/>
          <w:bCs/>
          <w:sz w:val="24"/>
          <w:szCs w:val="24"/>
        </w:rPr>
        <w:t>relative to Components 2 and 3</w:t>
      </w:r>
      <w:r w:rsidR="007518E9">
        <w:rPr>
          <w:rFonts w:ascii="Times New Roman" w:hAnsi="Times New Roman"/>
          <w:bCs/>
          <w:sz w:val="24"/>
          <w:szCs w:val="24"/>
        </w:rPr>
        <w:t>, these carrier and (correspondingly) CMV counts are projected forward to the year</w:t>
      </w:r>
      <w:r w:rsidR="00F749C4">
        <w:rPr>
          <w:rFonts w:ascii="Times New Roman" w:hAnsi="Times New Roman"/>
          <w:bCs/>
          <w:sz w:val="24"/>
          <w:szCs w:val="24"/>
        </w:rPr>
        <w:t>s</w:t>
      </w:r>
      <w:r w:rsidR="007518E9">
        <w:rPr>
          <w:rFonts w:ascii="Times New Roman" w:hAnsi="Times New Roman"/>
          <w:bCs/>
          <w:sz w:val="24"/>
          <w:szCs w:val="24"/>
        </w:rPr>
        <w:t xml:space="preserve"> 2017</w:t>
      </w:r>
      <w:r w:rsidR="007018D4">
        <w:rPr>
          <w:rFonts w:ascii="Times New Roman" w:hAnsi="Times New Roman"/>
          <w:bCs/>
          <w:sz w:val="24"/>
          <w:szCs w:val="24"/>
        </w:rPr>
        <w:t>, 2018, and 2019, and averaged across those three years</w:t>
      </w:r>
      <w:r w:rsidR="007518E9">
        <w:rPr>
          <w:rFonts w:ascii="Times New Roman" w:hAnsi="Times New Roman"/>
          <w:bCs/>
          <w:sz w:val="24"/>
          <w:szCs w:val="24"/>
        </w:rPr>
        <w:t xml:space="preserve"> to account for </w:t>
      </w:r>
      <w:r w:rsidR="00E66700">
        <w:rPr>
          <w:rFonts w:ascii="Times New Roman" w:hAnsi="Times New Roman"/>
          <w:bCs/>
          <w:sz w:val="24"/>
          <w:szCs w:val="24"/>
        </w:rPr>
        <w:t xml:space="preserve">an </w:t>
      </w:r>
      <w:r w:rsidR="007518E9">
        <w:rPr>
          <w:rFonts w:ascii="Times New Roman" w:hAnsi="Times New Roman"/>
          <w:bCs/>
          <w:sz w:val="24"/>
          <w:szCs w:val="24"/>
        </w:rPr>
        <w:t>estimated annual carrier growth</w:t>
      </w:r>
      <w:r w:rsidR="00E66700">
        <w:rPr>
          <w:rFonts w:ascii="Times New Roman" w:hAnsi="Times New Roman"/>
          <w:bCs/>
          <w:sz w:val="24"/>
          <w:szCs w:val="24"/>
        </w:rPr>
        <w:t xml:space="preserve"> rate</w:t>
      </w:r>
      <w:r w:rsidR="007518E9">
        <w:rPr>
          <w:rFonts w:ascii="Times New Roman" w:hAnsi="Times New Roman"/>
          <w:bCs/>
          <w:sz w:val="24"/>
          <w:szCs w:val="24"/>
        </w:rPr>
        <w:t xml:space="preserve"> of 2.17 percent.</w:t>
      </w:r>
      <w:r w:rsidR="007018D4" w:rsidRPr="008F4BDA">
        <w:rPr>
          <w:rFonts w:ascii="Times New Roman" w:hAnsi="Times New Roman"/>
          <w:bCs/>
          <w:sz w:val="24"/>
          <w:szCs w:val="24"/>
          <w:vertAlign w:val="superscript"/>
        </w:rPr>
        <w:footnoteReference w:id="2"/>
      </w:r>
      <w:r w:rsidR="00BB2F7B">
        <w:rPr>
          <w:rFonts w:ascii="Times New Roman" w:hAnsi="Times New Roman"/>
          <w:bCs/>
          <w:sz w:val="24"/>
          <w:szCs w:val="24"/>
        </w:rPr>
        <w:t xml:space="preserve"> As 2017 is two years beyond 2015, the Agency estimates the number of carriers will grow by </w:t>
      </w:r>
      <w:r w:rsidR="006D5441">
        <w:rPr>
          <w:rFonts w:ascii="Times New Roman" w:hAnsi="Times New Roman"/>
          <w:bCs/>
          <w:sz w:val="24"/>
          <w:szCs w:val="24"/>
        </w:rPr>
        <w:t>4.39</w:t>
      </w:r>
      <w:r w:rsidR="006D351E">
        <w:rPr>
          <w:rFonts w:ascii="Times New Roman" w:hAnsi="Times New Roman"/>
          <w:bCs/>
          <w:sz w:val="24"/>
          <w:szCs w:val="24"/>
        </w:rPr>
        <w:t>% in that time (</w:t>
      </w:r>
      <w:r w:rsidR="006D5441">
        <w:rPr>
          <w:rFonts w:ascii="Times New Roman" w:hAnsi="Times New Roman"/>
          <w:bCs/>
          <w:sz w:val="24"/>
          <w:szCs w:val="24"/>
        </w:rPr>
        <w:t>4.39</w:t>
      </w:r>
      <w:r w:rsidR="006D351E">
        <w:rPr>
          <w:rFonts w:ascii="Times New Roman" w:hAnsi="Times New Roman"/>
          <w:bCs/>
          <w:sz w:val="24"/>
          <w:szCs w:val="24"/>
        </w:rPr>
        <w:t>% = (1.0217 × 1.0217 – 1) × 100).</w:t>
      </w:r>
      <w:r w:rsidR="00DD6B7B">
        <w:rPr>
          <w:rFonts w:ascii="Times New Roman" w:hAnsi="Times New Roman"/>
          <w:bCs/>
          <w:sz w:val="24"/>
          <w:szCs w:val="24"/>
        </w:rPr>
        <w:t xml:space="preserve">  Applying these projections, the Agency projects the count of freight carriers in 2017 to be </w:t>
      </w:r>
      <w:r w:rsidR="00E637DE">
        <w:rPr>
          <w:rFonts w:ascii="Times New Roman" w:hAnsi="Times New Roman"/>
          <w:bCs/>
          <w:sz w:val="24"/>
          <w:szCs w:val="24"/>
        </w:rPr>
        <w:t>730,000</w:t>
      </w:r>
      <w:r w:rsidR="00E6585F">
        <w:rPr>
          <w:rFonts w:ascii="Times New Roman" w:hAnsi="Times New Roman"/>
          <w:bCs/>
          <w:sz w:val="24"/>
          <w:szCs w:val="24"/>
        </w:rPr>
        <w:t xml:space="preserve"> </w:t>
      </w:r>
      <w:r w:rsidR="00DD6B7B">
        <w:rPr>
          <w:rFonts w:ascii="Times New Roman" w:hAnsi="Times New Roman"/>
          <w:bCs/>
          <w:sz w:val="24"/>
          <w:szCs w:val="24"/>
        </w:rPr>
        <w:t>(</w:t>
      </w:r>
      <w:r w:rsidR="00E637DE">
        <w:rPr>
          <w:rFonts w:ascii="Times New Roman" w:hAnsi="Times New Roman"/>
          <w:bCs/>
          <w:sz w:val="24"/>
          <w:szCs w:val="24"/>
        </w:rPr>
        <w:t>729,666</w:t>
      </w:r>
      <w:r w:rsidR="00DD6B7B">
        <w:rPr>
          <w:rFonts w:ascii="Times New Roman" w:hAnsi="Times New Roman"/>
          <w:bCs/>
          <w:sz w:val="24"/>
          <w:szCs w:val="24"/>
        </w:rPr>
        <w:t xml:space="preserve"> = </w:t>
      </w:r>
      <w:r w:rsidR="00E637DE">
        <w:rPr>
          <w:rFonts w:ascii="Times New Roman" w:hAnsi="Times New Roman"/>
          <w:bCs/>
          <w:sz w:val="24"/>
          <w:szCs w:val="24"/>
        </w:rPr>
        <w:t>699,000</w:t>
      </w:r>
      <w:r w:rsidR="00DD6B7B">
        <w:rPr>
          <w:rFonts w:ascii="Times New Roman" w:hAnsi="Times New Roman"/>
          <w:bCs/>
          <w:sz w:val="24"/>
          <w:szCs w:val="24"/>
        </w:rPr>
        <w:t xml:space="preserve"> </w:t>
      </w:r>
      <w:r w:rsidR="00FE28D5">
        <w:rPr>
          <w:rFonts w:ascii="Times New Roman" w:hAnsi="Times New Roman"/>
          <w:bCs/>
          <w:sz w:val="24"/>
          <w:szCs w:val="24"/>
        </w:rPr>
        <w:t>×</w:t>
      </w:r>
      <w:r w:rsidR="00DD6B7B">
        <w:rPr>
          <w:rFonts w:ascii="Times New Roman" w:hAnsi="Times New Roman"/>
          <w:bCs/>
          <w:sz w:val="24"/>
          <w:szCs w:val="24"/>
        </w:rPr>
        <w:t xml:space="preserve"> </w:t>
      </w:r>
      <w:r w:rsidR="00C7527D">
        <w:rPr>
          <w:rFonts w:ascii="Times New Roman" w:hAnsi="Times New Roman"/>
          <w:bCs/>
          <w:sz w:val="24"/>
          <w:szCs w:val="24"/>
        </w:rPr>
        <w:t>(</w:t>
      </w:r>
      <w:r w:rsidR="000C71B4">
        <w:rPr>
          <w:rFonts w:ascii="Times New Roman" w:hAnsi="Times New Roman"/>
          <w:bCs/>
          <w:sz w:val="24"/>
          <w:szCs w:val="24"/>
        </w:rPr>
        <w:t>1.0439</w:t>
      </w:r>
      <w:r w:rsidR="00C7527D">
        <w:rPr>
          <w:rFonts w:ascii="Times New Roman" w:hAnsi="Times New Roman"/>
          <w:bCs/>
          <w:sz w:val="24"/>
          <w:szCs w:val="24"/>
        </w:rPr>
        <w:t>)</w:t>
      </w:r>
      <w:r w:rsidR="00DD6B7B">
        <w:rPr>
          <w:rFonts w:ascii="Times New Roman" w:hAnsi="Times New Roman"/>
          <w:bCs/>
          <w:sz w:val="24"/>
          <w:szCs w:val="24"/>
        </w:rPr>
        <w:t>, rounded to the nearest thousand</w:t>
      </w:r>
      <w:r w:rsidR="00C7527D">
        <w:rPr>
          <w:rFonts w:ascii="Times New Roman" w:hAnsi="Times New Roman"/>
          <w:bCs/>
          <w:sz w:val="24"/>
          <w:szCs w:val="24"/>
        </w:rPr>
        <w:t xml:space="preserve"> to yield </w:t>
      </w:r>
      <w:r w:rsidR="00057EA1">
        <w:rPr>
          <w:rFonts w:ascii="Times New Roman" w:hAnsi="Times New Roman"/>
          <w:bCs/>
          <w:sz w:val="24"/>
          <w:szCs w:val="24"/>
        </w:rPr>
        <w:t>730,000</w:t>
      </w:r>
      <w:r w:rsidR="00DD6B7B">
        <w:rPr>
          <w:rFonts w:ascii="Times New Roman" w:hAnsi="Times New Roman"/>
          <w:bCs/>
          <w:sz w:val="24"/>
          <w:szCs w:val="24"/>
        </w:rPr>
        <w:t xml:space="preserve">) and the corresponding count of CMVs to be </w:t>
      </w:r>
      <w:r w:rsidR="005830A1">
        <w:rPr>
          <w:rFonts w:ascii="Times New Roman" w:hAnsi="Times New Roman"/>
          <w:bCs/>
          <w:sz w:val="24"/>
          <w:szCs w:val="24"/>
        </w:rPr>
        <w:t>4,940,000</w:t>
      </w:r>
      <w:r w:rsidR="00C7527D">
        <w:rPr>
          <w:rFonts w:ascii="Times New Roman" w:hAnsi="Times New Roman"/>
          <w:bCs/>
          <w:sz w:val="24"/>
          <w:szCs w:val="24"/>
        </w:rPr>
        <w:t xml:space="preserve"> (</w:t>
      </w:r>
      <w:r w:rsidR="005830A1">
        <w:rPr>
          <w:rFonts w:ascii="Times New Roman" w:hAnsi="Times New Roman"/>
          <w:bCs/>
          <w:sz w:val="24"/>
          <w:szCs w:val="24"/>
        </w:rPr>
        <w:t>4,939,735</w:t>
      </w:r>
      <w:r w:rsidR="00C7527D">
        <w:rPr>
          <w:rFonts w:ascii="Times New Roman" w:hAnsi="Times New Roman"/>
          <w:bCs/>
          <w:sz w:val="24"/>
          <w:szCs w:val="24"/>
        </w:rPr>
        <w:t xml:space="preserve"> = </w:t>
      </w:r>
      <w:r w:rsidR="005830A1">
        <w:rPr>
          <w:rFonts w:ascii="Times New Roman" w:hAnsi="Times New Roman"/>
          <w:bCs/>
          <w:sz w:val="24"/>
          <w:szCs w:val="24"/>
        </w:rPr>
        <w:t>4,732,000</w:t>
      </w:r>
      <w:r w:rsidR="00C7527D">
        <w:rPr>
          <w:rFonts w:ascii="Times New Roman" w:hAnsi="Times New Roman"/>
          <w:bCs/>
          <w:sz w:val="24"/>
          <w:szCs w:val="24"/>
        </w:rPr>
        <w:t xml:space="preserve"> </w:t>
      </w:r>
      <w:r w:rsidR="005830A1">
        <w:rPr>
          <w:rFonts w:ascii="Times New Roman" w:hAnsi="Times New Roman"/>
          <w:bCs/>
          <w:sz w:val="24"/>
          <w:szCs w:val="24"/>
        </w:rPr>
        <w:t>×</w:t>
      </w:r>
      <w:r w:rsidR="00C7527D">
        <w:rPr>
          <w:rFonts w:ascii="Times New Roman" w:hAnsi="Times New Roman"/>
          <w:bCs/>
          <w:sz w:val="24"/>
          <w:szCs w:val="24"/>
        </w:rPr>
        <w:t xml:space="preserve"> (</w:t>
      </w:r>
      <w:r w:rsidR="005830A1">
        <w:rPr>
          <w:rFonts w:ascii="Times New Roman" w:hAnsi="Times New Roman"/>
          <w:bCs/>
          <w:sz w:val="24"/>
          <w:szCs w:val="24"/>
        </w:rPr>
        <w:t>1.0439</w:t>
      </w:r>
      <w:r w:rsidR="00C7527D">
        <w:rPr>
          <w:rFonts w:ascii="Times New Roman" w:hAnsi="Times New Roman"/>
          <w:bCs/>
          <w:sz w:val="24"/>
          <w:szCs w:val="24"/>
        </w:rPr>
        <w:t xml:space="preserve">), rounded to the nearest thousand yields </w:t>
      </w:r>
      <w:r w:rsidR="005830A1">
        <w:rPr>
          <w:rFonts w:ascii="Times New Roman" w:hAnsi="Times New Roman"/>
          <w:bCs/>
          <w:sz w:val="24"/>
          <w:szCs w:val="24"/>
        </w:rPr>
        <w:t>4,940,000</w:t>
      </w:r>
      <w:r w:rsidR="00C7527D">
        <w:rPr>
          <w:rFonts w:ascii="Times New Roman" w:hAnsi="Times New Roman"/>
          <w:bCs/>
          <w:sz w:val="24"/>
          <w:szCs w:val="24"/>
        </w:rPr>
        <w:t>).</w:t>
      </w:r>
      <w:r w:rsidR="006C62B2">
        <w:rPr>
          <w:rFonts w:ascii="Times New Roman" w:hAnsi="Times New Roman"/>
          <w:bCs/>
          <w:sz w:val="24"/>
          <w:szCs w:val="24"/>
        </w:rPr>
        <w:t xml:space="preserve"> </w:t>
      </w:r>
      <w:r w:rsidR="001879B5">
        <w:rPr>
          <w:rFonts w:ascii="Times New Roman" w:hAnsi="Times New Roman"/>
          <w:bCs/>
          <w:sz w:val="24"/>
          <w:szCs w:val="24"/>
        </w:rPr>
        <w:t>The analogous growth rates through years 2018 and 2019 are 6.6</w:t>
      </w:r>
      <w:r w:rsidR="00E83481">
        <w:rPr>
          <w:rFonts w:ascii="Times New Roman" w:hAnsi="Times New Roman"/>
          <w:bCs/>
          <w:sz w:val="24"/>
          <w:szCs w:val="24"/>
        </w:rPr>
        <w:t>5</w:t>
      </w:r>
      <w:r w:rsidR="001879B5">
        <w:rPr>
          <w:rFonts w:ascii="Times New Roman" w:hAnsi="Times New Roman"/>
          <w:bCs/>
          <w:sz w:val="24"/>
          <w:szCs w:val="24"/>
        </w:rPr>
        <w:t>% (= (</w:t>
      </w:r>
      <w:r w:rsidR="00E83481">
        <w:rPr>
          <w:rFonts w:ascii="Times New Roman" w:hAnsi="Times New Roman"/>
          <w:bCs/>
          <w:sz w:val="24"/>
          <w:szCs w:val="24"/>
        </w:rPr>
        <w:t>1.0217</w:t>
      </w:r>
      <w:r w:rsidR="00E83481">
        <w:rPr>
          <w:rFonts w:ascii="Times New Roman" w:hAnsi="Times New Roman"/>
          <w:bCs/>
          <w:sz w:val="24"/>
          <w:szCs w:val="24"/>
          <w:vertAlign w:val="superscript"/>
        </w:rPr>
        <w:t>3</w:t>
      </w:r>
      <w:r w:rsidR="001879B5">
        <w:rPr>
          <w:rFonts w:ascii="Times New Roman" w:hAnsi="Times New Roman"/>
          <w:bCs/>
          <w:sz w:val="24"/>
          <w:szCs w:val="24"/>
        </w:rPr>
        <w:t xml:space="preserve"> – 1) × 100) and </w:t>
      </w:r>
      <w:r w:rsidR="00FD3072">
        <w:rPr>
          <w:rFonts w:ascii="Times New Roman" w:hAnsi="Times New Roman"/>
          <w:bCs/>
          <w:sz w:val="24"/>
          <w:szCs w:val="24"/>
        </w:rPr>
        <w:t xml:space="preserve">8.97% </w:t>
      </w:r>
      <w:r w:rsidR="00C20664">
        <w:rPr>
          <w:rFonts w:ascii="Times New Roman" w:hAnsi="Times New Roman"/>
          <w:bCs/>
          <w:sz w:val="24"/>
          <w:szCs w:val="24"/>
        </w:rPr>
        <w:t>(= (1.0217</w:t>
      </w:r>
      <w:r w:rsidR="00C20664">
        <w:rPr>
          <w:rFonts w:ascii="Times New Roman" w:hAnsi="Times New Roman"/>
          <w:bCs/>
          <w:sz w:val="24"/>
          <w:szCs w:val="24"/>
          <w:vertAlign w:val="superscript"/>
        </w:rPr>
        <w:t>4</w:t>
      </w:r>
      <w:r w:rsidR="001879B5">
        <w:rPr>
          <w:rFonts w:ascii="Times New Roman" w:hAnsi="Times New Roman"/>
          <w:bCs/>
          <w:sz w:val="24"/>
          <w:szCs w:val="24"/>
        </w:rPr>
        <w:t xml:space="preserve"> – 1)</w:t>
      </w:r>
      <w:r w:rsidR="006C62B2">
        <w:rPr>
          <w:rFonts w:ascii="Times New Roman" w:hAnsi="Times New Roman"/>
          <w:bCs/>
          <w:sz w:val="24"/>
          <w:szCs w:val="24"/>
        </w:rPr>
        <w:t>, respectively.  Applying these rates of growth yields an estimated carrier population of 74</w:t>
      </w:r>
      <w:r w:rsidR="000B2D0D">
        <w:rPr>
          <w:rFonts w:ascii="Times New Roman" w:hAnsi="Times New Roman"/>
          <w:bCs/>
          <w:sz w:val="24"/>
          <w:szCs w:val="24"/>
        </w:rPr>
        <w:t>5</w:t>
      </w:r>
      <w:r w:rsidR="006C62B2">
        <w:rPr>
          <w:rFonts w:ascii="Times New Roman" w:hAnsi="Times New Roman"/>
          <w:bCs/>
          <w:sz w:val="24"/>
          <w:szCs w:val="24"/>
        </w:rPr>
        <w:t>,000 (745,</w:t>
      </w:r>
      <w:r w:rsidR="000B2D0D">
        <w:rPr>
          <w:rFonts w:ascii="Times New Roman" w:hAnsi="Times New Roman"/>
          <w:bCs/>
          <w:sz w:val="24"/>
          <w:szCs w:val="24"/>
        </w:rPr>
        <w:t>484</w:t>
      </w:r>
      <w:r w:rsidR="006C62B2">
        <w:rPr>
          <w:rFonts w:ascii="Times New Roman" w:hAnsi="Times New Roman"/>
          <w:bCs/>
          <w:sz w:val="24"/>
          <w:szCs w:val="24"/>
        </w:rPr>
        <w:t xml:space="preserve"> = 699,000 × 1.066</w:t>
      </w:r>
      <w:r w:rsidR="000B2D0D">
        <w:rPr>
          <w:rFonts w:ascii="Times New Roman" w:hAnsi="Times New Roman"/>
          <w:bCs/>
          <w:sz w:val="24"/>
          <w:szCs w:val="24"/>
        </w:rPr>
        <w:t>5</w:t>
      </w:r>
      <w:r w:rsidR="006C62B2">
        <w:rPr>
          <w:rFonts w:ascii="Times New Roman" w:hAnsi="Times New Roman"/>
          <w:bCs/>
          <w:sz w:val="24"/>
          <w:szCs w:val="24"/>
        </w:rPr>
        <w:t xml:space="preserve">) in 2018 and 762,000 (761,700 = </w:t>
      </w:r>
      <w:r w:rsidR="00C24F18">
        <w:rPr>
          <w:rFonts w:ascii="Times New Roman" w:hAnsi="Times New Roman"/>
          <w:bCs/>
          <w:sz w:val="24"/>
          <w:szCs w:val="24"/>
        </w:rPr>
        <w:t xml:space="preserve">699,000 × 1.0897) in 2019.  </w:t>
      </w:r>
      <w:r w:rsidR="008D7941">
        <w:rPr>
          <w:rFonts w:ascii="Times New Roman" w:hAnsi="Times New Roman"/>
          <w:bCs/>
          <w:sz w:val="24"/>
          <w:szCs w:val="24"/>
        </w:rPr>
        <w:t>The three-year average carrier population across years 2017 to 2019 is therefore 746,000 (746,000 = (730,000 + 74</w:t>
      </w:r>
      <w:r w:rsidR="00B27DEA">
        <w:rPr>
          <w:rFonts w:ascii="Times New Roman" w:hAnsi="Times New Roman"/>
          <w:bCs/>
          <w:sz w:val="24"/>
          <w:szCs w:val="24"/>
        </w:rPr>
        <w:t>5</w:t>
      </w:r>
      <w:r w:rsidR="008D7941">
        <w:rPr>
          <w:rFonts w:ascii="Times New Roman" w:hAnsi="Times New Roman"/>
          <w:bCs/>
          <w:sz w:val="24"/>
          <w:szCs w:val="24"/>
        </w:rPr>
        <w:t>,000 + 762,000) ÷ 3).</w:t>
      </w:r>
      <w:r w:rsidR="00B03ED0">
        <w:rPr>
          <w:rFonts w:ascii="Times New Roman" w:hAnsi="Times New Roman"/>
          <w:bCs/>
          <w:sz w:val="24"/>
          <w:szCs w:val="24"/>
        </w:rPr>
        <w:t xml:space="preserve">  Applying the same growth rates to the corresponding count of CMVs yields counts of 5,047,000 (5,</w:t>
      </w:r>
      <w:r w:rsidR="00881697">
        <w:rPr>
          <w:rFonts w:ascii="Times New Roman" w:hAnsi="Times New Roman"/>
          <w:bCs/>
          <w:sz w:val="24"/>
          <w:szCs w:val="24"/>
        </w:rPr>
        <w:t>046,678</w:t>
      </w:r>
      <w:r w:rsidR="00B03ED0">
        <w:rPr>
          <w:rFonts w:ascii="Times New Roman" w:hAnsi="Times New Roman"/>
          <w:bCs/>
          <w:sz w:val="24"/>
          <w:szCs w:val="24"/>
        </w:rPr>
        <w:t xml:space="preserve"> = 4,732,000 ×</w:t>
      </w:r>
      <w:r w:rsidR="00881697">
        <w:rPr>
          <w:rFonts w:ascii="Times New Roman" w:hAnsi="Times New Roman"/>
          <w:bCs/>
          <w:sz w:val="24"/>
          <w:szCs w:val="24"/>
        </w:rPr>
        <w:t xml:space="preserve"> 1.0665</w:t>
      </w:r>
      <w:r w:rsidR="00B03ED0">
        <w:rPr>
          <w:rFonts w:ascii="Times New Roman" w:hAnsi="Times New Roman"/>
          <w:bCs/>
          <w:sz w:val="24"/>
          <w:szCs w:val="24"/>
        </w:rPr>
        <w:t>) in 2018 and 5,156,000 (5,156,460 =</w:t>
      </w:r>
      <w:r w:rsidR="008D7941">
        <w:rPr>
          <w:rFonts w:ascii="Times New Roman" w:hAnsi="Times New Roman"/>
          <w:bCs/>
          <w:sz w:val="24"/>
          <w:szCs w:val="24"/>
        </w:rPr>
        <w:t xml:space="preserve"> </w:t>
      </w:r>
      <w:r w:rsidR="00B03ED0">
        <w:rPr>
          <w:rFonts w:ascii="Times New Roman" w:hAnsi="Times New Roman"/>
          <w:bCs/>
          <w:sz w:val="24"/>
          <w:szCs w:val="24"/>
        </w:rPr>
        <w:t>4,732,000 × 1.0897) in 2019.</w:t>
      </w:r>
      <w:r w:rsidR="009F0974">
        <w:rPr>
          <w:rFonts w:ascii="Times New Roman" w:hAnsi="Times New Roman"/>
          <w:bCs/>
          <w:sz w:val="24"/>
          <w:szCs w:val="24"/>
        </w:rPr>
        <w:t xml:space="preserve">  The three-year average CMV count across years 2017 to 2019 is therefore 5,048,000 (5,047,666 = (4,940,000 + 5,047,000 + 5,156,000) ÷ 3).</w:t>
      </w:r>
    </w:p>
    <w:p w14:paraId="488DF26B" w14:textId="77777777" w:rsidR="008F4BDA" w:rsidRPr="008F4BDA" w:rsidRDefault="008F4BDA" w:rsidP="004203CB">
      <w:pPr>
        <w:widowControl/>
        <w:tabs>
          <w:tab w:val="left" w:pos="360"/>
        </w:tabs>
        <w:ind w:left="360"/>
        <w:rPr>
          <w:rFonts w:ascii="Times New Roman" w:hAnsi="Times New Roman"/>
          <w:bCs/>
          <w:sz w:val="24"/>
          <w:szCs w:val="24"/>
        </w:rPr>
      </w:pPr>
    </w:p>
    <w:p w14:paraId="0899C140"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U.S. Department of Transportation’s National Highway Traffic Safety Administration (NHTSA) published a report in 1994 which suggests that the average operational life of a heavy-duty commercial motor vehicle was 14.7 years.</w:t>
      </w:r>
      <w:r w:rsidRPr="008F4BDA">
        <w:rPr>
          <w:rFonts w:ascii="Times New Roman" w:hAnsi="Times New Roman"/>
          <w:bCs/>
          <w:sz w:val="24"/>
          <w:szCs w:val="24"/>
          <w:vertAlign w:val="superscript"/>
        </w:rPr>
        <w:footnoteReference w:id="3"/>
      </w:r>
      <w:r w:rsidRPr="008F4BDA">
        <w:rPr>
          <w:rFonts w:ascii="Times New Roman" w:hAnsi="Times New Roman"/>
          <w:bCs/>
          <w:sz w:val="24"/>
          <w:szCs w:val="24"/>
        </w:rPr>
        <w:t xml:space="preserve"> Therefore, the Agency assumes that one new freight-carrying CMV is acquired every 14.7 years (i.e., approximately 6.8 percent of all freight-carrying CMVs are replaced with new CMVs every year). </w:t>
      </w:r>
    </w:p>
    <w:p w14:paraId="0D976794" w14:textId="77777777" w:rsidR="008F4BDA" w:rsidRPr="008F4BDA" w:rsidRDefault="008F4BDA" w:rsidP="004203CB">
      <w:pPr>
        <w:widowControl/>
        <w:tabs>
          <w:tab w:val="left" w:pos="360"/>
        </w:tabs>
        <w:ind w:left="360"/>
        <w:rPr>
          <w:rFonts w:ascii="Times New Roman" w:hAnsi="Times New Roman"/>
          <w:bCs/>
          <w:sz w:val="24"/>
          <w:szCs w:val="24"/>
        </w:rPr>
      </w:pPr>
    </w:p>
    <w:p w14:paraId="046D5C81"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In addition, the Final Regulatory Evaluation for the FMCSA’s </w:t>
      </w:r>
      <w:r w:rsidRPr="008F4BDA">
        <w:rPr>
          <w:rFonts w:ascii="Times New Roman" w:hAnsi="Times New Roman"/>
          <w:bCs/>
          <w:i/>
          <w:sz w:val="24"/>
          <w:szCs w:val="24"/>
        </w:rPr>
        <w:t>Inspection, Repair, and Maintenance Requirements for Intermodal Equipment Providers</w:t>
      </w:r>
      <w:r w:rsidRPr="008F4BDA">
        <w:rPr>
          <w:rFonts w:ascii="Times New Roman" w:hAnsi="Times New Roman"/>
          <w:bCs/>
          <w:sz w:val="24"/>
          <w:szCs w:val="24"/>
        </w:rPr>
        <w:t xml:space="preserve"> suggests that the average </w:t>
      </w:r>
      <w:r w:rsidRPr="008F4BDA">
        <w:rPr>
          <w:rFonts w:ascii="Times New Roman" w:hAnsi="Times New Roman"/>
          <w:bCs/>
          <w:sz w:val="24"/>
          <w:szCs w:val="24"/>
        </w:rPr>
        <w:lastRenderedPageBreak/>
        <w:t>life of a weatherproof vinyl label (as attached to an IEP) is 3 years.</w:t>
      </w:r>
      <w:bookmarkStart w:id="0" w:name="_Ref351044505"/>
      <w:r w:rsidRPr="008F4BDA">
        <w:rPr>
          <w:rFonts w:ascii="Times New Roman" w:hAnsi="Times New Roman"/>
          <w:bCs/>
          <w:sz w:val="24"/>
          <w:szCs w:val="24"/>
          <w:vertAlign w:val="superscript"/>
        </w:rPr>
        <w:footnoteReference w:id="4"/>
      </w:r>
      <w:bookmarkEnd w:id="0"/>
      <w:r w:rsidRPr="008F4BDA">
        <w:rPr>
          <w:rFonts w:ascii="Times New Roman" w:hAnsi="Times New Roman"/>
          <w:bCs/>
          <w:sz w:val="24"/>
          <w:szCs w:val="24"/>
        </w:rPr>
        <w:t xml:space="preserve"> Without more authoritative information on the lifetimes of both freight-carrying motor vehicles and other types of labeling (e.g., paper), the Agency uses these as estimates of all freight-carrying CMVs and all types of labels (realizing that some labels will likely last less than 3 years [e.g., paper] and some will likely last more than 3 years). </w:t>
      </w:r>
    </w:p>
    <w:p w14:paraId="72827C21" w14:textId="77777777" w:rsidR="008F4BDA" w:rsidRPr="008F4BDA" w:rsidRDefault="008F4BDA" w:rsidP="004203CB">
      <w:pPr>
        <w:widowControl/>
        <w:tabs>
          <w:tab w:val="left" w:pos="360"/>
        </w:tabs>
        <w:ind w:left="360"/>
        <w:rPr>
          <w:rFonts w:ascii="Times New Roman" w:hAnsi="Times New Roman"/>
          <w:bCs/>
          <w:sz w:val="24"/>
          <w:szCs w:val="24"/>
        </w:rPr>
      </w:pPr>
    </w:p>
    <w:p w14:paraId="12E0F1D5"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As noted previously, the average useful life of a label of 3 years is used in this analysis; further, because of the absence of more reliable data on the sale and resale of used freight carrying CMVs, for purposes of this analysis and to simplify calculations, the Agency assumes that the average turnover of these vehicles is not more frequent than once every 3 years. The implication of this assumption is that one-third of freight-carrying CMVs are either resold in a secondary market and undergo re-identification or are retained by the owner and undergo relabeling (due to the label reaching the end of its useful life). This implication is employed in the calculation of impacted freight-carrying CMVs.</w:t>
      </w:r>
    </w:p>
    <w:p w14:paraId="5AAA24F6" w14:textId="77777777" w:rsidR="008F4BDA" w:rsidRPr="008F4BDA" w:rsidRDefault="008F4BDA" w:rsidP="004203CB">
      <w:pPr>
        <w:widowControl/>
        <w:tabs>
          <w:tab w:val="left" w:pos="360"/>
        </w:tabs>
        <w:ind w:left="360"/>
        <w:rPr>
          <w:rFonts w:ascii="Times New Roman" w:hAnsi="Times New Roman"/>
          <w:bCs/>
          <w:sz w:val="24"/>
          <w:szCs w:val="24"/>
        </w:rPr>
      </w:pPr>
    </w:p>
    <w:p w14:paraId="4C58CE21" w14:textId="0913E472"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With these assumptions in mind, the Agency estimates the number of newly-acquired </w:t>
      </w:r>
      <w:r w:rsidRPr="00350388">
        <w:rPr>
          <w:rFonts w:ascii="Times New Roman" w:hAnsi="Times New Roman"/>
          <w:bCs/>
          <w:i/>
          <w:sz w:val="24"/>
          <w:szCs w:val="24"/>
        </w:rPr>
        <w:t xml:space="preserve">freight-carrying CMVs to be </w:t>
      </w:r>
      <w:r w:rsidR="00B724FE">
        <w:rPr>
          <w:rFonts w:ascii="Times New Roman" w:hAnsi="Times New Roman"/>
          <w:bCs/>
          <w:i/>
          <w:sz w:val="24"/>
          <w:szCs w:val="24"/>
        </w:rPr>
        <w:t>343,000</w:t>
      </w:r>
      <w:r w:rsidRPr="00350388">
        <w:rPr>
          <w:rFonts w:ascii="Times New Roman" w:hAnsi="Times New Roman"/>
          <w:bCs/>
          <w:i/>
          <w:sz w:val="24"/>
          <w:szCs w:val="24"/>
        </w:rPr>
        <w:t xml:space="preserve"> per year (</w:t>
      </w:r>
      <w:r w:rsidR="00B724FE" w:rsidRPr="00B724FE">
        <w:rPr>
          <w:rFonts w:ascii="Times New Roman" w:hAnsi="Times New Roman"/>
          <w:bCs/>
          <w:i/>
          <w:sz w:val="24"/>
          <w:szCs w:val="24"/>
        </w:rPr>
        <w:t xml:space="preserve">5,048,000 </w:t>
      </w:r>
      <w:r w:rsidRPr="00350388">
        <w:rPr>
          <w:rFonts w:ascii="Times New Roman" w:hAnsi="Times New Roman"/>
          <w:bCs/>
          <w:i/>
          <w:sz w:val="24"/>
          <w:szCs w:val="24"/>
        </w:rPr>
        <w:t>total freight carrying CMVs ÷ 14.7 years average freight-carrying CMV operational life, rounded to the nearest thousand). The number</w:t>
      </w:r>
      <w:r w:rsidRPr="008F4BDA">
        <w:rPr>
          <w:rFonts w:ascii="Times New Roman" w:hAnsi="Times New Roman"/>
          <w:bCs/>
          <w:sz w:val="24"/>
          <w:szCs w:val="24"/>
        </w:rPr>
        <w:t xml:space="preserve"> of resold and re-identified freight-carrying CMVs is estimated to be </w:t>
      </w:r>
      <w:r w:rsidR="00205AF0">
        <w:rPr>
          <w:rFonts w:ascii="Times New Roman" w:hAnsi="Times New Roman"/>
          <w:bCs/>
          <w:sz w:val="24"/>
          <w:szCs w:val="24"/>
        </w:rPr>
        <w:t>1,568,000</w:t>
      </w:r>
      <w:r w:rsidRPr="008F4BDA">
        <w:rPr>
          <w:rFonts w:ascii="Times New Roman" w:hAnsi="Times New Roman"/>
          <w:bCs/>
          <w:sz w:val="24"/>
          <w:szCs w:val="24"/>
        </w:rPr>
        <w:t xml:space="preserve"> per year ([</w:t>
      </w:r>
      <w:r w:rsidR="00205AF0">
        <w:rPr>
          <w:rFonts w:ascii="Times New Roman" w:hAnsi="Times New Roman"/>
          <w:bCs/>
          <w:sz w:val="24"/>
          <w:szCs w:val="24"/>
        </w:rPr>
        <w:t>5,048,000</w:t>
      </w:r>
      <w:r w:rsidR="00327FAE">
        <w:rPr>
          <w:rFonts w:ascii="Times New Roman" w:hAnsi="Times New Roman"/>
          <w:bCs/>
          <w:sz w:val="24"/>
          <w:szCs w:val="24"/>
        </w:rPr>
        <w:t xml:space="preserve"> </w:t>
      </w:r>
      <w:r w:rsidRPr="008F4BDA">
        <w:rPr>
          <w:rFonts w:ascii="Times New Roman" w:hAnsi="Times New Roman"/>
          <w:bCs/>
          <w:sz w:val="24"/>
          <w:szCs w:val="24"/>
        </w:rPr>
        <w:t xml:space="preserve">total freight carrying CMVs – </w:t>
      </w:r>
      <w:r w:rsidR="00205AF0">
        <w:rPr>
          <w:rFonts w:ascii="Times New Roman" w:hAnsi="Times New Roman"/>
          <w:bCs/>
          <w:sz w:val="24"/>
          <w:szCs w:val="24"/>
        </w:rPr>
        <w:t>343,000</w:t>
      </w:r>
      <w:r w:rsidRPr="008F4BDA">
        <w:rPr>
          <w:rFonts w:ascii="Times New Roman" w:hAnsi="Times New Roman"/>
          <w:bCs/>
          <w:sz w:val="24"/>
          <w:szCs w:val="24"/>
        </w:rPr>
        <w:t xml:space="preserve"> newly acquired CMVs] ÷ 3 years average re-identification rate, rounded to the nearest thousand). This results in an estimated </w:t>
      </w:r>
      <w:r w:rsidR="00205AF0">
        <w:rPr>
          <w:rFonts w:ascii="Times New Roman" w:hAnsi="Times New Roman"/>
          <w:bCs/>
          <w:sz w:val="24"/>
          <w:szCs w:val="24"/>
        </w:rPr>
        <w:t>1,911,000</w:t>
      </w:r>
      <w:r w:rsidRPr="008F4BDA">
        <w:rPr>
          <w:rFonts w:ascii="Times New Roman" w:hAnsi="Times New Roman"/>
          <w:bCs/>
          <w:sz w:val="24"/>
          <w:szCs w:val="24"/>
        </w:rPr>
        <w:t xml:space="preserve"> freight-carrying CMVs (</w:t>
      </w:r>
      <w:r w:rsidR="00205AF0">
        <w:rPr>
          <w:rFonts w:ascii="Times New Roman" w:hAnsi="Times New Roman"/>
          <w:bCs/>
          <w:sz w:val="24"/>
          <w:szCs w:val="24"/>
        </w:rPr>
        <w:t>343,000</w:t>
      </w:r>
      <w:r w:rsidRPr="008F4BDA">
        <w:rPr>
          <w:rFonts w:ascii="Times New Roman" w:hAnsi="Times New Roman"/>
          <w:bCs/>
          <w:sz w:val="24"/>
          <w:szCs w:val="24"/>
        </w:rPr>
        <w:t xml:space="preserve"> + </w:t>
      </w:r>
      <w:r w:rsidR="00205AF0">
        <w:rPr>
          <w:rFonts w:ascii="Times New Roman" w:hAnsi="Times New Roman"/>
          <w:bCs/>
          <w:sz w:val="24"/>
          <w:szCs w:val="24"/>
        </w:rPr>
        <w:t>1,568,000</w:t>
      </w:r>
      <w:r w:rsidRPr="008F4BDA">
        <w:rPr>
          <w:rFonts w:ascii="Times New Roman" w:hAnsi="Times New Roman"/>
          <w:bCs/>
          <w:sz w:val="24"/>
          <w:szCs w:val="24"/>
        </w:rPr>
        <w:t>) impacted by marking requirements annually.</w:t>
      </w:r>
    </w:p>
    <w:p w14:paraId="05E89CE3" w14:textId="77777777" w:rsidR="008F4BDA" w:rsidRPr="008F4BDA" w:rsidRDefault="008F4BDA" w:rsidP="004203CB">
      <w:pPr>
        <w:widowControl/>
        <w:tabs>
          <w:tab w:val="left" w:pos="360"/>
        </w:tabs>
        <w:rPr>
          <w:rFonts w:ascii="Times New Roman" w:hAnsi="Times New Roman"/>
          <w:bCs/>
          <w:sz w:val="24"/>
          <w:szCs w:val="24"/>
        </w:rPr>
      </w:pPr>
    </w:p>
    <w:p w14:paraId="47D75C39" w14:textId="139E388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w:t>
      </w:r>
      <w:r w:rsidR="00FD7DB8">
        <w:rPr>
          <w:rFonts w:ascii="Times New Roman" w:hAnsi="Times New Roman"/>
          <w:bCs/>
          <w:sz w:val="24"/>
          <w:szCs w:val="24"/>
        </w:rPr>
        <w:t>1,911,000</w:t>
      </w:r>
      <w:r w:rsidR="00FD7DB8" w:rsidRPr="008F4BDA">
        <w:rPr>
          <w:rFonts w:ascii="Times New Roman" w:hAnsi="Times New Roman"/>
          <w:bCs/>
          <w:sz w:val="24"/>
          <w:szCs w:val="24"/>
        </w:rPr>
        <w:t xml:space="preserve"> </w:t>
      </w:r>
      <w:r w:rsidRPr="008F4BDA">
        <w:rPr>
          <w:rFonts w:ascii="Times New Roman" w:hAnsi="Times New Roman"/>
          <w:bCs/>
          <w:sz w:val="24"/>
          <w:szCs w:val="24"/>
        </w:rPr>
        <w:t xml:space="preserve">freight-carrying CMVs impacted by the marking requirements are expected to generate </w:t>
      </w:r>
      <w:r w:rsidR="00FD7DB8" w:rsidRPr="00FD7DB8">
        <w:rPr>
          <w:rFonts w:ascii="Times New Roman" w:hAnsi="Times New Roman"/>
          <w:b/>
          <w:bCs/>
          <w:sz w:val="24"/>
          <w:szCs w:val="24"/>
        </w:rPr>
        <w:t xml:space="preserve">1,911,000 </w:t>
      </w:r>
      <w:r w:rsidRPr="008F4BDA">
        <w:rPr>
          <w:rFonts w:ascii="Times New Roman" w:hAnsi="Times New Roman"/>
          <w:bCs/>
          <w:sz w:val="24"/>
          <w:szCs w:val="24"/>
        </w:rPr>
        <w:t>responses</w:t>
      </w:r>
      <w:r w:rsidRPr="008F4BDA">
        <w:rPr>
          <w:rFonts w:ascii="Times New Roman" w:hAnsi="Times New Roman"/>
          <w:b/>
          <w:bCs/>
          <w:sz w:val="24"/>
          <w:szCs w:val="24"/>
        </w:rPr>
        <w:t xml:space="preserve"> </w:t>
      </w:r>
      <w:r w:rsidRPr="008F4BDA">
        <w:rPr>
          <w:rFonts w:ascii="Times New Roman" w:hAnsi="Times New Roman"/>
          <w:bCs/>
          <w:sz w:val="24"/>
          <w:szCs w:val="24"/>
        </w:rPr>
        <w:t>annually.</w:t>
      </w:r>
    </w:p>
    <w:p w14:paraId="2BF9D38B" w14:textId="77777777" w:rsidR="008F4BDA" w:rsidRPr="008F4BDA" w:rsidRDefault="008F4BDA" w:rsidP="004203CB">
      <w:pPr>
        <w:widowControl/>
        <w:tabs>
          <w:tab w:val="left" w:pos="360"/>
        </w:tabs>
        <w:ind w:left="360"/>
        <w:rPr>
          <w:rFonts w:ascii="Times New Roman" w:hAnsi="Times New Roman"/>
          <w:bCs/>
          <w:sz w:val="24"/>
          <w:szCs w:val="24"/>
        </w:rPr>
      </w:pPr>
    </w:p>
    <w:p w14:paraId="2A35575C" w14:textId="4265ED99"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total number of annual burden hours (accounting for the total of CMVs) is </w:t>
      </w:r>
      <w:r w:rsidR="00DA7BBA">
        <w:rPr>
          <w:rFonts w:ascii="Times New Roman" w:hAnsi="Times New Roman"/>
          <w:b/>
          <w:bCs/>
          <w:sz w:val="24"/>
          <w:szCs w:val="24"/>
        </w:rPr>
        <w:t>828,000</w:t>
      </w:r>
      <w:r w:rsidRPr="008F4BDA">
        <w:rPr>
          <w:rFonts w:ascii="Times New Roman" w:hAnsi="Times New Roman"/>
          <w:bCs/>
          <w:sz w:val="24"/>
          <w:szCs w:val="24"/>
        </w:rPr>
        <w:t xml:space="preserve"> (</w:t>
      </w:r>
      <w:r w:rsidR="00DA7BBA">
        <w:rPr>
          <w:rFonts w:ascii="Times New Roman" w:hAnsi="Times New Roman"/>
          <w:bCs/>
          <w:sz w:val="24"/>
          <w:szCs w:val="24"/>
        </w:rPr>
        <w:t>1,911,000</w:t>
      </w:r>
      <w:r w:rsidR="00DA7BBA" w:rsidRPr="008F4BDA">
        <w:rPr>
          <w:rFonts w:ascii="Times New Roman" w:hAnsi="Times New Roman"/>
          <w:bCs/>
          <w:sz w:val="24"/>
          <w:szCs w:val="24"/>
        </w:rPr>
        <w:t xml:space="preserve"> </w:t>
      </w:r>
      <w:r w:rsidRPr="008F4BDA">
        <w:rPr>
          <w:rFonts w:ascii="Times New Roman" w:hAnsi="Times New Roman"/>
          <w:bCs/>
          <w:sz w:val="24"/>
          <w:szCs w:val="24"/>
        </w:rPr>
        <w:t>responses × 26/60 minutes per hour, rounded</w:t>
      </w:r>
      <w:r w:rsidR="00780248">
        <w:rPr>
          <w:rFonts w:ascii="Times New Roman" w:hAnsi="Times New Roman"/>
          <w:bCs/>
          <w:sz w:val="24"/>
          <w:szCs w:val="24"/>
        </w:rPr>
        <w:t xml:space="preserve"> to the nearest thousand</w:t>
      </w:r>
      <w:r w:rsidRPr="008F4BDA">
        <w:rPr>
          <w:rFonts w:ascii="Times New Roman" w:hAnsi="Times New Roman"/>
          <w:bCs/>
          <w:sz w:val="24"/>
          <w:szCs w:val="24"/>
        </w:rPr>
        <w:t xml:space="preserve">).  </w:t>
      </w:r>
    </w:p>
    <w:p w14:paraId="5B65326C" w14:textId="77777777" w:rsidR="008F4BDA" w:rsidRPr="008F4BDA" w:rsidRDefault="008F4BDA" w:rsidP="004203CB">
      <w:pPr>
        <w:widowControl/>
        <w:tabs>
          <w:tab w:val="left" w:pos="360"/>
        </w:tabs>
        <w:ind w:left="360"/>
        <w:rPr>
          <w:rFonts w:ascii="Times New Roman" w:hAnsi="Times New Roman"/>
          <w:bCs/>
          <w:sz w:val="24"/>
          <w:szCs w:val="24"/>
        </w:rPr>
      </w:pPr>
    </w:p>
    <w:p w14:paraId="544C3672" w14:textId="596E297A"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total number of annual respondents (i.e., impacted freight-carrying motor carriers) is </w:t>
      </w:r>
      <w:r w:rsidR="00BA4BD9">
        <w:rPr>
          <w:rFonts w:ascii="Times New Roman" w:hAnsi="Times New Roman"/>
          <w:b/>
          <w:bCs/>
          <w:sz w:val="24"/>
          <w:szCs w:val="24"/>
        </w:rPr>
        <w:t>282,000</w:t>
      </w:r>
      <w:r w:rsidR="00A103E8">
        <w:rPr>
          <w:rFonts w:ascii="Times New Roman" w:hAnsi="Times New Roman"/>
          <w:bCs/>
          <w:sz w:val="24"/>
          <w:szCs w:val="24"/>
        </w:rPr>
        <w:t xml:space="preserve"> </w:t>
      </w:r>
      <w:r w:rsidRPr="008F4BDA">
        <w:rPr>
          <w:rFonts w:ascii="Times New Roman" w:hAnsi="Times New Roman"/>
          <w:bCs/>
          <w:sz w:val="24"/>
          <w:szCs w:val="24"/>
        </w:rPr>
        <w:t>(</w:t>
      </w:r>
      <w:r w:rsidR="00BA4BD9">
        <w:rPr>
          <w:rFonts w:ascii="Times New Roman" w:hAnsi="Times New Roman"/>
          <w:bCs/>
          <w:sz w:val="24"/>
          <w:szCs w:val="24"/>
        </w:rPr>
        <w:t>1,911,000</w:t>
      </w:r>
      <w:r w:rsidR="009C2EE0" w:rsidRPr="008F4BDA">
        <w:rPr>
          <w:rFonts w:ascii="Times New Roman" w:hAnsi="Times New Roman"/>
          <w:bCs/>
          <w:sz w:val="24"/>
          <w:szCs w:val="24"/>
        </w:rPr>
        <w:t xml:space="preserve"> </w:t>
      </w:r>
      <w:r w:rsidRPr="008F4BDA">
        <w:rPr>
          <w:rFonts w:ascii="Times New Roman" w:hAnsi="Times New Roman"/>
          <w:bCs/>
          <w:sz w:val="24"/>
          <w:szCs w:val="24"/>
        </w:rPr>
        <w:t xml:space="preserve">impacted vehicles </w:t>
      </w:r>
      <w:r w:rsidR="00E21F4D" w:rsidRPr="008F4BDA">
        <w:rPr>
          <w:rFonts w:ascii="Times New Roman" w:hAnsi="Times New Roman"/>
          <w:bCs/>
          <w:sz w:val="24"/>
          <w:szCs w:val="24"/>
        </w:rPr>
        <w:t>÷</w:t>
      </w:r>
      <w:r w:rsidRPr="008F4BDA">
        <w:rPr>
          <w:rFonts w:ascii="Times New Roman" w:hAnsi="Times New Roman"/>
          <w:bCs/>
          <w:sz w:val="24"/>
          <w:szCs w:val="24"/>
        </w:rPr>
        <w:t xml:space="preserve"> </w:t>
      </w:r>
      <w:r w:rsidR="00BA4BD9">
        <w:rPr>
          <w:rFonts w:ascii="Times New Roman" w:hAnsi="Times New Roman"/>
          <w:bCs/>
          <w:sz w:val="24"/>
          <w:szCs w:val="24"/>
        </w:rPr>
        <w:t xml:space="preserve">5,048,000 </w:t>
      </w:r>
      <w:r w:rsidRPr="008F4BDA">
        <w:rPr>
          <w:rFonts w:ascii="Times New Roman" w:hAnsi="Times New Roman"/>
          <w:bCs/>
          <w:sz w:val="24"/>
          <w:szCs w:val="24"/>
        </w:rPr>
        <w:t xml:space="preserve">total vehicles × </w:t>
      </w:r>
      <w:r w:rsidR="00BA4BD9">
        <w:rPr>
          <w:rFonts w:ascii="Times New Roman" w:hAnsi="Times New Roman"/>
          <w:bCs/>
          <w:sz w:val="24"/>
          <w:szCs w:val="24"/>
        </w:rPr>
        <w:t>746,000</w:t>
      </w:r>
      <w:r w:rsidR="0020569C">
        <w:rPr>
          <w:rFonts w:ascii="Times New Roman" w:hAnsi="Times New Roman"/>
          <w:bCs/>
          <w:sz w:val="24"/>
          <w:szCs w:val="24"/>
        </w:rPr>
        <w:t xml:space="preserve"> </w:t>
      </w:r>
      <w:r w:rsidRPr="008F4BDA">
        <w:rPr>
          <w:rFonts w:ascii="Times New Roman" w:hAnsi="Times New Roman"/>
          <w:bCs/>
          <w:sz w:val="24"/>
          <w:szCs w:val="24"/>
        </w:rPr>
        <w:t>total freight carriers, rounded to the nearest thousand).</w:t>
      </w:r>
    </w:p>
    <w:p w14:paraId="0AD18BC2" w14:textId="77777777" w:rsidR="008F4BDA" w:rsidRPr="008F4BDA" w:rsidRDefault="008F4BDA" w:rsidP="004203CB">
      <w:pPr>
        <w:widowControl/>
        <w:tabs>
          <w:tab w:val="left" w:pos="360"/>
        </w:tabs>
        <w:ind w:left="1080"/>
        <w:rPr>
          <w:rFonts w:ascii="Times New Roman" w:hAnsi="Times New Roman"/>
          <w:bCs/>
          <w:sz w:val="24"/>
          <w:szCs w:val="24"/>
        </w:rPr>
      </w:pPr>
    </w:p>
    <w:p w14:paraId="23EB4AE0" w14:textId="77777777" w:rsidR="008F4BDA" w:rsidRPr="008F4BDA" w:rsidRDefault="008F4BDA" w:rsidP="004203CB">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2: Passenger-carrying commercial motor carriers</w:t>
      </w:r>
    </w:p>
    <w:p w14:paraId="14A42C19" w14:textId="77777777" w:rsidR="008F4BDA" w:rsidRPr="008F4BDA" w:rsidRDefault="008F4BDA" w:rsidP="004203CB">
      <w:pPr>
        <w:widowControl/>
        <w:tabs>
          <w:tab w:val="left" w:pos="1080"/>
        </w:tabs>
        <w:ind w:left="720"/>
        <w:rPr>
          <w:rFonts w:ascii="Times New Roman" w:hAnsi="Times New Roman"/>
          <w:bCs/>
          <w:sz w:val="24"/>
          <w:szCs w:val="24"/>
        </w:rPr>
      </w:pPr>
    </w:p>
    <w:p w14:paraId="793C81D0" w14:textId="77777777" w:rsidR="008F4BDA" w:rsidRPr="008F4BDA" w:rsidRDefault="008F4BDA" w:rsidP="004203CB">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Owned vehicles are assumed to use decals or stencils for permanent signage.</w:t>
      </w:r>
    </w:p>
    <w:p w14:paraId="214CF463" w14:textId="77777777" w:rsidR="008F4BDA" w:rsidRPr="008F4BDA" w:rsidRDefault="008F4BDA" w:rsidP="004203CB">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Lease and rented vehicles are assumed to use paper signage, and incur a negligible burden.</w:t>
      </w:r>
    </w:p>
    <w:p w14:paraId="20483C21" w14:textId="77777777" w:rsidR="008F4BDA" w:rsidRPr="008F4BDA" w:rsidRDefault="008F4BDA" w:rsidP="004203CB">
      <w:pPr>
        <w:widowControl/>
        <w:ind w:left="720"/>
        <w:rPr>
          <w:rFonts w:ascii="Times New Roman" w:hAnsi="Times New Roman"/>
          <w:bCs/>
          <w:sz w:val="24"/>
          <w:szCs w:val="24"/>
        </w:rPr>
      </w:pPr>
    </w:p>
    <w:p w14:paraId="0E378061" w14:textId="58E677AB"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The passenger carrier population impacted by the marking requirements consists of  motor carriers transporting passengers in interstate commerce in CMVs that either: (1) have a gross vehicle weight rating or gross vehicle weight of at least 10,001 pounds, whichever is greater; (2) are designed or used to transport more than 8 passengers (including the driver) for</w:t>
      </w:r>
      <w:r w:rsidR="002461B4">
        <w:rPr>
          <w:rFonts w:ascii="Times New Roman" w:hAnsi="Times New Roman"/>
          <w:bCs/>
          <w:sz w:val="24"/>
          <w:szCs w:val="24"/>
        </w:rPr>
        <w:t>-hire</w:t>
      </w:r>
      <w:r w:rsidRPr="008F4BDA">
        <w:rPr>
          <w:rFonts w:ascii="Times New Roman" w:hAnsi="Times New Roman"/>
          <w:bCs/>
          <w:sz w:val="24"/>
          <w:szCs w:val="24"/>
        </w:rPr>
        <w:t xml:space="preserve">; or (3) are designed or used to transport more than 15 passengers (including the driver) and are not </w:t>
      </w:r>
      <w:r w:rsidR="002461B4">
        <w:rPr>
          <w:rFonts w:ascii="Times New Roman" w:hAnsi="Times New Roman"/>
          <w:bCs/>
          <w:sz w:val="24"/>
          <w:szCs w:val="24"/>
        </w:rPr>
        <w:t>used to transport passengers for-hire</w:t>
      </w:r>
      <w:r w:rsidRPr="008F4BDA">
        <w:rPr>
          <w:rFonts w:ascii="Times New Roman" w:hAnsi="Times New Roman"/>
          <w:bCs/>
          <w:sz w:val="24"/>
          <w:szCs w:val="24"/>
        </w:rPr>
        <w:t xml:space="preserve">.  </w:t>
      </w:r>
    </w:p>
    <w:p w14:paraId="0244BA2C" w14:textId="77777777" w:rsidR="008F4BDA" w:rsidRPr="008F4BDA" w:rsidRDefault="008F4BDA" w:rsidP="004203CB">
      <w:pPr>
        <w:widowControl/>
        <w:ind w:left="360"/>
        <w:rPr>
          <w:rFonts w:ascii="Times New Roman" w:hAnsi="Times New Roman"/>
          <w:bCs/>
          <w:sz w:val="24"/>
          <w:szCs w:val="24"/>
        </w:rPr>
      </w:pPr>
    </w:p>
    <w:p w14:paraId="011194A2" w14:textId="54FE09B2" w:rsidR="00D00B22" w:rsidRDefault="00393942" w:rsidP="004203CB">
      <w:pPr>
        <w:widowControl/>
        <w:tabs>
          <w:tab w:val="left" w:pos="360"/>
        </w:tabs>
        <w:ind w:left="360"/>
        <w:rPr>
          <w:rFonts w:ascii="Times New Roman" w:hAnsi="Times New Roman"/>
          <w:sz w:val="24"/>
          <w:szCs w:val="24"/>
        </w:rPr>
      </w:pPr>
      <w:r>
        <w:rPr>
          <w:rFonts w:ascii="Times New Roman" w:hAnsi="Times New Roman"/>
          <w:bCs/>
          <w:sz w:val="24"/>
          <w:szCs w:val="24"/>
        </w:rPr>
        <w:t>Analysis of this carrier population for the final</w:t>
      </w:r>
      <w:r w:rsidRPr="009F3A44">
        <w:rPr>
          <w:rFonts w:ascii="Times New Roman" w:hAnsi="Times New Roman"/>
          <w:sz w:val="24"/>
          <w:szCs w:val="24"/>
        </w:rPr>
        <w:t xml:space="preserve"> rule entitled, “</w:t>
      </w:r>
      <w:r>
        <w:rPr>
          <w:rFonts w:ascii="Times New Roman" w:hAnsi="Times New Roman"/>
          <w:sz w:val="24"/>
          <w:szCs w:val="24"/>
        </w:rPr>
        <w:t>Lease and Interchange of Vehicles; Motor Carriers of Passengers</w:t>
      </w:r>
      <w:r w:rsidRPr="009F3A44">
        <w:rPr>
          <w:rFonts w:ascii="Times New Roman" w:hAnsi="Times New Roman"/>
          <w:sz w:val="24"/>
          <w:szCs w:val="24"/>
        </w:rPr>
        <w:t>”</w:t>
      </w:r>
      <w:r>
        <w:rPr>
          <w:rFonts w:ascii="Times New Roman" w:hAnsi="Times New Roman"/>
          <w:sz w:val="24"/>
          <w:szCs w:val="24"/>
        </w:rPr>
        <w:t xml:space="preserve"> indicates </w:t>
      </w:r>
      <w:r w:rsidR="00C24085">
        <w:rPr>
          <w:rFonts w:ascii="Times New Roman" w:hAnsi="Times New Roman"/>
          <w:sz w:val="24"/>
          <w:szCs w:val="24"/>
        </w:rPr>
        <w:t>12,699</w:t>
      </w:r>
      <w:r>
        <w:rPr>
          <w:rFonts w:ascii="Times New Roman" w:hAnsi="Times New Roman"/>
          <w:sz w:val="24"/>
          <w:szCs w:val="24"/>
        </w:rPr>
        <w:t xml:space="preserve"> such carriers ar</w:t>
      </w:r>
      <w:r w:rsidR="00C24085">
        <w:rPr>
          <w:rFonts w:ascii="Times New Roman" w:hAnsi="Times New Roman"/>
          <w:sz w:val="24"/>
          <w:szCs w:val="24"/>
        </w:rPr>
        <w:t xml:space="preserve">e in active operation as of </w:t>
      </w:r>
      <w:r w:rsidR="00E700D7">
        <w:rPr>
          <w:rFonts w:ascii="Times New Roman" w:hAnsi="Times New Roman"/>
          <w:sz w:val="24"/>
          <w:szCs w:val="24"/>
        </w:rPr>
        <w:t>June, 2014</w:t>
      </w:r>
      <w:r w:rsidR="00A227BF">
        <w:rPr>
          <w:rFonts w:ascii="Times New Roman" w:hAnsi="Times New Roman"/>
          <w:sz w:val="24"/>
          <w:szCs w:val="24"/>
        </w:rPr>
        <w:t xml:space="preserve"> (note that this value is comprised of 11,183 distinct carriers; carriers operating in multiple categories covered by the final rule are counted as multiple carriers in such cases</w:t>
      </w:r>
      <w:r w:rsidR="00D00B22">
        <w:rPr>
          <w:rFonts w:ascii="Times New Roman" w:hAnsi="Times New Roman"/>
          <w:sz w:val="24"/>
          <w:szCs w:val="24"/>
        </w:rPr>
        <w:t>)</w:t>
      </w:r>
      <w:r>
        <w:rPr>
          <w:rFonts w:ascii="Times New Roman" w:hAnsi="Times New Roman"/>
          <w:sz w:val="24"/>
          <w:szCs w:val="24"/>
        </w:rPr>
        <w:t>.</w:t>
      </w:r>
      <w:r w:rsidR="00D00B22">
        <w:rPr>
          <w:rFonts w:ascii="Times New Roman" w:hAnsi="Times New Roman"/>
          <w:sz w:val="24"/>
          <w:szCs w:val="24"/>
        </w:rPr>
        <w:t xml:space="preserve">  Of these 12,699 carriers, 6,421 are for-hire carriers and 6,278 are </w:t>
      </w:r>
      <w:r w:rsidR="00E1755A">
        <w:rPr>
          <w:rFonts w:ascii="Times New Roman" w:hAnsi="Times New Roman"/>
          <w:sz w:val="24"/>
          <w:szCs w:val="24"/>
        </w:rPr>
        <w:t xml:space="preserve">privately owned, </w:t>
      </w:r>
      <w:r w:rsidR="00D00B22">
        <w:rPr>
          <w:rFonts w:ascii="Times New Roman" w:hAnsi="Times New Roman"/>
          <w:sz w:val="24"/>
          <w:szCs w:val="24"/>
        </w:rPr>
        <w:t>not for compensation business or non-business carriers</w:t>
      </w:r>
      <w:r w:rsidR="00E1755A">
        <w:rPr>
          <w:rFonts w:ascii="Times New Roman" w:hAnsi="Times New Roman"/>
          <w:sz w:val="24"/>
          <w:szCs w:val="24"/>
        </w:rPr>
        <w:t>.</w:t>
      </w:r>
      <w:r w:rsidR="004277A2">
        <w:rPr>
          <w:rFonts w:ascii="Times New Roman" w:hAnsi="Times New Roman"/>
          <w:sz w:val="24"/>
          <w:szCs w:val="24"/>
        </w:rPr>
        <w:t xml:space="preserve">  Of the 11,183 distinct carriers comprising the 12,699 (that is, eliminating double-counting of carriers that operate in multiple categories), </w:t>
      </w:r>
      <w:r w:rsidR="00EA27C5">
        <w:rPr>
          <w:rFonts w:ascii="Times New Roman" w:hAnsi="Times New Roman"/>
          <w:sz w:val="24"/>
          <w:szCs w:val="24"/>
        </w:rPr>
        <w:t xml:space="preserve">5,945 are authorized for-hire, 296 are exempt 9+ for hire, 180 are exempt 16+ for-hire, </w:t>
      </w:r>
      <w:r w:rsidR="00E6223C">
        <w:rPr>
          <w:rFonts w:ascii="Times New Roman" w:hAnsi="Times New Roman"/>
          <w:sz w:val="24"/>
          <w:szCs w:val="24"/>
        </w:rPr>
        <w:t xml:space="preserve">2,605 are private (not for compensation) business carriers, and 3,673 are private (not for compensation) non-business carriers.  </w:t>
      </w:r>
      <w:r w:rsidR="001F3FA3">
        <w:rPr>
          <w:rFonts w:ascii="Times New Roman" w:hAnsi="Times New Roman"/>
          <w:sz w:val="24"/>
          <w:szCs w:val="24"/>
        </w:rPr>
        <w:t xml:space="preserve">The analysis in support of the final rule focuses on the 11,183 distinct carriers and estimates that 90 percent of private (not for compensation) carriers are not impacted by the final rule (as most private passenger carriers do not lease vehicles to a significant degree).  Therefore, the final rule estimates that, as of 2014, 7,049 passenger carriers would be subject to the rule.  This is estimated as: 7,049 = (5,945 authorized for-hire + 296 exempt 9+ for hire + 180 exempt 16+ for hire + 0.1 × (2,605 private (not for compensation) business + 3,673 private (not for compensation non-business))). </w:t>
      </w:r>
    </w:p>
    <w:p w14:paraId="2E82330C" w14:textId="77777777" w:rsidR="00D00B22" w:rsidRDefault="00D00B22" w:rsidP="004203CB">
      <w:pPr>
        <w:widowControl/>
        <w:tabs>
          <w:tab w:val="left" w:pos="360"/>
        </w:tabs>
        <w:ind w:left="360"/>
        <w:rPr>
          <w:rFonts w:ascii="Times New Roman" w:hAnsi="Times New Roman"/>
          <w:sz w:val="24"/>
          <w:szCs w:val="24"/>
        </w:rPr>
      </w:pPr>
    </w:p>
    <w:p w14:paraId="21A6CE8D" w14:textId="79179CDD" w:rsidR="008F4BDA" w:rsidRPr="008F4BDA" w:rsidRDefault="00E700D7" w:rsidP="004203CB">
      <w:pPr>
        <w:widowControl/>
        <w:tabs>
          <w:tab w:val="left" w:pos="360"/>
        </w:tabs>
        <w:ind w:left="360"/>
        <w:rPr>
          <w:rFonts w:ascii="Times New Roman" w:hAnsi="Times New Roman"/>
          <w:bCs/>
          <w:sz w:val="24"/>
          <w:szCs w:val="24"/>
        </w:rPr>
      </w:pPr>
      <w:r>
        <w:rPr>
          <w:rFonts w:ascii="Times New Roman" w:hAnsi="Times New Roman"/>
          <w:sz w:val="24"/>
          <w:szCs w:val="24"/>
        </w:rPr>
        <w:t>To project</w:t>
      </w:r>
      <w:r w:rsidR="004535EE">
        <w:rPr>
          <w:rFonts w:ascii="Times New Roman" w:hAnsi="Times New Roman"/>
          <w:sz w:val="24"/>
          <w:szCs w:val="24"/>
        </w:rPr>
        <w:t xml:space="preserve"> the overall carrier count</w:t>
      </w:r>
      <w:r w:rsidR="00E4024A">
        <w:rPr>
          <w:rFonts w:ascii="Times New Roman" w:hAnsi="Times New Roman"/>
          <w:sz w:val="24"/>
          <w:szCs w:val="24"/>
        </w:rPr>
        <w:t xml:space="preserve"> to 2017</w:t>
      </w:r>
      <w:r w:rsidR="00E83481">
        <w:rPr>
          <w:rFonts w:ascii="Times New Roman" w:hAnsi="Times New Roman"/>
          <w:sz w:val="24"/>
          <w:szCs w:val="24"/>
        </w:rPr>
        <w:t>, 2018, and 2019</w:t>
      </w:r>
      <w:r w:rsidR="00E4024A">
        <w:rPr>
          <w:rFonts w:ascii="Times New Roman" w:hAnsi="Times New Roman"/>
          <w:sz w:val="24"/>
          <w:szCs w:val="24"/>
        </w:rPr>
        <w:t xml:space="preserve"> using the same annual carrier growth rate of 2.17 percent as mentioned above</w:t>
      </w:r>
      <w:r>
        <w:rPr>
          <w:rFonts w:ascii="Times New Roman" w:hAnsi="Times New Roman"/>
          <w:sz w:val="24"/>
          <w:szCs w:val="24"/>
        </w:rPr>
        <w:t xml:space="preserve">, </w:t>
      </w:r>
      <w:r w:rsidR="00D00B22">
        <w:rPr>
          <w:rFonts w:ascii="Times New Roman" w:hAnsi="Times New Roman"/>
          <w:sz w:val="24"/>
          <w:szCs w:val="24"/>
        </w:rPr>
        <w:t>the Agency applied a factor of 1.0217</w:t>
      </w:r>
      <w:r w:rsidR="00D00B22" w:rsidRPr="00D00B22">
        <w:rPr>
          <w:rFonts w:ascii="Times New Roman" w:hAnsi="Times New Roman"/>
          <w:sz w:val="24"/>
          <w:szCs w:val="24"/>
          <w:vertAlign w:val="superscript"/>
        </w:rPr>
        <w:t>3</w:t>
      </w:r>
      <w:r w:rsidR="0075798C">
        <w:rPr>
          <w:rFonts w:ascii="Times New Roman" w:hAnsi="Times New Roman"/>
          <w:sz w:val="24"/>
          <w:szCs w:val="24"/>
        </w:rPr>
        <w:t xml:space="preserve"> (equal to 1.0665)</w:t>
      </w:r>
      <w:r w:rsidR="00D00B22">
        <w:rPr>
          <w:rFonts w:ascii="Times New Roman" w:hAnsi="Times New Roman"/>
          <w:sz w:val="24"/>
          <w:szCs w:val="24"/>
        </w:rPr>
        <w:t xml:space="preserve"> resulting </w:t>
      </w:r>
      <w:r w:rsidR="00E4024A">
        <w:rPr>
          <w:rFonts w:ascii="Times New Roman" w:hAnsi="Times New Roman"/>
          <w:sz w:val="24"/>
          <w:szCs w:val="24"/>
        </w:rPr>
        <w:t xml:space="preserve">in a value of </w:t>
      </w:r>
      <w:r w:rsidR="004F7E4B">
        <w:rPr>
          <w:rFonts w:ascii="Times New Roman" w:hAnsi="Times New Roman"/>
          <w:sz w:val="24"/>
          <w:szCs w:val="24"/>
        </w:rPr>
        <w:t>14,000</w:t>
      </w:r>
      <w:r w:rsidR="00E4024A">
        <w:rPr>
          <w:rFonts w:ascii="Times New Roman" w:hAnsi="Times New Roman"/>
          <w:sz w:val="24"/>
          <w:szCs w:val="24"/>
        </w:rPr>
        <w:t xml:space="preserve"> carriers (</w:t>
      </w:r>
      <w:r w:rsidR="0075798C">
        <w:rPr>
          <w:rFonts w:ascii="Times New Roman" w:hAnsi="Times New Roman"/>
          <w:sz w:val="24"/>
          <w:szCs w:val="24"/>
        </w:rPr>
        <w:t>13,543</w:t>
      </w:r>
      <w:r w:rsidR="007C6458">
        <w:rPr>
          <w:rFonts w:ascii="Times New Roman" w:hAnsi="Times New Roman"/>
          <w:sz w:val="24"/>
          <w:szCs w:val="24"/>
        </w:rPr>
        <w:t xml:space="preserve"> = </w:t>
      </w:r>
      <w:r w:rsidR="004F7E4B">
        <w:rPr>
          <w:rFonts w:ascii="Times New Roman" w:hAnsi="Times New Roman"/>
          <w:sz w:val="24"/>
          <w:szCs w:val="24"/>
        </w:rPr>
        <w:t>12,699</w:t>
      </w:r>
      <w:r w:rsidR="007C6458">
        <w:rPr>
          <w:rFonts w:ascii="Times New Roman" w:hAnsi="Times New Roman"/>
          <w:sz w:val="24"/>
          <w:szCs w:val="24"/>
        </w:rPr>
        <w:t xml:space="preserve"> </w:t>
      </w:r>
      <w:r w:rsidR="00103E63">
        <w:rPr>
          <w:rFonts w:ascii="Times New Roman" w:hAnsi="Times New Roman"/>
          <w:sz w:val="24"/>
          <w:szCs w:val="24"/>
        </w:rPr>
        <w:t>×</w:t>
      </w:r>
      <w:r w:rsidR="007C6458">
        <w:rPr>
          <w:rFonts w:ascii="Times New Roman" w:hAnsi="Times New Roman"/>
          <w:sz w:val="24"/>
          <w:szCs w:val="24"/>
        </w:rPr>
        <w:t xml:space="preserve"> (</w:t>
      </w:r>
      <w:r w:rsidR="0075798C">
        <w:rPr>
          <w:rFonts w:ascii="Times New Roman" w:hAnsi="Times New Roman"/>
          <w:sz w:val="24"/>
          <w:szCs w:val="24"/>
        </w:rPr>
        <w:t>1.0665</w:t>
      </w:r>
      <w:r w:rsidR="00E4024A">
        <w:rPr>
          <w:rFonts w:ascii="Times New Roman" w:hAnsi="Times New Roman"/>
          <w:sz w:val="24"/>
          <w:szCs w:val="24"/>
        </w:rPr>
        <w:t xml:space="preserve">), rounded to the nearest thousand yields </w:t>
      </w:r>
      <w:r w:rsidR="004F7E4B">
        <w:rPr>
          <w:rFonts w:ascii="Times New Roman" w:hAnsi="Times New Roman"/>
          <w:sz w:val="24"/>
          <w:szCs w:val="24"/>
        </w:rPr>
        <w:t>14,000</w:t>
      </w:r>
      <w:r w:rsidR="00E4024A">
        <w:rPr>
          <w:rFonts w:ascii="Times New Roman" w:hAnsi="Times New Roman"/>
          <w:sz w:val="24"/>
          <w:szCs w:val="24"/>
        </w:rPr>
        <w:t>)</w:t>
      </w:r>
      <w:r w:rsidR="000F0B39">
        <w:rPr>
          <w:rFonts w:ascii="Times New Roman" w:hAnsi="Times New Roman"/>
          <w:sz w:val="24"/>
          <w:szCs w:val="24"/>
        </w:rPr>
        <w:t xml:space="preserve"> for the year 2017; for 2018, a factor of 1.0217</w:t>
      </w:r>
      <w:r w:rsidR="000F0B39">
        <w:rPr>
          <w:rFonts w:ascii="Times New Roman" w:hAnsi="Times New Roman"/>
          <w:sz w:val="24"/>
          <w:szCs w:val="24"/>
          <w:vertAlign w:val="superscript"/>
        </w:rPr>
        <w:t>4</w:t>
      </w:r>
      <w:r w:rsidR="000F0B39">
        <w:rPr>
          <w:rFonts w:ascii="Times New Roman" w:hAnsi="Times New Roman"/>
          <w:sz w:val="24"/>
          <w:szCs w:val="24"/>
        </w:rPr>
        <w:t xml:space="preserve"> (equal to 1.0897) is applied, </w:t>
      </w:r>
      <w:r w:rsidR="008D62DE">
        <w:rPr>
          <w:rFonts w:ascii="Times New Roman" w:hAnsi="Times New Roman"/>
          <w:sz w:val="24"/>
          <w:szCs w:val="24"/>
        </w:rPr>
        <w:t xml:space="preserve">also </w:t>
      </w:r>
      <w:r w:rsidR="000F0B39">
        <w:rPr>
          <w:rFonts w:ascii="Times New Roman" w:hAnsi="Times New Roman"/>
          <w:sz w:val="24"/>
          <w:szCs w:val="24"/>
        </w:rPr>
        <w:t>resulting in a value of 14,000 carriers (13,838 = 12,699 × 1.0897), rounded to the nearest thousand yields 14,000); for the year 2019, a factor of 1.0217</w:t>
      </w:r>
      <w:r w:rsidR="000F0B39">
        <w:rPr>
          <w:rFonts w:ascii="Times New Roman" w:hAnsi="Times New Roman"/>
          <w:sz w:val="24"/>
          <w:szCs w:val="24"/>
          <w:vertAlign w:val="superscript"/>
        </w:rPr>
        <w:t>5</w:t>
      </w:r>
      <w:r w:rsidR="000F0B39">
        <w:rPr>
          <w:rFonts w:ascii="Times New Roman" w:hAnsi="Times New Roman"/>
          <w:sz w:val="24"/>
          <w:szCs w:val="24"/>
        </w:rPr>
        <w:t xml:space="preserve"> (equal to 1.1133) is applied, </w:t>
      </w:r>
      <w:r w:rsidR="008D62DE">
        <w:rPr>
          <w:rFonts w:ascii="Times New Roman" w:hAnsi="Times New Roman"/>
          <w:sz w:val="24"/>
          <w:szCs w:val="24"/>
        </w:rPr>
        <w:t>again</w:t>
      </w:r>
      <w:r w:rsidR="006C2944">
        <w:rPr>
          <w:rFonts w:ascii="Times New Roman" w:hAnsi="Times New Roman"/>
          <w:sz w:val="24"/>
          <w:szCs w:val="24"/>
        </w:rPr>
        <w:t xml:space="preserve"> </w:t>
      </w:r>
      <w:r w:rsidR="000F0B39">
        <w:rPr>
          <w:rFonts w:ascii="Times New Roman" w:hAnsi="Times New Roman"/>
          <w:sz w:val="24"/>
          <w:szCs w:val="24"/>
        </w:rPr>
        <w:t>resulting in a value of 14,000 carriers (14,138 = 12,699 × 1.1133), rounded to the nearest thousand yields 14,000)</w:t>
      </w:r>
      <w:r w:rsidR="00E4024A">
        <w:rPr>
          <w:rFonts w:ascii="Times New Roman" w:hAnsi="Times New Roman"/>
          <w:sz w:val="24"/>
          <w:szCs w:val="24"/>
        </w:rPr>
        <w:t xml:space="preserve">. </w:t>
      </w:r>
      <w:r w:rsidR="002540CA">
        <w:rPr>
          <w:rFonts w:ascii="Times New Roman" w:hAnsi="Times New Roman"/>
          <w:bCs/>
          <w:sz w:val="24"/>
          <w:szCs w:val="24"/>
        </w:rPr>
        <w:t xml:space="preserve">The three-year average carrier count across years 2017 to 2019 is therefore 14,000. </w:t>
      </w:r>
      <w:r w:rsidR="006C0A58">
        <w:rPr>
          <w:rFonts w:ascii="Times New Roman" w:hAnsi="Times New Roman"/>
          <w:sz w:val="24"/>
          <w:szCs w:val="24"/>
        </w:rPr>
        <w:t xml:space="preserve">The </w:t>
      </w:r>
      <w:r w:rsidR="003E15AF">
        <w:rPr>
          <w:rFonts w:ascii="Times New Roman" w:hAnsi="Times New Roman"/>
          <w:sz w:val="24"/>
          <w:szCs w:val="24"/>
        </w:rPr>
        <w:t>average carrier in this group operates 6.6 passenger vehicles.</w:t>
      </w:r>
      <w:r w:rsidR="006C0A58">
        <w:rPr>
          <w:rFonts w:ascii="Times New Roman" w:hAnsi="Times New Roman"/>
          <w:sz w:val="24"/>
          <w:szCs w:val="24"/>
        </w:rPr>
        <w:t xml:space="preserve"> </w:t>
      </w:r>
      <w:r w:rsidR="003E5CF9">
        <w:rPr>
          <w:rFonts w:ascii="Times New Roman" w:hAnsi="Times New Roman"/>
          <w:sz w:val="24"/>
          <w:szCs w:val="24"/>
        </w:rPr>
        <w:t xml:space="preserve">Assuming this ratio remains constant, </w:t>
      </w:r>
      <w:r w:rsidR="007853F7">
        <w:rPr>
          <w:rFonts w:ascii="Times New Roman" w:hAnsi="Times New Roman"/>
          <w:sz w:val="24"/>
          <w:szCs w:val="24"/>
        </w:rPr>
        <w:t xml:space="preserve">it is estimated that these </w:t>
      </w:r>
      <w:r w:rsidR="004F7E4B">
        <w:rPr>
          <w:rFonts w:ascii="Times New Roman" w:hAnsi="Times New Roman"/>
          <w:sz w:val="24"/>
          <w:szCs w:val="24"/>
        </w:rPr>
        <w:t>14,000</w:t>
      </w:r>
      <w:r w:rsidR="003E15AF">
        <w:rPr>
          <w:rFonts w:ascii="Times New Roman" w:hAnsi="Times New Roman"/>
          <w:sz w:val="24"/>
          <w:szCs w:val="24"/>
        </w:rPr>
        <w:t xml:space="preserve"> </w:t>
      </w:r>
      <w:r w:rsidR="007853F7">
        <w:rPr>
          <w:rFonts w:ascii="Times New Roman" w:hAnsi="Times New Roman"/>
          <w:sz w:val="24"/>
          <w:szCs w:val="24"/>
        </w:rPr>
        <w:t xml:space="preserve">carriers </w:t>
      </w:r>
      <w:r w:rsidR="003E5CF9">
        <w:rPr>
          <w:rFonts w:ascii="Times New Roman" w:hAnsi="Times New Roman"/>
          <w:sz w:val="24"/>
          <w:szCs w:val="24"/>
        </w:rPr>
        <w:t xml:space="preserve">will </w:t>
      </w:r>
      <w:r w:rsidR="007853F7">
        <w:rPr>
          <w:rFonts w:ascii="Times New Roman" w:hAnsi="Times New Roman"/>
          <w:sz w:val="24"/>
          <w:szCs w:val="24"/>
        </w:rPr>
        <w:t xml:space="preserve">operate approximately </w:t>
      </w:r>
      <w:r w:rsidR="004F7E4B">
        <w:rPr>
          <w:rFonts w:ascii="Times New Roman" w:hAnsi="Times New Roman"/>
          <w:sz w:val="24"/>
          <w:szCs w:val="24"/>
        </w:rPr>
        <w:t xml:space="preserve">92,000 </w:t>
      </w:r>
      <w:r w:rsidR="00655341">
        <w:rPr>
          <w:rFonts w:ascii="Times New Roman" w:hAnsi="Times New Roman"/>
          <w:sz w:val="24"/>
          <w:szCs w:val="24"/>
        </w:rPr>
        <w:t>CMVs (</w:t>
      </w:r>
      <w:r w:rsidR="004F7E4B">
        <w:rPr>
          <w:rFonts w:ascii="Times New Roman" w:hAnsi="Times New Roman"/>
          <w:sz w:val="24"/>
          <w:szCs w:val="24"/>
        </w:rPr>
        <w:t>92,400</w:t>
      </w:r>
      <w:r w:rsidR="00655341">
        <w:rPr>
          <w:rFonts w:ascii="Times New Roman" w:hAnsi="Times New Roman"/>
          <w:sz w:val="24"/>
          <w:szCs w:val="24"/>
        </w:rPr>
        <w:t xml:space="preserve"> = </w:t>
      </w:r>
      <w:r w:rsidR="00A236D5">
        <w:rPr>
          <w:rFonts w:ascii="Times New Roman" w:hAnsi="Times New Roman"/>
          <w:sz w:val="24"/>
          <w:szCs w:val="24"/>
        </w:rPr>
        <w:t>6.6</w:t>
      </w:r>
      <w:r w:rsidR="00655341">
        <w:rPr>
          <w:rFonts w:ascii="Times New Roman" w:hAnsi="Times New Roman"/>
          <w:sz w:val="24"/>
          <w:szCs w:val="24"/>
        </w:rPr>
        <w:t xml:space="preserve"> </w:t>
      </w:r>
      <w:r w:rsidR="00CB0CEC">
        <w:rPr>
          <w:rFonts w:ascii="Times New Roman" w:hAnsi="Times New Roman"/>
          <w:sz w:val="24"/>
          <w:szCs w:val="24"/>
        </w:rPr>
        <w:t>×</w:t>
      </w:r>
      <w:r w:rsidR="00655341">
        <w:rPr>
          <w:rFonts w:ascii="Times New Roman" w:hAnsi="Times New Roman"/>
          <w:sz w:val="24"/>
          <w:szCs w:val="24"/>
        </w:rPr>
        <w:t xml:space="preserve"> </w:t>
      </w:r>
      <w:r w:rsidR="004F7E4B">
        <w:rPr>
          <w:rFonts w:ascii="Times New Roman" w:hAnsi="Times New Roman"/>
          <w:sz w:val="24"/>
          <w:szCs w:val="24"/>
        </w:rPr>
        <w:t>14,000</w:t>
      </w:r>
      <w:r w:rsidR="007853F7">
        <w:rPr>
          <w:rFonts w:ascii="Times New Roman" w:hAnsi="Times New Roman"/>
          <w:sz w:val="24"/>
          <w:szCs w:val="24"/>
        </w:rPr>
        <w:t>, rounded to the nearest thousand</w:t>
      </w:r>
      <w:r w:rsidR="00655341">
        <w:rPr>
          <w:rFonts w:ascii="Times New Roman" w:hAnsi="Times New Roman"/>
          <w:sz w:val="24"/>
          <w:szCs w:val="24"/>
        </w:rPr>
        <w:t xml:space="preserve"> yields </w:t>
      </w:r>
      <w:r w:rsidR="004F7E4B">
        <w:rPr>
          <w:rFonts w:ascii="Times New Roman" w:hAnsi="Times New Roman"/>
          <w:sz w:val="24"/>
          <w:szCs w:val="24"/>
        </w:rPr>
        <w:t>92,000</w:t>
      </w:r>
      <w:r w:rsidR="007853F7">
        <w:rPr>
          <w:rFonts w:ascii="Times New Roman" w:hAnsi="Times New Roman"/>
          <w:sz w:val="24"/>
          <w:szCs w:val="24"/>
        </w:rPr>
        <w:t>).</w:t>
      </w:r>
    </w:p>
    <w:p w14:paraId="174EC348" w14:textId="77777777" w:rsidR="008F4BDA" w:rsidRPr="008F4BDA" w:rsidRDefault="008F4BDA" w:rsidP="004203CB">
      <w:pPr>
        <w:widowControl/>
        <w:ind w:left="360"/>
        <w:rPr>
          <w:rFonts w:ascii="Times New Roman" w:hAnsi="Times New Roman"/>
          <w:bCs/>
          <w:sz w:val="24"/>
          <w:szCs w:val="24"/>
        </w:rPr>
      </w:pPr>
    </w:p>
    <w:p w14:paraId="43A65349" w14:textId="720F1D87" w:rsidR="008F4BDA" w:rsidRPr="008F4BDA" w:rsidRDefault="008F4BDA" w:rsidP="004203CB">
      <w:pPr>
        <w:widowControl/>
        <w:numPr>
          <w:ilvl w:val="0"/>
          <w:numId w:val="40"/>
        </w:numPr>
        <w:rPr>
          <w:rFonts w:ascii="Times New Roman" w:hAnsi="Times New Roman"/>
          <w:bCs/>
          <w:sz w:val="24"/>
          <w:szCs w:val="24"/>
        </w:rPr>
      </w:pPr>
      <w:r w:rsidRPr="008F4BDA">
        <w:rPr>
          <w:rFonts w:ascii="Times New Roman" w:hAnsi="Times New Roman"/>
          <w:bCs/>
          <w:sz w:val="24"/>
          <w:szCs w:val="24"/>
        </w:rPr>
        <w:t xml:space="preserve">Approximately </w:t>
      </w:r>
      <w:r w:rsidR="0048656D">
        <w:rPr>
          <w:rFonts w:ascii="Times New Roman" w:hAnsi="Times New Roman"/>
          <w:bCs/>
          <w:sz w:val="24"/>
          <w:szCs w:val="24"/>
        </w:rPr>
        <w:t>83,000</w:t>
      </w:r>
      <w:r w:rsidRPr="008F4BDA">
        <w:rPr>
          <w:rFonts w:ascii="Times New Roman" w:hAnsi="Times New Roman"/>
          <w:bCs/>
          <w:sz w:val="24"/>
          <w:szCs w:val="24"/>
        </w:rPr>
        <w:t xml:space="preserve"> (or 90 percent of the </w:t>
      </w:r>
      <w:r w:rsidR="0048656D">
        <w:rPr>
          <w:rFonts w:ascii="Times New Roman" w:hAnsi="Times New Roman"/>
          <w:bCs/>
          <w:sz w:val="24"/>
          <w:szCs w:val="24"/>
        </w:rPr>
        <w:t>92,000</w:t>
      </w:r>
      <w:r w:rsidRPr="008F4BDA">
        <w:rPr>
          <w:rFonts w:ascii="Times New Roman" w:hAnsi="Times New Roman"/>
          <w:bCs/>
          <w:sz w:val="24"/>
          <w:szCs w:val="24"/>
        </w:rPr>
        <w:t xml:space="preserve">) CMVs are owned and assumed to use decals or stencils for permanent signage. </w:t>
      </w:r>
    </w:p>
    <w:p w14:paraId="5ED5DEDA" w14:textId="11DD0F34" w:rsidR="008F4BDA" w:rsidRPr="008F4BDA" w:rsidRDefault="008F4BDA" w:rsidP="004203CB">
      <w:pPr>
        <w:widowControl/>
        <w:numPr>
          <w:ilvl w:val="0"/>
          <w:numId w:val="40"/>
        </w:numPr>
        <w:rPr>
          <w:rFonts w:ascii="Times New Roman" w:hAnsi="Times New Roman"/>
          <w:bCs/>
          <w:sz w:val="24"/>
          <w:szCs w:val="24"/>
        </w:rPr>
      </w:pPr>
      <w:r w:rsidRPr="008F4BDA">
        <w:rPr>
          <w:rFonts w:ascii="Times New Roman" w:hAnsi="Times New Roman"/>
          <w:bCs/>
          <w:sz w:val="24"/>
          <w:szCs w:val="24"/>
        </w:rPr>
        <w:t xml:space="preserve">The remaining </w:t>
      </w:r>
      <w:r w:rsidR="0048656D">
        <w:rPr>
          <w:rFonts w:ascii="Times New Roman" w:hAnsi="Times New Roman"/>
          <w:bCs/>
          <w:sz w:val="24"/>
          <w:szCs w:val="24"/>
        </w:rPr>
        <w:t>9,000</w:t>
      </w:r>
      <w:r w:rsidRPr="008F4BDA">
        <w:rPr>
          <w:rFonts w:ascii="Times New Roman" w:hAnsi="Times New Roman"/>
          <w:bCs/>
          <w:sz w:val="24"/>
          <w:szCs w:val="24"/>
        </w:rPr>
        <w:t xml:space="preserve"> (or 10 percent of the </w:t>
      </w:r>
      <w:r w:rsidR="0048656D">
        <w:rPr>
          <w:rFonts w:ascii="Times New Roman" w:hAnsi="Times New Roman"/>
          <w:bCs/>
          <w:sz w:val="24"/>
          <w:szCs w:val="24"/>
        </w:rPr>
        <w:t>92,000</w:t>
      </w:r>
      <w:r w:rsidRPr="008F4BDA">
        <w:rPr>
          <w:rFonts w:ascii="Times New Roman" w:hAnsi="Times New Roman"/>
          <w:bCs/>
          <w:sz w:val="24"/>
          <w:szCs w:val="24"/>
        </w:rPr>
        <w:t>) CMVs are term-leased</w:t>
      </w:r>
      <w:r w:rsidR="00BB2152">
        <w:rPr>
          <w:rFonts w:ascii="Times New Roman" w:hAnsi="Times New Roman"/>
          <w:bCs/>
          <w:sz w:val="24"/>
          <w:szCs w:val="24"/>
        </w:rPr>
        <w:t xml:space="preserve"> </w:t>
      </w:r>
      <w:r w:rsidR="004C33B0">
        <w:rPr>
          <w:rFonts w:ascii="Times New Roman" w:hAnsi="Times New Roman"/>
          <w:bCs/>
          <w:sz w:val="24"/>
          <w:szCs w:val="24"/>
        </w:rPr>
        <w:t>(b</w:t>
      </w:r>
      <w:r w:rsidRPr="008F4BDA">
        <w:rPr>
          <w:rFonts w:ascii="Times New Roman" w:hAnsi="Times New Roman"/>
          <w:bCs/>
          <w:sz w:val="24"/>
          <w:szCs w:val="24"/>
        </w:rPr>
        <w:t>oth figures are rounded.)</w:t>
      </w:r>
    </w:p>
    <w:p w14:paraId="4DD32809" w14:textId="77777777" w:rsidR="008F4BDA" w:rsidRPr="008F4BDA" w:rsidRDefault="008F4BDA" w:rsidP="004203CB">
      <w:pPr>
        <w:widowControl/>
        <w:ind w:left="360"/>
        <w:rPr>
          <w:rFonts w:ascii="Times New Roman" w:hAnsi="Times New Roman"/>
          <w:bCs/>
          <w:sz w:val="24"/>
          <w:szCs w:val="24"/>
        </w:rPr>
      </w:pPr>
    </w:p>
    <w:p w14:paraId="38B3CF1D" w14:textId="77777777"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Average annual rates of the resale of used passenger-carrying CMVs could not be readily located.  To arrive at an estimate, the Agency makes equivalent assumptions about the proportion of newly acquired and re-identified passenger-carrying CMVs as was made for freight-carrying CMVs (i.e., nearly 1/15 of current fleet are newly acquired, 1/3 of current fleet are resold and/or re-identified every year). </w:t>
      </w:r>
    </w:p>
    <w:p w14:paraId="651D7050" w14:textId="77777777" w:rsidR="008F4BDA" w:rsidRPr="008F4BDA" w:rsidRDefault="008F4BDA" w:rsidP="004203CB">
      <w:pPr>
        <w:widowControl/>
        <w:ind w:left="360"/>
        <w:rPr>
          <w:rFonts w:ascii="Times New Roman" w:hAnsi="Times New Roman"/>
          <w:bCs/>
          <w:sz w:val="24"/>
          <w:szCs w:val="24"/>
        </w:rPr>
      </w:pPr>
    </w:p>
    <w:p w14:paraId="356A92AB" w14:textId="77777777"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Marking of owned vehicles (which use decals or stencils, see above) takes 26 minutes, consistent with other previous estimates calculated herein. Marking of leased vehicles (which use paper signs, see above) takes a negligible amount of time (i.e., assumed 0 minutes).</w:t>
      </w:r>
    </w:p>
    <w:p w14:paraId="54896949" w14:textId="77777777" w:rsidR="008F4BDA" w:rsidRPr="008F4BDA" w:rsidRDefault="008F4BDA" w:rsidP="004203CB">
      <w:pPr>
        <w:widowControl/>
        <w:ind w:left="360"/>
        <w:rPr>
          <w:rFonts w:ascii="Times New Roman" w:hAnsi="Times New Roman"/>
          <w:bCs/>
          <w:sz w:val="24"/>
          <w:szCs w:val="24"/>
        </w:rPr>
      </w:pPr>
    </w:p>
    <w:p w14:paraId="3698F414" w14:textId="43DDEC80"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lastRenderedPageBreak/>
        <w:t xml:space="preserve">The estimated number of newly-acquired owned passenger-carrying CMVs </w:t>
      </w:r>
      <w:r w:rsidR="00CB458F">
        <w:rPr>
          <w:rFonts w:ascii="Times New Roman" w:hAnsi="Times New Roman"/>
          <w:bCs/>
          <w:sz w:val="24"/>
          <w:szCs w:val="24"/>
        </w:rPr>
        <w:t>is</w:t>
      </w:r>
      <w:r w:rsidRPr="008F4BDA">
        <w:rPr>
          <w:rFonts w:ascii="Times New Roman" w:hAnsi="Times New Roman"/>
          <w:bCs/>
          <w:sz w:val="24"/>
          <w:szCs w:val="24"/>
        </w:rPr>
        <w:t xml:space="preserve"> </w:t>
      </w:r>
      <w:r w:rsidR="00076239">
        <w:rPr>
          <w:rFonts w:ascii="Times New Roman" w:hAnsi="Times New Roman"/>
          <w:bCs/>
          <w:sz w:val="24"/>
          <w:szCs w:val="24"/>
        </w:rPr>
        <w:t>6,000</w:t>
      </w:r>
      <w:r w:rsidRPr="008F4BDA">
        <w:rPr>
          <w:rFonts w:ascii="Times New Roman" w:hAnsi="Times New Roman"/>
          <w:bCs/>
          <w:sz w:val="24"/>
          <w:szCs w:val="24"/>
        </w:rPr>
        <w:t xml:space="preserve"> per year (</w:t>
      </w:r>
      <w:r w:rsidR="00076239">
        <w:rPr>
          <w:rFonts w:ascii="Times New Roman" w:hAnsi="Times New Roman"/>
          <w:bCs/>
          <w:sz w:val="24"/>
          <w:szCs w:val="24"/>
        </w:rPr>
        <w:t>83,000</w:t>
      </w:r>
      <w:r w:rsidRPr="008F4BDA">
        <w:rPr>
          <w:rFonts w:ascii="Times New Roman" w:hAnsi="Times New Roman"/>
          <w:bCs/>
          <w:sz w:val="24"/>
          <w:szCs w:val="24"/>
        </w:rPr>
        <w:t xml:space="preserve"> owned passenger-carrying CMVs ÷ 14.7 years average CMV operational life, rounded to the nearest thousand). The number of resold and owned re-identified passenger-carrying CMVs is estimated to be </w:t>
      </w:r>
      <w:r w:rsidR="00005422">
        <w:rPr>
          <w:rFonts w:ascii="Times New Roman" w:hAnsi="Times New Roman"/>
          <w:bCs/>
          <w:sz w:val="24"/>
          <w:szCs w:val="24"/>
        </w:rPr>
        <w:t xml:space="preserve">26,000 </w:t>
      </w:r>
      <w:r w:rsidRPr="008F4BDA">
        <w:rPr>
          <w:rFonts w:ascii="Times New Roman" w:hAnsi="Times New Roman"/>
          <w:bCs/>
          <w:sz w:val="24"/>
          <w:szCs w:val="24"/>
        </w:rPr>
        <w:t>per year ([</w:t>
      </w:r>
      <w:r w:rsidR="00076239">
        <w:rPr>
          <w:rFonts w:ascii="Times New Roman" w:hAnsi="Times New Roman"/>
          <w:bCs/>
          <w:sz w:val="24"/>
          <w:szCs w:val="24"/>
        </w:rPr>
        <w:t>83,000</w:t>
      </w:r>
      <w:r w:rsidRPr="008F4BDA">
        <w:rPr>
          <w:rFonts w:ascii="Times New Roman" w:hAnsi="Times New Roman"/>
          <w:bCs/>
          <w:sz w:val="24"/>
          <w:szCs w:val="24"/>
        </w:rPr>
        <w:t xml:space="preserve"> owned passenger-carrying CMVs – </w:t>
      </w:r>
      <w:r w:rsidR="00076239">
        <w:rPr>
          <w:rFonts w:ascii="Times New Roman" w:hAnsi="Times New Roman"/>
          <w:bCs/>
          <w:sz w:val="24"/>
          <w:szCs w:val="24"/>
        </w:rPr>
        <w:t>6,000</w:t>
      </w:r>
      <w:r w:rsidRPr="008F4BDA">
        <w:rPr>
          <w:rFonts w:ascii="Times New Roman" w:hAnsi="Times New Roman"/>
          <w:bCs/>
          <w:sz w:val="24"/>
          <w:szCs w:val="24"/>
        </w:rPr>
        <w:t xml:space="preserve">] ÷ 3 years average re-identification rate, rounded to the nearest thousand). This results in an estimated </w:t>
      </w:r>
      <w:r w:rsidR="00633195">
        <w:rPr>
          <w:rFonts w:ascii="Times New Roman" w:hAnsi="Times New Roman"/>
          <w:bCs/>
          <w:sz w:val="24"/>
          <w:szCs w:val="24"/>
        </w:rPr>
        <w:t>32,000</w:t>
      </w:r>
      <w:r w:rsidRPr="008F4BDA">
        <w:rPr>
          <w:rFonts w:ascii="Times New Roman" w:hAnsi="Times New Roman"/>
          <w:bCs/>
          <w:sz w:val="24"/>
          <w:szCs w:val="24"/>
        </w:rPr>
        <w:t xml:space="preserve"> owned passenger-carrying CMVs (</w:t>
      </w:r>
      <w:r w:rsidR="00633195">
        <w:rPr>
          <w:rFonts w:ascii="Times New Roman" w:hAnsi="Times New Roman"/>
          <w:bCs/>
          <w:sz w:val="24"/>
          <w:szCs w:val="24"/>
        </w:rPr>
        <w:t>6,000</w:t>
      </w:r>
      <w:r w:rsidRPr="008F4BDA">
        <w:rPr>
          <w:rFonts w:ascii="Times New Roman" w:hAnsi="Times New Roman"/>
          <w:bCs/>
          <w:sz w:val="24"/>
          <w:szCs w:val="24"/>
        </w:rPr>
        <w:t xml:space="preserve"> + </w:t>
      </w:r>
      <w:r w:rsidR="00633195">
        <w:rPr>
          <w:rFonts w:ascii="Times New Roman" w:hAnsi="Times New Roman"/>
          <w:bCs/>
          <w:sz w:val="24"/>
          <w:szCs w:val="24"/>
        </w:rPr>
        <w:t>26,000</w:t>
      </w:r>
      <w:r w:rsidRPr="008F4BDA">
        <w:rPr>
          <w:rFonts w:ascii="Times New Roman" w:hAnsi="Times New Roman"/>
          <w:bCs/>
          <w:sz w:val="24"/>
          <w:szCs w:val="24"/>
        </w:rPr>
        <w:t xml:space="preserve">) impacted by marking requirements annually. </w:t>
      </w:r>
    </w:p>
    <w:p w14:paraId="24D885F3" w14:textId="77777777" w:rsidR="008F4BDA" w:rsidRPr="008F4BDA" w:rsidRDefault="008F4BDA" w:rsidP="004203CB">
      <w:pPr>
        <w:widowControl/>
        <w:ind w:left="360"/>
        <w:rPr>
          <w:rFonts w:ascii="Times New Roman" w:hAnsi="Times New Roman"/>
          <w:bCs/>
          <w:sz w:val="24"/>
          <w:szCs w:val="24"/>
        </w:rPr>
      </w:pPr>
    </w:p>
    <w:p w14:paraId="21977739" w14:textId="64E95848"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The estimated number of newly acquired leased passenger-carrying CMVs is approximately </w:t>
      </w:r>
      <w:r w:rsidR="00640666">
        <w:rPr>
          <w:rFonts w:ascii="Times New Roman" w:hAnsi="Times New Roman"/>
          <w:bCs/>
          <w:sz w:val="24"/>
          <w:szCs w:val="24"/>
        </w:rPr>
        <w:t>1,000</w:t>
      </w:r>
      <w:r w:rsidRPr="008F4BDA">
        <w:rPr>
          <w:rFonts w:ascii="Times New Roman" w:hAnsi="Times New Roman"/>
          <w:bCs/>
          <w:sz w:val="24"/>
          <w:szCs w:val="24"/>
        </w:rPr>
        <w:t xml:space="preserve"> per year (</w:t>
      </w:r>
      <w:r w:rsidR="00640666">
        <w:rPr>
          <w:rFonts w:ascii="Times New Roman" w:hAnsi="Times New Roman"/>
          <w:bCs/>
          <w:sz w:val="24"/>
          <w:szCs w:val="24"/>
        </w:rPr>
        <w:t>9,000</w:t>
      </w:r>
      <w:r w:rsidRPr="008F4BDA">
        <w:rPr>
          <w:rFonts w:ascii="Times New Roman" w:hAnsi="Times New Roman"/>
          <w:bCs/>
          <w:sz w:val="24"/>
          <w:szCs w:val="24"/>
        </w:rPr>
        <w:t xml:space="preserve"> leased passenger-carrying CMVs ÷ 14.7 years average CMV operational life, rounded to the nearest thousand); and the estimated number of resold and re-identified leased passenger-carrying CMVs is estimated to be </w:t>
      </w:r>
      <w:r w:rsidR="00640666">
        <w:rPr>
          <w:rFonts w:ascii="Times New Roman" w:hAnsi="Times New Roman"/>
          <w:bCs/>
          <w:sz w:val="24"/>
          <w:szCs w:val="24"/>
        </w:rPr>
        <w:t>3</w:t>
      </w:r>
      <w:r w:rsidR="009901F3">
        <w:rPr>
          <w:rFonts w:ascii="Times New Roman" w:hAnsi="Times New Roman"/>
          <w:bCs/>
          <w:sz w:val="24"/>
          <w:szCs w:val="24"/>
        </w:rPr>
        <w:t>,000</w:t>
      </w:r>
      <w:r w:rsidRPr="008F4BDA">
        <w:rPr>
          <w:rFonts w:ascii="Times New Roman" w:hAnsi="Times New Roman"/>
          <w:bCs/>
          <w:sz w:val="24"/>
          <w:szCs w:val="24"/>
        </w:rPr>
        <w:t xml:space="preserve"> per year ([</w:t>
      </w:r>
      <w:r w:rsidR="00640666">
        <w:rPr>
          <w:rFonts w:ascii="Times New Roman" w:hAnsi="Times New Roman"/>
          <w:bCs/>
          <w:sz w:val="24"/>
          <w:szCs w:val="24"/>
        </w:rPr>
        <w:t>9,000</w:t>
      </w:r>
      <w:r w:rsidRPr="008F4BDA">
        <w:rPr>
          <w:rFonts w:ascii="Times New Roman" w:hAnsi="Times New Roman"/>
          <w:bCs/>
          <w:sz w:val="24"/>
          <w:szCs w:val="24"/>
        </w:rPr>
        <w:t xml:space="preserve"> leased passenger-carrying CMVs – </w:t>
      </w:r>
      <w:r w:rsidR="00640666">
        <w:rPr>
          <w:rFonts w:ascii="Times New Roman" w:hAnsi="Times New Roman"/>
          <w:bCs/>
          <w:sz w:val="24"/>
          <w:szCs w:val="24"/>
        </w:rPr>
        <w:t>1,000</w:t>
      </w:r>
      <w:r w:rsidRPr="008F4BDA">
        <w:rPr>
          <w:rFonts w:ascii="Times New Roman" w:hAnsi="Times New Roman"/>
          <w:bCs/>
          <w:sz w:val="24"/>
          <w:szCs w:val="24"/>
        </w:rPr>
        <w:t xml:space="preserve"> newly acquired CMVs] ÷ 3 years average re-identification rate, rounded to the nearest thousand). This results in an estimated </w:t>
      </w:r>
      <w:r w:rsidR="00640666">
        <w:rPr>
          <w:rFonts w:ascii="Times New Roman" w:hAnsi="Times New Roman"/>
          <w:bCs/>
          <w:sz w:val="24"/>
          <w:szCs w:val="24"/>
        </w:rPr>
        <w:t>4</w:t>
      </w:r>
      <w:r w:rsidR="00EF5207">
        <w:rPr>
          <w:rFonts w:ascii="Times New Roman" w:hAnsi="Times New Roman"/>
          <w:bCs/>
          <w:sz w:val="24"/>
          <w:szCs w:val="24"/>
        </w:rPr>
        <w:t>,000</w:t>
      </w:r>
      <w:r w:rsidRPr="008F4BDA">
        <w:rPr>
          <w:rFonts w:ascii="Times New Roman" w:hAnsi="Times New Roman"/>
          <w:bCs/>
          <w:sz w:val="24"/>
          <w:szCs w:val="24"/>
        </w:rPr>
        <w:t xml:space="preserve"> leased passenger-carrying CMVs (</w:t>
      </w:r>
      <w:r w:rsidR="0066570B">
        <w:rPr>
          <w:rFonts w:ascii="Times New Roman" w:hAnsi="Times New Roman"/>
          <w:bCs/>
          <w:sz w:val="24"/>
          <w:szCs w:val="24"/>
        </w:rPr>
        <w:t>1</w:t>
      </w:r>
      <w:r w:rsidR="00EF5207">
        <w:rPr>
          <w:rFonts w:ascii="Times New Roman" w:hAnsi="Times New Roman"/>
          <w:bCs/>
          <w:sz w:val="24"/>
          <w:szCs w:val="24"/>
        </w:rPr>
        <w:t>,000</w:t>
      </w:r>
      <w:r w:rsidRPr="008F4BDA">
        <w:rPr>
          <w:rFonts w:ascii="Times New Roman" w:hAnsi="Times New Roman"/>
          <w:bCs/>
          <w:sz w:val="24"/>
          <w:szCs w:val="24"/>
        </w:rPr>
        <w:t xml:space="preserve"> + </w:t>
      </w:r>
      <w:r w:rsidR="0066570B">
        <w:rPr>
          <w:rFonts w:ascii="Times New Roman" w:hAnsi="Times New Roman"/>
          <w:bCs/>
          <w:sz w:val="24"/>
          <w:szCs w:val="24"/>
        </w:rPr>
        <w:t>3</w:t>
      </w:r>
      <w:r w:rsidR="00EF5207">
        <w:rPr>
          <w:rFonts w:ascii="Times New Roman" w:hAnsi="Times New Roman"/>
          <w:bCs/>
          <w:sz w:val="24"/>
          <w:szCs w:val="24"/>
        </w:rPr>
        <w:t>,000</w:t>
      </w:r>
      <w:r w:rsidRPr="008F4BDA">
        <w:rPr>
          <w:rFonts w:ascii="Times New Roman" w:hAnsi="Times New Roman"/>
          <w:bCs/>
          <w:sz w:val="24"/>
          <w:szCs w:val="24"/>
        </w:rPr>
        <w:t xml:space="preserve">) impacted by marking requirements annually. </w:t>
      </w:r>
    </w:p>
    <w:p w14:paraId="4AC5852C" w14:textId="77777777" w:rsidR="008F4BDA" w:rsidRPr="008F4BDA" w:rsidRDefault="008F4BDA" w:rsidP="004203CB">
      <w:pPr>
        <w:widowControl/>
        <w:ind w:left="360"/>
        <w:rPr>
          <w:rFonts w:ascii="Times New Roman" w:hAnsi="Times New Roman"/>
          <w:bCs/>
          <w:sz w:val="24"/>
          <w:szCs w:val="24"/>
        </w:rPr>
      </w:pPr>
    </w:p>
    <w:p w14:paraId="1692BD0F" w14:textId="723A0CB4"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The total number of passenger-carrying CMVs impacted by the marking requirements is </w:t>
      </w:r>
      <w:r w:rsidR="00B50B9B">
        <w:rPr>
          <w:rFonts w:ascii="Times New Roman" w:hAnsi="Times New Roman"/>
          <w:bCs/>
          <w:sz w:val="24"/>
          <w:szCs w:val="24"/>
        </w:rPr>
        <w:t xml:space="preserve">therefore </w:t>
      </w:r>
      <w:r w:rsidRPr="008F4BDA">
        <w:rPr>
          <w:rFonts w:ascii="Times New Roman" w:hAnsi="Times New Roman"/>
          <w:bCs/>
          <w:sz w:val="24"/>
          <w:szCs w:val="24"/>
        </w:rPr>
        <w:t xml:space="preserve">estimated to be </w:t>
      </w:r>
      <w:r w:rsidR="00AF6528">
        <w:rPr>
          <w:rFonts w:ascii="Times New Roman" w:hAnsi="Times New Roman"/>
          <w:b/>
          <w:bCs/>
          <w:sz w:val="24"/>
          <w:szCs w:val="24"/>
        </w:rPr>
        <w:t>36,000</w:t>
      </w:r>
      <w:r w:rsidRPr="008F4BDA">
        <w:rPr>
          <w:rFonts w:ascii="Times New Roman" w:hAnsi="Times New Roman"/>
          <w:bCs/>
          <w:sz w:val="24"/>
          <w:szCs w:val="24"/>
        </w:rPr>
        <w:t xml:space="preserve"> per year (</w:t>
      </w:r>
      <w:r w:rsidR="00482ED7">
        <w:rPr>
          <w:rFonts w:ascii="Times New Roman" w:hAnsi="Times New Roman"/>
          <w:bCs/>
          <w:sz w:val="24"/>
          <w:szCs w:val="24"/>
        </w:rPr>
        <w:t>32,000</w:t>
      </w:r>
      <w:r w:rsidRPr="008F4BDA">
        <w:rPr>
          <w:rFonts w:ascii="Times New Roman" w:hAnsi="Times New Roman"/>
          <w:bCs/>
          <w:sz w:val="24"/>
          <w:szCs w:val="24"/>
        </w:rPr>
        <w:t xml:space="preserve"> +</w:t>
      </w:r>
      <w:r w:rsidR="00BF7423">
        <w:rPr>
          <w:rFonts w:ascii="Times New Roman" w:hAnsi="Times New Roman"/>
          <w:bCs/>
          <w:sz w:val="24"/>
          <w:szCs w:val="24"/>
        </w:rPr>
        <w:t xml:space="preserve"> </w:t>
      </w:r>
      <w:r w:rsidR="00482ED7">
        <w:rPr>
          <w:rFonts w:ascii="Times New Roman" w:hAnsi="Times New Roman"/>
          <w:bCs/>
          <w:sz w:val="24"/>
          <w:szCs w:val="24"/>
        </w:rPr>
        <w:t>4</w:t>
      </w:r>
      <w:r w:rsidR="00BF7423">
        <w:rPr>
          <w:rFonts w:ascii="Times New Roman" w:hAnsi="Times New Roman"/>
          <w:bCs/>
          <w:sz w:val="24"/>
          <w:szCs w:val="24"/>
        </w:rPr>
        <w:t>,000</w:t>
      </w:r>
      <w:r w:rsidRPr="008F4BDA">
        <w:rPr>
          <w:rFonts w:ascii="Times New Roman" w:hAnsi="Times New Roman"/>
          <w:bCs/>
          <w:sz w:val="24"/>
          <w:szCs w:val="24"/>
        </w:rPr>
        <w:t>).</w:t>
      </w:r>
    </w:p>
    <w:p w14:paraId="166B9449" w14:textId="77777777" w:rsidR="008F4BDA" w:rsidRPr="008F4BDA" w:rsidRDefault="008F4BDA" w:rsidP="004203CB">
      <w:pPr>
        <w:widowControl/>
        <w:ind w:left="360"/>
        <w:rPr>
          <w:rFonts w:ascii="Times New Roman" w:hAnsi="Times New Roman"/>
          <w:bCs/>
          <w:sz w:val="24"/>
          <w:szCs w:val="24"/>
        </w:rPr>
      </w:pPr>
    </w:p>
    <w:p w14:paraId="382471F6" w14:textId="76B3E779"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The estimated </w:t>
      </w:r>
      <w:r w:rsidR="00CB458F">
        <w:rPr>
          <w:rFonts w:ascii="Times New Roman" w:hAnsi="Times New Roman"/>
          <w:bCs/>
          <w:sz w:val="24"/>
          <w:szCs w:val="24"/>
        </w:rPr>
        <w:t>annual</w:t>
      </w:r>
      <w:r w:rsidRPr="008F4BDA">
        <w:rPr>
          <w:rFonts w:ascii="Times New Roman" w:hAnsi="Times New Roman"/>
          <w:bCs/>
          <w:sz w:val="24"/>
          <w:szCs w:val="24"/>
        </w:rPr>
        <w:t xml:space="preserve"> number of burden hours</w:t>
      </w:r>
      <w:r w:rsidR="0031233A">
        <w:rPr>
          <w:rFonts w:ascii="Times New Roman" w:hAnsi="Times New Roman"/>
          <w:bCs/>
          <w:sz w:val="24"/>
          <w:szCs w:val="24"/>
        </w:rPr>
        <w:t xml:space="preserve"> </w:t>
      </w:r>
      <w:r w:rsidRPr="008F4BDA">
        <w:rPr>
          <w:rFonts w:ascii="Times New Roman" w:hAnsi="Times New Roman"/>
          <w:bCs/>
          <w:sz w:val="24"/>
          <w:szCs w:val="24"/>
        </w:rPr>
        <w:t xml:space="preserve">(accounting for the respective total number of vehicles) attributed to marking is </w:t>
      </w:r>
      <w:r w:rsidR="008D3F5D">
        <w:rPr>
          <w:rFonts w:ascii="Times New Roman" w:hAnsi="Times New Roman"/>
          <w:b/>
          <w:bCs/>
          <w:sz w:val="24"/>
          <w:szCs w:val="24"/>
        </w:rPr>
        <w:t>14,000</w:t>
      </w:r>
      <w:r w:rsidRPr="008F4BDA">
        <w:rPr>
          <w:rFonts w:ascii="Times New Roman" w:hAnsi="Times New Roman"/>
          <w:b/>
          <w:bCs/>
          <w:sz w:val="24"/>
          <w:szCs w:val="24"/>
        </w:rPr>
        <w:t xml:space="preserve"> (</w:t>
      </w:r>
      <w:r w:rsidR="00180862">
        <w:rPr>
          <w:rFonts w:ascii="Times New Roman" w:hAnsi="Times New Roman"/>
          <w:b/>
          <w:bCs/>
          <w:sz w:val="24"/>
          <w:szCs w:val="24"/>
        </w:rPr>
        <w:t>(</w:t>
      </w:r>
      <w:r w:rsidRPr="008F4BDA">
        <w:rPr>
          <w:rFonts w:ascii="Times New Roman" w:hAnsi="Times New Roman"/>
          <w:bCs/>
          <w:sz w:val="24"/>
          <w:szCs w:val="24"/>
        </w:rPr>
        <w:t xml:space="preserve">26/60 minutes per hour × </w:t>
      </w:r>
      <w:r w:rsidR="00180862">
        <w:rPr>
          <w:rFonts w:ascii="Times New Roman" w:hAnsi="Times New Roman"/>
          <w:bCs/>
          <w:sz w:val="24"/>
          <w:szCs w:val="24"/>
        </w:rPr>
        <w:t>32</w:t>
      </w:r>
      <w:r w:rsidR="001B171B">
        <w:rPr>
          <w:rFonts w:ascii="Times New Roman" w:hAnsi="Times New Roman"/>
          <w:bCs/>
          <w:sz w:val="24"/>
          <w:szCs w:val="24"/>
        </w:rPr>
        <w:t>,000</w:t>
      </w:r>
      <w:r w:rsidRPr="008F4BDA">
        <w:rPr>
          <w:rFonts w:ascii="Times New Roman" w:hAnsi="Times New Roman"/>
          <w:bCs/>
          <w:sz w:val="24"/>
          <w:szCs w:val="24"/>
        </w:rPr>
        <w:t xml:space="preserve"> CMVs marked with decals or stenciled marking</w:t>
      </w:r>
      <w:r w:rsidR="00180862">
        <w:rPr>
          <w:rFonts w:ascii="Times New Roman" w:hAnsi="Times New Roman"/>
          <w:bCs/>
          <w:sz w:val="24"/>
          <w:szCs w:val="24"/>
        </w:rPr>
        <w:t>)</w:t>
      </w:r>
      <w:r w:rsidRPr="008F4BDA">
        <w:rPr>
          <w:rFonts w:ascii="Times New Roman" w:hAnsi="Times New Roman"/>
          <w:bCs/>
          <w:sz w:val="24"/>
          <w:szCs w:val="24"/>
        </w:rPr>
        <w:t xml:space="preserve"> + </w:t>
      </w:r>
      <w:r w:rsidR="00180862">
        <w:rPr>
          <w:rFonts w:ascii="Times New Roman" w:hAnsi="Times New Roman"/>
          <w:bCs/>
          <w:sz w:val="24"/>
          <w:szCs w:val="24"/>
        </w:rPr>
        <w:t>(</w:t>
      </w:r>
      <w:r w:rsidRPr="008F4BDA">
        <w:rPr>
          <w:rFonts w:ascii="Times New Roman" w:hAnsi="Times New Roman"/>
          <w:bCs/>
          <w:sz w:val="24"/>
          <w:szCs w:val="24"/>
        </w:rPr>
        <w:t xml:space="preserve">0 minutes per hour × </w:t>
      </w:r>
      <w:r w:rsidR="00180862">
        <w:rPr>
          <w:rFonts w:ascii="Times New Roman" w:hAnsi="Times New Roman"/>
          <w:bCs/>
          <w:sz w:val="24"/>
          <w:szCs w:val="24"/>
        </w:rPr>
        <w:t>4</w:t>
      </w:r>
      <w:r w:rsidR="001B171B">
        <w:rPr>
          <w:rFonts w:ascii="Times New Roman" w:hAnsi="Times New Roman"/>
          <w:bCs/>
          <w:sz w:val="24"/>
          <w:szCs w:val="24"/>
        </w:rPr>
        <w:t>,000</w:t>
      </w:r>
      <w:r w:rsidRPr="008F4BDA">
        <w:rPr>
          <w:rFonts w:ascii="Times New Roman" w:hAnsi="Times New Roman"/>
          <w:bCs/>
          <w:sz w:val="24"/>
          <w:szCs w:val="24"/>
        </w:rPr>
        <w:t xml:space="preserve"> CMVs marked with paper signage</w:t>
      </w:r>
      <w:r w:rsidR="00180862">
        <w:rPr>
          <w:rFonts w:ascii="Times New Roman" w:hAnsi="Times New Roman"/>
          <w:bCs/>
          <w:sz w:val="24"/>
          <w:szCs w:val="24"/>
        </w:rPr>
        <w:t>)</w:t>
      </w:r>
      <w:r w:rsidRPr="008F4BDA">
        <w:rPr>
          <w:rFonts w:ascii="Times New Roman" w:hAnsi="Times New Roman"/>
          <w:bCs/>
          <w:sz w:val="24"/>
          <w:szCs w:val="24"/>
        </w:rPr>
        <w:t>).</w:t>
      </w:r>
    </w:p>
    <w:p w14:paraId="6934C21B" w14:textId="77777777" w:rsidR="008F4BDA" w:rsidRPr="008F4BDA" w:rsidRDefault="008F4BDA" w:rsidP="004203CB">
      <w:pPr>
        <w:widowControl/>
        <w:ind w:left="360"/>
        <w:rPr>
          <w:rFonts w:ascii="Times New Roman" w:hAnsi="Times New Roman"/>
          <w:bCs/>
          <w:sz w:val="24"/>
          <w:szCs w:val="24"/>
        </w:rPr>
      </w:pPr>
    </w:p>
    <w:p w14:paraId="28077A8C" w14:textId="78F06727"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The Agency estimates the total number of annual respondents (i.e., passenger-carrying motor carriers) as </w:t>
      </w:r>
      <w:r w:rsidR="00C446AD">
        <w:rPr>
          <w:rFonts w:ascii="Times New Roman" w:hAnsi="Times New Roman"/>
          <w:b/>
          <w:bCs/>
          <w:sz w:val="24"/>
          <w:szCs w:val="24"/>
        </w:rPr>
        <w:t>5,000</w:t>
      </w:r>
      <w:r w:rsidRPr="008F4BDA">
        <w:rPr>
          <w:rFonts w:ascii="Times New Roman" w:hAnsi="Times New Roman"/>
          <w:bCs/>
          <w:sz w:val="24"/>
          <w:szCs w:val="24"/>
        </w:rPr>
        <w:t xml:space="preserve"> ([(</w:t>
      </w:r>
      <w:r w:rsidR="0085128C">
        <w:rPr>
          <w:rFonts w:ascii="Times New Roman" w:hAnsi="Times New Roman"/>
          <w:bCs/>
          <w:sz w:val="24"/>
          <w:szCs w:val="24"/>
        </w:rPr>
        <w:t>32,000</w:t>
      </w:r>
      <w:r w:rsidR="00C446AD">
        <w:rPr>
          <w:rFonts w:ascii="Times New Roman" w:hAnsi="Times New Roman"/>
          <w:bCs/>
          <w:sz w:val="24"/>
          <w:szCs w:val="24"/>
        </w:rPr>
        <w:t xml:space="preserve"> </w:t>
      </w:r>
      <w:r w:rsidRPr="008F4BDA">
        <w:rPr>
          <w:rFonts w:ascii="Times New Roman" w:hAnsi="Times New Roman"/>
          <w:bCs/>
          <w:sz w:val="24"/>
          <w:szCs w:val="24"/>
        </w:rPr>
        <w:t xml:space="preserve">impacted vehicles + </w:t>
      </w:r>
      <w:r w:rsidR="0085128C">
        <w:rPr>
          <w:rFonts w:ascii="Times New Roman" w:hAnsi="Times New Roman"/>
          <w:bCs/>
          <w:sz w:val="24"/>
          <w:szCs w:val="24"/>
        </w:rPr>
        <w:t>4,000</w:t>
      </w:r>
      <w:r w:rsidR="002452E6">
        <w:rPr>
          <w:rFonts w:ascii="Times New Roman" w:hAnsi="Times New Roman"/>
          <w:bCs/>
          <w:sz w:val="24"/>
          <w:szCs w:val="24"/>
        </w:rPr>
        <w:t xml:space="preserve"> </w:t>
      </w:r>
      <w:r w:rsidRPr="008F4BDA">
        <w:rPr>
          <w:rFonts w:ascii="Times New Roman" w:hAnsi="Times New Roman"/>
          <w:bCs/>
          <w:sz w:val="24"/>
          <w:szCs w:val="24"/>
        </w:rPr>
        <w:t xml:space="preserve">leased vehicles) </w:t>
      </w:r>
      <w:r w:rsidR="00325352">
        <w:rPr>
          <w:rFonts w:ascii="Times New Roman" w:hAnsi="Times New Roman"/>
          <w:bCs/>
          <w:sz w:val="24"/>
          <w:szCs w:val="24"/>
        </w:rPr>
        <w:t>÷</w:t>
      </w:r>
      <w:r w:rsidRPr="008F4BDA">
        <w:rPr>
          <w:rFonts w:ascii="Times New Roman" w:hAnsi="Times New Roman"/>
          <w:bCs/>
          <w:sz w:val="24"/>
          <w:szCs w:val="24"/>
        </w:rPr>
        <w:t xml:space="preserve"> </w:t>
      </w:r>
      <w:r w:rsidR="0085128C">
        <w:rPr>
          <w:rFonts w:ascii="Times New Roman" w:hAnsi="Times New Roman"/>
          <w:bCs/>
          <w:sz w:val="24"/>
          <w:szCs w:val="24"/>
        </w:rPr>
        <w:t>92,000</w:t>
      </w:r>
      <w:r w:rsidRPr="008F4BDA">
        <w:rPr>
          <w:rFonts w:ascii="Times New Roman" w:hAnsi="Times New Roman"/>
          <w:bCs/>
          <w:sz w:val="24"/>
          <w:szCs w:val="24"/>
        </w:rPr>
        <w:t xml:space="preserve"> total vehicles] × </w:t>
      </w:r>
      <w:r w:rsidR="003B6932">
        <w:rPr>
          <w:rFonts w:ascii="Times New Roman" w:hAnsi="Times New Roman"/>
          <w:bCs/>
          <w:sz w:val="24"/>
          <w:szCs w:val="24"/>
        </w:rPr>
        <w:t xml:space="preserve">14,000 </w:t>
      </w:r>
      <w:r w:rsidRPr="008F4BDA">
        <w:rPr>
          <w:rFonts w:ascii="Times New Roman" w:hAnsi="Times New Roman"/>
          <w:bCs/>
          <w:sz w:val="24"/>
          <w:szCs w:val="24"/>
        </w:rPr>
        <w:t>passenger-carrying carriers).</w:t>
      </w:r>
    </w:p>
    <w:p w14:paraId="41F5268C" w14:textId="77777777" w:rsidR="008F4BDA" w:rsidRPr="008F4BDA" w:rsidRDefault="008F4BDA" w:rsidP="004203CB">
      <w:pPr>
        <w:widowControl/>
        <w:ind w:left="360"/>
        <w:rPr>
          <w:rFonts w:ascii="Times New Roman" w:hAnsi="Times New Roman"/>
          <w:bCs/>
          <w:sz w:val="24"/>
          <w:szCs w:val="24"/>
        </w:rPr>
      </w:pPr>
    </w:p>
    <w:p w14:paraId="74D4B2F4" w14:textId="77777777" w:rsidR="008F4BDA" w:rsidRPr="008F4BDA" w:rsidRDefault="008F4BDA" w:rsidP="004203CB">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3: Intermodal equipment providers (IEPs)</w:t>
      </w:r>
    </w:p>
    <w:p w14:paraId="1EE242A3" w14:textId="77777777" w:rsidR="008F4BDA" w:rsidRPr="008F4BDA" w:rsidRDefault="008F4BDA" w:rsidP="004203CB">
      <w:pPr>
        <w:widowControl/>
        <w:tabs>
          <w:tab w:val="left" w:pos="360"/>
        </w:tabs>
        <w:ind w:left="1080"/>
        <w:rPr>
          <w:rFonts w:ascii="Times New Roman" w:hAnsi="Times New Roman"/>
          <w:bCs/>
          <w:sz w:val="24"/>
          <w:szCs w:val="24"/>
        </w:rPr>
      </w:pPr>
    </w:p>
    <w:p w14:paraId="692334C3" w14:textId="77777777" w:rsidR="008F4BDA" w:rsidRPr="008F4BDA" w:rsidRDefault="008F4BDA" w:rsidP="004203CB">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t xml:space="preserve">The majority of IEPs, about 90 percent, mark their equipment electronically into the Intermodal Association of North America (IANA) database. </w:t>
      </w:r>
    </w:p>
    <w:p w14:paraId="06AC1CF9" w14:textId="77777777" w:rsidR="008F4BDA" w:rsidRPr="008F4BDA" w:rsidRDefault="008F4BDA" w:rsidP="004203CB">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t xml:space="preserve">The remaining 10 percent are assumed to use decals or stencils. </w:t>
      </w:r>
    </w:p>
    <w:p w14:paraId="13E020CD" w14:textId="77777777" w:rsidR="008F4BDA" w:rsidRPr="008F4BDA" w:rsidRDefault="008F4BDA" w:rsidP="004203CB">
      <w:pPr>
        <w:widowControl/>
        <w:tabs>
          <w:tab w:val="left" w:pos="360"/>
        </w:tabs>
        <w:ind w:left="360"/>
        <w:rPr>
          <w:rFonts w:ascii="Times New Roman" w:hAnsi="Times New Roman"/>
          <w:bCs/>
          <w:sz w:val="24"/>
          <w:szCs w:val="24"/>
        </w:rPr>
      </w:pPr>
    </w:p>
    <w:p w14:paraId="18570F9F" w14:textId="39B22A32"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MCMIS database indicates that there are </w:t>
      </w:r>
      <w:r w:rsidR="00325352">
        <w:rPr>
          <w:rFonts w:ascii="Times New Roman" w:hAnsi="Times New Roman"/>
          <w:bCs/>
          <w:sz w:val="24"/>
          <w:szCs w:val="24"/>
        </w:rPr>
        <w:t>105</w:t>
      </w:r>
      <w:r w:rsidR="00325352" w:rsidRPr="008F4BDA">
        <w:rPr>
          <w:rFonts w:ascii="Times New Roman" w:hAnsi="Times New Roman"/>
          <w:bCs/>
          <w:sz w:val="24"/>
          <w:szCs w:val="24"/>
        </w:rPr>
        <w:t xml:space="preserve"> </w:t>
      </w:r>
      <w:r w:rsidRPr="008F4BDA">
        <w:rPr>
          <w:rFonts w:ascii="Times New Roman" w:hAnsi="Times New Roman"/>
          <w:bCs/>
          <w:sz w:val="24"/>
          <w:szCs w:val="24"/>
        </w:rPr>
        <w:t xml:space="preserve">registered IEPs comprising </w:t>
      </w:r>
      <w:r w:rsidR="00325352">
        <w:rPr>
          <w:rFonts w:ascii="Times New Roman" w:hAnsi="Times New Roman"/>
          <w:bCs/>
          <w:sz w:val="24"/>
          <w:szCs w:val="24"/>
        </w:rPr>
        <w:t>555,000</w:t>
      </w:r>
      <w:r w:rsidRPr="008F4BDA">
        <w:rPr>
          <w:rFonts w:ascii="Times New Roman" w:hAnsi="Times New Roman"/>
          <w:bCs/>
          <w:sz w:val="24"/>
          <w:szCs w:val="24"/>
        </w:rPr>
        <w:t xml:space="preserve"> (figure rounded) intermodal trailers, chassis and equipment owned or leased as of a </w:t>
      </w:r>
      <w:r w:rsidR="00325352">
        <w:rPr>
          <w:rFonts w:ascii="Times New Roman" w:hAnsi="Times New Roman"/>
          <w:bCs/>
          <w:sz w:val="24"/>
          <w:szCs w:val="24"/>
        </w:rPr>
        <w:t>January 23, 2015</w:t>
      </w:r>
      <w:r w:rsidRPr="008F4BDA">
        <w:rPr>
          <w:rFonts w:ascii="Times New Roman" w:hAnsi="Times New Roman"/>
          <w:bCs/>
          <w:sz w:val="24"/>
          <w:szCs w:val="24"/>
        </w:rPr>
        <w:t xml:space="preserve"> snapshot. </w:t>
      </w:r>
      <w:r w:rsidR="009E1AB8">
        <w:rPr>
          <w:rFonts w:ascii="Times New Roman" w:hAnsi="Times New Roman"/>
          <w:bCs/>
          <w:sz w:val="24"/>
          <w:szCs w:val="24"/>
        </w:rPr>
        <w:t xml:space="preserve">The number of IEPs has been </w:t>
      </w:r>
      <w:r w:rsidR="009F3F29">
        <w:rPr>
          <w:rFonts w:ascii="Times New Roman" w:hAnsi="Times New Roman"/>
          <w:bCs/>
          <w:sz w:val="24"/>
          <w:szCs w:val="24"/>
        </w:rPr>
        <w:t xml:space="preserve">variable </w:t>
      </w:r>
      <w:r w:rsidR="009E1AB8">
        <w:rPr>
          <w:rFonts w:ascii="Times New Roman" w:hAnsi="Times New Roman"/>
          <w:bCs/>
          <w:sz w:val="24"/>
          <w:szCs w:val="24"/>
        </w:rPr>
        <w:t>in recent years</w:t>
      </w:r>
      <w:r w:rsidR="009F3F29">
        <w:rPr>
          <w:rFonts w:ascii="Times New Roman" w:hAnsi="Times New Roman"/>
          <w:bCs/>
          <w:sz w:val="24"/>
          <w:szCs w:val="24"/>
        </w:rPr>
        <w:t xml:space="preserve"> with no clear trend while</w:t>
      </w:r>
      <w:r w:rsidR="009E1AB8">
        <w:rPr>
          <w:rFonts w:ascii="Times New Roman" w:hAnsi="Times New Roman"/>
          <w:bCs/>
          <w:sz w:val="24"/>
          <w:szCs w:val="24"/>
        </w:rPr>
        <w:t xml:space="preserve"> the number of intermodal trailer</w:t>
      </w:r>
      <w:r w:rsidR="005B6DD6">
        <w:rPr>
          <w:rFonts w:ascii="Times New Roman" w:hAnsi="Times New Roman"/>
          <w:bCs/>
          <w:sz w:val="24"/>
          <w:szCs w:val="24"/>
        </w:rPr>
        <w:t>s</w:t>
      </w:r>
      <w:r w:rsidR="009E1AB8">
        <w:rPr>
          <w:rFonts w:ascii="Times New Roman" w:hAnsi="Times New Roman"/>
          <w:bCs/>
          <w:sz w:val="24"/>
          <w:szCs w:val="24"/>
        </w:rPr>
        <w:t xml:space="preserve">, chassis and equipment has remained steady.  </w:t>
      </w:r>
      <w:r w:rsidRPr="008F4BDA">
        <w:rPr>
          <w:rFonts w:ascii="Times New Roman" w:hAnsi="Times New Roman"/>
          <w:bCs/>
          <w:sz w:val="24"/>
          <w:szCs w:val="24"/>
        </w:rPr>
        <w:t xml:space="preserve">The burden hours associated with the marking requirements will only include those incurred by the 10 percent of the impacted IEP population that does not elect to input their equipment information into the IANA database. The total number of IEPs (or respondents) impacted by the marking rules is approximately </w:t>
      </w:r>
      <w:r w:rsidR="000D685F">
        <w:rPr>
          <w:rFonts w:ascii="Times New Roman" w:hAnsi="Times New Roman"/>
          <w:bCs/>
          <w:sz w:val="24"/>
          <w:szCs w:val="24"/>
        </w:rPr>
        <w:t>11</w:t>
      </w:r>
      <w:r w:rsidR="000D685F" w:rsidRPr="008F4BDA">
        <w:rPr>
          <w:rFonts w:ascii="Times New Roman" w:hAnsi="Times New Roman"/>
          <w:bCs/>
          <w:sz w:val="24"/>
          <w:szCs w:val="24"/>
        </w:rPr>
        <w:t xml:space="preserve"> </w:t>
      </w:r>
      <w:r w:rsidRPr="008F4BDA">
        <w:rPr>
          <w:rFonts w:ascii="Times New Roman" w:hAnsi="Times New Roman"/>
          <w:bCs/>
          <w:sz w:val="24"/>
          <w:szCs w:val="24"/>
        </w:rPr>
        <w:t>(</w:t>
      </w:r>
      <w:r w:rsidR="00E41C1C">
        <w:rPr>
          <w:rFonts w:ascii="Times New Roman" w:hAnsi="Times New Roman"/>
          <w:bCs/>
          <w:sz w:val="24"/>
          <w:szCs w:val="24"/>
        </w:rPr>
        <w:t>equal to</w:t>
      </w:r>
      <w:r w:rsidR="00E41C1C" w:rsidRPr="008F4BDA">
        <w:rPr>
          <w:rFonts w:ascii="Times New Roman" w:hAnsi="Times New Roman"/>
          <w:bCs/>
          <w:sz w:val="24"/>
          <w:szCs w:val="24"/>
        </w:rPr>
        <w:t xml:space="preserve"> </w:t>
      </w:r>
      <w:r w:rsidRPr="008F4BDA">
        <w:rPr>
          <w:rFonts w:ascii="Times New Roman" w:hAnsi="Times New Roman"/>
          <w:bCs/>
          <w:sz w:val="24"/>
          <w:szCs w:val="24"/>
        </w:rPr>
        <w:t>10 percent of</w:t>
      </w:r>
      <w:r w:rsidR="00E41C1C">
        <w:rPr>
          <w:rFonts w:ascii="Times New Roman" w:hAnsi="Times New Roman"/>
          <w:bCs/>
          <w:sz w:val="24"/>
          <w:szCs w:val="24"/>
        </w:rPr>
        <w:t xml:space="preserve"> the</w:t>
      </w:r>
      <w:r w:rsidRPr="008F4BDA">
        <w:rPr>
          <w:rFonts w:ascii="Times New Roman" w:hAnsi="Times New Roman"/>
          <w:bCs/>
          <w:sz w:val="24"/>
          <w:szCs w:val="24"/>
        </w:rPr>
        <w:t xml:space="preserve"> </w:t>
      </w:r>
      <w:r w:rsidR="00DC46A3">
        <w:rPr>
          <w:rFonts w:ascii="Times New Roman" w:hAnsi="Times New Roman"/>
          <w:bCs/>
          <w:sz w:val="24"/>
          <w:szCs w:val="24"/>
        </w:rPr>
        <w:t>105</w:t>
      </w:r>
      <w:r w:rsidR="00E41C1C">
        <w:rPr>
          <w:rFonts w:ascii="Times New Roman" w:hAnsi="Times New Roman"/>
          <w:bCs/>
          <w:sz w:val="24"/>
          <w:szCs w:val="24"/>
        </w:rPr>
        <w:t xml:space="preserve"> registered IEPs</w:t>
      </w:r>
      <w:r w:rsidRPr="008F4BDA">
        <w:rPr>
          <w:rFonts w:ascii="Times New Roman" w:hAnsi="Times New Roman"/>
          <w:bCs/>
          <w:sz w:val="24"/>
          <w:szCs w:val="24"/>
        </w:rPr>
        <w:t xml:space="preserve">). The estimated count of intermodal trailers/chassis/equipment not marked electronically is assumed to be 10 percent of </w:t>
      </w:r>
      <w:r w:rsidR="00CD56FD">
        <w:rPr>
          <w:rFonts w:ascii="Times New Roman" w:hAnsi="Times New Roman"/>
          <w:bCs/>
          <w:sz w:val="24"/>
          <w:szCs w:val="24"/>
        </w:rPr>
        <w:t>555,000</w:t>
      </w:r>
      <w:r w:rsidR="009E1AB8">
        <w:rPr>
          <w:rFonts w:ascii="Times New Roman" w:hAnsi="Times New Roman"/>
          <w:bCs/>
          <w:sz w:val="24"/>
          <w:szCs w:val="24"/>
        </w:rPr>
        <w:t xml:space="preserve">, or approximately </w:t>
      </w:r>
      <w:r w:rsidR="00CD56FD">
        <w:rPr>
          <w:rFonts w:ascii="Times New Roman" w:hAnsi="Times New Roman"/>
          <w:bCs/>
          <w:sz w:val="24"/>
          <w:szCs w:val="24"/>
        </w:rPr>
        <w:t>56,000</w:t>
      </w:r>
      <w:r w:rsidR="009E1AB8">
        <w:rPr>
          <w:rFonts w:ascii="Times New Roman" w:hAnsi="Times New Roman"/>
          <w:bCs/>
          <w:sz w:val="24"/>
          <w:szCs w:val="24"/>
        </w:rPr>
        <w:t>.</w:t>
      </w:r>
      <w:r w:rsidR="00A25712">
        <w:rPr>
          <w:rFonts w:ascii="Times New Roman" w:hAnsi="Times New Roman"/>
          <w:bCs/>
          <w:sz w:val="24"/>
          <w:szCs w:val="24"/>
        </w:rPr>
        <w:t xml:space="preserve">  Due to the </w:t>
      </w:r>
      <w:r w:rsidR="00CD56FD">
        <w:rPr>
          <w:rFonts w:ascii="Times New Roman" w:hAnsi="Times New Roman"/>
          <w:bCs/>
          <w:sz w:val="24"/>
          <w:szCs w:val="24"/>
        </w:rPr>
        <w:t>lack of a clear upward trend in the number</w:t>
      </w:r>
      <w:r w:rsidR="00A25712">
        <w:rPr>
          <w:rFonts w:ascii="Times New Roman" w:hAnsi="Times New Roman"/>
          <w:bCs/>
          <w:sz w:val="24"/>
          <w:szCs w:val="24"/>
        </w:rPr>
        <w:t xml:space="preserve"> of IEPs in recent years and the static number of IEP-owned or leased equipment, the Agency assumes these values will remain representative of the IEP industry.</w:t>
      </w:r>
    </w:p>
    <w:p w14:paraId="5EFF149C" w14:textId="77777777" w:rsidR="008F4BDA" w:rsidRPr="008F4BDA" w:rsidRDefault="008F4BDA" w:rsidP="004203CB">
      <w:pPr>
        <w:widowControl/>
        <w:tabs>
          <w:tab w:val="left" w:pos="360"/>
        </w:tabs>
        <w:ind w:left="360"/>
        <w:rPr>
          <w:rFonts w:ascii="Times New Roman" w:hAnsi="Times New Roman"/>
          <w:bCs/>
          <w:sz w:val="24"/>
          <w:szCs w:val="24"/>
        </w:rPr>
      </w:pPr>
    </w:p>
    <w:p w14:paraId="7AC69A4E" w14:textId="3772D4C9"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lastRenderedPageBreak/>
        <w:t xml:space="preserve">As noted previously, the Final Regulatory Evaluation for the FMCSA’s </w:t>
      </w:r>
      <w:r w:rsidRPr="008F4BDA">
        <w:rPr>
          <w:rFonts w:ascii="Times New Roman" w:hAnsi="Times New Roman"/>
          <w:bCs/>
          <w:i/>
          <w:sz w:val="24"/>
          <w:szCs w:val="24"/>
        </w:rPr>
        <w:t>Inspection, Repair, and Maintenance Requirements for Intermodal Equipment Providers</w:t>
      </w:r>
      <w:r w:rsidRPr="008F4BDA">
        <w:rPr>
          <w:rFonts w:ascii="Times New Roman" w:hAnsi="Times New Roman"/>
          <w:bCs/>
          <w:sz w:val="24"/>
          <w:szCs w:val="24"/>
        </w:rPr>
        <w:t xml:space="preserve"> suggests that the average life of a weatherproof vinyl label (as attached to an IEP) is 3 years.</w:t>
      </w:r>
      <w:r w:rsidRPr="008F4BDA">
        <w:rPr>
          <w:rFonts w:ascii="Times New Roman" w:hAnsi="Times New Roman"/>
          <w:bCs/>
          <w:sz w:val="24"/>
          <w:szCs w:val="24"/>
          <w:vertAlign w:val="superscript"/>
        </w:rPr>
        <w:footnoteReference w:id="5"/>
      </w:r>
      <w:r w:rsidRPr="008F4BDA">
        <w:rPr>
          <w:rFonts w:ascii="Times New Roman" w:hAnsi="Times New Roman"/>
          <w:bCs/>
          <w:sz w:val="24"/>
          <w:szCs w:val="24"/>
        </w:rPr>
        <w:t xml:space="preserve"> It also suggests that the operational life of an intermodal chassis is 14.7 years (and thus nearly 1/15 of the intermodal chassis pool turns over each year).</w:t>
      </w:r>
      <w:r w:rsidRPr="008F4BDA">
        <w:rPr>
          <w:rFonts w:ascii="Times New Roman" w:hAnsi="Times New Roman"/>
          <w:bCs/>
          <w:sz w:val="24"/>
          <w:szCs w:val="24"/>
          <w:vertAlign w:val="superscript"/>
        </w:rPr>
        <w:footnoteReference w:id="6"/>
      </w:r>
      <w:r w:rsidRPr="008F4BDA">
        <w:rPr>
          <w:rFonts w:ascii="Times New Roman" w:hAnsi="Times New Roman"/>
          <w:bCs/>
          <w:sz w:val="24"/>
          <w:szCs w:val="24"/>
        </w:rPr>
        <w:t xml:space="preserve"> Similar to the calculations performed in Component 1, the Agency estimates the count of newly acquired intermodal trailers/chassis/equipment is 4,000 per year (</w:t>
      </w:r>
      <w:r w:rsidR="00E979F8">
        <w:rPr>
          <w:rFonts w:ascii="Times New Roman" w:hAnsi="Times New Roman"/>
          <w:bCs/>
          <w:sz w:val="24"/>
          <w:szCs w:val="24"/>
        </w:rPr>
        <w:t>56,000</w:t>
      </w:r>
      <w:r w:rsidRPr="008F4BDA">
        <w:rPr>
          <w:rFonts w:ascii="Times New Roman" w:hAnsi="Times New Roman"/>
          <w:bCs/>
          <w:sz w:val="24"/>
          <w:szCs w:val="24"/>
        </w:rPr>
        <w:t xml:space="preserve"> decal-marked intermodal equipment ÷ 14.7 years average intermodal chassis life, rounded to the nearest thousand); and the number of existing intermodal trailers/chassis/equipment requiring re-identification is estimated to be 17,000 per year ([</w:t>
      </w:r>
      <w:r w:rsidR="00112879">
        <w:rPr>
          <w:rFonts w:ascii="Times New Roman" w:hAnsi="Times New Roman"/>
          <w:bCs/>
          <w:sz w:val="24"/>
          <w:szCs w:val="24"/>
        </w:rPr>
        <w:t>56,000</w:t>
      </w:r>
      <w:r w:rsidRPr="008F4BDA">
        <w:rPr>
          <w:rFonts w:ascii="Times New Roman" w:hAnsi="Times New Roman"/>
          <w:bCs/>
          <w:sz w:val="24"/>
          <w:szCs w:val="24"/>
        </w:rPr>
        <w:t xml:space="preserve"> decal-marked intermodal equipment – 4,000 newly acquired units] ÷ 3 years average weatherproof vinyl label life, rounded to the nearest thousand). </w:t>
      </w:r>
    </w:p>
    <w:p w14:paraId="301AA948" w14:textId="77777777" w:rsidR="008F4BDA" w:rsidRPr="008F4BDA" w:rsidRDefault="008F4BDA" w:rsidP="004203CB">
      <w:pPr>
        <w:widowControl/>
        <w:tabs>
          <w:tab w:val="left" w:pos="360"/>
        </w:tabs>
        <w:ind w:left="360"/>
        <w:rPr>
          <w:rFonts w:ascii="Times New Roman" w:hAnsi="Times New Roman"/>
          <w:bCs/>
          <w:sz w:val="24"/>
          <w:szCs w:val="24"/>
        </w:rPr>
      </w:pPr>
    </w:p>
    <w:p w14:paraId="09DD0E3E" w14:textId="6D472436"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Thus, the total estimate of intermodal trailers/chassis/equipment impacted by the marking requirements is </w:t>
      </w:r>
      <w:r w:rsidRPr="008F4BDA">
        <w:rPr>
          <w:rFonts w:ascii="Times New Roman" w:hAnsi="Times New Roman"/>
          <w:b/>
          <w:bCs/>
          <w:sz w:val="24"/>
          <w:szCs w:val="24"/>
        </w:rPr>
        <w:t>21,000</w:t>
      </w:r>
      <w:r w:rsidRPr="008F4BDA">
        <w:rPr>
          <w:rFonts w:ascii="Times New Roman" w:hAnsi="Times New Roman"/>
          <w:bCs/>
          <w:sz w:val="24"/>
          <w:szCs w:val="24"/>
        </w:rPr>
        <w:t xml:space="preserve"> annually (4,000 + 17,000)</w:t>
      </w:r>
      <w:r w:rsidR="00520910">
        <w:rPr>
          <w:rFonts w:ascii="Times New Roman" w:hAnsi="Times New Roman"/>
          <w:bCs/>
          <w:sz w:val="24"/>
          <w:szCs w:val="24"/>
        </w:rPr>
        <w:t>.</w:t>
      </w:r>
    </w:p>
    <w:p w14:paraId="00782743" w14:textId="77777777" w:rsidR="008F4BDA" w:rsidRPr="008F4BDA" w:rsidRDefault="008F4BDA" w:rsidP="004203CB">
      <w:pPr>
        <w:widowControl/>
        <w:tabs>
          <w:tab w:val="left" w:pos="360"/>
        </w:tabs>
        <w:ind w:left="360"/>
        <w:rPr>
          <w:rFonts w:ascii="Times New Roman" w:hAnsi="Times New Roman"/>
          <w:bCs/>
          <w:sz w:val="24"/>
          <w:szCs w:val="24"/>
        </w:rPr>
      </w:pPr>
    </w:p>
    <w:p w14:paraId="1C86D470" w14:textId="4B59E69B"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estimated total number of annual burden hours attributed</w:t>
      </w:r>
      <w:r w:rsidR="00520910">
        <w:rPr>
          <w:rFonts w:ascii="Times New Roman" w:hAnsi="Times New Roman"/>
          <w:bCs/>
          <w:sz w:val="24"/>
          <w:szCs w:val="24"/>
        </w:rPr>
        <w:t xml:space="preserve"> to marking by this segment is </w:t>
      </w:r>
      <w:r w:rsidRPr="004203CB">
        <w:rPr>
          <w:rFonts w:ascii="Times New Roman" w:hAnsi="Times New Roman"/>
          <w:b/>
          <w:bCs/>
          <w:sz w:val="24"/>
          <w:szCs w:val="24"/>
        </w:rPr>
        <w:t>9</w:t>
      </w:r>
      <w:r w:rsidRPr="008F4BDA">
        <w:rPr>
          <w:rFonts w:ascii="Times New Roman" w:hAnsi="Times New Roman"/>
          <w:b/>
          <w:bCs/>
          <w:sz w:val="24"/>
          <w:szCs w:val="24"/>
        </w:rPr>
        <w:t>,000</w:t>
      </w:r>
      <w:r w:rsidRPr="008F4BDA">
        <w:rPr>
          <w:rFonts w:ascii="Times New Roman" w:hAnsi="Times New Roman"/>
          <w:bCs/>
          <w:sz w:val="24"/>
          <w:szCs w:val="24"/>
        </w:rPr>
        <w:t xml:space="preserve"> (26/60 minutes per hour × 21,000 intermodal chassis, trailers, and equipment owned or leased by IEPs not input into the IANA database per year, rounded). </w:t>
      </w:r>
    </w:p>
    <w:p w14:paraId="7B908EC6" w14:textId="77777777" w:rsidR="008F4BDA" w:rsidRPr="008F4BDA" w:rsidRDefault="008F4BDA" w:rsidP="004203CB">
      <w:pPr>
        <w:widowControl/>
        <w:tabs>
          <w:tab w:val="left" w:pos="360"/>
        </w:tabs>
        <w:ind w:left="360"/>
        <w:rPr>
          <w:rFonts w:ascii="Times New Roman" w:hAnsi="Times New Roman"/>
          <w:bCs/>
          <w:sz w:val="24"/>
          <w:szCs w:val="24"/>
        </w:rPr>
      </w:pPr>
    </w:p>
    <w:p w14:paraId="73C22F36" w14:textId="0245FFAE"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total number of IEPs (or respondents) impacted by the marking rules is approximately </w:t>
      </w:r>
      <w:r w:rsidR="004C5991">
        <w:rPr>
          <w:rFonts w:ascii="Times New Roman" w:hAnsi="Times New Roman"/>
          <w:b/>
          <w:bCs/>
          <w:sz w:val="24"/>
          <w:szCs w:val="24"/>
        </w:rPr>
        <w:t>11</w:t>
      </w:r>
      <w:r w:rsidR="004C5991" w:rsidRPr="008F4BDA">
        <w:rPr>
          <w:rFonts w:ascii="Times New Roman" w:hAnsi="Times New Roman"/>
          <w:bCs/>
          <w:sz w:val="24"/>
          <w:szCs w:val="24"/>
        </w:rPr>
        <w:t xml:space="preserve"> </w:t>
      </w:r>
      <w:r w:rsidRPr="008F4BDA">
        <w:rPr>
          <w:rFonts w:ascii="Times New Roman" w:hAnsi="Times New Roman"/>
          <w:bCs/>
          <w:sz w:val="24"/>
          <w:szCs w:val="24"/>
        </w:rPr>
        <w:t xml:space="preserve">(or 10 percent of </w:t>
      </w:r>
      <w:r w:rsidR="004C5991">
        <w:rPr>
          <w:rFonts w:ascii="Times New Roman" w:hAnsi="Times New Roman"/>
          <w:bCs/>
          <w:sz w:val="24"/>
          <w:szCs w:val="24"/>
        </w:rPr>
        <w:t>105</w:t>
      </w:r>
      <w:r w:rsidRPr="008F4BDA">
        <w:rPr>
          <w:rFonts w:ascii="Times New Roman" w:hAnsi="Times New Roman"/>
          <w:bCs/>
          <w:sz w:val="24"/>
          <w:szCs w:val="24"/>
        </w:rPr>
        <w:t>).</w:t>
      </w:r>
    </w:p>
    <w:p w14:paraId="7B9A14CA" w14:textId="77777777" w:rsidR="008F4BDA" w:rsidRPr="008F4BDA" w:rsidRDefault="008F4BDA" w:rsidP="004203CB">
      <w:pPr>
        <w:widowControl/>
        <w:tabs>
          <w:tab w:val="left" w:pos="360"/>
        </w:tabs>
        <w:ind w:left="360"/>
        <w:rPr>
          <w:rFonts w:ascii="Times New Roman" w:hAnsi="Times New Roman"/>
          <w:bCs/>
          <w:sz w:val="24"/>
          <w:szCs w:val="24"/>
        </w:rPr>
      </w:pPr>
    </w:p>
    <w:p w14:paraId="611C720E" w14:textId="77777777" w:rsidR="008F4BDA" w:rsidRPr="008F4BDA" w:rsidRDefault="008F4BDA" w:rsidP="004203CB">
      <w:pPr>
        <w:widowControl/>
        <w:tabs>
          <w:tab w:val="left" w:pos="360"/>
        </w:tabs>
        <w:ind w:left="360"/>
        <w:rPr>
          <w:rFonts w:ascii="Times New Roman" w:hAnsi="Times New Roman"/>
          <w:b/>
          <w:bCs/>
          <w:sz w:val="24"/>
          <w:szCs w:val="24"/>
        </w:rPr>
      </w:pPr>
      <w:r w:rsidRPr="008F4BDA">
        <w:rPr>
          <w:rFonts w:ascii="Times New Roman" w:hAnsi="Times New Roman"/>
          <w:b/>
          <w:bCs/>
          <w:sz w:val="24"/>
          <w:szCs w:val="24"/>
        </w:rPr>
        <w:t>Summary</w:t>
      </w:r>
    </w:p>
    <w:p w14:paraId="1B5079DA" w14:textId="77777777" w:rsidR="008F4BDA" w:rsidRPr="008F4BDA" w:rsidRDefault="008F4BDA" w:rsidP="004203CB">
      <w:pPr>
        <w:widowControl/>
        <w:tabs>
          <w:tab w:val="left" w:pos="360"/>
        </w:tabs>
        <w:ind w:left="360"/>
        <w:rPr>
          <w:rFonts w:ascii="Times New Roman" w:hAnsi="Times New Roman"/>
          <w:bCs/>
          <w:sz w:val="24"/>
          <w:szCs w:val="24"/>
        </w:rPr>
      </w:pPr>
    </w:p>
    <w:p w14:paraId="588725C0" w14:textId="1A77FAC5" w:rsidR="008F4BDA" w:rsidRPr="008F4BDA" w:rsidRDefault="008F4BDA" w:rsidP="004203CB">
      <w:pPr>
        <w:widowControl/>
        <w:tabs>
          <w:tab w:val="left" w:pos="450"/>
        </w:tabs>
        <w:ind w:left="360" w:hanging="540"/>
        <w:rPr>
          <w:rFonts w:ascii="Times New Roman" w:hAnsi="Times New Roman"/>
          <w:bCs/>
          <w:sz w:val="24"/>
          <w:szCs w:val="24"/>
        </w:rPr>
      </w:pPr>
      <w:r w:rsidRPr="008F4BDA">
        <w:rPr>
          <w:rFonts w:ascii="Times New Roman" w:hAnsi="Times New Roman"/>
          <w:bCs/>
          <w:sz w:val="24"/>
          <w:szCs w:val="24"/>
        </w:rPr>
        <w:tab/>
        <w:t xml:space="preserve">The totals are presented below in Table 1. The table displays previously calculated estimates, including number of respondents (number of carriers and IEPs with impacted CMVs and intermodal equipment), number of responses (number of impacted CMVs and intermodal equipment), and the total annual hour burden of all responses across vehicles and equipment. </w:t>
      </w:r>
    </w:p>
    <w:p w14:paraId="323C4B71" w14:textId="77777777" w:rsidR="004203CB" w:rsidRDefault="004203CB" w:rsidP="004203CB">
      <w:pPr>
        <w:widowControl/>
        <w:tabs>
          <w:tab w:val="left" w:pos="450"/>
        </w:tabs>
        <w:spacing w:after="200"/>
        <w:ind w:left="360" w:hanging="547"/>
        <w:jc w:val="center"/>
        <w:rPr>
          <w:rFonts w:ascii="Arial" w:hAnsi="Arial" w:cs="Arial"/>
          <w:b/>
          <w:bCs/>
        </w:rPr>
      </w:pPr>
    </w:p>
    <w:p w14:paraId="03F8838A" w14:textId="030990B7" w:rsidR="008F4BDA" w:rsidRPr="00630149" w:rsidRDefault="008F4BDA" w:rsidP="004203CB">
      <w:pPr>
        <w:widowControl/>
        <w:tabs>
          <w:tab w:val="left" w:pos="450"/>
        </w:tabs>
        <w:spacing w:after="200"/>
        <w:ind w:left="360" w:hanging="547"/>
        <w:jc w:val="center"/>
        <w:rPr>
          <w:rFonts w:ascii="Times New Roman" w:hAnsi="Times New Roman"/>
          <w:b/>
          <w:bCs/>
          <w:sz w:val="24"/>
          <w:szCs w:val="24"/>
        </w:rPr>
      </w:pPr>
      <w:proofErr w:type="gramStart"/>
      <w:r w:rsidRPr="00630149">
        <w:rPr>
          <w:rFonts w:ascii="Times New Roman" w:hAnsi="Times New Roman"/>
          <w:b/>
          <w:bCs/>
          <w:sz w:val="24"/>
          <w:szCs w:val="24"/>
        </w:rPr>
        <w:t>Table 1.</w:t>
      </w:r>
      <w:proofErr w:type="gramEnd"/>
      <w:r w:rsidRPr="00630149">
        <w:rPr>
          <w:rFonts w:ascii="Times New Roman" w:hAnsi="Times New Roman"/>
          <w:b/>
          <w:bCs/>
          <w:sz w:val="24"/>
          <w:szCs w:val="24"/>
        </w:rPr>
        <w:t xml:space="preserve"> Summary of </w:t>
      </w:r>
      <w:r w:rsidR="007B7C0C">
        <w:rPr>
          <w:rFonts w:ascii="Times New Roman" w:hAnsi="Times New Roman"/>
          <w:b/>
          <w:bCs/>
          <w:sz w:val="24"/>
          <w:szCs w:val="24"/>
        </w:rPr>
        <w:t>Average</w:t>
      </w:r>
      <w:r w:rsidR="007B7C0C" w:rsidRPr="00630149">
        <w:rPr>
          <w:rFonts w:ascii="Times New Roman" w:hAnsi="Times New Roman"/>
          <w:b/>
          <w:bCs/>
          <w:sz w:val="24"/>
          <w:szCs w:val="24"/>
        </w:rPr>
        <w:t xml:space="preserve"> </w:t>
      </w:r>
      <w:r w:rsidRPr="00630149">
        <w:rPr>
          <w:rFonts w:ascii="Times New Roman" w:hAnsi="Times New Roman"/>
          <w:b/>
          <w:bCs/>
          <w:sz w:val="24"/>
          <w:szCs w:val="24"/>
        </w:rPr>
        <w:t>Annual Respondents, Re</w:t>
      </w:r>
      <w:r w:rsidR="006F69FA" w:rsidRPr="00630149">
        <w:rPr>
          <w:rFonts w:ascii="Times New Roman" w:hAnsi="Times New Roman"/>
          <w:b/>
          <w:bCs/>
          <w:sz w:val="24"/>
          <w:szCs w:val="24"/>
        </w:rPr>
        <w:t>sponses, and Burden by Compone</w:t>
      </w:r>
      <w:r w:rsidR="00F3749C">
        <w:rPr>
          <w:rFonts w:ascii="Times New Roman" w:hAnsi="Times New Roman"/>
          <w:b/>
          <w:bCs/>
          <w:sz w:val="24"/>
          <w:szCs w:val="24"/>
        </w:rPr>
        <w:t>nt</w:t>
      </w:r>
      <w:r w:rsidRPr="00630149">
        <w:rPr>
          <w:rFonts w:ascii="Times New Roman" w:hAnsi="Times New Roman"/>
          <w:b/>
          <w:bCs/>
          <w:sz w:val="24"/>
          <w:szCs w:val="24"/>
        </w:rPr>
        <w:t xml:space="preserve"> (all figures are rounded)</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523"/>
        <w:gridCol w:w="1621"/>
        <w:gridCol w:w="1976"/>
      </w:tblGrid>
      <w:tr w:rsidR="008F4BDA" w:rsidRPr="00097B2B" w14:paraId="6FD33265" w14:textId="77777777" w:rsidTr="00DA36E4">
        <w:trPr>
          <w:trHeight w:val="570"/>
          <w:jc w:val="center"/>
        </w:trPr>
        <w:tc>
          <w:tcPr>
            <w:tcW w:w="3522" w:type="dxa"/>
            <w:tcBorders>
              <w:top w:val="single" w:sz="18" w:space="0" w:color="auto"/>
              <w:left w:val="single" w:sz="18" w:space="0" w:color="auto"/>
              <w:bottom w:val="single" w:sz="18" w:space="0" w:color="auto"/>
            </w:tcBorders>
            <w:shd w:val="clear" w:color="auto" w:fill="D9D9D9"/>
            <w:noWrap/>
            <w:vAlign w:val="center"/>
            <w:hideMark/>
          </w:tcPr>
          <w:p w14:paraId="6FDAEE57" w14:textId="77777777" w:rsidR="008F4BDA" w:rsidRPr="00630149" w:rsidRDefault="008F4BDA" w:rsidP="004203CB">
            <w:pPr>
              <w:widowControl/>
              <w:autoSpaceDE/>
              <w:autoSpaceDN/>
              <w:adjustRightInd/>
              <w:jc w:val="center"/>
              <w:rPr>
                <w:rFonts w:ascii="Times New Roman" w:hAnsi="Times New Roman"/>
                <w:b/>
                <w:color w:val="000000"/>
                <w:sz w:val="24"/>
                <w:szCs w:val="24"/>
              </w:rPr>
            </w:pPr>
            <w:r w:rsidRPr="00630149">
              <w:rPr>
                <w:rFonts w:ascii="Times New Roman" w:hAnsi="Times New Roman"/>
                <w:b/>
                <w:color w:val="000000"/>
                <w:sz w:val="24"/>
                <w:szCs w:val="24"/>
              </w:rPr>
              <w:t>Component</w:t>
            </w:r>
          </w:p>
        </w:tc>
        <w:tc>
          <w:tcPr>
            <w:tcW w:w="1415" w:type="dxa"/>
            <w:tcBorders>
              <w:top w:val="single" w:sz="18" w:space="0" w:color="auto"/>
            </w:tcBorders>
            <w:shd w:val="clear" w:color="auto" w:fill="D9D9D9"/>
            <w:vAlign w:val="center"/>
          </w:tcPr>
          <w:p w14:paraId="3CF67C10"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Number of Respondents</w:t>
            </w:r>
          </w:p>
        </w:tc>
        <w:tc>
          <w:tcPr>
            <w:tcW w:w="1621" w:type="dxa"/>
            <w:tcBorders>
              <w:top w:val="single" w:sz="18" w:space="0" w:color="auto"/>
            </w:tcBorders>
            <w:shd w:val="clear" w:color="auto" w:fill="D9D9D9"/>
            <w:vAlign w:val="center"/>
            <w:hideMark/>
          </w:tcPr>
          <w:p w14:paraId="57024069"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Number of Responses</w:t>
            </w:r>
          </w:p>
        </w:tc>
        <w:tc>
          <w:tcPr>
            <w:tcW w:w="1976" w:type="dxa"/>
            <w:tcBorders>
              <w:top w:val="single" w:sz="18" w:space="0" w:color="auto"/>
              <w:right w:val="single" w:sz="18" w:space="0" w:color="auto"/>
            </w:tcBorders>
            <w:shd w:val="clear" w:color="auto" w:fill="D9D9D9"/>
            <w:vAlign w:val="center"/>
            <w:hideMark/>
          </w:tcPr>
          <w:p w14:paraId="0C6DEABE"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Hourly Burden</w:t>
            </w:r>
          </w:p>
        </w:tc>
      </w:tr>
      <w:tr w:rsidR="008F4BDA" w:rsidRPr="00097B2B" w14:paraId="5062390C" w14:textId="77777777" w:rsidTr="00DA36E4">
        <w:trPr>
          <w:trHeight w:val="300"/>
          <w:jc w:val="center"/>
        </w:trPr>
        <w:tc>
          <w:tcPr>
            <w:tcW w:w="3522" w:type="dxa"/>
            <w:tcBorders>
              <w:top w:val="single" w:sz="18" w:space="0" w:color="auto"/>
              <w:left w:val="single" w:sz="18" w:space="0" w:color="auto"/>
            </w:tcBorders>
            <w:shd w:val="clear" w:color="auto" w:fill="auto"/>
            <w:vAlign w:val="center"/>
            <w:hideMark/>
          </w:tcPr>
          <w:p w14:paraId="14412F73" w14:textId="478A437B" w:rsidR="008F4BDA" w:rsidRPr="00630149" w:rsidRDefault="008F4BDA" w:rsidP="00367C0A">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Component 1: Freight Carriers</w:t>
            </w:r>
          </w:p>
        </w:tc>
        <w:tc>
          <w:tcPr>
            <w:tcW w:w="1415" w:type="dxa"/>
            <w:tcBorders>
              <w:top w:val="single" w:sz="18" w:space="0" w:color="auto"/>
            </w:tcBorders>
            <w:vAlign w:val="center"/>
          </w:tcPr>
          <w:p w14:paraId="23C611D7" w14:textId="1E4B970F" w:rsidR="008F4BDA" w:rsidRPr="00630149" w:rsidRDefault="00853605"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282,000</w:t>
            </w:r>
          </w:p>
        </w:tc>
        <w:tc>
          <w:tcPr>
            <w:tcW w:w="1621" w:type="dxa"/>
            <w:tcBorders>
              <w:top w:val="single" w:sz="18" w:space="0" w:color="auto"/>
            </w:tcBorders>
            <w:shd w:val="clear" w:color="auto" w:fill="auto"/>
            <w:noWrap/>
            <w:vAlign w:val="center"/>
            <w:hideMark/>
          </w:tcPr>
          <w:p w14:paraId="00A72E64" w14:textId="54EED7F7" w:rsidR="008F4BDA" w:rsidRPr="00630149" w:rsidRDefault="00853605" w:rsidP="004203CB">
            <w:pPr>
              <w:widowControl/>
              <w:autoSpaceDE/>
              <w:autoSpaceDN/>
              <w:adjustRightInd/>
              <w:jc w:val="center"/>
              <w:rPr>
                <w:rFonts w:ascii="Times New Roman" w:hAnsi="Times New Roman"/>
                <w:color w:val="000000"/>
                <w:sz w:val="24"/>
                <w:szCs w:val="24"/>
              </w:rPr>
            </w:pPr>
            <w:r w:rsidRPr="00853605">
              <w:rPr>
                <w:rFonts w:ascii="Times New Roman" w:hAnsi="Times New Roman"/>
                <w:color w:val="000000"/>
                <w:sz w:val="24"/>
                <w:szCs w:val="24"/>
              </w:rPr>
              <w:t>1,911,000</w:t>
            </w:r>
          </w:p>
        </w:tc>
        <w:tc>
          <w:tcPr>
            <w:tcW w:w="1976" w:type="dxa"/>
            <w:tcBorders>
              <w:top w:val="single" w:sz="18" w:space="0" w:color="auto"/>
              <w:right w:val="single" w:sz="18" w:space="0" w:color="auto"/>
            </w:tcBorders>
            <w:shd w:val="clear" w:color="auto" w:fill="auto"/>
            <w:noWrap/>
            <w:vAlign w:val="center"/>
          </w:tcPr>
          <w:p w14:paraId="28AB582B" w14:textId="69DFFD70" w:rsidR="008F4BDA" w:rsidRPr="00630149" w:rsidRDefault="00853605"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828,000</w:t>
            </w:r>
          </w:p>
        </w:tc>
      </w:tr>
      <w:tr w:rsidR="008F4BDA" w:rsidRPr="00097B2B" w14:paraId="2DA4087F" w14:textId="77777777" w:rsidTr="00DA36E4">
        <w:trPr>
          <w:trHeight w:val="300"/>
          <w:jc w:val="center"/>
        </w:trPr>
        <w:tc>
          <w:tcPr>
            <w:tcW w:w="3522" w:type="dxa"/>
            <w:tcBorders>
              <w:left w:val="single" w:sz="18" w:space="0" w:color="auto"/>
            </w:tcBorders>
            <w:shd w:val="clear" w:color="auto" w:fill="auto"/>
            <w:vAlign w:val="center"/>
            <w:hideMark/>
          </w:tcPr>
          <w:p w14:paraId="63335504" w14:textId="510AA24E" w:rsidR="008F4BDA" w:rsidRPr="00630149" w:rsidRDefault="008F4BDA" w:rsidP="00367C0A">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Component 2: Passenger Carriers</w:t>
            </w:r>
          </w:p>
        </w:tc>
        <w:tc>
          <w:tcPr>
            <w:tcW w:w="1415" w:type="dxa"/>
            <w:vAlign w:val="center"/>
          </w:tcPr>
          <w:p w14:paraId="43515FE8" w14:textId="5898F051" w:rsidR="008F4BDA" w:rsidRPr="00630149" w:rsidRDefault="0026471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5,000</w:t>
            </w:r>
          </w:p>
        </w:tc>
        <w:tc>
          <w:tcPr>
            <w:tcW w:w="1621" w:type="dxa"/>
            <w:shd w:val="clear" w:color="auto" w:fill="auto"/>
            <w:noWrap/>
            <w:vAlign w:val="center"/>
            <w:hideMark/>
          </w:tcPr>
          <w:p w14:paraId="23D91EE0" w14:textId="07BBF2D6" w:rsidR="008F4BDA" w:rsidRPr="00630149" w:rsidRDefault="00A576A1"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36,000</w:t>
            </w:r>
          </w:p>
        </w:tc>
        <w:tc>
          <w:tcPr>
            <w:tcW w:w="1976" w:type="dxa"/>
            <w:tcBorders>
              <w:right w:val="single" w:sz="18" w:space="0" w:color="auto"/>
            </w:tcBorders>
            <w:shd w:val="clear" w:color="auto" w:fill="auto"/>
            <w:noWrap/>
            <w:vAlign w:val="center"/>
          </w:tcPr>
          <w:p w14:paraId="5B8237D0" w14:textId="73987F01" w:rsidR="008F4BDA" w:rsidRPr="00630149" w:rsidRDefault="00A576A1"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14,000</w:t>
            </w:r>
          </w:p>
        </w:tc>
      </w:tr>
      <w:tr w:rsidR="008F4BDA" w:rsidRPr="00097B2B" w14:paraId="06A23242" w14:textId="77777777" w:rsidTr="00DA36E4">
        <w:trPr>
          <w:trHeight w:val="300"/>
          <w:jc w:val="center"/>
        </w:trPr>
        <w:tc>
          <w:tcPr>
            <w:tcW w:w="3522" w:type="dxa"/>
            <w:tcBorders>
              <w:left w:val="single" w:sz="18" w:space="0" w:color="auto"/>
            </w:tcBorders>
            <w:shd w:val="clear" w:color="auto" w:fill="auto"/>
            <w:vAlign w:val="center"/>
            <w:hideMark/>
          </w:tcPr>
          <w:p w14:paraId="08E6B320" w14:textId="6747AAE0" w:rsidR="008F4BDA" w:rsidRPr="00630149" w:rsidRDefault="008F4BDA" w:rsidP="00367C0A">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Component 3: IEPs</w:t>
            </w:r>
          </w:p>
        </w:tc>
        <w:tc>
          <w:tcPr>
            <w:tcW w:w="1415" w:type="dxa"/>
            <w:vAlign w:val="center"/>
          </w:tcPr>
          <w:p w14:paraId="157294F1" w14:textId="68E8F9CA" w:rsidR="008F4BDA" w:rsidRPr="00630149" w:rsidRDefault="000306BE"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11</w:t>
            </w:r>
          </w:p>
        </w:tc>
        <w:tc>
          <w:tcPr>
            <w:tcW w:w="1621" w:type="dxa"/>
            <w:shd w:val="clear" w:color="auto" w:fill="auto"/>
            <w:noWrap/>
            <w:vAlign w:val="center"/>
            <w:hideMark/>
          </w:tcPr>
          <w:p w14:paraId="67C88B82"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21,000</w:t>
            </w:r>
          </w:p>
        </w:tc>
        <w:tc>
          <w:tcPr>
            <w:tcW w:w="1976" w:type="dxa"/>
            <w:tcBorders>
              <w:right w:val="single" w:sz="18" w:space="0" w:color="auto"/>
            </w:tcBorders>
            <w:shd w:val="clear" w:color="auto" w:fill="auto"/>
            <w:noWrap/>
            <w:vAlign w:val="center"/>
          </w:tcPr>
          <w:p w14:paraId="139CEFA4"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9,000</w:t>
            </w:r>
          </w:p>
        </w:tc>
      </w:tr>
      <w:tr w:rsidR="008F4BDA" w:rsidRPr="00097B2B" w14:paraId="291AC6BF" w14:textId="77777777" w:rsidTr="00DA36E4">
        <w:trPr>
          <w:trHeight w:val="300"/>
          <w:jc w:val="center"/>
        </w:trPr>
        <w:tc>
          <w:tcPr>
            <w:tcW w:w="3522" w:type="dxa"/>
            <w:tcBorders>
              <w:left w:val="single" w:sz="18" w:space="0" w:color="auto"/>
              <w:bottom w:val="single" w:sz="18" w:space="0" w:color="auto"/>
            </w:tcBorders>
            <w:shd w:val="clear" w:color="auto" w:fill="auto"/>
            <w:vAlign w:val="center"/>
            <w:hideMark/>
          </w:tcPr>
          <w:p w14:paraId="176ED2FD"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Total</w:t>
            </w:r>
          </w:p>
        </w:tc>
        <w:tc>
          <w:tcPr>
            <w:tcW w:w="1415" w:type="dxa"/>
            <w:tcBorders>
              <w:bottom w:val="single" w:sz="18" w:space="0" w:color="auto"/>
            </w:tcBorders>
            <w:vAlign w:val="center"/>
          </w:tcPr>
          <w:p w14:paraId="11A0F28E" w14:textId="43734916" w:rsidR="008F4BDA" w:rsidRPr="00630149" w:rsidRDefault="003F1EB3" w:rsidP="004203CB">
            <w:pPr>
              <w:widowControl/>
              <w:autoSpaceDE/>
              <w:autoSpaceDN/>
              <w:adjustRightInd/>
              <w:jc w:val="center"/>
              <w:rPr>
                <w:rFonts w:ascii="Times New Roman" w:hAnsi="Times New Roman"/>
                <w:b/>
                <w:bCs/>
                <w:color w:val="000000"/>
                <w:sz w:val="24"/>
                <w:szCs w:val="24"/>
              </w:rPr>
            </w:pPr>
            <w:r>
              <w:rPr>
                <w:rFonts w:ascii="Times New Roman" w:hAnsi="Times New Roman"/>
                <w:b/>
                <w:bCs/>
                <w:color w:val="000000"/>
                <w:sz w:val="24"/>
                <w:szCs w:val="24"/>
              </w:rPr>
              <w:t>287,000</w:t>
            </w:r>
          </w:p>
        </w:tc>
        <w:tc>
          <w:tcPr>
            <w:tcW w:w="1621" w:type="dxa"/>
            <w:tcBorders>
              <w:bottom w:val="single" w:sz="18" w:space="0" w:color="auto"/>
            </w:tcBorders>
            <w:shd w:val="clear" w:color="auto" w:fill="auto"/>
            <w:noWrap/>
            <w:vAlign w:val="center"/>
            <w:hideMark/>
          </w:tcPr>
          <w:p w14:paraId="6685DF5D" w14:textId="38C7B88B" w:rsidR="008F4BDA" w:rsidRPr="00630149" w:rsidRDefault="003F1EB3" w:rsidP="004203CB">
            <w:pPr>
              <w:widowControl/>
              <w:autoSpaceDE/>
              <w:autoSpaceDN/>
              <w:adjustRightInd/>
              <w:jc w:val="center"/>
              <w:rPr>
                <w:rFonts w:ascii="Times New Roman" w:hAnsi="Times New Roman"/>
                <w:b/>
                <w:bCs/>
                <w:color w:val="000000"/>
                <w:sz w:val="24"/>
                <w:szCs w:val="24"/>
              </w:rPr>
            </w:pPr>
            <w:r>
              <w:rPr>
                <w:rFonts w:ascii="Times New Roman" w:hAnsi="Times New Roman"/>
                <w:b/>
                <w:bCs/>
                <w:color w:val="000000"/>
                <w:sz w:val="24"/>
                <w:szCs w:val="24"/>
              </w:rPr>
              <w:t>1,968,000</w:t>
            </w:r>
          </w:p>
        </w:tc>
        <w:tc>
          <w:tcPr>
            <w:tcW w:w="1976" w:type="dxa"/>
            <w:tcBorders>
              <w:bottom w:val="single" w:sz="18" w:space="0" w:color="auto"/>
              <w:right w:val="single" w:sz="18" w:space="0" w:color="auto"/>
            </w:tcBorders>
            <w:shd w:val="clear" w:color="auto" w:fill="auto"/>
            <w:noWrap/>
            <w:vAlign w:val="center"/>
          </w:tcPr>
          <w:p w14:paraId="38D6F250" w14:textId="60FF8762" w:rsidR="008F4BDA" w:rsidRPr="00630149" w:rsidRDefault="006B785E" w:rsidP="004203CB">
            <w:pPr>
              <w:widowControl/>
              <w:autoSpaceDE/>
              <w:autoSpaceDN/>
              <w:adjustRightInd/>
              <w:jc w:val="center"/>
              <w:rPr>
                <w:rFonts w:ascii="Times New Roman" w:hAnsi="Times New Roman"/>
                <w:b/>
                <w:bCs/>
                <w:color w:val="000000"/>
                <w:sz w:val="24"/>
                <w:szCs w:val="24"/>
              </w:rPr>
            </w:pPr>
            <w:r>
              <w:rPr>
                <w:rFonts w:ascii="Times New Roman" w:hAnsi="Times New Roman"/>
                <w:b/>
                <w:bCs/>
                <w:color w:val="000000"/>
                <w:sz w:val="24"/>
                <w:szCs w:val="24"/>
              </w:rPr>
              <w:t>851,000</w:t>
            </w:r>
          </w:p>
        </w:tc>
      </w:tr>
    </w:tbl>
    <w:p w14:paraId="03476582" w14:textId="77777777" w:rsidR="008F4BDA" w:rsidRPr="00097B2B" w:rsidRDefault="008F4BDA" w:rsidP="004203CB">
      <w:pPr>
        <w:widowControl/>
        <w:tabs>
          <w:tab w:val="left" w:pos="450"/>
        </w:tabs>
        <w:ind w:left="360"/>
        <w:rPr>
          <w:rFonts w:ascii="Times New Roman" w:hAnsi="Times New Roman"/>
          <w:bCs/>
          <w:sz w:val="24"/>
          <w:szCs w:val="24"/>
        </w:rPr>
      </w:pPr>
    </w:p>
    <w:p w14:paraId="650DD0B7" w14:textId="4B2C6E1E" w:rsidR="008F4BDA" w:rsidRPr="008F4BDA" w:rsidRDefault="008F4BDA" w:rsidP="004203CB">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 xml:space="preserve">Estimated </w:t>
      </w:r>
      <w:r w:rsidR="00E807F1">
        <w:rPr>
          <w:rFonts w:ascii="Times New Roman" w:hAnsi="Times New Roman"/>
          <w:b/>
          <w:bCs/>
          <w:sz w:val="24"/>
          <w:szCs w:val="24"/>
        </w:rPr>
        <w:t>Average</w:t>
      </w:r>
      <w:r w:rsidR="00E807F1" w:rsidRPr="008F4BDA">
        <w:rPr>
          <w:rFonts w:ascii="Times New Roman" w:hAnsi="Times New Roman"/>
          <w:b/>
          <w:bCs/>
          <w:sz w:val="24"/>
          <w:szCs w:val="24"/>
        </w:rPr>
        <w:t xml:space="preserve"> </w:t>
      </w:r>
      <w:r w:rsidRPr="008F4BDA">
        <w:rPr>
          <w:rFonts w:ascii="Times New Roman" w:hAnsi="Times New Roman"/>
          <w:b/>
          <w:bCs/>
          <w:sz w:val="24"/>
          <w:szCs w:val="24"/>
        </w:rPr>
        <w:t xml:space="preserve">Annual Burden:  </w:t>
      </w:r>
      <w:r w:rsidR="004109C1">
        <w:rPr>
          <w:rFonts w:ascii="Times New Roman" w:hAnsi="Times New Roman"/>
          <w:b/>
          <w:bCs/>
          <w:sz w:val="24"/>
          <w:szCs w:val="24"/>
        </w:rPr>
        <w:t xml:space="preserve">851,000 </w:t>
      </w:r>
      <w:r w:rsidRPr="008F4BDA">
        <w:rPr>
          <w:rFonts w:ascii="Times New Roman" w:hAnsi="Times New Roman"/>
          <w:bCs/>
          <w:sz w:val="24"/>
          <w:szCs w:val="24"/>
        </w:rPr>
        <w:t xml:space="preserve">hours spent by motor carriers and IEPs marking CMVs with </w:t>
      </w:r>
      <w:proofErr w:type="gramStart"/>
      <w:r w:rsidRPr="008F4BDA">
        <w:rPr>
          <w:rFonts w:ascii="Times New Roman" w:hAnsi="Times New Roman"/>
          <w:bCs/>
          <w:sz w:val="24"/>
          <w:szCs w:val="24"/>
        </w:rPr>
        <w:t>a DOT</w:t>
      </w:r>
      <w:proofErr w:type="gramEnd"/>
      <w:r w:rsidRPr="008F4BDA">
        <w:rPr>
          <w:rFonts w:ascii="Times New Roman" w:hAnsi="Times New Roman"/>
          <w:bCs/>
          <w:sz w:val="24"/>
          <w:szCs w:val="24"/>
        </w:rPr>
        <w:t xml:space="preserve"> number and carrier information.</w:t>
      </w:r>
    </w:p>
    <w:p w14:paraId="5E0CE7EE" w14:textId="77777777" w:rsidR="008F4BDA" w:rsidRPr="008F4BDA" w:rsidRDefault="008F4BDA" w:rsidP="004203CB">
      <w:pPr>
        <w:widowControl/>
        <w:tabs>
          <w:tab w:val="left" w:pos="450"/>
        </w:tabs>
        <w:ind w:left="360"/>
        <w:rPr>
          <w:rFonts w:ascii="Times New Roman" w:hAnsi="Times New Roman"/>
          <w:b/>
          <w:bCs/>
          <w:sz w:val="24"/>
          <w:szCs w:val="24"/>
        </w:rPr>
      </w:pPr>
    </w:p>
    <w:p w14:paraId="302A7213" w14:textId="6A9E234F" w:rsidR="008F4BDA" w:rsidRPr="008F4BDA" w:rsidRDefault="008F4BDA" w:rsidP="004203CB">
      <w:pPr>
        <w:widowControl/>
        <w:tabs>
          <w:tab w:val="left" w:pos="450"/>
        </w:tabs>
        <w:ind w:left="360"/>
        <w:rPr>
          <w:rFonts w:ascii="Times New Roman" w:hAnsi="Times New Roman"/>
          <w:bCs/>
          <w:sz w:val="24"/>
          <w:szCs w:val="24"/>
        </w:rPr>
      </w:pPr>
      <w:proofErr w:type="gramStart"/>
      <w:r w:rsidRPr="008F4BDA">
        <w:rPr>
          <w:rFonts w:ascii="Times New Roman" w:hAnsi="Times New Roman"/>
          <w:b/>
          <w:bCs/>
          <w:sz w:val="24"/>
          <w:szCs w:val="24"/>
        </w:rPr>
        <w:t>Estim</w:t>
      </w:r>
      <w:r w:rsidR="003D3B8F">
        <w:rPr>
          <w:rFonts w:ascii="Times New Roman" w:hAnsi="Times New Roman"/>
          <w:b/>
          <w:bCs/>
          <w:sz w:val="24"/>
          <w:szCs w:val="24"/>
        </w:rPr>
        <w:t xml:space="preserve">ated </w:t>
      </w:r>
      <w:r w:rsidR="00E807F1">
        <w:rPr>
          <w:rFonts w:ascii="Times New Roman" w:hAnsi="Times New Roman"/>
          <w:b/>
          <w:bCs/>
          <w:sz w:val="24"/>
          <w:szCs w:val="24"/>
        </w:rPr>
        <w:t xml:space="preserve">Average </w:t>
      </w:r>
      <w:r w:rsidR="003D3B8F">
        <w:rPr>
          <w:rFonts w:ascii="Times New Roman" w:hAnsi="Times New Roman"/>
          <w:b/>
          <w:bCs/>
          <w:sz w:val="24"/>
          <w:szCs w:val="24"/>
        </w:rPr>
        <w:t xml:space="preserve">Annual Respondents:  </w:t>
      </w:r>
      <w:r w:rsidR="00EC11CA">
        <w:rPr>
          <w:rFonts w:ascii="Times New Roman" w:hAnsi="Times New Roman"/>
          <w:b/>
          <w:bCs/>
          <w:sz w:val="24"/>
          <w:szCs w:val="24"/>
        </w:rPr>
        <w:t>287,000</w:t>
      </w:r>
      <w:r w:rsidR="004203CB">
        <w:rPr>
          <w:rFonts w:ascii="Times New Roman" w:hAnsi="Times New Roman"/>
          <w:b/>
          <w:bCs/>
          <w:sz w:val="24"/>
          <w:szCs w:val="24"/>
        </w:rPr>
        <w:t xml:space="preserve"> </w:t>
      </w:r>
      <w:r w:rsidRPr="008F4BDA">
        <w:rPr>
          <w:rFonts w:ascii="Times New Roman" w:hAnsi="Times New Roman"/>
          <w:bCs/>
          <w:sz w:val="24"/>
          <w:szCs w:val="24"/>
        </w:rPr>
        <w:t>motor carriers and IEPs.</w:t>
      </w:r>
      <w:proofErr w:type="gramEnd"/>
    </w:p>
    <w:p w14:paraId="676709DB" w14:textId="77777777" w:rsidR="008F4BDA" w:rsidRPr="008F4BDA" w:rsidRDefault="008F4BDA" w:rsidP="004203CB">
      <w:pPr>
        <w:widowControl/>
        <w:tabs>
          <w:tab w:val="left" w:pos="450"/>
        </w:tabs>
        <w:ind w:left="360"/>
        <w:rPr>
          <w:rFonts w:ascii="Times New Roman" w:hAnsi="Times New Roman"/>
          <w:b/>
          <w:bCs/>
          <w:sz w:val="24"/>
          <w:szCs w:val="24"/>
        </w:rPr>
      </w:pPr>
    </w:p>
    <w:p w14:paraId="76F21748" w14:textId="35364863" w:rsidR="008F4BDA" w:rsidRPr="008F4BDA" w:rsidRDefault="008F4BDA" w:rsidP="004203CB">
      <w:pPr>
        <w:widowControl/>
        <w:tabs>
          <w:tab w:val="left" w:pos="450"/>
        </w:tabs>
        <w:ind w:left="360"/>
        <w:rPr>
          <w:rFonts w:ascii="Times New Roman" w:hAnsi="Times New Roman"/>
          <w:bCs/>
          <w:sz w:val="24"/>
          <w:szCs w:val="24"/>
        </w:rPr>
      </w:pPr>
      <w:proofErr w:type="gramStart"/>
      <w:r w:rsidRPr="008F4BDA">
        <w:rPr>
          <w:rFonts w:ascii="Times New Roman" w:hAnsi="Times New Roman"/>
          <w:b/>
          <w:bCs/>
          <w:sz w:val="24"/>
          <w:szCs w:val="24"/>
        </w:rPr>
        <w:t>Est</w:t>
      </w:r>
      <w:r w:rsidR="003D3B8F">
        <w:rPr>
          <w:rFonts w:ascii="Times New Roman" w:hAnsi="Times New Roman"/>
          <w:b/>
          <w:bCs/>
          <w:sz w:val="24"/>
          <w:szCs w:val="24"/>
        </w:rPr>
        <w:t xml:space="preserve">imated </w:t>
      </w:r>
      <w:r w:rsidR="00E807F1">
        <w:rPr>
          <w:rFonts w:ascii="Times New Roman" w:hAnsi="Times New Roman"/>
          <w:b/>
          <w:bCs/>
          <w:sz w:val="24"/>
          <w:szCs w:val="24"/>
        </w:rPr>
        <w:t xml:space="preserve">Average </w:t>
      </w:r>
      <w:r w:rsidR="003D3B8F">
        <w:rPr>
          <w:rFonts w:ascii="Times New Roman" w:hAnsi="Times New Roman"/>
          <w:b/>
          <w:bCs/>
          <w:sz w:val="24"/>
          <w:szCs w:val="24"/>
        </w:rPr>
        <w:t xml:space="preserve">Annual Responses:  </w:t>
      </w:r>
      <w:r w:rsidR="00EC11CA">
        <w:rPr>
          <w:rFonts w:ascii="Times New Roman" w:hAnsi="Times New Roman"/>
          <w:b/>
          <w:bCs/>
          <w:sz w:val="24"/>
          <w:szCs w:val="24"/>
        </w:rPr>
        <w:t>1,968,000</w:t>
      </w:r>
      <w:r w:rsidRPr="008F4BDA">
        <w:rPr>
          <w:rFonts w:ascii="Times New Roman" w:hAnsi="Times New Roman"/>
          <w:b/>
          <w:bCs/>
          <w:sz w:val="24"/>
          <w:szCs w:val="24"/>
        </w:rPr>
        <w:t xml:space="preserve"> </w:t>
      </w:r>
      <w:r w:rsidRPr="008F4BDA">
        <w:rPr>
          <w:rFonts w:ascii="Times New Roman" w:hAnsi="Times New Roman"/>
          <w:bCs/>
          <w:sz w:val="24"/>
          <w:szCs w:val="24"/>
        </w:rPr>
        <w:t>responses regarding the marking of freight-carrying CMVs, passenger-carrying CMVs, and intermodal equipment and vehicles.</w:t>
      </w:r>
      <w:proofErr w:type="gramEnd"/>
    </w:p>
    <w:p w14:paraId="4074279B" w14:textId="77777777" w:rsidR="008F4BDA" w:rsidRPr="008F4BDA" w:rsidRDefault="008F4BDA" w:rsidP="004203CB">
      <w:pPr>
        <w:widowControl/>
        <w:tabs>
          <w:tab w:val="left" w:pos="450"/>
        </w:tabs>
        <w:ind w:left="360"/>
        <w:rPr>
          <w:rFonts w:ascii="Times New Roman" w:hAnsi="Times New Roman"/>
          <w:b/>
          <w:bCs/>
          <w:sz w:val="24"/>
          <w:szCs w:val="24"/>
        </w:rPr>
      </w:pPr>
    </w:p>
    <w:p w14:paraId="4320484A" w14:textId="35CB5860" w:rsidR="008F4BDA" w:rsidRPr="008F4BDA" w:rsidRDefault="008F4BDA" w:rsidP="004203CB">
      <w:pPr>
        <w:widowControl/>
        <w:tabs>
          <w:tab w:val="left" w:pos="450"/>
        </w:tabs>
        <w:ind w:left="360"/>
        <w:rPr>
          <w:rFonts w:ascii="Times New Roman" w:hAnsi="Times New Roman"/>
          <w:bCs/>
          <w:sz w:val="24"/>
          <w:szCs w:val="24"/>
        </w:rPr>
      </w:pPr>
      <w:r w:rsidRPr="008F4BDA">
        <w:rPr>
          <w:rFonts w:ascii="Times New Roman" w:hAnsi="Times New Roman"/>
          <w:bCs/>
          <w:sz w:val="24"/>
          <w:szCs w:val="24"/>
        </w:rPr>
        <w:t>FMCSA calculated labor costs based on a truck mechanic’s national mean hourly wage of $</w:t>
      </w:r>
      <w:r w:rsidR="008F0154">
        <w:rPr>
          <w:rFonts w:ascii="Times New Roman" w:hAnsi="Times New Roman"/>
          <w:bCs/>
          <w:sz w:val="24"/>
          <w:szCs w:val="24"/>
        </w:rPr>
        <w:t>19.10</w:t>
      </w:r>
      <w:r w:rsidRPr="008F4BDA">
        <w:rPr>
          <w:rFonts w:ascii="Times New Roman" w:hAnsi="Times New Roman"/>
          <w:bCs/>
          <w:sz w:val="24"/>
          <w:szCs w:val="24"/>
        </w:rPr>
        <w:t xml:space="preserve"> for the General Freight Trucking industry,</w:t>
      </w:r>
      <w:r w:rsidRPr="008F4BDA">
        <w:rPr>
          <w:rFonts w:ascii="Times New Roman" w:hAnsi="Times New Roman"/>
          <w:bCs/>
          <w:sz w:val="24"/>
          <w:szCs w:val="24"/>
          <w:vertAlign w:val="superscript"/>
        </w:rPr>
        <w:footnoteReference w:id="7"/>
      </w:r>
      <w:r w:rsidRPr="008F4BDA">
        <w:rPr>
          <w:rFonts w:ascii="Times New Roman" w:hAnsi="Times New Roman"/>
          <w:bCs/>
          <w:sz w:val="24"/>
          <w:szCs w:val="24"/>
        </w:rPr>
        <w:t xml:space="preserve"> fringe benefits of </w:t>
      </w:r>
      <w:r w:rsidR="00E5549B" w:rsidRPr="008F4BDA">
        <w:rPr>
          <w:rFonts w:ascii="Times New Roman" w:hAnsi="Times New Roman"/>
          <w:bCs/>
          <w:sz w:val="24"/>
          <w:szCs w:val="24"/>
        </w:rPr>
        <w:t>5</w:t>
      </w:r>
      <w:r w:rsidR="00E5549B">
        <w:rPr>
          <w:rFonts w:ascii="Times New Roman" w:hAnsi="Times New Roman"/>
          <w:bCs/>
          <w:sz w:val="24"/>
          <w:szCs w:val="24"/>
        </w:rPr>
        <w:t>7</w:t>
      </w:r>
      <w:r w:rsidR="00E5549B" w:rsidRPr="008F4BDA">
        <w:rPr>
          <w:rFonts w:ascii="Times New Roman" w:hAnsi="Times New Roman"/>
          <w:bCs/>
          <w:sz w:val="24"/>
          <w:szCs w:val="24"/>
        </w:rPr>
        <w:t xml:space="preserve"> </w:t>
      </w:r>
      <w:r w:rsidRPr="008F4BDA">
        <w:rPr>
          <w:rFonts w:ascii="Times New Roman" w:hAnsi="Times New Roman"/>
          <w:bCs/>
          <w:sz w:val="24"/>
          <w:szCs w:val="24"/>
        </w:rPr>
        <w:t>percent,</w:t>
      </w:r>
      <w:r w:rsidRPr="008F4BDA">
        <w:rPr>
          <w:rFonts w:ascii="Times New Roman" w:hAnsi="Times New Roman"/>
          <w:bCs/>
          <w:sz w:val="24"/>
          <w:szCs w:val="24"/>
          <w:vertAlign w:val="superscript"/>
        </w:rPr>
        <w:footnoteReference w:id="8"/>
      </w:r>
      <w:r w:rsidRPr="008F4BDA">
        <w:rPr>
          <w:rFonts w:ascii="Times New Roman" w:hAnsi="Times New Roman"/>
          <w:bCs/>
          <w:sz w:val="24"/>
          <w:szCs w:val="24"/>
        </w:rPr>
        <w:t xml:space="preserve"> and overhead of 27 percent.</w:t>
      </w:r>
      <w:r w:rsidRPr="008F4BDA">
        <w:rPr>
          <w:rFonts w:ascii="Times New Roman" w:hAnsi="Times New Roman"/>
          <w:bCs/>
          <w:sz w:val="24"/>
          <w:szCs w:val="24"/>
          <w:vertAlign w:val="superscript"/>
        </w:rPr>
        <w:footnoteReference w:id="9"/>
      </w:r>
      <w:r w:rsidRPr="008F4BDA">
        <w:rPr>
          <w:rFonts w:ascii="Times New Roman" w:hAnsi="Times New Roman"/>
          <w:bCs/>
          <w:sz w:val="24"/>
          <w:szCs w:val="24"/>
        </w:rPr>
        <w:t xml:space="preserve">  The estimated hourly labor cost is $</w:t>
      </w:r>
      <w:r w:rsidR="00176DEC">
        <w:rPr>
          <w:rFonts w:ascii="Times New Roman" w:hAnsi="Times New Roman"/>
          <w:bCs/>
          <w:sz w:val="24"/>
          <w:szCs w:val="24"/>
        </w:rPr>
        <w:t>38.08</w:t>
      </w:r>
      <w:r w:rsidRPr="008F4BDA">
        <w:rPr>
          <w:rFonts w:ascii="Times New Roman" w:hAnsi="Times New Roman"/>
          <w:bCs/>
          <w:sz w:val="24"/>
          <w:szCs w:val="24"/>
        </w:rPr>
        <w:t xml:space="preserve"> (= $</w:t>
      </w:r>
      <w:r w:rsidR="008F0154">
        <w:rPr>
          <w:rFonts w:ascii="Times New Roman" w:hAnsi="Times New Roman"/>
          <w:bCs/>
          <w:sz w:val="24"/>
          <w:szCs w:val="24"/>
        </w:rPr>
        <w:t>19.10</w:t>
      </w:r>
      <w:r w:rsidRPr="008F4BDA">
        <w:rPr>
          <w:rFonts w:ascii="Times New Roman" w:hAnsi="Times New Roman"/>
          <w:bCs/>
          <w:sz w:val="24"/>
          <w:szCs w:val="24"/>
        </w:rPr>
        <w:t xml:space="preserve"> × </w:t>
      </w:r>
      <w:r w:rsidR="00176DEC">
        <w:rPr>
          <w:rFonts w:ascii="Times New Roman" w:hAnsi="Times New Roman"/>
          <w:bCs/>
          <w:sz w:val="24"/>
          <w:szCs w:val="24"/>
        </w:rPr>
        <w:t>1.57</w:t>
      </w:r>
      <w:r w:rsidRPr="008F4BDA">
        <w:rPr>
          <w:rFonts w:ascii="Times New Roman" w:hAnsi="Times New Roman"/>
          <w:bCs/>
          <w:sz w:val="24"/>
          <w:szCs w:val="24"/>
        </w:rPr>
        <w:t xml:space="preserve"> × 1.27). Given the </w:t>
      </w:r>
      <w:r w:rsidR="00337106">
        <w:rPr>
          <w:rFonts w:ascii="Times New Roman" w:hAnsi="Times New Roman"/>
          <w:bCs/>
          <w:sz w:val="24"/>
          <w:szCs w:val="24"/>
        </w:rPr>
        <w:t xml:space="preserve">average </w:t>
      </w:r>
      <w:r w:rsidRPr="008F4BDA">
        <w:rPr>
          <w:rFonts w:ascii="Times New Roman" w:hAnsi="Times New Roman"/>
          <w:bCs/>
          <w:sz w:val="24"/>
          <w:szCs w:val="24"/>
        </w:rPr>
        <w:t xml:space="preserve">annual hour burden of </w:t>
      </w:r>
      <w:r w:rsidR="0073199B">
        <w:rPr>
          <w:rFonts w:ascii="Times New Roman" w:hAnsi="Times New Roman"/>
          <w:bCs/>
          <w:sz w:val="24"/>
          <w:szCs w:val="24"/>
        </w:rPr>
        <w:t>851,000</w:t>
      </w:r>
      <w:r w:rsidRPr="008F4BDA">
        <w:rPr>
          <w:rFonts w:ascii="Times New Roman" w:hAnsi="Times New Roman"/>
          <w:bCs/>
          <w:sz w:val="24"/>
          <w:szCs w:val="24"/>
        </w:rPr>
        <w:t xml:space="preserve"> across all carriers and IEPs, the estimated </w:t>
      </w:r>
      <w:r w:rsidR="00337106">
        <w:rPr>
          <w:rFonts w:ascii="Times New Roman" w:hAnsi="Times New Roman"/>
          <w:bCs/>
          <w:sz w:val="24"/>
          <w:szCs w:val="24"/>
        </w:rPr>
        <w:t>average</w:t>
      </w:r>
      <w:r w:rsidR="00337106" w:rsidRPr="008F4BDA">
        <w:rPr>
          <w:rFonts w:ascii="Times New Roman" w:hAnsi="Times New Roman"/>
          <w:bCs/>
          <w:sz w:val="24"/>
          <w:szCs w:val="24"/>
        </w:rPr>
        <w:t xml:space="preserve"> </w:t>
      </w:r>
      <w:r w:rsidRPr="008F4BDA">
        <w:rPr>
          <w:rFonts w:ascii="Times New Roman" w:hAnsi="Times New Roman"/>
          <w:bCs/>
          <w:sz w:val="24"/>
          <w:szCs w:val="24"/>
        </w:rPr>
        <w:t xml:space="preserve">annual labor burden cost is </w:t>
      </w:r>
      <w:r w:rsidRPr="008F4BDA">
        <w:rPr>
          <w:rFonts w:ascii="Times New Roman" w:hAnsi="Times New Roman"/>
          <w:b/>
          <w:bCs/>
          <w:sz w:val="24"/>
          <w:szCs w:val="24"/>
        </w:rPr>
        <w:t>$</w:t>
      </w:r>
      <w:r w:rsidR="00B96ACC">
        <w:rPr>
          <w:rFonts w:ascii="Times New Roman" w:hAnsi="Times New Roman"/>
          <w:b/>
          <w:bCs/>
          <w:sz w:val="24"/>
          <w:szCs w:val="24"/>
        </w:rPr>
        <w:t>32,406,000</w:t>
      </w:r>
      <w:r w:rsidRPr="008F4BDA">
        <w:rPr>
          <w:rFonts w:ascii="Times New Roman" w:hAnsi="Times New Roman"/>
          <w:bCs/>
          <w:sz w:val="24"/>
          <w:szCs w:val="24"/>
        </w:rPr>
        <w:t xml:space="preserve"> (</w:t>
      </w:r>
      <w:r w:rsidR="00074A81">
        <w:rPr>
          <w:rFonts w:ascii="Times New Roman" w:hAnsi="Times New Roman"/>
          <w:bCs/>
          <w:sz w:val="24"/>
          <w:szCs w:val="24"/>
        </w:rPr>
        <w:t>851,000</w:t>
      </w:r>
      <w:r w:rsidRPr="008F4BDA">
        <w:rPr>
          <w:rFonts w:ascii="Times New Roman" w:hAnsi="Times New Roman"/>
          <w:bCs/>
          <w:sz w:val="24"/>
          <w:szCs w:val="24"/>
        </w:rPr>
        <w:t xml:space="preserve"> burden hours × $</w:t>
      </w:r>
      <w:r w:rsidR="00620027">
        <w:rPr>
          <w:rFonts w:ascii="Times New Roman" w:hAnsi="Times New Roman"/>
          <w:bCs/>
          <w:sz w:val="24"/>
          <w:szCs w:val="24"/>
        </w:rPr>
        <w:t>38.08</w:t>
      </w:r>
      <w:r w:rsidRPr="008F4BDA">
        <w:rPr>
          <w:rFonts w:ascii="Times New Roman" w:hAnsi="Times New Roman"/>
          <w:bCs/>
          <w:sz w:val="24"/>
          <w:szCs w:val="24"/>
        </w:rPr>
        <w:t xml:space="preserve"> per hour, rounded to the nearest thousand).</w:t>
      </w:r>
    </w:p>
    <w:p w14:paraId="488216B3" w14:textId="77777777" w:rsidR="008F4BDA" w:rsidRPr="008F4BDA" w:rsidRDefault="008F4BDA" w:rsidP="004203CB">
      <w:pPr>
        <w:widowControl/>
        <w:tabs>
          <w:tab w:val="left" w:pos="450"/>
        </w:tabs>
        <w:rPr>
          <w:rFonts w:ascii="Times New Roman" w:hAnsi="Times New Roman"/>
          <w:b/>
          <w:sz w:val="24"/>
        </w:rPr>
      </w:pPr>
    </w:p>
    <w:p w14:paraId="41ADA65F"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ESTIMATE OF TOTAL ANNUAL COSTS TO RESPONDENTS</w:t>
      </w:r>
    </w:p>
    <w:p w14:paraId="3DD46015" w14:textId="77777777" w:rsidR="008F4BDA" w:rsidRPr="008F4BDA" w:rsidRDefault="008F4BDA" w:rsidP="004203CB">
      <w:pPr>
        <w:widowControl/>
        <w:ind w:left="360"/>
        <w:rPr>
          <w:rFonts w:ascii="Times New Roman" w:hAnsi="Times New Roman"/>
        </w:rPr>
      </w:pPr>
      <w:r w:rsidRPr="008F4BDA">
        <w:rPr>
          <w:rFonts w:ascii="Times New Roman" w:hAnsi="Times New Roman"/>
        </w:rPr>
        <w:t xml:space="preserve"> </w:t>
      </w:r>
    </w:p>
    <w:p w14:paraId="1776C9BE" w14:textId="77777777"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ab/>
        <w:t xml:space="preserve">The estimated total annual costs to respondents vary by entity, as explained above. The total annual cost per respondent depends on the material cost per vehicle. The marking requirements call for the display of the carrier’s name and address (city and state) and USDOT number.  The marking must be displayed on both sides of the vehicle (equipment). </w:t>
      </w:r>
    </w:p>
    <w:p w14:paraId="432635C5" w14:textId="77777777" w:rsidR="008F4BDA" w:rsidRPr="008F4BDA" w:rsidRDefault="008F4BDA" w:rsidP="004203CB">
      <w:pPr>
        <w:widowControl/>
        <w:tabs>
          <w:tab w:val="left" w:pos="360"/>
        </w:tabs>
        <w:ind w:left="360" w:hanging="360"/>
        <w:rPr>
          <w:rFonts w:ascii="Times New Roman" w:hAnsi="Times New Roman"/>
          <w:sz w:val="24"/>
        </w:rPr>
      </w:pPr>
    </w:p>
    <w:p w14:paraId="2BE9A5CD" w14:textId="02CBEB36"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ab/>
        <w:t>Due to the diversity of carriers and the dynamics of renting and leasing of vehicles and equipment, the estimate of cost is based on a recent snapshot</w:t>
      </w:r>
      <w:r w:rsidRPr="008F4BDA">
        <w:rPr>
          <w:rFonts w:ascii="Times New Roman" w:hAnsi="Times New Roman"/>
          <w:i/>
          <w:sz w:val="24"/>
        </w:rPr>
        <w:t xml:space="preserve"> </w:t>
      </w:r>
      <w:r w:rsidRPr="008F4BDA">
        <w:rPr>
          <w:rFonts w:ascii="Times New Roman" w:hAnsi="Times New Roman"/>
          <w:sz w:val="24"/>
        </w:rPr>
        <w:t>(</w:t>
      </w:r>
      <w:r w:rsidR="008C1CA4">
        <w:rPr>
          <w:rFonts w:ascii="Times New Roman" w:hAnsi="Times New Roman"/>
          <w:sz w:val="24"/>
        </w:rPr>
        <w:t>January 23, 2015</w:t>
      </w:r>
      <w:r w:rsidRPr="008F4BDA">
        <w:rPr>
          <w:rFonts w:ascii="Times New Roman" w:hAnsi="Times New Roman"/>
          <w:sz w:val="24"/>
        </w:rPr>
        <w:t>) of carrier and CMV counts</w:t>
      </w:r>
      <w:r w:rsidR="00563549">
        <w:rPr>
          <w:rFonts w:ascii="Times New Roman" w:hAnsi="Times New Roman"/>
          <w:sz w:val="24"/>
        </w:rPr>
        <w:t xml:space="preserve"> projected </w:t>
      </w:r>
      <w:r w:rsidR="00FB6C31">
        <w:rPr>
          <w:rFonts w:ascii="Times New Roman" w:hAnsi="Times New Roman"/>
          <w:sz w:val="24"/>
        </w:rPr>
        <w:t>at an annual growth rate of 2.17 percent</w:t>
      </w:r>
      <w:r w:rsidRPr="008F4BDA">
        <w:rPr>
          <w:rFonts w:ascii="Times New Roman" w:hAnsi="Times New Roman"/>
          <w:sz w:val="24"/>
        </w:rPr>
        <w:t xml:space="preserve">. The CMV count is of owned, leased and rented vehicles combined. The annual cost per carrier is estimated based on the average size of carrier, as explained below. </w:t>
      </w:r>
    </w:p>
    <w:p w14:paraId="3D8A7E24" w14:textId="77777777"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 xml:space="preserve">  </w:t>
      </w:r>
      <w:r w:rsidRPr="008F4BDA">
        <w:rPr>
          <w:rFonts w:ascii="Times New Roman" w:hAnsi="Times New Roman"/>
          <w:sz w:val="24"/>
        </w:rPr>
        <w:tab/>
      </w:r>
    </w:p>
    <w:p w14:paraId="05160EA9" w14:textId="77777777" w:rsidR="008F4BDA" w:rsidRPr="008F4BDA" w:rsidRDefault="008F4BDA" w:rsidP="004203CB">
      <w:pPr>
        <w:widowControl/>
        <w:numPr>
          <w:ilvl w:val="0"/>
          <w:numId w:val="36"/>
        </w:numPr>
        <w:tabs>
          <w:tab w:val="left" w:pos="360"/>
        </w:tabs>
        <w:rPr>
          <w:rFonts w:ascii="Times New Roman" w:hAnsi="Times New Roman"/>
          <w:sz w:val="24"/>
        </w:rPr>
      </w:pPr>
      <w:r w:rsidRPr="008F4BDA">
        <w:rPr>
          <w:rFonts w:ascii="Times New Roman" w:hAnsi="Times New Roman"/>
          <w:sz w:val="24"/>
        </w:rPr>
        <w:t>Freight-carrying commercial motor carriers.</w:t>
      </w:r>
    </w:p>
    <w:p w14:paraId="3A3D2C3B" w14:textId="77777777" w:rsidR="008F4BDA" w:rsidRPr="008F4BDA" w:rsidRDefault="008F4BDA" w:rsidP="004203CB">
      <w:pPr>
        <w:widowControl/>
        <w:tabs>
          <w:tab w:val="left" w:pos="360"/>
        </w:tabs>
        <w:ind w:left="720"/>
        <w:rPr>
          <w:rFonts w:ascii="Times New Roman" w:hAnsi="Times New Roman"/>
          <w:sz w:val="24"/>
        </w:rPr>
      </w:pPr>
    </w:p>
    <w:p w14:paraId="57D6AE2C" w14:textId="0CFED510" w:rsidR="008F4BDA" w:rsidRPr="008F4BDA" w:rsidRDefault="008F4BDA" w:rsidP="004203CB">
      <w:pPr>
        <w:widowControl/>
        <w:tabs>
          <w:tab w:val="left" w:pos="360"/>
        </w:tabs>
        <w:ind w:left="360"/>
        <w:rPr>
          <w:rFonts w:ascii="Times New Roman" w:hAnsi="Times New Roman"/>
          <w:sz w:val="24"/>
        </w:rPr>
      </w:pPr>
      <w:r w:rsidRPr="008F4BDA">
        <w:rPr>
          <w:rFonts w:ascii="Times New Roman" w:hAnsi="Times New Roman"/>
          <w:sz w:val="24"/>
        </w:rPr>
        <w:t>The vast majority of these carriers currently use stencils or decals for marking, as these are the cheapest methods.  The paper option is not conducive to this type of carrier. The distribution of freight carriers by size is presented below in Table 2.  As shown, the majority (</w:t>
      </w:r>
      <w:r w:rsidR="00FE09C8">
        <w:rPr>
          <w:rFonts w:ascii="Times New Roman" w:hAnsi="Times New Roman"/>
          <w:sz w:val="24"/>
        </w:rPr>
        <w:t>87</w:t>
      </w:r>
      <w:r w:rsidR="00FE09C8" w:rsidRPr="008F4BDA">
        <w:rPr>
          <w:rFonts w:ascii="Times New Roman" w:hAnsi="Times New Roman"/>
          <w:sz w:val="24"/>
        </w:rPr>
        <w:t xml:space="preserve"> </w:t>
      </w:r>
      <w:r w:rsidRPr="008F4BDA">
        <w:rPr>
          <w:rFonts w:ascii="Times New Roman" w:hAnsi="Times New Roman"/>
          <w:sz w:val="24"/>
        </w:rPr>
        <w:t>percent) of those carriers is</w:t>
      </w:r>
      <w:r w:rsidR="00FE09C8">
        <w:rPr>
          <w:rFonts w:ascii="Times New Roman" w:hAnsi="Times New Roman"/>
          <w:sz w:val="24"/>
        </w:rPr>
        <w:t xml:space="preserve"> in the</w:t>
      </w:r>
      <w:r w:rsidRPr="008F4BDA">
        <w:rPr>
          <w:rFonts w:ascii="Times New Roman" w:hAnsi="Times New Roman"/>
          <w:sz w:val="24"/>
        </w:rPr>
        <w:t xml:space="preserve"> small</w:t>
      </w:r>
      <w:r w:rsidR="00FE09C8">
        <w:rPr>
          <w:rFonts w:ascii="Times New Roman" w:hAnsi="Times New Roman"/>
          <w:sz w:val="24"/>
        </w:rPr>
        <w:t>est</w:t>
      </w:r>
      <w:r w:rsidRPr="008F4BDA">
        <w:rPr>
          <w:rFonts w:ascii="Times New Roman" w:hAnsi="Times New Roman"/>
          <w:sz w:val="24"/>
        </w:rPr>
        <w:t xml:space="preserve"> </w:t>
      </w:r>
      <w:r w:rsidR="00FE09C8">
        <w:rPr>
          <w:rFonts w:ascii="Times New Roman" w:hAnsi="Times New Roman"/>
          <w:sz w:val="24"/>
        </w:rPr>
        <w:t xml:space="preserve">category </w:t>
      </w:r>
      <w:r w:rsidRPr="008F4BDA">
        <w:rPr>
          <w:rFonts w:ascii="Times New Roman" w:hAnsi="Times New Roman"/>
          <w:sz w:val="24"/>
        </w:rPr>
        <w:t xml:space="preserve">(1–6 CMVs).  </w:t>
      </w:r>
    </w:p>
    <w:p w14:paraId="61E4A68C" w14:textId="77777777" w:rsidR="008F4BDA" w:rsidRPr="008F4BDA" w:rsidRDefault="008F4BDA" w:rsidP="004203CB">
      <w:pPr>
        <w:widowControl/>
        <w:tabs>
          <w:tab w:val="left" w:pos="360"/>
        </w:tabs>
        <w:rPr>
          <w:rFonts w:ascii="Times New Roman" w:hAnsi="Times New Roman"/>
          <w:sz w:val="24"/>
        </w:rPr>
      </w:pPr>
    </w:p>
    <w:p w14:paraId="4B6DDC59" w14:textId="77777777" w:rsidR="00832C97" w:rsidRDefault="00937E4D" w:rsidP="004203CB">
      <w:pPr>
        <w:widowControl/>
        <w:tabs>
          <w:tab w:val="left" w:pos="360"/>
        </w:tabs>
        <w:spacing w:after="200"/>
        <w:jc w:val="center"/>
        <w:rPr>
          <w:rFonts w:ascii="Arial" w:eastAsia="Arial Unicode MS" w:hAnsi="Arial" w:cs="Arial"/>
          <w:b/>
          <w:bCs/>
          <w:color w:val="000000"/>
        </w:rPr>
      </w:pPr>
      <w:r w:rsidRPr="00937E4D">
        <w:rPr>
          <w:rFonts w:ascii="Arial" w:eastAsia="Arial Unicode MS" w:hAnsi="Arial" w:cs="Arial"/>
          <w:b/>
          <w:bCs/>
          <w:color w:val="000000"/>
        </w:rPr>
        <w:t xml:space="preserve"> </w:t>
      </w:r>
    </w:p>
    <w:p w14:paraId="4E31037E" w14:textId="77777777" w:rsidR="00832C97" w:rsidRDefault="00832C97" w:rsidP="004203CB">
      <w:pPr>
        <w:widowControl/>
        <w:tabs>
          <w:tab w:val="left" w:pos="360"/>
        </w:tabs>
        <w:spacing w:after="200"/>
        <w:jc w:val="center"/>
        <w:rPr>
          <w:rFonts w:ascii="Arial" w:eastAsia="Arial Unicode MS" w:hAnsi="Arial" w:cs="Arial"/>
          <w:b/>
          <w:bCs/>
          <w:color w:val="000000"/>
        </w:rPr>
      </w:pPr>
    </w:p>
    <w:p w14:paraId="495FE51F" w14:textId="77777777" w:rsidR="00832C97" w:rsidRDefault="00832C97" w:rsidP="004203CB">
      <w:pPr>
        <w:widowControl/>
        <w:tabs>
          <w:tab w:val="left" w:pos="360"/>
        </w:tabs>
        <w:spacing w:after="200"/>
        <w:jc w:val="center"/>
        <w:rPr>
          <w:rFonts w:ascii="Arial" w:eastAsia="Arial Unicode MS" w:hAnsi="Arial" w:cs="Arial"/>
          <w:b/>
          <w:bCs/>
          <w:color w:val="000000"/>
        </w:rPr>
      </w:pPr>
    </w:p>
    <w:p w14:paraId="1BD63D86" w14:textId="50AB1427" w:rsidR="00937E4D" w:rsidRPr="004203CB" w:rsidRDefault="00937E4D" w:rsidP="004203CB">
      <w:pPr>
        <w:widowControl/>
        <w:tabs>
          <w:tab w:val="left" w:pos="360"/>
        </w:tabs>
        <w:spacing w:after="200"/>
        <w:jc w:val="center"/>
        <w:rPr>
          <w:rFonts w:ascii="Times New Roman" w:hAnsi="Times New Roman"/>
          <w:sz w:val="24"/>
          <w:szCs w:val="24"/>
        </w:rPr>
      </w:pPr>
      <w:proofErr w:type="gramStart"/>
      <w:r w:rsidRPr="004203CB">
        <w:rPr>
          <w:rFonts w:ascii="Times New Roman" w:eastAsia="Arial Unicode MS" w:hAnsi="Times New Roman"/>
          <w:b/>
          <w:bCs/>
          <w:color w:val="000000"/>
          <w:sz w:val="24"/>
          <w:szCs w:val="24"/>
        </w:rPr>
        <w:lastRenderedPageBreak/>
        <w:t>Table 2.</w:t>
      </w:r>
      <w:proofErr w:type="gramEnd"/>
      <w:r w:rsidRPr="004203CB">
        <w:rPr>
          <w:rFonts w:ascii="Times New Roman" w:eastAsia="Arial Unicode MS" w:hAnsi="Times New Roman"/>
          <w:b/>
          <w:bCs/>
          <w:color w:val="000000"/>
          <w:sz w:val="24"/>
          <w:szCs w:val="24"/>
        </w:rPr>
        <w:t xml:space="preserve"> Distribution of Freight Carriers by Size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056"/>
        <w:gridCol w:w="1901"/>
        <w:gridCol w:w="1214"/>
        <w:gridCol w:w="1835"/>
      </w:tblGrid>
      <w:tr w:rsidR="00937E4D" w:rsidRPr="008F4BDA" w14:paraId="29F19306" w14:textId="77777777" w:rsidTr="00953807">
        <w:trPr>
          <w:cantSplit/>
          <w:trHeight w:hRule="exact" w:val="576"/>
          <w:jc w:val="center"/>
        </w:trPr>
        <w:tc>
          <w:tcPr>
            <w:tcW w:w="0" w:type="auto"/>
            <w:tcBorders>
              <w:top w:val="single" w:sz="18" w:space="0" w:color="auto"/>
              <w:left w:val="single" w:sz="18" w:space="0" w:color="auto"/>
              <w:right w:val="single" w:sz="18" w:space="0" w:color="auto"/>
            </w:tcBorders>
            <w:shd w:val="clear" w:color="auto" w:fill="D9D9D9"/>
            <w:vAlign w:val="center"/>
            <w:hideMark/>
          </w:tcPr>
          <w:p w14:paraId="05031068" w14:textId="77777777" w:rsidR="00937E4D" w:rsidRPr="008F4BDA" w:rsidRDefault="00937E4D"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Carrier Size</w:t>
            </w:r>
          </w:p>
        </w:tc>
        <w:tc>
          <w:tcPr>
            <w:tcW w:w="0" w:type="auto"/>
            <w:tcBorders>
              <w:top w:val="single" w:sz="18" w:space="0" w:color="auto"/>
              <w:left w:val="single" w:sz="18" w:space="0" w:color="auto"/>
              <w:bottom w:val="single" w:sz="18" w:space="0" w:color="auto"/>
              <w:right w:val="single" w:sz="18" w:space="0" w:color="auto"/>
            </w:tcBorders>
            <w:shd w:val="clear" w:color="auto" w:fill="D9D9D9"/>
            <w:noWrap/>
            <w:vAlign w:val="center"/>
            <w:hideMark/>
          </w:tcPr>
          <w:p w14:paraId="61990746" w14:textId="77777777" w:rsidR="00937E4D" w:rsidRPr="008F4BDA" w:rsidRDefault="00937E4D"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w:t>
            </w:r>
          </w:p>
        </w:tc>
        <w:tc>
          <w:tcPr>
            <w:tcW w:w="0" w:type="auto"/>
            <w:tcBorders>
              <w:top w:val="single" w:sz="18" w:space="0" w:color="auto"/>
              <w:left w:val="single" w:sz="18" w:space="0" w:color="auto"/>
              <w:bottom w:val="single" w:sz="18" w:space="0" w:color="auto"/>
              <w:right w:val="single" w:sz="18" w:space="0" w:color="auto"/>
            </w:tcBorders>
            <w:shd w:val="clear" w:color="auto" w:fill="D9D9D9"/>
            <w:vAlign w:val="center"/>
            <w:hideMark/>
          </w:tcPr>
          <w:p w14:paraId="46B8E9B0" w14:textId="35BED0A3" w:rsidR="00937E4D" w:rsidRPr="008F4BDA" w:rsidRDefault="00937E4D"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  percent</w:t>
            </w:r>
          </w:p>
        </w:tc>
        <w:tc>
          <w:tcPr>
            <w:tcW w:w="0" w:type="auto"/>
            <w:tcBorders>
              <w:top w:val="single" w:sz="18" w:space="0" w:color="auto"/>
              <w:left w:val="single" w:sz="18" w:space="0" w:color="auto"/>
              <w:bottom w:val="single" w:sz="18" w:space="0" w:color="auto"/>
              <w:right w:val="single" w:sz="18" w:space="0" w:color="auto"/>
            </w:tcBorders>
            <w:shd w:val="clear" w:color="auto" w:fill="D9D9D9"/>
            <w:noWrap/>
            <w:vAlign w:val="center"/>
            <w:hideMark/>
          </w:tcPr>
          <w:p w14:paraId="3EE9D5EF" w14:textId="77777777" w:rsidR="00937E4D" w:rsidRPr="008F4BDA" w:rsidRDefault="00937E4D"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w:t>
            </w:r>
          </w:p>
        </w:tc>
        <w:tc>
          <w:tcPr>
            <w:tcW w:w="1835" w:type="dxa"/>
            <w:tcBorders>
              <w:top w:val="single" w:sz="18" w:space="0" w:color="auto"/>
              <w:left w:val="single" w:sz="18" w:space="0" w:color="auto"/>
              <w:bottom w:val="single" w:sz="18" w:space="0" w:color="auto"/>
              <w:right w:val="single" w:sz="18" w:space="0" w:color="auto"/>
            </w:tcBorders>
            <w:shd w:val="clear" w:color="auto" w:fill="D9D9D9"/>
            <w:noWrap/>
            <w:vAlign w:val="center"/>
            <w:hideMark/>
          </w:tcPr>
          <w:p w14:paraId="2BC1193A" w14:textId="77777777" w:rsidR="00937E4D" w:rsidRPr="008F4BDA" w:rsidRDefault="00937E4D"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  percent</w:t>
            </w:r>
          </w:p>
        </w:tc>
      </w:tr>
      <w:tr w:rsidR="00D51CD8" w:rsidRPr="008F4BDA" w14:paraId="2477BB61" w14:textId="77777777" w:rsidTr="00953807">
        <w:trPr>
          <w:cantSplit/>
          <w:trHeight w:hRule="exact" w:val="300"/>
          <w:jc w:val="center"/>
        </w:trPr>
        <w:tc>
          <w:tcPr>
            <w:tcW w:w="0" w:type="auto"/>
            <w:tcBorders>
              <w:top w:val="single" w:sz="18" w:space="0" w:color="auto"/>
              <w:left w:val="single" w:sz="18" w:space="0" w:color="auto"/>
            </w:tcBorders>
            <w:shd w:val="clear" w:color="auto" w:fill="auto"/>
            <w:vAlign w:val="center"/>
            <w:hideMark/>
          </w:tcPr>
          <w:p w14:paraId="33A21590"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1-6</w:t>
            </w:r>
          </w:p>
        </w:tc>
        <w:tc>
          <w:tcPr>
            <w:tcW w:w="0" w:type="auto"/>
            <w:tcBorders>
              <w:top w:val="single" w:sz="18" w:space="0" w:color="auto"/>
            </w:tcBorders>
            <w:shd w:val="clear" w:color="auto" w:fill="auto"/>
            <w:noWrap/>
            <w:vAlign w:val="center"/>
          </w:tcPr>
          <w:p w14:paraId="6C21FA9E" w14:textId="19635345" w:rsidR="00D51CD8" w:rsidRPr="00D51CD8" w:rsidRDefault="00CF4B55" w:rsidP="00CF4B55">
            <w:pPr>
              <w:widowControl/>
              <w:autoSpaceDE/>
              <w:autoSpaceDN/>
              <w:adjustRightInd/>
              <w:jc w:val="center"/>
              <w:rPr>
                <w:rFonts w:ascii="Times New Roman" w:hAnsi="Times New Roman"/>
                <w:color w:val="000000"/>
                <w:sz w:val="22"/>
                <w:szCs w:val="22"/>
              </w:rPr>
            </w:pPr>
            <w:r>
              <w:rPr>
                <w:rFonts w:ascii="Times New Roman" w:hAnsi="Times New Roman"/>
                <w:sz w:val="22"/>
                <w:szCs w:val="22"/>
              </w:rPr>
              <w:t>651,892</w:t>
            </w:r>
          </w:p>
        </w:tc>
        <w:tc>
          <w:tcPr>
            <w:tcW w:w="0" w:type="auto"/>
            <w:tcBorders>
              <w:top w:val="single" w:sz="18" w:space="0" w:color="auto"/>
            </w:tcBorders>
            <w:shd w:val="clear" w:color="auto" w:fill="auto"/>
            <w:vAlign w:val="center"/>
            <w:hideMark/>
          </w:tcPr>
          <w:p w14:paraId="6E988046" w14:textId="127E4FD1" w:rsidR="00D51CD8" w:rsidRPr="008F4BDA"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87.37</w:t>
            </w:r>
            <w:r w:rsidR="00D51CD8" w:rsidRPr="008F4BDA">
              <w:rPr>
                <w:rFonts w:ascii="Times New Roman" w:hAnsi="Times New Roman"/>
                <w:color w:val="000000"/>
                <w:sz w:val="22"/>
                <w:szCs w:val="22"/>
              </w:rPr>
              <w:t xml:space="preserve"> percent</w:t>
            </w:r>
          </w:p>
        </w:tc>
        <w:tc>
          <w:tcPr>
            <w:tcW w:w="0" w:type="auto"/>
            <w:tcBorders>
              <w:top w:val="single" w:sz="18" w:space="0" w:color="auto"/>
            </w:tcBorders>
            <w:shd w:val="clear" w:color="auto" w:fill="auto"/>
            <w:noWrap/>
            <w:vAlign w:val="center"/>
          </w:tcPr>
          <w:p w14:paraId="6B7DE773" w14:textId="12C8BEEC" w:rsidR="00D51CD8" w:rsidRPr="008F4BDA" w:rsidRDefault="002522B3"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1,202,192</w:t>
            </w:r>
          </w:p>
        </w:tc>
        <w:tc>
          <w:tcPr>
            <w:tcW w:w="1835" w:type="dxa"/>
            <w:tcBorders>
              <w:top w:val="single" w:sz="18" w:space="0" w:color="auto"/>
              <w:right w:val="single" w:sz="18" w:space="0" w:color="auto"/>
            </w:tcBorders>
            <w:shd w:val="clear" w:color="auto" w:fill="auto"/>
            <w:vAlign w:val="center"/>
            <w:hideMark/>
          </w:tcPr>
          <w:p w14:paraId="582527E1" w14:textId="57585D3B" w:rsidR="00D51CD8" w:rsidRPr="008F4BDA" w:rsidRDefault="00C42872"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23.82 </w:t>
            </w:r>
            <w:r w:rsidR="00D51CD8" w:rsidRPr="008F4BDA">
              <w:rPr>
                <w:rFonts w:ascii="Times New Roman" w:hAnsi="Times New Roman"/>
                <w:color w:val="000000"/>
                <w:sz w:val="22"/>
                <w:szCs w:val="22"/>
              </w:rPr>
              <w:t>percent</w:t>
            </w:r>
          </w:p>
        </w:tc>
      </w:tr>
      <w:tr w:rsidR="00D51CD8" w:rsidRPr="008F4BDA" w14:paraId="3C54B03A" w14:textId="77777777" w:rsidTr="00953807">
        <w:trPr>
          <w:cantSplit/>
          <w:trHeight w:hRule="exact" w:val="300"/>
          <w:jc w:val="center"/>
        </w:trPr>
        <w:tc>
          <w:tcPr>
            <w:tcW w:w="0" w:type="auto"/>
            <w:tcBorders>
              <w:left w:val="single" w:sz="18" w:space="0" w:color="auto"/>
            </w:tcBorders>
            <w:shd w:val="clear" w:color="auto" w:fill="auto"/>
            <w:vAlign w:val="center"/>
            <w:hideMark/>
          </w:tcPr>
          <w:p w14:paraId="205C4D82"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7-19</w:t>
            </w:r>
          </w:p>
        </w:tc>
        <w:tc>
          <w:tcPr>
            <w:tcW w:w="0" w:type="auto"/>
            <w:shd w:val="clear" w:color="auto" w:fill="auto"/>
            <w:noWrap/>
            <w:vAlign w:val="center"/>
          </w:tcPr>
          <w:p w14:paraId="101642D4" w14:textId="73FD8F40" w:rsidR="00D51CD8" w:rsidRPr="00D51CD8"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sz w:val="22"/>
                <w:szCs w:val="22"/>
              </w:rPr>
              <w:t>64,246</w:t>
            </w:r>
          </w:p>
        </w:tc>
        <w:tc>
          <w:tcPr>
            <w:tcW w:w="0" w:type="auto"/>
            <w:shd w:val="clear" w:color="auto" w:fill="auto"/>
            <w:vAlign w:val="center"/>
            <w:hideMark/>
          </w:tcPr>
          <w:p w14:paraId="410E873F" w14:textId="616D7CE3" w:rsidR="00D51CD8" w:rsidRPr="008F4BDA"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8.61</w:t>
            </w:r>
            <w:r w:rsidRPr="008F4BDA">
              <w:rPr>
                <w:rFonts w:ascii="Times New Roman" w:hAnsi="Times New Roman"/>
                <w:color w:val="000000"/>
                <w:sz w:val="22"/>
                <w:szCs w:val="22"/>
              </w:rPr>
              <w:t xml:space="preserve"> </w:t>
            </w:r>
            <w:r w:rsidR="00D51CD8" w:rsidRPr="008F4BDA">
              <w:rPr>
                <w:rFonts w:ascii="Times New Roman" w:hAnsi="Times New Roman"/>
                <w:color w:val="000000"/>
                <w:sz w:val="22"/>
                <w:szCs w:val="22"/>
              </w:rPr>
              <w:t>percent</w:t>
            </w:r>
          </w:p>
        </w:tc>
        <w:tc>
          <w:tcPr>
            <w:tcW w:w="0" w:type="auto"/>
            <w:shd w:val="clear" w:color="auto" w:fill="auto"/>
            <w:noWrap/>
            <w:vAlign w:val="center"/>
          </w:tcPr>
          <w:p w14:paraId="6567599F" w14:textId="405D0D39" w:rsidR="00D51CD8" w:rsidRPr="008F4BDA" w:rsidRDefault="002522B3"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694,732</w:t>
            </w:r>
          </w:p>
        </w:tc>
        <w:tc>
          <w:tcPr>
            <w:tcW w:w="1835" w:type="dxa"/>
            <w:tcBorders>
              <w:right w:val="single" w:sz="18" w:space="0" w:color="auto"/>
            </w:tcBorders>
            <w:shd w:val="clear" w:color="auto" w:fill="auto"/>
            <w:vAlign w:val="center"/>
            <w:hideMark/>
          </w:tcPr>
          <w:p w14:paraId="48E60B84" w14:textId="0A22DB2B" w:rsidR="00D51CD8" w:rsidRPr="008F4BDA" w:rsidRDefault="00C42872"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13.76 </w:t>
            </w:r>
            <w:r w:rsidR="00D51CD8" w:rsidRPr="008F4BDA">
              <w:rPr>
                <w:rFonts w:ascii="Times New Roman" w:hAnsi="Times New Roman"/>
                <w:color w:val="000000"/>
                <w:sz w:val="22"/>
                <w:szCs w:val="22"/>
              </w:rPr>
              <w:t>percent</w:t>
            </w:r>
          </w:p>
        </w:tc>
      </w:tr>
      <w:tr w:rsidR="00D51CD8" w:rsidRPr="008F4BDA" w14:paraId="2AE54BE4" w14:textId="77777777" w:rsidTr="00953807">
        <w:trPr>
          <w:cantSplit/>
          <w:trHeight w:hRule="exact" w:val="300"/>
          <w:jc w:val="center"/>
        </w:trPr>
        <w:tc>
          <w:tcPr>
            <w:tcW w:w="0" w:type="auto"/>
            <w:tcBorders>
              <w:left w:val="single" w:sz="18" w:space="0" w:color="auto"/>
            </w:tcBorders>
            <w:shd w:val="clear" w:color="auto" w:fill="auto"/>
            <w:vAlign w:val="center"/>
            <w:hideMark/>
          </w:tcPr>
          <w:p w14:paraId="17F982C8"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20-100</w:t>
            </w:r>
          </w:p>
        </w:tc>
        <w:tc>
          <w:tcPr>
            <w:tcW w:w="0" w:type="auto"/>
            <w:shd w:val="clear" w:color="auto" w:fill="auto"/>
            <w:noWrap/>
            <w:vAlign w:val="center"/>
          </w:tcPr>
          <w:p w14:paraId="5A1AE0BC" w14:textId="763EBD9C" w:rsidR="00D51CD8" w:rsidRPr="00D51CD8"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sz w:val="22"/>
                <w:szCs w:val="22"/>
              </w:rPr>
              <w:t>25,466</w:t>
            </w:r>
          </w:p>
        </w:tc>
        <w:tc>
          <w:tcPr>
            <w:tcW w:w="0" w:type="auto"/>
            <w:shd w:val="clear" w:color="auto" w:fill="auto"/>
            <w:vAlign w:val="center"/>
            <w:hideMark/>
          </w:tcPr>
          <w:p w14:paraId="542C8155" w14:textId="089BF1B2" w:rsidR="00D51CD8" w:rsidRPr="008F4BDA"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3.41</w:t>
            </w:r>
            <w:r w:rsidRPr="008F4BDA">
              <w:rPr>
                <w:rFonts w:ascii="Times New Roman" w:hAnsi="Times New Roman"/>
                <w:color w:val="000000"/>
                <w:sz w:val="22"/>
                <w:szCs w:val="22"/>
              </w:rPr>
              <w:t xml:space="preserve"> </w:t>
            </w:r>
            <w:r w:rsidR="00D51CD8" w:rsidRPr="008F4BDA">
              <w:rPr>
                <w:rFonts w:ascii="Times New Roman" w:hAnsi="Times New Roman"/>
                <w:color w:val="000000"/>
                <w:sz w:val="22"/>
                <w:szCs w:val="22"/>
              </w:rPr>
              <w:t>percent</w:t>
            </w:r>
          </w:p>
        </w:tc>
        <w:tc>
          <w:tcPr>
            <w:tcW w:w="0" w:type="auto"/>
            <w:shd w:val="clear" w:color="auto" w:fill="auto"/>
            <w:noWrap/>
            <w:vAlign w:val="center"/>
          </w:tcPr>
          <w:p w14:paraId="4A6A8F71" w14:textId="6193F1B5" w:rsidR="00D51CD8" w:rsidRPr="008F4BDA" w:rsidRDefault="002522B3"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992,579</w:t>
            </w:r>
          </w:p>
        </w:tc>
        <w:tc>
          <w:tcPr>
            <w:tcW w:w="1835" w:type="dxa"/>
            <w:tcBorders>
              <w:right w:val="single" w:sz="18" w:space="0" w:color="auto"/>
            </w:tcBorders>
            <w:shd w:val="clear" w:color="auto" w:fill="auto"/>
            <w:vAlign w:val="center"/>
            <w:hideMark/>
          </w:tcPr>
          <w:p w14:paraId="750DBBA9" w14:textId="03ACA7DD" w:rsidR="00D51CD8" w:rsidRPr="008F4BDA" w:rsidRDefault="00C42872"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19.66</w:t>
            </w:r>
            <w:r w:rsidRPr="008F4BDA">
              <w:rPr>
                <w:rFonts w:ascii="Times New Roman" w:hAnsi="Times New Roman"/>
                <w:color w:val="000000"/>
                <w:sz w:val="22"/>
                <w:szCs w:val="22"/>
              </w:rPr>
              <w:t xml:space="preserve"> </w:t>
            </w:r>
            <w:r w:rsidR="00D51CD8" w:rsidRPr="008F4BDA">
              <w:rPr>
                <w:rFonts w:ascii="Times New Roman" w:hAnsi="Times New Roman"/>
                <w:color w:val="000000"/>
                <w:sz w:val="22"/>
                <w:szCs w:val="22"/>
              </w:rPr>
              <w:t>percent</w:t>
            </w:r>
          </w:p>
        </w:tc>
      </w:tr>
      <w:tr w:rsidR="00D51CD8" w:rsidRPr="008F4BDA" w14:paraId="0E432F40" w14:textId="77777777" w:rsidTr="00953807">
        <w:trPr>
          <w:cantSplit/>
          <w:trHeight w:hRule="exact" w:val="300"/>
          <w:jc w:val="center"/>
        </w:trPr>
        <w:tc>
          <w:tcPr>
            <w:tcW w:w="0" w:type="auto"/>
            <w:tcBorders>
              <w:left w:val="single" w:sz="18" w:space="0" w:color="auto"/>
            </w:tcBorders>
            <w:shd w:val="clear" w:color="auto" w:fill="auto"/>
            <w:vAlign w:val="center"/>
            <w:hideMark/>
          </w:tcPr>
          <w:p w14:paraId="399D294B"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101+</w:t>
            </w:r>
          </w:p>
        </w:tc>
        <w:tc>
          <w:tcPr>
            <w:tcW w:w="0" w:type="auto"/>
            <w:shd w:val="clear" w:color="auto" w:fill="auto"/>
            <w:noWrap/>
            <w:vAlign w:val="center"/>
          </w:tcPr>
          <w:p w14:paraId="5D45F650" w14:textId="11B08D79" w:rsidR="00D51CD8" w:rsidRPr="00D51CD8"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sz w:val="22"/>
                <w:szCs w:val="22"/>
              </w:rPr>
              <w:t>4,397</w:t>
            </w:r>
          </w:p>
        </w:tc>
        <w:tc>
          <w:tcPr>
            <w:tcW w:w="0" w:type="auto"/>
            <w:shd w:val="clear" w:color="auto" w:fill="auto"/>
            <w:vAlign w:val="center"/>
            <w:hideMark/>
          </w:tcPr>
          <w:p w14:paraId="6007539F" w14:textId="3D3019AC" w:rsidR="00D51CD8" w:rsidRPr="008F4BDA" w:rsidRDefault="00CF4B55"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0.59</w:t>
            </w:r>
            <w:r w:rsidRPr="008F4BDA">
              <w:rPr>
                <w:rFonts w:ascii="Times New Roman" w:hAnsi="Times New Roman"/>
                <w:color w:val="000000"/>
                <w:sz w:val="22"/>
                <w:szCs w:val="22"/>
              </w:rPr>
              <w:t xml:space="preserve"> </w:t>
            </w:r>
            <w:r w:rsidR="00D51CD8" w:rsidRPr="008F4BDA">
              <w:rPr>
                <w:rFonts w:ascii="Times New Roman" w:hAnsi="Times New Roman"/>
                <w:color w:val="000000"/>
                <w:sz w:val="22"/>
                <w:szCs w:val="22"/>
              </w:rPr>
              <w:t>percent</w:t>
            </w:r>
          </w:p>
        </w:tc>
        <w:tc>
          <w:tcPr>
            <w:tcW w:w="0" w:type="auto"/>
            <w:shd w:val="clear" w:color="auto" w:fill="auto"/>
            <w:noWrap/>
            <w:vAlign w:val="center"/>
          </w:tcPr>
          <w:p w14:paraId="141FDE92" w14:textId="7955B698" w:rsidR="00D51CD8" w:rsidRPr="008F4BDA" w:rsidRDefault="002522B3"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2,158,498</w:t>
            </w:r>
          </w:p>
        </w:tc>
        <w:tc>
          <w:tcPr>
            <w:tcW w:w="1835" w:type="dxa"/>
            <w:tcBorders>
              <w:right w:val="single" w:sz="18" w:space="0" w:color="auto"/>
            </w:tcBorders>
            <w:shd w:val="clear" w:color="auto" w:fill="auto"/>
            <w:vAlign w:val="center"/>
            <w:hideMark/>
          </w:tcPr>
          <w:p w14:paraId="25AA386B" w14:textId="1B983A43" w:rsidR="00D51CD8" w:rsidRPr="008F4BDA" w:rsidRDefault="00C42872"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42.76</w:t>
            </w:r>
            <w:r w:rsidRPr="008F4BDA">
              <w:rPr>
                <w:rFonts w:ascii="Times New Roman" w:hAnsi="Times New Roman"/>
                <w:color w:val="000000"/>
                <w:sz w:val="22"/>
                <w:szCs w:val="22"/>
              </w:rPr>
              <w:t xml:space="preserve"> </w:t>
            </w:r>
            <w:r w:rsidR="00D51CD8" w:rsidRPr="008F4BDA">
              <w:rPr>
                <w:rFonts w:ascii="Times New Roman" w:hAnsi="Times New Roman"/>
                <w:color w:val="000000"/>
                <w:sz w:val="22"/>
                <w:szCs w:val="22"/>
              </w:rPr>
              <w:t>percent</w:t>
            </w:r>
          </w:p>
        </w:tc>
      </w:tr>
      <w:tr w:rsidR="00D51CD8" w:rsidRPr="008F4BDA" w14:paraId="293ECC64" w14:textId="77777777" w:rsidTr="00953807">
        <w:trPr>
          <w:cantSplit/>
          <w:trHeight w:hRule="exact" w:val="712"/>
          <w:jc w:val="center"/>
        </w:trPr>
        <w:tc>
          <w:tcPr>
            <w:tcW w:w="0" w:type="auto"/>
            <w:tcBorders>
              <w:left w:val="single" w:sz="18" w:space="0" w:color="auto"/>
              <w:bottom w:val="single" w:sz="18" w:space="0" w:color="auto"/>
            </w:tcBorders>
            <w:shd w:val="clear" w:color="auto" w:fill="auto"/>
            <w:vAlign w:val="center"/>
            <w:hideMark/>
          </w:tcPr>
          <w:p w14:paraId="42785D93" w14:textId="29C5AD8A"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Total </w:t>
            </w:r>
            <w:r>
              <w:rPr>
                <w:rFonts w:ascii="Times New Roman" w:hAnsi="Times New Roman"/>
                <w:b/>
                <w:bCs/>
                <w:color w:val="000000"/>
                <w:sz w:val="22"/>
                <w:szCs w:val="22"/>
              </w:rPr>
              <w:t>(rounded to nearest thousand)</w:t>
            </w:r>
          </w:p>
        </w:tc>
        <w:tc>
          <w:tcPr>
            <w:tcW w:w="0" w:type="auto"/>
            <w:tcBorders>
              <w:bottom w:val="single" w:sz="18" w:space="0" w:color="auto"/>
            </w:tcBorders>
            <w:shd w:val="clear" w:color="auto" w:fill="auto"/>
            <w:noWrap/>
            <w:vAlign w:val="center"/>
          </w:tcPr>
          <w:p w14:paraId="1EAABA81" w14:textId="39FFD18A" w:rsidR="00D51CD8" w:rsidRPr="004505CD" w:rsidRDefault="00CF4B55" w:rsidP="004203CB">
            <w:pPr>
              <w:widowControl/>
              <w:autoSpaceDE/>
              <w:autoSpaceDN/>
              <w:adjustRightInd/>
              <w:jc w:val="center"/>
              <w:rPr>
                <w:rFonts w:ascii="Times New Roman" w:hAnsi="Times New Roman"/>
                <w:b/>
                <w:bCs/>
                <w:color w:val="000000"/>
                <w:sz w:val="22"/>
                <w:szCs w:val="22"/>
              </w:rPr>
            </w:pPr>
            <w:r>
              <w:rPr>
                <w:rFonts w:ascii="Times New Roman" w:hAnsi="Times New Roman"/>
                <w:b/>
                <w:sz w:val="22"/>
                <w:szCs w:val="22"/>
              </w:rPr>
              <w:t>746,000</w:t>
            </w:r>
          </w:p>
        </w:tc>
        <w:tc>
          <w:tcPr>
            <w:tcW w:w="0" w:type="auto"/>
            <w:tcBorders>
              <w:bottom w:val="single" w:sz="18" w:space="0" w:color="auto"/>
            </w:tcBorders>
            <w:shd w:val="clear" w:color="auto" w:fill="auto"/>
            <w:vAlign w:val="center"/>
            <w:hideMark/>
          </w:tcPr>
          <w:p w14:paraId="16C1A222"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c>
          <w:tcPr>
            <w:tcW w:w="0" w:type="auto"/>
            <w:tcBorders>
              <w:bottom w:val="single" w:sz="18" w:space="0" w:color="auto"/>
            </w:tcBorders>
            <w:shd w:val="clear" w:color="auto" w:fill="auto"/>
            <w:noWrap/>
            <w:vAlign w:val="center"/>
          </w:tcPr>
          <w:p w14:paraId="1D75BFD4" w14:textId="261673A0" w:rsidR="00D51CD8" w:rsidRPr="008F4BDA" w:rsidRDefault="003074F2" w:rsidP="004203CB">
            <w:pPr>
              <w:widowControl/>
              <w:autoSpaceDE/>
              <w:autoSpaceDN/>
              <w:adjustRightInd/>
              <w:jc w:val="center"/>
              <w:rPr>
                <w:rFonts w:ascii="Times New Roman" w:hAnsi="Times New Roman"/>
                <w:b/>
                <w:bCs/>
                <w:color w:val="000000"/>
                <w:sz w:val="22"/>
                <w:szCs w:val="22"/>
              </w:rPr>
            </w:pPr>
            <w:r>
              <w:rPr>
                <w:rFonts w:ascii="Times New Roman" w:hAnsi="Times New Roman"/>
                <w:bCs/>
                <w:sz w:val="24"/>
                <w:szCs w:val="24"/>
              </w:rPr>
              <w:t>5,048,000</w:t>
            </w:r>
          </w:p>
        </w:tc>
        <w:tc>
          <w:tcPr>
            <w:tcW w:w="1835" w:type="dxa"/>
            <w:tcBorders>
              <w:bottom w:val="single" w:sz="18" w:space="0" w:color="auto"/>
              <w:right w:val="single" w:sz="18" w:space="0" w:color="auto"/>
            </w:tcBorders>
            <w:shd w:val="clear" w:color="auto" w:fill="auto"/>
            <w:noWrap/>
            <w:vAlign w:val="center"/>
            <w:hideMark/>
          </w:tcPr>
          <w:p w14:paraId="494CFAD0" w14:textId="77777777" w:rsidR="00D51CD8" w:rsidRPr="008F4BDA" w:rsidRDefault="00D51CD8"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r>
    </w:tbl>
    <w:p w14:paraId="6933CF19" w14:textId="77777777" w:rsidR="00937E4D" w:rsidRPr="008F4BDA" w:rsidRDefault="00937E4D" w:rsidP="004203CB">
      <w:pPr>
        <w:widowControl/>
        <w:rPr>
          <w:rFonts w:ascii="Times New Roman" w:hAnsi="Times New Roman"/>
          <w:sz w:val="24"/>
        </w:rPr>
      </w:pPr>
    </w:p>
    <w:p w14:paraId="039CE9D2" w14:textId="33A5C759" w:rsidR="00937E4D" w:rsidRPr="008F4BDA" w:rsidRDefault="00937E4D" w:rsidP="004203CB">
      <w:pPr>
        <w:widowControl/>
        <w:ind w:left="360"/>
        <w:rPr>
          <w:rFonts w:ascii="Times New Roman" w:hAnsi="Times New Roman"/>
          <w:sz w:val="24"/>
        </w:rPr>
      </w:pPr>
      <w:r w:rsidRPr="008F4BDA">
        <w:rPr>
          <w:rFonts w:ascii="Times New Roman" w:hAnsi="Times New Roman"/>
          <w:sz w:val="24"/>
        </w:rPr>
        <w:t>The Agency applies the percentage distributions from Table 2 to the estimated total numbers of impacted freight carriers</w:t>
      </w:r>
      <w:r w:rsidR="007D4658">
        <w:rPr>
          <w:rFonts w:ascii="Times New Roman" w:hAnsi="Times New Roman"/>
          <w:sz w:val="24"/>
        </w:rPr>
        <w:t xml:space="preserve"> (</w:t>
      </w:r>
      <w:r w:rsidR="007366BC">
        <w:rPr>
          <w:rFonts w:ascii="Times New Roman" w:hAnsi="Times New Roman"/>
          <w:sz w:val="24"/>
        </w:rPr>
        <w:t>282,000</w:t>
      </w:r>
      <w:r w:rsidR="007D4658">
        <w:rPr>
          <w:rFonts w:ascii="Times New Roman" w:hAnsi="Times New Roman"/>
          <w:sz w:val="24"/>
        </w:rPr>
        <w:t>)</w:t>
      </w:r>
      <w:r w:rsidRPr="008F4BDA">
        <w:rPr>
          <w:rFonts w:ascii="Times New Roman" w:hAnsi="Times New Roman"/>
          <w:sz w:val="24"/>
        </w:rPr>
        <w:t xml:space="preserve"> and CMVs </w:t>
      </w:r>
      <w:r w:rsidR="007D4658">
        <w:rPr>
          <w:rFonts w:ascii="Times New Roman" w:hAnsi="Times New Roman"/>
          <w:sz w:val="24"/>
        </w:rPr>
        <w:t>(</w:t>
      </w:r>
      <w:r w:rsidR="007366BC">
        <w:rPr>
          <w:rFonts w:ascii="Times New Roman" w:hAnsi="Times New Roman"/>
          <w:bCs/>
          <w:sz w:val="24"/>
          <w:szCs w:val="24"/>
        </w:rPr>
        <w:t>1,911,000</w:t>
      </w:r>
      <w:r w:rsidR="007D4658">
        <w:rPr>
          <w:rFonts w:ascii="Times New Roman" w:hAnsi="Times New Roman"/>
          <w:bCs/>
          <w:sz w:val="24"/>
          <w:szCs w:val="24"/>
        </w:rPr>
        <w:t xml:space="preserve">) </w:t>
      </w:r>
      <w:r w:rsidRPr="008F4BDA">
        <w:rPr>
          <w:rFonts w:ascii="Times New Roman" w:hAnsi="Times New Roman"/>
          <w:sz w:val="24"/>
        </w:rPr>
        <w:t xml:space="preserve">to estimate the distribution of impacts by carrier size (see Table 3). </w:t>
      </w:r>
    </w:p>
    <w:p w14:paraId="35C2DACE" w14:textId="77777777" w:rsidR="008F4BDA" w:rsidRPr="008F4BDA" w:rsidRDefault="008F4BDA" w:rsidP="004203CB">
      <w:pPr>
        <w:widowControl/>
        <w:tabs>
          <w:tab w:val="left" w:pos="360"/>
        </w:tabs>
        <w:ind w:left="720"/>
        <w:rPr>
          <w:rFonts w:ascii="Times New Roman" w:hAnsi="Times New Roman"/>
          <w:sz w:val="24"/>
        </w:rPr>
      </w:pPr>
    </w:p>
    <w:tbl>
      <w:tblPr>
        <w:tblW w:w="0" w:type="auto"/>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423"/>
        <w:gridCol w:w="1444"/>
        <w:gridCol w:w="1970"/>
        <w:gridCol w:w="1731"/>
        <w:gridCol w:w="1915"/>
      </w:tblGrid>
      <w:tr w:rsidR="008F4BDA" w:rsidRPr="008F4BDA" w14:paraId="2F02981D" w14:textId="77777777" w:rsidTr="009B2B58">
        <w:trPr>
          <w:trHeight w:val="322"/>
        </w:trPr>
        <w:tc>
          <w:tcPr>
            <w:tcW w:w="0" w:type="auto"/>
            <w:gridSpan w:val="5"/>
            <w:tcBorders>
              <w:top w:val="nil"/>
              <w:left w:val="nil"/>
              <w:bottom w:val="single" w:sz="6" w:space="0" w:color="auto"/>
              <w:right w:val="nil"/>
            </w:tcBorders>
            <w:shd w:val="clear" w:color="auto" w:fill="auto"/>
            <w:noWrap/>
            <w:vAlign w:val="center"/>
            <w:hideMark/>
          </w:tcPr>
          <w:p w14:paraId="0F50EF8C" w14:textId="77777777" w:rsidR="008F4BDA" w:rsidRPr="00A318E4" w:rsidRDefault="008F4BDA" w:rsidP="004203CB">
            <w:pPr>
              <w:keepNext/>
              <w:widowControl/>
              <w:autoSpaceDE/>
              <w:autoSpaceDN/>
              <w:adjustRightInd/>
              <w:jc w:val="center"/>
              <w:rPr>
                <w:rFonts w:ascii="Times New Roman" w:hAnsi="Times New Roman"/>
                <w:b/>
                <w:bCs/>
                <w:color w:val="000000"/>
                <w:sz w:val="24"/>
                <w:szCs w:val="24"/>
              </w:rPr>
            </w:pPr>
            <w:r w:rsidRPr="00A318E4">
              <w:rPr>
                <w:rFonts w:ascii="Times New Roman" w:hAnsi="Times New Roman"/>
                <w:b/>
                <w:bCs/>
                <w:color w:val="000000"/>
                <w:sz w:val="24"/>
                <w:szCs w:val="24"/>
              </w:rPr>
              <w:t>Table 3. Estimated Distribution of Impacted Freight Carriers by Size</w:t>
            </w:r>
          </w:p>
        </w:tc>
      </w:tr>
      <w:tr w:rsidR="008F4BDA" w:rsidRPr="008F4BDA" w14:paraId="2E79B89A" w14:textId="77777777" w:rsidTr="009B2B58">
        <w:trPr>
          <w:trHeight w:val="571"/>
        </w:trPr>
        <w:tc>
          <w:tcPr>
            <w:tcW w:w="0" w:type="auto"/>
            <w:tcBorders>
              <w:top w:val="single" w:sz="18" w:space="0" w:color="auto"/>
              <w:left w:val="single" w:sz="18" w:space="0" w:color="auto"/>
              <w:bottom w:val="single" w:sz="18" w:space="0" w:color="auto"/>
              <w:right w:val="single" w:sz="18" w:space="0" w:color="auto"/>
            </w:tcBorders>
            <w:shd w:val="clear" w:color="auto" w:fill="D9D9D9"/>
            <w:vAlign w:val="center"/>
            <w:hideMark/>
          </w:tcPr>
          <w:p w14:paraId="11926A9A" w14:textId="77777777" w:rsidR="008F4BDA" w:rsidRPr="008F4BDA" w:rsidRDefault="008F4BDA"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Carrier Size</w:t>
            </w:r>
          </w:p>
        </w:tc>
        <w:tc>
          <w:tcPr>
            <w:tcW w:w="0" w:type="auto"/>
            <w:tcBorders>
              <w:top w:val="single" w:sz="18" w:space="0" w:color="auto"/>
              <w:left w:val="single" w:sz="18" w:space="0" w:color="auto"/>
              <w:bottom w:val="single" w:sz="6" w:space="0" w:color="auto"/>
              <w:right w:val="single" w:sz="18" w:space="0" w:color="auto"/>
            </w:tcBorders>
            <w:shd w:val="clear" w:color="auto" w:fill="D9D9D9"/>
            <w:vAlign w:val="center"/>
            <w:hideMark/>
          </w:tcPr>
          <w:p w14:paraId="39105629" w14:textId="77777777" w:rsidR="008F4BDA" w:rsidRPr="008F4BDA" w:rsidRDefault="008F4BDA"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  percent</w:t>
            </w:r>
          </w:p>
        </w:tc>
        <w:tc>
          <w:tcPr>
            <w:tcW w:w="0" w:type="auto"/>
            <w:tcBorders>
              <w:top w:val="single" w:sz="18" w:space="0" w:color="auto"/>
              <w:left w:val="single" w:sz="18" w:space="0" w:color="auto"/>
              <w:bottom w:val="single" w:sz="6" w:space="0" w:color="auto"/>
              <w:right w:val="single" w:sz="18" w:space="0" w:color="auto"/>
            </w:tcBorders>
            <w:shd w:val="clear" w:color="auto" w:fill="D9D9D9"/>
            <w:noWrap/>
            <w:vAlign w:val="center"/>
            <w:hideMark/>
          </w:tcPr>
          <w:p w14:paraId="42C62FEC"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Impacted Carriers</w:t>
            </w:r>
          </w:p>
        </w:tc>
        <w:tc>
          <w:tcPr>
            <w:tcW w:w="0" w:type="auto"/>
            <w:tcBorders>
              <w:top w:val="single" w:sz="18" w:space="0" w:color="auto"/>
              <w:left w:val="single" w:sz="18" w:space="0" w:color="auto"/>
              <w:bottom w:val="single" w:sz="6" w:space="0" w:color="auto"/>
              <w:right w:val="single" w:sz="18" w:space="0" w:color="auto"/>
            </w:tcBorders>
            <w:shd w:val="clear" w:color="auto" w:fill="D9D9D9"/>
            <w:noWrap/>
            <w:vAlign w:val="center"/>
            <w:hideMark/>
          </w:tcPr>
          <w:p w14:paraId="48294015" w14:textId="557E09C4"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 percent</w:t>
            </w:r>
            <w:r w:rsidR="003274FD">
              <w:rPr>
                <w:rStyle w:val="FootnoteReference"/>
                <w:rFonts w:ascii="Times New Roman" w:hAnsi="Times New Roman"/>
                <w:b/>
                <w:color w:val="000000"/>
                <w:sz w:val="22"/>
                <w:szCs w:val="22"/>
              </w:rPr>
              <w:footnoteReference w:id="10"/>
            </w:r>
          </w:p>
        </w:tc>
        <w:tc>
          <w:tcPr>
            <w:tcW w:w="0" w:type="auto"/>
            <w:tcBorders>
              <w:top w:val="single" w:sz="18" w:space="0" w:color="auto"/>
              <w:left w:val="single" w:sz="18" w:space="0" w:color="auto"/>
              <w:bottom w:val="single" w:sz="6" w:space="0" w:color="auto"/>
              <w:right w:val="single" w:sz="18" w:space="0" w:color="auto"/>
            </w:tcBorders>
            <w:shd w:val="clear" w:color="auto" w:fill="D9D9D9"/>
            <w:noWrap/>
            <w:vAlign w:val="center"/>
            <w:hideMark/>
          </w:tcPr>
          <w:p w14:paraId="718C4D2D" w14:textId="22B44F51"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Impacted CMVs</w:t>
            </w:r>
            <w:r w:rsidR="003274FD">
              <w:rPr>
                <w:rStyle w:val="FootnoteReference"/>
                <w:rFonts w:ascii="Times New Roman" w:hAnsi="Times New Roman"/>
                <w:b/>
                <w:bCs/>
                <w:color w:val="000000"/>
                <w:sz w:val="22"/>
                <w:szCs w:val="22"/>
              </w:rPr>
              <w:footnoteReference w:id="11"/>
            </w:r>
          </w:p>
        </w:tc>
      </w:tr>
      <w:tr w:rsidR="00953807" w:rsidRPr="008F4BDA" w14:paraId="44E8B3FA" w14:textId="77777777" w:rsidTr="00953807">
        <w:trPr>
          <w:trHeight w:hRule="exact" w:val="293"/>
        </w:trPr>
        <w:tc>
          <w:tcPr>
            <w:tcW w:w="0" w:type="auto"/>
            <w:tcBorders>
              <w:top w:val="single" w:sz="18" w:space="0" w:color="auto"/>
              <w:left w:val="single" w:sz="18" w:space="0" w:color="auto"/>
            </w:tcBorders>
            <w:shd w:val="clear" w:color="auto" w:fill="auto"/>
            <w:vAlign w:val="center"/>
            <w:hideMark/>
          </w:tcPr>
          <w:p w14:paraId="0EABAC2A" w14:textId="77777777" w:rsidR="00953807" w:rsidRPr="008F4BDA" w:rsidRDefault="00953807"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1-6</w:t>
            </w:r>
          </w:p>
        </w:tc>
        <w:tc>
          <w:tcPr>
            <w:tcW w:w="0" w:type="auto"/>
            <w:tcBorders>
              <w:top w:val="single" w:sz="18" w:space="0" w:color="auto"/>
            </w:tcBorders>
            <w:shd w:val="clear" w:color="auto" w:fill="auto"/>
            <w:vAlign w:val="center"/>
            <w:hideMark/>
          </w:tcPr>
          <w:p w14:paraId="6AF86DEB" w14:textId="3E0AD857" w:rsidR="00953807" w:rsidRPr="008F4BDA" w:rsidRDefault="00953807" w:rsidP="004203CB">
            <w:pPr>
              <w:keepNext/>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87.37</w:t>
            </w:r>
            <w:r w:rsidRPr="008F4BDA">
              <w:rPr>
                <w:rFonts w:ascii="Times New Roman" w:hAnsi="Times New Roman"/>
                <w:color w:val="000000"/>
                <w:sz w:val="22"/>
                <w:szCs w:val="22"/>
              </w:rPr>
              <w:t xml:space="preserve"> percent</w:t>
            </w:r>
          </w:p>
        </w:tc>
        <w:tc>
          <w:tcPr>
            <w:tcW w:w="0" w:type="auto"/>
            <w:tcBorders>
              <w:top w:val="single" w:sz="18" w:space="0" w:color="auto"/>
            </w:tcBorders>
            <w:shd w:val="clear" w:color="auto" w:fill="auto"/>
            <w:noWrap/>
            <w:hideMark/>
          </w:tcPr>
          <w:p w14:paraId="579DC615" w14:textId="411A6749" w:rsidR="00953807" w:rsidRPr="00953807" w:rsidRDefault="00953807" w:rsidP="004203CB">
            <w:pPr>
              <w:widowControl/>
              <w:autoSpaceDE/>
              <w:autoSpaceDN/>
              <w:adjustRightInd/>
              <w:jc w:val="center"/>
              <w:rPr>
                <w:rFonts w:ascii="Times New Roman" w:hAnsi="Times New Roman"/>
                <w:color w:val="000000"/>
                <w:sz w:val="22"/>
                <w:szCs w:val="22"/>
              </w:rPr>
            </w:pPr>
            <w:r w:rsidRPr="00953807">
              <w:rPr>
                <w:rFonts w:ascii="Times New Roman" w:hAnsi="Times New Roman"/>
                <w:sz w:val="22"/>
                <w:szCs w:val="22"/>
              </w:rPr>
              <w:t>246,426</w:t>
            </w:r>
          </w:p>
        </w:tc>
        <w:tc>
          <w:tcPr>
            <w:tcW w:w="0" w:type="auto"/>
            <w:tcBorders>
              <w:top w:val="single" w:sz="18" w:space="0" w:color="auto"/>
            </w:tcBorders>
            <w:shd w:val="clear" w:color="auto" w:fill="auto"/>
            <w:vAlign w:val="center"/>
            <w:hideMark/>
          </w:tcPr>
          <w:p w14:paraId="5AC4FB41" w14:textId="6C8CDE1B"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23.82 </w:t>
            </w:r>
            <w:r w:rsidRPr="008F4BDA">
              <w:rPr>
                <w:rFonts w:ascii="Times New Roman" w:hAnsi="Times New Roman"/>
                <w:color w:val="000000"/>
                <w:sz w:val="22"/>
                <w:szCs w:val="22"/>
              </w:rPr>
              <w:t>percent</w:t>
            </w:r>
          </w:p>
        </w:tc>
        <w:tc>
          <w:tcPr>
            <w:tcW w:w="0" w:type="auto"/>
            <w:tcBorders>
              <w:top w:val="single" w:sz="18" w:space="0" w:color="auto"/>
              <w:right w:val="single" w:sz="18" w:space="0" w:color="auto"/>
            </w:tcBorders>
            <w:shd w:val="clear" w:color="auto" w:fill="auto"/>
            <w:noWrap/>
            <w:vAlign w:val="center"/>
          </w:tcPr>
          <w:p w14:paraId="51E7CE78" w14:textId="733194DC"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455,109</w:t>
            </w:r>
          </w:p>
        </w:tc>
      </w:tr>
      <w:tr w:rsidR="00953807" w:rsidRPr="008F4BDA" w14:paraId="45C16791" w14:textId="77777777" w:rsidTr="00953807">
        <w:trPr>
          <w:trHeight w:hRule="exact" w:val="293"/>
        </w:trPr>
        <w:tc>
          <w:tcPr>
            <w:tcW w:w="0" w:type="auto"/>
            <w:tcBorders>
              <w:left w:val="single" w:sz="18" w:space="0" w:color="auto"/>
            </w:tcBorders>
            <w:shd w:val="clear" w:color="auto" w:fill="auto"/>
            <w:vAlign w:val="center"/>
            <w:hideMark/>
          </w:tcPr>
          <w:p w14:paraId="2E4D4441" w14:textId="77777777" w:rsidR="00953807" w:rsidRPr="008F4BDA" w:rsidRDefault="00953807"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7-19</w:t>
            </w:r>
          </w:p>
        </w:tc>
        <w:tc>
          <w:tcPr>
            <w:tcW w:w="0" w:type="auto"/>
            <w:shd w:val="clear" w:color="auto" w:fill="auto"/>
            <w:vAlign w:val="center"/>
            <w:hideMark/>
          </w:tcPr>
          <w:p w14:paraId="6540418F" w14:textId="5028C112" w:rsidR="00953807" w:rsidRPr="008F4BDA" w:rsidRDefault="00953807" w:rsidP="004203CB">
            <w:pPr>
              <w:keepNext/>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8.61</w:t>
            </w:r>
            <w:r w:rsidRPr="008F4BDA">
              <w:rPr>
                <w:rFonts w:ascii="Times New Roman" w:hAnsi="Times New Roman"/>
                <w:color w:val="000000"/>
                <w:sz w:val="22"/>
                <w:szCs w:val="22"/>
              </w:rPr>
              <w:t xml:space="preserve"> percent</w:t>
            </w:r>
          </w:p>
        </w:tc>
        <w:tc>
          <w:tcPr>
            <w:tcW w:w="0" w:type="auto"/>
            <w:shd w:val="clear" w:color="auto" w:fill="auto"/>
            <w:noWrap/>
          </w:tcPr>
          <w:p w14:paraId="6D2003E2" w14:textId="4683A0D6" w:rsidR="00953807" w:rsidRPr="00953807" w:rsidRDefault="00953807" w:rsidP="004203CB">
            <w:pPr>
              <w:widowControl/>
              <w:autoSpaceDE/>
              <w:autoSpaceDN/>
              <w:adjustRightInd/>
              <w:jc w:val="center"/>
              <w:rPr>
                <w:rFonts w:ascii="Times New Roman" w:hAnsi="Times New Roman"/>
                <w:color w:val="000000"/>
                <w:sz w:val="22"/>
                <w:szCs w:val="22"/>
              </w:rPr>
            </w:pPr>
            <w:r w:rsidRPr="00953807">
              <w:rPr>
                <w:rFonts w:ascii="Times New Roman" w:hAnsi="Times New Roman"/>
                <w:sz w:val="22"/>
                <w:szCs w:val="22"/>
              </w:rPr>
              <w:t>24,286</w:t>
            </w:r>
          </w:p>
        </w:tc>
        <w:tc>
          <w:tcPr>
            <w:tcW w:w="0" w:type="auto"/>
            <w:shd w:val="clear" w:color="auto" w:fill="auto"/>
            <w:vAlign w:val="center"/>
            <w:hideMark/>
          </w:tcPr>
          <w:p w14:paraId="0041D563" w14:textId="1044FF80"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13.76 </w:t>
            </w:r>
            <w:r w:rsidRPr="008F4BDA">
              <w:rPr>
                <w:rFonts w:ascii="Times New Roman" w:hAnsi="Times New Roman"/>
                <w:color w:val="000000"/>
                <w:sz w:val="22"/>
                <w:szCs w:val="22"/>
              </w:rPr>
              <w:t>percent</w:t>
            </w:r>
          </w:p>
        </w:tc>
        <w:tc>
          <w:tcPr>
            <w:tcW w:w="0" w:type="auto"/>
            <w:tcBorders>
              <w:right w:val="single" w:sz="18" w:space="0" w:color="auto"/>
            </w:tcBorders>
            <w:shd w:val="clear" w:color="auto" w:fill="auto"/>
            <w:noWrap/>
            <w:vAlign w:val="center"/>
          </w:tcPr>
          <w:p w14:paraId="78A3FA2C" w14:textId="420A9B61"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263,002</w:t>
            </w:r>
          </w:p>
        </w:tc>
      </w:tr>
      <w:tr w:rsidR="00953807" w:rsidRPr="008F4BDA" w14:paraId="740FB974" w14:textId="77777777" w:rsidTr="00953807">
        <w:trPr>
          <w:trHeight w:hRule="exact" w:val="293"/>
        </w:trPr>
        <w:tc>
          <w:tcPr>
            <w:tcW w:w="0" w:type="auto"/>
            <w:tcBorders>
              <w:left w:val="single" w:sz="18" w:space="0" w:color="auto"/>
            </w:tcBorders>
            <w:shd w:val="clear" w:color="auto" w:fill="auto"/>
            <w:vAlign w:val="center"/>
            <w:hideMark/>
          </w:tcPr>
          <w:p w14:paraId="27AEF806" w14:textId="77777777" w:rsidR="00953807" w:rsidRPr="008F4BDA" w:rsidRDefault="00953807"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20-100</w:t>
            </w:r>
          </w:p>
        </w:tc>
        <w:tc>
          <w:tcPr>
            <w:tcW w:w="0" w:type="auto"/>
            <w:shd w:val="clear" w:color="auto" w:fill="auto"/>
            <w:vAlign w:val="center"/>
            <w:hideMark/>
          </w:tcPr>
          <w:p w14:paraId="7E6DC98E" w14:textId="59073478" w:rsidR="00953807" w:rsidRPr="008F4BDA" w:rsidRDefault="00953807" w:rsidP="004203CB">
            <w:pPr>
              <w:keepNext/>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3.41</w:t>
            </w:r>
            <w:r w:rsidRPr="008F4BDA">
              <w:rPr>
                <w:rFonts w:ascii="Times New Roman" w:hAnsi="Times New Roman"/>
                <w:color w:val="000000"/>
                <w:sz w:val="22"/>
                <w:szCs w:val="22"/>
              </w:rPr>
              <w:t xml:space="preserve"> percent</w:t>
            </w:r>
          </w:p>
        </w:tc>
        <w:tc>
          <w:tcPr>
            <w:tcW w:w="0" w:type="auto"/>
            <w:shd w:val="clear" w:color="auto" w:fill="auto"/>
            <w:noWrap/>
          </w:tcPr>
          <w:p w14:paraId="54DA4272" w14:textId="0474D11D" w:rsidR="00953807" w:rsidRPr="00953807" w:rsidRDefault="00953807" w:rsidP="004203CB">
            <w:pPr>
              <w:widowControl/>
              <w:autoSpaceDE/>
              <w:autoSpaceDN/>
              <w:adjustRightInd/>
              <w:jc w:val="center"/>
              <w:rPr>
                <w:rFonts w:ascii="Times New Roman" w:hAnsi="Times New Roman"/>
                <w:color w:val="000000"/>
                <w:sz w:val="22"/>
                <w:szCs w:val="22"/>
              </w:rPr>
            </w:pPr>
            <w:r w:rsidRPr="00953807">
              <w:rPr>
                <w:rFonts w:ascii="Times New Roman" w:hAnsi="Times New Roman"/>
                <w:sz w:val="22"/>
                <w:szCs w:val="22"/>
              </w:rPr>
              <w:t>9,627</w:t>
            </w:r>
          </w:p>
        </w:tc>
        <w:tc>
          <w:tcPr>
            <w:tcW w:w="0" w:type="auto"/>
            <w:shd w:val="clear" w:color="auto" w:fill="auto"/>
            <w:vAlign w:val="center"/>
            <w:hideMark/>
          </w:tcPr>
          <w:p w14:paraId="543404FA" w14:textId="10870022"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19.66</w:t>
            </w:r>
            <w:r w:rsidRPr="008F4BDA">
              <w:rPr>
                <w:rFonts w:ascii="Times New Roman" w:hAnsi="Times New Roman"/>
                <w:color w:val="000000"/>
                <w:sz w:val="22"/>
                <w:szCs w:val="22"/>
              </w:rPr>
              <w:t xml:space="preserve"> percent</w:t>
            </w:r>
          </w:p>
        </w:tc>
        <w:tc>
          <w:tcPr>
            <w:tcW w:w="0" w:type="auto"/>
            <w:tcBorders>
              <w:right w:val="single" w:sz="18" w:space="0" w:color="auto"/>
            </w:tcBorders>
            <w:shd w:val="clear" w:color="auto" w:fill="auto"/>
            <w:noWrap/>
            <w:vAlign w:val="center"/>
          </w:tcPr>
          <w:p w14:paraId="6AAFC46F" w14:textId="261CCD7A"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375,756</w:t>
            </w:r>
          </w:p>
        </w:tc>
      </w:tr>
      <w:tr w:rsidR="00953807" w:rsidRPr="008F4BDA" w14:paraId="699E1E3C" w14:textId="77777777" w:rsidTr="00953807">
        <w:trPr>
          <w:trHeight w:hRule="exact" w:val="307"/>
        </w:trPr>
        <w:tc>
          <w:tcPr>
            <w:tcW w:w="0" w:type="auto"/>
            <w:tcBorders>
              <w:left w:val="single" w:sz="18" w:space="0" w:color="auto"/>
            </w:tcBorders>
            <w:shd w:val="clear" w:color="auto" w:fill="auto"/>
            <w:vAlign w:val="center"/>
            <w:hideMark/>
          </w:tcPr>
          <w:p w14:paraId="1A4A7CE5" w14:textId="77777777" w:rsidR="00953807" w:rsidRPr="008F4BDA" w:rsidRDefault="00953807" w:rsidP="004203CB">
            <w:pPr>
              <w:keepNext/>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101+</w:t>
            </w:r>
          </w:p>
        </w:tc>
        <w:tc>
          <w:tcPr>
            <w:tcW w:w="0" w:type="auto"/>
            <w:shd w:val="clear" w:color="auto" w:fill="auto"/>
            <w:vAlign w:val="center"/>
            <w:hideMark/>
          </w:tcPr>
          <w:p w14:paraId="36A62A72" w14:textId="3A0392D8" w:rsidR="00953807" w:rsidRPr="008F4BDA" w:rsidRDefault="00953807" w:rsidP="004203CB">
            <w:pPr>
              <w:keepNext/>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0.59</w:t>
            </w:r>
            <w:r w:rsidRPr="008F4BDA">
              <w:rPr>
                <w:rFonts w:ascii="Times New Roman" w:hAnsi="Times New Roman"/>
                <w:color w:val="000000"/>
                <w:sz w:val="22"/>
                <w:szCs w:val="22"/>
              </w:rPr>
              <w:t xml:space="preserve"> percent</w:t>
            </w:r>
          </w:p>
        </w:tc>
        <w:tc>
          <w:tcPr>
            <w:tcW w:w="0" w:type="auto"/>
            <w:shd w:val="clear" w:color="auto" w:fill="auto"/>
            <w:noWrap/>
          </w:tcPr>
          <w:p w14:paraId="1FB7154F" w14:textId="362533EC" w:rsidR="00953807" w:rsidRPr="00953807" w:rsidRDefault="00953807" w:rsidP="004203CB">
            <w:pPr>
              <w:widowControl/>
              <w:autoSpaceDE/>
              <w:autoSpaceDN/>
              <w:adjustRightInd/>
              <w:jc w:val="center"/>
              <w:rPr>
                <w:rFonts w:ascii="Times New Roman" w:hAnsi="Times New Roman"/>
                <w:color w:val="000000"/>
                <w:sz w:val="22"/>
                <w:szCs w:val="22"/>
              </w:rPr>
            </w:pPr>
            <w:r w:rsidRPr="00953807">
              <w:rPr>
                <w:rFonts w:ascii="Times New Roman" w:hAnsi="Times New Roman"/>
                <w:sz w:val="22"/>
                <w:szCs w:val="22"/>
              </w:rPr>
              <w:t>1,662</w:t>
            </w:r>
          </w:p>
        </w:tc>
        <w:tc>
          <w:tcPr>
            <w:tcW w:w="0" w:type="auto"/>
            <w:shd w:val="clear" w:color="auto" w:fill="auto"/>
            <w:vAlign w:val="center"/>
            <w:hideMark/>
          </w:tcPr>
          <w:p w14:paraId="4DB92C86" w14:textId="2A2B84E5"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42.76</w:t>
            </w:r>
            <w:r w:rsidRPr="008F4BDA">
              <w:rPr>
                <w:rFonts w:ascii="Times New Roman" w:hAnsi="Times New Roman"/>
                <w:color w:val="000000"/>
                <w:sz w:val="22"/>
                <w:szCs w:val="22"/>
              </w:rPr>
              <w:t xml:space="preserve"> percent</w:t>
            </w:r>
          </w:p>
        </w:tc>
        <w:tc>
          <w:tcPr>
            <w:tcW w:w="0" w:type="auto"/>
            <w:tcBorders>
              <w:right w:val="single" w:sz="18" w:space="0" w:color="auto"/>
            </w:tcBorders>
            <w:shd w:val="clear" w:color="auto" w:fill="auto"/>
            <w:noWrap/>
            <w:vAlign w:val="center"/>
          </w:tcPr>
          <w:p w14:paraId="53EDECB1" w14:textId="62961836" w:rsidR="00953807" w:rsidRPr="008F4BDA" w:rsidRDefault="00953807"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817,133</w:t>
            </w:r>
          </w:p>
        </w:tc>
      </w:tr>
      <w:tr w:rsidR="00953807" w:rsidRPr="008F4BDA" w14:paraId="3B665C4A" w14:textId="77777777" w:rsidTr="00F413BE">
        <w:trPr>
          <w:trHeight w:val="307"/>
        </w:trPr>
        <w:tc>
          <w:tcPr>
            <w:tcW w:w="0" w:type="auto"/>
            <w:tcBorders>
              <w:left w:val="single" w:sz="18" w:space="0" w:color="auto"/>
              <w:bottom w:val="single" w:sz="18" w:space="0" w:color="auto"/>
            </w:tcBorders>
            <w:shd w:val="clear" w:color="auto" w:fill="auto"/>
            <w:vAlign w:val="center"/>
            <w:hideMark/>
          </w:tcPr>
          <w:p w14:paraId="71FADF20" w14:textId="70A447F1" w:rsidR="00953807" w:rsidRPr="008F4BDA" w:rsidRDefault="00953807"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Total </w:t>
            </w:r>
            <w:r>
              <w:rPr>
                <w:rFonts w:ascii="Times New Roman" w:hAnsi="Times New Roman"/>
                <w:b/>
                <w:bCs/>
                <w:color w:val="000000"/>
                <w:sz w:val="22"/>
                <w:szCs w:val="22"/>
              </w:rPr>
              <w:t>(rounded to nearest thousand)</w:t>
            </w:r>
          </w:p>
        </w:tc>
        <w:tc>
          <w:tcPr>
            <w:tcW w:w="0" w:type="auto"/>
            <w:tcBorders>
              <w:bottom w:val="single" w:sz="18" w:space="0" w:color="auto"/>
            </w:tcBorders>
            <w:shd w:val="clear" w:color="auto" w:fill="auto"/>
            <w:vAlign w:val="center"/>
            <w:hideMark/>
          </w:tcPr>
          <w:p w14:paraId="404ECE14" w14:textId="52D1944E" w:rsidR="00953807" w:rsidRPr="008F4BDA" w:rsidRDefault="00953807"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c>
          <w:tcPr>
            <w:tcW w:w="0" w:type="auto"/>
            <w:tcBorders>
              <w:bottom w:val="single" w:sz="18" w:space="0" w:color="auto"/>
            </w:tcBorders>
            <w:shd w:val="clear" w:color="auto" w:fill="auto"/>
            <w:vAlign w:val="center"/>
          </w:tcPr>
          <w:p w14:paraId="2A44AE0F" w14:textId="4D334DA6" w:rsidR="00953807" w:rsidRPr="008F4BDA" w:rsidRDefault="000B1C82" w:rsidP="004203CB">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282,000</w:t>
            </w:r>
          </w:p>
        </w:tc>
        <w:tc>
          <w:tcPr>
            <w:tcW w:w="0" w:type="auto"/>
            <w:tcBorders>
              <w:bottom w:val="single" w:sz="18" w:space="0" w:color="auto"/>
            </w:tcBorders>
            <w:shd w:val="clear" w:color="auto" w:fill="auto"/>
            <w:vAlign w:val="center"/>
            <w:hideMark/>
          </w:tcPr>
          <w:p w14:paraId="27D6324B" w14:textId="316558DB" w:rsidR="00953807" w:rsidRPr="008F4BDA" w:rsidRDefault="00953807"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c>
          <w:tcPr>
            <w:tcW w:w="0" w:type="auto"/>
            <w:tcBorders>
              <w:bottom w:val="single" w:sz="18" w:space="0" w:color="auto"/>
              <w:right w:val="single" w:sz="18" w:space="0" w:color="auto"/>
            </w:tcBorders>
            <w:shd w:val="clear" w:color="auto" w:fill="auto"/>
            <w:vAlign w:val="center"/>
            <w:hideMark/>
          </w:tcPr>
          <w:p w14:paraId="5F542D9A" w14:textId="180E8C53" w:rsidR="00953807" w:rsidRPr="008F4BDA" w:rsidRDefault="002554AB" w:rsidP="004203CB">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1,911,000</w:t>
            </w:r>
            <w:r w:rsidR="00953807" w:rsidRPr="008F4BDA">
              <w:rPr>
                <w:rFonts w:ascii="Times New Roman" w:hAnsi="Times New Roman"/>
                <w:b/>
                <w:bCs/>
                <w:color w:val="000000"/>
                <w:sz w:val="22"/>
                <w:szCs w:val="22"/>
              </w:rPr>
              <w:t xml:space="preserve"> </w:t>
            </w:r>
          </w:p>
        </w:tc>
      </w:tr>
    </w:tbl>
    <w:p w14:paraId="60EF5993" w14:textId="77777777" w:rsidR="008F4BDA" w:rsidRPr="008F4BDA" w:rsidRDefault="008F4BDA" w:rsidP="004203CB">
      <w:pPr>
        <w:widowControl/>
        <w:tabs>
          <w:tab w:val="left" w:pos="360"/>
        </w:tabs>
        <w:ind w:left="720"/>
        <w:rPr>
          <w:rFonts w:ascii="Times New Roman" w:hAnsi="Times New Roman"/>
          <w:sz w:val="24"/>
        </w:rPr>
      </w:pPr>
    </w:p>
    <w:p w14:paraId="594C3C4F" w14:textId="7CF71CBE" w:rsidR="00937E4D" w:rsidRDefault="008F4BDA" w:rsidP="004203CB">
      <w:pPr>
        <w:widowControl/>
        <w:tabs>
          <w:tab w:val="left" w:pos="360"/>
        </w:tabs>
        <w:ind w:left="360"/>
        <w:rPr>
          <w:rFonts w:ascii="Times New Roman" w:hAnsi="Times New Roman"/>
          <w:sz w:val="24"/>
        </w:rPr>
      </w:pPr>
      <w:r w:rsidRPr="008F4BDA">
        <w:rPr>
          <w:rFonts w:ascii="Times New Roman" w:hAnsi="Times New Roman"/>
          <w:sz w:val="24"/>
        </w:rPr>
        <w:t xml:space="preserve">The estimated marking costs, consisting of both material and labor costs, are depicted below in Table 4.  The estimates are the inflation-updated numbers submitted in the Final Regulatory Evaluation for </w:t>
      </w:r>
      <w:r w:rsidR="00FF4991">
        <w:rPr>
          <w:rFonts w:ascii="Times New Roman" w:hAnsi="Times New Roman"/>
          <w:sz w:val="24"/>
        </w:rPr>
        <w:t xml:space="preserve">the </w:t>
      </w:r>
      <w:r w:rsidRPr="008F4BDA">
        <w:rPr>
          <w:rFonts w:ascii="Times New Roman" w:hAnsi="Times New Roman"/>
          <w:sz w:val="24"/>
        </w:rPr>
        <w:t>Motor Vehicle Marking Requirement rulemaking.</w:t>
      </w:r>
      <w:r w:rsidRPr="008F4BDA">
        <w:rPr>
          <w:rFonts w:ascii="Times New Roman" w:hAnsi="Times New Roman"/>
          <w:sz w:val="24"/>
          <w:vertAlign w:val="superscript"/>
        </w:rPr>
        <w:footnoteReference w:id="12"/>
      </w:r>
      <w:r w:rsidRPr="008F4BDA">
        <w:rPr>
          <w:rFonts w:ascii="Times New Roman" w:hAnsi="Times New Roman"/>
          <w:sz w:val="24"/>
        </w:rPr>
        <w:t xml:space="preserve">  The updated estimates are used for the purpose of convenience, consistency, and due to the lack of uniformity of costs and options.  Current research shows prices ranging from $6 to $1,000, depending on the type, quality, quantity, and durability of the option, as well as whether it is a do-it-yourself tool or custom-made.  </w:t>
      </w:r>
    </w:p>
    <w:p w14:paraId="5CB28FB8" w14:textId="77777777" w:rsidR="00937E4D" w:rsidRDefault="00937E4D" w:rsidP="004203CB">
      <w:pPr>
        <w:widowControl/>
        <w:tabs>
          <w:tab w:val="left" w:pos="360"/>
        </w:tabs>
        <w:ind w:left="360"/>
        <w:rPr>
          <w:rFonts w:ascii="Times New Roman" w:hAnsi="Times New Roman"/>
          <w:sz w:val="24"/>
        </w:rPr>
      </w:pPr>
    </w:p>
    <w:p w14:paraId="053EDFD4" w14:textId="77777777" w:rsidR="00937E4D" w:rsidRPr="00097B2B" w:rsidRDefault="00937E4D" w:rsidP="004203CB">
      <w:pPr>
        <w:widowControl/>
        <w:tabs>
          <w:tab w:val="left" w:pos="360"/>
        </w:tabs>
        <w:ind w:left="360"/>
        <w:rPr>
          <w:rFonts w:ascii="Times New Roman" w:hAnsi="Times New Roman"/>
          <w:sz w:val="24"/>
          <w:szCs w:val="24"/>
        </w:rPr>
      </w:pPr>
    </w:p>
    <w:p w14:paraId="7EE5A2C3" w14:textId="77777777" w:rsidR="00832C97" w:rsidRDefault="00832C97" w:rsidP="004203CB">
      <w:pPr>
        <w:widowControl/>
        <w:tabs>
          <w:tab w:val="left" w:pos="360"/>
        </w:tabs>
        <w:ind w:left="360"/>
        <w:rPr>
          <w:rFonts w:ascii="Times New Roman" w:hAnsi="Times New Roman"/>
          <w:b/>
          <w:sz w:val="24"/>
          <w:szCs w:val="24"/>
        </w:rPr>
      </w:pPr>
    </w:p>
    <w:p w14:paraId="4AA1FE23" w14:textId="77777777" w:rsidR="00832C97" w:rsidRDefault="00832C97" w:rsidP="004203CB">
      <w:pPr>
        <w:widowControl/>
        <w:tabs>
          <w:tab w:val="left" w:pos="360"/>
        </w:tabs>
        <w:ind w:left="360"/>
        <w:rPr>
          <w:rFonts w:ascii="Times New Roman" w:hAnsi="Times New Roman"/>
          <w:b/>
          <w:sz w:val="24"/>
          <w:szCs w:val="24"/>
        </w:rPr>
      </w:pPr>
    </w:p>
    <w:p w14:paraId="439F62C0" w14:textId="77777777" w:rsidR="00832C97" w:rsidRDefault="00832C97" w:rsidP="004203CB">
      <w:pPr>
        <w:widowControl/>
        <w:tabs>
          <w:tab w:val="left" w:pos="360"/>
        </w:tabs>
        <w:ind w:left="360"/>
        <w:rPr>
          <w:rFonts w:ascii="Times New Roman" w:hAnsi="Times New Roman"/>
          <w:b/>
          <w:sz w:val="24"/>
          <w:szCs w:val="24"/>
        </w:rPr>
      </w:pPr>
    </w:p>
    <w:p w14:paraId="549C3804" w14:textId="77777777" w:rsidR="00832C97" w:rsidRDefault="00832C97" w:rsidP="004203CB">
      <w:pPr>
        <w:widowControl/>
        <w:tabs>
          <w:tab w:val="left" w:pos="360"/>
        </w:tabs>
        <w:ind w:left="360"/>
        <w:rPr>
          <w:rFonts w:ascii="Times New Roman" w:hAnsi="Times New Roman"/>
          <w:b/>
          <w:sz w:val="24"/>
          <w:szCs w:val="24"/>
        </w:rPr>
      </w:pPr>
    </w:p>
    <w:p w14:paraId="081DCA3F" w14:textId="77777777" w:rsidR="00832C97" w:rsidRDefault="00832C97" w:rsidP="004203CB">
      <w:pPr>
        <w:widowControl/>
        <w:tabs>
          <w:tab w:val="left" w:pos="360"/>
        </w:tabs>
        <w:ind w:left="360"/>
        <w:rPr>
          <w:rFonts w:ascii="Times New Roman" w:hAnsi="Times New Roman"/>
          <w:b/>
          <w:sz w:val="24"/>
          <w:szCs w:val="24"/>
        </w:rPr>
      </w:pPr>
    </w:p>
    <w:p w14:paraId="79E48FBA" w14:textId="77777777" w:rsidR="00832C97" w:rsidRDefault="00832C97" w:rsidP="004203CB">
      <w:pPr>
        <w:widowControl/>
        <w:tabs>
          <w:tab w:val="left" w:pos="360"/>
        </w:tabs>
        <w:ind w:left="360"/>
        <w:rPr>
          <w:rFonts w:ascii="Times New Roman" w:hAnsi="Times New Roman"/>
          <w:b/>
          <w:sz w:val="24"/>
          <w:szCs w:val="24"/>
        </w:rPr>
      </w:pPr>
    </w:p>
    <w:p w14:paraId="506ABF4A" w14:textId="77777777" w:rsidR="00832C97" w:rsidRDefault="00832C97" w:rsidP="004203CB">
      <w:pPr>
        <w:widowControl/>
        <w:tabs>
          <w:tab w:val="left" w:pos="360"/>
        </w:tabs>
        <w:ind w:left="360"/>
        <w:rPr>
          <w:rFonts w:ascii="Times New Roman" w:hAnsi="Times New Roman"/>
          <w:b/>
          <w:sz w:val="24"/>
          <w:szCs w:val="24"/>
        </w:rPr>
      </w:pPr>
    </w:p>
    <w:p w14:paraId="581D80D0" w14:textId="697F4BD0" w:rsidR="008F4BDA" w:rsidRPr="00630149" w:rsidRDefault="008F4BDA" w:rsidP="004203CB">
      <w:pPr>
        <w:widowControl/>
        <w:tabs>
          <w:tab w:val="left" w:pos="360"/>
        </w:tabs>
        <w:ind w:left="360"/>
        <w:rPr>
          <w:rFonts w:ascii="Times New Roman" w:hAnsi="Times New Roman"/>
          <w:b/>
          <w:sz w:val="24"/>
          <w:szCs w:val="24"/>
        </w:rPr>
      </w:pPr>
      <w:proofErr w:type="gramStart"/>
      <w:r w:rsidRPr="00630149">
        <w:rPr>
          <w:rFonts w:ascii="Times New Roman" w:hAnsi="Times New Roman"/>
          <w:b/>
          <w:sz w:val="24"/>
          <w:szCs w:val="24"/>
        </w:rPr>
        <w:lastRenderedPageBreak/>
        <w:t>Table 4.</w:t>
      </w:r>
      <w:proofErr w:type="gramEnd"/>
      <w:r w:rsidRPr="00630149">
        <w:rPr>
          <w:rFonts w:ascii="Times New Roman" w:hAnsi="Times New Roman"/>
          <w:b/>
          <w:sz w:val="24"/>
          <w:szCs w:val="24"/>
        </w:rPr>
        <w:t xml:space="preserve"> Estimated Marking</w:t>
      </w:r>
      <w:r w:rsidR="004C01CD" w:rsidRPr="00630149">
        <w:rPr>
          <w:rFonts w:ascii="Times New Roman" w:hAnsi="Times New Roman"/>
          <w:b/>
          <w:sz w:val="24"/>
          <w:szCs w:val="24"/>
        </w:rPr>
        <w:t xml:space="preserve"> (Material and Labor)</w:t>
      </w:r>
      <w:r w:rsidRPr="00630149">
        <w:rPr>
          <w:rFonts w:ascii="Times New Roman" w:hAnsi="Times New Roman"/>
          <w:b/>
          <w:sz w:val="24"/>
          <w:szCs w:val="24"/>
        </w:rPr>
        <w:t xml:space="preserve"> Costs per Vehicle- by Freight Carrier Size</w:t>
      </w:r>
    </w:p>
    <w:p w14:paraId="7EE384C2" w14:textId="77777777" w:rsidR="00937E4D" w:rsidRPr="00630149" w:rsidRDefault="00937E4D" w:rsidP="004203CB">
      <w:pPr>
        <w:widowControl/>
        <w:tabs>
          <w:tab w:val="left" w:pos="360"/>
        </w:tabs>
        <w:ind w:left="360"/>
        <w:rPr>
          <w:rFonts w:ascii="Times New Roman" w:eastAsia="Arial Unicode MS" w:hAnsi="Times New Roman"/>
          <w:b/>
          <w:sz w:val="24"/>
          <w:szCs w:val="24"/>
        </w:rPr>
      </w:pPr>
    </w:p>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tblGrid>
      <w:tr w:rsidR="008F4BDA" w:rsidRPr="00097B2B" w14:paraId="47F70168" w14:textId="77777777" w:rsidTr="00DA36E4">
        <w:trPr>
          <w:trHeight w:hRule="exact" w:val="315"/>
          <w:jc w:val="center"/>
        </w:trPr>
        <w:tc>
          <w:tcPr>
            <w:tcW w:w="1660" w:type="dxa"/>
            <w:vMerge w:val="restart"/>
            <w:tcBorders>
              <w:top w:val="single" w:sz="18" w:space="0" w:color="auto"/>
              <w:left w:val="single" w:sz="18" w:space="0" w:color="auto"/>
              <w:right w:val="single" w:sz="18" w:space="0" w:color="auto"/>
            </w:tcBorders>
            <w:shd w:val="clear" w:color="auto" w:fill="D9D9D9"/>
            <w:vAlign w:val="center"/>
            <w:hideMark/>
          </w:tcPr>
          <w:p w14:paraId="7968F538"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sz w:val="24"/>
                <w:szCs w:val="24"/>
              </w:rPr>
              <w:t>Freight Carrier Size, by Number of Vehicles</w:t>
            </w:r>
          </w:p>
        </w:tc>
        <w:tc>
          <w:tcPr>
            <w:tcW w:w="3320" w:type="dxa"/>
            <w:gridSpan w:val="2"/>
            <w:tcBorders>
              <w:top w:val="single" w:sz="18" w:space="0" w:color="auto"/>
              <w:left w:val="single" w:sz="18" w:space="0" w:color="auto"/>
              <w:right w:val="single" w:sz="18" w:space="0" w:color="auto"/>
            </w:tcBorders>
            <w:shd w:val="clear" w:color="auto" w:fill="D9D9D9"/>
            <w:vAlign w:val="center"/>
            <w:hideMark/>
          </w:tcPr>
          <w:p w14:paraId="4A94512A"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sz w:val="24"/>
                <w:szCs w:val="24"/>
              </w:rPr>
              <w:t>Material Cost, per  Vehicle</w:t>
            </w:r>
          </w:p>
        </w:tc>
        <w:tc>
          <w:tcPr>
            <w:tcW w:w="1660" w:type="dxa"/>
            <w:vMerge w:val="restart"/>
            <w:tcBorders>
              <w:top w:val="single" w:sz="18" w:space="0" w:color="auto"/>
              <w:left w:val="single" w:sz="18" w:space="0" w:color="auto"/>
              <w:right w:val="single" w:sz="18" w:space="0" w:color="auto"/>
            </w:tcBorders>
            <w:shd w:val="clear" w:color="auto" w:fill="D9D9D9"/>
            <w:vAlign w:val="center"/>
            <w:hideMark/>
          </w:tcPr>
          <w:p w14:paraId="36FAA0C9"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Total Cost per Vehicle</w:t>
            </w:r>
          </w:p>
        </w:tc>
      </w:tr>
      <w:tr w:rsidR="008F4BDA" w:rsidRPr="00097B2B" w14:paraId="2FDFBAF6" w14:textId="77777777" w:rsidTr="00DA36E4">
        <w:trPr>
          <w:trHeight w:val="630"/>
          <w:jc w:val="center"/>
        </w:trPr>
        <w:tc>
          <w:tcPr>
            <w:tcW w:w="1660" w:type="dxa"/>
            <w:vMerge/>
            <w:tcBorders>
              <w:left w:val="single" w:sz="18" w:space="0" w:color="auto"/>
              <w:right w:val="single" w:sz="18" w:space="0" w:color="auto"/>
            </w:tcBorders>
            <w:shd w:val="clear" w:color="auto" w:fill="D9D9D9"/>
            <w:vAlign w:val="center"/>
            <w:hideMark/>
          </w:tcPr>
          <w:p w14:paraId="69FDCA12" w14:textId="77777777" w:rsidR="008F4BDA" w:rsidRPr="004203CB" w:rsidRDefault="008F4BDA" w:rsidP="004203CB">
            <w:pPr>
              <w:widowControl/>
              <w:autoSpaceDE/>
              <w:autoSpaceDN/>
              <w:adjustRightInd/>
              <w:rPr>
                <w:rFonts w:ascii="Times New Roman" w:hAnsi="Times New Roman"/>
                <w:b/>
                <w:bCs/>
                <w:color w:val="030303"/>
                <w:sz w:val="24"/>
                <w:szCs w:val="24"/>
              </w:rPr>
            </w:pPr>
          </w:p>
        </w:tc>
        <w:tc>
          <w:tcPr>
            <w:tcW w:w="1660" w:type="dxa"/>
            <w:tcBorders>
              <w:top w:val="single" w:sz="18" w:space="0" w:color="auto"/>
              <w:left w:val="single" w:sz="18" w:space="0" w:color="auto"/>
            </w:tcBorders>
            <w:shd w:val="clear" w:color="auto" w:fill="D9D9D9"/>
            <w:vAlign w:val="center"/>
            <w:hideMark/>
          </w:tcPr>
          <w:p w14:paraId="483E05D5" w14:textId="77777777" w:rsidR="008F4BDA" w:rsidRPr="004203CB" w:rsidRDefault="008F4BDA" w:rsidP="004203CB">
            <w:pPr>
              <w:widowControl/>
              <w:autoSpaceDE/>
              <w:autoSpaceDN/>
              <w:adjustRightInd/>
              <w:jc w:val="center"/>
              <w:rPr>
                <w:rFonts w:ascii="Times New Roman" w:hAnsi="Times New Roman"/>
                <w:b/>
                <w:bCs/>
                <w:color w:val="030303"/>
                <w:sz w:val="24"/>
                <w:szCs w:val="24"/>
              </w:rPr>
            </w:pPr>
            <w:r w:rsidRPr="004203CB">
              <w:rPr>
                <w:rFonts w:ascii="Times New Roman" w:hAnsi="Times New Roman"/>
                <w:b/>
                <w:bCs/>
                <w:color w:val="030303"/>
                <w:w w:val="113"/>
                <w:sz w:val="24"/>
                <w:szCs w:val="24"/>
              </w:rPr>
              <w:t>Affixing Carrier DOT#</w:t>
            </w:r>
          </w:p>
        </w:tc>
        <w:tc>
          <w:tcPr>
            <w:tcW w:w="1660" w:type="dxa"/>
            <w:tcBorders>
              <w:top w:val="single" w:sz="18" w:space="0" w:color="auto"/>
              <w:right w:val="single" w:sz="18" w:space="0" w:color="auto"/>
            </w:tcBorders>
            <w:shd w:val="clear" w:color="auto" w:fill="D9D9D9"/>
            <w:vAlign w:val="center"/>
            <w:hideMark/>
          </w:tcPr>
          <w:p w14:paraId="0E72886F" w14:textId="77777777" w:rsidR="008F4BDA" w:rsidRPr="004203CB" w:rsidRDefault="008F4BDA" w:rsidP="004203CB">
            <w:pPr>
              <w:widowControl/>
              <w:autoSpaceDE/>
              <w:autoSpaceDN/>
              <w:adjustRightInd/>
              <w:jc w:val="center"/>
              <w:rPr>
                <w:rFonts w:ascii="Times New Roman" w:hAnsi="Times New Roman"/>
                <w:b/>
                <w:bCs/>
                <w:color w:val="030303"/>
                <w:sz w:val="24"/>
                <w:szCs w:val="24"/>
              </w:rPr>
            </w:pPr>
            <w:r w:rsidRPr="004203CB">
              <w:rPr>
                <w:rFonts w:ascii="Times New Roman" w:hAnsi="Times New Roman"/>
                <w:b/>
                <w:bCs/>
                <w:color w:val="030303"/>
                <w:sz w:val="24"/>
                <w:szCs w:val="24"/>
              </w:rPr>
              <w:t>Affixing Carrier Name</w:t>
            </w:r>
          </w:p>
        </w:tc>
        <w:tc>
          <w:tcPr>
            <w:tcW w:w="1660" w:type="dxa"/>
            <w:vMerge/>
            <w:tcBorders>
              <w:left w:val="single" w:sz="18" w:space="0" w:color="auto"/>
              <w:bottom w:val="single" w:sz="18" w:space="0" w:color="auto"/>
              <w:right w:val="single" w:sz="18" w:space="0" w:color="auto"/>
            </w:tcBorders>
            <w:shd w:val="clear" w:color="auto" w:fill="D9D9D9"/>
            <w:vAlign w:val="center"/>
            <w:hideMark/>
          </w:tcPr>
          <w:p w14:paraId="5AE8CBCF" w14:textId="77777777" w:rsidR="008F4BDA" w:rsidRPr="004203CB" w:rsidRDefault="008F4BDA" w:rsidP="004203CB">
            <w:pPr>
              <w:widowControl/>
              <w:autoSpaceDE/>
              <w:autoSpaceDN/>
              <w:adjustRightInd/>
              <w:rPr>
                <w:rFonts w:ascii="Times New Roman" w:hAnsi="Times New Roman"/>
                <w:b/>
                <w:bCs/>
                <w:color w:val="000000"/>
                <w:sz w:val="24"/>
                <w:szCs w:val="24"/>
              </w:rPr>
            </w:pPr>
          </w:p>
        </w:tc>
      </w:tr>
      <w:tr w:rsidR="008F4BDA" w:rsidRPr="00097B2B" w14:paraId="066D7E27" w14:textId="77777777" w:rsidTr="00DA36E4">
        <w:trPr>
          <w:trHeight w:val="315"/>
          <w:jc w:val="center"/>
        </w:trPr>
        <w:tc>
          <w:tcPr>
            <w:tcW w:w="1660" w:type="dxa"/>
            <w:tcBorders>
              <w:top w:val="single" w:sz="18" w:space="0" w:color="auto"/>
              <w:left w:val="single" w:sz="18" w:space="0" w:color="auto"/>
            </w:tcBorders>
            <w:shd w:val="clear" w:color="auto" w:fill="auto"/>
            <w:vAlign w:val="center"/>
            <w:hideMark/>
          </w:tcPr>
          <w:p w14:paraId="35144563"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w w:val="102"/>
                <w:sz w:val="24"/>
                <w:szCs w:val="24"/>
              </w:rPr>
              <w:t>1-6</w:t>
            </w:r>
          </w:p>
        </w:tc>
        <w:tc>
          <w:tcPr>
            <w:tcW w:w="1660" w:type="dxa"/>
            <w:tcBorders>
              <w:top w:val="single" w:sz="18" w:space="0" w:color="auto"/>
            </w:tcBorders>
            <w:shd w:val="clear" w:color="auto" w:fill="auto"/>
            <w:vAlign w:val="center"/>
            <w:hideMark/>
          </w:tcPr>
          <w:p w14:paraId="65B6AE85" w14:textId="77777777" w:rsidR="008F4BDA" w:rsidRPr="00630149" w:rsidRDefault="008F4BDA" w:rsidP="004203CB">
            <w:pPr>
              <w:widowControl/>
              <w:autoSpaceDE/>
              <w:autoSpaceDN/>
              <w:adjustRightInd/>
              <w:jc w:val="center"/>
              <w:rPr>
                <w:rFonts w:ascii="Times New Roman" w:hAnsi="Times New Roman"/>
                <w:color w:val="030303"/>
                <w:sz w:val="24"/>
                <w:szCs w:val="24"/>
              </w:rPr>
            </w:pPr>
            <w:r w:rsidRPr="00630149">
              <w:rPr>
                <w:rFonts w:ascii="Times New Roman" w:hAnsi="Times New Roman"/>
                <w:color w:val="030303"/>
                <w:w w:val="108"/>
                <w:sz w:val="24"/>
                <w:szCs w:val="24"/>
              </w:rPr>
              <w:t xml:space="preserve">$11.10 </w:t>
            </w:r>
          </w:p>
        </w:tc>
        <w:tc>
          <w:tcPr>
            <w:tcW w:w="1660" w:type="dxa"/>
            <w:tcBorders>
              <w:top w:val="single" w:sz="18" w:space="0" w:color="auto"/>
            </w:tcBorders>
            <w:shd w:val="clear" w:color="auto" w:fill="auto"/>
            <w:vAlign w:val="center"/>
            <w:hideMark/>
          </w:tcPr>
          <w:p w14:paraId="2C521011"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$16.70 </w:t>
            </w:r>
          </w:p>
        </w:tc>
        <w:tc>
          <w:tcPr>
            <w:tcW w:w="1660" w:type="dxa"/>
            <w:tcBorders>
              <w:top w:val="single" w:sz="18" w:space="0" w:color="auto"/>
              <w:right w:val="single" w:sz="18" w:space="0" w:color="auto"/>
            </w:tcBorders>
            <w:shd w:val="clear" w:color="auto" w:fill="auto"/>
            <w:vAlign w:val="center"/>
            <w:hideMark/>
          </w:tcPr>
          <w:p w14:paraId="633F174B"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$27.80 </w:t>
            </w:r>
          </w:p>
        </w:tc>
      </w:tr>
      <w:tr w:rsidR="008F4BDA" w:rsidRPr="00097B2B" w14:paraId="59BACF4F" w14:textId="77777777" w:rsidTr="00DA36E4">
        <w:trPr>
          <w:trHeight w:val="315"/>
          <w:jc w:val="center"/>
        </w:trPr>
        <w:tc>
          <w:tcPr>
            <w:tcW w:w="1660" w:type="dxa"/>
            <w:tcBorders>
              <w:left w:val="single" w:sz="18" w:space="0" w:color="auto"/>
            </w:tcBorders>
            <w:shd w:val="clear" w:color="auto" w:fill="auto"/>
            <w:vAlign w:val="center"/>
            <w:hideMark/>
          </w:tcPr>
          <w:p w14:paraId="318D52D8"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w w:val="102"/>
                <w:sz w:val="24"/>
                <w:szCs w:val="24"/>
              </w:rPr>
              <w:t>7-19</w:t>
            </w:r>
          </w:p>
        </w:tc>
        <w:tc>
          <w:tcPr>
            <w:tcW w:w="1660" w:type="dxa"/>
            <w:shd w:val="clear" w:color="auto" w:fill="auto"/>
            <w:vAlign w:val="center"/>
            <w:hideMark/>
          </w:tcPr>
          <w:p w14:paraId="15AFF68C" w14:textId="77777777" w:rsidR="008F4BDA" w:rsidRPr="00630149" w:rsidRDefault="008F4BDA" w:rsidP="004203CB">
            <w:pPr>
              <w:widowControl/>
              <w:autoSpaceDE/>
              <w:autoSpaceDN/>
              <w:adjustRightInd/>
              <w:jc w:val="center"/>
              <w:rPr>
                <w:rFonts w:ascii="Times New Roman" w:hAnsi="Times New Roman"/>
                <w:color w:val="030303"/>
                <w:sz w:val="24"/>
                <w:szCs w:val="24"/>
              </w:rPr>
            </w:pPr>
            <w:r w:rsidRPr="00630149">
              <w:rPr>
                <w:rFonts w:ascii="Times New Roman" w:hAnsi="Times New Roman"/>
                <w:color w:val="030303"/>
                <w:w w:val="106"/>
                <w:sz w:val="24"/>
                <w:szCs w:val="24"/>
              </w:rPr>
              <w:t xml:space="preserve">$8.30 </w:t>
            </w:r>
          </w:p>
        </w:tc>
        <w:tc>
          <w:tcPr>
            <w:tcW w:w="1660" w:type="dxa"/>
            <w:shd w:val="clear" w:color="auto" w:fill="auto"/>
            <w:vAlign w:val="center"/>
            <w:hideMark/>
          </w:tcPr>
          <w:p w14:paraId="1A9216AE"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$12.50 </w:t>
            </w:r>
          </w:p>
        </w:tc>
        <w:tc>
          <w:tcPr>
            <w:tcW w:w="1660" w:type="dxa"/>
            <w:tcBorders>
              <w:right w:val="single" w:sz="18" w:space="0" w:color="auto"/>
            </w:tcBorders>
            <w:shd w:val="clear" w:color="auto" w:fill="auto"/>
            <w:vAlign w:val="center"/>
            <w:hideMark/>
          </w:tcPr>
          <w:p w14:paraId="717CBF10"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$20.80 </w:t>
            </w:r>
          </w:p>
        </w:tc>
      </w:tr>
      <w:tr w:rsidR="008F4BDA" w:rsidRPr="00097B2B" w14:paraId="645D7CDE" w14:textId="77777777" w:rsidTr="00DA36E4">
        <w:trPr>
          <w:trHeight w:val="315"/>
          <w:jc w:val="center"/>
        </w:trPr>
        <w:tc>
          <w:tcPr>
            <w:tcW w:w="1660" w:type="dxa"/>
            <w:tcBorders>
              <w:left w:val="single" w:sz="18" w:space="0" w:color="auto"/>
            </w:tcBorders>
            <w:shd w:val="clear" w:color="auto" w:fill="auto"/>
            <w:vAlign w:val="center"/>
            <w:hideMark/>
          </w:tcPr>
          <w:p w14:paraId="6EAFE556"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sz w:val="24"/>
                <w:szCs w:val="24"/>
              </w:rPr>
              <w:t>20-100</w:t>
            </w:r>
          </w:p>
        </w:tc>
        <w:tc>
          <w:tcPr>
            <w:tcW w:w="1660" w:type="dxa"/>
            <w:shd w:val="clear" w:color="auto" w:fill="auto"/>
            <w:vAlign w:val="center"/>
            <w:hideMark/>
          </w:tcPr>
          <w:p w14:paraId="6CFDF3B3" w14:textId="77777777" w:rsidR="008F4BDA" w:rsidRPr="00630149" w:rsidRDefault="008F4BDA" w:rsidP="004203CB">
            <w:pPr>
              <w:widowControl/>
              <w:autoSpaceDE/>
              <w:autoSpaceDN/>
              <w:adjustRightInd/>
              <w:jc w:val="center"/>
              <w:rPr>
                <w:rFonts w:ascii="Times New Roman" w:hAnsi="Times New Roman"/>
                <w:color w:val="030303"/>
                <w:sz w:val="24"/>
                <w:szCs w:val="24"/>
              </w:rPr>
            </w:pPr>
            <w:r w:rsidRPr="00630149">
              <w:rPr>
                <w:rFonts w:ascii="Times New Roman" w:hAnsi="Times New Roman"/>
                <w:color w:val="030303"/>
                <w:w w:val="105"/>
                <w:sz w:val="24"/>
                <w:szCs w:val="24"/>
              </w:rPr>
              <w:t xml:space="preserve">$5.50 </w:t>
            </w:r>
          </w:p>
        </w:tc>
        <w:tc>
          <w:tcPr>
            <w:tcW w:w="1660" w:type="dxa"/>
            <w:shd w:val="clear" w:color="auto" w:fill="auto"/>
            <w:vAlign w:val="center"/>
            <w:hideMark/>
          </w:tcPr>
          <w:p w14:paraId="657B03C0"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$8.30 </w:t>
            </w:r>
          </w:p>
        </w:tc>
        <w:tc>
          <w:tcPr>
            <w:tcW w:w="1660" w:type="dxa"/>
            <w:tcBorders>
              <w:right w:val="single" w:sz="18" w:space="0" w:color="auto"/>
            </w:tcBorders>
            <w:shd w:val="clear" w:color="auto" w:fill="auto"/>
            <w:vAlign w:val="center"/>
            <w:hideMark/>
          </w:tcPr>
          <w:p w14:paraId="3B4BC1FB"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$13.80 </w:t>
            </w:r>
          </w:p>
        </w:tc>
      </w:tr>
      <w:tr w:rsidR="008F4BDA" w:rsidRPr="00097B2B" w14:paraId="3F57A478" w14:textId="77777777" w:rsidTr="00DA36E4">
        <w:trPr>
          <w:trHeight w:val="315"/>
          <w:jc w:val="center"/>
        </w:trPr>
        <w:tc>
          <w:tcPr>
            <w:tcW w:w="1660" w:type="dxa"/>
            <w:tcBorders>
              <w:left w:val="single" w:sz="18" w:space="0" w:color="auto"/>
              <w:bottom w:val="single" w:sz="18" w:space="0" w:color="auto"/>
            </w:tcBorders>
            <w:shd w:val="clear" w:color="auto" w:fill="auto"/>
            <w:vAlign w:val="center"/>
            <w:hideMark/>
          </w:tcPr>
          <w:p w14:paraId="718C43CF" w14:textId="77777777" w:rsidR="008F4BDA" w:rsidRPr="00630149" w:rsidRDefault="008F4BDA" w:rsidP="004203CB">
            <w:pPr>
              <w:widowControl/>
              <w:autoSpaceDE/>
              <w:autoSpaceDN/>
              <w:adjustRightInd/>
              <w:jc w:val="center"/>
              <w:rPr>
                <w:rFonts w:ascii="Times New Roman" w:hAnsi="Times New Roman"/>
                <w:b/>
                <w:bCs/>
                <w:color w:val="030303"/>
                <w:sz w:val="24"/>
                <w:szCs w:val="24"/>
              </w:rPr>
            </w:pPr>
            <w:r w:rsidRPr="00630149">
              <w:rPr>
                <w:rFonts w:ascii="Times New Roman" w:hAnsi="Times New Roman"/>
                <w:b/>
                <w:bCs/>
                <w:color w:val="030303"/>
                <w:w w:val="101"/>
                <w:sz w:val="24"/>
                <w:szCs w:val="24"/>
              </w:rPr>
              <w:t>101+</w:t>
            </w:r>
          </w:p>
        </w:tc>
        <w:tc>
          <w:tcPr>
            <w:tcW w:w="1660" w:type="dxa"/>
            <w:tcBorders>
              <w:bottom w:val="single" w:sz="18" w:space="0" w:color="auto"/>
            </w:tcBorders>
            <w:shd w:val="clear" w:color="auto" w:fill="auto"/>
            <w:vAlign w:val="center"/>
            <w:hideMark/>
          </w:tcPr>
          <w:p w14:paraId="2D12635F" w14:textId="77777777" w:rsidR="008F4BDA" w:rsidRPr="00630149" w:rsidRDefault="008F4BDA" w:rsidP="004203CB">
            <w:pPr>
              <w:widowControl/>
              <w:autoSpaceDE/>
              <w:autoSpaceDN/>
              <w:adjustRightInd/>
              <w:jc w:val="center"/>
              <w:rPr>
                <w:rFonts w:ascii="Times New Roman" w:hAnsi="Times New Roman"/>
                <w:color w:val="030303"/>
                <w:sz w:val="24"/>
                <w:szCs w:val="24"/>
              </w:rPr>
            </w:pPr>
            <w:r w:rsidRPr="00630149">
              <w:rPr>
                <w:rFonts w:ascii="Times New Roman" w:hAnsi="Times New Roman"/>
                <w:color w:val="030303"/>
                <w:w w:val="106"/>
                <w:sz w:val="24"/>
                <w:szCs w:val="24"/>
              </w:rPr>
              <w:t xml:space="preserve">$2.80 </w:t>
            </w:r>
          </w:p>
        </w:tc>
        <w:tc>
          <w:tcPr>
            <w:tcW w:w="1660" w:type="dxa"/>
            <w:tcBorders>
              <w:bottom w:val="single" w:sz="18" w:space="0" w:color="auto"/>
            </w:tcBorders>
            <w:shd w:val="clear" w:color="auto" w:fill="auto"/>
            <w:vAlign w:val="center"/>
            <w:hideMark/>
          </w:tcPr>
          <w:p w14:paraId="357B0110"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$4.10 </w:t>
            </w:r>
          </w:p>
        </w:tc>
        <w:tc>
          <w:tcPr>
            <w:tcW w:w="1660" w:type="dxa"/>
            <w:tcBorders>
              <w:bottom w:val="single" w:sz="18" w:space="0" w:color="auto"/>
              <w:right w:val="single" w:sz="18" w:space="0" w:color="auto"/>
            </w:tcBorders>
            <w:shd w:val="clear" w:color="auto" w:fill="auto"/>
            <w:vAlign w:val="center"/>
            <w:hideMark/>
          </w:tcPr>
          <w:p w14:paraId="4AE49C94"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$6.90 </w:t>
            </w:r>
          </w:p>
        </w:tc>
      </w:tr>
    </w:tbl>
    <w:p w14:paraId="204D6D1B" w14:textId="77777777" w:rsidR="008F4BDA" w:rsidRPr="008F4BDA" w:rsidRDefault="008F4BDA" w:rsidP="004203CB">
      <w:pPr>
        <w:widowControl/>
        <w:tabs>
          <w:tab w:val="left" w:pos="360"/>
        </w:tabs>
        <w:ind w:left="720"/>
        <w:rPr>
          <w:rFonts w:ascii="Times New Roman" w:hAnsi="Times New Roman"/>
          <w:sz w:val="24"/>
        </w:rPr>
      </w:pPr>
    </w:p>
    <w:p w14:paraId="555F72A8" w14:textId="7E9747D2" w:rsidR="008F4BDA" w:rsidRPr="008F4BDA" w:rsidRDefault="008F4BDA" w:rsidP="004203CB">
      <w:pPr>
        <w:widowControl/>
        <w:tabs>
          <w:tab w:val="left" w:pos="360"/>
        </w:tabs>
        <w:ind w:left="360"/>
        <w:rPr>
          <w:rFonts w:ascii="Times New Roman" w:hAnsi="Times New Roman"/>
          <w:sz w:val="24"/>
        </w:rPr>
      </w:pPr>
      <w:r w:rsidRPr="008F4BDA">
        <w:rPr>
          <w:rFonts w:ascii="Times New Roman" w:hAnsi="Times New Roman"/>
          <w:sz w:val="24"/>
        </w:rPr>
        <w:t>The estimated marking cost per carrier (summarized in Table 5) will vary according to the fleet size per carrier.  The analysis uses MCMIS data (</w:t>
      </w:r>
      <w:r w:rsidR="00A27874">
        <w:rPr>
          <w:rFonts w:ascii="Times New Roman" w:hAnsi="Times New Roman"/>
          <w:sz w:val="24"/>
        </w:rPr>
        <w:t>January 23, 2015</w:t>
      </w:r>
      <w:r w:rsidRPr="008F4BDA">
        <w:rPr>
          <w:rFonts w:ascii="Times New Roman" w:hAnsi="Times New Roman"/>
          <w:sz w:val="24"/>
        </w:rPr>
        <w:t>) to estimate average fleet size for each carrier size category.  This is done by selecting the carrier fleet size at which the level of CMVs is nearest to the 50</w:t>
      </w:r>
      <w:r w:rsidRPr="008F4BDA">
        <w:rPr>
          <w:rFonts w:ascii="Times New Roman" w:hAnsi="Times New Roman"/>
          <w:sz w:val="24"/>
          <w:vertAlign w:val="superscript"/>
        </w:rPr>
        <w:t>th</w:t>
      </w:r>
      <w:r w:rsidRPr="008F4BDA">
        <w:rPr>
          <w:rFonts w:ascii="Times New Roman" w:hAnsi="Times New Roman"/>
          <w:sz w:val="24"/>
        </w:rPr>
        <w:t xml:space="preserve"> percentile for that category.  For example, in the 7–19 category MCMIS data indicates that 51 percent of CMVs have a fleet size of up to 11 CMVs; therefore, the average fleet size for this category is approximately 11 CMVs.  The last size category (101+) consists of a wide range of sizes including thousands of units.  Yet a large portion of that category is 101–300.  Therefore, the analysis assumes an average fleet size for the 101+</w:t>
      </w:r>
      <w:r w:rsidR="009F49AE">
        <w:rPr>
          <w:rFonts w:ascii="Times New Roman" w:hAnsi="Times New Roman"/>
          <w:sz w:val="24"/>
        </w:rPr>
        <w:t xml:space="preserve"> group</w:t>
      </w:r>
      <w:r w:rsidRPr="008F4BDA">
        <w:rPr>
          <w:rFonts w:ascii="Times New Roman" w:hAnsi="Times New Roman"/>
          <w:sz w:val="24"/>
        </w:rPr>
        <w:t xml:space="preserve"> of 300 CMVs.  The total cost per carrier for that category is $2,070.  Average fleet size and cost per carrier for each category is presented in Table 5 below.</w:t>
      </w:r>
    </w:p>
    <w:p w14:paraId="49BE8CAB" w14:textId="77777777" w:rsidR="008F4BDA" w:rsidRPr="008F4BDA" w:rsidRDefault="008F4BDA" w:rsidP="004203CB">
      <w:pPr>
        <w:widowControl/>
        <w:tabs>
          <w:tab w:val="left" w:pos="360"/>
        </w:tabs>
        <w:rPr>
          <w:rFonts w:ascii="Times New Roman" w:hAnsi="Times New Roman"/>
          <w:sz w:val="24"/>
        </w:rPr>
      </w:pPr>
    </w:p>
    <w:p w14:paraId="2E275CB4" w14:textId="77777777" w:rsidR="008F4BDA" w:rsidRPr="00500087" w:rsidRDefault="008F4BDA" w:rsidP="004203CB">
      <w:pPr>
        <w:keepNext/>
        <w:widowControl/>
        <w:tabs>
          <w:tab w:val="left" w:pos="360"/>
        </w:tabs>
        <w:spacing w:after="200"/>
        <w:jc w:val="center"/>
        <w:rPr>
          <w:rFonts w:ascii="Times New Roman" w:hAnsi="Times New Roman"/>
          <w:b/>
          <w:sz w:val="24"/>
          <w:szCs w:val="24"/>
        </w:rPr>
      </w:pPr>
      <w:proofErr w:type="gramStart"/>
      <w:r w:rsidRPr="00500087">
        <w:rPr>
          <w:rFonts w:ascii="Times New Roman" w:hAnsi="Times New Roman"/>
          <w:b/>
          <w:sz w:val="24"/>
          <w:szCs w:val="24"/>
        </w:rPr>
        <w:t>Table 5.</w:t>
      </w:r>
      <w:proofErr w:type="gramEnd"/>
      <w:r w:rsidRPr="00500087">
        <w:rPr>
          <w:rFonts w:ascii="Times New Roman" w:hAnsi="Times New Roman"/>
          <w:b/>
          <w:sz w:val="24"/>
          <w:szCs w:val="24"/>
        </w:rPr>
        <w:t xml:space="preserve"> Average Material Cost per Carrier</w:t>
      </w:r>
    </w:p>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tblGrid>
      <w:tr w:rsidR="008F4BDA" w:rsidRPr="00097B2B" w14:paraId="520EB754" w14:textId="77777777" w:rsidTr="00DA36E4">
        <w:trPr>
          <w:trHeight w:val="1151"/>
          <w:jc w:val="center"/>
        </w:trPr>
        <w:tc>
          <w:tcPr>
            <w:tcW w:w="1660" w:type="dxa"/>
            <w:tcBorders>
              <w:top w:val="single" w:sz="18" w:space="0" w:color="auto"/>
              <w:left w:val="single" w:sz="18" w:space="0" w:color="auto"/>
            </w:tcBorders>
            <w:shd w:val="clear" w:color="auto" w:fill="D9D9D9"/>
            <w:vAlign w:val="center"/>
            <w:hideMark/>
          </w:tcPr>
          <w:p w14:paraId="371C4467" w14:textId="77777777" w:rsidR="008F4BDA" w:rsidRPr="00500087" w:rsidRDefault="008F4BDA" w:rsidP="004203CB">
            <w:pPr>
              <w:keepNext/>
              <w:widowControl/>
              <w:autoSpaceDE/>
              <w:autoSpaceDN/>
              <w:adjustRightInd/>
              <w:jc w:val="center"/>
              <w:rPr>
                <w:rFonts w:ascii="Times New Roman" w:hAnsi="Times New Roman"/>
                <w:b/>
                <w:bCs/>
                <w:color w:val="010101"/>
                <w:sz w:val="24"/>
                <w:szCs w:val="24"/>
              </w:rPr>
            </w:pPr>
            <w:r w:rsidRPr="00500087">
              <w:rPr>
                <w:rFonts w:ascii="Times New Roman" w:hAnsi="Times New Roman"/>
                <w:b/>
                <w:bCs/>
                <w:color w:val="010101"/>
                <w:sz w:val="24"/>
                <w:szCs w:val="24"/>
              </w:rPr>
              <w:t>Freight Carrier Size, by Number of Vehicles</w:t>
            </w:r>
          </w:p>
        </w:tc>
        <w:tc>
          <w:tcPr>
            <w:tcW w:w="1660" w:type="dxa"/>
            <w:tcBorders>
              <w:top w:val="single" w:sz="18" w:space="0" w:color="auto"/>
              <w:bottom w:val="single" w:sz="18" w:space="0" w:color="auto"/>
            </w:tcBorders>
            <w:shd w:val="clear" w:color="auto" w:fill="D9D9D9"/>
            <w:vAlign w:val="center"/>
            <w:hideMark/>
          </w:tcPr>
          <w:p w14:paraId="5278E32E" w14:textId="77777777" w:rsidR="008F4BDA" w:rsidRPr="00500087" w:rsidRDefault="008F4BDA" w:rsidP="004203CB">
            <w:pPr>
              <w:widowControl/>
              <w:autoSpaceDE/>
              <w:autoSpaceDN/>
              <w:adjustRightInd/>
              <w:jc w:val="center"/>
              <w:rPr>
                <w:rFonts w:ascii="Times New Roman" w:hAnsi="Times New Roman"/>
                <w:b/>
                <w:bCs/>
                <w:color w:val="010101"/>
                <w:sz w:val="24"/>
                <w:szCs w:val="24"/>
              </w:rPr>
            </w:pPr>
            <w:r w:rsidRPr="00500087">
              <w:rPr>
                <w:rFonts w:ascii="Times New Roman" w:hAnsi="Times New Roman"/>
                <w:b/>
                <w:bCs/>
                <w:color w:val="010101"/>
                <w:sz w:val="24"/>
                <w:szCs w:val="24"/>
              </w:rPr>
              <w:t>Average Fleet Size</w:t>
            </w:r>
          </w:p>
        </w:tc>
        <w:tc>
          <w:tcPr>
            <w:tcW w:w="1660" w:type="dxa"/>
            <w:tcBorders>
              <w:top w:val="single" w:sz="18" w:space="0" w:color="auto"/>
            </w:tcBorders>
            <w:shd w:val="clear" w:color="auto" w:fill="D9D9D9"/>
            <w:vAlign w:val="center"/>
            <w:hideMark/>
          </w:tcPr>
          <w:p w14:paraId="02B04BA8" w14:textId="77777777" w:rsidR="008F4BDA" w:rsidRPr="00500087" w:rsidRDefault="008F4BDA" w:rsidP="004203CB">
            <w:pPr>
              <w:widowControl/>
              <w:autoSpaceDE/>
              <w:autoSpaceDN/>
              <w:adjustRightInd/>
              <w:jc w:val="center"/>
              <w:rPr>
                <w:rFonts w:ascii="Times New Roman" w:hAnsi="Times New Roman"/>
                <w:b/>
                <w:bCs/>
                <w:color w:val="010101"/>
                <w:sz w:val="24"/>
                <w:szCs w:val="24"/>
              </w:rPr>
            </w:pPr>
            <w:r w:rsidRPr="00500087">
              <w:rPr>
                <w:rFonts w:ascii="Times New Roman" w:hAnsi="Times New Roman"/>
                <w:b/>
                <w:bCs/>
                <w:color w:val="010101"/>
                <w:sz w:val="24"/>
                <w:szCs w:val="24"/>
              </w:rPr>
              <w:t>Material Cost per Vehicle</w:t>
            </w:r>
          </w:p>
        </w:tc>
        <w:tc>
          <w:tcPr>
            <w:tcW w:w="1660" w:type="dxa"/>
            <w:tcBorders>
              <w:top w:val="single" w:sz="18" w:space="0" w:color="auto"/>
              <w:right w:val="single" w:sz="18" w:space="0" w:color="auto"/>
            </w:tcBorders>
            <w:shd w:val="clear" w:color="auto" w:fill="D9D9D9"/>
            <w:vAlign w:val="center"/>
            <w:hideMark/>
          </w:tcPr>
          <w:p w14:paraId="40532DBE" w14:textId="77777777" w:rsidR="008F4BDA" w:rsidRPr="00500087" w:rsidRDefault="008F4BDA" w:rsidP="004203CB">
            <w:pPr>
              <w:widowControl/>
              <w:autoSpaceDE/>
              <w:autoSpaceDN/>
              <w:adjustRightInd/>
              <w:jc w:val="center"/>
              <w:rPr>
                <w:rFonts w:ascii="Times New Roman" w:hAnsi="Times New Roman"/>
                <w:b/>
                <w:bCs/>
                <w:color w:val="010101"/>
                <w:sz w:val="24"/>
                <w:szCs w:val="24"/>
              </w:rPr>
            </w:pPr>
            <w:r w:rsidRPr="00500087">
              <w:rPr>
                <w:rFonts w:ascii="Times New Roman" w:hAnsi="Times New Roman"/>
                <w:b/>
                <w:bCs/>
                <w:color w:val="010101"/>
                <w:sz w:val="24"/>
                <w:szCs w:val="24"/>
              </w:rPr>
              <w:t>Average Cost per Carrier</w:t>
            </w:r>
          </w:p>
        </w:tc>
      </w:tr>
      <w:tr w:rsidR="008F4BDA" w:rsidRPr="00097B2B" w14:paraId="405D9F92" w14:textId="77777777" w:rsidTr="00DA36E4">
        <w:trPr>
          <w:trHeight w:hRule="exact" w:val="315"/>
          <w:jc w:val="center"/>
        </w:trPr>
        <w:tc>
          <w:tcPr>
            <w:tcW w:w="1660" w:type="dxa"/>
            <w:tcBorders>
              <w:top w:val="single" w:sz="18" w:space="0" w:color="auto"/>
              <w:left w:val="single" w:sz="18" w:space="0" w:color="auto"/>
            </w:tcBorders>
            <w:shd w:val="clear" w:color="auto" w:fill="auto"/>
            <w:noWrap/>
            <w:vAlign w:val="center"/>
            <w:hideMark/>
          </w:tcPr>
          <w:p w14:paraId="199BF22D" w14:textId="77777777" w:rsidR="008F4BDA" w:rsidRPr="00630149" w:rsidRDefault="008F4BDA" w:rsidP="004203CB">
            <w:pPr>
              <w:keepNext/>
              <w:widowControl/>
              <w:autoSpaceDE/>
              <w:autoSpaceDN/>
              <w:adjustRightInd/>
              <w:jc w:val="center"/>
              <w:rPr>
                <w:rFonts w:ascii="Times New Roman" w:hAnsi="Times New Roman"/>
                <w:b/>
                <w:bCs/>
                <w:color w:val="010101"/>
                <w:sz w:val="24"/>
                <w:szCs w:val="24"/>
              </w:rPr>
            </w:pPr>
            <w:r w:rsidRPr="00630149">
              <w:rPr>
                <w:rFonts w:ascii="Times New Roman" w:hAnsi="Times New Roman"/>
                <w:b/>
                <w:bCs/>
                <w:color w:val="010101"/>
                <w:sz w:val="24"/>
                <w:szCs w:val="24"/>
              </w:rPr>
              <w:t>1-6</w:t>
            </w:r>
          </w:p>
        </w:tc>
        <w:tc>
          <w:tcPr>
            <w:tcW w:w="1660" w:type="dxa"/>
            <w:tcBorders>
              <w:top w:val="single" w:sz="18" w:space="0" w:color="auto"/>
            </w:tcBorders>
            <w:shd w:val="clear" w:color="auto" w:fill="auto"/>
            <w:noWrap/>
            <w:vAlign w:val="center"/>
            <w:hideMark/>
          </w:tcPr>
          <w:p w14:paraId="0EA667F7" w14:textId="0CAB4691" w:rsidR="008F4BDA" w:rsidRPr="00630149" w:rsidRDefault="00976827" w:rsidP="004203CB">
            <w:pPr>
              <w:widowControl/>
              <w:autoSpaceDE/>
              <w:autoSpaceDN/>
              <w:adjustRightInd/>
              <w:jc w:val="center"/>
              <w:rPr>
                <w:rFonts w:ascii="Times New Roman" w:hAnsi="Times New Roman"/>
                <w:color w:val="010101"/>
                <w:sz w:val="24"/>
                <w:szCs w:val="24"/>
              </w:rPr>
            </w:pPr>
            <w:r>
              <w:rPr>
                <w:rFonts w:ascii="Times New Roman" w:hAnsi="Times New Roman"/>
                <w:color w:val="010101"/>
                <w:sz w:val="24"/>
                <w:szCs w:val="24"/>
              </w:rPr>
              <w:t>2</w:t>
            </w:r>
          </w:p>
        </w:tc>
        <w:tc>
          <w:tcPr>
            <w:tcW w:w="1660" w:type="dxa"/>
            <w:tcBorders>
              <w:top w:val="single" w:sz="18" w:space="0" w:color="auto"/>
            </w:tcBorders>
            <w:shd w:val="clear" w:color="auto" w:fill="auto"/>
            <w:noWrap/>
            <w:vAlign w:val="center"/>
            <w:hideMark/>
          </w:tcPr>
          <w:p w14:paraId="20EF2A60" w14:textId="77777777"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 xml:space="preserve">$27.80 </w:t>
            </w:r>
          </w:p>
        </w:tc>
        <w:tc>
          <w:tcPr>
            <w:tcW w:w="1660" w:type="dxa"/>
            <w:tcBorders>
              <w:top w:val="single" w:sz="18" w:space="0" w:color="auto"/>
              <w:right w:val="single" w:sz="18" w:space="0" w:color="auto"/>
            </w:tcBorders>
            <w:shd w:val="clear" w:color="auto" w:fill="auto"/>
            <w:noWrap/>
            <w:vAlign w:val="center"/>
            <w:hideMark/>
          </w:tcPr>
          <w:p w14:paraId="12396ED5" w14:textId="21BEE525"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w:t>
            </w:r>
            <w:r w:rsidR="00500087">
              <w:rPr>
                <w:rFonts w:ascii="Times New Roman" w:hAnsi="Times New Roman"/>
                <w:color w:val="000000"/>
                <w:sz w:val="24"/>
                <w:szCs w:val="24"/>
              </w:rPr>
              <w:t>55.60</w:t>
            </w:r>
            <w:r w:rsidRPr="00630149">
              <w:rPr>
                <w:rFonts w:ascii="Times New Roman" w:hAnsi="Times New Roman"/>
                <w:color w:val="000000"/>
                <w:sz w:val="24"/>
                <w:szCs w:val="24"/>
              </w:rPr>
              <w:t xml:space="preserve"> </w:t>
            </w:r>
          </w:p>
        </w:tc>
      </w:tr>
      <w:tr w:rsidR="008F4BDA" w:rsidRPr="00097B2B" w14:paraId="6648F75F" w14:textId="77777777" w:rsidTr="00DA36E4">
        <w:trPr>
          <w:trHeight w:hRule="exact" w:val="315"/>
          <w:jc w:val="center"/>
        </w:trPr>
        <w:tc>
          <w:tcPr>
            <w:tcW w:w="1660" w:type="dxa"/>
            <w:tcBorders>
              <w:left w:val="single" w:sz="18" w:space="0" w:color="auto"/>
            </w:tcBorders>
            <w:shd w:val="clear" w:color="auto" w:fill="auto"/>
            <w:noWrap/>
            <w:vAlign w:val="center"/>
            <w:hideMark/>
          </w:tcPr>
          <w:p w14:paraId="62BF74BC" w14:textId="77777777" w:rsidR="008F4BDA" w:rsidRPr="00630149" w:rsidRDefault="008F4BDA" w:rsidP="004203CB">
            <w:pPr>
              <w:keepNext/>
              <w:widowControl/>
              <w:autoSpaceDE/>
              <w:autoSpaceDN/>
              <w:adjustRightInd/>
              <w:jc w:val="center"/>
              <w:rPr>
                <w:rFonts w:ascii="Times New Roman" w:hAnsi="Times New Roman"/>
                <w:b/>
                <w:bCs/>
                <w:color w:val="010101"/>
                <w:sz w:val="24"/>
                <w:szCs w:val="24"/>
              </w:rPr>
            </w:pPr>
            <w:r w:rsidRPr="00630149">
              <w:rPr>
                <w:rFonts w:ascii="Times New Roman" w:hAnsi="Times New Roman"/>
                <w:b/>
                <w:bCs/>
                <w:color w:val="010101"/>
                <w:w w:val="102"/>
                <w:sz w:val="24"/>
                <w:szCs w:val="24"/>
              </w:rPr>
              <w:t>7-19</w:t>
            </w:r>
          </w:p>
        </w:tc>
        <w:tc>
          <w:tcPr>
            <w:tcW w:w="1660" w:type="dxa"/>
            <w:shd w:val="clear" w:color="auto" w:fill="auto"/>
            <w:noWrap/>
            <w:vAlign w:val="center"/>
            <w:hideMark/>
          </w:tcPr>
          <w:p w14:paraId="65EE4230" w14:textId="77777777"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11</w:t>
            </w:r>
          </w:p>
        </w:tc>
        <w:tc>
          <w:tcPr>
            <w:tcW w:w="1660" w:type="dxa"/>
            <w:shd w:val="clear" w:color="auto" w:fill="auto"/>
            <w:noWrap/>
            <w:vAlign w:val="center"/>
            <w:hideMark/>
          </w:tcPr>
          <w:p w14:paraId="006E08E1" w14:textId="77777777"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 xml:space="preserve">$20.80 </w:t>
            </w:r>
          </w:p>
        </w:tc>
        <w:tc>
          <w:tcPr>
            <w:tcW w:w="1660" w:type="dxa"/>
            <w:tcBorders>
              <w:right w:val="single" w:sz="18" w:space="0" w:color="auto"/>
            </w:tcBorders>
            <w:shd w:val="clear" w:color="auto" w:fill="auto"/>
            <w:noWrap/>
            <w:vAlign w:val="center"/>
            <w:hideMark/>
          </w:tcPr>
          <w:p w14:paraId="18574043"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$228.80 </w:t>
            </w:r>
          </w:p>
        </w:tc>
      </w:tr>
      <w:tr w:rsidR="008F4BDA" w:rsidRPr="00097B2B" w14:paraId="23D5CC74" w14:textId="77777777" w:rsidTr="00DA36E4">
        <w:trPr>
          <w:trHeight w:hRule="exact" w:val="315"/>
          <w:jc w:val="center"/>
        </w:trPr>
        <w:tc>
          <w:tcPr>
            <w:tcW w:w="1660" w:type="dxa"/>
            <w:tcBorders>
              <w:left w:val="single" w:sz="18" w:space="0" w:color="auto"/>
            </w:tcBorders>
            <w:shd w:val="clear" w:color="auto" w:fill="auto"/>
            <w:noWrap/>
            <w:vAlign w:val="center"/>
            <w:hideMark/>
          </w:tcPr>
          <w:p w14:paraId="1846E339" w14:textId="77777777" w:rsidR="008F4BDA" w:rsidRPr="00630149" w:rsidRDefault="008F4BDA" w:rsidP="004203CB">
            <w:pPr>
              <w:keepNext/>
              <w:widowControl/>
              <w:autoSpaceDE/>
              <w:autoSpaceDN/>
              <w:adjustRightInd/>
              <w:jc w:val="center"/>
              <w:rPr>
                <w:rFonts w:ascii="Times New Roman" w:hAnsi="Times New Roman"/>
                <w:b/>
                <w:bCs/>
                <w:color w:val="010101"/>
                <w:sz w:val="24"/>
                <w:szCs w:val="24"/>
              </w:rPr>
            </w:pPr>
            <w:r w:rsidRPr="00630149">
              <w:rPr>
                <w:rFonts w:ascii="Times New Roman" w:hAnsi="Times New Roman"/>
                <w:b/>
                <w:bCs/>
                <w:color w:val="010101"/>
                <w:w w:val="102"/>
                <w:sz w:val="24"/>
                <w:szCs w:val="24"/>
              </w:rPr>
              <w:t>21-100</w:t>
            </w:r>
          </w:p>
        </w:tc>
        <w:tc>
          <w:tcPr>
            <w:tcW w:w="1660" w:type="dxa"/>
            <w:shd w:val="clear" w:color="auto" w:fill="auto"/>
            <w:noWrap/>
            <w:vAlign w:val="center"/>
            <w:hideMark/>
          </w:tcPr>
          <w:p w14:paraId="7287CC7C" w14:textId="33698652" w:rsidR="008F4BDA" w:rsidRPr="00630149" w:rsidRDefault="00976827" w:rsidP="004203CB">
            <w:pPr>
              <w:widowControl/>
              <w:autoSpaceDE/>
              <w:autoSpaceDN/>
              <w:adjustRightInd/>
              <w:jc w:val="center"/>
              <w:rPr>
                <w:rFonts w:ascii="Times New Roman" w:hAnsi="Times New Roman"/>
                <w:color w:val="010101"/>
                <w:sz w:val="24"/>
                <w:szCs w:val="24"/>
              </w:rPr>
            </w:pPr>
            <w:r>
              <w:rPr>
                <w:rFonts w:ascii="Times New Roman" w:hAnsi="Times New Roman"/>
                <w:color w:val="010101"/>
                <w:sz w:val="24"/>
                <w:szCs w:val="24"/>
              </w:rPr>
              <w:t>39</w:t>
            </w:r>
          </w:p>
        </w:tc>
        <w:tc>
          <w:tcPr>
            <w:tcW w:w="1660" w:type="dxa"/>
            <w:shd w:val="clear" w:color="auto" w:fill="auto"/>
            <w:noWrap/>
            <w:vAlign w:val="center"/>
            <w:hideMark/>
          </w:tcPr>
          <w:p w14:paraId="5EBC9586" w14:textId="77777777"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 xml:space="preserve">$13.80 </w:t>
            </w:r>
          </w:p>
        </w:tc>
        <w:tc>
          <w:tcPr>
            <w:tcW w:w="1660" w:type="dxa"/>
            <w:tcBorders>
              <w:right w:val="single" w:sz="18" w:space="0" w:color="auto"/>
            </w:tcBorders>
            <w:shd w:val="clear" w:color="auto" w:fill="auto"/>
            <w:noWrap/>
            <w:vAlign w:val="center"/>
            <w:hideMark/>
          </w:tcPr>
          <w:p w14:paraId="03C125DA" w14:textId="7252D55F"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w:t>
            </w:r>
            <w:r w:rsidR="005C7B26">
              <w:rPr>
                <w:rFonts w:ascii="Times New Roman" w:hAnsi="Times New Roman"/>
                <w:color w:val="000000"/>
                <w:sz w:val="24"/>
                <w:szCs w:val="24"/>
              </w:rPr>
              <w:t>538.20</w:t>
            </w:r>
          </w:p>
        </w:tc>
      </w:tr>
      <w:tr w:rsidR="008F4BDA" w:rsidRPr="00097B2B" w14:paraId="388A4A43" w14:textId="77777777" w:rsidTr="00DA36E4">
        <w:trPr>
          <w:trHeight w:hRule="exact" w:val="315"/>
          <w:jc w:val="center"/>
        </w:trPr>
        <w:tc>
          <w:tcPr>
            <w:tcW w:w="1660" w:type="dxa"/>
            <w:tcBorders>
              <w:left w:val="single" w:sz="18" w:space="0" w:color="auto"/>
              <w:bottom w:val="single" w:sz="18" w:space="0" w:color="auto"/>
            </w:tcBorders>
            <w:shd w:val="clear" w:color="auto" w:fill="auto"/>
            <w:noWrap/>
            <w:vAlign w:val="center"/>
            <w:hideMark/>
          </w:tcPr>
          <w:p w14:paraId="5C1130B7" w14:textId="77777777" w:rsidR="008F4BDA" w:rsidRPr="00630149" w:rsidRDefault="008F4BDA" w:rsidP="004203CB">
            <w:pPr>
              <w:widowControl/>
              <w:autoSpaceDE/>
              <w:autoSpaceDN/>
              <w:adjustRightInd/>
              <w:jc w:val="center"/>
              <w:rPr>
                <w:rFonts w:ascii="Times New Roman" w:hAnsi="Times New Roman"/>
                <w:b/>
                <w:bCs/>
                <w:color w:val="010101"/>
                <w:sz w:val="24"/>
                <w:szCs w:val="24"/>
              </w:rPr>
            </w:pPr>
            <w:r w:rsidRPr="00630149">
              <w:rPr>
                <w:rFonts w:ascii="Times New Roman" w:hAnsi="Times New Roman"/>
                <w:b/>
                <w:bCs/>
                <w:color w:val="010101"/>
                <w:w w:val="111"/>
                <w:sz w:val="24"/>
                <w:szCs w:val="24"/>
              </w:rPr>
              <w:t>101+</w:t>
            </w:r>
          </w:p>
        </w:tc>
        <w:tc>
          <w:tcPr>
            <w:tcW w:w="1660" w:type="dxa"/>
            <w:tcBorders>
              <w:bottom w:val="single" w:sz="18" w:space="0" w:color="auto"/>
            </w:tcBorders>
            <w:shd w:val="clear" w:color="auto" w:fill="auto"/>
            <w:noWrap/>
            <w:vAlign w:val="center"/>
            <w:hideMark/>
          </w:tcPr>
          <w:p w14:paraId="1A86CDA0" w14:textId="57910100"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300</w:t>
            </w:r>
          </w:p>
        </w:tc>
        <w:tc>
          <w:tcPr>
            <w:tcW w:w="1660" w:type="dxa"/>
            <w:tcBorders>
              <w:bottom w:val="single" w:sz="18" w:space="0" w:color="auto"/>
            </w:tcBorders>
            <w:shd w:val="clear" w:color="auto" w:fill="auto"/>
            <w:noWrap/>
            <w:vAlign w:val="center"/>
            <w:hideMark/>
          </w:tcPr>
          <w:p w14:paraId="408B313E" w14:textId="77777777" w:rsidR="008F4BDA" w:rsidRPr="00630149" w:rsidRDefault="008F4BDA" w:rsidP="004203CB">
            <w:pPr>
              <w:widowControl/>
              <w:autoSpaceDE/>
              <w:autoSpaceDN/>
              <w:adjustRightInd/>
              <w:jc w:val="center"/>
              <w:rPr>
                <w:rFonts w:ascii="Times New Roman" w:hAnsi="Times New Roman"/>
                <w:color w:val="010101"/>
                <w:sz w:val="24"/>
                <w:szCs w:val="24"/>
              </w:rPr>
            </w:pPr>
            <w:r w:rsidRPr="00630149">
              <w:rPr>
                <w:rFonts w:ascii="Times New Roman" w:hAnsi="Times New Roman"/>
                <w:color w:val="010101"/>
                <w:sz w:val="24"/>
                <w:szCs w:val="24"/>
              </w:rPr>
              <w:t xml:space="preserve">$6.90 </w:t>
            </w:r>
          </w:p>
        </w:tc>
        <w:tc>
          <w:tcPr>
            <w:tcW w:w="1660" w:type="dxa"/>
            <w:tcBorders>
              <w:bottom w:val="single" w:sz="18" w:space="0" w:color="auto"/>
              <w:right w:val="single" w:sz="18" w:space="0" w:color="auto"/>
            </w:tcBorders>
            <w:shd w:val="clear" w:color="auto" w:fill="auto"/>
            <w:noWrap/>
            <w:vAlign w:val="center"/>
            <w:hideMark/>
          </w:tcPr>
          <w:p w14:paraId="36ECE141" w14:textId="77777777" w:rsidR="008F4BDA" w:rsidRPr="00630149" w:rsidRDefault="008F4BDA"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 xml:space="preserve">$2,070 </w:t>
            </w:r>
          </w:p>
        </w:tc>
      </w:tr>
    </w:tbl>
    <w:p w14:paraId="2C4FC967" w14:textId="77777777" w:rsidR="008F4BDA" w:rsidRPr="008F4BDA" w:rsidRDefault="008F4BDA" w:rsidP="004203CB">
      <w:pPr>
        <w:widowControl/>
        <w:tabs>
          <w:tab w:val="left" w:pos="360"/>
        </w:tabs>
        <w:rPr>
          <w:rFonts w:ascii="Times New Roman" w:hAnsi="Times New Roman"/>
          <w:sz w:val="24"/>
        </w:rPr>
      </w:pPr>
    </w:p>
    <w:p w14:paraId="0BEE3ED3" w14:textId="3E2BC5F5" w:rsidR="008F4BDA" w:rsidRPr="008F4BDA" w:rsidRDefault="008F4BDA" w:rsidP="004203CB">
      <w:pPr>
        <w:widowControl/>
        <w:tabs>
          <w:tab w:val="left" w:pos="360"/>
        </w:tabs>
        <w:ind w:left="360"/>
        <w:rPr>
          <w:rFonts w:ascii="Times New Roman" w:hAnsi="Times New Roman"/>
          <w:sz w:val="24"/>
        </w:rPr>
      </w:pPr>
      <w:r w:rsidRPr="008F4BDA">
        <w:rPr>
          <w:rFonts w:ascii="Times New Roman" w:hAnsi="Times New Roman"/>
          <w:sz w:val="24"/>
        </w:rPr>
        <w:t>The total cost for all freight-carrying motor carriers is estimated by applying the material cost per vehicle to the number of CMVs corresponding to its size category.  For example, the 1–6 carrier size category incurs a cost of $</w:t>
      </w:r>
      <w:r w:rsidR="00ED6381">
        <w:rPr>
          <w:rFonts w:ascii="Times New Roman" w:hAnsi="Times New Roman"/>
          <w:sz w:val="24"/>
        </w:rPr>
        <w:t>12,387,000</w:t>
      </w:r>
      <w:r w:rsidRPr="008F4BDA">
        <w:rPr>
          <w:rFonts w:ascii="Times New Roman" w:hAnsi="Times New Roman"/>
          <w:sz w:val="24"/>
        </w:rPr>
        <w:t xml:space="preserve"> (</w:t>
      </w:r>
      <w:r w:rsidR="00ED6381">
        <w:rPr>
          <w:rFonts w:ascii="Times New Roman" w:hAnsi="Times New Roman"/>
          <w:sz w:val="24"/>
        </w:rPr>
        <w:t>445,583</w:t>
      </w:r>
      <w:r w:rsidRPr="008F4BDA">
        <w:rPr>
          <w:rFonts w:ascii="Times New Roman" w:hAnsi="Times New Roman"/>
          <w:sz w:val="24"/>
        </w:rPr>
        <w:t xml:space="preserve"> CMVs × $27.80 per vehicle).  The total cost for all categories of freight-carrying motor carriers is </w:t>
      </w:r>
      <w:r w:rsidRPr="008F4BDA">
        <w:rPr>
          <w:rFonts w:ascii="Times New Roman" w:hAnsi="Times New Roman"/>
          <w:b/>
          <w:sz w:val="24"/>
        </w:rPr>
        <w:t>$</w:t>
      </w:r>
      <w:r w:rsidR="003F4F14">
        <w:rPr>
          <w:rFonts w:ascii="Times New Roman" w:hAnsi="Times New Roman"/>
          <w:b/>
          <w:sz w:val="24"/>
        </w:rPr>
        <w:t>28,340,000</w:t>
      </w:r>
      <w:r w:rsidR="008416D1">
        <w:rPr>
          <w:rFonts w:ascii="Times New Roman" w:hAnsi="Times New Roman"/>
          <w:b/>
          <w:sz w:val="24"/>
        </w:rPr>
        <w:t xml:space="preserve"> </w:t>
      </w:r>
      <w:r w:rsidRPr="008F4BDA">
        <w:rPr>
          <w:rFonts w:ascii="Times New Roman" w:hAnsi="Times New Roman"/>
          <w:b/>
          <w:sz w:val="24"/>
        </w:rPr>
        <w:t>per year</w:t>
      </w:r>
      <w:r w:rsidRPr="008F4BDA">
        <w:rPr>
          <w:rFonts w:ascii="Times New Roman" w:hAnsi="Times New Roman"/>
          <w:sz w:val="24"/>
        </w:rPr>
        <w:t>.  Table 6 presents this information.</w:t>
      </w:r>
    </w:p>
    <w:p w14:paraId="4DECE64A" w14:textId="77777777" w:rsidR="008F4BDA" w:rsidRDefault="008F4BDA" w:rsidP="004203CB">
      <w:pPr>
        <w:widowControl/>
        <w:tabs>
          <w:tab w:val="left" w:pos="360"/>
        </w:tabs>
        <w:ind w:left="360"/>
        <w:rPr>
          <w:rFonts w:ascii="Times New Roman" w:hAnsi="Times New Roman"/>
          <w:sz w:val="24"/>
        </w:rPr>
      </w:pPr>
    </w:p>
    <w:p w14:paraId="2B05E7AA" w14:textId="77777777" w:rsidR="009C2D8C" w:rsidRPr="00097B2B" w:rsidRDefault="009C2D8C" w:rsidP="004203CB">
      <w:pPr>
        <w:widowControl/>
        <w:tabs>
          <w:tab w:val="left" w:pos="360"/>
        </w:tabs>
        <w:ind w:left="360"/>
        <w:rPr>
          <w:rFonts w:ascii="Times New Roman" w:hAnsi="Times New Roman"/>
          <w:sz w:val="24"/>
          <w:szCs w:val="24"/>
        </w:rPr>
      </w:pPr>
    </w:p>
    <w:p w14:paraId="2A39694E" w14:textId="77777777" w:rsidR="00832C97" w:rsidRDefault="00832C97" w:rsidP="004203CB">
      <w:pPr>
        <w:widowControl/>
        <w:tabs>
          <w:tab w:val="left" w:pos="360"/>
        </w:tabs>
        <w:spacing w:after="200"/>
        <w:ind w:left="360"/>
        <w:jc w:val="center"/>
        <w:rPr>
          <w:rFonts w:ascii="Times New Roman" w:hAnsi="Times New Roman"/>
          <w:b/>
          <w:sz w:val="24"/>
          <w:szCs w:val="24"/>
        </w:rPr>
      </w:pPr>
    </w:p>
    <w:p w14:paraId="77898CA1" w14:textId="77777777" w:rsidR="00832C97" w:rsidRDefault="00832C97" w:rsidP="004203CB">
      <w:pPr>
        <w:widowControl/>
        <w:tabs>
          <w:tab w:val="left" w:pos="360"/>
        </w:tabs>
        <w:spacing w:after="200"/>
        <w:ind w:left="360"/>
        <w:jc w:val="center"/>
        <w:rPr>
          <w:rFonts w:ascii="Times New Roman" w:hAnsi="Times New Roman"/>
          <w:b/>
          <w:sz w:val="24"/>
          <w:szCs w:val="24"/>
        </w:rPr>
      </w:pPr>
    </w:p>
    <w:p w14:paraId="72E4FEA3" w14:textId="77777777" w:rsidR="00832C97" w:rsidRDefault="00832C97" w:rsidP="004203CB">
      <w:pPr>
        <w:widowControl/>
        <w:tabs>
          <w:tab w:val="left" w:pos="360"/>
        </w:tabs>
        <w:spacing w:after="200"/>
        <w:ind w:left="360"/>
        <w:jc w:val="center"/>
        <w:rPr>
          <w:rFonts w:ascii="Times New Roman" w:hAnsi="Times New Roman"/>
          <w:b/>
          <w:sz w:val="24"/>
          <w:szCs w:val="24"/>
        </w:rPr>
      </w:pPr>
    </w:p>
    <w:p w14:paraId="1C9539E1" w14:textId="77777777" w:rsidR="008F4BDA" w:rsidRPr="00630149" w:rsidRDefault="008F4BDA" w:rsidP="004203CB">
      <w:pPr>
        <w:widowControl/>
        <w:tabs>
          <w:tab w:val="left" w:pos="360"/>
        </w:tabs>
        <w:spacing w:after="200"/>
        <w:ind w:left="360"/>
        <w:jc w:val="center"/>
        <w:rPr>
          <w:rFonts w:ascii="Times New Roman" w:hAnsi="Times New Roman"/>
          <w:b/>
          <w:sz w:val="24"/>
          <w:szCs w:val="24"/>
        </w:rPr>
      </w:pPr>
      <w:proofErr w:type="gramStart"/>
      <w:r w:rsidRPr="00630149">
        <w:rPr>
          <w:rFonts w:ascii="Times New Roman" w:hAnsi="Times New Roman"/>
          <w:b/>
          <w:sz w:val="24"/>
          <w:szCs w:val="24"/>
        </w:rPr>
        <w:lastRenderedPageBreak/>
        <w:t>Table 6.</w:t>
      </w:r>
      <w:proofErr w:type="gramEnd"/>
      <w:r w:rsidRPr="00630149">
        <w:rPr>
          <w:rFonts w:ascii="Times New Roman" w:hAnsi="Times New Roman"/>
          <w:b/>
          <w:sz w:val="24"/>
          <w:szCs w:val="24"/>
        </w:rPr>
        <w:t xml:space="preserve"> Total Material Cost to Freight Carriers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1935"/>
        <w:gridCol w:w="2641"/>
        <w:gridCol w:w="1416"/>
      </w:tblGrid>
      <w:tr w:rsidR="0088384F" w:rsidRPr="00097B2B" w14:paraId="0152CD8C" w14:textId="77777777" w:rsidTr="00C90EF5">
        <w:trPr>
          <w:cantSplit/>
          <w:trHeight w:hRule="exact" w:val="570"/>
          <w:jc w:val="center"/>
        </w:trPr>
        <w:tc>
          <w:tcPr>
            <w:tcW w:w="0" w:type="auto"/>
            <w:tcBorders>
              <w:top w:val="single" w:sz="18" w:space="0" w:color="auto"/>
              <w:left w:val="single" w:sz="18" w:space="0" w:color="auto"/>
            </w:tcBorders>
            <w:shd w:val="clear" w:color="auto" w:fill="D9D9D9"/>
            <w:vAlign w:val="center"/>
            <w:hideMark/>
          </w:tcPr>
          <w:p w14:paraId="23DA2D67"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 xml:space="preserve">   Carrier Size</w:t>
            </w:r>
          </w:p>
        </w:tc>
        <w:tc>
          <w:tcPr>
            <w:tcW w:w="0" w:type="auto"/>
            <w:tcBorders>
              <w:top w:val="single" w:sz="18" w:space="0" w:color="auto"/>
            </w:tcBorders>
            <w:shd w:val="clear" w:color="auto" w:fill="D9D9D9"/>
            <w:vAlign w:val="center"/>
            <w:hideMark/>
          </w:tcPr>
          <w:p w14:paraId="040C98E5"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Number of CMVs</w:t>
            </w:r>
          </w:p>
        </w:tc>
        <w:tc>
          <w:tcPr>
            <w:tcW w:w="0" w:type="auto"/>
            <w:tcBorders>
              <w:top w:val="single" w:sz="18" w:space="0" w:color="auto"/>
            </w:tcBorders>
            <w:shd w:val="clear" w:color="auto" w:fill="D9D9D9"/>
            <w:vAlign w:val="center"/>
            <w:hideMark/>
          </w:tcPr>
          <w:p w14:paraId="72523FD0"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Material Cost per Vehicle</w:t>
            </w:r>
          </w:p>
        </w:tc>
        <w:tc>
          <w:tcPr>
            <w:tcW w:w="0" w:type="auto"/>
            <w:tcBorders>
              <w:top w:val="single" w:sz="18" w:space="0" w:color="auto"/>
              <w:bottom w:val="single" w:sz="18" w:space="0" w:color="auto"/>
              <w:right w:val="single" w:sz="18" w:space="0" w:color="auto"/>
            </w:tcBorders>
            <w:shd w:val="clear" w:color="auto" w:fill="D9D9D9"/>
            <w:vAlign w:val="center"/>
            <w:hideMark/>
          </w:tcPr>
          <w:p w14:paraId="5866F85C" w14:textId="77777777" w:rsidR="008F4BDA" w:rsidRPr="00630149" w:rsidRDefault="008F4BDA"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Total Cost</w:t>
            </w:r>
          </w:p>
        </w:tc>
      </w:tr>
      <w:tr w:rsidR="0088384F" w:rsidRPr="00097B2B" w14:paraId="0C8F947A" w14:textId="77777777" w:rsidTr="0050516F">
        <w:trPr>
          <w:cantSplit/>
          <w:trHeight w:hRule="exact" w:val="300"/>
          <w:jc w:val="center"/>
        </w:trPr>
        <w:tc>
          <w:tcPr>
            <w:tcW w:w="0" w:type="auto"/>
            <w:tcBorders>
              <w:top w:val="single" w:sz="18" w:space="0" w:color="auto"/>
              <w:left w:val="single" w:sz="18" w:space="0" w:color="auto"/>
            </w:tcBorders>
            <w:shd w:val="clear" w:color="auto" w:fill="auto"/>
            <w:vAlign w:val="center"/>
            <w:hideMark/>
          </w:tcPr>
          <w:p w14:paraId="60A42B74" w14:textId="70348B3F" w:rsidR="0050516F" w:rsidRPr="00630149" w:rsidRDefault="0050516F"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1-6</w:t>
            </w:r>
          </w:p>
        </w:tc>
        <w:tc>
          <w:tcPr>
            <w:tcW w:w="0" w:type="auto"/>
            <w:tcBorders>
              <w:top w:val="single" w:sz="18" w:space="0" w:color="auto"/>
            </w:tcBorders>
            <w:shd w:val="clear" w:color="auto" w:fill="auto"/>
            <w:noWrap/>
            <w:vAlign w:val="center"/>
            <w:hideMark/>
          </w:tcPr>
          <w:p w14:paraId="1523F8CE" w14:textId="0129F990" w:rsidR="0050516F" w:rsidRPr="00630149" w:rsidRDefault="002708FC"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2"/>
                <w:szCs w:val="22"/>
              </w:rPr>
              <w:t>455,109</w:t>
            </w:r>
          </w:p>
        </w:tc>
        <w:tc>
          <w:tcPr>
            <w:tcW w:w="0" w:type="auto"/>
            <w:tcBorders>
              <w:top w:val="single" w:sz="18" w:space="0" w:color="auto"/>
            </w:tcBorders>
            <w:shd w:val="clear" w:color="auto" w:fill="auto"/>
            <w:vAlign w:val="center"/>
            <w:hideMark/>
          </w:tcPr>
          <w:p w14:paraId="200CB8DA" w14:textId="2ACEE9B9" w:rsidR="0050516F" w:rsidRPr="00630149" w:rsidRDefault="0050516F"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$27.80</w:t>
            </w:r>
          </w:p>
        </w:tc>
        <w:tc>
          <w:tcPr>
            <w:tcW w:w="0" w:type="auto"/>
            <w:tcBorders>
              <w:top w:val="single" w:sz="18" w:space="0" w:color="auto"/>
              <w:right w:val="single" w:sz="18" w:space="0" w:color="auto"/>
            </w:tcBorders>
            <w:shd w:val="clear" w:color="auto" w:fill="auto"/>
            <w:noWrap/>
            <w:vAlign w:val="center"/>
          </w:tcPr>
          <w:p w14:paraId="231C37A6" w14:textId="4257BFA3" w:rsidR="0050516F" w:rsidRPr="00630149" w:rsidRDefault="0050516F" w:rsidP="0088384F">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w:t>
            </w:r>
            <w:r w:rsidR="0088384F">
              <w:rPr>
                <w:rFonts w:ascii="Times New Roman" w:hAnsi="Times New Roman"/>
                <w:color w:val="000000"/>
                <w:sz w:val="24"/>
                <w:szCs w:val="24"/>
              </w:rPr>
              <w:t>12,652,000</w:t>
            </w:r>
          </w:p>
        </w:tc>
      </w:tr>
      <w:tr w:rsidR="0088384F" w:rsidRPr="00097B2B" w14:paraId="2BB04AF1" w14:textId="77777777" w:rsidTr="0050516F">
        <w:trPr>
          <w:cantSplit/>
          <w:trHeight w:hRule="exact" w:val="300"/>
          <w:jc w:val="center"/>
        </w:trPr>
        <w:tc>
          <w:tcPr>
            <w:tcW w:w="0" w:type="auto"/>
            <w:tcBorders>
              <w:left w:val="single" w:sz="18" w:space="0" w:color="auto"/>
            </w:tcBorders>
            <w:shd w:val="clear" w:color="auto" w:fill="auto"/>
            <w:vAlign w:val="center"/>
            <w:hideMark/>
          </w:tcPr>
          <w:p w14:paraId="7B3FD67F" w14:textId="77777777" w:rsidR="0050516F" w:rsidRPr="00630149" w:rsidRDefault="0050516F"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7-19</w:t>
            </w:r>
          </w:p>
        </w:tc>
        <w:tc>
          <w:tcPr>
            <w:tcW w:w="0" w:type="auto"/>
            <w:shd w:val="clear" w:color="auto" w:fill="auto"/>
            <w:noWrap/>
            <w:vAlign w:val="center"/>
            <w:hideMark/>
          </w:tcPr>
          <w:p w14:paraId="5B14BF98" w14:textId="3B5F9E24" w:rsidR="0050516F" w:rsidRPr="00630149" w:rsidRDefault="002708FC"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2"/>
                <w:szCs w:val="22"/>
              </w:rPr>
              <w:t>263,002</w:t>
            </w:r>
          </w:p>
        </w:tc>
        <w:tc>
          <w:tcPr>
            <w:tcW w:w="0" w:type="auto"/>
            <w:shd w:val="clear" w:color="auto" w:fill="auto"/>
            <w:vAlign w:val="center"/>
            <w:hideMark/>
          </w:tcPr>
          <w:p w14:paraId="460714FE" w14:textId="5EE91F05" w:rsidR="0050516F" w:rsidRPr="00630149" w:rsidRDefault="0050516F"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$20.80</w:t>
            </w:r>
          </w:p>
        </w:tc>
        <w:tc>
          <w:tcPr>
            <w:tcW w:w="0" w:type="auto"/>
            <w:tcBorders>
              <w:right w:val="single" w:sz="18" w:space="0" w:color="auto"/>
            </w:tcBorders>
            <w:shd w:val="clear" w:color="auto" w:fill="auto"/>
            <w:noWrap/>
            <w:vAlign w:val="center"/>
          </w:tcPr>
          <w:p w14:paraId="18BD27E5" w14:textId="5E42ACC8" w:rsidR="0050516F" w:rsidRPr="00630149" w:rsidRDefault="0050516F"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w:t>
            </w:r>
            <w:r w:rsidR="0088384F">
              <w:rPr>
                <w:rFonts w:ascii="Times New Roman" w:hAnsi="Times New Roman"/>
                <w:color w:val="000000"/>
                <w:sz w:val="24"/>
                <w:szCs w:val="24"/>
              </w:rPr>
              <w:t>5,470,000</w:t>
            </w:r>
          </w:p>
        </w:tc>
      </w:tr>
      <w:tr w:rsidR="0088384F" w:rsidRPr="00097B2B" w14:paraId="751ACC41" w14:textId="77777777" w:rsidTr="0050516F">
        <w:trPr>
          <w:cantSplit/>
          <w:trHeight w:hRule="exact" w:val="300"/>
          <w:jc w:val="center"/>
        </w:trPr>
        <w:tc>
          <w:tcPr>
            <w:tcW w:w="0" w:type="auto"/>
            <w:tcBorders>
              <w:left w:val="single" w:sz="18" w:space="0" w:color="auto"/>
            </w:tcBorders>
            <w:shd w:val="clear" w:color="auto" w:fill="auto"/>
            <w:vAlign w:val="center"/>
            <w:hideMark/>
          </w:tcPr>
          <w:p w14:paraId="2537D5B8" w14:textId="77777777" w:rsidR="0050516F" w:rsidRPr="00630149" w:rsidRDefault="0050516F"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20-99</w:t>
            </w:r>
          </w:p>
        </w:tc>
        <w:tc>
          <w:tcPr>
            <w:tcW w:w="0" w:type="auto"/>
            <w:shd w:val="clear" w:color="auto" w:fill="auto"/>
            <w:noWrap/>
            <w:vAlign w:val="center"/>
            <w:hideMark/>
          </w:tcPr>
          <w:p w14:paraId="6A0EC956" w14:textId="3EEB6F77" w:rsidR="0050516F" w:rsidRPr="00630149" w:rsidRDefault="002708FC"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2"/>
                <w:szCs w:val="22"/>
              </w:rPr>
              <w:t>375,756</w:t>
            </w:r>
          </w:p>
        </w:tc>
        <w:tc>
          <w:tcPr>
            <w:tcW w:w="0" w:type="auto"/>
            <w:shd w:val="clear" w:color="auto" w:fill="auto"/>
            <w:vAlign w:val="center"/>
            <w:hideMark/>
          </w:tcPr>
          <w:p w14:paraId="544ECBBF" w14:textId="3057E13A" w:rsidR="0050516F" w:rsidRPr="00630149" w:rsidRDefault="0050516F"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$13.80</w:t>
            </w:r>
          </w:p>
        </w:tc>
        <w:tc>
          <w:tcPr>
            <w:tcW w:w="0" w:type="auto"/>
            <w:tcBorders>
              <w:right w:val="single" w:sz="18" w:space="0" w:color="auto"/>
            </w:tcBorders>
            <w:shd w:val="clear" w:color="auto" w:fill="auto"/>
            <w:noWrap/>
            <w:vAlign w:val="center"/>
          </w:tcPr>
          <w:p w14:paraId="6DEB409D" w14:textId="691FF6E7" w:rsidR="0050516F" w:rsidRPr="00630149" w:rsidRDefault="0050516F"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w:t>
            </w:r>
            <w:r w:rsidR="0088384F">
              <w:rPr>
                <w:rFonts w:ascii="Times New Roman" w:hAnsi="Times New Roman"/>
                <w:color w:val="000000"/>
                <w:sz w:val="24"/>
                <w:szCs w:val="24"/>
              </w:rPr>
              <w:t>5,185,000</w:t>
            </w:r>
          </w:p>
        </w:tc>
      </w:tr>
      <w:tr w:rsidR="0088384F" w:rsidRPr="00097B2B" w14:paraId="5D3EB626" w14:textId="77777777" w:rsidTr="0050516F">
        <w:trPr>
          <w:cantSplit/>
          <w:trHeight w:hRule="exact" w:val="300"/>
          <w:jc w:val="center"/>
        </w:trPr>
        <w:tc>
          <w:tcPr>
            <w:tcW w:w="0" w:type="auto"/>
            <w:tcBorders>
              <w:left w:val="single" w:sz="18" w:space="0" w:color="auto"/>
            </w:tcBorders>
            <w:shd w:val="clear" w:color="auto" w:fill="auto"/>
            <w:vAlign w:val="center"/>
            <w:hideMark/>
          </w:tcPr>
          <w:p w14:paraId="201AD852" w14:textId="77777777" w:rsidR="0050516F" w:rsidRPr="00630149" w:rsidRDefault="0050516F"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100+</w:t>
            </w:r>
          </w:p>
        </w:tc>
        <w:tc>
          <w:tcPr>
            <w:tcW w:w="0" w:type="auto"/>
            <w:shd w:val="clear" w:color="auto" w:fill="auto"/>
            <w:noWrap/>
            <w:vAlign w:val="center"/>
            <w:hideMark/>
          </w:tcPr>
          <w:p w14:paraId="40E97B42" w14:textId="0A4FF17C" w:rsidR="0050516F" w:rsidRPr="00630149" w:rsidRDefault="002708FC"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2"/>
                <w:szCs w:val="22"/>
              </w:rPr>
              <w:t>817,133</w:t>
            </w:r>
          </w:p>
        </w:tc>
        <w:tc>
          <w:tcPr>
            <w:tcW w:w="0" w:type="auto"/>
            <w:shd w:val="clear" w:color="auto" w:fill="auto"/>
            <w:vAlign w:val="center"/>
            <w:hideMark/>
          </w:tcPr>
          <w:p w14:paraId="582A7907" w14:textId="366842D1" w:rsidR="0050516F" w:rsidRPr="00630149" w:rsidRDefault="0050516F" w:rsidP="004203CB">
            <w:pPr>
              <w:widowControl/>
              <w:autoSpaceDE/>
              <w:autoSpaceDN/>
              <w:adjustRightInd/>
              <w:jc w:val="center"/>
              <w:rPr>
                <w:rFonts w:ascii="Times New Roman" w:hAnsi="Times New Roman"/>
                <w:color w:val="000000"/>
                <w:sz w:val="24"/>
                <w:szCs w:val="24"/>
              </w:rPr>
            </w:pPr>
            <w:r w:rsidRPr="00630149">
              <w:rPr>
                <w:rFonts w:ascii="Times New Roman" w:hAnsi="Times New Roman"/>
                <w:color w:val="000000"/>
                <w:sz w:val="24"/>
                <w:szCs w:val="24"/>
              </w:rPr>
              <w:t>$6.90</w:t>
            </w:r>
          </w:p>
        </w:tc>
        <w:tc>
          <w:tcPr>
            <w:tcW w:w="0" w:type="auto"/>
            <w:tcBorders>
              <w:right w:val="single" w:sz="18" w:space="0" w:color="auto"/>
            </w:tcBorders>
            <w:shd w:val="clear" w:color="auto" w:fill="auto"/>
            <w:noWrap/>
            <w:vAlign w:val="center"/>
          </w:tcPr>
          <w:p w14:paraId="7071EA84" w14:textId="37EFD54C" w:rsidR="0050516F" w:rsidRPr="00630149" w:rsidRDefault="0050516F" w:rsidP="004203CB">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w:t>
            </w:r>
            <w:r w:rsidR="0088384F">
              <w:rPr>
                <w:rFonts w:ascii="Times New Roman" w:hAnsi="Times New Roman"/>
                <w:color w:val="000000"/>
                <w:sz w:val="24"/>
                <w:szCs w:val="24"/>
              </w:rPr>
              <w:t>5,638,000</w:t>
            </w:r>
          </w:p>
        </w:tc>
      </w:tr>
      <w:tr w:rsidR="0088384F" w:rsidRPr="00097B2B" w14:paraId="597D93E3" w14:textId="77777777" w:rsidTr="005C3701">
        <w:trPr>
          <w:cantSplit/>
          <w:trHeight w:hRule="exact" w:val="667"/>
          <w:jc w:val="center"/>
        </w:trPr>
        <w:tc>
          <w:tcPr>
            <w:tcW w:w="0" w:type="auto"/>
            <w:tcBorders>
              <w:left w:val="single" w:sz="18" w:space="0" w:color="auto"/>
              <w:bottom w:val="single" w:sz="18" w:space="0" w:color="auto"/>
            </w:tcBorders>
            <w:shd w:val="clear" w:color="auto" w:fill="auto"/>
            <w:vAlign w:val="center"/>
            <w:hideMark/>
          </w:tcPr>
          <w:p w14:paraId="49DEB4BC" w14:textId="7B1FDC04" w:rsidR="0050516F" w:rsidRPr="00630149" w:rsidRDefault="0050516F" w:rsidP="004203CB">
            <w:pPr>
              <w:widowControl/>
              <w:autoSpaceDE/>
              <w:autoSpaceDN/>
              <w:adjustRightInd/>
              <w:jc w:val="center"/>
              <w:rPr>
                <w:rFonts w:ascii="Times New Roman" w:hAnsi="Times New Roman"/>
                <w:b/>
                <w:bCs/>
                <w:color w:val="000000"/>
                <w:sz w:val="24"/>
                <w:szCs w:val="24"/>
              </w:rPr>
            </w:pPr>
            <w:r w:rsidRPr="00630149">
              <w:rPr>
                <w:rFonts w:ascii="Times New Roman" w:hAnsi="Times New Roman"/>
                <w:b/>
                <w:bCs/>
                <w:color w:val="000000"/>
                <w:sz w:val="24"/>
                <w:szCs w:val="24"/>
              </w:rPr>
              <w:t>Total (rounded to nearest thousand)</w:t>
            </w:r>
          </w:p>
        </w:tc>
        <w:tc>
          <w:tcPr>
            <w:tcW w:w="0" w:type="auto"/>
            <w:tcBorders>
              <w:bottom w:val="single" w:sz="18" w:space="0" w:color="auto"/>
            </w:tcBorders>
            <w:shd w:val="clear" w:color="auto" w:fill="auto"/>
            <w:noWrap/>
            <w:vAlign w:val="center"/>
            <w:hideMark/>
          </w:tcPr>
          <w:p w14:paraId="7FC85D78" w14:textId="06D6A7BE" w:rsidR="0050516F" w:rsidRPr="00630149" w:rsidRDefault="0088384F" w:rsidP="004203CB">
            <w:pPr>
              <w:widowControl/>
              <w:autoSpaceDE/>
              <w:autoSpaceDN/>
              <w:adjustRightInd/>
              <w:jc w:val="center"/>
              <w:rPr>
                <w:rFonts w:ascii="Times New Roman" w:hAnsi="Times New Roman"/>
                <w:b/>
                <w:bCs/>
                <w:color w:val="000000"/>
                <w:sz w:val="24"/>
                <w:szCs w:val="24"/>
              </w:rPr>
            </w:pPr>
            <w:r>
              <w:rPr>
                <w:rFonts w:ascii="Times New Roman" w:hAnsi="Times New Roman"/>
                <w:b/>
                <w:bCs/>
                <w:color w:val="000000"/>
                <w:sz w:val="22"/>
                <w:szCs w:val="22"/>
              </w:rPr>
              <w:t>1,911,000</w:t>
            </w:r>
            <w:r w:rsidR="0050516F" w:rsidRPr="008F4BDA">
              <w:rPr>
                <w:rFonts w:ascii="Times New Roman" w:hAnsi="Times New Roman"/>
                <w:b/>
                <w:bCs/>
                <w:color w:val="000000"/>
                <w:sz w:val="22"/>
                <w:szCs w:val="22"/>
              </w:rPr>
              <w:t xml:space="preserve"> </w:t>
            </w:r>
          </w:p>
        </w:tc>
        <w:tc>
          <w:tcPr>
            <w:tcW w:w="0" w:type="auto"/>
            <w:tcBorders>
              <w:bottom w:val="single" w:sz="18" w:space="0" w:color="auto"/>
            </w:tcBorders>
            <w:shd w:val="clear" w:color="auto" w:fill="auto"/>
            <w:noWrap/>
            <w:vAlign w:val="center"/>
            <w:hideMark/>
          </w:tcPr>
          <w:p w14:paraId="44B6C83E" w14:textId="73EEE73F" w:rsidR="0050516F" w:rsidRPr="00630149" w:rsidRDefault="0050516F" w:rsidP="004203CB">
            <w:pPr>
              <w:widowControl/>
              <w:autoSpaceDE/>
              <w:autoSpaceDN/>
              <w:adjustRightInd/>
              <w:jc w:val="center"/>
              <w:rPr>
                <w:rFonts w:ascii="Times New Roman" w:hAnsi="Times New Roman"/>
                <w:color w:val="000000"/>
                <w:sz w:val="24"/>
                <w:szCs w:val="24"/>
              </w:rPr>
            </w:pPr>
          </w:p>
        </w:tc>
        <w:tc>
          <w:tcPr>
            <w:tcW w:w="0" w:type="auto"/>
            <w:tcBorders>
              <w:bottom w:val="single" w:sz="18" w:space="0" w:color="auto"/>
              <w:right w:val="single" w:sz="18" w:space="0" w:color="auto"/>
            </w:tcBorders>
            <w:shd w:val="clear" w:color="auto" w:fill="auto"/>
            <w:noWrap/>
            <w:vAlign w:val="center"/>
            <w:hideMark/>
          </w:tcPr>
          <w:p w14:paraId="332CD1E9" w14:textId="73EDE369" w:rsidR="0050516F" w:rsidRPr="00630149" w:rsidRDefault="0050516F" w:rsidP="0088384F">
            <w:pPr>
              <w:widowControl/>
              <w:autoSpaceDE/>
              <w:autoSpaceDN/>
              <w:adjustRightInd/>
              <w:jc w:val="center"/>
              <w:rPr>
                <w:rFonts w:ascii="Times New Roman" w:hAnsi="Times New Roman"/>
                <w:b/>
                <w:bCs/>
                <w:color w:val="000000"/>
                <w:sz w:val="24"/>
                <w:szCs w:val="24"/>
              </w:rPr>
            </w:pPr>
            <w:r w:rsidRPr="00630149">
              <w:rPr>
                <w:rFonts w:ascii="Times New Roman" w:hAnsi="Times New Roman"/>
                <w:b/>
                <w:sz w:val="24"/>
                <w:szCs w:val="24"/>
              </w:rPr>
              <w:t>$</w:t>
            </w:r>
            <w:r w:rsidR="0088384F">
              <w:rPr>
                <w:rFonts w:ascii="Times New Roman" w:hAnsi="Times New Roman"/>
                <w:b/>
                <w:sz w:val="24"/>
                <w:szCs w:val="24"/>
              </w:rPr>
              <w:t>28,945,000</w:t>
            </w:r>
          </w:p>
        </w:tc>
      </w:tr>
    </w:tbl>
    <w:p w14:paraId="419F46CD" w14:textId="77777777" w:rsidR="008F4BDA" w:rsidRPr="008F4BDA" w:rsidRDefault="008F4BDA" w:rsidP="004203CB">
      <w:pPr>
        <w:widowControl/>
        <w:tabs>
          <w:tab w:val="left" w:pos="360"/>
        </w:tabs>
        <w:ind w:left="360"/>
        <w:rPr>
          <w:rFonts w:ascii="Times New Roman" w:hAnsi="Times New Roman"/>
          <w:sz w:val="24"/>
        </w:rPr>
      </w:pPr>
    </w:p>
    <w:p w14:paraId="166C106D" w14:textId="77777777" w:rsidR="008F4BDA" w:rsidRPr="008F4BDA" w:rsidRDefault="008F4BDA" w:rsidP="004203CB">
      <w:pPr>
        <w:widowControl/>
        <w:numPr>
          <w:ilvl w:val="0"/>
          <w:numId w:val="36"/>
        </w:numPr>
        <w:tabs>
          <w:tab w:val="left" w:pos="360"/>
        </w:tabs>
        <w:rPr>
          <w:rFonts w:ascii="Times New Roman" w:hAnsi="Times New Roman"/>
          <w:sz w:val="24"/>
        </w:rPr>
      </w:pPr>
      <w:r w:rsidRPr="008F4BDA">
        <w:rPr>
          <w:rFonts w:ascii="Times New Roman" w:hAnsi="Times New Roman"/>
          <w:sz w:val="24"/>
        </w:rPr>
        <w:t>Passenger-carrying commercial motor carriers.</w:t>
      </w:r>
    </w:p>
    <w:p w14:paraId="4ABED2EE" w14:textId="77777777" w:rsidR="008F4BDA" w:rsidRPr="008F4BDA" w:rsidRDefault="008F4BDA" w:rsidP="004203CB">
      <w:pPr>
        <w:widowControl/>
        <w:ind w:left="720"/>
        <w:rPr>
          <w:rFonts w:ascii="Times New Roman" w:hAnsi="Times New Roman"/>
        </w:rPr>
      </w:pPr>
    </w:p>
    <w:p w14:paraId="15AECA2F" w14:textId="217D4A49" w:rsidR="008F4BDA" w:rsidRPr="008F4BDA" w:rsidRDefault="008F4BDA" w:rsidP="004203CB">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 majority of interstate passenger carriers are small entities with an average fleet of </w:t>
      </w:r>
      <w:r w:rsidR="00A11738">
        <w:rPr>
          <w:rFonts w:ascii="Times New Roman" w:hAnsi="Times New Roman"/>
          <w:sz w:val="24"/>
          <w:szCs w:val="24"/>
        </w:rPr>
        <w:t>6.6</w:t>
      </w:r>
      <w:r w:rsidR="00A11738" w:rsidRPr="008F4BDA">
        <w:rPr>
          <w:rFonts w:ascii="Times New Roman" w:hAnsi="Times New Roman"/>
          <w:sz w:val="24"/>
          <w:szCs w:val="24"/>
        </w:rPr>
        <w:t xml:space="preserve"> </w:t>
      </w:r>
      <w:r w:rsidRPr="008F4BDA">
        <w:rPr>
          <w:rFonts w:ascii="Times New Roman" w:hAnsi="Times New Roman"/>
          <w:sz w:val="24"/>
          <w:szCs w:val="24"/>
        </w:rPr>
        <w:t>CMVs. As stated above, the majority (90 percent) of CMVs of passenger carriers are owned by their operators.  Those CMVs are assumed to be permanently marked.  The estimated cost per vehicle of such marking is stated in Table 7.  Consequently, the average cost of marking per passenger carrier is $</w:t>
      </w:r>
      <w:r w:rsidR="005D3807">
        <w:rPr>
          <w:rFonts w:ascii="Times New Roman" w:hAnsi="Times New Roman"/>
          <w:sz w:val="24"/>
          <w:szCs w:val="24"/>
        </w:rPr>
        <w:t>183</w:t>
      </w:r>
      <w:r w:rsidR="0071145E">
        <w:rPr>
          <w:rFonts w:ascii="Times New Roman" w:hAnsi="Times New Roman"/>
          <w:sz w:val="24"/>
          <w:szCs w:val="24"/>
        </w:rPr>
        <w:t>.48</w:t>
      </w:r>
      <w:r w:rsidRPr="008F4BDA">
        <w:rPr>
          <w:rFonts w:ascii="Times New Roman" w:hAnsi="Times New Roman"/>
          <w:sz w:val="24"/>
          <w:szCs w:val="24"/>
          <w:vertAlign w:val="superscript"/>
        </w:rPr>
        <w:footnoteReference w:id="13"/>
      </w:r>
      <w:r w:rsidR="00526EEB">
        <w:rPr>
          <w:rFonts w:ascii="Times New Roman" w:hAnsi="Times New Roman"/>
          <w:sz w:val="24"/>
          <w:szCs w:val="24"/>
        </w:rPr>
        <w:t xml:space="preserve"> </w:t>
      </w:r>
      <w:r w:rsidR="00D47360">
        <w:rPr>
          <w:rFonts w:ascii="Times New Roman" w:hAnsi="Times New Roman"/>
          <w:sz w:val="24"/>
          <w:szCs w:val="24"/>
        </w:rPr>
        <w:t xml:space="preserve">($183.48 = ($11.10 + $16.70) </w:t>
      </w:r>
      <w:r w:rsidR="005818B8">
        <w:rPr>
          <w:rFonts w:ascii="Times New Roman" w:hAnsi="Times New Roman"/>
          <w:sz w:val="24"/>
          <w:szCs w:val="24"/>
        </w:rPr>
        <w:t>×</w:t>
      </w:r>
      <w:r w:rsidR="00D47360">
        <w:rPr>
          <w:rFonts w:ascii="Times New Roman" w:hAnsi="Times New Roman"/>
          <w:sz w:val="24"/>
          <w:szCs w:val="24"/>
        </w:rPr>
        <w:t xml:space="preserve"> </w:t>
      </w:r>
      <w:r w:rsidR="00526EEB">
        <w:rPr>
          <w:rFonts w:ascii="Times New Roman" w:hAnsi="Times New Roman"/>
          <w:sz w:val="24"/>
          <w:szCs w:val="24"/>
        </w:rPr>
        <w:t>6.6).</w:t>
      </w:r>
    </w:p>
    <w:p w14:paraId="6D8F18C1" w14:textId="77777777" w:rsidR="008F4BDA" w:rsidRPr="008F4BDA" w:rsidRDefault="008F4BDA" w:rsidP="004203CB">
      <w:pPr>
        <w:widowControl/>
        <w:ind w:left="720" w:firstLine="720"/>
        <w:rPr>
          <w:rFonts w:ascii="Times New Roman" w:hAnsi="Times New Roman"/>
        </w:rPr>
      </w:pPr>
    </w:p>
    <w:p w14:paraId="25B5A059" w14:textId="0AF0D2B1" w:rsidR="008F4BDA" w:rsidRPr="004203CB" w:rsidRDefault="008F4BDA" w:rsidP="004203CB">
      <w:pPr>
        <w:keepNext/>
        <w:widowControl/>
        <w:tabs>
          <w:tab w:val="left" w:pos="360"/>
        </w:tabs>
        <w:spacing w:after="200"/>
        <w:jc w:val="center"/>
        <w:rPr>
          <w:rFonts w:ascii="Times New Roman" w:eastAsia="Arial Unicode MS" w:hAnsi="Times New Roman"/>
          <w:b/>
          <w:sz w:val="24"/>
          <w:szCs w:val="24"/>
        </w:rPr>
      </w:pPr>
      <w:proofErr w:type="gramStart"/>
      <w:r w:rsidRPr="004203CB">
        <w:rPr>
          <w:rFonts w:ascii="Times New Roman" w:hAnsi="Times New Roman"/>
          <w:b/>
          <w:sz w:val="24"/>
          <w:szCs w:val="24"/>
        </w:rPr>
        <w:t>Table 7.</w:t>
      </w:r>
      <w:proofErr w:type="gramEnd"/>
      <w:r w:rsidRPr="004203CB">
        <w:rPr>
          <w:rFonts w:ascii="Times New Roman" w:hAnsi="Times New Roman"/>
          <w:b/>
          <w:sz w:val="24"/>
          <w:szCs w:val="24"/>
        </w:rPr>
        <w:t xml:space="preserve"> Estimated Marking Cost per </w:t>
      </w:r>
      <w:r w:rsidR="000E6246" w:rsidRPr="004203CB">
        <w:rPr>
          <w:rFonts w:ascii="Times New Roman" w:hAnsi="Times New Roman"/>
          <w:b/>
          <w:sz w:val="24"/>
          <w:szCs w:val="24"/>
        </w:rPr>
        <w:t xml:space="preserve">Passenger-Carrying </w:t>
      </w:r>
      <w:r w:rsidRPr="004203CB">
        <w:rPr>
          <w:rFonts w:ascii="Times New Roman" w:hAnsi="Times New Roman"/>
          <w:b/>
          <w:sz w:val="24"/>
          <w:szCs w:val="24"/>
        </w:rPr>
        <w:t>Carrier</w:t>
      </w:r>
    </w:p>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73"/>
        <w:gridCol w:w="1342"/>
        <w:gridCol w:w="1378"/>
        <w:gridCol w:w="1378"/>
      </w:tblGrid>
      <w:tr w:rsidR="006C7C0F" w:rsidRPr="008F4BDA" w14:paraId="7B5464B0" w14:textId="77777777" w:rsidTr="006C7C0F">
        <w:trPr>
          <w:trHeight w:hRule="exact" w:val="315"/>
          <w:jc w:val="center"/>
        </w:trPr>
        <w:tc>
          <w:tcPr>
            <w:tcW w:w="2787" w:type="dxa"/>
            <w:gridSpan w:val="2"/>
            <w:tcBorders>
              <w:top w:val="single" w:sz="18" w:space="0" w:color="auto"/>
              <w:left w:val="single" w:sz="18" w:space="0" w:color="auto"/>
              <w:bottom w:val="single" w:sz="4" w:space="0" w:color="auto"/>
              <w:right w:val="single" w:sz="18" w:space="0" w:color="auto"/>
            </w:tcBorders>
            <w:shd w:val="clear" w:color="auto" w:fill="D9D9D9"/>
            <w:vAlign w:val="center"/>
            <w:hideMark/>
          </w:tcPr>
          <w:p w14:paraId="43D5301A" w14:textId="77777777" w:rsidR="006C7C0F" w:rsidRPr="008F4BDA" w:rsidRDefault="006C7C0F" w:rsidP="004203CB">
            <w:pPr>
              <w:keepNext/>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Material Cost, per  Vehicle</w:t>
            </w:r>
          </w:p>
        </w:tc>
        <w:tc>
          <w:tcPr>
            <w:tcW w:w="1342" w:type="dxa"/>
            <w:vMerge w:val="restart"/>
            <w:tcBorders>
              <w:top w:val="single" w:sz="18" w:space="0" w:color="auto"/>
              <w:left w:val="single" w:sz="18" w:space="0" w:color="auto"/>
            </w:tcBorders>
            <w:shd w:val="clear" w:color="auto" w:fill="D9D9D9"/>
            <w:vAlign w:val="center"/>
            <w:hideMark/>
          </w:tcPr>
          <w:p w14:paraId="64A33101" w14:textId="71FBD3BC" w:rsidR="006C7C0F" w:rsidRPr="008F4BDA" w:rsidRDefault="006C7C0F"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Vehicle</w:t>
            </w:r>
          </w:p>
        </w:tc>
        <w:tc>
          <w:tcPr>
            <w:tcW w:w="1378" w:type="dxa"/>
            <w:vMerge w:val="restart"/>
            <w:tcBorders>
              <w:top w:val="single" w:sz="18" w:space="0" w:color="auto"/>
            </w:tcBorders>
            <w:shd w:val="clear" w:color="auto" w:fill="D9D9D9"/>
            <w:vAlign w:val="center"/>
          </w:tcPr>
          <w:p w14:paraId="639BF237" w14:textId="77777777" w:rsidR="006C7C0F" w:rsidRPr="008F4BDA" w:rsidRDefault="006C7C0F"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Fleet Size</w:t>
            </w:r>
          </w:p>
        </w:tc>
        <w:tc>
          <w:tcPr>
            <w:tcW w:w="1378" w:type="dxa"/>
            <w:vMerge w:val="restart"/>
            <w:tcBorders>
              <w:top w:val="single" w:sz="18" w:space="0" w:color="auto"/>
              <w:right w:val="single" w:sz="18" w:space="0" w:color="auto"/>
            </w:tcBorders>
            <w:shd w:val="clear" w:color="auto" w:fill="D9D9D9"/>
            <w:vAlign w:val="center"/>
          </w:tcPr>
          <w:p w14:paraId="70A815AC" w14:textId="77777777" w:rsidR="006C7C0F" w:rsidRPr="008F4BDA" w:rsidRDefault="006C7C0F"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per Average Size Carrier per year</w:t>
            </w:r>
          </w:p>
        </w:tc>
      </w:tr>
      <w:tr w:rsidR="006C7C0F" w:rsidRPr="008F4BDA" w14:paraId="00D58CD0" w14:textId="77777777" w:rsidTr="006C7C0F">
        <w:trPr>
          <w:trHeight w:val="630"/>
          <w:jc w:val="center"/>
        </w:trPr>
        <w:tc>
          <w:tcPr>
            <w:tcW w:w="1414" w:type="dxa"/>
            <w:tcBorders>
              <w:top w:val="single" w:sz="18" w:space="0" w:color="auto"/>
              <w:left w:val="single" w:sz="18" w:space="0" w:color="auto"/>
            </w:tcBorders>
            <w:shd w:val="clear" w:color="auto" w:fill="D9D9D9"/>
            <w:vAlign w:val="center"/>
            <w:hideMark/>
          </w:tcPr>
          <w:p w14:paraId="6FA7A1DB" w14:textId="4A4F5CF5" w:rsidR="006C7C0F" w:rsidRPr="008F4BDA" w:rsidRDefault="006C7C0F" w:rsidP="004203CB">
            <w:pPr>
              <w:keepNext/>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13"/>
                <w:sz w:val="22"/>
                <w:szCs w:val="22"/>
              </w:rPr>
              <w:t>Affixing Carrier DOT#</w:t>
            </w:r>
          </w:p>
        </w:tc>
        <w:tc>
          <w:tcPr>
            <w:tcW w:w="1373" w:type="dxa"/>
            <w:tcBorders>
              <w:top w:val="single" w:sz="18" w:space="0" w:color="auto"/>
              <w:right w:val="single" w:sz="18" w:space="0" w:color="auto"/>
            </w:tcBorders>
            <w:shd w:val="clear" w:color="auto" w:fill="D9D9D9"/>
            <w:vAlign w:val="center"/>
            <w:hideMark/>
          </w:tcPr>
          <w:p w14:paraId="0CF93A62" w14:textId="77777777" w:rsidR="006C7C0F" w:rsidRPr="008F4BDA" w:rsidRDefault="006C7C0F" w:rsidP="004203CB">
            <w:pPr>
              <w:keepNext/>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Affixing Carrier Name</w:t>
            </w:r>
          </w:p>
        </w:tc>
        <w:tc>
          <w:tcPr>
            <w:tcW w:w="1342" w:type="dxa"/>
            <w:vMerge/>
            <w:tcBorders>
              <w:left w:val="single" w:sz="18" w:space="0" w:color="auto"/>
              <w:bottom w:val="single" w:sz="18" w:space="0" w:color="auto"/>
            </w:tcBorders>
            <w:vAlign w:val="center"/>
            <w:hideMark/>
          </w:tcPr>
          <w:p w14:paraId="504183C3" w14:textId="6890501D" w:rsidR="006C7C0F" w:rsidRPr="008F4BDA" w:rsidRDefault="006C7C0F" w:rsidP="004203CB">
            <w:pPr>
              <w:widowControl/>
              <w:autoSpaceDE/>
              <w:autoSpaceDN/>
              <w:adjustRightInd/>
              <w:rPr>
                <w:rFonts w:ascii="Times New Roman" w:hAnsi="Times New Roman"/>
                <w:b/>
                <w:bCs/>
                <w:color w:val="000000"/>
                <w:sz w:val="22"/>
                <w:szCs w:val="22"/>
              </w:rPr>
            </w:pPr>
          </w:p>
        </w:tc>
        <w:tc>
          <w:tcPr>
            <w:tcW w:w="1378" w:type="dxa"/>
            <w:vMerge/>
            <w:tcBorders>
              <w:bottom w:val="single" w:sz="18" w:space="0" w:color="auto"/>
            </w:tcBorders>
          </w:tcPr>
          <w:p w14:paraId="7C68B896" w14:textId="77777777" w:rsidR="006C7C0F" w:rsidRPr="008F4BDA" w:rsidRDefault="006C7C0F" w:rsidP="004203CB">
            <w:pPr>
              <w:widowControl/>
              <w:autoSpaceDE/>
              <w:autoSpaceDN/>
              <w:adjustRightInd/>
              <w:rPr>
                <w:rFonts w:ascii="Times New Roman" w:hAnsi="Times New Roman"/>
                <w:b/>
                <w:bCs/>
                <w:color w:val="000000"/>
                <w:sz w:val="22"/>
                <w:szCs w:val="22"/>
              </w:rPr>
            </w:pPr>
          </w:p>
        </w:tc>
        <w:tc>
          <w:tcPr>
            <w:tcW w:w="1378" w:type="dxa"/>
            <w:vMerge/>
            <w:tcBorders>
              <w:bottom w:val="single" w:sz="18" w:space="0" w:color="auto"/>
              <w:right w:val="single" w:sz="18" w:space="0" w:color="auto"/>
            </w:tcBorders>
            <w:vAlign w:val="center"/>
          </w:tcPr>
          <w:p w14:paraId="587E5025" w14:textId="77777777" w:rsidR="006C7C0F" w:rsidRPr="008F4BDA" w:rsidRDefault="006C7C0F" w:rsidP="004203CB">
            <w:pPr>
              <w:widowControl/>
              <w:autoSpaceDE/>
              <w:autoSpaceDN/>
              <w:adjustRightInd/>
              <w:jc w:val="center"/>
              <w:rPr>
                <w:rFonts w:ascii="Times New Roman" w:hAnsi="Times New Roman"/>
                <w:b/>
                <w:bCs/>
                <w:color w:val="000000"/>
                <w:sz w:val="22"/>
                <w:szCs w:val="22"/>
              </w:rPr>
            </w:pPr>
          </w:p>
        </w:tc>
      </w:tr>
      <w:tr w:rsidR="006C7C0F" w:rsidRPr="008F4BDA" w14:paraId="78F08EF4" w14:textId="77777777" w:rsidTr="00CF0F3E">
        <w:trPr>
          <w:trHeight w:val="315"/>
          <w:jc w:val="center"/>
        </w:trPr>
        <w:tc>
          <w:tcPr>
            <w:tcW w:w="1414" w:type="dxa"/>
            <w:tcBorders>
              <w:top w:val="single" w:sz="18" w:space="0" w:color="auto"/>
              <w:left w:val="single" w:sz="18" w:space="0" w:color="auto"/>
              <w:bottom w:val="single" w:sz="18" w:space="0" w:color="auto"/>
            </w:tcBorders>
            <w:shd w:val="clear" w:color="auto" w:fill="auto"/>
            <w:vAlign w:val="center"/>
            <w:hideMark/>
          </w:tcPr>
          <w:p w14:paraId="1B87B439" w14:textId="464E257A" w:rsidR="006C7C0F" w:rsidRPr="008F4BDA" w:rsidRDefault="006C7C0F" w:rsidP="004203CB">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$11.10</w:t>
            </w:r>
          </w:p>
        </w:tc>
        <w:tc>
          <w:tcPr>
            <w:tcW w:w="1373" w:type="dxa"/>
            <w:tcBorders>
              <w:top w:val="single" w:sz="18" w:space="0" w:color="auto"/>
              <w:bottom w:val="single" w:sz="18" w:space="0" w:color="auto"/>
            </w:tcBorders>
            <w:shd w:val="clear" w:color="auto" w:fill="auto"/>
            <w:vAlign w:val="center"/>
            <w:hideMark/>
          </w:tcPr>
          <w:p w14:paraId="4019AC13" w14:textId="3F009CD3" w:rsidR="006C7C0F" w:rsidRPr="008F4BDA" w:rsidRDefault="006C7C0F"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$16.70</w:t>
            </w:r>
          </w:p>
        </w:tc>
        <w:tc>
          <w:tcPr>
            <w:tcW w:w="1342" w:type="dxa"/>
            <w:tcBorders>
              <w:top w:val="single" w:sz="18" w:space="0" w:color="auto"/>
              <w:bottom w:val="single" w:sz="18" w:space="0" w:color="auto"/>
            </w:tcBorders>
            <w:shd w:val="clear" w:color="auto" w:fill="auto"/>
            <w:vAlign w:val="center"/>
            <w:hideMark/>
          </w:tcPr>
          <w:p w14:paraId="33EB312D" w14:textId="158D2CE3" w:rsidR="006C7C0F" w:rsidRPr="008F4BDA" w:rsidRDefault="006C7C0F"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$27.80</w:t>
            </w:r>
          </w:p>
        </w:tc>
        <w:tc>
          <w:tcPr>
            <w:tcW w:w="1378" w:type="dxa"/>
            <w:tcBorders>
              <w:top w:val="single" w:sz="18" w:space="0" w:color="auto"/>
              <w:bottom w:val="single" w:sz="18" w:space="0" w:color="auto"/>
            </w:tcBorders>
            <w:vAlign w:val="center"/>
          </w:tcPr>
          <w:p w14:paraId="60CA6C74" w14:textId="275C015E" w:rsidR="006C7C0F" w:rsidRPr="008F4BDA" w:rsidRDefault="0090420F"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6.6</w:t>
            </w:r>
          </w:p>
        </w:tc>
        <w:tc>
          <w:tcPr>
            <w:tcW w:w="1378" w:type="dxa"/>
            <w:tcBorders>
              <w:top w:val="single" w:sz="18" w:space="0" w:color="auto"/>
              <w:bottom w:val="single" w:sz="18" w:space="0" w:color="auto"/>
              <w:right w:val="single" w:sz="18" w:space="0" w:color="auto"/>
            </w:tcBorders>
            <w:vAlign w:val="center"/>
          </w:tcPr>
          <w:p w14:paraId="50AF8790" w14:textId="182567C0" w:rsidR="006C7C0F" w:rsidRPr="008F4BDA" w:rsidRDefault="0090420F"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$183</w:t>
            </w:r>
            <w:r w:rsidR="00AF3154">
              <w:rPr>
                <w:rFonts w:ascii="Times New Roman" w:hAnsi="Times New Roman"/>
                <w:color w:val="000000"/>
                <w:sz w:val="22"/>
                <w:szCs w:val="22"/>
              </w:rPr>
              <w:t>.48</w:t>
            </w:r>
          </w:p>
        </w:tc>
      </w:tr>
    </w:tbl>
    <w:p w14:paraId="3FA91935" w14:textId="77777777" w:rsidR="008F4BDA" w:rsidRPr="008F4BDA" w:rsidRDefault="008F4BDA" w:rsidP="004203CB">
      <w:pPr>
        <w:widowControl/>
        <w:ind w:left="720"/>
        <w:rPr>
          <w:rFonts w:ascii="Times New Roman" w:hAnsi="Times New Roman"/>
          <w:sz w:val="24"/>
          <w:szCs w:val="24"/>
        </w:rPr>
      </w:pPr>
    </w:p>
    <w:p w14:paraId="5538D5C0" w14:textId="083A269D" w:rsidR="008F4BDA" w:rsidRDefault="008F4BDA" w:rsidP="004203CB">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There are an estimated </w:t>
      </w:r>
      <w:r w:rsidR="00C466A3">
        <w:rPr>
          <w:rFonts w:ascii="Times New Roman" w:hAnsi="Times New Roman"/>
          <w:sz w:val="24"/>
          <w:szCs w:val="24"/>
        </w:rPr>
        <w:t xml:space="preserve">32,000 </w:t>
      </w:r>
      <w:r w:rsidRPr="008F4BDA">
        <w:rPr>
          <w:rFonts w:ascii="Times New Roman" w:hAnsi="Times New Roman"/>
          <w:sz w:val="24"/>
          <w:szCs w:val="24"/>
        </w:rPr>
        <w:t>passenger-carrying CMVs that require marking with decals or stencil</w:t>
      </w:r>
      <w:r w:rsidR="00C466A3">
        <w:rPr>
          <w:rFonts w:ascii="Times New Roman" w:hAnsi="Times New Roman"/>
          <w:sz w:val="24"/>
          <w:szCs w:val="24"/>
        </w:rPr>
        <w:t xml:space="preserve"> annually</w:t>
      </w:r>
      <w:r w:rsidRPr="008F4BDA">
        <w:rPr>
          <w:rFonts w:ascii="Times New Roman" w:hAnsi="Times New Roman"/>
          <w:sz w:val="24"/>
          <w:szCs w:val="24"/>
        </w:rPr>
        <w:t>; therefore, the total cost for all passenger carriers impacted by th</w:t>
      </w:r>
      <w:r w:rsidR="00C33B0C">
        <w:rPr>
          <w:rFonts w:ascii="Times New Roman" w:hAnsi="Times New Roman"/>
          <w:sz w:val="24"/>
          <w:szCs w:val="24"/>
        </w:rPr>
        <w:t>is component of the</w:t>
      </w:r>
      <w:r w:rsidRPr="008F4BDA">
        <w:rPr>
          <w:rFonts w:ascii="Times New Roman" w:hAnsi="Times New Roman"/>
          <w:sz w:val="24"/>
          <w:szCs w:val="24"/>
        </w:rPr>
        <w:t xml:space="preserve"> marking rule is </w:t>
      </w:r>
      <w:r w:rsidRPr="008F4BDA">
        <w:rPr>
          <w:rFonts w:ascii="Times New Roman" w:hAnsi="Times New Roman"/>
          <w:b/>
          <w:sz w:val="24"/>
          <w:szCs w:val="24"/>
        </w:rPr>
        <w:t>$</w:t>
      </w:r>
      <w:r w:rsidR="00C466A3">
        <w:rPr>
          <w:rFonts w:ascii="Times New Roman" w:hAnsi="Times New Roman"/>
          <w:b/>
          <w:sz w:val="24"/>
          <w:szCs w:val="24"/>
        </w:rPr>
        <w:t>8</w:t>
      </w:r>
      <w:r w:rsidR="00A85D5D">
        <w:rPr>
          <w:rFonts w:ascii="Times New Roman" w:hAnsi="Times New Roman"/>
          <w:b/>
          <w:sz w:val="24"/>
          <w:szCs w:val="24"/>
        </w:rPr>
        <w:t>90</w:t>
      </w:r>
      <w:r w:rsidR="00C466A3">
        <w:rPr>
          <w:rFonts w:ascii="Times New Roman" w:hAnsi="Times New Roman"/>
          <w:b/>
          <w:sz w:val="24"/>
          <w:szCs w:val="24"/>
        </w:rPr>
        <w:t>,</w:t>
      </w:r>
      <w:r w:rsidR="00A85D5D">
        <w:rPr>
          <w:rFonts w:ascii="Times New Roman" w:hAnsi="Times New Roman"/>
          <w:b/>
          <w:sz w:val="24"/>
          <w:szCs w:val="24"/>
        </w:rPr>
        <w:t>000</w:t>
      </w:r>
      <w:r w:rsidR="00156D5B">
        <w:rPr>
          <w:rFonts w:ascii="Times New Roman" w:hAnsi="Times New Roman"/>
          <w:b/>
          <w:sz w:val="24"/>
          <w:szCs w:val="24"/>
        </w:rPr>
        <w:t xml:space="preserve"> </w:t>
      </w:r>
      <w:r w:rsidRPr="008F4BDA">
        <w:rPr>
          <w:rFonts w:ascii="Times New Roman" w:hAnsi="Times New Roman"/>
          <w:b/>
          <w:sz w:val="24"/>
          <w:szCs w:val="24"/>
        </w:rPr>
        <w:t>per year</w:t>
      </w:r>
      <w:r w:rsidRPr="008F4BDA">
        <w:rPr>
          <w:rFonts w:ascii="Times New Roman" w:hAnsi="Times New Roman"/>
          <w:sz w:val="24"/>
          <w:szCs w:val="24"/>
        </w:rPr>
        <w:t xml:space="preserve"> (</w:t>
      </w:r>
      <w:r w:rsidR="001A4F06">
        <w:rPr>
          <w:rFonts w:ascii="Times New Roman" w:hAnsi="Times New Roman"/>
          <w:sz w:val="24"/>
          <w:szCs w:val="24"/>
        </w:rPr>
        <w:t xml:space="preserve">$889,600 = </w:t>
      </w:r>
      <w:r w:rsidR="00C466A3">
        <w:rPr>
          <w:rFonts w:ascii="Times New Roman" w:hAnsi="Times New Roman"/>
          <w:sz w:val="24"/>
          <w:szCs w:val="24"/>
        </w:rPr>
        <w:t>32,000</w:t>
      </w:r>
      <w:r w:rsidRPr="008F4BDA">
        <w:rPr>
          <w:rFonts w:ascii="Times New Roman" w:hAnsi="Times New Roman"/>
          <w:sz w:val="24"/>
          <w:szCs w:val="24"/>
        </w:rPr>
        <w:t xml:space="preserve"> CMVs × $27.80 per vehicle)</w:t>
      </w:r>
      <w:r w:rsidR="00156D5B">
        <w:rPr>
          <w:rFonts w:ascii="Times New Roman" w:hAnsi="Times New Roman"/>
          <w:sz w:val="24"/>
          <w:szCs w:val="24"/>
        </w:rPr>
        <w:t>.</w:t>
      </w:r>
    </w:p>
    <w:p w14:paraId="34A3A17E" w14:textId="77777777" w:rsidR="005E0EDA" w:rsidRDefault="005E0EDA" w:rsidP="004203CB">
      <w:pPr>
        <w:widowControl/>
        <w:tabs>
          <w:tab w:val="left" w:pos="360"/>
        </w:tabs>
        <w:ind w:left="360"/>
        <w:rPr>
          <w:rFonts w:ascii="Times New Roman" w:hAnsi="Times New Roman"/>
          <w:sz w:val="24"/>
          <w:szCs w:val="24"/>
        </w:rPr>
      </w:pPr>
    </w:p>
    <w:p w14:paraId="42D8FEE9" w14:textId="3707452B" w:rsidR="005E0EDA" w:rsidRPr="004203CB" w:rsidRDefault="005E0EDA" w:rsidP="004203CB">
      <w:pPr>
        <w:widowControl/>
        <w:tabs>
          <w:tab w:val="left" w:pos="360"/>
        </w:tabs>
        <w:spacing w:after="200"/>
        <w:jc w:val="center"/>
        <w:rPr>
          <w:rFonts w:ascii="Times New Roman" w:eastAsia="Arial Unicode MS" w:hAnsi="Times New Roman"/>
          <w:b/>
          <w:sz w:val="24"/>
          <w:szCs w:val="24"/>
        </w:rPr>
      </w:pPr>
      <w:proofErr w:type="gramStart"/>
      <w:r w:rsidRPr="004203CB">
        <w:rPr>
          <w:rFonts w:ascii="Times New Roman" w:hAnsi="Times New Roman"/>
          <w:b/>
          <w:sz w:val="24"/>
          <w:szCs w:val="24"/>
        </w:rPr>
        <w:t>Table 8.</w:t>
      </w:r>
      <w:proofErr w:type="gramEnd"/>
      <w:r w:rsidRPr="004203CB">
        <w:rPr>
          <w:rFonts w:ascii="Times New Roman" w:hAnsi="Times New Roman"/>
          <w:b/>
          <w:sz w:val="24"/>
          <w:szCs w:val="24"/>
        </w:rPr>
        <w:t xml:space="preserve"> Estimated </w:t>
      </w:r>
      <w:r w:rsidR="00443913" w:rsidRPr="004203CB">
        <w:rPr>
          <w:rFonts w:ascii="Times New Roman" w:hAnsi="Times New Roman"/>
          <w:b/>
          <w:sz w:val="24"/>
          <w:szCs w:val="24"/>
        </w:rPr>
        <w:t xml:space="preserve">Short-Term Lease </w:t>
      </w:r>
      <w:r w:rsidRPr="004203CB">
        <w:rPr>
          <w:rFonts w:ascii="Times New Roman" w:hAnsi="Times New Roman"/>
          <w:b/>
          <w:sz w:val="24"/>
          <w:szCs w:val="24"/>
        </w:rPr>
        <w:t>Marking Cost per Passenger-Carrying Carrier</w:t>
      </w:r>
    </w:p>
    <w:tbl>
      <w:tblPr>
        <w:tblW w:w="7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391"/>
        <w:gridCol w:w="1478"/>
        <w:gridCol w:w="1478"/>
        <w:gridCol w:w="1396"/>
      </w:tblGrid>
      <w:tr w:rsidR="003104A2" w:rsidRPr="008F4BDA" w14:paraId="17AE5D7F" w14:textId="77777777" w:rsidTr="009A1F1C">
        <w:trPr>
          <w:trHeight w:hRule="exact" w:val="648"/>
          <w:jc w:val="center"/>
        </w:trPr>
        <w:tc>
          <w:tcPr>
            <w:tcW w:w="2821" w:type="dxa"/>
            <w:gridSpan w:val="2"/>
            <w:tcBorders>
              <w:top w:val="single" w:sz="18" w:space="0" w:color="auto"/>
              <w:left w:val="single" w:sz="18" w:space="0" w:color="auto"/>
              <w:bottom w:val="single" w:sz="4" w:space="0" w:color="auto"/>
              <w:right w:val="single" w:sz="18" w:space="0" w:color="auto"/>
            </w:tcBorders>
            <w:shd w:val="clear" w:color="auto" w:fill="D9D9D9"/>
            <w:vAlign w:val="center"/>
            <w:hideMark/>
          </w:tcPr>
          <w:p w14:paraId="19B811D4" w14:textId="1DFDBAD8" w:rsidR="003104A2" w:rsidRPr="008F4BDA" w:rsidRDefault="009A1F1C" w:rsidP="004203CB">
            <w:pPr>
              <w:widowControl/>
              <w:autoSpaceDE/>
              <w:autoSpaceDN/>
              <w:adjustRightInd/>
              <w:jc w:val="center"/>
              <w:rPr>
                <w:rFonts w:ascii="Times New Roman" w:hAnsi="Times New Roman"/>
                <w:b/>
                <w:bCs/>
                <w:color w:val="030303"/>
                <w:sz w:val="22"/>
                <w:szCs w:val="22"/>
              </w:rPr>
            </w:pPr>
            <w:r>
              <w:rPr>
                <w:rFonts w:ascii="Times New Roman" w:hAnsi="Times New Roman"/>
                <w:b/>
                <w:bCs/>
                <w:color w:val="030303"/>
                <w:sz w:val="22"/>
                <w:szCs w:val="22"/>
              </w:rPr>
              <w:t>Material Cost and Frequency</w:t>
            </w:r>
          </w:p>
        </w:tc>
        <w:tc>
          <w:tcPr>
            <w:tcW w:w="1478" w:type="dxa"/>
            <w:vMerge w:val="restart"/>
            <w:tcBorders>
              <w:top w:val="single" w:sz="18" w:space="0" w:color="auto"/>
              <w:left w:val="single" w:sz="18" w:space="0" w:color="auto"/>
              <w:right w:val="single" w:sz="18" w:space="0" w:color="auto"/>
            </w:tcBorders>
            <w:shd w:val="clear" w:color="auto" w:fill="D9D9D9"/>
            <w:vAlign w:val="center"/>
          </w:tcPr>
          <w:p w14:paraId="4473BC45" w14:textId="067B3F2F" w:rsidR="003104A2" w:rsidRPr="008F4BDA" w:rsidRDefault="003104A2"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Vehicle</w:t>
            </w:r>
          </w:p>
        </w:tc>
        <w:tc>
          <w:tcPr>
            <w:tcW w:w="1478" w:type="dxa"/>
            <w:vMerge w:val="restart"/>
            <w:tcBorders>
              <w:top w:val="single" w:sz="18" w:space="0" w:color="auto"/>
              <w:left w:val="single" w:sz="18" w:space="0" w:color="auto"/>
              <w:right w:val="single" w:sz="18" w:space="0" w:color="auto"/>
            </w:tcBorders>
            <w:shd w:val="clear" w:color="auto" w:fill="D9D9D9"/>
            <w:vAlign w:val="center"/>
          </w:tcPr>
          <w:p w14:paraId="4590BC0B" w14:textId="49470410" w:rsidR="003104A2" w:rsidRPr="008F4BDA" w:rsidRDefault="003104A2"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Fleet Size</w:t>
            </w:r>
          </w:p>
        </w:tc>
        <w:tc>
          <w:tcPr>
            <w:tcW w:w="1396" w:type="dxa"/>
            <w:vMerge w:val="restart"/>
            <w:tcBorders>
              <w:top w:val="single" w:sz="18" w:space="0" w:color="auto"/>
              <w:right w:val="single" w:sz="18" w:space="0" w:color="auto"/>
            </w:tcBorders>
            <w:shd w:val="clear" w:color="auto" w:fill="D9D9D9"/>
            <w:vAlign w:val="center"/>
          </w:tcPr>
          <w:p w14:paraId="27DE56A2" w14:textId="77777777" w:rsidR="003104A2" w:rsidRPr="008F4BDA" w:rsidRDefault="003104A2"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per Average Size Carrier per year</w:t>
            </w:r>
          </w:p>
        </w:tc>
      </w:tr>
      <w:tr w:rsidR="003104A2" w:rsidRPr="008F4BDA" w14:paraId="23E120C2" w14:textId="77777777" w:rsidTr="003104A2">
        <w:trPr>
          <w:trHeight w:val="630"/>
          <w:jc w:val="center"/>
        </w:trPr>
        <w:tc>
          <w:tcPr>
            <w:tcW w:w="1430" w:type="dxa"/>
            <w:tcBorders>
              <w:top w:val="single" w:sz="18" w:space="0" w:color="auto"/>
              <w:left w:val="single" w:sz="18" w:space="0" w:color="auto"/>
            </w:tcBorders>
            <w:shd w:val="clear" w:color="auto" w:fill="D9D9D9"/>
            <w:vAlign w:val="center"/>
            <w:hideMark/>
          </w:tcPr>
          <w:p w14:paraId="1745800B" w14:textId="65C23E0D" w:rsidR="003104A2" w:rsidRPr="008F4BDA" w:rsidRDefault="003104A2" w:rsidP="004203CB">
            <w:pPr>
              <w:widowControl/>
              <w:autoSpaceDE/>
              <w:autoSpaceDN/>
              <w:adjustRightInd/>
              <w:jc w:val="center"/>
              <w:rPr>
                <w:rFonts w:ascii="Times New Roman" w:hAnsi="Times New Roman"/>
                <w:b/>
                <w:bCs/>
                <w:color w:val="030303"/>
                <w:sz w:val="22"/>
                <w:szCs w:val="22"/>
              </w:rPr>
            </w:pPr>
            <w:r>
              <w:rPr>
                <w:rFonts w:ascii="Times New Roman" w:hAnsi="Times New Roman"/>
                <w:b/>
                <w:bCs/>
                <w:color w:val="000000"/>
                <w:sz w:val="22"/>
                <w:szCs w:val="22"/>
              </w:rPr>
              <w:t>Lease and Interchange Marking Cost per Lease</w:t>
            </w:r>
          </w:p>
        </w:tc>
        <w:tc>
          <w:tcPr>
            <w:tcW w:w="1391" w:type="dxa"/>
            <w:tcBorders>
              <w:top w:val="single" w:sz="18" w:space="0" w:color="auto"/>
              <w:right w:val="single" w:sz="18" w:space="0" w:color="auto"/>
            </w:tcBorders>
            <w:shd w:val="clear" w:color="auto" w:fill="D9D9D9"/>
            <w:vAlign w:val="center"/>
            <w:hideMark/>
          </w:tcPr>
          <w:p w14:paraId="604DF498" w14:textId="56B24E80" w:rsidR="003104A2" w:rsidRPr="008F4BDA" w:rsidRDefault="003104A2" w:rsidP="004203CB">
            <w:pPr>
              <w:widowControl/>
              <w:autoSpaceDE/>
              <w:autoSpaceDN/>
              <w:adjustRightInd/>
              <w:jc w:val="center"/>
              <w:rPr>
                <w:rFonts w:ascii="Times New Roman" w:hAnsi="Times New Roman"/>
                <w:b/>
                <w:bCs/>
                <w:color w:val="030303"/>
                <w:sz w:val="22"/>
                <w:szCs w:val="22"/>
              </w:rPr>
            </w:pPr>
            <w:r>
              <w:rPr>
                <w:rFonts w:ascii="Times New Roman" w:hAnsi="Times New Roman"/>
                <w:b/>
                <w:bCs/>
                <w:color w:val="000000"/>
                <w:sz w:val="22"/>
                <w:szCs w:val="22"/>
              </w:rPr>
              <w:t>Lease Frequency per Vehicle per Year</w:t>
            </w:r>
          </w:p>
        </w:tc>
        <w:tc>
          <w:tcPr>
            <w:tcW w:w="1478" w:type="dxa"/>
            <w:vMerge/>
            <w:tcBorders>
              <w:left w:val="single" w:sz="18" w:space="0" w:color="auto"/>
              <w:right w:val="single" w:sz="18" w:space="0" w:color="auto"/>
            </w:tcBorders>
          </w:tcPr>
          <w:p w14:paraId="5689776C" w14:textId="77777777" w:rsidR="003104A2" w:rsidRPr="008F4BDA" w:rsidRDefault="003104A2" w:rsidP="004203CB">
            <w:pPr>
              <w:widowControl/>
              <w:autoSpaceDE/>
              <w:autoSpaceDN/>
              <w:adjustRightInd/>
              <w:rPr>
                <w:rFonts w:ascii="Times New Roman" w:hAnsi="Times New Roman"/>
                <w:b/>
                <w:bCs/>
                <w:color w:val="000000"/>
                <w:sz w:val="22"/>
                <w:szCs w:val="22"/>
              </w:rPr>
            </w:pPr>
          </w:p>
        </w:tc>
        <w:tc>
          <w:tcPr>
            <w:tcW w:w="1478" w:type="dxa"/>
            <w:vMerge/>
            <w:tcBorders>
              <w:left w:val="single" w:sz="18" w:space="0" w:color="auto"/>
              <w:right w:val="single" w:sz="18" w:space="0" w:color="auto"/>
            </w:tcBorders>
          </w:tcPr>
          <w:p w14:paraId="29AD59D1" w14:textId="270A7078" w:rsidR="003104A2" w:rsidRPr="008F4BDA" w:rsidRDefault="003104A2" w:rsidP="004203CB">
            <w:pPr>
              <w:widowControl/>
              <w:autoSpaceDE/>
              <w:autoSpaceDN/>
              <w:adjustRightInd/>
              <w:rPr>
                <w:rFonts w:ascii="Times New Roman" w:hAnsi="Times New Roman"/>
                <w:b/>
                <w:bCs/>
                <w:color w:val="000000"/>
                <w:sz w:val="22"/>
                <w:szCs w:val="22"/>
              </w:rPr>
            </w:pPr>
          </w:p>
        </w:tc>
        <w:tc>
          <w:tcPr>
            <w:tcW w:w="1396" w:type="dxa"/>
            <w:vMerge/>
            <w:tcBorders>
              <w:bottom w:val="single" w:sz="18" w:space="0" w:color="auto"/>
              <w:right w:val="single" w:sz="18" w:space="0" w:color="auto"/>
            </w:tcBorders>
            <w:vAlign w:val="center"/>
          </w:tcPr>
          <w:p w14:paraId="1B0181E6" w14:textId="77777777" w:rsidR="003104A2" w:rsidRPr="008F4BDA" w:rsidRDefault="003104A2" w:rsidP="004203CB">
            <w:pPr>
              <w:widowControl/>
              <w:autoSpaceDE/>
              <w:autoSpaceDN/>
              <w:adjustRightInd/>
              <w:jc w:val="center"/>
              <w:rPr>
                <w:rFonts w:ascii="Times New Roman" w:hAnsi="Times New Roman"/>
                <w:b/>
                <w:bCs/>
                <w:color w:val="000000"/>
                <w:sz w:val="22"/>
                <w:szCs w:val="22"/>
              </w:rPr>
            </w:pPr>
          </w:p>
        </w:tc>
      </w:tr>
      <w:tr w:rsidR="003104A2" w:rsidRPr="008F4BDA" w14:paraId="1521797B" w14:textId="77777777" w:rsidTr="00CF0F3E">
        <w:trPr>
          <w:trHeight w:val="315"/>
          <w:jc w:val="center"/>
        </w:trPr>
        <w:tc>
          <w:tcPr>
            <w:tcW w:w="1430" w:type="dxa"/>
            <w:tcBorders>
              <w:top w:val="single" w:sz="18" w:space="0" w:color="auto"/>
              <w:left w:val="single" w:sz="18" w:space="0" w:color="auto"/>
              <w:bottom w:val="single" w:sz="18" w:space="0" w:color="auto"/>
            </w:tcBorders>
            <w:shd w:val="clear" w:color="auto" w:fill="auto"/>
            <w:vAlign w:val="center"/>
            <w:hideMark/>
          </w:tcPr>
          <w:p w14:paraId="0EB281E7" w14:textId="65033932" w:rsidR="003104A2" w:rsidRPr="008F4BDA" w:rsidRDefault="003104A2" w:rsidP="004203CB">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w:t>
            </w:r>
            <w:r>
              <w:rPr>
                <w:rFonts w:ascii="Times New Roman" w:hAnsi="Times New Roman"/>
                <w:color w:val="030303"/>
                <w:w w:val="108"/>
                <w:sz w:val="22"/>
                <w:szCs w:val="22"/>
              </w:rPr>
              <w:t>0.0</w:t>
            </w:r>
            <w:r w:rsidR="00F15CC2">
              <w:rPr>
                <w:rFonts w:ascii="Times New Roman" w:hAnsi="Times New Roman"/>
                <w:color w:val="030303"/>
                <w:w w:val="108"/>
                <w:sz w:val="22"/>
                <w:szCs w:val="22"/>
              </w:rPr>
              <w:t>4</w:t>
            </w:r>
          </w:p>
        </w:tc>
        <w:tc>
          <w:tcPr>
            <w:tcW w:w="1391" w:type="dxa"/>
            <w:tcBorders>
              <w:top w:val="single" w:sz="18" w:space="0" w:color="auto"/>
              <w:bottom w:val="single" w:sz="18" w:space="0" w:color="auto"/>
            </w:tcBorders>
            <w:shd w:val="clear" w:color="auto" w:fill="auto"/>
            <w:vAlign w:val="center"/>
            <w:hideMark/>
          </w:tcPr>
          <w:p w14:paraId="712E4312" w14:textId="47B62BCC" w:rsidR="003104A2" w:rsidRPr="008F4BDA" w:rsidRDefault="003104A2"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64</w:t>
            </w:r>
          </w:p>
        </w:tc>
        <w:tc>
          <w:tcPr>
            <w:tcW w:w="1478" w:type="dxa"/>
            <w:tcBorders>
              <w:top w:val="single" w:sz="18" w:space="0" w:color="auto"/>
              <w:bottom w:val="single" w:sz="18" w:space="0" w:color="auto"/>
            </w:tcBorders>
            <w:vAlign w:val="center"/>
          </w:tcPr>
          <w:p w14:paraId="7AB2EA78" w14:textId="20D651E8" w:rsidR="003104A2" w:rsidRDefault="003104A2"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sidR="00156D5B">
              <w:rPr>
                <w:rFonts w:ascii="Times New Roman" w:hAnsi="Times New Roman"/>
                <w:color w:val="000000"/>
                <w:sz w:val="22"/>
                <w:szCs w:val="22"/>
              </w:rPr>
              <w:t>2.56</w:t>
            </w:r>
          </w:p>
        </w:tc>
        <w:tc>
          <w:tcPr>
            <w:tcW w:w="1478" w:type="dxa"/>
            <w:tcBorders>
              <w:top w:val="single" w:sz="18" w:space="0" w:color="auto"/>
              <w:bottom w:val="single" w:sz="18" w:space="0" w:color="auto"/>
            </w:tcBorders>
            <w:vAlign w:val="center"/>
          </w:tcPr>
          <w:p w14:paraId="16D006AC" w14:textId="67BDCA13" w:rsidR="003104A2" w:rsidRPr="008F4BDA" w:rsidRDefault="00DA24C1"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6.6</w:t>
            </w:r>
          </w:p>
        </w:tc>
        <w:tc>
          <w:tcPr>
            <w:tcW w:w="1396" w:type="dxa"/>
            <w:tcBorders>
              <w:top w:val="single" w:sz="18" w:space="0" w:color="auto"/>
              <w:bottom w:val="single" w:sz="18" w:space="0" w:color="auto"/>
              <w:right w:val="single" w:sz="18" w:space="0" w:color="auto"/>
            </w:tcBorders>
            <w:vAlign w:val="center"/>
          </w:tcPr>
          <w:p w14:paraId="51ADD717" w14:textId="003B1DCE" w:rsidR="003104A2" w:rsidRPr="008F4BDA" w:rsidRDefault="003104A2"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sidR="00792290">
              <w:rPr>
                <w:rFonts w:ascii="Times New Roman" w:hAnsi="Times New Roman"/>
                <w:color w:val="000000"/>
                <w:sz w:val="22"/>
                <w:szCs w:val="22"/>
              </w:rPr>
              <w:t>16.90</w:t>
            </w:r>
          </w:p>
        </w:tc>
      </w:tr>
    </w:tbl>
    <w:p w14:paraId="403E1B48" w14:textId="77777777" w:rsidR="005E0EDA" w:rsidRPr="008F4BDA" w:rsidRDefault="005E0EDA" w:rsidP="004203CB">
      <w:pPr>
        <w:widowControl/>
        <w:ind w:left="720"/>
        <w:rPr>
          <w:rFonts w:ascii="Times New Roman" w:hAnsi="Times New Roman"/>
          <w:sz w:val="24"/>
          <w:szCs w:val="24"/>
        </w:rPr>
      </w:pPr>
    </w:p>
    <w:p w14:paraId="29F27854" w14:textId="455071EA" w:rsidR="005E0EDA" w:rsidRDefault="00C33B0C" w:rsidP="004203CB">
      <w:pPr>
        <w:widowControl/>
        <w:tabs>
          <w:tab w:val="left" w:pos="360"/>
        </w:tabs>
        <w:ind w:left="360"/>
        <w:rPr>
          <w:rFonts w:ascii="Times New Roman" w:hAnsi="Times New Roman"/>
          <w:sz w:val="24"/>
          <w:szCs w:val="24"/>
        </w:rPr>
      </w:pPr>
      <w:r>
        <w:rPr>
          <w:rFonts w:ascii="Times New Roman" w:hAnsi="Times New Roman"/>
          <w:sz w:val="24"/>
          <w:szCs w:val="24"/>
        </w:rPr>
        <w:lastRenderedPageBreak/>
        <w:t>There is an additional $0.0</w:t>
      </w:r>
      <w:r w:rsidR="00F15CC2">
        <w:rPr>
          <w:rFonts w:ascii="Times New Roman" w:hAnsi="Times New Roman"/>
          <w:sz w:val="24"/>
          <w:szCs w:val="24"/>
        </w:rPr>
        <w:t>4</w:t>
      </w:r>
      <w:r>
        <w:rPr>
          <w:rFonts w:ascii="Times New Roman" w:hAnsi="Times New Roman"/>
          <w:sz w:val="24"/>
          <w:szCs w:val="24"/>
        </w:rPr>
        <w:t xml:space="preserve"> marking cost for short-term leases as detailed in the final rule “</w:t>
      </w:r>
      <w:r w:rsidRPr="009572E1">
        <w:rPr>
          <w:rFonts w:ascii="Times New Roman" w:hAnsi="Times New Roman"/>
          <w:sz w:val="24"/>
          <w:szCs w:val="24"/>
        </w:rPr>
        <w:t>Lease and Interchange of Vehicles; Motor Carriers of Passengers</w:t>
      </w:r>
      <w:r w:rsidR="003104A2">
        <w:rPr>
          <w:rFonts w:ascii="Times New Roman" w:hAnsi="Times New Roman"/>
          <w:sz w:val="24"/>
          <w:szCs w:val="24"/>
        </w:rPr>
        <w:t>.</w:t>
      </w:r>
      <w:r>
        <w:rPr>
          <w:rFonts w:ascii="Times New Roman" w:hAnsi="Times New Roman"/>
          <w:sz w:val="24"/>
          <w:szCs w:val="24"/>
        </w:rPr>
        <w:t>”</w:t>
      </w:r>
      <w:r w:rsidR="003104A2">
        <w:rPr>
          <w:rFonts w:ascii="Times New Roman" w:hAnsi="Times New Roman"/>
          <w:sz w:val="24"/>
          <w:szCs w:val="24"/>
        </w:rPr>
        <w:t xml:space="preserve"> </w:t>
      </w:r>
      <w:r w:rsidR="005E0EDA" w:rsidRPr="008F4BDA">
        <w:rPr>
          <w:rFonts w:ascii="Times New Roman" w:hAnsi="Times New Roman"/>
          <w:sz w:val="24"/>
          <w:szCs w:val="24"/>
        </w:rPr>
        <w:t xml:space="preserve">There are an estimated </w:t>
      </w:r>
      <w:r w:rsidR="0038620E">
        <w:rPr>
          <w:rFonts w:ascii="Times New Roman" w:hAnsi="Times New Roman"/>
          <w:sz w:val="24"/>
          <w:szCs w:val="24"/>
        </w:rPr>
        <w:t>4,000</w:t>
      </w:r>
      <w:r w:rsidR="005E0EDA" w:rsidRPr="008F4BDA">
        <w:rPr>
          <w:rFonts w:ascii="Times New Roman" w:hAnsi="Times New Roman"/>
          <w:sz w:val="24"/>
          <w:szCs w:val="24"/>
        </w:rPr>
        <w:t xml:space="preserve"> passenger-carrying CMVs that require </w:t>
      </w:r>
      <w:r w:rsidR="00BE3B46">
        <w:rPr>
          <w:rFonts w:ascii="Times New Roman" w:hAnsi="Times New Roman"/>
          <w:sz w:val="24"/>
          <w:szCs w:val="24"/>
        </w:rPr>
        <w:t>short-term lease marking</w:t>
      </w:r>
      <w:r w:rsidR="005E0EDA" w:rsidRPr="008F4BDA">
        <w:rPr>
          <w:rFonts w:ascii="Times New Roman" w:hAnsi="Times New Roman"/>
          <w:sz w:val="24"/>
          <w:szCs w:val="24"/>
        </w:rPr>
        <w:t>; therefore, the total cost for all passenger carriers impacted by th</w:t>
      </w:r>
      <w:r>
        <w:rPr>
          <w:rFonts w:ascii="Times New Roman" w:hAnsi="Times New Roman"/>
          <w:sz w:val="24"/>
          <w:szCs w:val="24"/>
        </w:rPr>
        <w:t>is component of the</w:t>
      </w:r>
      <w:r w:rsidR="005E0EDA" w:rsidRPr="008F4BDA">
        <w:rPr>
          <w:rFonts w:ascii="Times New Roman" w:hAnsi="Times New Roman"/>
          <w:sz w:val="24"/>
          <w:szCs w:val="24"/>
        </w:rPr>
        <w:t xml:space="preserve"> marking rule is </w:t>
      </w:r>
      <w:r w:rsidR="005E0EDA" w:rsidRPr="008F4BDA">
        <w:rPr>
          <w:rFonts w:ascii="Times New Roman" w:hAnsi="Times New Roman"/>
          <w:b/>
          <w:sz w:val="24"/>
          <w:szCs w:val="24"/>
        </w:rPr>
        <w:t>$</w:t>
      </w:r>
      <w:r w:rsidR="001A4F06">
        <w:rPr>
          <w:rFonts w:ascii="Times New Roman" w:hAnsi="Times New Roman"/>
          <w:b/>
          <w:sz w:val="24"/>
          <w:szCs w:val="24"/>
        </w:rPr>
        <w:t>6</w:t>
      </w:r>
      <w:r w:rsidR="00492328">
        <w:rPr>
          <w:rFonts w:ascii="Times New Roman" w:hAnsi="Times New Roman"/>
          <w:b/>
          <w:sz w:val="24"/>
          <w:szCs w:val="24"/>
        </w:rPr>
        <w:t>8,000</w:t>
      </w:r>
      <w:r w:rsidR="005E0EDA" w:rsidRPr="008F4BDA">
        <w:rPr>
          <w:rFonts w:ascii="Times New Roman" w:hAnsi="Times New Roman"/>
          <w:b/>
          <w:sz w:val="24"/>
          <w:szCs w:val="24"/>
        </w:rPr>
        <w:t xml:space="preserve"> per year</w:t>
      </w:r>
      <w:r w:rsidR="005E0EDA" w:rsidRPr="008F4BDA">
        <w:rPr>
          <w:rFonts w:ascii="Times New Roman" w:hAnsi="Times New Roman"/>
          <w:sz w:val="24"/>
          <w:szCs w:val="24"/>
        </w:rPr>
        <w:t xml:space="preserve"> (</w:t>
      </w:r>
      <w:r w:rsidR="00B0712B">
        <w:rPr>
          <w:rFonts w:ascii="Times New Roman" w:hAnsi="Times New Roman"/>
          <w:sz w:val="24"/>
          <w:szCs w:val="24"/>
        </w:rPr>
        <w:t>$</w:t>
      </w:r>
      <w:r w:rsidR="001A4F06">
        <w:rPr>
          <w:rFonts w:ascii="Times New Roman" w:hAnsi="Times New Roman"/>
          <w:sz w:val="24"/>
          <w:szCs w:val="24"/>
        </w:rPr>
        <w:t>67,584</w:t>
      </w:r>
      <w:r w:rsidR="00B0712B">
        <w:rPr>
          <w:rFonts w:ascii="Times New Roman" w:hAnsi="Times New Roman"/>
          <w:sz w:val="24"/>
          <w:szCs w:val="24"/>
        </w:rPr>
        <w:t xml:space="preserve"> = </w:t>
      </w:r>
      <w:r w:rsidR="00E24500">
        <w:rPr>
          <w:rFonts w:ascii="Times New Roman" w:hAnsi="Times New Roman"/>
          <w:sz w:val="24"/>
          <w:szCs w:val="24"/>
        </w:rPr>
        <w:t>4</w:t>
      </w:r>
      <w:r w:rsidR="00156D5B">
        <w:rPr>
          <w:rFonts w:ascii="Times New Roman" w:hAnsi="Times New Roman"/>
          <w:sz w:val="24"/>
          <w:szCs w:val="24"/>
        </w:rPr>
        <w:t>,000</w:t>
      </w:r>
      <w:r w:rsidR="005E0EDA" w:rsidRPr="008F4BDA">
        <w:rPr>
          <w:rFonts w:ascii="Times New Roman" w:hAnsi="Times New Roman"/>
          <w:sz w:val="24"/>
          <w:szCs w:val="24"/>
        </w:rPr>
        <w:t xml:space="preserve"> CMVs × </w:t>
      </w:r>
      <w:r w:rsidR="00972803">
        <w:rPr>
          <w:rFonts w:ascii="Times New Roman" w:hAnsi="Times New Roman"/>
          <w:sz w:val="24"/>
          <w:szCs w:val="24"/>
        </w:rPr>
        <w:t xml:space="preserve">($0.04 </w:t>
      </w:r>
      <w:r w:rsidR="000B6EBC">
        <w:rPr>
          <w:rFonts w:ascii="Times New Roman" w:hAnsi="Times New Roman"/>
          <w:sz w:val="24"/>
          <w:szCs w:val="24"/>
        </w:rPr>
        <w:t>×</w:t>
      </w:r>
      <w:r w:rsidR="00972803">
        <w:rPr>
          <w:rFonts w:ascii="Times New Roman" w:hAnsi="Times New Roman"/>
          <w:sz w:val="24"/>
          <w:szCs w:val="24"/>
        </w:rPr>
        <w:t xml:space="preserve"> 64) </w:t>
      </w:r>
      <w:r w:rsidR="000B6EBC">
        <w:rPr>
          <w:rFonts w:ascii="Times New Roman" w:hAnsi="Times New Roman"/>
          <w:sz w:val="24"/>
          <w:szCs w:val="24"/>
        </w:rPr>
        <w:t>×</w:t>
      </w:r>
      <w:r w:rsidR="00972803">
        <w:rPr>
          <w:rFonts w:ascii="Times New Roman" w:hAnsi="Times New Roman"/>
          <w:sz w:val="24"/>
          <w:szCs w:val="24"/>
        </w:rPr>
        <w:t xml:space="preserve"> </w:t>
      </w:r>
      <w:r w:rsidR="00B0712B">
        <w:rPr>
          <w:rFonts w:ascii="Times New Roman" w:hAnsi="Times New Roman"/>
          <w:sz w:val="24"/>
          <w:szCs w:val="24"/>
        </w:rPr>
        <w:t>6.6</w:t>
      </w:r>
      <w:r w:rsidR="00972803">
        <w:rPr>
          <w:rFonts w:ascii="Times New Roman" w:hAnsi="Times New Roman"/>
          <w:sz w:val="24"/>
          <w:szCs w:val="24"/>
        </w:rPr>
        <w:t xml:space="preserve"> vehicles</w:t>
      </w:r>
      <w:r w:rsidR="00602583">
        <w:rPr>
          <w:rFonts w:ascii="Times New Roman" w:hAnsi="Times New Roman"/>
          <w:sz w:val="24"/>
          <w:szCs w:val="24"/>
        </w:rPr>
        <w:t>, rounded to the nearest thousand</w:t>
      </w:r>
      <w:r w:rsidR="005E0EDA" w:rsidRPr="008F4BDA">
        <w:rPr>
          <w:rFonts w:ascii="Times New Roman" w:hAnsi="Times New Roman"/>
          <w:sz w:val="24"/>
          <w:szCs w:val="24"/>
        </w:rPr>
        <w:t>)</w:t>
      </w:r>
      <w:r w:rsidR="004203CB">
        <w:rPr>
          <w:rFonts w:ascii="Times New Roman" w:hAnsi="Times New Roman"/>
          <w:sz w:val="24"/>
          <w:szCs w:val="24"/>
        </w:rPr>
        <w:t>.</w:t>
      </w:r>
    </w:p>
    <w:p w14:paraId="505EC8E0" w14:textId="77777777" w:rsidR="00F34C5B" w:rsidRDefault="00F34C5B" w:rsidP="004203CB">
      <w:pPr>
        <w:widowControl/>
        <w:tabs>
          <w:tab w:val="left" w:pos="360"/>
        </w:tabs>
        <w:ind w:left="360"/>
        <w:rPr>
          <w:rFonts w:ascii="Times New Roman" w:hAnsi="Times New Roman"/>
          <w:sz w:val="24"/>
          <w:szCs w:val="24"/>
        </w:rPr>
      </w:pPr>
    </w:p>
    <w:p w14:paraId="08051F7D" w14:textId="68ED0252" w:rsidR="00F34C5B" w:rsidRPr="008F4BDA" w:rsidRDefault="001A17C8" w:rsidP="004203CB">
      <w:pPr>
        <w:widowControl/>
        <w:tabs>
          <w:tab w:val="left" w:pos="360"/>
        </w:tabs>
        <w:rPr>
          <w:rFonts w:ascii="Times New Roman" w:hAnsi="Times New Roman"/>
          <w:sz w:val="24"/>
        </w:rPr>
      </w:pPr>
      <w:r>
        <w:rPr>
          <w:rFonts w:ascii="Times New Roman" w:hAnsi="Times New Roman"/>
          <w:sz w:val="24"/>
        </w:rPr>
        <w:tab/>
      </w:r>
      <w:r w:rsidR="00F34C5B">
        <w:rPr>
          <w:rFonts w:ascii="Times New Roman" w:hAnsi="Times New Roman"/>
          <w:sz w:val="24"/>
        </w:rPr>
        <w:t>Summary of p</w:t>
      </w:r>
      <w:r w:rsidR="00F34C5B" w:rsidRPr="008F4BDA">
        <w:rPr>
          <w:rFonts w:ascii="Times New Roman" w:hAnsi="Times New Roman"/>
          <w:sz w:val="24"/>
        </w:rPr>
        <w:t>assenger-car</w:t>
      </w:r>
      <w:r w:rsidR="00F34C5B">
        <w:rPr>
          <w:rFonts w:ascii="Times New Roman" w:hAnsi="Times New Roman"/>
          <w:sz w:val="24"/>
        </w:rPr>
        <w:t>rying commercial motor carriers’</w:t>
      </w:r>
      <w:r>
        <w:rPr>
          <w:rFonts w:ascii="Times New Roman" w:hAnsi="Times New Roman"/>
          <w:sz w:val="24"/>
        </w:rPr>
        <w:t xml:space="preserve"> marking costs:</w:t>
      </w:r>
    </w:p>
    <w:p w14:paraId="4FECF138" w14:textId="74053066" w:rsidR="00F34C5B" w:rsidRPr="00F34C5B" w:rsidRDefault="00F34C5B" w:rsidP="004203CB">
      <w:pPr>
        <w:widowControl/>
        <w:tabs>
          <w:tab w:val="left" w:pos="360"/>
        </w:tabs>
        <w:ind w:firstLine="360"/>
        <w:rPr>
          <w:rFonts w:ascii="Times New Roman" w:hAnsi="Times New Roman"/>
          <w:sz w:val="24"/>
        </w:rPr>
      </w:pPr>
    </w:p>
    <w:p w14:paraId="5F4D1EC0" w14:textId="39E80511" w:rsidR="00F34C5B" w:rsidRDefault="001A17C8" w:rsidP="004203CB">
      <w:pPr>
        <w:widowControl/>
        <w:ind w:left="360"/>
        <w:rPr>
          <w:rFonts w:ascii="Times New Roman" w:hAnsi="Times New Roman"/>
          <w:bCs/>
          <w:sz w:val="24"/>
          <w:szCs w:val="24"/>
        </w:rPr>
      </w:pPr>
      <w:r>
        <w:rPr>
          <w:rFonts w:ascii="Times New Roman" w:hAnsi="Times New Roman"/>
          <w:sz w:val="24"/>
        </w:rPr>
        <w:t>Passenger-carrying commercial motor carrier marking costs, on an annual basis</w:t>
      </w:r>
      <w:r w:rsidR="00AE5C3B">
        <w:rPr>
          <w:rFonts w:ascii="Times New Roman" w:hAnsi="Times New Roman"/>
          <w:sz w:val="24"/>
        </w:rPr>
        <w:t xml:space="preserve"> for the 36,000 impacted CMVs</w:t>
      </w:r>
      <w:r>
        <w:rPr>
          <w:rFonts w:ascii="Times New Roman" w:hAnsi="Times New Roman"/>
          <w:sz w:val="24"/>
        </w:rPr>
        <w:t xml:space="preserve">, are projected to total </w:t>
      </w:r>
      <w:r w:rsidRPr="00655CFC">
        <w:rPr>
          <w:rFonts w:ascii="Times New Roman" w:hAnsi="Times New Roman"/>
          <w:b/>
          <w:sz w:val="24"/>
        </w:rPr>
        <w:t>$</w:t>
      </w:r>
      <w:r w:rsidR="00A85D5D">
        <w:rPr>
          <w:rFonts w:ascii="Times New Roman" w:hAnsi="Times New Roman"/>
          <w:b/>
          <w:sz w:val="24"/>
        </w:rPr>
        <w:t>958,000</w:t>
      </w:r>
      <w:r>
        <w:rPr>
          <w:rFonts w:ascii="Times New Roman" w:hAnsi="Times New Roman"/>
          <w:sz w:val="24"/>
        </w:rPr>
        <w:t xml:space="preserve"> (</w:t>
      </w:r>
      <w:r w:rsidR="001D7CB8">
        <w:rPr>
          <w:rFonts w:ascii="Times New Roman" w:hAnsi="Times New Roman"/>
          <w:sz w:val="24"/>
        </w:rPr>
        <w:t>$</w:t>
      </w:r>
      <w:r w:rsidR="00A85D5D">
        <w:rPr>
          <w:rFonts w:ascii="Times New Roman" w:hAnsi="Times New Roman"/>
          <w:sz w:val="24"/>
        </w:rPr>
        <w:t>95</w:t>
      </w:r>
      <w:r w:rsidR="00144B2F">
        <w:rPr>
          <w:rFonts w:ascii="Times New Roman" w:hAnsi="Times New Roman"/>
          <w:sz w:val="24"/>
        </w:rPr>
        <w:t>8</w:t>
      </w:r>
      <w:r w:rsidR="00A85D5D">
        <w:rPr>
          <w:rFonts w:ascii="Times New Roman" w:hAnsi="Times New Roman"/>
          <w:sz w:val="24"/>
        </w:rPr>
        <w:t>,000</w:t>
      </w:r>
      <w:r w:rsidR="001D7CB8">
        <w:rPr>
          <w:rFonts w:ascii="Times New Roman" w:hAnsi="Times New Roman"/>
          <w:sz w:val="24"/>
        </w:rPr>
        <w:t xml:space="preserve"> </w:t>
      </w:r>
      <w:r w:rsidR="00655CFC">
        <w:rPr>
          <w:rFonts w:ascii="Times New Roman" w:hAnsi="Times New Roman"/>
          <w:sz w:val="24"/>
        </w:rPr>
        <w:t xml:space="preserve">= </w:t>
      </w:r>
      <w:r>
        <w:rPr>
          <w:rFonts w:ascii="Times New Roman" w:hAnsi="Times New Roman"/>
          <w:sz w:val="24"/>
        </w:rPr>
        <w:t>$</w:t>
      </w:r>
      <w:r w:rsidR="00144B2F">
        <w:rPr>
          <w:rFonts w:ascii="Times New Roman" w:hAnsi="Times New Roman"/>
          <w:sz w:val="24"/>
        </w:rPr>
        <w:t>890,000</w:t>
      </w:r>
      <w:r w:rsidR="00602583">
        <w:rPr>
          <w:rFonts w:ascii="Times New Roman" w:hAnsi="Times New Roman"/>
          <w:sz w:val="24"/>
        </w:rPr>
        <w:t xml:space="preserve"> + $</w:t>
      </w:r>
      <w:r w:rsidR="00A85D5D">
        <w:rPr>
          <w:rFonts w:ascii="Times New Roman" w:hAnsi="Times New Roman"/>
          <w:sz w:val="24"/>
        </w:rPr>
        <w:t>68,000</w:t>
      </w:r>
      <w:r w:rsidR="00E21F4D">
        <w:rPr>
          <w:rFonts w:ascii="Times New Roman" w:hAnsi="Times New Roman"/>
          <w:sz w:val="24"/>
        </w:rPr>
        <w:t xml:space="preserve">).  </w:t>
      </w:r>
      <w:r w:rsidR="00AE5C3B">
        <w:rPr>
          <w:rFonts w:ascii="Times New Roman" w:hAnsi="Times New Roman"/>
          <w:sz w:val="24"/>
        </w:rPr>
        <w:t>T</w:t>
      </w:r>
      <w:r w:rsidR="00E21F4D">
        <w:rPr>
          <w:rFonts w:ascii="Times New Roman" w:hAnsi="Times New Roman"/>
          <w:sz w:val="24"/>
        </w:rPr>
        <w:t>his equates to a per-CMV average of $</w:t>
      </w:r>
      <w:r w:rsidR="00FE406E">
        <w:rPr>
          <w:rFonts w:ascii="Times New Roman" w:hAnsi="Times New Roman"/>
          <w:sz w:val="24"/>
        </w:rPr>
        <w:t>26.</w:t>
      </w:r>
      <w:r w:rsidR="00AE5C3B">
        <w:rPr>
          <w:rFonts w:ascii="Times New Roman" w:hAnsi="Times New Roman"/>
          <w:sz w:val="24"/>
        </w:rPr>
        <w:t>61</w:t>
      </w:r>
      <w:r w:rsidR="00AC4DA4">
        <w:rPr>
          <w:rFonts w:ascii="Times New Roman" w:hAnsi="Times New Roman"/>
          <w:sz w:val="24"/>
        </w:rPr>
        <w:t xml:space="preserve"> </w:t>
      </w:r>
      <w:r w:rsidR="00E21F4D">
        <w:rPr>
          <w:rFonts w:ascii="Times New Roman" w:hAnsi="Times New Roman"/>
          <w:sz w:val="24"/>
        </w:rPr>
        <w:t>($2</w:t>
      </w:r>
      <w:r w:rsidR="00FE406E">
        <w:rPr>
          <w:rFonts w:ascii="Times New Roman" w:hAnsi="Times New Roman"/>
          <w:sz w:val="24"/>
        </w:rPr>
        <w:t>6.</w:t>
      </w:r>
      <w:r w:rsidR="00AE5C3B">
        <w:rPr>
          <w:rFonts w:ascii="Times New Roman" w:hAnsi="Times New Roman"/>
          <w:sz w:val="24"/>
        </w:rPr>
        <w:t>61</w:t>
      </w:r>
      <w:r w:rsidR="001323DD">
        <w:rPr>
          <w:rFonts w:ascii="Times New Roman" w:hAnsi="Times New Roman"/>
          <w:sz w:val="24"/>
        </w:rPr>
        <w:t xml:space="preserve"> </w:t>
      </w:r>
      <w:r w:rsidR="00E21F4D">
        <w:rPr>
          <w:rFonts w:ascii="Times New Roman" w:hAnsi="Times New Roman"/>
          <w:sz w:val="24"/>
        </w:rPr>
        <w:t>= $</w:t>
      </w:r>
      <w:r w:rsidR="00AE5C3B">
        <w:rPr>
          <w:rFonts w:ascii="Times New Roman" w:hAnsi="Times New Roman"/>
          <w:sz w:val="24"/>
        </w:rPr>
        <w:t>958,000</w:t>
      </w:r>
      <w:r w:rsidR="00AC4DA4">
        <w:rPr>
          <w:rFonts w:ascii="Times New Roman" w:hAnsi="Times New Roman"/>
          <w:sz w:val="24"/>
        </w:rPr>
        <w:t xml:space="preserve"> </w:t>
      </w:r>
      <w:r w:rsidR="00E21F4D" w:rsidRPr="008F4BDA">
        <w:rPr>
          <w:rFonts w:ascii="Times New Roman" w:hAnsi="Times New Roman"/>
          <w:bCs/>
          <w:sz w:val="24"/>
          <w:szCs w:val="24"/>
        </w:rPr>
        <w:t xml:space="preserve">÷ </w:t>
      </w:r>
      <w:r w:rsidR="00AE5C3B">
        <w:rPr>
          <w:rFonts w:ascii="Times New Roman" w:hAnsi="Times New Roman"/>
          <w:bCs/>
          <w:sz w:val="24"/>
          <w:szCs w:val="24"/>
        </w:rPr>
        <w:t>36,000</w:t>
      </w:r>
      <w:r w:rsidR="00E21F4D">
        <w:rPr>
          <w:rFonts w:ascii="Times New Roman" w:hAnsi="Times New Roman"/>
          <w:bCs/>
          <w:sz w:val="24"/>
          <w:szCs w:val="24"/>
        </w:rPr>
        <w:t>).</w:t>
      </w:r>
      <w:r w:rsidR="00E21F4D">
        <w:rPr>
          <w:rFonts w:ascii="Times New Roman" w:hAnsi="Times New Roman"/>
          <w:sz w:val="24"/>
        </w:rPr>
        <w:t xml:space="preserve"> </w:t>
      </w:r>
      <w:r w:rsidR="00CD0400">
        <w:rPr>
          <w:rFonts w:ascii="Times New Roman" w:hAnsi="Times New Roman"/>
          <w:sz w:val="24"/>
        </w:rPr>
        <w:t xml:space="preserve">Using the projected total of </w:t>
      </w:r>
      <w:r w:rsidR="003C4A64">
        <w:rPr>
          <w:rFonts w:ascii="Times New Roman" w:hAnsi="Times New Roman"/>
          <w:sz w:val="24"/>
        </w:rPr>
        <w:t>5,000 impacted</w:t>
      </w:r>
      <w:r w:rsidR="00CD0400">
        <w:rPr>
          <w:rFonts w:ascii="Times New Roman" w:hAnsi="Times New Roman"/>
          <w:sz w:val="24"/>
        </w:rPr>
        <w:t xml:space="preserve"> carriers, this equates to $</w:t>
      </w:r>
      <w:r w:rsidR="003053D2">
        <w:rPr>
          <w:rFonts w:ascii="Times New Roman" w:hAnsi="Times New Roman"/>
          <w:sz w:val="24"/>
        </w:rPr>
        <w:t>191.60</w:t>
      </w:r>
      <w:r w:rsidR="00CD0400">
        <w:rPr>
          <w:rFonts w:ascii="Times New Roman" w:hAnsi="Times New Roman"/>
          <w:sz w:val="24"/>
        </w:rPr>
        <w:t xml:space="preserve"> per </w:t>
      </w:r>
      <w:r w:rsidR="00CF0F3E">
        <w:rPr>
          <w:rFonts w:ascii="Times New Roman" w:hAnsi="Times New Roman"/>
          <w:sz w:val="24"/>
        </w:rPr>
        <w:t xml:space="preserve">impacted </w:t>
      </w:r>
      <w:r w:rsidR="00CD0400">
        <w:rPr>
          <w:rFonts w:ascii="Times New Roman" w:hAnsi="Times New Roman"/>
          <w:sz w:val="24"/>
        </w:rPr>
        <w:t>carrier ($</w:t>
      </w:r>
      <w:r w:rsidR="00C379CD">
        <w:rPr>
          <w:rFonts w:ascii="Times New Roman" w:hAnsi="Times New Roman"/>
          <w:sz w:val="24"/>
        </w:rPr>
        <w:t>191.60 = $958,000</w:t>
      </w:r>
      <w:r w:rsidR="00E21F4D">
        <w:rPr>
          <w:rFonts w:ascii="Times New Roman" w:hAnsi="Times New Roman"/>
          <w:sz w:val="24"/>
        </w:rPr>
        <w:t xml:space="preserve"> </w:t>
      </w:r>
      <w:r w:rsidR="00CD0400" w:rsidRPr="008F4BDA">
        <w:rPr>
          <w:rFonts w:ascii="Times New Roman" w:hAnsi="Times New Roman"/>
          <w:bCs/>
          <w:sz w:val="24"/>
          <w:szCs w:val="24"/>
        </w:rPr>
        <w:t>÷</w:t>
      </w:r>
      <w:r w:rsidR="00CD0400">
        <w:rPr>
          <w:rFonts w:ascii="Times New Roman" w:hAnsi="Times New Roman"/>
          <w:bCs/>
          <w:sz w:val="24"/>
          <w:szCs w:val="24"/>
        </w:rPr>
        <w:t xml:space="preserve"> </w:t>
      </w:r>
      <w:r w:rsidR="004C7AEC">
        <w:rPr>
          <w:rFonts w:ascii="Times New Roman" w:hAnsi="Times New Roman"/>
          <w:bCs/>
          <w:sz w:val="24"/>
          <w:szCs w:val="24"/>
        </w:rPr>
        <w:t>5,000</w:t>
      </w:r>
      <w:r w:rsidR="00CD0400">
        <w:rPr>
          <w:rFonts w:ascii="Times New Roman" w:hAnsi="Times New Roman"/>
          <w:bCs/>
          <w:sz w:val="24"/>
          <w:szCs w:val="24"/>
        </w:rPr>
        <w:t>).</w:t>
      </w:r>
    </w:p>
    <w:p w14:paraId="169DE80E" w14:textId="77777777" w:rsidR="004203CB" w:rsidRPr="008F4BDA" w:rsidRDefault="004203CB" w:rsidP="004203CB">
      <w:pPr>
        <w:widowControl/>
        <w:ind w:left="360"/>
        <w:rPr>
          <w:rFonts w:ascii="Times New Roman" w:hAnsi="Times New Roman"/>
          <w:sz w:val="24"/>
          <w:szCs w:val="24"/>
        </w:rPr>
      </w:pPr>
    </w:p>
    <w:p w14:paraId="74E122CE" w14:textId="77777777" w:rsidR="008F4BDA" w:rsidRPr="008F4BDA" w:rsidRDefault="008F4BDA" w:rsidP="004203CB">
      <w:pPr>
        <w:keepNext/>
        <w:widowControl/>
        <w:numPr>
          <w:ilvl w:val="0"/>
          <w:numId w:val="36"/>
        </w:numPr>
        <w:tabs>
          <w:tab w:val="left" w:pos="360"/>
        </w:tabs>
        <w:rPr>
          <w:rFonts w:ascii="Times New Roman" w:hAnsi="Times New Roman"/>
          <w:sz w:val="24"/>
        </w:rPr>
      </w:pPr>
      <w:r w:rsidRPr="008F4BDA">
        <w:rPr>
          <w:rFonts w:ascii="Times New Roman" w:hAnsi="Times New Roman"/>
          <w:sz w:val="24"/>
        </w:rPr>
        <w:t>Intermodal equipment providers.</w:t>
      </w:r>
    </w:p>
    <w:p w14:paraId="7C012016" w14:textId="77777777" w:rsidR="008F4BDA" w:rsidRPr="008F4BDA" w:rsidRDefault="008F4BDA" w:rsidP="004203CB">
      <w:pPr>
        <w:keepNext/>
        <w:widowControl/>
        <w:ind w:left="720"/>
        <w:rPr>
          <w:rFonts w:ascii="Times New Roman" w:hAnsi="Times New Roman"/>
        </w:rPr>
      </w:pPr>
    </w:p>
    <w:p w14:paraId="5238DCE9" w14:textId="6123CD48" w:rsidR="008F4BDA" w:rsidRDefault="008F4BDA" w:rsidP="004203CB">
      <w:pPr>
        <w:widowControl/>
        <w:ind w:left="360"/>
        <w:rPr>
          <w:rFonts w:ascii="Times New Roman" w:hAnsi="Times New Roman"/>
          <w:bCs/>
          <w:sz w:val="24"/>
          <w:szCs w:val="24"/>
        </w:rPr>
      </w:pPr>
      <w:r w:rsidRPr="008F4BDA">
        <w:rPr>
          <w:rFonts w:ascii="Times New Roman" w:hAnsi="Times New Roman"/>
          <w:sz w:val="24"/>
          <w:szCs w:val="24"/>
        </w:rPr>
        <w:t xml:space="preserve">As stated above, the overwhelming majority (90 percent) of IEPs voluntarily </w:t>
      </w:r>
      <w:r w:rsidRPr="008F4BDA">
        <w:rPr>
          <w:rFonts w:ascii="Times New Roman" w:hAnsi="Times New Roman"/>
          <w:bCs/>
          <w:sz w:val="24"/>
          <w:szCs w:val="24"/>
        </w:rPr>
        <w:t xml:space="preserve">mark their vehicles and equipment electronically into the Intermodal Association of North America (IANA) database. Actual physical marking is assumed of the remaining 10 percent of those entities.  The total number of equipment owned, leased or rented by that segment of IEPs and that would require marking was estimated at 21,000.  The cost per entity depends on the quantity and combination of equipment which varies considerably.  For simplicity, the Agency applies the average number of units per fleet for all IEPs, i.e., </w:t>
      </w:r>
      <w:r w:rsidR="00E36FDD">
        <w:rPr>
          <w:rFonts w:ascii="Times New Roman" w:hAnsi="Times New Roman"/>
          <w:bCs/>
          <w:sz w:val="24"/>
          <w:szCs w:val="24"/>
        </w:rPr>
        <w:t>1,900</w:t>
      </w:r>
      <w:r w:rsidRPr="008F4BDA">
        <w:rPr>
          <w:rFonts w:ascii="Times New Roman" w:hAnsi="Times New Roman"/>
          <w:bCs/>
          <w:sz w:val="24"/>
          <w:szCs w:val="24"/>
        </w:rPr>
        <w:t xml:space="preserve"> per year (21,000 impacted </w:t>
      </w:r>
      <w:proofErr w:type="gramStart"/>
      <w:r w:rsidRPr="008F4BDA">
        <w:rPr>
          <w:rFonts w:ascii="Times New Roman" w:hAnsi="Times New Roman"/>
          <w:bCs/>
          <w:sz w:val="24"/>
          <w:szCs w:val="24"/>
        </w:rPr>
        <w:t>units</w:t>
      </w:r>
      <w:proofErr w:type="gramEnd"/>
      <w:r w:rsidRPr="008F4BDA">
        <w:rPr>
          <w:rFonts w:ascii="Times New Roman" w:hAnsi="Times New Roman"/>
          <w:bCs/>
          <w:sz w:val="24"/>
          <w:szCs w:val="24"/>
        </w:rPr>
        <w:t xml:space="preserve"> ÷ </w:t>
      </w:r>
      <w:r w:rsidR="00E36FDD">
        <w:rPr>
          <w:rFonts w:ascii="Times New Roman" w:hAnsi="Times New Roman"/>
          <w:bCs/>
          <w:sz w:val="24"/>
          <w:szCs w:val="24"/>
        </w:rPr>
        <w:t>11</w:t>
      </w:r>
      <w:r w:rsidR="00E36FDD" w:rsidRPr="008F4BDA">
        <w:rPr>
          <w:rFonts w:ascii="Times New Roman" w:hAnsi="Times New Roman"/>
          <w:bCs/>
          <w:sz w:val="24"/>
          <w:szCs w:val="24"/>
        </w:rPr>
        <w:t xml:space="preserve"> </w:t>
      </w:r>
      <w:r w:rsidRPr="008F4BDA">
        <w:rPr>
          <w:rFonts w:ascii="Times New Roman" w:hAnsi="Times New Roman"/>
          <w:bCs/>
          <w:sz w:val="24"/>
          <w:szCs w:val="24"/>
        </w:rPr>
        <w:t xml:space="preserve">IEPs, rounded to </w:t>
      </w:r>
      <w:r w:rsidR="00F255D7">
        <w:rPr>
          <w:rFonts w:ascii="Times New Roman" w:hAnsi="Times New Roman"/>
          <w:bCs/>
          <w:sz w:val="24"/>
          <w:szCs w:val="24"/>
        </w:rPr>
        <w:t xml:space="preserve">the </w:t>
      </w:r>
      <w:r w:rsidRPr="008F4BDA">
        <w:rPr>
          <w:rFonts w:ascii="Times New Roman" w:hAnsi="Times New Roman"/>
          <w:bCs/>
          <w:sz w:val="24"/>
          <w:szCs w:val="24"/>
        </w:rPr>
        <w:t xml:space="preserve">nearest hundred).  Regarding the cost of marking per unit, the Agency applies the total cost (DOT# and name material costs) </w:t>
      </w:r>
      <w:r w:rsidR="00761FD5">
        <w:rPr>
          <w:rFonts w:ascii="Times New Roman" w:hAnsi="Times New Roman"/>
          <w:bCs/>
          <w:sz w:val="24"/>
          <w:szCs w:val="24"/>
        </w:rPr>
        <w:t>akin those in Table 4</w:t>
      </w:r>
      <w:r w:rsidRPr="008F4BDA">
        <w:rPr>
          <w:rFonts w:ascii="Times New Roman" w:hAnsi="Times New Roman"/>
          <w:bCs/>
          <w:sz w:val="24"/>
          <w:szCs w:val="24"/>
        </w:rPr>
        <w:t xml:space="preserve"> </w:t>
      </w:r>
      <w:r w:rsidR="00761FD5">
        <w:rPr>
          <w:rFonts w:ascii="Times New Roman" w:hAnsi="Times New Roman"/>
          <w:bCs/>
          <w:sz w:val="24"/>
          <w:szCs w:val="24"/>
        </w:rPr>
        <w:t>specific to</w:t>
      </w:r>
      <w:r w:rsidRPr="008F4BDA">
        <w:rPr>
          <w:rFonts w:ascii="Times New Roman" w:hAnsi="Times New Roman"/>
          <w:bCs/>
          <w:sz w:val="24"/>
          <w:szCs w:val="24"/>
        </w:rPr>
        <w:t xml:space="preserve"> freight carriers</w:t>
      </w:r>
      <w:r w:rsidR="00761FD5">
        <w:rPr>
          <w:rFonts w:ascii="Times New Roman" w:hAnsi="Times New Roman"/>
          <w:bCs/>
          <w:sz w:val="24"/>
          <w:szCs w:val="24"/>
        </w:rPr>
        <w:t xml:space="preserve"> with 1,000+ units.</w:t>
      </w:r>
      <w:r w:rsidRPr="008F4BDA">
        <w:rPr>
          <w:rFonts w:ascii="Times New Roman" w:hAnsi="Times New Roman"/>
          <w:bCs/>
          <w:sz w:val="24"/>
          <w:szCs w:val="24"/>
        </w:rPr>
        <w:t xml:space="preserve">  That cost estimate is $3.50 per unit, which is the inflation-adjusted estimate of the number submitted in the Final Regulatory Evaluation submitted in the original Final Rule.  </w:t>
      </w:r>
    </w:p>
    <w:p w14:paraId="046FC294" w14:textId="77777777" w:rsidR="00EE31B4" w:rsidRPr="008F4BDA" w:rsidRDefault="00EE31B4" w:rsidP="004203CB">
      <w:pPr>
        <w:widowControl/>
        <w:ind w:left="360"/>
        <w:rPr>
          <w:rFonts w:ascii="Times New Roman" w:hAnsi="Times New Roman"/>
          <w:bCs/>
          <w:sz w:val="24"/>
          <w:szCs w:val="24"/>
        </w:rPr>
      </w:pPr>
    </w:p>
    <w:p w14:paraId="6A7FA64B" w14:textId="7D26FDFA" w:rsidR="008F4BDA" w:rsidRPr="004203CB" w:rsidRDefault="008F4BDA" w:rsidP="004203CB">
      <w:pPr>
        <w:widowControl/>
        <w:spacing w:after="200"/>
        <w:ind w:left="86"/>
        <w:jc w:val="center"/>
        <w:rPr>
          <w:rFonts w:ascii="Times New Roman" w:hAnsi="Times New Roman"/>
          <w:b/>
          <w:bCs/>
          <w:sz w:val="24"/>
          <w:szCs w:val="24"/>
        </w:rPr>
      </w:pPr>
      <w:proofErr w:type="gramStart"/>
      <w:r w:rsidRPr="004203CB">
        <w:rPr>
          <w:rFonts w:ascii="Times New Roman" w:hAnsi="Times New Roman"/>
          <w:b/>
          <w:bCs/>
          <w:sz w:val="24"/>
          <w:szCs w:val="24"/>
        </w:rPr>
        <w:t xml:space="preserve">Table </w:t>
      </w:r>
      <w:r w:rsidR="00AF45FA" w:rsidRPr="004203CB">
        <w:rPr>
          <w:rFonts w:ascii="Times New Roman" w:hAnsi="Times New Roman"/>
          <w:b/>
          <w:bCs/>
          <w:sz w:val="24"/>
          <w:szCs w:val="24"/>
        </w:rPr>
        <w:t>9</w:t>
      </w:r>
      <w:r w:rsidRPr="004203CB">
        <w:rPr>
          <w:rFonts w:ascii="Times New Roman" w:hAnsi="Times New Roman"/>
          <w:b/>
          <w:bCs/>
          <w:sz w:val="24"/>
          <w:szCs w:val="24"/>
        </w:rPr>
        <w:t>.</w:t>
      </w:r>
      <w:proofErr w:type="gramEnd"/>
      <w:r w:rsidRPr="004203CB">
        <w:rPr>
          <w:rFonts w:ascii="Times New Roman" w:hAnsi="Times New Roman"/>
          <w:b/>
          <w:bCs/>
          <w:sz w:val="24"/>
          <w:szCs w:val="24"/>
        </w:rPr>
        <w:t xml:space="preserve"> Estimated Marking Cost per IEP</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gridCol w:w="1660"/>
      </w:tblGrid>
      <w:tr w:rsidR="008F4BDA" w:rsidRPr="008F4BDA" w14:paraId="3521DC87" w14:textId="77777777" w:rsidTr="00DA36E4">
        <w:trPr>
          <w:trHeight w:hRule="exact" w:val="315"/>
          <w:jc w:val="center"/>
        </w:trPr>
        <w:tc>
          <w:tcPr>
            <w:tcW w:w="3320" w:type="dxa"/>
            <w:gridSpan w:val="2"/>
            <w:tcBorders>
              <w:top w:val="single" w:sz="18" w:space="0" w:color="auto"/>
              <w:left w:val="single" w:sz="18" w:space="0" w:color="auto"/>
              <w:bottom w:val="single" w:sz="4" w:space="0" w:color="auto"/>
              <w:right w:val="single" w:sz="18" w:space="0" w:color="auto"/>
            </w:tcBorders>
            <w:shd w:val="clear" w:color="auto" w:fill="D9D9D9"/>
            <w:vAlign w:val="center"/>
            <w:hideMark/>
          </w:tcPr>
          <w:p w14:paraId="3E1B684F" w14:textId="77777777" w:rsidR="008F4BDA" w:rsidRPr="008F4BDA" w:rsidRDefault="008F4BDA" w:rsidP="004203CB">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Material Cost, per Vehicle</w:t>
            </w:r>
          </w:p>
        </w:tc>
        <w:tc>
          <w:tcPr>
            <w:tcW w:w="1660" w:type="dxa"/>
            <w:vMerge w:val="restart"/>
            <w:tcBorders>
              <w:top w:val="single" w:sz="18" w:space="0" w:color="auto"/>
              <w:left w:val="single" w:sz="18" w:space="0" w:color="auto"/>
            </w:tcBorders>
            <w:shd w:val="clear" w:color="auto" w:fill="D9D9D9"/>
            <w:vAlign w:val="center"/>
            <w:hideMark/>
          </w:tcPr>
          <w:p w14:paraId="3C7D691B"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Unit</w:t>
            </w:r>
          </w:p>
        </w:tc>
        <w:tc>
          <w:tcPr>
            <w:tcW w:w="1660" w:type="dxa"/>
            <w:vMerge w:val="restart"/>
            <w:tcBorders>
              <w:top w:val="single" w:sz="18" w:space="0" w:color="auto"/>
            </w:tcBorders>
            <w:shd w:val="clear" w:color="auto" w:fill="D9D9D9"/>
            <w:vAlign w:val="center"/>
          </w:tcPr>
          <w:p w14:paraId="3235F272"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Annual Impacted Units per IEP</w:t>
            </w:r>
          </w:p>
        </w:tc>
        <w:tc>
          <w:tcPr>
            <w:tcW w:w="1660" w:type="dxa"/>
            <w:vMerge w:val="restart"/>
            <w:tcBorders>
              <w:top w:val="single" w:sz="18" w:space="0" w:color="auto"/>
              <w:right w:val="single" w:sz="18" w:space="0" w:color="auto"/>
            </w:tcBorders>
            <w:shd w:val="clear" w:color="auto" w:fill="D9D9D9"/>
            <w:vAlign w:val="center"/>
          </w:tcPr>
          <w:p w14:paraId="5AA2DDBF"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per Average Size IEP per year</w:t>
            </w:r>
          </w:p>
        </w:tc>
      </w:tr>
      <w:tr w:rsidR="008F4BDA" w:rsidRPr="008F4BDA" w14:paraId="2B839620" w14:textId="77777777" w:rsidTr="00DA36E4">
        <w:trPr>
          <w:trHeight w:val="630"/>
          <w:jc w:val="center"/>
        </w:trPr>
        <w:tc>
          <w:tcPr>
            <w:tcW w:w="1660" w:type="dxa"/>
            <w:tcBorders>
              <w:top w:val="single" w:sz="18" w:space="0" w:color="auto"/>
              <w:left w:val="single" w:sz="18" w:space="0" w:color="auto"/>
              <w:bottom w:val="single" w:sz="18" w:space="0" w:color="auto"/>
            </w:tcBorders>
            <w:shd w:val="clear" w:color="auto" w:fill="D9D9D9"/>
            <w:vAlign w:val="center"/>
            <w:hideMark/>
          </w:tcPr>
          <w:p w14:paraId="6F15EF59" w14:textId="77777777" w:rsidR="008F4BDA" w:rsidRPr="008F4BDA" w:rsidRDefault="008F4BDA" w:rsidP="004203CB">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13"/>
                <w:sz w:val="22"/>
                <w:szCs w:val="22"/>
              </w:rPr>
              <w:t>DOT#</w:t>
            </w:r>
          </w:p>
        </w:tc>
        <w:tc>
          <w:tcPr>
            <w:tcW w:w="1660" w:type="dxa"/>
            <w:tcBorders>
              <w:top w:val="single" w:sz="18" w:space="0" w:color="auto"/>
              <w:right w:val="single" w:sz="18" w:space="0" w:color="auto"/>
            </w:tcBorders>
            <w:shd w:val="clear" w:color="auto" w:fill="D9D9D9"/>
            <w:vAlign w:val="center"/>
            <w:hideMark/>
          </w:tcPr>
          <w:p w14:paraId="378C0E09" w14:textId="77777777" w:rsidR="008F4BDA" w:rsidRPr="008F4BDA" w:rsidRDefault="008F4BDA" w:rsidP="004203CB">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Name</w:t>
            </w:r>
          </w:p>
        </w:tc>
        <w:tc>
          <w:tcPr>
            <w:tcW w:w="1660" w:type="dxa"/>
            <w:vMerge/>
            <w:tcBorders>
              <w:left w:val="single" w:sz="18" w:space="0" w:color="auto"/>
            </w:tcBorders>
            <w:vAlign w:val="center"/>
            <w:hideMark/>
          </w:tcPr>
          <w:p w14:paraId="13034DE8"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p>
        </w:tc>
        <w:tc>
          <w:tcPr>
            <w:tcW w:w="1660" w:type="dxa"/>
            <w:vMerge/>
            <w:vAlign w:val="center"/>
          </w:tcPr>
          <w:p w14:paraId="00D08092"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p>
        </w:tc>
        <w:tc>
          <w:tcPr>
            <w:tcW w:w="1660" w:type="dxa"/>
            <w:vMerge/>
            <w:tcBorders>
              <w:right w:val="single" w:sz="18" w:space="0" w:color="auto"/>
            </w:tcBorders>
            <w:vAlign w:val="center"/>
          </w:tcPr>
          <w:p w14:paraId="59E118DC" w14:textId="77777777" w:rsidR="008F4BDA" w:rsidRPr="008F4BDA" w:rsidRDefault="008F4BDA" w:rsidP="004203CB">
            <w:pPr>
              <w:widowControl/>
              <w:autoSpaceDE/>
              <w:autoSpaceDN/>
              <w:adjustRightInd/>
              <w:jc w:val="center"/>
              <w:rPr>
                <w:rFonts w:ascii="Times New Roman" w:hAnsi="Times New Roman"/>
                <w:b/>
                <w:bCs/>
                <w:color w:val="000000"/>
                <w:sz w:val="22"/>
                <w:szCs w:val="22"/>
              </w:rPr>
            </w:pPr>
          </w:p>
        </w:tc>
      </w:tr>
      <w:tr w:rsidR="008F4BDA" w:rsidRPr="008F4BDA" w14:paraId="5EB312A9" w14:textId="77777777" w:rsidTr="00DA36E4">
        <w:trPr>
          <w:trHeight w:val="315"/>
          <w:jc w:val="center"/>
        </w:trPr>
        <w:tc>
          <w:tcPr>
            <w:tcW w:w="1660" w:type="dxa"/>
            <w:tcBorders>
              <w:top w:val="single" w:sz="18" w:space="0" w:color="auto"/>
              <w:left w:val="single" w:sz="18" w:space="0" w:color="auto"/>
              <w:bottom w:val="single" w:sz="18" w:space="0" w:color="auto"/>
            </w:tcBorders>
            <w:shd w:val="clear" w:color="auto" w:fill="auto"/>
            <w:vAlign w:val="center"/>
            <w:hideMark/>
          </w:tcPr>
          <w:p w14:paraId="722325A2" w14:textId="77777777" w:rsidR="008F4BDA" w:rsidRPr="008F4BDA" w:rsidRDefault="008F4BDA" w:rsidP="004203CB">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$1.40</w:t>
            </w:r>
          </w:p>
        </w:tc>
        <w:tc>
          <w:tcPr>
            <w:tcW w:w="1660" w:type="dxa"/>
            <w:tcBorders>
              <w:top w:val="single" w:sz="18" w:space="0" w:color="auto"/>
              <w:bottom w:val="single" w:sz="18" w:space="0" w:color="auto"/>
              <w:right w:val="single" w:sz="18" w:space="0" w:color="auto"/>
            </w:tcBorders>
            <w:shd w:val="clear" w:color="auto" w:fill="auto"/>
            <w:vAlign w:val="center"/>
            <w:hideMark/>
          </w:tcPr>
          <w:p w14:paraId="4967BA27" w14:textId="77777777" w:rsidR="008F4BDA" w:rsidRPr="008F4BDA" w:rsidRDefault="008F4BDA"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$2.10</w:t>
            </w:r>
          </w:p>
        </w:tc>
        <w:tc>
          <w:tcPr>
            <w:tcW w:w="1660" w:type="dxa"/>
            <w:tcBorders>
              <w:top w:val="single" w:sz="18" w:space="0" w:color="auto"/>
              <w:left w:val="single" w:sz="18" w:space="0" w:color="auto"/>
              <w:bottom w:val="single" w:sz="18" w:space="0" w:color="auto"/>
            </w:tcBorders>
            <w:shd w:val="clear" w:color="auto" w:fill="auto"/>
            <w:vAlign w:val="center"/>
            <w:hideMark/>
          </w:tcPr>
          <w:p w14:paraId="2B5D3F37" w14:textId="77777777" w:rsidR="008F4BDA" w:rsidRPr="008F4BDA" w:rsidRDefault="008F4BDA"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$3.50</w:t>
            </w:r>
          </w:p>
        </w:tc>
        <w:tc>
          <w:tcPr>
            <w:tcW w:w="1660" w:type="dxa"/>
            <w:tcBorders>
              <w:top w:val="single" w:sz="18" w:space="0" w:color="auto"/>
              <w:bottom w:val="single" w:sz="18" w:space="0" w:color="auto"/>
            </w:tcBorders>
            <w:vAlign w:val="center"/>
          </w:tcPr>
          <w:p w14:paraId="334EDAAD" w14:textId="3C425894" w:rsidR="008F4BDA" w:rsidRPr="008F4BDA" w:rsidRDefault="00345971"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1,900</w:t>
            </w:r>
          </w:p>
        </w:tc>
        <w:tc>
          <w:tcPr>
            <w:tcW w:w="1660" w:type="dxa"/>
            <w:tcBorders>
              <w:top w:val="single" w:sz="18" w:space="0" w:color="auto"/>
              <w:bottom w:val="single" w:sz="18" w:space="0" w:color="auto"/>
              <w:right w:val="single" w:sz="18" w:space="0" w:color="auto"/>
            </w:tcBorders>
            <w:vAlign w:val="center"/>
          </w:tcPr>
          <w:p w14:paraId="7327F370" w14:textId="584D02D4" w:rsidR="008F4BDA" w:rsidRPr="008F4BDA" w:rsidRDefault="008F4BDA"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sidR="00345971">
              <w:rPr>
                <w:rFonts w:ascii="Times New Roman" w:hAnsi="Times New Roman"/>
                <w:color w:val="000000"/>
                <w:sz w:val="22"/>
                <w:szCs w:val="22"/>
              </w:rPr>
              <w:t>6,650</w:t>
            </w:r>
          </w:p>
        </w:tc>
      </w:tr>
    </w:tbl>
    <w:p w14:paraId="16DFCAB8" w14:textId="77777777" w:rsidR="008F4BDA" w:rsidRPr="008F4BDA" w:rsidRDefault="008F4BDA" w:rsidP="004203CB">
      <w:pPr>
        <w:widowControl/>
        <w:ind w:left="90"/>
        <w:rPr>
          <w:rFonts w:ascii="Times New Roman" w:hAnsi="Times New Roman"/>
          <w:sz w:val="24"/>
          <w:szCs w:val="24"/>
        </w:rPr>
      </w:pPr>
    </w:p>
    <w:p w14:paraId="2270A8D9" w14:textId="7462C6C7"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Table </w:t>
      </w:r>
      <w:r w:rsidR="00AF45FA">
        <w:rPr>
          <w:rFonts w:ascii="Times New Roman" w:hAnsi="Times New Roman"/>
          <w:bCs/>
          <w:sz w:val="24"/>
          <w:szCs w:val="24"/>
        </w:rPr>
        <w:t>9</w:t>
      </w:r>
      <w:r w:rsidRPr="008F4BDA">
        <w:rPr>
          <w:rFonts w:ascii="Times New Roman" w:hAnsi="Times New Roman"/>
          <w:bCs/>
          <w:sz w:val="24"/>
          <w:szCs w:val="24"/>
        </w:rPr>
        <w:t xml:space="preserve"> presents the average marking cost per IEP</w:t>
      </w:r>
      <w:r w:rsidR="00A1279B">
        <w:rPr>
          <w:rFonts w:ascii="Times New Roman" w:hAnsi="Times New Roman"/>
          <w:bCs/>
          <w:sz w:val="24"/>
          <w:szCs w:val="24"/>
        </w:rPr>
        <w:t>, which</w:t>
      </w:r>
      <w:r w:rsidRPr="008F4BDA">
        <w:rPr>
          <w:rFonts w:ascii="Times New Roman" w:hAnsi="Times New Roman"/>
          <w:bCs/>
          <w:sz w:val="24"/>
          <w:szCs w:val="24"/>
        </w:rPr>
        <w:t xml:space="preserve"> is $</w:t>
      </w:r>
      <w:r w:rsidR="00A1279B">
        <w:rPr>
          <w:rFonts w:ascii="Times New Roman" w:hAnsi="Times New Roman"/>
          <w:bCs/>
          <w:sz w:val="24"/>
          <w:szCs w:val="24"/>
        </w:rPr>
        <w:t>6,650</w:t>
      </w:r>
      <w:r w:rsidRPr="008F4BDA">
        <w:rPr>
          <w:rFonts w:ascii="Times New Roman" w:hAnsi="Times New Roman"/>
          <w:bCs/>
          <w:sz w:val="24"/>
          <w:szCs w:val="24"/>
        </w:rPr>
        <w:t xml:space="preserve"> ($3.50 × approximately </w:t>
      </w:r>
      <w:r w:rsidR="00A1279B">
        <w:rPr>
          <w:rFonts w:ascii="Times New Roman" w:hAnsi="Times New Roman"/>
          <w:bCs/>
          <w:sz w:val="24"/>
          <w:szCs w:val="24"/>
        </w:rPr>
        <w:t>1,900</w:t>
      </w:r>
      <w:r w:rsidRPr="008F4BDA">
        <w:rPr>
          <w:rFonts w:ascii="Times New Roman" w:hAnsi="Times New Roman"/>
          <w:bCs/>
          <w:sz w:val="24"/>
          <w:szCs w:val="24"/>
        </w:rPr>
        <w:t xml:space="preserve"> units per IEP).  The total material cost for all IEPs impacted by the marking rule is </w:t>
      </w:r>
      <w:r w:rsidRPr="008F4BDA">
        <w:rPr>
          <w:rFonts w:ascii="Times New Roman" w:hAnsi="Times New Roman"/>
          <w:b/>
          <w:bCs/>
          <w:sz w:val="24"/>
          <w:szCs w:val="24"/>
        </w:rPr>
        <w:t>$74,000</w:t>
      </w:r>
      <w:r w:rsidRPr="008F4BDA">
        <w:rPr>
          <w:rFonts w:ascii="Times New Roman" w:hAnsi="Times New Roman"/>
          <w:bCs/>
          <w:sz w:val="24"/>
          <w:szCs w:val="24"/>
        </w:rPr>
        <w:t xml:space="preserve"> ($3.50 per unit × approximately 21,000 units, rounded to the nearest thousand).    </w:t>
      </w:r>
    </w:p>
    <w:p w14:paraId="570A428E" w14:textId="77777777" w:rsidR="008F4BDA" w:rsidRPr="008F4BDA" w:rsidRDefault="008F4BDA" w:rsidP="004203CB">
      <w:pPr>
        <w:widowControl/>
        <w:rPr>
          <w:rFonts w:ascii="Times New Roman" w:hAnsi="Times New Roman"/>
        </w:rPr>
      </w:pPr>
    </w:p>
    <w:p w14:paraId="3FA8247E" w14:textId="77777777" w:rsidR="009C2D8C" w:rsidRPr="008F4BDA" w:rsidRDefault="009C2D8C" w:rsidP="004203CB">
      <w:pPr>
        <w:widowControl/>
        <w:tabs>
          <w:tab w:val="left" w:pos="360"/>
        </w:tabs>
        <w:ind w:firstLine="360"/>
        <w:rPr>
          <w:rFonts w:ascii="Times New Roman" w:hAnsi="Times New Roman"/>
          <w:b/>
          <w:sz w:val="24"/>
        </w:rPr>
      </w:pPr>
      <w:r w:rsidRPr="008F4BDA">
        <w:rPr>
          <w:rFonts w:ascii="Times New Roman" w:hAnsi="Times New Roman"/>
          <w:b/>
          <w:sz w:val="24"/>
        </w:rPr>
        <w:t>Summary</w:t>
      </w:r>
    </w:p>
    <w:p w14:paraId="308CC69F" w14:textId="77777777" w:rsidR="009C2D8C" w:rsidRPr="008F4BDA" w:rsidRDefault="009C2D8C" w:rsidP="004203CB">
      <w:pPr>
        <w:widowControl/>
        <w:ind w:left="360"/>
        <w:rPr>
          <w:rFonts w:ascii="Times New Roman" w:hAnsi="Times New Roman"/>
          <w:b/>
          <w:sz w:val="24"/>
        </w:rPr>
      </w:pPr>
    </w:p>
    <w:p w14:paraId="23AC9B3A" w14:textId="0C70B45C" w:rsidR="009C2D8C" w:rsidRPr="008F4BDA" w:rsidRDefault="009C2D8C" w:rsidP="004203CB">
      <w:pPr>
        <w:widowControl/>
        <w:ind w:left="360"/>
        <w:rPr>
          <w:rFonts w:ascii="Times New Roman" w:hAnsi="Times New Roman"/>
          <w:sz w:val="24"/>
        </w:rPr>
      </w:pPr>
      <w:r w:rsidRPr="008F4BDA">
        <w:rPr>
          <w:rFonts w:ascii="Times New Roman" w:hAnsi="Times New Roman"/>
          <w:sz w:val="24"/>
        </w:rPr>
        <w:t xml:space="preserve">Table </w:t>
      </w:r>
      <w:r w:rsidR="00AF45FA">
        <w:rPr>
          <w:rFonts w:ascii="Times New Roman" w:hAnsi="Times New Roman"/>
          <w:sz w:val="24"/>
        </w:rPr>
        <w:t>10</w:t>
      </w:r>
      <w:r w:rsidRPr="008F4BDA">
        <w:rPr>
          <w:rFonts w:ascii="Times New Roman" w:hAnsi="Times New Roman"/>
          <w:sz w:val="24"/>
        </w:rPr>
        <w:t xml:space="preserve"> presents the average cost incurred per carrier/IEP and total cost for all carriers/IEPs.  The average cost per freight carrier is estimated as a weighted average of the fleet size categories.</w:t>
      </w:r>
    </w:p>
    <w:p w14:paraId="2FCBD544" w14:textId="77777777" w:rsidR="009C2D8C" w:rsidRPr="008F4BDA" w:rsidRDefault="009C2D8C" w:rsidP="004203CB">
      <w:pPr>
        <w:widowControl/>
        <w:ind w:left="360"/>
        <w:rPr>
          <w:rFonts w:ascii="Times New Roman" w:hAnsi="Times New Roman"/>
          <w:sz w:val="24"/>
        </w:rPr>
      </w:pPr>
    </w:p>
    <w:p w14:paraId="39C15956" w14:textId="4E8855C5" w:rsidR="009C2D8C" w:rsidRPr="004203CB" w:rsidRDefault="009C2D8C" w:rsidP="004203CB">
      <w:pPr>
        <w:widowControl/>
        <w:tabs>
          <w:tab w:val="left" w:pos="360"/>
        </w:tabs>
        <w:spacing w:after="200"/>
        <w:jc w:val="center"/>
        <w:rPr>
          <w:rFonts w:ascii="Times New Roman" w:hAnsi="Times New Roman"/>
          <w:b/>
          <w:sz w:val="24"/>
          <w:szCs w:val="24"/>
        </w:rPr>
      </w:pPr>
      <w:proofErr w:type="gramStart"/>
      <w:r w:rsidRPr="004203CB">
        <w:rPr>
          <w:rFonts w:ascii="Times New Roman" w:hAnsi="Times New Roman"/>
          <w:b/>
          <w:sz w:val="24"/>
          <w:szCs w:val="24"/>
        </w:rPr>
        <w:lastRenderedPageBreak/>
        <w:t xml:space="preserve">Table </w:t>
      </w:r>
      <w:r w:rsidR="00AF45FA" w:rsidRPr="004203CB">
        <w:rPr>
          <w:rFonts w:ascii="Times New Roman" w:hAnsi="Times New Roman"/>
          <w:b/>
          <w:sz w:val="24"/>
          <w:szCs w:val="24"/>
        </w:rPr>
        <w:t>10</w:t>
      </w:r>
      <w:r w:rsidRPr="004203CB">
        <w:rPr>
          <w:rFonts w:ascii="Times New Roman" w:hAnsi="Times New Roman"/>
          <w:b/>
          <w:sz w:val="24"/>
          <w:szCs w:val="24"/>
        </w:rPr>
        <w:t>.</w:t>
      </w:r>
      <w:proofErr w:type="gramEnd"/>
      <w:r w:rsidRPr="004203CB">
        <w:rPr>
          <w:rFonts w:ascii="Times New Roman" w:hAnsi="Times New Roman"/>
          <w:b/>
          <w:sz w:val="24"/>
          <w:szCs w:val="24"/>
        </w:rPr>
        <w:t xml:space="preserve"> Total Annual Costs to Respondents</w:t>
      </w:r>
      <w:r w:rsidR="00EE31B4" w:rsidRPr="004203CB">
        <w:rPr>
          <w:rFonts w:ascii="Times New Roman" w:hAnsi="Times New Roman"/>
          <w:b/>
          <w:sz w:val="24"/>
          <w:szCs w:val="24"/>
        </w:rPr>
        <w:t xml:space="preserve"> </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60"/>
        <w:gridCol w:w="2380"/>
        <w:gridCol w:w="2380"/>
      </w:tblGrid>
      <w:tr w:rsidR="00011979" w:rsidRPr="008F4BDA" w14:paraId="0DB59984" w14:textId="77777777" w:rsidTr="004203CB">
        <w:trPr>
          <w:trHeight w:val="570"/>
          <w:jc w:val="center"/>
        </w:trPr>
        <w:tc>
          <w:tcPr>
            <w:tcW w:w="2040" w:type="dxa"/>
            <w:tcBorders>
              <w:top w:val="single" w:sz="18" w:space="0" w:color="auto"/>
              <w:left w:val="single" w:sz="18" w:space="0" w:color="auto"/>
              <w:bottom w:val="single" w:sz="12" w:space="0" w:color="auto"/>
              <w:right w:val="single" w:sz="12" w:space="0" w:color="auto"/>
            </w:tcBorders>
            <w:shd w:val="clear" w:color="auto" w:fill="D9D9D9"/>
            <w:noWrap/>
            <w:vAlign w:val="center"/>
            <w:hideMark/>
          </w:tcPr>
          <w:p w14:paraId="498D0498" w14:textId="77777777" w:rsidR="00011979" w:rsidRPr="008F4BDA" w:rsidRDefault="00011979"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w:t>
            </w:r>
          </w:p>
        </w:tc>
        <w:tc>
          <w:tcPr>
            <w:tcW w:w="1960" w:type="dxa"/>
            <w:tcBorders>
              <w:top w:val="single" w:sz="18" w:space="0" w:color="auto"/>
              <w:left w:val="single" w:sz="12" w:space="0" w:color="auto"/>
            </w:tcBorders>
            <w:shd w:val="clear" w:color="auto" w:fill="D9D9D9"/>
            <w:vAlign w:val="center"/>
            <w:hideMark/>
          </w:tcPr>
          <w:p w14:paraId="41F61894" w14:textId="77777777" w:rsidR="00011979" w:rsidRPr="008F4BDA" w:rsidRDefault="00011979"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Cost per Carrier/IEP</w:t>
            </w:r>
          </w:p>
        </w:tc>
        <w:tc>
          <w:tcPr>
            <w:tcW w:w="2380" w:type="dxa"/>
            <w:tcBorders>
              <w:top w:val="single" w:sz="18" w:space="0" w:color="auto"/>
            </w:tcBorders>
            <w:shd w:val="clear" w:color="auto" w:fill="D9D9D9"/>
          </w:tcPr>
          <w:p w14:paraId="4D9F1A53" w14:textId="78914B93" w:rsidR="00011979" w:rsidRPr="008F4BDA" w:rsidRDefault="00011979" w:rsidP="004203CB">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Calculation of Average Cost per Carrier/IEP</w:t>
            </w:r>
          </w:p>
        </w:tc>
        <w:tc>
          <w:tcPr>
            <w:tcW w:w="2380" w:type="dxa"/>
            <w:tcBorders>
              <w:top w:val="single" w:sz="18" w:space="0" w:color="auto"/>
              <w:right w:val="single" w:sz="18" w:space="0" w:color="auto"/>
            </w:tcBorders>
            <w:shd w:val="clear" w:color="auto" w:fill="D9D9D9"/>
            <w:vAlign w:val="center"/>
            <w:hideMark/>
          </w:tcPr>
          <w:p w14:paraId="1919CC0C" w14:textId="01344747" w:rsidR="00011979" w:rsidRPr="008F4BDA" w:rsidRDefault="00011979"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for all Carriers/IEPs</w:t>
            </w:r>
          </w:p>
        </w:tc>
      </w:tr>
      <w:tr w:rsidR="00011979" w:rsidRPr="008F4BDA" w14:paraId="0B918DF9" w14:textId="77777777" w:rsidTr="004203CB">
        <w:trPr>
          <w:trHeight w:val="300"/>
          <w:jc w:val="center"/>
        </w:trPr>
        <w:tc>
          <w:tcPr>
            <w:tcW w:w="2040" w:type="dxa"/>
            <w:tcBorders>
              <w:top w:val="single" w:sz="18" w:space="0" w:color="auto"/>
              <w:left w:val="single" w:sz="18" w:space="0" w:color="auto"/>
            </w:tcBorders>
            <w:shd w:val="clear" w:color="auto" w:fill="auto"/>
            <w:noWrap/>
            <w:vAlign w:val="center"/>
            <w:hideMark/>
          </w:tcPr>
          <w:p w14:paraId="0ACF166D" w14:textId="3361EBC3" w:rsidR="00011979" w:rsidRPr="008F4BDA" w:rsidRDefault="00011979" w:rsidP="005A17C0">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Freight Carriers</w:t>
            </w:r>
          </w:p>
        </w:tc>
        <w:tc>
          <w:tcPr>
            <w:tcW w:w="1960" w:type="dxa"/>
            <w:tcBorders>
              <w:top w:val="single" w:sz="18" w:space="0" w:color="auto"/>
            </w:tcBorders>
            <w:shd w:val="clear" w:color="auto" w:fill="auto"/>
            <w:noWrap/>
            <w:vAlign w:val="center"/>
            <w:hideMark/>
          </w:tcPr>
          <w:p w14:paraId="459C1349" w14:textId="4E9E54D5" w:rsidR="00011979" w:rsidRPr="008F4BDA" w:rsidRDefault="00011979" w:rsidP="00E936B6">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sidR="00E936B6">
              <w:rPr>
                <w:rFonts w:ascii="Times New Roman" w:hAnsi="Times New Roman"/>
                <w:color w:val="000000"/>
                <w:sz w:val="22"/>
                <w:szCs w:val="22"/>
              </w:rPr>
              <w:t>102.64</w:t>
            </w:r>
          </w:p>
        </w:tc>
        <w:tc>
          <w:tcPr>
            <w:tcW w:w="2380" w:type="dxa"/>
            <w:tcBorders>
              <w:top w:val="single" w:sz="18" w:space="0" w:color="auto"/>
            </w:tcBorders>
            <w:vAlign w:val="center"/>
          </w:tcPr>
          <w:p w14:paraId="0566991B" w14:textId="69160495" w:rsidR="00011979" w:rsidRPr="008F4BDA" w:rsidRDefault="00B97037" w:rsidP="005A17C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011979">
              <w:rPr>
                <w:rFonts w:ascii="Times New Roman" w:hAnsi="Times New Roman"/>
                <w:color w:val="000000"/>
                <w:sz w:val="22"/>
                <w:szCs w:val="22"/>
              </w:rPr>
              <w:t>$</w:t>
            </w:r>
            <w:r w:rsidR="005A17C0">
              <w:rPr>
                <w:rFonts w:ascii="Times New Roman" w:hAnsi="Times New Roman"/>
                <w:color w:val="000000"/>
                <w:sz w:val="22"/>
                <w:szCs w:val="22"/>
              </w:rPr>
              <w:t>28,945,000</w:t>
            </w:r>
            <w:r w:rsidR="00011979">
              <w:rPr>
                <w:rFonts w:ascii="Times New Roman" w:hAnsi="Times New Roman"/>
                <w:color w:val="000000"/>
                <w:sz w:val="22"/>
                <w:szCs w:val="22"/>
              </w:rPr>
              <w:t xml:space="preserve"> ÷ </w:t>
            </w:r>
            <w:r w:rsidR="005A17C0">
              <w:rPr>
                <w:rFonts w:ascii="Times New Roman" w:hAnsi="Times New Roman"/>
                <w:color w:val="000000"/>
                <w:sz w:val="22"/>
                <w:szCs w:val="22"/>
              </w:rPr>
              <w:t>282,000</w:t>
            </w:r>
            <w:r>
              <w:rPr>
                <w:rFonts w:ascii="Times New Roman" w:hAnsi="Times New Roman"/>
                <w:color w:val="000000"/>
                <w:sz w:val="22"/>
                <w:szCs w:val="22"/>
              </w:rPr>
              <w:t>)</w:t>
            </w:r>
          </w:p>
        </w:tc>
        <w:tc>
          <w:tcPr>
            <w:tcW w:w="2380" w:type="dxa"/>
            <w:tcBorders>
              <w:top w:val="single" w:sz="18" w:space="0" w:color="auto"/>
              <w:right w:val="single" w:sz="18" w:space="0" w:color="auto"/>
            </w:tcBorders>
            <w:shd w:val="clear" w:color="auto" w:fill="auto"/>
            <w:noWrap/>
            <w:vAlign w:val="center"/>
            <w:hideMark/>
          </w:tcPr>
          <w:p w14:paraId="0F9CC07F" w14:textId="0CBAC5F0" w:rsidR="00011979" w:rsidRPr="008F4BDA" w:rsidRDefault="00011979" w:rsidP="005A17C0">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sidR="005A17C0">
              <w:rPr>
                <w:rFonts w:ascii="Times New Roman" w:hAnsi="Times New Roman"/>
                <w:sz w:val="22"/>
                <w:szCs w:val="22"/>
              </w:rPr>
              <w:t>28,945,000</w:t>
            </w:r>
          </w:p>
        </w:tc>
      </w:tr>
      <w:tr w:rsidR="00011979" w:rsidRPr="008F4BDA" w14:paraId="6CE48246" w14:textId="77777777" w:rsidTr="004203CB">
        <w:trPr>
          <w:trHeight w:val="300"/>
          <w:jc w:val="center"/>
        </w:trPr>
        <w:tc>
          <w:tcPr>
            <w:tcW w:w="2040" w:type="dxa"/>
            <w:tcBorders>
              <w:left w:val="single" w:sz="18" w:space="0" w:color="auto"/>
            </w:tcBorders>
            <w:shd w:val="clear" w:color="auto" w:fill="auto"/>
            <w:noWrap/>
            <w:vAlign w:val="center"/>
            <w:hideMark/>
          </w:tcPr>
          <w:p w14:paraId="6A004805" w14:textId="12005C1D" w:rsidR="00011979" w:rsidRPr="008F4BDA" w:rsidRDefault="00011979" w:rsidP="005A17C0">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Passenger Carriers</w:t>
            </w:r>
          </w:p>
        </w:tc>
        <w:tc>
          <w:tcPr>
            <w:tcW w:w="1960" w:type="dxa"/>
            <w:shd w:val="clear" w:color="auto" w:fill="auto"/>
            <w:noWrap/>
            <w:vAlign w:val="center"/>
            <w:hideMark/>
          </w:tcPr>
          <w:p w14:paraId="27D7DB5C" w14:textId="780A619B" w:rsidR="00011979" w:rsidRPr="008F4BDA" w:rsidRDefault="00011979"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Pr>
                <w:rFonts w:ascii="Times New Roman" w:hAnsi="Times New Roman"/>
                <w:color w:val="000000"/>
                <w:sz w:val="22"/>
                <w:szCs w:val="22"/>
              </w:rPr>
              <w:t>191.60</w:t>
            </w:r>
          </w:p>
        </w:tc>
        <w:tc>
          <w:tcPr>
            <w:tcW w:w="2380" w:type="dxa"/>
            <w:vAlign w:val="center"/>
          </w:tcPr>
          <w:p w14:paraId="12A52831" w14:textId="17E0EA2C" w:rsidR="00011979" w:rsidRPr="008F4BDA" w:rsidRDefault="00011979"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($958,000 ÷ 5,000)</w:t>
            </w:r>
          </w:p>
        </w:tc>
        <w:tc>
          <w:tcPr>
            <w:tcW w:w="2380" w:type="dxa"/>
            <w:tcBorders>
              <w:right w:val="single" w:sz="18" w:space="0" w:color="auto"/>
            </w:tcBorders>
            <w:shd w:val="clear" w:color="auto" w:fill="auto"/>
            <w:noWrap/>
            <w:vAlign w:val="center"/>
            <w:hideMark/>
          </w:tcPr>
          <w:p w14:paraId="1F070F59" w14:textId="4C0C65AB" w:rsidR="00011979" w:rsidRPr="008F4BDA" w:rsidRDefault="00011979"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Pr>
                <w:rFonts w:ascii="Times New Roman" w:hAnsi="Times New Roman"/>
                <w:color w:val="000000"/>
                <w:sz w:val="22"/>
                <w:szCs w:val="22"/>
              </w:rPr>
              <w:t>958,000</w:t>
            </w:r>
          </w:p>
        </w:tc>
      </w:tr>
      <w:tr w:rsidR="00011979" w:rsidRPr="008F4BDA" w14:paraId="30995086" w14:textId="77777777" w:rsidTr="004203CB">
        <w:trPr>
          <w:trHeight w:val="300"/>
          <w:jc w:val="center"/>
        </w:trPr>
        <w:tc>
          <w:tcPr>
            <w:tcW w:w="2040" w:type="dxa"/>
            <w:tcBorders>
              <w:left w:val="single" w:sz="18" w:space="0" w:color="auto"/>
            </w:tcBorders>
            <w:shd w:val="clear" w:color="auto" w:fill="auto"/>
            <w:noWrap/>
            <w:vAlign w:val="center"/>
            <w:hideMark/>
          </w:tcPr>
          <w:p w14:paraId="1566B96F" w14:textId="04740329" w:rsidR="00011979" w:rsidRPr="008F4BDA" w:rsidRDefault="00011979" w:rsidP="00247A50">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IEPs</w:t>
            </w:r>
          </w:p>
        </w:tc>
        <w:tc>
          <w:tcPr>
            <w:tcW w:w="1960" w:type="dxa"/>
            <w:shd w:val="clear" w:color="auto" w:fill="auto"/>
            <w:noWrap/>
            <w:vAlign w:val="center"/>
            <w:hideMark/>
          </w:tcPr>
          <w:p w14:paraId="20E4907F" w14:textId="7500B8A0" w:rsidR="00011979" w:rsidRPr="008F4BDA" w:rsidRDefault="00011979"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w:t>
            </w:r>
            <w:r>
              <w:rPr>
                <w:rFonts w:ascii="Times New Roman" w:hAnsi="Times New Roman"/>
                <w:color w:val="000000"/>
                <w:sz w:val="22"/>
                <w:szCs w:val="22"/>
              </w:rPr>
              <w:t>8,222.22</w:t>
            </w:r>
          </w:p>
        </w:tc>
        <w:tc>
          <w:tcPr>
            <w:tcW w:w="2380" w:type="dxa"/>
            <w:vAlign w:val="center"/>
          </w:tcPr>
          <w:p w14:paraId="55979811" w14:textId="3843229E" w:rsidR="00011979" w:rsidRPr="008F4BDA" w:rsidRDefault="00011979" w:rsidP="004203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($74,000 ÷ 11)</w:t>
            </w:r>
          </w:p>
        </w:tc>
        <w:tc>
          <w:tcPr>
            <w:tcW w:w="2380" w:type="dxa"/>
            <w:tcBorders>
              <w:right w:val="single" w:sz="18" w:space="0" w:color="auto"/>
            </w:tcBorders>
            <w:shd w:val="clear" w:color="auto" w:fill="auto"/>
            <w:noWrap/>
            <w:vAlign w:val="center"/>
            <w:hideMark/>
          </w:tcPr>
          <w:p w14:paraId="7B882250" w14:textId="650395D2" w:rsidR="00011979" w:rsidRPr="008F4BDA" w:rsidRDefault="00011979" w:rsidP="004203CB">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$74,000</w:t>
            </w:r>
          </w:p>
        </w:tc>
      </w:tr>
      <w:tr w:rsidR="00011979" w:rsidRPr="008F4BDA" w14:paraId="18E18236" w14:textId="77777777" w:rsidTr="004203CB">
        <w:trPr>
          <w:trHeight w:val="300"/>
          <w:jc w:val="center"/>
        </w:trPr>
        <w:tc>
          <w:tcPr>
            <w:tcW w:w="2040" w:type="dxa"/>
            <w:tcBorders>
              <w:left w:val="single" w:sz="18" w:space="0" w:color="auto"/>
              <w:bottom w:val="single" w:sz="18" w:space="0" w:color="auto"/>
            </w:tcBorders>
            <w:shd w:val="clear" w:color="auto" w:fill="auto"/>
            <w:noWrap/>
            <w:vAlign w:val="center"/>
            <w:hideMark/>
          </w:tcPr>
          <w:p w14:paraId="04B2E918" w14:textId="77777777" w:rsidR="00011979" w:rsidRPr="008F4BDA" w:rsidRDefault="00011979" w:rsidP="004203CB">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w:t>
            </w:r>
          </w:p>
        </w:tc>
        <w:tc>
          <w:tcPr>
            <w:tcW w:w="1960" w:type="dxa"/>
            <w:tcBorders>
              <w:bottom w:val="single" w:sz="18" w:space="0" w:color="auto"/>
            </w:tcBorders>
            <w:shd w:val="clear" w:color="auto" w:fill="auto"/>
            <w:noWrap/>
            <w:vAlign w:val="center"/>
            <w:hideMark/>
          </w:tcPr>
          <w:p w14:paraId="5EA4EAF9" w14:textId="71A9E494" w:rsidR="00011979" w:rsidRPr="008F4BDA" w:rsidRDefault="00011979" w:rsidP="001427B1">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w:t>
            </w:r>
            <w:r w:rsidR="001427B1">
              <w:rPr>
                <w:rFonts w:ascii="Times New Roman" w:hAnsi="Times New Roman"/>
                <w:b/>
                <w:bCs/>
                <w:color w:val="000000"/>
                <w:sz w:val="22"/>
                <w:szCs w:val="22"/>
              </w:rPr>
              <w:t>104.45</w:t>
            </w:r>
          </w:p>
        </w:tc>
        <w:tc>
          <w:tcPr>
            <w:tcW w:w="2380" w:type="dxa"/>
            <w:tcBorders>
              <w:bottom w:val="single" w:sz="18" w:space="0" w:color="auto"/>
            </w:tcBorders>
            <w:vAlign w:val="center"/>
          </w:tcPr>
          <w:p w14:paraId="41F63AE2" w14:textId="75401135" w:rsidR="00011979" w:rsidRPr="004203CB" w:rsidRDefault="00B97037" w:rsidP="00526432">
            <w:pPr>
              <w:widowControl/>
              <w:autoSpaceDE/>
              <w:autoSpaceDN/>
              <w:adjustRightInd/>
              <w:jc w:val="center"/>
              <w:rPr>
                <w:rFonts w:ascii="Times New Roman" w:hAnsi="Times New Roman"/>
                <w:bCs/>
                <w:color w:val="000000"/>
                <w:sz w:val="22"/>
                <w:szCs w:val="22"/>
              </w:rPr>
            </w:pPr>
            <w:r w:rsidRPr="004203CB">
              <w:rPr>
                <w:rFonts w:ascii="Times New Roman" w:hAnsi="Times New Roman"/>
                <w:bCs/>
                <w:color w:val="000000"/>
                <w:sz w:val="22"/>
                <w:szCs w:val="22"/>
              </w:rPr>
              <w:t>($</w:t>
            </w:r>
            <w:r w:rsidR="00A31AA5">
              <w:rPr>
                <w:rFonts w:ascii="Times New Roman" w:hAnsi="Times New Roman"/>
                <w:bCs/>
                <w:color w:val="000000"/>
                <w:sz w:val="22"/>
                <w:szCs w:val="22"/>
              </w:rPr>
              <w:t>29,977,000</w:t>
            </w:r>
            <w:r w:rsidRPr="004203CB">
              <w:rPr>
                <w:rFonts w:ascii="Times New Roman" w:hAnsi="Times New Roman"/>
                <w:bCs/>
                <w:color w:val="000000"/>
                <w:sz w:val="22"/>
                <w:szCs w:val="22"/>
              </w:rPr>
              <w:t xml:space="preserve"> ÷ (</w:t>
            </w:r>
            <w:r w:rsidR="00526432">
              <w:rPr>
                <w:rFonts w:ascii="Times New Roman" w:hAnsi="Times New Roman"/>
                <w:bCs/>
                <w:color w:val="000000"/>
                <w:sz w:val="22"/>
                <w:szCs w:val="22"/>
              </w:rPr>
              <w:t>282,000</w:t>
            </w:r>
            <w:r w:rsidRPr="004203CB">
              <w:rPr>
                <w:rFonts w:ascii="Times New Roman" w:hAnsi="Times New Roman"/>
                <w:bCs/>
                <w:color w:val="000000"/>
                <w:sz w:val="22"/>
                <w:szCs w:val="22"/>
              </w:rPr>
              <w:t xml:space="preserve"> + 5,000 + 11)</w:t>
            </w:r>
          </w:p>
        </w:tc>
        <w:tc>
          <w:tcPr>
            <w:tcW w:w="2380" w:type="dxa"/>
            <w:tcBorders>
              <w:bottom w:val="single" w:sz="18" w:space="0" w:color="auto"/>
              <w:right w:val="single" w:sz="18" w:space="0" w:color="auto"/>
            </w:tcBorders>
            <w:shd w:val="clear" w:color="auto" w:fill="auto"/>
            <w:noWrap/>
            <w:vAlign w:val="center"/>
            <w:hideMark/>
          </w:tcPr>
          <w:p w14:paraId="77D74791" w14:textId="35E10342" w:rsidR="00011979" w:rsidRPr="008F4BDA" w:rsidRDefault="00011979" w:rsidP="00A31AA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w:t>
            </w:r>
            <w:r w:rsidR="00A31AA5">
              <w:rPr>
                <w:rFonts w:ascii="Times New Roman" w:hAnsi="Times New Roman"/>
                <w:b/>
                <w:bCs/>
                <w:color w:val="000000"/>
                <w:sz w:val="22"/>
                <w:szCs w:val="22"/>
              </w:rPr>
              <w:t>29,977,000</w:t>
            </w:r>
          </w:p>
        </w:tc>
      </w:tr>
    </w:tbl>
    <w:p w14:paraId="0B2842A3" w14:textId="77777777" w:rsidR="00150900" w:rsidRDefault="00150900" w:rsidP="004203CB">
      <w:pPr>
        <w:widowControl/>
        <w:tabs>
          <w:tab w:val="left" w:pos="360"/>
        </w:tabs>
        <w:ind w:firstLine="360"/>
        <w:rPr>
          <w:rFonts w:ascii="Times New Roman" w:hAnsi="Times New Roman"/>
          <w:b/>
          <w:sz w:val="24"/>
        </w:rPr>
      </w:pPr>
    </w:p>
    <w:p w14:paraId="22911AD8" w14:textId="77777777" w:rsidR="008F4BDA" w:rsidRPr="00150900" w:rsidRDefault="008F4BDA" w:rsidP="004203CB">
      <w:pPr>
        <w:pStyle w:val="ListParagraph"/>
        <w:widowControl/>
        <w:numPr>
          <w:ilvl w:val="0"/>
          <w:numId w:val="31"/>
        </w:numPr>
        <w:tabs>
          <w:tab w:val="left" w:pos="360"/>
        </w:tabs>
        <w:rPr>
          <w:rFonts w:ascii="Times New Roman" w:hAnsi="Times New Roman"/>
          <w:b/>
          <w:sz w:val="24"/>
          <w:szCs w:val="24"/>
        </w:rPr>
      </w:pPr>
      <w:r w:rsidRPr="00150900">
        <w:rPr>
          <w:rFonts w:ascii="Times New Roman" w:hAnsi="Times New Roman"/>
          <w:b/>
          <w:bCs/>
          <w:sz w:val="24"/>
          <w:szCs w:val="24"/>
        </w:rPr>
        <w:t>ESTIMATE OF COST TO THE FEDERAL GOVERNMENT</w:t>
      </w:r>
    </w:p>
    <w:p w14:paraId="418FB4E7" w14:textId="77777777" w:rsidR="004203CB" w:rsidRDefault="004203CB" w:rsidP="004203CB">
      <w:pPr>
        <w:widowControl/>
        <w:ind w:left="360"/>
        <w:rPr>
          <w:rFonts w:ascii="Times New Roman" w:hAnsi="Times New Roman"/>
          <w:b/>
          <w:sz w:val="24"/>
          <w:szCs w:val="24"/>
        </w:rPr>
      </w:pPr>
    </w:p>
    <w:p w14:paraId="33BF89B7" w14:textId="411BD90F" w:rsidR="008F4BDA" w:rsidRPr="008F4BDA" w:rsidRDefault="008F4BDA" w:rsidP="004203CB">
      <w:pPr>
        <w:widowControl/>
        <w:ind w:left="360"/>
        <w:rPr>
          <w:rFonts w:ascii="Times New Roman" w:hAnsi="Times New Roman"/>
          <w:sz w:val="24"/>
          <w:szCs w:val="24"/>
        </w:rPr>
      </w:pPr>
      <w:proofErr w:type="gramStart"/>
      <w:r w:rsidRPr="008F4BDA">
        <w:rPr>
          <w:rFonts w:ascii="Times New Roman" w:hAnsi="Times New Roman"/>
          <w:sz w:val="24"/>
          <w:szCs w:val="24"/>
        </w:rPr>
        <w:t>None.</w:t>
      </w:r>
      <w:proofErr w:type="gramEnd"/>
      <w:r w:rsidRPr="008F4BDA">
        <w:rPr>
          <w:rFonts w:ascii="Times New Roman" w:hAnsi="Times New Roman"/>
          <w:sz w:val="24"/>
          <w:szCs w:val="24"/>
        </w:rPr>
        <w:t xml:space="preserve"> The cost of educating the motor carriers and lessees of the marking requirements and the enforcement of those requirements at the roadside during crash and compliance investigations would be covered by existing personnel without further impact to the government.</w:t>
      </w:r>
    </w:p>
    <w:p w14:paraId="561302A0" w14:textId="77777777" w:rsidR="008F4BDA" w:rsidRPr="008F4BDA" w:rsidRDefault="008F4BDA" w:rsidP="004203CB">
      <w:pPr>
        <w:widowControl/>
        <w:ind w:left="360"/>
        <w:rPr>
          <w:rFonts w:ascii="Times New Roman" w:hAnsi="Times New Roman"/>
          <w:b/>
          <w:sz w:val="24"/>
          <w:szCs w:val="24"/>
        </w:rPr>
      </w:pPr>
    </w:p>
    <w:p w14:paraId="22BC7C34" w14:textId="77777777" w:rsidR="004203CB" w:rsidRPr="004203CB" w:rsidRDefault="008F4BDA" w:rsidP="004203CB">
      <w:pPr>
        <w:keepNext/>
        <w:widowControl/>
        <w:numPr>
          <w:ilvl w:val="0"/>
          <w:numId w:val="31"/>
        </w:numPr>
        <w:rPr>
          <w:rFonts w:ascii="Times New Roman" w:hAnsi="Times New Roman"/>
          <w:bCs/>
          <w:sz w:val="24"/>
          <w:szCs w:val="24"/>
        </w:rPr>
      </w:pPr>
      <w:r w:rsidRPr="008F4BDA">
        <w:rPr>
          <w:rFonts w:ascii="Times New Roman" w:hAnsi="Times New Roman"/>
          <w:b/>
          <w:bCs/>
          <w:sz w:val="24"/>
          <w:szCs w:val="24"/>
        </w:rPr>
        <w:t>EXPLANATION OF PROGRAM CHANGES OR ADJUSTMENTS</w:t>
      </w:r>
    </w:p>
    <w:p w14:paraId="3258A977" w14:textId="6F343986" w:rsidR="008F4BDA" w:rsidRPr="008F4BDA" w:rsidRDefault="008F4BDA" w:rsidP="004203CB">
      <w:pPr>
        <w:keepNext/>
        <w:widowControl/>
        <w:ind w:left="360"/>
        <w:rPr>
          <w:rFonts w:ascii="Times New Roman" w:hAnsi="Times New Roman"/>
          <w:bCs/>
          <w:sz w:val="24"/>
          <w:szCs w:val="24"/>
        </w:rPr>
      </w:pPr>
    </w:p>
    <w:p w14:paraId="0E69FEF1" w14:textId="6934AE4C" w:rsidR="008F4BDA" w:rsidRDefault="006920B4" w:rsidP="004203CB">
      <w:pPr>
        <w:widowControl/>
        <w:ind w:left="360"/>
        <w:rPr>
          <w:rFonts w:ascii="Times New Roman" w:hAnsi="Times New Roman"/>
          <w:bCs/>
          <w:sz w:val="24"/>
          <w:szCs w:val="24"/>
        </w:rPr>
      </w:pPr>
      <w:r w:rsidRPr="006920B4">
        <w:rPr>
          <w:rFonts w:ascii="Times New Roman" w:hAnsi="Times New Roman"/>
          <w:bCs/>
          <w:sz w:val="24"/>
          <w:szCs w:val="24"/>
        </w:rPr>
        <w:t>This program change increase of 196,000 estimated annual burden hours [851,000 proposed estimated annual burden hours - 655,000 approved estimated annual burden hours =196,000] is due to program requirements in a final rule entitled, "Lease and Interchange of Vehicle</w:t>
      </w:r>
      <w:r>
        <w:rPr>
          <w:rFonts w:ascii="Times New Roman" w:hAnsi="Times New Roman"/>
          <w:bCs/>
          <w:sz w:val="24"/>
          <w:szCs w:val="24"/>
        </w:rPr>
        <w:t>s; Motor Carriers of Passengers,</w:t>
      </w:r>
      <w:r w:rsidRPr="006920B4">
        <w:rPr>
          <w:rFonts w:ascii="Times New Roman" w:hAnsi="Times New Roman"/>
          <w:bCs/>
          <w:sz w:val="24"/>
          <w:szCs w:val="24"/>
        </w:rPr>
        <w:t xml:space="preserve">" </w:t>
      </w:r>
      <w:r w:rsidR="004203CB" w:rsidRPr="004203CB">
        <w:rPr>
          <w:rFonts w:ascii="Times New Roman" w:hAnsi="Times New Roman"/>
          <w:bCs/>
          <w:sz w:val="24"/>
          <w:szCs w:val="24"/>
        </w:rPr>
        <w:t>(</w:t>
      </w:r>
      <w:r w:rsidR="00832C97" w:rsidRPr="00832C97">
        <w:rPr>
          <w:rFonts w:ascii="Times New Roman" w:hAnsi="Times New Roman"/>
          <w:bCs/>
          <w:sz w:val="24"/>
          <w:szCs w:val="24"/>
        </w:rPr>
        <w:t>80</w:t>
      </w:r>
      <w:r w:rsidR="004203CB" w:rsidRPr="00832C97">
        <w:rPr>
          <w:rFonts w:ascii="Times New Roman" w:hAnsi="Times New Roman"/>
          <w:bCs/>
          <w:sz w:val="24"/>
          <w:szCs w:val="24"/>
        </w:rPr>
        <w:t xml:space="preserve"> FR </w:t>
      </w:r>
      <w:r w:rsidR="00832C97" w:rsidRPr="00832C97">
        <w:rPr>
          <w:rFonts w:ascii="Times New Roman" w:hAnsi="Times New Roman"/>
          <w:bCs/>
          <w:sz w:val="24"/>
          <w:szCs w:val="24"/>
        </w:rPr>
        <w:t>30164</w:t>
      </w:r>
      <w:r w:rsidR="004203CB" w:rsidRPr="00832C97">
        <w:rPr>
          <w:rFonts w:ascii="Times New Roman" w:hAnsi="Times New Roman"/>
          <w:bCs/>
          <w:sz w:val="24"/>
          <w:szCs w:val="24"/>
        </w:rPr>
        <w:t xml:space="preserve"> dated </w:t>
      </w:r>
      <w:r w:rsidR="00832C97" w:rsidRPr="00832C97">
        <w:rPr>
          <w:rFonts w:ascii="Times New Roman" w:hAnsi="Times New Roman"/>
          <w:bCs/>
          <w:sz w:val="24"/>
          <w:szCs w:val="24"/>
        </w:rPr>
        <w:t>May 27</w:t>
      </w:r>
      <w:r w:rsidR="004203CB" w:rsidRPr="00832C97">
        <w:rPr>
          <w:rFonts w:ascii="Times New Roman" w:hAnsi="Times New Roman"/>
          <w:bCs/>
          <w:sz w:val="24"/>
          <w:szCs w:val="24"/>
        </w:rPr>
        <w:t>, 2015</w:t>
      </w:r>
      <w:r w:rsidR="00832C97" w:rsidRPr="00832C97">
        <w:rPr>
          <w:rFonts w:ascii="Times New Roman" w:hAnsi="Times New Roman"/>
          <w:bCs/>
          <w:sz w:val="24"/>
          <w:szCs w:val="24"/>
        </w:rPr>
        <w:t>)</w:t>
      </w:r>
      <w:r w:rsidR="004203CB" w:rsidRPr="004203CB">
        <w:rPr>
          <w:rFonts w:ascii="Times New Roman" w:hAnsi="Times New Roman"/>
          <w:bCs/>
          <w:sz w:val="24"/>
          <w:szCs w:val="24"/>
        </w:rPr>
        <w:t xml:space="preserve"> (Attachment A).  The final rule adds leasing </w:t>
      </w:r>
      <w:r w:rsidR="004203CB">
        <w:rPr>
          <w:rFonts w:ascii="Times New Roman" w:hAnsi="Times New Roman"/>
          <w:bCs/>
          <w:sz w:val="24"/>
          <w:szCs w:val="24"/>
        </w:rPr>
        <w:t xml:space="preserve">and new marking </w:t>
      </w:r>
      <w:r w:rsidR="004203CB" w:rsidRPr="004203CB">
        <w:rPr>
          <w:rFonts w:ascii="Times New Roman" w:hAnsi="Times New Roman"/>
          <w:bCs/>
          <w:sz w:val="24"/>
          <w:szCs w:val="24"/>
        </w:rPr>
        <w:t xml:space="preserve">requirements for buses and </w:t>
      </w:r>
      <w:proofErr w:type="spellStart"/>
      <w:r w:rsidR="004203CB" w:rsidRPr="004203CB">
        <w:rPr>
          <w:rFonts w:ascii="Times New Roman" w:hAnsi="Times New Roman"/>
          <w:bCs/>
          <w:sz w:val="24"/>
          <w:szCs w:val="24"/>
        </w:rPr>
        <w:t>motorcoaches</w:t>
      </w:r>
      <w:proofErr w:type="spellEnd"/>
      <w:r w:rsidR="004203CB" w:rsidRPr="004203CB">
        <w:rPr>
          <w:rFonts w:ascii="Times New Roman" w:hAnsi="Times New Roman"/>
          <w:bCs/>
          <w:sz w:val="24"/>
          <w:szCs w:val="24"/>
        </w:rPr>
        <w:t xml:space="preserve">. These new regulations will require certain for-hire motor carriers of passengers to </w:t>
      </w:r>
      <w:r w:rsidR="0092181F">
        <w:rPr>
          <w:rFonts w:ascii="Times New Roman" w:hAnsi="Times New Roman"/>
          <w:bCs/>
          <w:sz w:val="24"/>
          <w:szCs w:val="24"/>
        </w:rPr>
        <w:t xml:space="preserve">temporarily mark buses and </w:t>
      </w:r>
      <w:proofErr w:type="spellStart"/>
      <w:r w:rsidR="0092181F">
        <w:rPr>
          <w:rFonts w:ascii="Times New Roman" w:hAnsi="Times New Roman"/>
          <w:bCs/>
          <w:sz w:val="24"/>
          <w:szCs w:val="24"/>
        </w:rPr>
        <w:t>motorcoaches</w:t>
      </w:r>
      <w:proofErr w:type="spellEnd"/>
      <w:r w:rsidR="0092181F">
        <w:rPr>
          <w:rFonts w:ascii="Times New Roman" w:hAnsi="Times New Roman"/>
          <w:bCs/>
          <w:sz w:val="24"/>
          <w:szCs w:val="24"/>
        </w:rPr>
        <w:t xml:space="preserve"> on the curb side of the vehicle </w:t>
      </w:r>
      <w:r w:rsidR="004203CB" w:rsidRPr="004203CB">
        <w:rPr>
          <w:rFonts w:ascii="Times New Roman" w:hAnsi="Times New Roman"/>
          <w:bCs/>
          <w:sz w:val="24"/>
          <w:szCs w:val="24"/>
        </w:rPr>
        <w:t>when leasing equipment.</w:t>
      </w:r>
    </w:p>
    <w:p w14:paraId="23BBBED1" w14:textId="77777777" w:rsidR="006920B4" w:rsidRDefault="006920B4" w:rsidP="004203CB">
      <w:pPr>
        <w:widowControl/>
        <w:ind w:left="360"/>
        <w:rPr>
          <w:rFonts w:ascii="Times New Roman" w:hAnsi="Times New Roman"/>
          <w:bCs/>
          <w:sz w:val="24"/>
          <w:szCs w:val="24"/>
        </w:rPr>
      </w:pPr>
    </w:p>
    <w:p w14:paraId="51CCF3D7" w14:textId="77777777" w:rsidR="008F4BDA" w:rsidRPr="008F4BDA" w:rsidRDefault="008F4BDA" w:rsidP="004203CB">
      <w:pPr>
        <w:widowControl/>
        <w:numPr>
          <w:ilvl w:val="0"/>
          <w:numId w:val="31"/>
        </w:numPr>
        <w:rPr>
          <w:rFonts w:ascii="Times New Roman" w:hAnsi="Times New Roman"/>
          <w:b/>
          <w:sz w:val="24"/>
          <w:szCs w:val="24"/>
        </w:rPr>
      </w:pPr>
      <w:r w:rsidRPr="008F4BDA">
        <w:rPr>
          <w:rFonts w:ascii="Times New Roman" w:hAnsi="Times New Roman"/>
          <w:b/>
          <w:bCs/>
          <w:sz w:val="24"/>
          <w:szCs w:val="24"/>
        </w:rPr>
        <w:t>PUBLICATION OF RESULTS OF DATA COLLECTION</w:t>
      </w:r>
      <w:r w:rsidRPr="008F4BDA">
        <w:rPr>
          <w:rFonts w:ascii="Times New Roman" w:hAnsi="Times New Roman"/>
          <w:b/>
          <w:sz w:val="24"/>
          <w:szCs w:val="24"/>
        </w:rPr>
        <w:br/>
      </w:r>
    </w:p>
    <w:p w14:paraId="3EB356C6" w14:textId="77777777" w:rsidR="008F4BDA" w:rsidRPr="008F4BDA" w:rsidRDefault="008F4BDA" w:rsidP="004203CB">
      <w:pPr>
        <w:widowControl/>
        <w:rPr>
          <w:rFonts w:ascii="Times New Roman" w:hAnsi="Times New Roman"/>
          <w:sz w:val="24"/>
          <w:szCs w:val="24"/>
        </w:rPr>
      </w:pPr>
      <w:r w:rsidRPr="008F4BDA">
        <w:rPr>
          <w:rFonts w:ascii="Times New Roman" w:hAnsi="Times New Roman"/>
          <w:b/>
          <w:sz w:val="24"/>
          <w:szCs w:val="24"/>
        </w:rPr>
        <w:t xml:space="preserve">      </w:t>
      </w:r>
      <w:r w:rsidRPr="008F4BDA">
        <w:rPr>
          <w:rFonts w:ascii="Times New Roman" w:hAnsi="Times New Roman"/>
          <w:sz w:val="24"/>
          <w:szCs w:val="24"/>
        </w:rPr>
        <w:t>The results of this ICR will not be published.</w:t>
      </w:r>
    </w:p>
    <w:p w14:paraId="0114B157" w14:textId="77777777" w:rsidR="008F4BDA" w:rsidRDefault="008F4BDA" w:rsidP="004203CB">
      <w:pPr>
        <w:widowControl/>
        <w:rPr>
          <w:rFonts w:ascii="Times New Roman" w:hAnsi="Times New Roman"/>
          <w:sz w:val="24"/>
          <w:szCs w:val="24"/>
        </w:rPr>
      </w:pPr>
      <w:r w:rsidRPr="008F4BDA">
        <w:rPr>
          <w:rFonts w:ascii="Times New Roman" w:hAnsi="Times New Roman"/>
          <w:sz w:val="24"/>
          <w:szCs w:val="24"/>
        </w:rPr>
        <w:t xml:space="preserve"> </w:t>
      </w:r>
    </w:p>
    <w:p w14:paraId="11E40E0E" w14:textId="77777777" w:rsidR="008F4BDA" w:rsidRPr="008F4BDA" w:rsidRDefault="008F4BDA" w:rsidP="004203CB">
      <w:pPr>
        <w:keepNext/>
        <w:widowControl/>
        <w:numPr>
          <w:ilvl w:val="0"/>
          <w:numId w:val="31"/>
        </w:numPr>
        <w:rPr>
          <w:rFonts w:ascii="Times New Roman" w:hAnsi="Times New Roman"/>
          <w:bCs/>
          <w:sz w:val="24"/>
        </w:rPr>
      </w:pPr>
      <w:r w:rsidRPr="008F4BDA">
        <w:rPr>
          <w:rFonts w:ascii="Times New Roman" w:hAnsi="Times New Roman"/>
          <w:b/>
          <w:bCs/>
          <w:sz w:val="24"/>
        </w:rPr>
        <w:t>APPROVAL FOR NOT DISPLAYING THE EXPIRATION DATE OF OMB APPROVAL</w:t>
      </w:r>
    </w:p>
    <w:p w14:paraId="74FBF272" w14:textId="77777777" w:rsidR="008F4BDA" w:rsidRPr="008F4BDA" w:rsidRDefault="008F4BDA" w:rsidP="004203CB">
      <w:pPr>
        <w:keepNext/>
        <w:widowControl/>
        <w:ind w:left="360"/>
        <w:rPr>
          <w:rFonts w:ascii="Times New Roman" w:hAnsi="Times New Roman"/>
          <w:bCs/>
          <w:sz w:val="24"/>
        </w:rPr>
      </w:pPr>
      <w:r w:rsidRPr="008F4BDA">
        <w:rPr>
          <w:rFonts w:ascii="Times New Roman" w:hAnsi="Times New Roman"/>
          <w:bCs/>
          <w:sz w:val="24"/>
          <w:u w:val="single"/>
        </w:rPr>
        <w:br/>
      </w:r>
      <w:r w:rsidRPr="008F4BDA">
        <w:rPr>
          <w:rFonts w:ascii="Times New Roman" w:hAnsi="Times New Roman"/>
          <w:sz w:val="24"/>
          <w:szCs w:val="24"/>
        </w:rPr>
        <w:t>Not applicable.</w:t>
      </w:r>
    </w:p>
    <w:p w14:paraId="0090F013" w14:textId="77777777" w:rsidR="008F4BDA" w:rsidRPr="008F4BDA" w:rsidRDefault="008F4BDA" w:rsidP="004203CB">
      <w:pPr>
        <w:widowControl/>
        <w:rPr>
          <w:rFonts w:ascii="Times New Roman" w:hAnsi="Times New Roman"/>
          <w:bCs/>
          <w:sz w:val="24"/>
          <w:szCs w:val="24"/>
          <w:u w:val="single"/>
        </w:rPr>
      </w:pPr>
    </w:p>
    <w:p w14:paraId="5356ACF1"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EXCEPTIONS TO CERTIFICATION STATEMENT</w:t>
      </w:r>
      <w:r w:rsidRPr="008F4BDA">
        <w:rPr>
          <w:rFonts w:ascii="Times New Roman" w:hAnsi="Times New Roman"/>
          <w:b/>
          <w:bCs/>
        </w:rPr>
        <w:br/>
      </w:r>
    </w:p>
    <w:p w14:paraId="57FF6B99" w14:textId="3DC7A714" w:rsidR="00832C97" w:rsidRDefault="008F4BDA" w:rsidP="006920B4">
      <w:pPr>
        <w:widowControl/>
        <w:ind w:firstLine="360"/>
        <w:rPr>
          <w:rFonts w:ascii="Times New Roman" w:hAnsi="Times New Roman"/>
          <w:sz w:val="24"/>
          <w:szCs w:val="24"/>
        </w:rPr>
      </w:pPr>
      <w:bookmarkStart w:id="1" w:name="_GoBack"/>
      <w:bookmarkEnd w:id="1"/>
      <w:proofErr w:type="gramStart"/>
      <w:r w:rsidRPr="008F4BDA">
        <w:rPr>
          <w:rFonts w:ascii="Times New Roman" w:hAnsi="Times New Roman"/>
          <w:sz w:val="24"/>
          <w:szCs w:val="24"/>
        </w:rPr>
        <w:t>None.</w:t>
      </w:r>
      <w:proofErr w:type="gramEnd"/>
      <w:r w:rsidR="006920B4" w:rsidRPr="008F4BDA" w:rsidDel="006920B4">
        <w:rPr>
          <w:rFonts w:ascii="Times New Roman" w:hAnsi="Times New Roman"/>
          <w:sz w:val="24"/>
          <w:szCs w:val="24"/>
        </w:rPr>
        <w:t xml:space="preserve"> </w:t>
      </w:r>
    </w:p>
    <w:p w14:paraId="677495B3" w14:textId="6891DC29" w:rsidR="00CD7543" w:rsidRPr="00452F23" w:rsidRDefault="00CD7543" w:rsidP="006920B4">
      <w:pPr>
        <w:widowControl/>
        <w:ind w:left="360"/>
        <w:rPr>
          <w:rFonts w:ascii="Times New Roman" w:hAnsi="Times New Roman"/>
          <w:sz w:val="24"/>
          <w:szCs w:val="24"/>
        </w:rPr>
      </w:pPr>
    </w:p>
    <w:sectPr w:rsidR="00CD7543" w:rsidRPr="00452F23">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BC99E1" w15:done="0"/>
  <w15:commentEx w15:paraId="21681A84" w15:done="0"/>
  <w15:commentEx w15:paraId="31CE0243" w15:done="0"/>
  <w15:commentEx w15:paraId="1F39E71F" w15:done="0"/>
  <w15:commentEx w15:paraId="31230FBF" w15:done="0"/>
  <w15:commentEx w15:paraId="44A77C12" w15:done="0"/>
  <w15:commentEx w15:paraId="212E33D5" w15:done="0"/>
  <w15:commentEx w15:paraId="04114D74" w15:done="0"/>
  <w15:commentEx w15:paraId="34080381" w15:done="0"/>
  <w15:commentEx w15:paraId="23077E1D" w15:done="0"/>
  <w15:commentEx w15:paraId="6F8BBEA9" w15:done="0"/>
  <w15:commentEx w15:paraId="049ED5EA" w15:done="0"/>
  <w15:commentEx w15:paraId="0E1176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768B8" w14:textId="77777777" w:rsidR="00406240" w:rsidRDefault="00406240">
      <w:r>
        <w:separator/>
      </w:r>
    </w:p>
  </w:endnote>
  <w:endnote w:type="continuationSeparator" w:id="0">
    <w:p w14:paraId="752F697F" w14:textId="77777777" w:rsidR="00406240" w:rsidRDefault="0040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68731"/>
      <w:docPartObj>
        <w:docPartGallery w:val="Page Numbers (Bottom of Page)"/>
        <w:docPartUnique/>
      </w:docPartObj>
    </w:sdtPr>
    <w:sdtEndPr>
      <w:rPr>
        <w:noProof/>
      </w:rPr>
    </w:sdtEndPr>
    <w:sdtContent>
      <w:p w14:paraId="5ABFFB78" w14:textId="4E04E4F3" w:rsidR="006920B4" w:rsidRDefault="006920B4">
        <w:pPr>
          <w:pStyle w:val="Footer"/>
          <w:jc w:val="center"/>
        </w:pPr>
        <w:r>
          <w:fldChar w:fldCharType="begin"/>
        </w:r>
        <w:r>
          <w:instrText xml:space="preserve"> PAGE   \* MERGEFORMAT </w:instrText>
        </w:r>
        <w:r>
          <w:fldChar w:fldCharType="separate"/>
        </w:r>
        <w:r w:rsidR="0070400B">
          <w:rPr>
            <w:noProof/>
          </w:rPr>
          <w:t>17</w:t>
        </w:r>
        <w:r>
          <w:rPr>
            <w:noProof/>
          </w:rPr>
          <w:fldChar w:fldCharType="end"/>
        </w:r>
      </w:p>
    </w:sdtContent>
  </w:sdt>
  <w:p w14:paraId="7B032BAE" w14:textId="77777777" w:rsidR="00406240" w:rsidRDefault="0040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97219" w14:textId="77777777" w:rsidR="00406240" w:rsidRDefault="00406240">
      <w:r>
        <w:separator/>
      </w:r>
    </w:p>
  </w:footnote>
  <w:footnote w:type="continuationSeparator" w:id="0">
    <w:p w14:paraId="16FA82ED" w14:textId="77777777" w:rsidR="00406240" w:rsidRDefault="00406240">
      <w:r>
        <w:continuationSeparator/>
      </w:r>
    </w:p>
  </w:footnote>
  <w:footnote w:id="1">
    <w:p w14:paraId="79C8110A" w14:textId="101EA01E" w:rsidR="00406240" w:rsidRPr="00766BFB" w:rsidRDefault="00406240" w:rsidP="008F4BDA">
      <w:pPr>
        <w:pStyle w:val="FootnoteText"/>
        <w:rPr>
          <w:rFonts w:ascii="Times New Roman" w:hAnsi="Times New Roman"/>
        </w:rPr>
      </w:pPr>
      <w:r w:rsidRPr="00D4686C">
        <w:rPr>
          <w:rStyle w:val="FootnoteReference"/>
          <w:rFonts w:ascii="Times New Roman" w:hAnsi="Times New Roman"/>
        </w:rPr>
        <w:footnoteRef/>
      </w:r>
      <w:r w:rsidRPr="00D4686C">
        <w:rPr>
          <w:rFonts w:ascii="Times New Roman" w:hAnsi="Times New Roman"/>
        </w:rPr>
        <w:t xml:space="preserve"> </w:t>
      </w:r>
      <w:r>
        <w:rPr>
          <w:rFonts w:ascii="Times New Roman" w:hAnsi="Times New Roman"/>
        </w:rPr>
        <w:t>65 FR 35287 (June 2, 2000).</w:t>
      </w:r>
    </w:p>
  </w:footnote>
  <w:footnote w:id="2">
    <w:p w14:paraId="312D2020" w14:textId="77777777" w:rsidR="00406240" w:rsidRPr="00594F12" w:rsidRDefault="00406240" w:rsidP="007018D4">
      <w:pPr>
        <w:pStyle w:val="FootnoteText"/>
        <w:rPr>
          <w:rFonts w:ascii="Times New Roman" w:hAnsi="Times New Roman"/>
        </w:rPr>
      </w:pPr>
      <w:r>
        <w:rPr>
          <w:rStyle w:val="FootnoteReference"/>
        </w:rPr>
        <w:footnoteRef/>
      </w:r>
      <w:r>
        <w:t xml:space="preserve"> </w:t>
      </w:r>
      <w:r w:rsidRPr="00E66700">
        <w:rPr>
          <w:rFonts w:ascii="Times New Roman" w:hAnsi="Times New Roman"/>
        </w:rPr>
        <w:t>FMCSA’s estimated annual growth rate of 2.17 percent is similar to the BLS estimate of 2.38 percent (Employment by industry, occupation, and percent distribution, 2010 and projected 2020 484000 Truck Transportation. http://www.bls.gov/emp/ep_table_109.htm).  FMCSA used the growth rate obtained from MCMIS data because it captures the dynamic nature of the industry and allows for a separate growth rate for carriers with recent activity and new entrants.</w:t>
      </w:r>
    </w:p>
  </w:footnote>
  <w:footnote w:id="3">
    <w:p w14:paraId="0B42B6CE" w14:textId="77777777" w:rsidR="00406240" w:rsidRPr="00594F12" w:rsidRDefault="00406240" w:rsidP="008F4BDA">
      <w:pPr>
        <w:widowControl/>
        <w:rPr>
          <w:rFonts w:ascii="Times New Roman" w:hAnsi="Times New Roman"/>
        </w:rPr>
      </w:pPr>
      <w:r w:rsidRPr="00594F12">
        <w:rPr>
          <w:rStyle w:val="FootnoteReference"/>
          <w:rFonts w:ascii="Times New Roman" w:hAnsi="Times New Roman"/>
        </w:rPr>
        <w:footnoteRef/>
      </w:r>
      <w:r w:rsidRPr="00594F12">
        <w:rPr>
          <w:rFonts w:ascii="Times New Roman" w:hAnsi="Times New Roman"/>
        </w:rPr>
        <w:t xml:space="preserve"> </w:t>
      </w:r>
      <w:r>
        <w:rPr>
          <w:rFonts w:ascii="Times New Roman" w:hAnsi="Times New Roman"/>
        </w:rPr>
        <w:t xml:space="preserve">DOT HS 808 080, </w:t>
      </w:r>
      <w:r w:rsidRPr="00594F12">
        <w:rPr>
          <w:rFonts w:ascii="Times New Roman" w:hAnsi="Times New Roman"/>
          <w:i/>
        </w:rPr>
        <w:t>Final Report: A Study of Commercial Motor Vehicle Electronics-Based Rear and Side Object Detection Systems</w:t>
      </w:r>
      <w:r>
        <w:rPr>
          <w:rFonts w:ascii="Times New Roman" w:hAnsi="Times New Roman"/>
        </w:rPr>
        <w:t>,</w:t>
      </w:r>
      <w:r w:rsidRPr="004B31F0">
        <w:rPr>
          <w:rFonts w:ascii="Times New Roman" w:hAnsi="Times New Roman"/>
        </w:rPr>
        <w:t xml:space="preserve"> </w:t>
      </w:r>
      <w:r>
        <w:rPr>
          <w:rFonts w:ascii="Times New Roman" w:hAnsi="Times New Roman"/>
        </w:rPr>
        <w:t>January 1994, a</w:t>
      </w:r>
      <w:r w:rsidRPr="00594F12">
        <w:rPr>
          <w:rFonts w:ascii="Times New Roman" w:hAnsi="Times New Roman"/>
        </w:rPr>
        <w:t xml:space="preserve">vailable at </w:t>
      </w:r>
      <w:hyperlink r:id="rId1" w:history="1">
        <w:r w:rsidRPr="00594F12">
          <w:rPr>
            <w:rStyle w:val="Hyperlink"/>
            <w:rFonts w:ascii="Times New Roman" w:hAnsi="Times New Roman"/>
          </w:rPr>
          <w:t>www.nhtsa.gov</w:t>
        </w:r>
      </w:hyperlink>
      <w:r w:rsidRPr="00594F12">
        <w:rPr>
          <w:rFonts w:ascii="Times New Roman" w:hAnsi="Times New Roman"/>
        </w:rPr>
        <w:t>, accessed on March 14, 2013.</w:t>
      </w:r>
    </w:p>
  </w:footnote>
  <w:footnote w:id="4">
    <w:p w14:paraId="196BAE37" w14:textId="77777777" w:rsidR="00406240" w:rsidRDefault="00406240" w:rsidP="008F4BDA">
      <w:pPr>
        <w:pStyle w:val="FootnoteText"/>
      </w:pPr>
      <w:r w:rsidRPr="00594F12">
        <w:rPr>
          <w:rStyle w:val="FootnoteReference"/>
          <w:rFonts w:ascii="Times New Roman" w:hAnsi="Times New Roman"/>
        </w:rPr>
        <w:footnoteRef/>
      </w:r>
      <w:r w:rsidRPr="00594F12">
        <w:rPr>
          <w:rFonts w:ascii="Times New Roman" w:hAnsi="Times New Roman"/>
        </w:rPr>
        <w:t xml:space="preserve"> </w:t>
      </w:r>
      <w:proofErr w:type="gramStart"/>
      <w:r w:rsidRPr="00594F12">
        <w:rPr>
          <w:rFonts w:ascii="Times New Roman" w:hAnsi="Times New Roman"/>
        </w:rPr>
        <w:t xml:space="preserve">Available at </w:t>
      </w:r>
      <w:hyperlink r:id="rId2" w:anchor="!docketDetail;D=FMCSA-2011-0046" w:history="1">
        <w:r w:rsidRPr="00594F12">
          <w:rPr>
            <w:rStyle w:val="Hyperlink"/>
            <w:rFonts w:ascii="Times New Roman" w:hAnsi="Times New Roman"/>
          </w:rPr>
          <w:t>http://www.regulations.gov/#!docketDetail;D=FMCSA-2011-0046</w:t>
        </w:r>
      </w:hyperlink>
      <w:r w:rsidRPr="00594F12">
        <w:rPr>
          <w:rFonts w:ascii="Times New Roman" w:hAnsi="Times New Roman"/>
        </w:rPr>
        <w:t>, accessed on March 14, 2013.</w:t>
      </w:r>
      <w:proofErr w:type="gramEnd"/>
    </w:p>
  </w:footnote>
  <w:footnote w:id="5">
    <w:p w14:paraId="5307425B" w14:textId="77777777" w:rsidR="00406240" w:rsidRDefault="00406240" w:rsidP="008F4BDA">
      <w:pPr>
        <w:pStyle w:val="FootnoteText"/>
      </w:pPr>
      <w:r w:rsidRPr="00AC5141">
        <w:rPr>
          <w:rStyle w:val="FootnoteReference"/>
          <w:rFonts w:ascii="Times New Roman" w:hAnsi="Times New Roman"/>
        </w:rPr>
        <w:footnoteRef/>
      </w:r>
      <w:r w:rsidRPr="00AC5141">
        <w:rPr>
          <w:rFonts w:ascii="Times New Roman" w:hAnsi="Times New Roman"/>
        </w:rPr>
        <w:t xml:space="preserve"> </w:t>
      </w:r>
      <w:r>
        <w:rPr>
          <w:rFonts w:ascii="Times New Roman" w:hAnsi="Times New Roman"/>
        </w:rPr>
        <w:t xml:space="preserve">See footnote </w:t>
      </w:r>
      <w:r>
        <w:rPr>
          <w:rFonts w:ascii="Times New Roman" w:hAnsi="Times New Roman"/>
        </w:rPr>
        <w:fldChar w:fldCharType="begin"/>
      </w:r>
      <w:r>
        <w:rPr>
          <w:rFonts w:ascii="Times New Roman" w:hAnsi="Times New Roman"/>
        </w:rPr>
        <w:instrText xml:space="preserve"> NOTEREF _Ref351044505 \h </w:instrText>
      </w:r>
      <w:r>
        <w:rPr>
          <w:rFonts w:ascii="Times New Roman" w:hAnsi="Times New Roman"/>
        </w:rPr>
      </w:r>
      <w:r>
        <w:rPr>
          <w:rFonts w:ascii="Times New Roman" w:hAnsi="Times New Roman"/>
        </w:rPr>
        <w:fldChar w:fldCharType="separate"/>
      </w:r>
      <w:r w:rsidR="006920B4">
        <w:rPr>
          <w:rFonts w:ascii="Times New Roman" w:hAnsi="Times New Roman"/>
        </w:rPr>
        <w:t>4</w:t>
      </w:r>
      <w:r>
        <w:rPr>
          <w:rFonts w:ascii="Times New Roman" w:hAnsi="Times New Roman"/>
        </w:rPr>
        <w:fldChar w:fldCharType="end"/>
      </w:r>
      <w:r>
        <w:rPr>
          <w:rFonts w:ascii="Times New Roman" w:hAnsi="Times New Roman"/>
        </w:rPr>
        <w:t>.</w:t>
      </w:r>
    </w:p>
  </w:footnote>
  <w:footnote w:id="6">
    <w:p w14:paraId="588976BF" w14:textId="77777777" w:rsidR="00406240" w:rsidRDefault="00406240" w:rsidP="008F4BDA">
      <w:pPr>
        <w:pStyle w:val="FootnoteText"/>
      </w:pPr>
      <w:r>
        <w:rPr>
          <w:rStyle w:val="FootnoteReference"/>
        </w:rPr>
        <w:footnoteRef/>
      </w:r>
      <w:r>
        <w:t xml:space="preserve"> </w:t>
      </w:r>
      <w:r w:rsidRPr="00421E25">
        <w:rPr>
          <w:rFonts w:ascii="Times New Roman" w:hAnsi="Times New Roman"/>
        </w:rPr>
        <w:t>Ibid.</w:t>
      </w:r>
    </w:p>
  </w:footnote>
  <w:footnote w:id="7">
    <w:p w14:paraId="2C9D677D" w14:textId="74E1C24D" w:rsidR="00406240" w:rsidRPr="00FF7EA9" w:rsidRDefault="00406240"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w:t>
      </w:r>
      <w:r>
        <w:rPr>
          <w:rFonts w:ascii="Times New Roman" w:hAnsi="Times New Roman"/>
        </w:rPr>
        <w:t xml:space="preserve">See Occupation 49-3031, Bus and Truck Mechanics and Diesel Engine Specialists, NAICS 484100, General Freight Trucking at </w:t>
      </w:r>
      <w:r w:rsidRPr="00084376">
        <w:rPr>
          <w:rFonts w:ascii="Times New Roman" w:hAnsi="Times New Roman"/>
        </w:rPr>
        <w:t>http://www.bls.gov/oes/current/naics4_484100.htm</w:t>
      </w:r>
      <w:r>
        <w:rPr>
          <w:rFonts w:ascii="Times New Roman" w:hAnsi="Times New Roman"/>
        </w:rPr>
        <w:t>, accessed on September 26, 2014.</w:t>
      </w:r>
    </w:p>
  </w:footnote>
  <w:footnote w:id="8">
    <w:p w14:paraId="2D97E1AE" w14:textId="46374CA1" w:rsidR="00406240" w:rsidRPr="001D3C09" w:rsidRDefault="00406240"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w:t>
      </w:r>
      <w:proofErr w:type="gramStart"/>
      <w:r w:rsidRPr="00FF7EA9">
        <w:rPr>
          <w:rFonts w:ascii="Times New Roman" w:hAnsi="Times New Roman"/>
        </w:rPr>
        <w:t>The ratio of total fringe benefits to wages and salaries for transportation and warehousing workers.</w:t>
      </w:r>
      <w:proofErr w:type="gramEnd"/>
      <w:r w:rsidRPr="00FF7EA9">
        <w:rPr>
          <w:rFonts w:ascii="Times New Roman" w:hAnsi="Times New Roman"/>
        </w:rPr>
        <w:t xml:space="preserve"> </w:t>
      </w:r>
      <w:r>
        <w:rPr>
          <w:rFonts w:ascii="Times New Roman" w:hAnsi="Times New Roman"/>
        </w:rPr>
        <w:t xml:space="preserve">56.6% = $12.99/$22.95. </w:t>
      </w:r>
      <w:r w:rsidRPr="00FF7EA9">
        <w:rPr>
          <w:rFonts w:ascii="Times New Roman" w:hAnsi="Times New Roman"/>
        </w:rPr>
        <w:t>See</w:t>
      </w:r>
      <w:r>
        <w:rPr>
          <w:rFonts w:ascii="Times New Roman" w:hAnsi="Times New Roman"/>
        </w:rPr>
        <w:t xml:space="preserve"> </w:t>
      </w:r>
      <w:hyperlink r:id="rId3" w:history="1">
        <w:r w:rsidRPr="00452760">
          <w:rPr>
            <w:rStyle w:val="Hyperlink"/>
            <w:rFonts w:ascii="Times New Roman" w:hAnsi="Times New Roman"/>
          </w:rPr>
          <w:t>http://www.bls.gov/news.release/pdf/ecec.pdf</w:t>
        </w:r>
      </w:hyperlink>
      <w:r w:rsidRPr="00FF7EA9">
        <w:rPr>
          <w:rFonts w:ascii="Times New Roman" w:hAnsi="Times New Roman"/>
        </w:rPr>
        <w:t xml:space="preserve">. </w:t>
      </w:r>
      <w:proofErr w:type="gramStart"/>
      <w:r w:rsidRPr="00FF7EA9">
        <w:rPr>
          <w:rFonts w:ascii="Times New Roman" w:hAnsi="Times New Roman"/>
        </w:rPr>
        <w:t xml:space="preserve">Table 10, Employer costs per hour worked for employee compensation and costs as a percent of total compensation: Private industry workers, by industry group, </w:t>
      </w:r>
      <w:r>
        <w:rPr>
          <w:rFonts w:ascii="Times New Roman" w:hAnsi="Times New Roman"/>
        </w:rPr>
        <w:t>June, 2014</w:t>
      </w:r>
      <w:r w:rsidRPr="00FF7EA9">
        <w:rPr>
          <w:rFonts w:ascii="Times New Roman" w:hAnsi="Times New Roman"/>
        </w:rPr>
        <w:t>.</w:t>
      </w:r>
      <w:proofErr w:type="gramEnd"/>
      <w:r w:rsidRPr="00FF7EA9">
        <w:rPr>
          <w:rFonts w:ascii="Times New Roman" w:hAnsi="Times New Roman"/>
        </w:rPr>
        <w:t xml:space="preserve"> </w:t>
      </w:r>
      <w:proofErr w:type="gramStart"/>
      <w:r w:rsidRPr="00FF7EA9">
        <w:rPr>
          <w:rFonts w:ascii="Times New Roman" w:hAnsi="Times New Roman"/>
        </w:rPr>
        <w:t>Transportation and Warehousing.</w:t>
      </w:r>
      <w:proofErr w:type="gramEnd"/>
      <w:r w:rsidRPr="00FF7EA9">
        <w:rPr>
          <w:rFonts w:ascii="Times New Roman" w:hAnsi="Times New Roman"/>
        </w:rPr>
        <w:t xml:space="preserve"> http://www.bls.gov/news.release/pdf/ecec.pdf. </w:t>
      </w:r>
      <w:proofErr w:type="gramStart"/>
      <w:r w:rsidRPr="00FF7EA9">
        <w:rPr>
          <w:rFonts w:ascii="Times New Roman" w:hAnsi="Times New Roman"/>
        </w:rPr>
        <w:t xml:space="preserve">Accessed </w:t>
      </w:r>
      <w:r>
        <w:rPr>
          <w:rFonts w:ascii="Times New Roman" w:hAnsi="Times New Roman"/>
        </w:rPr>
        <w:t>September 26, 2014.</w:t>
      </w:r>
      <w:proofErr w:type="gramEnd"/>
    </w:p>
  </w:footnote>
  <w:footnote w:id="9">
    <w:p w14:paraId="36B99DB0" w14:textId="489D987E" w:rsidR="00406240" w:rsidRPr="002A2C99" w:rsidRDefault="00406240"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Industry data gathered for the Truck Costing Model developed by the Upper Great Plains Transportation Institute Berwick </w:t>
      </w:r>
      <w:r>
        <w:rPr>
          <w:rFonts w:ascii="Times New Roman" w:hAnsi="Times New Roman"/>
        </w:rPr>
        <w:t xml:space="preserve">and Farooq </w:t>
      </w:r>
      <w:r w:rsidRPr="00FF7EA9">
        <w:rPr>
          <w:rFonts w:ascii="Times New Roman" w:hAnsi="Times New Roman"/>
        </w:rPr>
        <w:t xml:space="preserve">showed an average cost of $0.107 per mile of CMV operation for management and overhead, and $0.39 per mile for labor, indicating an overhead rate of 27 percent ($0.107 ÷ $0.39).  See </w:t>
      </w:r>
      <w:r>
        <w:rPr>
          <w:rFonts w:ascii="Times New Roman" w:hAnsi="Times New Roman"/>
        </w:rPr>
        <w:t xml:space="preserve">Berwick and </w:t>
      </w:r>
      <w:r w:rsidRPr="00FF7EA9">
        <w:rPr>
          <w:rFonts w:ascii="Times New Roman" w:hAnsi="Times New Roman"/>
        </w:rPr>
        <w:t xml:space="preserve">Farooq. </w:t>
      </w:r>
      <w:proofErr w:type="gramStart"/>
      <w:r w:rsidRPr="00FF7EA9">
        <w:rPr>
          <w:rFonts w:ascii="Times New Roman" w:hAnsi="Times New Roman"/>
        </w:rPr>
        <w:t>“Truck Costing Mod</w:t>
      </w:r>
      <w:r>
        <w:rPr>
          <w:rFonts w:ascii="Times New Roman" w:hAnsi="Times New Roman"/>
        </w:rPr>
        <w:t>el for Transportation Managers.”</w:t>
      </w:r>
      <w:proofErr w:type="gramEnd"/>
      <w:r w:rsidRPr="00FF7EA9">
        <w:rPr>
          <w:rFonts w:ascii="Times New Roman" w:hAnsi="Times New Roman"/>
        </w:rPr>
        <w:t xml:space="preserve"> Upper Great Plains Transportation Institute, North Dakota State University (2003) accessed on June 18, 2012 at </w:t>
      </w:r>
      <w:hyperlink r:id="rId4" w:history="1">
        <w:r w:rsidRPr="00885997">
          <w:rPr>
            <w:rStyle w:val="Hyperlink"/>
            <w:rFonts w:ascii="Times New Roman" w:hAnsi="Times New Roman"/>
          </w:rPr>
          <w:t>http://ntl.bts.gov/lib/24000/24200/24223/24223.pdf</w:t>
        </w:r>
      </w:hyperlink>
      <w:r w:rsidRPr="00FF7EA9">
        <w:rPr>
          <w:rFonts w:ascii="Times New Roman" w:hAnsi="Times New Roman"/>
        </w:rPr>
        <w:t>. See Appendix A, pp. 42-47</w:t>
      </w:r>
      <w:r>
        <w:rPr>
          <w:rFonts w:ascii="Times New Roman" w:hAnsi="Times New Roman"/>
        </w:rPr>
        <w:t>.</w:t>
      </w:r>
    </w:p>
  </w:footnote>
  <w:footnote w:id="10">
    <w:p w14:paraId="5F49865C" w14:textId="77777777" w:rsidR="00406240" w:rsidRPr="003274FD" w:rsidRDefault="00406240" w:rsidP="003274FD">
      <w:pPr>
        <w:pStyle w:val="FootnoteText"/>
        <w:rPr>
          <w:rFonts w:ascii="Times New Roman" w:hAnsi="Times New Roman"/>
        </w:rPr>
      </w:pPr>
      <w:r w:rsidRPr="003274FD">
        <w:rPr>
          <w:rStyle w:val="FootnoteReference"/>
          <w:rFonts w:ascii="Times New Roman" w:hAnsi="Times New Roman"/>
        </w:rPr>
        <w:footnoteRef/>
      </w:r>
      <w:r w:rsidRPr="003274FD">
        <w:rPr>
          <w:rFonts w:ascii="Times New Roman" w:hAnsi="Times New Roman"/>
        </w:rPr>
        <w:t xml:space="preserve"> Figures in this column sum to 101 percent rather than 100 percent due to rounding.</w:t>
      </w:r>
    </w:p>
  </w:footnote>
  <w:footnote w:id="11">
    <w:p w14:paraId="7A538C5F" w14:textId="67C99BBF" w:rsidR="00406240" w:rsidRDefault="00406240">
      <w:pPr>
        <w:pStyle w:val="FootnoteText"/>
      </w:pPr>
      <w:r w:rsidRPr="003274FD">
        <w:rPr>
          <w:rStyle w:val="FootnoteReference"/>
          <w:rFonts w:ascii="Times New Roman" w:hAnsi="Times New Roman"/>
        </w:rPr>
        <w:footnoteRef/>
      </w:r>
      <w:r w:rsidRPr="003274FD">
        <w:rPr>
          <w:rFonts w:ascii="Times New Roman" w:hAnsi="Times New Roman"/>
        </w:rPr>
        <w:t xml:space="preserve"> The sum of the calculated number of impacted CMVs is 1,871,001 rather than 1,871,000 due to rounding.</w:t>
      </w:r>
    </w:p>
  </w:footnote>
  <w:footnote w:id="12">
    <w:p w14:paraId="09E33BBD" w14:textId="77777777" w:rsidR="00406240" w:rsidRPr="002F4A28" w:rsidRDefault="00406240" w:rsidP="008F4BDA">
      <w:pPr>
        <w:pStyle w:val="FootnoteText"/>
        <w:rPr>
          <w:rFonts w:ascii="Times New Roman" w:hAnsi="Times New Roman"/>
        </w:rPr>
      </w:pPr>
      <w:r w:rsidRPr="002F4A28">
        <w:rPr>
          <w:rStyle w:val="FootnoteReference"/>
          <w:rFonts w:ascii="Times New Roman" w:hAnsi="Times New Roman"/>
        </w:rPr>
        <w:footnoteRef/>
      </w:r>
      <w:r w:rsidRPr="002F4A28">
        <w:rPr>
          <w:rFonts w:ascii="Times New Roman" w:hAnsi="Times New Roman"/>
        </w:rPr>
        <w:t xml:space="preserve"> </w:t>
      </w:r>
      <w:proofErr w:type="gramStart"/>
      <w:r w:rsidRPr="002F4A28">
        <w:rPr>
          <w:rFonts w:ascii="Times New Roman" w:hAnsi="Times New Roman"/>
          <w:i/>
        </w:rPr>
        <w:t>Motor Vehicle Marking Requirement Final Regulatory Evaluation and Regulatory Flexibility Analysis</w:t>
      </w:r>
      <w:r w:rsidRPr="002F4A28">
        <w:rPr>
          <w:rFonts w:ascii="Times New Roman" w:hAnsi="Times New Roman"/>
        </w:rPr>
        <w:t xml:space="preserve">, available at </w:t>
      </w:r>
      <w:hyperlink r:id="rId5" w:anchor="!documentDetail;D=FMCSA-1998-3947-0200" w:history="1">
        <w:r w:rsidRPr="002F4A28">
          <w:rPr>
            <w:rStyle w:val="Hyperlink"/>
            <w:rFonts w:ascii="Times New Roman" w:hAnsi="Times New Roman"/>
          </w:rPr>
          <w:t>http://www.regulations.gov/#!documentDetail;D=FMCSA-1998-3947-0200</w:t>
        </w:r>
      </w:hyperlink>
      <w:r w:rsidRPr="002F4A28">
        <w:rPr>
          <w:rFonts w:ascii="Times New Roman" w:hAnsi="Times New Roman"/>
        </w:rPr>
        <w:t>, accessed on March 1, 2013.</w:t>
      </w:r>
      <w:proofErr w:type="gramEnd"/>
    </w:p>
  </w:footnote>
  <w:footnote w:id="13">
    <w:p w14:paraId="6D776A1E" w14:textId="77777777" w:rsidR="00406240" w:rsidRPr="009F4AEF" w:rsidRDefault="00406240" w:rsidP="008F4BDA">
      <w:pPr>
        <w:pStyle w:val="FootnoteText"/>
        <w:rPr>
          <w:rFonts w:ascii="Times New Roman" w:hAnsi="Times New Roman"/>
        </w:rPr>
      </w:pPr>
      <w:r>
        <w:rPr>
          <w:rStyle w:val="FootnoteReference"/>
        </w:rPr>
        <w:footnoteRef/>
      </w:r>
      <w:r>
        <w:t xml:space="preserve"> </w:t>
      </w:r>
      <w:r>
        <w:rPr>
          <w:rFonts w:ascii="Times New Roman" w:hAnsi="Times New Roman"/>
        </w:rPr>
        <w:t xml:space="preserve">With regard to large passenger carriers, particularly those with fleets </w:t>
      </w:r>
      <w:r w:rsidRPr="00D6223D">
        <w:rPr>
          <w:rFonts w:ascii="Times New Roman" w:hAnsi="Times New Roman"/>
        </w:rPr>
        <w:t xml:space="preserve">exceeding 100 </w:t>
      </w:r>
      <w:r>
        <w:rPr>
          <w:rFonts w:ascii="Times New Roman" w:hAnsi="Times New Roman"/>
        </w:rPr>
        <w:t>CMV</w:t>
      </w:r>
      <w:r w:rsidRPr="00D6223D">
        <w:rPr>
          <w:rFonts w:ascii="Times New Roman" w:hAnsi="Times New Roman"/>
        </w:rPr>
        <w:t>s, FMCSA assumes the</w:t>
      </w:r>
      <w:r>
        <w:rPr>
          <w:rFonts w:ascii="Times New Roman" w:hAnsi="Times New Roman"/>
        </w:rPr>
        <w:t xml:space="preserve"> cost of marking per unit would be lower, considering economies of scale and volume discounting. However, the estimate is retained in the analysis to provide conservative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225"/>
    <w:multiLevelType w:val="hybridMultilevel"/>
    <w:tmpl w:val="BFF0DA90"/>
    <w:lvl w:ilvl="0" w:tplc="7EE23B4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757482"/>
    <w:multiLevelType w:val="hybridMultilevel"/>
    <w:tmpl w:val="C6C8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0CC6625"/>
    <w:multiLevelType w:val="hybridMultilevel"/>
    <w:tmpl w:val="3CAA956A"/>
    <w:lvl w:ilvl="0" w:tplc="B734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233650"/>
    <w:multiLevelType w:val="hybridMultilevel"/>
    <w:tmpl w:val="AB9E6BEC"/>
    <w:lvl w:ilvl="0" w:tplc="C818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3417F"/>
    <w:multiLevelType w:val="hybridMultilevel"/>
    <w:tmpl w:val="49A48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390ECF"/>
    <w:multiLevelType w:val="hybridMultilevel"/>
    <w:tmpl w:val="B0F0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7E78AA"/>
    <w:multiLevelType w:val="hybridMultilevel"/>
    <w:tmpl w:val="A386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10"/>
  </w:num>
  <w:num w:numId="4">
    <w:abstractNumId w:val="33"/>
  </w:num>
  <w:num w:numId="5">
    <w:abstractNumId w:val="30"/>
  </w:num>
  <w:num w:numId="6">
    <w:abstractNumId w:val="12"/>
  </w:num>
  <w:num w:numId="7">
    <w:abstractNumId w:val="29"/>
  </w:num>
  <w:num w:numId="8">
    <w:abstractNumId w:val="18"/>
  </w:num>
  <w:num w:numId="9">
    <w:abstractNumId w:val="7"/>
  </w:num>
  <w:num w:numId="10">
    <w:abstractNumId w:val="9"/>
  </w:num>
  <w:num w:numId="11">
    <w:abstractNumId w:val="21"/>
  </w:num>
  <w:num w:numId="12">
    <w:abstractNumId w:val="11"/>
  </w:num>
  <w:num w:numId="13">
    <w:abstractNumId w:val="37"/>
  </w:num>
  <w:num w:numId="14">
    <w:abstractNumId w:val="36"/>
  </w:num>
  <w:num w:numId="15">
    <w:abstractNumId w:val="25"/>
  </w:num>
  <w:num w:numId="16">
    <w:abstractNumId w:val="19"/>
  </w:num>
  <w:num w:numId="17">
    <w:abstractNumId w:val="20"/>
  </w:num>
  <w:num w:numId="18">
    <w:abstractNumId w:val="38"/>
  </w:num>
  <w:num w:numId="19">
    <w:abstractNumId w:val="15"/>
  </w:num>
  <w:num w:numId="20">
    <w:abstractNumId w:val="0"/>
  </w:num>
  <w:num w:numId="21">
    <w:abstractNumId w:val="5"/>
  </w:num>
  <w:num w:numId="22">
    <w:abstractNumId w:val="27"/>
  </w:num>
  <w:num w:numId="23">
    <w:abstractNumId w:val="28"/>
  </w:num>
  <w:num w:numId="24">
    <w:abstractNumId w:val="34"/>
  </w:num>
  <w:num w:numId="25">
    <w:abstractNumId w:val="1"/>
  </w:num>
  <w:num w:numId="26">
    <w:abstractNumId w:val="22"/>
  </w:num>
  <w:num w:numId="27">
    <w:abstractNumId w:val="6"/>
  </w:num>
  <w:num w:numId="28">
    <w:abstractNumId w:val="31"/>
  </w:num>
  <w:num w:numId="29">
    <w:abstractNumId w:val="35"/>
  </w:num>
  <w:num w:numId="30">
    <w:abstractNumId w:val="14"/>
  </w:num>
  <w:num w:numId="31">
    <w:abstractNumId w:val="39"/>
  </w:num>
  <w:num w:numId="32">
    <w:abstractNumId w:val="24"/>
  </w:num>
  <w:num w:numId="33">
    <w:abstractNumId w:val="17"/>
  </w:num>
  <w:num w:numId="34">
    <w:abstractNumId w:val="13"/>
  </w:num>
  <w:num w:numId="35">
    <w:abstractNumId w:val="23"/>
  </w:num>
  <w:num w:numId="36">
    <w:abstractNumId w:val="16"/>
  </w:num>
  <w:num w:numId="37">
    <w:abstractNumId w:val="2"/>
  </w:num>
  <w:num w:numId="38">
    <w:abstractNumId w:val="32"/>
  </w:num>
  <w:num w:numId="39">
    <w:abstractNumId w:val="4"/>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and Brian Dahlin">
    <w15:presenceInfo w15:providerId="Windows Live" w15:userId="8feb091814720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24F3"/>
    <w:rsid w:val="00003733"/>
    <w:rsid w:val="0000450F"/>
    <w:rsid w:val="00005422"/>
    <w:rsid w:val="00005630"/>
    <w:rsid w:val="00010718"/>
    <w:rsid w:val="00010ACD"/>
    <w:rsid w:val="00011244"/>
    <w:rsid w:val="00011979"/>
    <w:rsid w:val="00011DDC"/>
    <w:rsid w:val="00015ED1"/>
    <w:rsid w:val="000164AE"/>
    <w:rsid w:val="00016E38"/>
    <w:rsid w:val="0002097F"/>
    <w:rsid w:val="00024AF3"/>
    <w:rsid w:val="000256FD"/>
    <w:rsid w:val="000306BE"/>
    <w:rsid w:val="00034865"/>
    <w:rsid w:val="00037246"/>
    <w:rsid w:val="00040C74"/>
    <w:rsid w:val="00043CA1"/>
    <w:rsid w:val="00044F42"/>
    <w:rsid w:val="0004595C"/>
    <w:rsid w:val="0004749E"/>
    <w:rsid w:val="000500A8"/>
    <w:rsid w:val="000513EF"/>
    <w:rsid w:val="000525A4"/>
    <w:rsid w:val="00057EA1"/>
    <w:rsid w:val="000609B1"/>
    <w:rsid w:val="00061CC5"/>
    <w:rsid w:val="000711CC"/>
    <w:rsid w:val="00071F62"/>
    <w:rsid w:val="0007385D"/>
    <w:rsid w:val="00074A81"/>
    <w:rsid w:val="00076239"/>
    <w:rsid w:val="00076444"/>
    <w:rsid w:val="0008270D"/>
    <w:rsid w:val="00084D0B"/>
    <w:rsid w:val="00086519"/>
    <w:rsid w:val="0009101C"/>
    <w:rsid w:val="00091D8E"/>
    <w:rsid w:val="00094073"/>
    <w:rsid w:val="00094B41"/>
    <w:rsid w:val="00095F9D"/>
    <w:rsid w:val="00097B2B"/>
    <w:rsid w:val="000A0748"/>
    <w:rsid w:val="000A150E"/>
    <w:rsid w:val="000B0A70"/>
    <w:rsid w:val="000B1C82"/>
    <w:rsid w:val="000B21AB"/>
    <w:rsid w:val="000B2D0D"/>
    <w:rsid w:val="000B3AF8"/>
    <w:rsid w:val="000B3B74"/>
    <w:rsid w:val="000B4887"/>
    <w:rsid w:val="000B606A"/>
    <w:rsid w:val="000B6EBC"/>
    <w:rsid w:val="000C0A94"/>
    <w:rsid w:val="000C71B4"/>
    <w:rsid w:val="000D00F5"/>
    <w:rsid w:val="000D1072"/>
    <w:rsid w:val="000D3241"/>
    <w:rsid w:val="000D685F"/>
    <w:rsid w:val="000D7DAC"/>
    <w:rsid w:val="000E58A6"/>
    <w:rsid w:val="000E6246"/>
    <w:rsid w:val="000E6E6F"/>
    <w:rsid w:val="000F0B39"/>
    <w:rsid w:val="000F1704"/>
    <w:rsid w:val="000F2B59"/>
    <w:rsid w:val="00102134"/>
    <w:rsid w:val="00103851"/>
    <w:rsid w:val="00103E63"/>
    <w:rsid w:val="00105F8E"/>
    <w:rsid w:val="001060C7"/>
    <w:rsid w:val="00106848"/>
    <w:rsid w:val="0011172E"/>
    <w:rsid w:val="001121CD"/>
    <w:rsid w:val="00112879"/>
    <w:rsid w:val="00113A55"/>
    <w:rsid w:val="00114EF9"/>
    <w:rsid w:val="001154D9"/>
    <w:rsid w:val="00117C29"/>
    <w:rsid w:val="001229CC"/>
    <w:rsid w:val="00122A25"/>
    <w:rsid w:val="00125D24"/>
    <w:rsid w:val="00132347"/>
    <w:rsid w:val="001323DD"/>
    <w:rsid w:val="00135257"/>
    <w:rsid w:val="00135CF1"/>
    <w:rsid w:val="00135E11"/>
    <w:rsid w:val="00140D3B"/>
    <w:rsid w:val="001427B1"/>
    <w:rsid w:val="00144B2F"/>
    <w:rsid w:val="00146A65"/>
    <w:rsid w:val="00150465"/>
    <w:rsid w:val="00150900"/>
    <w:rsid w:val="00152C82"/>
    <w:rsid w:val="0015691D"/>
    <w:rsid w:val="00156D5B"/>
    <w:rsid w:val="00156FD9"/>
    <w:rsid w:val="00162464"/>
    <w:rsid w:val="0016362A"/>
    <w:rsid w:val="00163E25"/>
    <w:rsid w:val="00165690"/>
    <w:rsid w:val="00167679"/>
    <w:rsid w:val="00172ED0"/>
    <w:rsid w:val="001738FA"/>
    <w:rsid w:val="00175B11"/>
    <w:rsid w:val="0017628C"/>
    <w:rsid w:val="0017657F"/>
    <w:rsid w:val="00176DEC"/>
    <w:rsid w:val="0018082D"/>
    <w:rsid w:val="00180862"/>
    <w:rsid w:val="00184B2A"/>
    <w:rsid w:val="001879B5"/>
    <w:rsid w:val="001928A2"/>
    <w:rsid w:val="00195DEE"/>
    <w:rsid w:val="00197D3F"/>
    <w:rsid w:val="001A17C8"/>
    <w:rsid w:val="001A4F06"/>
    <w:rsid w:val="001A66DC"/>
    <w:rsid w:val="001B0C03"/>
    <w:rsid w:val="001B171B"/>
    <w:rsid w:val="001B1BF0"/>
    <w:rsid w:val="001B3C48"/>
    <w:rsid w:val="001B3EF1"/>
    <w:rsid w:val="001B44AE"/>
    <w:rsid w:val="001C170A"/>
    <w:rsid w:val="001C1B4B"/>
    <w:rsid w:val="001C2B34"/>
    <w:rsid w:val="001C3F0A"/>
    <w:rsid w:val="001D1407"/>
    <w:rsid w:val="001D4111"/>
    <w:rsid w:val="001D7CB8"/>
    <w:rsid w:val="001E404B"/>
    <w:rsid w:val="001F3FA3"/>
    <w:rsid w:val="001F40F1"/>
    <w:rsid w:val="001F4704"/>
    <w:rsid w:val="001F4CBC"/>
    <w:rsid w:val="001F72E4"/>
    <w:rsid w:val="00205264"/>
    <w:rsid w:val="0020569C"/>
    <w:rsid w:val="00205AF0"/>
    <w:rsid w:val="002142BA"/>
    <w:rsid w:val="002153E5"/>
    <w:rsid w:val="0022097E"/>
    <w:rsid w:val="00221C4A"/>
    <w:rsid w:val="00221D74"/>
    <w:rsid w:val="00232B8B"/>
    <w:rsid w:val="00235CC7"/>
    <w:rsid w:val="0023663A"/>
    <w:rsid w:val="00243095"/>
    <w:rsid w:val="002452E6"/>
    <w:rsid w:val="002461B4"/>
    <w:rsid w:val="00247A50"/>
    <w:rsid w:val="00250122"/>
    <w:rsid w:val="002522B3"/>
    <w:rsid w:val="002540CA"/>
    <w:rsid w:val="002554AB"/>
    <w:rsid w:val="0026471A"/>
    <w:rsid w:val="002708FC"/>
    <w:rsid w:val="002739BE"/>
    <w:rsid w:val="00276C1F"/>
    <w:rsid w:val="002803C9"/>
    <w:rsid w:val="00281251"/>
    <w:rsid w:val="00283F40"/>
    <w:rsid w:val="00291C15"/>
    <w:rsid w:val="0029422F"/>
    <w:rsid w:val="002971CE"/>
    <w:rsid w:val="002B026F"/>
    <w:rsid w:val="002B2B23"/>
    <w:rsid w:val="002B2D4B"/>
    <w:rsid w:val="002C023F"/>
    <w:rsid w:val="002C02BD"/>
    <w:rsid w:val="002D0B8F"/>
    <w:rsid w:val="002D0EC4"/>
    <w:rsid w:val="002D2224"/>
    <w:rsid w:val="002D4B97"/>
    <w:rsid w:val="002D4BEF"/>
    <w:rsid w:val="002D5B81"/>
    <w:rsid w:val="002D7019"/>
    <w:rsid w:val="002D78CA"/>
    <w:rsid w:val="002E4F27"/>
    <w:rsid w:val="002E5E23"/>
    <w:rsid w:val="002E673F"/>
    <w:rsid w:val="002F55E8"/>
    <w:rsid w:val="002F5BD0"/>
    <w:rsid w:val="003014B5"/>
    <w:rsid w:val="003053D2"/>
    <w:rsid w:val="003074F2"/>
    <w:rsid w:val="00307860"/>
    <w:rsid w:val="003104A2"/>
    <w:rsid w:val="0031233A"/>
    <w:rsid w:val="00315259"/>
    <w:rsid w:val="0032211F"/>
    <w:rsid w:val="00322F48"/>
    <w:rsid w:val="003232C1"/>
    <w:rsid w:val="00325189"/>
    <w:rsid w:val="00325352"/>
    <w:rsid w:val="003274FD"/>
    <w:rsid w:val="00327FAE"/>
    <w:rsid w:val="00331556"/>
    <w:rsid w:val="00334372"/>
    <w:rsid w:val="00337106"/>
    <w:rsid w:val="00337613"/>
    <w:rsid w:val="00343B15"/>
    <w:rsid w:val="00343B81"/>
    <w:rsid w:val="00344C64"/>
    <w:rsid w:val="00345971"/>
    <w:rsid w:val="00345CA7"/>
    <w:rsid w:val="00346352"/>
    <w:rsid w:val="00346884"/>
    <w:rsid w:val="00350388"/>
    <w:rsid w:val="00351A62"/>
    <w:rsid w:val="00352850"/>
    <w:rsid w:val="00353C80"/>
    <w:rsid w:val="0036041A"/>
    <w:rsid w:val="00367C0A"/>
    <w:rsid w:val="003714D3"/>
    <w:rsid w:val="003773C8"/>
    <w:rsid w:val="00377808"/>
    <w:rsid w:val="00383D99"/>
    <w:rsid w:val="0038620E"/>
    <w:rsid w:val="00386698"/>
    <w:rsid w:val="00393942"/>
    <w:rsid w:val="003946A0"/>
    <w:rsid w:val="003A0F52"/>
    <w:rsid w:val="003A47E0"/>
    <w:rsid w:val="003A5394"/>
    <w:rsid w:val="003A79FC"/>
    <w:rsid w:val="003B3771"/>
    <w:rsid w:val="003B6932"/>
    <w:rsid w:val="003C3A63"/>
    <w:rsid w:val="003C4A64"/>
    <w:rsid w:val="003C52E8"/>
    <w:rsid w:val="003C5D2F"/>
    <w:rsid w:val="003D3145"/>
    <w:rsid w:val="003D3B8F"/>
    <w:rsid w:val="003D550F"/>
    <w:rsid w:val="003D5809"/>
    <w:rsid w:val="003D5D1E"/>
    <w:rsid w:val="003E0C15"/>
    <w:rsid w:val="003E15AF"/>
    <w:rsid w:val="003E1BD3"/>
    <w:rsid w:val="003E5CF9"/>
    <w:rsid w:val="003F1715"/>
    <w:rsid w:val="003F1B00"/>
    <w:rsid w:val="003F1EB3"/>
    <w:rsid w:val="003F270C"/>
    <w:rsid w:val="003F358F"/>
    <w:rsid w:val="003F4F14"/>
    <w:rsid w:val="00401526"/>
    <w:rsid w:val="00406240"/>
    <w:rsid w:val="00407E96"/>
    <w:rsid w:val="004109C1"/>
    <w:rsid w:val="00415108"/>
    <w:rsid w:val="004159E7"/>
    <w:rsid w:val="004161CF"/>
    <w:rsid w:val="004203CB"/>
    <w:rsid w:val="00421E25"/>
    <w:rsid w:val="004232D3"/>
    <w:rsid w:val="004238F4"/>
    <w:rsid w:val="00424670"/>
    <w:rsid w:val="00425F47"/>
    <w:rsid w:val="004277A2"/>
    <w:rsid w:val="00427F10"/>
    <w:rsid w:val="00434428"/>
    <w:rsid w:val="00443913"/>
    <w:rsid w:val="004505CD"/>
    <w:rsid w:val="004510BE"/>
    <w:rsid w:val="00452F23"/>
    <w:rsid w:val="004535EE"/>
    <w:rsid w:val="004536A1"/>
    <w:rsid w:val="00454B21"/>
    <w:rsid w:val="00454C1F"/>
    <w:rsid w:val="00455C34"/>
    <w:rsid w:val="004572CF"/>
    <w:rsid w:val="00461AC2"/>
    <w:rsid w:val="00470720"/>
    <w:rsid w:val="00477D6F"/>
    <w:rsid w:val="00480D9C"/>
    <w:rsid w:val="004829FC"/>
    <w:rsid w:val="00482ED7"/>
    <w:rsid w:val="0048656D"/>
    <w:rsid w:val="004869AE"/>
    <w:rsid w:val="00492328"/>
    <w:rsid w:val="004A1EF3"/>
    <w:rsid w:val="004A240A"/>
    <w:rsid w:val="004A432E"/>
    <w:rsid w:val="004A5B11"/>
    <w:rsid w:val="004B2940"/>
    <w:rsid w:val="004B4DA5"/>
    <w:rsid w:val="004B53C3"/>
    <w:rsid w:val="004C01CD"/>
    <w:rsid w:val="004C0727"/>
    <w:rsid w:val="004C1E6F"/>
    <w:rsid w:val="004C249B"/>
    <w:rsid w:val="004C33B0"/>
    <w:rsid w:val="004C4BD0"/>
    <w:rsid w:val="004C52F3"/>
    <w:rsid w:val="004C5648"/>
    <w:rsid w:val="004C5991"/>
    <w:rsid w:val="004C7AEC"/>
    <w:rsid w:val="004D2A59"/>
    <w:rsid w:val="004D5515"/>
    <w:rsid w:val="004E7DC7"/>
    <w:rsid w:val="004F1161"/>
    <w:rsid w:val="004F4117"/>
    <w:rsid w:val="004F7267"/>
    <w:rsid w:val="004F7E4B"/>
    <w:rsid w:val="00500087"/>
    <w:rsid w:val="00502F13"/>
    <w:rsid w:val="0050427B"/>
    <w:rsid w:val="0050516F"/>
    <w:rsid w:val="005079DA"/>
    <w:rsid w:val="005114C1"/>
    <w:rsid w:val="00517A8F"/>
    <w:rsid w:val="00520910"/>
    <w:rsid w:val="00523CD9"/>
    <w:rsid w:val="00525732"/>
    <w:rsid w:val="00526432"/>
    <w:rsid w:val="00526EEB"/>
    <w:rsid w:val="00532BD0"/>
    <w:rsid w:val="005338BC"/>
    <w:rsid w:val="00540297"/>
    <w:rsid w:val="00541060"/>
    <w:rsid w:val="00543B23"/>
    <w:rsid w:val="00545569"/>
    <w:rsid w:val="00546922"/>
    <w:rsid w:val="00546B07"/>
    <w:rsid w:val="00550B36"/>
    <w:rsid w:val="0055150A"/>
    <w:rsid w:val="00551B1E"/>
    <w:rsid w:val="00554C33"/>
    <w:rsid w:val="00557018"/>
    <w:rsid w:val="005612EB"/>
    <w:rsid w:val="00563549"/>
    <w:rsid w:val="0056492E"/>
    <w:rsid w:val="0057314E"/>
    <w:rsid w:val="005743B2"/>
    <w:rsid w:val="00575C62"/>
    <w:rsid w:val="005813B2"/>
    <w:rsid w:val="005818B8"/>
    <w:rsid w:val="005830A1"/>
    <w:rsid w:val="00583D21"/>
    <w:rsid w:val="00585B1C"/>
    <w:rsid w:val="005869F3"/>
    <w:rsid w:val="00592A3A"/>
    <w:rsid w:val="00592E1F"/>
    <w:rsid w:val="005A17C0"/>
    <w:rsid w:val="005A2032"/>
    <w:rsid w:val="005A2C85"/>
    <w:rsid w:val="005B0BDF"/>
    <w:rsid w:val="005B2633"/>
    <w:rsid w:val="005B6DD6"/>
    <w:rsid w:val="005C0E2D"/>
    <w:rsid w:val="005C14E7"/>
    <w:rsid w:val="005C3701"/>
    <w:rsid w:val="005C615B"/>
    <w:rsid w:val="005C7B26"/>
    <w:rsid w:val="005D295D"/>
    <w:rsid w:val="005D2C41"/>
    <w:rsid w:val="005D3807"/>
    <w:rsid w:val="005E0102"/>
    <w:rsid w:val="005E0914"/>
    <w:rsid w:val="005E0DAB"/>
    <w:rsid w:val="005E0EDA"/>
    <w:rsid w:val="005E329F"/>
    <w:rsid w:val="005E4946"/>
    <w:rsid w:val="005E7FA9"/>
    <w:rsid w:val="005F3A86"/>
    <w:rsid w:val="005F408B"/>
    <w:rsid w:val="005F4631"/>
    <w:rsid w:val="005F6CBE"/>
    <w:rsid w:val="00602583"/>
    <w:rsid w:val="006029B4"/>
    <w:rsid w:val="00603C5F"/>
    <w:rsid w:val="006068EC"/>
    <w:rsid w:val="006079B6"/>
    <w:rsid w:val="00610092"/>
    <w:rsid w:val="00614E11"/>
    <w:rsid w:val="00620027"/>
    <w:rsid w:val="00623904"/>
    <w:rsid w:val="00626878"/>
    <w:rsid w:val="00626B26"/>
    <w:rsid w:val="00630149"/>
    <w:rsid w:val="00631352"/>
    <w:rsid w:val="00633195"/>
    <w:rsid w:val="00633FAD"/>
    <w:rsid w:val="006345DA"/>
    <w:rsid w:val="00640666"/>
    <w:rsid w:val="00646A28"/>
    <w:rsid w:val="00655341"/>
    <w:rsid w:val="00655CFC"/>
    <w:rsid w:val="00656156"/>
    <w:rsid w:val="00656E8B"/>
    <w:rsid w:val="00662F43"/>
    <w:rsid w:val="00663B5D"/>
    <w:rsid w:val="006645D3"/>
    <w:rsid w:val="0066570B"/>
    <w:rsid w:val="00672F46"/>
    <w:rsid w:val="00675BA8"/>
    <w:rsid w:val="0068359D"/>
    <w:rsid w:val="00686EE0"/>
    <w:rsid w:val="0068734C"/>
    <w:rsid w:val="00687E95"/>
    <w:rsid w:val="006920B4"/>
    <w:rsid w:val="00694CE2"/>
    <w:rsid w:val="00695489"/>
    <w:rsid w:val="00695B10"/>
    <w:rsid w:val="006A2261"/>
    <w:rsid w:val="006A4D9B"/>
    <w:rsid w:val="006B025B"/>
    <w:rsid w:val="006B0DBD"/>
    <w:rsid w:val="006B3B9C"/>
    <w:rsid w:val="006B5C1D"/>
    <w:rsid w:val="006B6356"/>
    <w:rsid w:val="006B785E"/>
    <w:rsid w:val="006C0A58"/>
    <w:rsid w:val="006C2944"/>
    <w:rsid w:val="006C4617"/>
    <w:rsid w:val="006C5F9E"/>
    <w:rsid w:val="006C62B2"/>
    <w:rsid w:val="006C6FF9"/>
    <w:rsid w:val="006C714E"/>
    <w:rsid w:val="006C7C0F"/>
    <w:rsid w:val="006D236E"/>
    <w:rsid w:val="006D2C45"/>
    <w:rsid w:val="006D351E"/>
    <w:rsid w:val="006D5441"/>
    <w:rsid w:val="006D661D"/>
    <w:rsid w:val="006E0380"/>
    <w:rsid w:val="006E17EF"/>
    <w:rsid w:val="006F05FD"/>
    <w:rsid w:val="006F08FB"/>
    <w:rsid w:val="006F1A79"/>
    <w:rsid w:val="006F69FA"/>
    <w:rsid w:val="0070018E"/>
    <w:rsid w:val="00700B1C"/>
    <w:rsid w:val="007018D4"/>
    <w:rsid w:val="0070342A"/>
    <w:rsid w:val="0070400B"/>
    <w:rsid w:val="00704CEC"/>
    <w:rsid w:val="00705891"/>
    <w:rsid w:val="00707FD9"/>
    <w:rsid w:val="007109EF"/>
    <w:rsid w:val="0071145E"/>
    <w:rsid w:val="00716FBC"/>
    <w:rsid w:val="00722088"/>
    <w:rsid w:val="00727951"/>
    <w:rsid w:val="0073199B"/>
    <w:rsid w:val="00733546"/>
    <w:rsid w:val="00733CCD"/>
    <w:rsid w:val="007362C5"/>
    <w:rsid w:val="007366BC"/>
    <w:rsid w:val="00745D90"/>
    <w:rsid w:val="007518E9"/>
    <w:rsid w:val="0075313A"/>
    <w:rsid w:val="007540F8"/>
    <w:rsid w:val="00754FAD"/>
    <w:rsid w:val="00755261"/>
    <w:rsid w:val="0075798C"/>
    <w:rsid w:val="00761D00"/>
    <w:rsid w:val="00761FD5"/>
    <w:rsid w:val="007706E5"/>
    <w:rsid w:val="00772471"/>
    <w:rsid w:val="00773427"/>
    <w:rsid w:val="00774F75"/>
    <w:rsid w:val="00775671"/>
    <w:rsid w:val="00780248"/>
    <w:rsid w:val="0078096E"/>
    <w:rsid w:val="00781749"/>
    <w:rsid w:val="007853F7"/>
    <w:rsid w:val="00792290"/>
    <w:rsid w:val="007944A1"/>
    <w:rsid w:val="00795FEE"/>
    <w:rsid w:val="007A1DF8"/>
    <w:rsid w:val="007B6458"/>
    <w:rsid w:val="007B7C0C"/>
    <w:rsid w:val="007C3F36"/>
    <w:rsid w:val="007C6458"/>
    <w:rsid w:val="007C7FD8"/>
    <w:rsid w:val="007D3DFE"/>
    <w:rsid w:val="007D4658"/>
    <w:rsid w:val="007D626E"/>
    <w:rsid w:val="007D65EF"/>
    <w:rsid w:val="007D78DC"/>
    <w:rsid w:val="007E0F4F"/>
    <w:rsid w:val="007E691E"/>
    <w:rsid w:val="007F1054"/>
    <w:rsid w:val="007F3F22"/>
    <w:rsid w:val="007F7BC7"/>
    <w:rsid w:val="00807C88"/>
    <w:rsid w:val="00810444"/>
    <w:rsid w:val="00811888"/>
    <w:rsid w:val="00812359"/>
    <w:rsid w:val="0081368F"/>
    <w:rsid w:val="0081739B"/>
    <w:rsid w:val="008173C4"/>
    <w:rsid w:val="00817764"/>
    <w:rsid w:val="00821168"/>
    <w:rsid w:val="00822EF5"/>
    <w:rsid w:val="008279A1"/>
    <w:rsid w:val="008279E9"/>
    <w:rsid w:val="00830F5D"/>
    <w:rsid w:val="0083150C"/>
    <w:rsid w:val="00832C97"/>
    <w:rsid w:val="008409A8"/>
    <w:rsid w:val="008416D1"/>
    <w:rsid w:val="00846527"/>
    <w:rsid w:val="0085128C"/>
    <w:rsid w:val="00851434"/>
    <w:rsid w:val="00853605"/>
    <w:rsid w:val="00864193"/>
    <w:rsid w:val="008677BA"/>
    <w:rsid w:val="00881697"/>
    <w:rsid w:val="0088384F"/>
    <w:rsid w:val="00884905"/>
    <w:rsid w:val="008864C0"/>
    <w:rsid w:val="008901A4"/>
    <w:rsid w:val="00891BBD"/>
    <w:rsid w:val="00892671"/>
    <w:rsid w:val="00893D39"/>
    <w:rsid w:val="008941BD"/>
    <w:rsid w:val="00894EE0"/>
    <w:rsid w:val="00895892"/>
    <w:rsid w:val="00897896"/>
    <w:rsid w:val="00897B30"/>
    <w:rsid w:val="008A07D8"/>
    <w:rsid w:val="008A678E"/>
    <w:rsid w:val="008A720A"/>
    <w:rsid w:val="008B5870"/>
    <w:rsid w:val="008B7BC7"/>
    <w:rsid w:val="008C084F"/>
    <w:rsid w:val="008C1CA4"/>
    <w:rsid w:val="008C223C"/>
    <w:rsid w:val="008D34A3"/>
    <w:rsid w:val="008D3F5D"/>
    <w:rsid w:val="008D52D6"/>
    <w:rsid w:val="008D62DE"/>
    <w:rsid w:val="008D69FF"/>
    <w:rsid w:val="008D7941"/>
    <w:rsid w:val="008E2C0A"/>
    <w:rsid w:val="008E2DA8"/>
    <w:rsid w:val="008E3A11"/>
    <w:rsid w:val="008E4E78"/>
    <w:rsid w:val="008E5204"/>
    <w:rsid w:val="008E55C1"/>
    <w:rsid w:val="008E5B11"/>
    <w:rsid w:val="008F0154"/>
    <w:rsid w:val="008F0F14"/>
    <w:rsid w:val="008F2CDB"/>
    <w:rsid w:val="008F3354"/>
    <w:rsid w:val="008F4BDA"/>
    <w:rsid w:val="008F5CA6"/>
    <w:rsid w:val="00902DFA"/>
    <w:rsid w:val="00903B07"/>
    <w:rsid w:val="0090420F"/>
    <w:rsid w:val="00905572"/>
    <w:rsid w:val="009059E4"/>
    <w:rsid w:val="0090750C"/>
    <w:rsid w:val="00907B27"/>
    <w:rsid w:val="0091655D"/>
    <w:rsid w:val="00917459"/>
    <w:rsid w:val="0092181F"/>
    <w:rsid w:val="00924E46"/>
    <w:rsid w:val="00927957"/>
    <w:rsid w:val="00930435"/>
    <w:rsid w:val="00930AEA"/>
    <w:rsid w:val="0093169D"/>
    <w:rsid w:val="00931713"/>
    <w:rsid w:val="00935560"/>
    <w:rsid w:val="00936B70"/>
    <w:rsid w:val="00937E4D"/>
    <w:rsid w:val="00942D52"/>
    <w:rsid w:val="00945BF7"/>
    <w:rsid w:val="0095038C"/>
    <w:rsid w:val="00952BA1"/>
    <w:rsid w:val="00953807"/>
    <w:rsid w:val="00953CFD"/>
    <w:rsid w:val="009572E1"/>
    <w:rsid w:val="009605BC"/>
    <w:rsid w:val="00963C90"/>
    <w:rsid w:val="00965E53"/>
    <w:rsid w:val="0096666F"/>
    <w:rsid w:val="00966EA7"/>
    <w:rsid w:val="00972803"/>
    <w:rsid w:val="00976827"/>
    <w:rsid w:val="009769FD"/>
    <w:rsid w:val="00977479"/>
    <w:rsid w:val="00977C95"/>
    <w:rsid w:val="0098453A"/>
    <w:rsid w:val="00987E8E"/>
    <w:rsid w:val="009901F3"/>
    <w:rsid w:val="0099146A"/>
    <w:rsid w:val="009A1F1C"/>
    <w:rsid w:val="009A51F0"/>
    <w:rsid w:val="009B1C6C"/>
    <w:rsid w:val="009B2B58"/>
    <w:rsid w:val="009B4168"/>
    <w:rsid w:val="009B4625"/>
    <w:rsid w:val="009B7972"/>
    <w:rsid w:val="009C1C98"/>
    <w:rsid w:val="009C2D8C"/>
    <w:rsid w:val="009C2EE0"/>
    <w:rsid w:val="009C6581"/>
    <w:rsid w:val="009D0DB0"/>
    <w:rsid w:val="009D3DFE"/>
    <w:rsid w:val="009D4484"/>
    <w:rsid w:val="009D4EF0"/>
    <w:rsid w:val="009D4F72"/>
    <w:rsid w:val="009D63DF"/>
    <w:rsid w:val="009E0597"/>
    <w:rsid w:val="009E1512"/>
    <w:rsid w:val="009E1AB8"/>
    <w:rsid w:val="009E2F2D"/>
    <w:rsid w:val="009E43F8"/>
    <w:rsid w:val="009E4A55"/>
    <w:rsid w:val="009E6CAD"/>
    <w:rsid w:val="009E756D"/>
    <w:rsid w:val="009F0974"/>
    <w:rsid w:val="009F0DEB"/>
    <w:rsid w:val="009F1E33"/>
    <w:rsid w:val="009F2324"/>
    <w:rsid w:val="009F25D6"/>
    <w:rsid w:val="009F3A44"/>
    <w:rsid w:val="009F3F29"/>
    <w:rsid w:val="009F40E7"/>
    <w:rsid w:val="009F49AE"/>
    <w:rsid w:val="009F4AEF"/>
    <w:rsid w:val="009F5E71"/>
    <w:rsid w:val="00A0011B"/>
    <w:rsid w:val="00A01A32"/>
    <w:rsid w:val="00A06F7C"/>
    <w:rsid w:val="00A07C37"/>
    <w:rsid w:val="00A103E8"/>
    <w:rsid w:val="00A11738"/>
    <w:rsid w:val="00A1279B"/>
    <w:rsid w:val="00A1364B"/>
    <w:rsid w:val="00A20FC1"/>
    <w:rsid w:val="00A227BC"/>
    <w:rsid w:val="00A227BF"/>
    <w:rsid w:val="00A236D5"/>
    <w:rsid w:val="00A24312"/>
    <w:rsid w:val="00A25712"/>
    <w:rsid w:val="00A27267"/>
    <w:rsid w:val="00A27874"/>
    <w:rsid w:val="00A315DC"/>
    <w:rsid w:val="00A318E4"/>
    <w:rsid w:val="00A31AA5"/>
    <w:rsid w:val="00A40EA2"/>
    <w:rsid w:val="00A415DD"/>
    <w:rsid w:val="00A41813"/>
    <w:rsid w:val="00A43CC1"/>
    <w:rsid w:val="00A47427"/>
    <w:rsid w:val="00A5738E"/>
    <w:rsid w:val="00A576A1"/>
    <w:rsid w:val="00A57759"/>
    <w:rsid w:val="00A60F4E"/>
    <w:rsid w:val="00A61161"/>
    <w:rsid w:val="00A613EE"/>
    <w:rsid w:val="00A63E8C"/>
    <w:rsid w:val="00A64CF6"/>
    <w:rsid w:val="00A65227"/>
    <w:rsid w:val="00A665D3"/>
    <w:rsid w:val="00A666B0"/>
    <w:rsid w:val="00A67C9C"/>
    <w:rsid w:val="00A72E59"/>
    <w:rsid w:val="00A821C4"/>
    <w:rsid w:val="00A85D5D"/>
    <w:rsid w:val="00A86202"/>
    <w:rsid w:val="00A87706"/>
    <w:rsid w:val="00A9125D"/>
    <w:rsid w:val="00A9284F"/>
    <w:rsid w:val="00A952E7"/>
    <w:rsid w:val="00A95697"/>
    <w:rsid w:val="00A96936"/>
    <w:rsid w:val="00A97034"/>
    <w:rsid w:val="00AA6D90"/>
    <w:rsid w:val="00AA7B60"/>
    <w:rsid w:val="00AB249B"/>
    <w:rsid w:val="00AB373A"/>
    <w:rsid w:val="00AB49B2"/>
    <w:rsid w:val="00AB7BF8"/>
    <w:rsid w:val="00AC4222"/>
    <w:rsid w:val="00AC4DA4"/>
    <w:rsid w:val="00AC57C7"/>
    <w:rsid w:val="00AC7F26"/>
    <w:rsid w:val="00AD0488"/>
    <w:rsid w:val="00AD2A06"/>
    <w:rsid w:val="00AD5617"/>
    <w:rsid w:val="00AD6AD7"/>
    <w:rsid w:val="00AD6DCA"/>
    <w:rsid w:val="00AE13AD"/>
    <w:rsid w:val="00AE4C9B"/>
    <w:rsid w:val="00AE5C3B"/>
    <w:rsid w:val="00AF3154"/>
    <w:rsid w:val="00AF45FA"/>
    <w:rsid w:val="00AF4B19"/>
    <w:rsid w:val="00AF60DF"/>
    <w:rsid w:val="00AF6528"/>
    <w:rsid w:val="00B003EB"/>
    <w:rsid w:val="00B03ED0"/>
    <w:rsid w:val="00B0712B"/>
    <w:rsid w:val="00B0725D"/>
    <w:rsid w:val="00B2051C"/>
    <w:rsid w:val="00B22163"/>
    <w:rsid w:val="00B22478"/>
    <w:rsid w:val="00B25E3D"/>
    <w:rsid w:val="00B27DEA"/>
    <w:rsid w:val="00B31D97"/>
    <w:rsid w:val="00B32D5A"/>
    <w:rsid w:val="00B339F9"/>
    <w:rsid w:val="00B4175D"/>
    <w:rsid w:val="00B420B3"/>
    <w:rsid w:val="00B44DBE"/>
    <w:rsid w:val="00B45F1A"/>
    <w:rsid w:val="00B50B9B"/>
    <w:rsid w:val="00B5180A"/>
    <w:rsid w:val="00B56244"/>
    <w:rsid w:val="00B5702F"/>
    <w:rsid w:val="00B57EC9"/>
    <w:rsid w:val="00B66735"/>
    <w:rsid w:val="00B66ACC"/>
    <w:rsid w:val="00B724FE"/>
    <w:rsid w:val="00B75154"/>
    <w:rsid w:val="00B75514"/>
    <w:rsid w:val="00B76167"/>
    <w:rsid w:val="00B77AB0"/>
    <w:rsid w:val="00B8451C"/>
    <w:rsid w:val="00B90043"/>
    <w:rsid w:val="00B96ACC"/>
    <w:rsid w:val="00B97037"/>
    <w:rsid w:val="00B97360"/>
    <w:rsid w:val="00BA09BD"/>
    <w:rsid w:val="00BA39C7"/>
    <w:rsid w:val="00BA3A23"/>
    <w:rsid w:val="00BA3A76"/>
    <w:rsid w:val="00BA4BD9"/>
    <w:rsid w:val="00BA6207"/>
    <w:rsid w:val="00BB03D2"/>
    <w:rsid w:val="00BB106F"/>
    <w:rsid w:val="00BB2152"/>
    <w:rsid w:val="00BB2F7B"/>
    <w:rsid w:val="00BB4B04"/>
    <w:rsid w:val="00BB79A4"/>
    <w:rsid w:val="00BC299A"/>
    <w:rsid w:val="00BC6B3D"/>
    <w:rsid w:val="00BD33E2"/>
    <w:rsid w:val="00BD3755"/>
    <w:rsid w:val="00BE3B46"/>
    <w:rsid w:val="00BE6F02"/>
    <w:rsid w:val="00BF7423"/>
    <w:rsid w:val="00C00298"/>
    <w:rsid w:val="00C01236"/>
    <w:rsid w:val="00C10D7C"/>
    <w:rsid w:val="00C1157F"/>
    <w:rsid w:val="00C126A3"/>
    <w:rsid w:val="00C14920"/>
    <w:rsid w:val="00C16F6D"/>
    <w:rsid w:val="00C20664"/>
    <w:rsid w:val="00C22775"/>
    <w:rsid w:val="00C22AA2"/>
    <w:rsid w:val="00C22D74"/>
    <w:rsid w:val="00C234EF"/>
    <w:rsid w:val="00C23F72"/>
    <w:rsid w:val="00C24085"/>
    <w:rsid w:val="00C24F18"/>
    <w:rsid w:val="00C33B0C"/>
    <w:rsid w:val="00C366F5"/>
    <w:rsid w:val="00C379CD"/>
    <w:rsid w:val="00C42872"/>
    <w:rsid w:val="00C438D3"/>
    <w:rsid w:val="00C446AD"/>
    <w:rsid w:val="00C450BB"/>
    <w:rsid w:val="00C4610D"/>
    <w:rsid w:val="00C466A3"/>
    <w:rsid w:val="00C479D4"/>
    <w:rsid w:val="00C52247"/>
    <w:rsid w:val="00C52839"/>
    <w:rsid w:val="00C531FB"/>
    <w:rsid w:val="00C6014D"/>
    <w:rsid w:val="00C60C5D"/>
    <w:rsid w:val="00C627D5"/>
    <w:rsid w:val="00C62B09"/>
    <w:rsid w:val="00C63CF5"/>
    <w:rsid w:val="00C66742"/>
    <w:rsid w:val="00C7527D"/>
    <w:rsid w:val="00C82BE5"/>
    <w:rsid w:val="00C90EF5"/>
    <w:rsid w:val="00C94987"/>
    <w:rsid w:val="00CA2C59"/>
    <w:rsid w:val="00CA4E38"/>
    <w:rsid w:val="00CA5D05"/>
    <w:rsid w:val="00CA657C"/>
    <w:rsid w:val="00CA6656"/>
    <w:rsid w:val="00CB0188"/>
    <w:rsid w:val="00CB0CEC"/>
    <w:rsid w:val="00CB206B"/>
    <w:rsid w:val="00CB458F"/>
    <w:rsid w:val="00CB46D4"/>
    <w:rsid w:val="00CB6567"/>
    <w:rsid w:val="00CB7D67"/>
    <w:rsid w:val="00CC1B10"/>
    <w:rsid w:val="00CC268A"/>
    <w:rsid w:val="00CC5020"/>
    <w:rsid w:val="00CD00CD"/>
    <w:rsid w:val="00CD0400"/>
    <w:rsid w:val="00CD4CC4"/>
    <w:rsid w:val="00CD56FD"/>
    <w:rsid w:val="00CD5DDD"/>
    <w:rsid w:val="00CD7543"/>
    <w:rsid w:val="00CE04D2"/>
    <w:rsid w:val="00CE6DA2"/>
    <w:rsid w:val="00CF0E22"/>
    <w:rsid w:val="00CF0F3E"/>
    <w:rsid w:val="00CF4B55"/>
    <w:rsid w:val="00CF5C36"/>
    <w:rsid w:val="00CF7D91"/>
    <w:rsid w:val="00D00B22"/>
    <w:rsid w:val="00D06B91"/>
    <w:rsid w:val="00D113E8"/>
    <w:rsid w:val="00D147D5"/>
    <w:rsid w:val="00D224B2"/>
    <w:rsid w:val="00D25030"/>
    <w:rsid w:val="00D25064"/>
    <w:rsid w:val="00D25487"/>
    <w:rsid w:val="00D25552"/>
    <w:rsid w:val="00D2634B"/>
    <w:rsid w:val="00D375EB"/>
    <w:rsid w:val="00D37D22"/>
    <w:rsid w:val="00D4216C"/>
    <w:rsid w:val="00D432D8"/>
    <w:rsid w:val="00D4626A"/>
    <w:rsid w:val="00D47360"/>
    <w:rsid w:val="00D51094"/>
    <w:rsid w:val="00D51CD8"/>
    <w:rsid w:val="00D52811"/>
    <w:rsid w:val="00D548AF"/>
    <w:rsid w:val="00D569DC"/>
    <w:rsid w:val="00D6223D"/>
    <w:rsid w:val="00D6726C"/>
    <w:rsid w:val="00D67B31"/>
    <w:rsid w:val="00D71E60"/>
    <w:rsid w:val="00D73870"/>
    <w:rsid w:val="00D77FB9"/>
    <w:rsid w:val="00D8039E"/>
    <w:rsid w:val="00D831CF"/>
    <w:rsid w:val="00D9046F"/>
    <w:rsid w:val="00D911A9"/>
    <w:rsid w:val="00DA1103"/>
    <w:rsid w:val="00DA1459"/>
    <w:rsid w:val="00DA24C1"/>
    <w:rsid w:val="00DA36E4"/>
    <w:rsid w:val="00DA38F7"/>
    <w:rsid w:val="00DA4E24"/>
    <w:rsid w:val="00DA62B2"/>
    <w:rsid w:val="00DA7BBA"/>
    <w:rsid w:val="00DA7DDF"/>
    <w:rsid w:val="00DB0FD8"/>
    <w:rsid w:val="00DB1CC3"/>
    <w:rsid w:val="00DB1F32"/>
    <w:rsid w:val="00DB4692"/>
    <w:rsid w:val="00DB6C06"/>
    <w:rsid w:val="00DC1B74"/>
    <w:rsid w:val="00DC46A3"/>
    <w:rsid w:val="00DD213E"/>
    <w:rsid w:val="00DD2213"/>
    <w:rsid w:val="00DD5E96"/>
    <w:rsid w:val="00DD5E98"/>
    <w:rsid w:val="00DD62F2"/>
    <w:rsid w:val="00DD6B7B"/>
    <w:rsid w:val="00DE1364"/>
    <w:rsid w:val="00DE3922"/>
    <w:rsid w:val="00DE3A22"/>
    <w:rsid w:val="00DE4743"/>
    <w:rsid w:val="00DE637A"/>
    <w:rsid w:val="00DE7F1D"/>
    <w:rsid w:val="00DF4E1A"/>
    <w:rsid w:val="00E06C80"/>
    <w:rsid w:val="00E07050"/>
    <w:rsid w:val="00E12337"/>
    <w:rsid w:val="00E1755A"/>
    <w:rsid w:val="00E204D5"/>
    <w:rsid w:val="00E21F4D"/>
    <w:rsid w:val="00E24314"/>
    <w:rsid w:val="00E24500"/>
    <w:rsid w:val="00E26246"/>
    <w:rsid w:val="00E26E19"/>
    <w:rsid w:val="00E31539"/>
    <w:rsid w:val="00E316A3"/>
    <w:rsid w:val="00E36FDD"/>
    <w:rsid w:val="00E37325"/>
    <w:rsid w:val="00E4024A"/>
    <w:rsid w:val="00E41012"/>
    <w:rsid w:val="00E41C1C"/>
    <w:rsid w:val="00E45597"/>
    <w:rsid w:val="00E467B4"/>
    <w:rsid w:val="00E47E3F"/>
    <w:rsid w:val="00E5022C"/>
    <w:rsid w:val="00E50384"/>
    <w:rsid w:val="00E50B50"/>
    <w:rsid w:val="00E531C1"/>
    <w:rsid w:val="00E5549B"/>
    <w:rsid w:val="00E56A9D"/>
    <w:rsid w:val="00E61A9A"/>
    <w:rsid w:val="00E6223C"/>
    <w:rsid w:val="00E637DE"/>
    <w:rsid w:val="00E65633"/>
    <w:rsid w:val="00E6585F"/>
    <w:rsid w:val="00E66700"/>
    <w:rsid w:val="00E674CF"/>
    <w:rsid w:val="00E700D7"/>
    <w:rsid w:val="00E70646"/>
    <w:rsid w:val="00E73DD4"/>
    <w:rsid w:val="00E744AC"/>
    <w:rsid w:val="00E807F1"/>
    <w:rsid w:val="00E83423"/>
    <w:rsid w:val="00E8344C"/>
    <w:rsid w:val="00E83481"/>
    <w:rsid w:val="00E869F1"/>
    <w:rsid w:val="00E914E1"/>
    <w:rsid w:val="00E936B6"/>
    <w:rsid w:val="00E979F8"/>
    <w:rsid w:val="00EA27C5"/>
    <w:rsid w:val="00EA54E4"/>
    <w:rsid w:val="00EA7683"/>
    <w:rsid w:val="00EB14AC"/>
    <w:rsid w:val="00EB273F"/>
    <w:rsid w:val="00EB7DAD"/>
    <w:rsid w:val="00EC04A4"/>
    <w:rsid w:val="00EC11CA"/>
    <w:rsid w:val="00EC1AE8"/>
    <w:rsid w:val="00EC2355"/>
    <w:rsid w:val="00EC43A9"/>
    <w:rsid w:val="00ED03C0"/>
    <w:rsid w:val="00ED3FEC"/>
    <w:rsid w:val="00ED6381"/>
    <w:rsid w:val="00ED64D0"/>
    <w:rsid w:val="00ED7C28"/>
    <w:rsid w:val="00EE2053"/>
    <w:rsid w:val="00EE31B4"/>
    <w:rsid w:val="00EF1976"/>
    <w:rsid w:val="00EF438D"/>
    <w:rsid w:val="00EF4CDC"/>
    <w:rsid w:val="00EF5207"/>
    <w:rsid w:val="00EF52E4"/>
    <w:rsid w:val="00EF6D7E"/>
    <w:rsid w:val="00F069FB"/>
    <w:rsid w:val="00F078BD"/>
    <w:rsid w:val="00F1201C"/>
    <w:rsid w:val="00F15CC2"/>
    <w:rsid w:val="00F20762"/>
    <w:rsid w:val="00F229AC"/>
    <w:rsid w:val="00F255D7"/>
    <w:rsid w:val="00F25DE5"/>
    <w:rsid w:val="00F27A7E"/>
    <w:rsid w:val="00F30FD0"/>
    <w:rsid w:val="00F34C5B"/>
    <w:rsid w:val="00F358A1"/>
    <w:rsid w:val="00F3749C"/>
    <w:rsid w:val="00F37CCA"/>
    <w:rsid w:val="00F413BE"/>
    <w:rsid w:val="00F528EE"/>
    <w:rsid w:val="00F52E30"/>
    <w:rsid w:val="00F53FB7"/>
    <w:rsid w:val="00F54F6E"/>
    <w:rsid w:val="00F56ED3"/>
    <w:rsid w:val="00F6006D"/>
    <w:rsid w:val="00F6269B"/>
    <w:rsid w:val="00F640AB"/>
    <w:rsid w:val="00F67CBC"/>
    <w:rsid w:val="00F718C5"/>
    <w:rsid w:val="00F749C4"/>
    <w:rsid w:val="00F75415"/>
    <w:rsid w:val="00F77AAC"/>
    <w:rsid w:val="00F77FDD"/>
    <w:rsid w:val="00F92057"/>
    <w:rsid w:val="00F9221D"/>
    <w:rsid w:val="00F94A46"/>
    <w:rsid w:val="00F94FD5"/>
    <w:rsid w:val="00F97B3C"/>
    <w:rsid w:val="00FA13F0"/>
    <w:rsid w:val="00FA153C"/>
    <w:rsid w:val="00FA1693"/>
    <w:rsid w:val="00FA77E9"/>
    <w:rsid w:val="00FB0677"/>
    <w:rsid w:val="00FB6C31"/>
    <w:rsid w:val="00FB78AC"/>
    <w:rsid w:val="00FC7BBF"/>
    <w:rsid w:val="00FD03AC"/>
    <w:rsid w:val="00FD2010"/>
    <w:rsid w:val="00FD3072"/>
    <w:rsid w:val="00FD7A1A"/>
    <w:rsid w:val="00FD7DB8"/>
    <w:rsid w:val="00FE09C8"/>
    <w:rsid w:val="00FE28D5"/>
    <w:rsid w:val="00FE406E"/>
    <w:rsid w:val="00FE5895"/>
    <w:rsid w:val="00FE7FAC"/>
    <w:rsid w:val="00FF03EB"/>
    <w:rsid w:val="00FF1158"/>
    <w:rsid w:val="00FF4991"/>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0745">
      <w:bodyDiv w:val="1"/>
      <w:marLeft w:val="0"/>
      <w:marRight w:val="0"/>
      <w:marTop w:val="0"/>
      <w:marBottom w:val="0"/>
      <w:divBdr>
        <w:top w:val="none" w:sz="0" w:space="0" w:color="auto"/>
        <w:left w:val="none" w:sz="0" w:space="0" w:color="auto"/>
        <w:bottom w:val="none" w:sz="0" w:space="0" w:color="auto"/>
        <w:right w:val="none" w:sz="0" w:space="0" w:color="auto"/>
      </w:divBdr>
    </w:div>
    <w:div w:id="7887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pdf/ecec.pdf" TargetMode="External"/><Relationship Id="rId2" Type="http://schemas.openxmlformats.org/officeDocument/2006/relationships/hyperlink" Target="http://www.regulations.gov/" TargetMode="External"/><Relationship Id="rId1" Type="http://schemas.openxmlformats.org/officeDocument/2006/relationships/hyperlink" Target="http://www.nhtsa.gov" TargetMode="External"/><Relationship Id="rId5" Type="http://schemas.openxmlformats.org/officeDocument/2006/relationships/hyperlink" Target="http://www.regulations.gov/" TargetMode="External"/><Relationship Id="rId4" Type="http://schemas.openxmlformats.org/officeDocument/2006/relationships/hyperlink" Target="http://ntl.bts.gov/lib/24000/24200/24223/242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859F-B220-4935-A768-117821F7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6840</Words>
  <Characters>38385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45135</CharactersWithSpaces>
  <SharedDoc>false</SharedDoc>
  <HLinks>
    <vt:vector size="24" baseType="variant">
      <vt:variant>
        <vt:i4>4849678</vt:i4>
      </vt:variant>
      <vt:variant>
        <vt:i4>12</vt:i4>
      </vt:variant>
      <vt:variant>
        <vt:i4>0</vt:i4>
      </vt:variant>
      <vt:variant>
        <vt:i4>5</vt:i4>
      </vt:variant>
      <vt:variant>
        <vt:lpwstr>http://www.regulations.gov/</vt:lpwstr>
      </vt:variant>
      <vt:variant>
        <vt:lpwstr>!documentDetail;D=FMCSA-1998-3947-0200</vt:lpwstr>
      </vt:variant>
      <vt:variant>
        <vt:i4>64</vt:i4>
      </vt:variant>
      <vt:variant>
        <vt:i4>6</vt:i4>
      </vt:variant>
      <vt:variant>
        <vt:i4>0</vt:i4>
      </vt:variant>
      <vt:variant>
        <vt:i4>5</vt:i4>
      </vt:variant>
      <vt:variant>
        <vt:lpwstr>http://www.regulations.gov/</vt:lpwstr>
      </vt:variant>
      <vt:variant>
        <vt:lpwstr>!docketDetail;D=FMCSA-2011-0046</vt:lpwstr>
      </vt:variant>
      <vt:variant>
        <vt:i4>4259850</vt:i4>
      </vt:variant>
      <vt:variant>
        <vt:i4>3</vt:i4>
      </vt:variant>
      <vt:variant>
        <vt:i4>0</vt:i4>
      </vt:variant>
      <vt:variant>
        <vt:i4>5</vt:i4>
      </vt:variant>
      <vt:variant>
        <vt:lpwstr>http://www.nhtsa.gov/</vt:lpwstr>
      </vt:variant>
      <vt:variant>
        <vt:lpwstr/>
      </vt:variant>
      <vt:variant>
        <vt:i4>4849678</vt:i4>
      </vt:variant>
      <vt:variant>
        <vt:i4>0</vt:i4>
      </vt:variant>
      <vt:variant>
        <vt:i4>0</vt:i4>
      </vt:variant>
      <vt:variant>
        <vt:i4>5</vt:i4>
      </vt:variant>
      <vt:variant>
        <vt:lpwstr>http://www.regulations.gov/</vt:lpwstr>
      </vt:variant>
      <vt:variant>
        <vt:lpwstr>!documentDetail;D=FMCSA-1998-3947-0200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2015-05-27T18:49:00Z</cp:lastPrinted>
  <dcterms:created xsi:type="dcterms:W3CDTF">2015-05-27T18:54:00Z</dcterms:created>
  <dcterms:modified xsi:type="dcterms:W3CDTF">2015-05-27T18:54:00Z</dcterms:modified>
</cp:coreProperties>
</file>