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B458B" w14:textId="77777777" w:rsidR="00384ADE" w:rsidRDefault="00384ADE" w:rsidP="000077A0">
      <w:pPr>
        <w:widowControl/>
        <w:jc w:val="center"/>
        <w:rPr>
          <w:b/>
          <w:sz w:val="24"/>
        </w:rPr>
      </w:pPr>
      <w:bookmarkStart w:id="0" w:name="_GoBack"/>
      <w:bookmarkEnd w:id="0"/>
      <w:r>
        <w:rPr>
          <w:b/>
          <w:sz w:val="24"/>
        </w:rPr>
        <w:t>Department of Transportation</w:t>
      </w:r>
    </w:p>
    <w:p w14:paraId="7E27DCEE" w14:textId="77777777" w:rsidR="00384ADE" w:rsidRDefault="00384ADE" w:rsidP="000077A0">
      <w:pPr>
        <w:widowControl/>
        <w:jc w:val="center"/>
        <w:rPr>
          <w:b/>
          <w:sz w:val="24"/>
        </w:rPr>
      </w:pPr>
      <w:r>
        <w:rPr>
          <w:b/>
          <w:sz w:val="24"/>
        </w:rPr>
        <w:t>Office of the Chief Information Officer</w:t>
      </w:r>
    </w:p>
    <w:p w14:paraId="5A5384FB" w14:textId="77777777" w:rsidR="00384ADE" w:rsidRDefault="00384ADE" w:rsidP="000077A0">
      <w:pPr>
        <w:widowControl/>
        <w:jc w:val="center"/>
        <w:rPr>
          <w:b/>
          <w:sz w:val="24"/>
        </w:rPr>
      </w:pPr>
    </w:p>
    <w:p w14:paraId="51216806" w14:textId="77777777" w:rsidR="002D786C" w:rsidRPr="002D786C" w:rsidRDefault="00384ADE" w:rsidP="000077A0">
      <w:pPr>
        <w:widowControl/>
        <w:jc w:val="center"/>
        <w:rPr>
          <w:b/>
          <w:sz w:val="24"/>
        </w:rPr>
      </w:pPr>
      <w:r>
        <w:rPr>
          <w:b/>
          <w:sz w:val="24"/>
        </w:rPr>
        <w:t>SUPPORTING STATEMENT</w:t>
      </w:r>
    </w:p>
    <w:p w14:paraId="09A09C07" w14:textId="77777777" w:rsidR="002D786C" w:rsidRPr="002D786C" w:rsidRDefault="00DB218E" w:rsidP="000077A0">
      <w:pPr>
        <w:widowControl/>
        <w:jc w:val="center"/>
        <w:rPr>
          <w:b/>
          <w:sz w:val="24"/>
        </w:rPr>
      </w:pPr>
      <w:r>
        <w:rPr>
          <w:b/>
          <w:sz w:val="24"/>
        </w:rPr>
        <w:t>Lease and Interchange of Vehicles</w:t>
      </w:r>
    </w:p>
    <w:p w14:paraId="718E76F5" w14:textId="77777777" w:rsidR="002D786C" w:rsidRPr="002D786C" w:rsidRDefault="002D786C" w:rsidP="000077A0">
      <w:pPr>
        <w:widowControl/>
        <w:jc w:val="center"/>
        <w:rPr>
          <w:b/>
          <w:sz w:val="24"/>
        </w:rPr>
      </w:pPr>
    </w:p>
    <w:p w14:paraId="01767A9C" w14:textId="77777777" w:rsidR="002D786C" w:rsidRDefault="002D786C" w:rsidP="000077A0">
      <w:pPr>
        <w:widowControl/>
        <w:rPr>
          <w:sz w:val="24"/>
        </w:rPr>
      </w:pPr>
    </w:p>
    <w:p w14:paraId="394A71D6" w14:textId="77777777" w:rsidR="00F62DE7" w:rsidRDefault="00661617" w:rsidP="000077A0">
      <w:pPr>
        <w:widowControl/>
        <w:rPr>
          <w:sz w:val="24"/>
        </w:rPr>
      </w:pPr>
      <w:r w:rsidRPr="00171E27">
        <w:rPr>
          <w:b/>
          <w:sz w:val="24"/>
        </w:rPr>
        <w:t>INTRODUCTION</w:t>
      </w:r>
      <w:r w:rsidR="00ED622E" w:rsidRPr="00171E27">
        <w:rPr>
          <w:b/>
          <w:sz w:val="24"/>
        </w:rPr>
        <w:t>:</w:t>
      </w:r>
      <w:r w:rsidR="00ED622E">
        <w:rPr>
          <w:sz w:val="24"/>
        </w:rPr>
        <w:t xml:space="preserve">  </w:t>
      </w:r>
    </w:p>
    <w:p w14:paraId="77FDFD4D" w14:textId="77777777" w:rsidR="00F62DE7" w:rsidRDefault="00F62DE7" w:rsidP="000077A0">
      <w:pPr>
        <w:widowControl/>
        <w:rPr>
          <w:sz w:val="24"/>
        </w:rPr>
      </w:pPr>
    </w:p>
    <w:p w14:paraId="65EB611E" w14:textId="5DEC8A08" w:rsidR="002D786C" w:rsidRDefault="00E15DFD" w:rsidP="000077A0">
      <w:pPr>
        <w:widowControl/>
        <w:rPr>
          <w:sz w:val="24"/>
        </w:rPr>
      </w:pPr>
      <w:r w:rsidRPr="009F3A44">
        <w:rPr>
          <w:sz w:val="24"/>
        </w:rPr>
        <w:t xml:space="preserve">This </w:t>
      </w:r>
      <w:r w:rsidR="00C910FC">
        <w:rPr>
          <w:sz w:val="24"/>
        </w:rPr>
        <w:t>asks</w:t>
      </w:r>
      <w:r w:rsidRPr="009F3A44">
        <w:rPr>
          <w:sz w:val="24"/>
        </w:rPr>
        <w:t xml:space="preserve"> the Office of Management and Budget (OMB) to </w:t>
      </w:r>
      <w:r>
        <w:rPr>
          <w:sz w:val="24"/>
        </w:rPr>
        <w:t>revise the</w:t>
      </w:r>
      <w:r w:rsidR="00C910FC">
        <w:rPr>
          <w:sz w:val="24"/>
        </w:rPr>
        <w:t xml:space="preserve"> information collection request (ICR) currently approved under</w:t>
      </w:r>
      <w:r w:rsidRPr="009F3A44">
        <w:rPr>
          <w:sz w:val="24"/>
        </w:rPr>
        <w:t xml:space="preserve"> OMB Control Number 2126-00</w:t>
      </w:r>
      <w:r>
        <w:rPr>
          <w:sz w:val="24"/>
        </w:rPr>
        <w:t>56</w:t>
      </w:r>
      <w:r w:rsidRPr="009F3A44">
        <w:rPr>
          <w:sz w:val="24"/>
        </w:rPr>
        <w:t>, “</w:t>
      </w:r>
      <w:r>
        <w:rPr>
          <w:sz w:val="24"/>
        </w:rPr>
        <w:t>Lease and Interchange of Vehicles</w:t>
      </w:r>
      <w:r w:rsidRPr="009F3A44">
        <w:rPr>
          <w:sz w:val="24"/>
        </w:rPr>
        <w:t xml:space="preserve">,” which is due to expire on </w:t>
      </w:r>
      <w:r>
        <w:rPr>
          <w:sz w:val="24"/>
        </w:rPr>
        <w:t xml:space="preserve">July </w:t>
      </w:r>
      <w:r w:rsidRPr="009F3A44">
        <w:rPr>
          <w:sz w:val="24"/>
        </w:rPr>
        <w:t>31, 201</w:t>
      </w:r>
      <w:r>
        <w:rPr>
          <w:sz w:val="24"/>
        </w:rPr>
        <w:t>7</w:t>
      </w:r>
      <w:r w:rsidR="002F6CAD">
        <w:rPr>
          <w:sz w:val="24"/>
        </w:rPr>
        <w:t xml:space="preserve">, and </w:t>
      </w:r>
      <w:r w:rsidR="00C910FC">
        <w:rPr>
          <w:sz w:val="24"/>
        </w:rPr>
        <w:t xml:space="preserve">to </w:t>
      </w:r>
      <w:r w:rsidR="002F6CAD">
        <w:rPr>
          <w:sz w:val="24"/>
        </w:rPr>
        <w:t xml:space="preserve">extend it </w:t>
      </w:r>
      <w:r w:rsidRPr="009F3A44">
        <w:rPr>
          <w:sz w:val="24"/>
        </w:rPr>
        <w:t>for three years. This request is based upon new FMCSA program requirements in a final rule entitled, “</w:t>
      </w:r>
      <w:r>
        <w:rPr>
          <w:sz w:val="24"/>
        </w:rPr>
        <w:t xml:space="preserve">Lease and Interchange of Vehicles; Motor Carriers of </w:t>
      </w:r>
      <w:r w:rsidR="00956861">
        <w:rPr>
          <w:sz w:val="24"/>
        </w:rPr>
        <w:t>P</w:t>
      </w:r>
      <w:r>
        <w:rPr>
          <w:sz w:val="24"/>
        </w:rPr>
        <w:t>assengers</w:t>
      </w:r>
      <w:r w:rsidRPr="009F3A44">
        <w:rPr>
          <w:sz w:val="24"/>
        </w:rPr>
        <w:t>,” (</w:t>
      </w:r>
      <w:r w:rsidR="006042F6">
        <w:rPr>
          <w:sz w:val="24"/>
        </w:rPr>
        <w:t>80</w:t>
      </w:r>
      <w:r w:rsidRPr="006042F6">
        <w:rPr>
          <w:sz w:val="24"/>
        </w:rPr>
        <w:t xml:space="preserve"> FR </w:t>
      </w:r>
      <w:r w:rsidR="006042F6" w:rsidRPr="006042F6">
        <w:rPr>
          <w:sz w:val="24"/>
        </w:rPr>
        <w:t>30164</w:t>
      </w:r>
      <w:r w:rsidRPr="006042F6">
        <w:rPr>
          <w:sz w:val="24"/>
        </w:rPr>
        <w:t xml:space="preserve"> dated </w:t>
      </w:r>
      <w:r w:rsidR="006042F6" w:rsidRPr="006042F6">
        <w:rPr>
          <w:sz w:val="24"/>
        </w:rPr>
        <w:t>May 27</w:t>
      </w:r>
      <w:r w:rsidRPr="006042F6">
        <w:rPr>
          <w:sz w:val="24"/>
        </w:rPr>
        <w:t xml:space="preserve">, 2015 (Attachment </w:t>
      </w:r>
      <w:r w:rsidR="000F027C" w:rsidRPr="006042F6">
        <w:rPr>
          <w:sz w:val="24"/>
        </w:rPr>
        <w:t>A</w:t>
      </w:r>
      <w:r w:rsidRPr="006042F6">
        <w:rPr>
          <w:sz w:val="24"/>
        </w:rPr>
        <w:t>).  The final rule will add leasing requirements for buses and motorcoaches.</w:t>
      </w:r>
      <w:r>
        <w:rPr>
          <w:sz w:val="24"/>
        </w:rPr>
        <w:t xml:space="preserve"> </w:t>
      </w:r>
      <w:r w:rsidR="001A5631">
        <w:rPr>
          <w:sz w:val="24"/>
        </w:rPr>
        <w:t xml:space="preserve">The </w:t>
      </w:r>
      <w:r w:rsidR="00733B7C">
        <w:rPr>
          <w:sz w:val="24"/>
        </w:rPr>
        <w:t xml:space="preserve">current </w:t>
      </w:r>
      <w:r w:rsidR="001A5631">
        <w:rPr>
          <w:sz w:val="24"/>
        </w:rPr>
        <w:t xml:space="preserve">regulations require certain </w:t>
      </w:r>
      <w:r w:rsidR="008A33F5">
        <w:rPr>
          <w:sz w:val="24"/>
        </w:rPr>
        <w:t xml:space="preserve">for-hire </w:t>
      </w:r>
      <w:r w:rsidR="001A5631">
        <w:rPr>
          <w:sz w:val="24"/>
        </w:rPr>
        <w:t>motor carriers</w:t>
      </w:r>
      <w:r w:rsidR="00733B7C">
        <w:rPr>
          <w:sz w:val="24"/>
        </w:rPr>
        <w:t xml:space="preserve"> of property</w:t>
      </w:r>
      <w:r w:rsidR="001A5631">
        <w:rPr>
          <w:sz w:val="24"/>
        </w:rPr>
        <w:t xml:space="preserve"> to have a formal lease when leasing equipment</w:t>
      </w:r>
      <w:r w:rsidR="00D82974">
        <w:rPr>
          <w:sz w:val="24"/>
        </w:rPr>
        <w:t xml:space="preserve">. </w:t>
      </w:r>
      <w:r w:rsidR="00D02B53">
        <w:rPr>
          <w:sz w:val="24"/>
        </w:rPr>
        <w:t xml:space="preserve"> </w:t>
      </w:r>
      <w:r w:rsidR="00D82974">
        <w:rPr>
          <w:sz w:val="24"/>
        </w:rPr>
        <w:t xml:space="preserve">They require </w:t>
      </w:r>
      <w:r w:rsidR="006B29EF">
        <w:rPr>
          <w:sz w:val="24"/>
        </w:rPr>
        <w:t xml:space="preserve">less </w:t>
      </w:r>
      <w:r w:rsidR="005A000E">
        <w:rPr>
          <w:sz w:val="24"/>
        </w:rPr>
        <w:t xml:space="preserve">paperwork </w:t>
      </w:r>
      <w:r w:rsidR="00D82974">
        <w:rPr>
          <w:sz w:val="24"/>
        </w:rPr>
        <w:t>for</w:t>
      </w:r>
      <w:r w:rsidR="005A000E">
        <w:rPr>
          <w:sz w:val="24"/>
        </w:rPr>
        <w:t xml:space="preserve"> some</w:t>
      </w:r>
      <w:r w:rsidR="00D82974">
        <w:rPr>
          <w:sz w:val="24"/>
        </w:rPr>
        <w:t xml:space="preserve"> leasing </w:t>
      </w:r>
      <w:r w:rsidR="005A000E">
        <w:rPr>
          <w:sz w:val="24"/>
        </w:rPr>
        <w:t xml:space="preserve">and interchange </w:t>
      </w:r>
      <w:r w:rsidR="00D82974">
        <w:rPr>
          <w:sz w:val="24"/>
        </w:rPr>
        <w:t>arrangements</w:t>
      </w:r>
      <w:r w:rsidR="008A33F5">
        <w:rPr>
          <w:sz w:val="24"/>
        </w:rPr>
        <w:t xml:space="preserve"> involving for-hire carriers</w:t>
      </w:r>
      <w:r w:rsidR="00D82974">
        <w:rPr>
          <w:sz w:val="24"/>
        </w:rPr>
        <w:t>.</w:t>
      </w:r>
    </w:p>
    <w:p w14:paraId="11F99657" w14:textId="77777777" w:rsidR="005237DC" w:rsidRDefault="005237DC" w:rsidP="000077A0">
      <w:pPr>
        <w:widowControl/>
        <w:rPr>
          <w:sz w:val="24"/>
        </w:rPr>
      </w:pPr>
    </w:p>
    <w:p w14:paraId="2F09444C" w14:textId="77777777" w:rsidR="005237DC" w:rsidRPr="005237DC" w:rsidRDefault="005237DC" w:rsidP="000077A0">
      <w:pPr>
        <w:widowControl/>
        <w:rPr>
          <w:b/>
          <w:sz w:val="24"/>
        </w:rPr>
      </w:pPr>
      <w:r w:rsidRPr="005237DC">
        <w:rPr>
          <w:b/>
          <w:sz w:val="24"/>
          <w:u w:val="single"/>
        </w:rPr>
        <w:t>Part A.  Justification</w:t>
      </w:r>
      <w:r w:rsidRPr="005237DC">
        <w:rPr>
          <w:b/>
          <w:sz w:val="24"/>
        </w:rPr>
        <w:t>.</w:t>
      </w:r>
    </w:p>
    <w:p w14:paraId="118DF666" w14:textId="77777777" w:rsidR="00AD1AD8" w:rsidRPr="005237DC" w:rsidRDefault="00AD1AD8" w:rsidP="000077A0">
      <w:pPr>
        <w:widowControl/>
        <w:rPr>
          <w:b/>
          <w:color w:val="000000"/>
          <w:sz w:val="24"/>
          <w:u w:val="single"/>
        </w:rPr>
      </w:pPr>
    </w:p>
    <w:p w14:paraId="0E3251EB" w14:textId="77777777" w:rsidR="00AD1AD8" w:rsidRDefault="00AD1AD8" w:rsidP="000077A0">
      <w:pPr>
        <w:widowControl/>
        <w:rPr>
          <w:sz w:val="24"/>
        </w:rPr>
      </w:pPr>
      <w:r>
        <w:rPr>
          <w:b/>
          <w:bCs/>
          <w:sz w:val="24"/>
        </w:rPr>
        <w:t xml:space="preserve">1. </w:t>
      </w:r>
      <w:r w:rsidR="00380B22">
        <w:rPr>
          <w:b/>
          <w:bCs/>
          <w:sz w:val="24"/>
        </w:rPr>
        <w:t>CIRCUMSTANCES THAT MAKE COLLECTION OF INFORMATION NECESSARY</w:t>
      </w:r>
      <w:r w:rsidR="00380B22">
        <w:rPr>
          <w:sz w:val="24"/>
        </w:rPr>
        <w:t>.</w:t>
      </w:r>
    </w:p>
    <w:p w14:paraId="3B7D53F3" w14:textId="77777777" w:rsidR="00711089" w:rsidRDefault="00711089" w:rsidP="000077A0">
      <w:pPr>
        <w:widowControl/>
        <w:rPr>
          <w:sz w:val="24"/>
        </w:rPr>
      </w:pPr>
    </w:p>
    <w:p w14:paraId="520A783A" w14:textId="0009BA76" w:rsidR="00AD1AD8" w:rsidRDefault="00D82974" w:rsidP="000077A0">
      <w:pPr>
        <w:widowControl/>
        <w:rPr>
          <w:sz w:val="24"/>
        </w:rPr>
      </w:pPr>
      <w:r>
        <w:rPr>
          <w:sz w:val="24"/>
        </w:rPr>
        <w:t>The rules were adopted to ensure that truck</w:t>
      </w:r>
      <w:r w:rsidR="00830269">
        <w:rPr>
          <w:sz w:val="24"/>
        </w:rPr>
        <w:t xml:space="preserve"> and bus carriers are</w:t>
      </w:r>
      <w:r>
        <w:rPr>
          <w:sz w:val="24"/>
        </w:rPr>
        <w:t xml:space="preserve"> </w:t>
      </w:r>
      <w:r w:rsidR="00733B7C">
        <w:rPr>
          <w:sz w:val="24"/>
        </w:rPr>
        <w:t xml:space="preserve">identified (and in some cases </w:t>
      </w:r>
      <w:r>
        <w:rPr>
          <w:sz w:val="24"/>
        </w:rPr>
        <w:t>protected</w:t>
      </w:r>
      <w:r w:rsidR="00733B7C">
        <w:rPr>
          <w:sz w:val="24"/>
        </w:rPr>
        <w:t>)</w:t>
      </w:r>
      <w:r>
        <w:rPr>
          <w:sz w:val="24"/>
        </w:rPr>
        <w:t xml:space="preserve"> when they agree to lease their equipment and drivers to </w:t>
      </w:r>
      <w:r w:rsidR="00830269">
        <w:rPr>
          <w:sz w:val="24"/>
        </w:rPr>
        <w:t xml:space="preserve">other </w:t>
      </w:r>
      <w:r>
        <w:rPr>
          <w:sz w:val="24"/>
        </w:rPr>
        <w:t>carriers. They also ensure that the government and members of the public can determine who is responsible for a commercial motor vehicle</w:t>
      </w:r>
      <w:r w:rsidR="00902E30">
        <w:rPr>
          <w:sz w:val="24"/>
        </w:rPr>
        <w:t xml:space="preserve"> (CMV)</w:t>
      </w:r>
      <w:r>
        <w:rPr>
          <w:sz w:val="24"/>
        </w:rPr>
        <w:t>.  Prior to the regulations some equipment was leased without written agreements, leading to disputes</w:t>
      </w:r>
      <w:r w:rsidR="00733B7C">
        <w:rPr>
          <w:sz w:val="24"/>
        </w:rPr>
        <w:t xml:space="preserve"> and confusion</w:t>
      </w:r>
      <w:r>
        <w:rPr>
          <w:sz w:val="24"/>
        </w:rPr>
        <w:t xml:space="preserve"> over which party to the lease was responsible for charges and actions and, at times, who was legally responsible for the vehicle.  </w:t>
      </w:r>
      <w:r w:rsidR="00830269" w:rsidRPr="00B8424C">
        <w:rPr>
          <w:sz w:val="24"/>
        </w:rPr>
        <w:t>Th</w:t>
      </w:r>
      <w:r w:rsidR="00830269">
        <w:rPr>
          <w:sz w:val="24"/>
        </w:rPr>
        <w:t xml:space="preserve">ese </w:t>
      </w:r>
      <w:r w:rsidR="00830269" w:rsidRPr="00B8424C">
        <w:rPr>
          <w:sz w:val="24"/>
        </w:rPr>
        <w:t xml:space="preserve">recordkeeping requirements </w:t>
      </w:r>
      <w:r w:rsidR="00830269">
        <w:rPr>
          <w:sz w:val="24"/>
        </w:rPr>
        <w:t xml:space="preserve">are </w:t>
      </w:r>
      <w:r w:rsidR="00830269" w:rsidRPr="00B8424C">
        <w:rPr>
          <w:sz w:val="24"/>
        </w:rPr>
        <w:t xml:space="preserve">consistent with the </w:t>
      </w:r>
      <w:r w:rsidR="00733B7C">
        <w:rPr>
          <w:sz w:val="24"/>
        </w:rPr>
        <w:t xml:space="preserve">provisions of the </w:t>
      </w:r>
      <w:r w:rsidR="00830269" w:rsidRPr="00B8424C">
        <w:rPr>
          <w:sz w:val="24"/>
        </w:rPr>
        <w:t>Motor Carrier Safety Act of 1984</w:t>
      </w:r>
      <w:r w:rsidR="00733B7C">
        <w:rPr>
          <w:sz w:val="24"/>
        </w:rPr>
        <w:t xml:space="preserve"> for</w:t>
      </w:r>
      <w:r w:rsidR="00830269" w:rsidRPr="00B8424C">
        <w:rPr>
          <w:sz w:val="24"/>
        </w:rPr>
        <w:t xml:space="preserve"> for-hire and private passenger carriers that operate CMVs, in order to enable the general public and investigators to identify the passenger carrier responsible for safety. </w:t>
      </w:r>
      <w:r w:rsidR="00830269">
        <w:rPr>
          <w:sz w:val="24"/>
        </w:rPr>
        <w:t xml:space="preserve"> Also, u</w:t>
      </w:r>
      <w:r w:rsidR="008E46CB">
        <w:rPr>
          <w:sz w:val="24"/>
        </w:rPr>
        <w:t>nder 49</w:t>
      </w:r>
      <w:r w:rsidR="007D08C0">
        <w:rPr>
          <w:sz w:val="24"/>
        </w:rPr>
        <w:t> </w:t>
      </w:r>
      <w:r w:rsidR="008E46CB">
        <w:rPr>
          <w:sz w:val="24"/>
        </w:rPr>
        <w:t>U.S.C. 14102(a),</w:t>
      </w:r>
      <w:r w:rsidR="00833715">
        <w:rPr>
          <w:sz w:val="24"/>
        </w:rPr>
        <w:t xml:space="preserve"> (Attachment </w:t>
      </w:r>
      <w:r w:rsidR="00FC56C5">
        <w:rPr>
          <w:sz w:val="24"/>
        </w:rPr>
        <w:t>B</w:t>
      </w:r>
      <w:r w:rsidR="00833715">
        <w:rPr>
          <w:sz w:val="24"/>
        </w:rPr>
        <w:t>)</w:t>
      </w:r>
      <w:r w:rsidR="008E46CB">
        <w:rPr>
          <w:sz w:val="24"/>
        </w:rPr>
        <w:t xml:space="preserve"> FMCSA “</w:t>
      </w:r>
      <w:r w:rsidR="008E46CB" w:rsidRPr="008E46CB">
        <w:rPr>
          <w:sz w:val="24"/>
        </w:rPr>
        <w:t>may require a motor carrier providing</w:t>
      </w:r>
      <w:r w:rsidR="008E46CB">
        <w:rPr>
          <w:sz w:val="24"/>
        </w:rPr>
        <w:t xml:space="preserve"> for-hire </w:t>
      </w:r>
      <w:r w:rsidR="008E46CB" w:rsidRPr="008E46CB">
        <w:rPr>
          <w:sz w:val="24"/>
        </w:rPr>
        <w:t>transportation that uses motor vehicles</w:t>
      </w:r>
      <w:r w:rsidR="008E46CB">
        <w:rPr>
          <w:sz w:val="24"/>
        </w:rPr>
        <w:t xml:space="preserve"> </w:t>
      </w:r>
      <w:r w:rsidR="008E46CB" w:rsidRPr="008E46CB">
        <w:rPr>
          <w:sz w:val="24"/>
        </w:rPr>
        <w:t>not owned by it to transport property under an</w:t>
      </w:r>
      <w:r w:rsidR="008E46CB">
        <w:rPr>
          <w:sz w:val="24"/>
        </w:rPr>
        <w:t xml:space="preserve"> </w:t>
      </w:r>
      <w:r w:rsidR="008E46CB" w:rsidRPr="008E46CB">
        <w:rPr>
          <w:sz w:val="24"/>
        </w:rPr>
        <w:t>arrangement with another party to—</w:t>
      </w:r>
    </w:p>
    <w:p w14:paraId="76B338EF" w14:textId="77777777" w:rsidR="008E46CB" w:rsidRPr="008E46CB" w:rsidRDefault="008E46CB" w:rsidP="000077A0">
      <w:pPr>
        <w:widowControl/>
        <w:ind w:left="720"/>
        <w:rPr>
          <w:sz w:val="24"/>
        </w:rPr>
      </w:pPr>
      <w:r w:rsidRPr="008E46CB">
        <w:rPr>
          <w:sz w:val="24"/>
        </w:rPr>
        <w:t>(1) make the arrangement in writing signed</w:t>
      </w:r>
      <w:r>
        <w:rPr>
          <w:sz w:val="24"/>
        </w:rPr>
        <w:t xml:space="preserve"> </w:t>
      </w:r>
      <w:r w:rsidRPr="008E46CB">
        <w:rPr>
          <w:sz w:val="24"/>
        </w:rPr>
        <w:t>by the parties specifying its duration and the</w:t>
      </w:r>
      <w:r>
        <w:rPr>
          <w:sz w:val="24"/>
        </w:rPr>
        <w:t xml:space="preserve"> </w:t>
      </w:r>
      <w:r w:rsidRPr="008E46CB">
        <w:rPr>
          <w:sz w:val="24"/>
        </w:rPr>
        <w:t>compensation to be paid by the motor carrier;</w:t>
      </w:r>
    </w:p>
    <w:p w14:paraId="549C304B" w14:textId="77777777" w:rsidR="008E46CB" w:rsidRPr="008E46CB" w:rsidRDefault="008E46CB" w:rsidP="000077A0">
      <w:pPr>
        <w:widowControl/>
        <w:ind w:left="720"/>
        <w:rPr>
          <w:sz w:val="24"/>
        </w:rPr>
      </w:pPr>
      <w:r w:rsidRPr="008E46CB">
        <w:rPr>
          <w:sz w:val="24"/>
        </w:rPr>
        <w:t>(2) carry a copy of the arrangement in each</w:t>
      </w:r>
      <w:r>
        <w:rPr>
          <w:sz w:val="24"/>
        </w:rPr>
        <w:t xml:space="preserve"> </w:t>
      </w:r>
      <w:r w:rsidRPr="008E46CB">
        <w:rPr>
          <w:sz w:val="24"/>
        </w:rPr>
        <w:t>motor vehicle to which it applies during the</w:t>
      </w:r>
      <w:r>
        <w:rPr>
          <w:sz w:val="24"/>
        </w:rPr>
        <w:t xml:space="preserve"> </w:t>
      </w:r>
      <w:r w:rsidRPr="008E46CB">
        <w:rPr>
          <w:sz w:val="24"/>
        </w:rPr>
        <w:t>period the arrangement is in effect;</w:t>
      </w:r>
    </w:p>
    <w:p w14:paraId="06F596AD" w14:textId="77777777" w:rsidR="008E46CB" w:rsidRPr="008E46CB" w:rsidRDefault="008E46CB" w:rsidP="000077A0">
      <w:pPr>
        <w:widowControl/>
        <w:ind w:left="720"/>
        <w:rPr>
          <w:sz w:val="24"/>
        </w:rPr>
      </w:pPr>
      <w:r w:rsidRPr="008E46CB">
        <w:rPr>
          <w:sz w:val="24"/>
        </w:rPr>
        <w:t>(3) inspect the motor vehicles and obtain liability</w:t>
      </w:r>
      <w:r>
        <w:rPr>
          <w:sz w:val="24"/>
        </w:rPr>
        <w:t xml:space="preserve"> </w:t>
      </w:r>
      <w:r w:rsidRPr="008E46CB">
        <w:rPr>
          <w:sz w:val="24"/>
        </w:rPr>
        <w:t>and cargo insurance on them; and</w:t>
      </w:r>
    </w:p>
    <w:p w14:paraId="16A20DC4" w14:textId="77777777" w:rsidR="008E46CB" w:rsidRDefault="008E46CB" w:rsidP="000077A0">
      <w:pPr>
        <w:widowControl/>
        <w:ind w:left="720"/>
        <w:rPr>
          <w:sz w:val="24"/>
        </w:rPr>
      </w:pPr>
      <w:r w:rsidRPr="008E46CB">
        <w:rPr>
          <w:sz w:val="24"/>
        </w:rPr>
        <w:t>(4) have control of and be responsible for operating</w:t>
      </w:r>
      <w:r>
        <w:rPr>
          <w:sz w:val="24"/>
        </w:rPr>
        <w:t xml:space="preserve"> </w:t>
      </w:r>
      <w:r w:rsidRPr="008E46CB">
        <w:rPr>
          <w:sz w:val="24"/>
        </w:rPr>
        <w:t>those motor vehicles in compliance</w:t>
      </w:r>
      <w:r>
        <w:rPr>
          <w:sz w:val="24"/>
        </w:rPr>
        <w:t xml:space="preserve"> </w:t>
      </w:r>
      <w:r w:rsidRPr="008E46CB">
        <w:rPr>
          <w:sz w:val="24"/>
        </w:rPr>
        <w:t>with requirements prescribed by the Secretary</w:t>
      </w:r>
      <w:r>
        <w:rPr>
          <w:sz w:val="24"/>
        </w:rPr>
        <w:t xml:space="preserve"> </w:t>
      </w:r>
      <w:r w:rsidRPr="008E46CB">
        <w:rPr>
          <w:sz w:val="24"/>
        </w:rPr>
        <w:t>on safety of operations and equipment, and</w:t>
      </w:r>
      <w:r>
        <w:rPr>
          <w:sz w:val="24"/>
        </w:rPr>
        <w:t xml:space="preserve"> </w:t>
      </w:r>
      <w:r w:rsidRPr="008E46CB">
        <w:rPr>
          <w:sz w:val="24"/>
        </w:rPr>
        <w:t>with other applicable law as if the motor vehicles</w:t>
      </w:r>
      <w:r>
        <w:rPr>
          <w:sz w:val="24"/>
        </w:rPr>
        <w:t xml:space="preserve"> </w:t>
      </w:r>
      <w:r w:rsidRPr="008E46CB">
        <w:rPr>
          <w:sz w:val="24"/>
        </w:rPr>
        <w:t>were owned by the motor carrier.</w:t>
      </w:r>
      <w:r>
        <w:rPr>
          <w:sz w:val="24"/>
        </w:rPr>
        <w:t>”</w:t>
      </w:r>
    </w:p>
    <w:p w14:paraId="61F6E467" w14:textId="77777777" w:rsidR="00D82974" w:rsidRDefault="00D82974" w:rsidP="000077A0">
      <w:pPr>
        <w:widowControl/>
        <w:rPr>
          <w:sz w:val="24"/>
        </w:rPr>
      </w:pPr>
    </w:p>
    <w:p w14:paraId="57A53934" w14:textId="77777777" w:rsidR="00830269" w:rsidRDefault="00830269" w:rsidP="000077A0">
      <w:pPr>
        <w:widowControl/>
        <w:rPr>
          <w:sz w:val="24"/>
        </w:rPr>
      </w:pPr>
    </w:p>
    <w:p w14:paraId="78906E68" w14:textId="71713EFD" w:rsidR="00C6719E" w:rsidRPr="00C6719E" w:rsidRDefault="00C6719E" w:rsidP="000077A0">
      <w:pPr>
        <w:widowControl/>
        <w:autoSpaceDE/>
        <w:autoSpaceDN/>
        <w:adjustRightInd/>
        <w:rPr>
          <w:bCs/>
          <w:sz w:val="24"/>
        </w:rPr>
      </w:pPr>
      <w:r w:rsidRPr="00C6719E">
        <w:rPr>
          <w:bCs/>
          <w:sz w:val="24"/>
        </w:rPr>
        <w:lastRenderedPageBreak/>
        <w:t xml:space="preserve">The Secretary has delegated authority pertaining to leased motor vehicles to FMCSA pursuant to 49 CFR </w:t>
      </w:r>
      <w:r w:rsidR="003E6BA7">
        <w:rPr>
          <w:bCs/>
          <w:sz w:val="24"/>
        </w:rPr>
        <w:t>p</w:t>
      </w:r>
      <w:r w:rsidRPr="00C6719E">
        <w:rPr>
          <w:bCs/>
          <w:sz w:val="24"/>
        </w:rPr>
        <w:t>art 1.87(a)(6)</w:t>
      </w:r>
      <w:r w:rsidR="00C72289">
        <w:rPr>
          <w:bCs/>
          <w:sz w:val="24"/>
        </w:rPr>
        <w:t xml:space="preserve"> and (f)</w:t>
      </w:r>
      <w:r w:rsidR="000D2EA1">
        <w:rPr>
          <w:bCs/>
          <w:sz w:val="24"/>
        </w:rPr>
        <w:t xml:space="preserve"> (Attachment </w:t>
      </w:r>
      <w:r w:rsidR="00FC56C5">
        <w:rPr>
          <w:bCs/>
          <w:sz w:val="24"/>
        </w:rPr>
        <w:t>C</w:t>
      </w:r>
      <w:r w:rsidR="000D2EA1">
        <w:rPr>
          <w:bCs/>
          <w:sz w:val="24"/>
        </w:rPr>
        <w:t>)</w:t>
      </w:r>
      <w:r w:rsidRPr="00C6719E">
        <w:rPr>
          <w:bCs/>
          <w:sz w:val="24"/>
        </w:rPr>
        <w:t>.  The Agency’s regulations governing leased motor vehicles are at 49 CFR Part 376</w:t>
      </w:r>
      <w:r w:rsidR="00830269">
        <w:rPr>
          <w:bCs/>
          <w:sz w:val="24"/>
        </w:rPr>
        <w:t xml:space="preserve"> </w:t>
      </w:r>
      <w:r w:rsidR="00830269" w:rsidRPr="00830269">
        <w:rPr>
          <w:bCs/>
          <w:sz w:val="24"/>
        </w:rPr>
        <w:t>Lease and Interchange of Vehicles</w:t>
      </w:r>
      <w:r w:rsidR="00830269">
        <w:rPr>
          <w:bCs/>
          <w:sz w:val="24"/>
        </w:rPr>
        <w:t xml:space="preserve"> </w:t>
      </w:r>
      <w:r w:rsidR="00C72289">
        <w:rPr>
          <w:bCs/>
          <w:sz w:val="24"/>
        </w:rPr>
        <w:t xml:space="preserve">(property-carrying motor vehicles) </w:t>
      </w:r>
      <w:r w:rsidR="00830269">
        <w:rPr>
          <w:bCs/>
          <w:sz w:val="24"/>
        </w:rPr>
        <w:t>and Part 390, subpart F—</w:t>
      </w:r>
      <w:r w:rsidR="00830269" w:rsidRPr="00830269">
        <w:rPr>
          <w:bCs/>
          <w:sz w:val="24"/>
        </w:rPr>
        <w:t>Lease and Interchange of Passenger-Carrying</w:t>
      </w:r>
      <w:r w:rsidR="00830269">
        <w:rPr>
          <w:bCs/>
          <w:sz w:val="24"/>
        </w:rPr>
        <w:t xml:space="preserve"> </w:t>
      </w:r>
      <w:r w:rsidR="00830269" w:rsidRPr="00830269">
        <w:rPr>
          <w:bCs/>
          <w:sz w:val="24"/>
        </w:rPr>
        <w:t>Commercial Motor Vehicles</w:t>
      </w:r>
      <w:r w:rsidRPr="00C6719E">
        <w:rPr>
          <w:bCs/>
          <w:sz w:val="24"/>
        </w:rPr>
        <w:t>.</w:t>
      </w:r>
    </w:p>
    <w:p w14:paraId="57E888E9" w14:textId="77777777" w:rsidR="00C6719E" w:rsidRDefault="00C6719E" w:rsidP="000077A0">
      <w:pPr>
        <w:widowControl/>
        <w:rPr>
          <w:sz w:val="24"/>
        </w:rPr>
      </w:pPr>
    </w:p>
    <w:p w14:paraId="0ED939AD" w14:textId="77777777" w:rsidR="00D82974" w:rsidRDefault="00D82974" w:rsidP="000077A0">
      <w:pPr>
        <w:widowControl/>
        <w:rPr>
          <w:color w:val="000000"/>
          <w:sz w:val="24"/>
        </w:rPr>
      </w:pPr>
      <w:r>
        <w:rPr>
          <w:sz w:val="24"/>
        </w:rPr>
        <w:t xml:space="preserve">The rules specify what must be covered in the lease, </w:t>
      </w:r>
      <w:r w:rsidR="00B02A78">
        <w:rPr>
          <w:sz w:val="24"/>
        </w:rPr>
        <w:t>and to some degree</w:t>
      </w:r>
      <w:r w:rsidR="009761C4">
        <w:rPr>
          <w:sz w:val="24"/>
        </w:rPr>
        <w:t>,</w:t>
      </w:r>
      <w:r>
        <w:rPr>
          <w:sz w:val="24"/>
        </w:rPr>
        <w:t xml:space="preserve"> responsibilities </w:t>
      </w:r>
      <w:r w:rsidR="00B02A78">
        <w:rPr>
          <w:sz w:val="24"/>
        </w:rPr>
        <w:t>of the motor carrier</w:t>
      </w:r>
      <w:r>
        <w:rPr>
          <w:sz w:val="24"/>
        </w:rPr>
        <w:t xml:space="preserve">.  The parties to the lease determine </w:t>
      </w:r>
      <w:r w:rsidR="00B02A78">
        <w:rPr>
          <w:sz w:val="24"/>
        </w:rPr>
        <w:t xml:space="preserve">much of </w:t>
      </w:r>
      <w:r>
        <w:rPr>
          <w:sz w:val="24"/>
        </w:rPr>
        <w:t>the details between themselves.</w:t>
      </w:r>
    </w:p>
    <w:p w14:paraId="3E864BF5" w14:textId="77777777" w:rsidR="00174590" w:rsidRDefault="00174590" w:rsidP="000077A0">
      <w:pPr>
        <w:widowControl/>
        <w:rPr>
          <w:color w:val="000000"/>
          <w:sz w:val="24"/>
        </w:rPr>
      </w:pPr>
    </w:p>
    <w:p w14:paraId="411CD2FD" w14:textId="77777777" w:rsidR="000563FB" w:rsidRPr="000563FB" w:rsidRDefault="000563FB" w:rsidP="000077A0">
      <w:pPr>
        <w:widowControl/>
        <w:autoSpaceDE/>
        <w:autoSpaceDN/>
        <w:adjustRightInd/>
        <w:rPr>
          <w:sz w:val="24"/>
        </w:rPr>
      </w:pPr>
      <w:r w:rsidRPr="000563FB">
        <w:rPr>
          <w:sz w:val="24"/>
        </w:rPr>
        <w:t xml:space="preserve">This ICR supports the Department of Transportation’s strategic </w:t>
      </w:r>
      <w:r w:rsidR="00C72289" w:rsidRPr="00C72289">
        <w:rPr>
          <w:sz w:val="24"/>
        </w:rPr>
        <w:t>safety goal by ensuring that FMCSA, our State partners, and the National Transportation Safety Board (NTSB) are better able to identify the responsible motor carrier and therefore correctly assign regulatory violations to the appropriate carrier during inspections, investigations, compliance reviews, and crash studies.</w:t>
      </w:r>
    </w:p>
    <w:p w14:paraId="09D71DB6" w14:textId="77777777" w:rsidR="000563FB" w:rsidRDefault="000563FB" w:rsidP="000077A0">
      <w:pPr>
        <w:widowControl/>
        <w:rPr>
          <w:color w:val="000000"/>
          <w:sz w:val="24"/>
        </w:rPr>
      </w:pPr>
    </w:p>
    <w:p w14:paraId="1C9B94E1" w14:textId="77777777" w:rsidR="00AD1AD8" w:rsidRDefault="00AD1AD8" w:rsidP="000077A0">
      <w:pPr>
        <w:keepNext/>
        <w:widowControl/>
        <w:rPr>
          <w:color w:val="000000"/>
          <w:sz w:val="24"/>
        </w:rPr>
      </w:pPr>
      <w:r>
        <w:rPr>
          <w:b/>
          <w:bCs/>
          <w:color w:val="000000"/>
          <w:sz w:val="24"/>
        </w:rPr>
        <w:t xml:space="preserve">2.  </w:t>
      </w:r>
      <w:r w:rsidR="00380B22">
        <w:rPr>
          <w:b/>
          <w:bCs/>
          <w:color w:val="000000"/>
          <w:sz w:val="24"/>
        </w:rPr>
        <w:t>HOW, BY WHOM, AND FOR WHAT PURPOSE THE INFORMATION IS TO BE USED</w:t>
      </w:r>
      <w:r w:rsidR="00380B22">
        <w:rPr>
          <w:color w:val="000000"/>
          <w:sz w:val="24"/>
        </w:rPr>
        <w:t>.</w:t>
      </w:r>
    </w:p>
    <w:p w14:paraId="17AB3356" w14:textId="77777777" w:rsidR="00AD1AD8" w:rsidRDefault="00AD1AD8" w:rsidP="000077A0">
      <w:pPr>
        <w:keepNext/>
        <w:widowControl/>
        <w:rPr>
          <w:color w:val="000000"/>
          <w:sz w:val="24"/>
        </w:rPr>
      </w:pPr>
    </w:p>
    <w:p w14:paraId="1DDD3B8B" w14:textId="77777777" w:rsidR="00AD1AD8" w:rsidRDefault="00870C36" w:rsidP="000077A0">
      <w:pPr>
        <w:widowControl/>
        <w:rPr>
          <w:sz w:val="24"/>
        </w:rPr>
      </w:pPr>
      <w:r>
        <w:rPr>
          <w:sz w:val="24"/>
        </w:rPr>
        <w:t xml:space="preserve">The government </w:t>
      </w:r>
      <w:r w:rsidR="00C72289">
        <w:rPr>
          <w:sz w:val="24"/>
        </w:rPr>
        <w:t xml:space="preserve">generally </w:t>
      </w:r>
      <w:r>
        <w:rPr>
          <w:sz w:val="24"/>
        </w:rPr>
        <w:t xml:space="preserve">collects </w:t>
      </w:r>
      <w:r w:rsidR="00C72289">
        <w:rPr>
          <w:sz w:val="24"/>
        </w:rPr>
        <w:t xml:space="preserve">little </w:t>
      </w:r>
      <w:r>
        <w:rPr>
          <w:sz w:val="24"/>
        </w:rPr>
        <w:t xml:space="preserve">information </w:t>
      </w:r>
      <w:r w:rsidR="00380B22">
        <w:rPr>
          <w:sz w:val="24"/>
        </w:rPr>
        <w:t>with this ICR</w:t>
      </w:r>
      <w:r>
        <w:rPr>
          <w:sz w:val="24"/>
        </w:rPr>
        <w:t>.  The leases and other agreements are developed and held by the lessor</w:t>
      </w:r>
      <w:r w:rsidR="00281936">
        <w:rPr>
          <w:sz w:val="24"/>
        </w:rPr>
        <w:t xml:space="preserve"> (e.g., those granting use of equipment)</w:t>
      </w:r>
      <w:r>
        <w:rPr>
          <w:sz w:val="24"/>
        </w:rPr>
        <w:t xml:space="preserve"> and lessee</w:t>
      </w:r>
      <w:r w:rsidR="00281936">
        <w:rPr>
          <w:sz w:val="24"/>
        </w:rPr>
        <w:t xml:space="preserve"> (e.g., party acquiring equipment)</w:t>
      </w:r>
      <w:r>
        <w:rPr>
          <w:sz w:val="24"/>
        </w:rPr>
        <w:t xml:space="preserve">.  </w:t>
      </w:r>
      <w:r w:rsidR="00985B7A">
        <w:rPr>
          <w:sz w:val="24"/>
        </w:rPr>
        <w:t xml:space="preserve">They are used to assign duties and responsibilities.  The information may also be used by law enforcement to determine legal responsibility in the event that a leased vehicle is in violation of the regulations or is involved in an accident.  </w:t>
      </w:r>
    </w:p>
    <w:p w14:paraId="6A0340E5" w14:textId="77777777" w:rsidR="00AD1AD8" w:rsidRDefault="00AD1AD8" w:rsidP="000077A0">
      <w:pPr>
        <w:widowControl/>
        <w:rPr>
          <w:sz w:val="24"/>
        </w:rPr>
      </w:pPr>
    </w:p>
    <w:p w14:paraId="19DD6EC8" w14:textId="77777777" w:rsidR="00AD1AD8" w:rsidRDefault="00AD1AD8" w:rsidP="000077A0">
      <w:pPr>
        <w:widowControl/>
        <w:rPr>
          <w:sz w:val="24"/>
        </w:rPr>
      </w:pPr>
      <w:r>
        <w:rPr>
          <w:b/>
          <w:bCs/>
          <w:sz w:val="24"/>
        </w:rPr>
        <w:t xml:space="preserve">3.  </w:t>
      </w:r>
      <w:r w:rsidR="00380B22">
        <w:rPr>
          <w:b/>
          <w:bCs/>
          <w:sz w:val="24"/>
        </w:rPr>
        <w:t>EXTENT OF AUTOMATED INFORMATION COLLECTION.</w:t>
      </w:r>
    </w:p>
    <w:p w14:paraId="5EEF9D1C" w14:textId="77777777" w:rsidR="00AD1AD8" w:rsidRDefault="00AD1AD8" w:rsidP="000077A0">
      <w:pPr>
        <w:widowControl/>
        <w:rPr>
          <w:sz w:val="24"/>
        </w:rPr>
      </w:pPr>
    </w:p>
    <w:p w14:paraId="296B2CB1" w14:textId="77777777" w:rsidR="00722850" w:rsidRDefault="00985B7A" w:rsidP="000077A0">
      <w:pPr>
        <w:widowControl/>
        <w:rPr>
          <w:color w:val="000000"/>
          <w:sz w:val="24"/>
        </w:rPr>
      </w:pPr>
      <w:r>
        <w:rPr>
          <w:color w:val="000000"/>
          <w:sz w:val="24"/>
        </w:rPr>
        <w:t>Leases may be created and maintained electronically.</w:t>
      </w:r>
      <w:r w:rsidR="00842CE3">
        <w:rPr>
          <w:color w:val="000000"/>
          <w:sz w:val="24"/>
        </w:rPr>
        <w:t xml:space="preserve"> </w:t>
      </w:r>
      <w:r w:rsidR="00281936">
        <w:rPr>
          <w:color w:val="000000"/>
          <w:sz w:val="24"/>
        </w:rPr>
        <w:t xml:space="preserve">FMCSA </w:t>
      </w:r>
      <w:r w:rsidR="00A867A4">
        <w:rPr>
          <w:color w:val="000000"/>
          <w:sz w:val="24"/>
        </w:rPr>
        <w:t>estimate</w:t>
      </w:r>
      <w:r w:rsidR="00CD0567">
        <w:rPr>
          <w:color w:val="000000"/>
          <w:sz w:val="24"/>
        </w:rPr>
        <w:t>s</w:t>
      </w:r>
      <w:r w:rsidR="00A867A4">
        <w:rPr>
          <w:color w:val="000000"/>
          <w:sz w:val="24"/>
        </w:rPr>
        <w:t xml:space="preserve"> that 50% of the leases are </w:t>
      </w:r>
      <w:r w:rsidR="007D08C0">
        <w:rPr>
          <w:color w:val="000000"/>
          <w:sz w:val="24"/>
        </w:rPr>
        <w:t>electronic.</w:t>
      </w:r>
    </w:p>
    <w:p w14:paraId="0F9E3CE6" w14:textId="77777777" w:rsidR="00985B7A" w:rsidRDefault="00985B7A" w:rsidP="000077A0">
      <w:pPr>
        <w:widowControl/>
        <w:rPr>
          <w:color w:val="000000"/>
          <w:sz w:val="24"/>
        </w:rPr>
      </w:pPr>
    </w:p>
    <w:p w14:paraId="4492F8AE" w14:textId="77777777" w:rsidR="00AD1AD8" w:rsidRDefault="00AD1AD8" w:rsidP="000077A0">
      <w:pPr>
        <w:keepNext/>
        <w:widowControl/>
        <w:rPr>
          <w:sz w:val="24"/>
        </w:rPr>
      </w:pPr>
      <w:r>
        <w:rPr>
          <w:b/>
          <w:bCs/>
          <w:sz w:val="24"/>
        </w:rPr>
        <w:t xml:space="preserve">4.  </w:t>
      </w:r>
      <w:r w:rsidR="00380B22">
        <w:rPr>
          <w:b/>
          <w:bCs/>
          <w:sz w:val="24"/>
        </w:rPr>
        <w:t>EFFORTS TO IDENTIFY DUPLICATION</w:t>
      </w:r>
      <w:r w:rsidR="00380B22">
        <w:rPr>
          <w:sz w:val="24"/>
        </w:rPr>
        <w:t>.</w:t>
      </w:r>
    </w:p>
    <w:p w14:paraId="555AFCBB" w14:textId="77777777" w:rsidR="003F5233" w:rsidRDefault="003F5233" w:rsidP="000077A0">
      <w:pPr>
        <w:keepNext/>
        <w:widowControl/>
        <w:rPr>
          <w:sz w:val="24"/>
        </w:rPr>
      </w:pPr>
    </w:p>
    <w:p w14:paraId="1E9E83C1" w14:textId="77777777" w:rsidR="00E3695E" w:rsidRPr="00497FFE" w:rsidRDefault="00985B7A" w:rsidP="000077A0">
      <w:pPr>
        <w:pStyle w:val="1AutoList39"/>
        <w:widowControl/>
        <w:tabs>
          <w:tab w:val="left" w:pos="0"/>
        </w:tabs>
      </w:pPr>
      <w:r>
        <w:t>FMCSA knows of no duplicative regulations.</w:t>
      </w:r>
    </w:p>
    <w:p w14:paraId="42313338" w14:textId="77777777" w:rsidR="006C647C" w:rsidRDefault="006C647C" w:rsidP="000077A0">
      <w:pPr>
        <w:widowControl/>
        <w:rPr>
          <w:sz w:val="24"/>
        </w:rPr>
      </w:pPr>
    </w:p>
    <w:p w14:paraId="7486B658" w14:textId="77777777" w:rsidR="00AD1AD8" w:rsidRDefault="00AD1AD8" w:rsidP="000077A0">
      <w:pPr>
        <w:keepNext/>
        <w:keepLines/>
        <w:widowControl/>
        <w:rPr>
          <w:sz w:val="24"/>
        </w:rPr>
      </w:pPr>
      <w:r>
        <w:rPr>
          <w:b/>
          <w:bCs/>
          <w:sz w:val="24"/>
        </w:rPr>
        <w:t xml:space="preserve">5.  </w:t>
      </w:r>
      <w:r w:rsidR="00380B22">
        <w:rPr>
          <w:b/>
          <w:bCs/>
          <w:sz w:val="24"/>
        </w:rPr>
        <w:t>EFFORTS TO MINIMIZE THE BURDEN ON SMALL BUSINESSES</w:t>
      </w:r>
      <w:r w:rsidR="00380B22">
        <w:rPr>
          <w:sz w:val="24"/>
        </w:rPr>
        <w:t>.</w:t>
      </w:r>
    </w:p>
    <w:p w14:paraId="6F0E475A" w14:textId="77777777" w:rsidR="00AD1AD8" w:rsidRDefault="00AD1AD8" w:rsidP="000077A0">
      <w:pPr>
        <w:keepNext/>
        <w:keepLines/>
        <w:widowControl/>
        <w:rPr>
          <w:sz w:val="24"/>
        </w:rPr>
      </w:pPr>
    </w:p>
    <w:p w14:paraId="11D42B6E" w14:textId="5D623A49" w:rsidR="00B763C5" w:rsidRDefault="00985B7A" w:rsidP="000077A0">
      <w:pPr>
        <w:widowControl/>
        <w:rPr>
          <w:sz w:val="24"/>
        </w:rPr>
      </w:pPr>
      <w:r>
        <w:rPr>
          <w:sz w:val="24"/>
        </w:rPr>
        <w:t xml:space="preserve">The purpose of </w:t>
      </w:r>
      <w:r w:rsidR="00CD0567">
        <w:rPr>
          <w:sz w:val="24"/>
        </w:rPr>
        <w:t>Part 376</w:t>
      </w:r>
      <w:r>
        <w:rPr>
          <w:sz w:val="24"/>
        </w:rPr>
        <w:t xml:space="preserve"> is to protect small businesses by ensuring that the terms under which they lease their equipment to other motor carriers are specified in a legal document.  </w:t>
      </w:r>
      <w:r w:rsidR="00A85C4A">
        <w:rPr>
          <w:sz w:val="24"/>
        </w:rPr>
        <w:t>Relatively few of the small</w:t>
      </w:r>
      <w:r w:rsidR="00E87265">
        <w:rPr>
          <w:sz w:val="24"/>
        </w:rPr>
        <w:t xml:space="preserve"> trucking firms</w:t>
      </w:r>
      <w:r w:rsidR="00A85C4A">
        <w:rPr>
          <w:sz w:val="24"/>
        </w:rPr>
        <w:t xml:space="preserve"> (less than 4 percent) lease vehicles</w:t>
      </w:r>
      <w:r w:rsidR="00387FDF">
        <w:rPr>
          <w:sz w:val="24"/>
        </w:rPr>
        <w:t xml:space="preserve"> from other carriers</w:t>
      </w:r>
      <w:r w:rsidR="00A85C4A">
        <w:rPr>
          <w:sz w:val="24"/>
        </w:rPr>
        <w:t>.</w:t>
      </w:r>
      <w:r w:rsidR="00E87265">
        <w:rPr>
          <w:sz w:val="24"/>
        </w:rPr>
        <w:t xml:space="preserve"> </w:t>
      </w:r>
      <w:r w:rsidR="005A000E">
        <w:rPr>
          <w:sz w:val="24"/>
        </w:rPr>
        <w:t>The overall frequency of leasing and interchange of vehicles among the diversity of passenger carriers is mostly unknown.  Anecdotal information and opinions of industry experts indicate the frequency of leasing and interchange of vehicles among private passenger carriers is low.</w:t>
      </w:r>
    </w:p>
    <w:p w14:paraId="1392C573" w14:textId="77777777" w:rsidR="00B763C5" w:rsidRDefault="00B763C5" w:rsidP="000077A0">
      <w:pPr>
        <w:widowControl/>
        <w:rPr>
          <w:sz w:val="24"/>
        </w:rPr>
      </w:pPr>
    </w:p>
    <w:p w14:paraId="00AD7FE2" w14:textId="5BB5B099" w:rsidR="00B763C5" w:rsidRDefault="00B763C5" w:rsidP="000077A0">
      <w:pPr>
        <w:widowControl/>
        <w:rPr>
          <w:sz w:val="24"/>
        </w:rPr>
      </w:pPr>
      <w:r>
        <w:rPr>
          <w:sz w:val="24"/>
        </w:rPr>
        <w:t xml:space="preserve">Comments to the </w:t>
      </w:r>
      <w:r w:rsidR="00CD0567">
        <w:rPr>
          <w:sz w:val="24"/>
        </w:rPr>
        <w:t xml:space="preserve">rulemaking on </w:t>
      </w:r>
      <w:r>
        <w:rPr>
          <w:sz w:val="24"/>
        </w:rPr>
        <w:t>passenger carrier leasing caused FMCSA to reduce the regulatory</w:t>
      </w:r>
      <w:r w:rsidR="005A000E">
        <w:rPr>
          <w:sz w:val="24"/>
        </w:rPr>
        <w:t xml:space="preserve"> and paperwork</w:t>
      </w:r>
      <w:r>
        <w:rPr>
          <w:sz w:val="24"/>
        </w:rPr>
        <w:t xml:space="preserve"> burden on </w:t>
      </w:r>
      <w:r w:rsidRPr="008F3A3D">
        <w:rPr>
          <w:sz w:val="24"/>
        </w:rPr>
        <w:t>(</w:t>
      </w:r>
      <w:r>
        <w:rPr>
          <w:sz w:val="24"/>
        </w:rPr>
        <w:t>1</w:t>
      </w:r>
      <w:r w:rsidRPr="008F3A3D">
        <w:rPr>
          <w:sz w:val="24"/>
        </w:rPr>
        <w:t>)</w:t>
      </w:r>
      <w:r>
        <w:rPr>
          <w:sz w:val="24"/>
        </w:rPr>
        <w:t xml:space="preserve"> </w:t>
      </w:r>
      <w:r w:rsidRPr="008F3A3D">
        <w:rPr>
          <w:sz w:val="24"/>
        </w:rPr>
        <w:t xml:space="preserve">passenger </w:t>
      </w:r>
      <w:r>
        <w:rPr>
          <w:sz w:val="24"/>
        </w:rPr>
        <w:t xml:space="preserve">carrier </w:t>
      </w:r>
      <w:r w:rsidRPr="008F3A3D">
        <w:rPr>
          <w:sz w:val="24"/>
        </w:rPr>
        <w:t xml:space="preserve">vehicles exchanged between or among commonly owned and controlled motor carriers </w:t>
      </w:r>
      <w:r>
        <w:rPr>
          <w:sz w:val="24"/>
        </w:rPr>
        <w:t xml:space="preserve">in </w:t>
      </w:r>
      <w:r w:rsidRPr="008F3A3D">
        <w:rPr>
          <w:sz w:val="24"/>
        </w:rPr>
        <w:t xml:space="preserve">that </w:t>
      </w:r>
      <w:r>
        <w:rPr>
          <w:sz w:val="24"/>
        </w:rPr>
        <w:t xml:space="preserve">these entities will not be required to have </w:t>
      </w:r>
      <w:r w:rsidRPr="008F3A3D">
        <w:rPr>
          <w:sz w:val="24"/>
        </w:rPr>
        <w:t xml:space="preserve">leases and receipts when </w:t>
      </w:r>
      <w:r w:rsidR="00CD0567">
        <w:rPr>
          <w:sz w:val="24"/>
        </w:rPr>
        <w:t xml:space="preserve">exchanging </w:t>
      </w:r>
      <w:r w:rsidRPr="008F3A3D">
        <w:rPr>
          <w:sz w:val="24"/>
        </w:rPr>
        <w:t>passenger vehicles;</w:t>
      </w:r>
      <w:r w:rsidR="00E45772">
        <w:rPr>
          <w:sz w:val="24"/>
        </w:rPr>
        <w:t xml:space="preserve"> and</w:t>
      </w:r>
      <w:r w:rsidRPr="008F3A3D">
        <w:rPr>
          <w:sz w:val="24"/>
        </w:rPr>
        <w:t xml:space="preserve"> (</w:t>
      </w:r>
      <w:r>
        <w:rPr>
          <w:sz w:val="24"/>
        </w:rPr>
        <w:t>2</w:t>
      </w:r>
      <w:r w:rsidRPr="008F3A3D">
        <w:rPr>
          <w:sz w:val="24"/>
        </w:rPr>
        <w:t xml:space="preserve">) leases and receipts </w:t>
      </w:r>
      <w:r>
        <w:rPr>
          <w:sz w:val="24"/>
        </w:rPr>
        <w:t xml:space="preserve">will </w:t>
      </w:r>
      <w:r w:rsidRPr="008F3A3D">
        <w:rPr>
          <w:sz w:val="24"/>
        </w:rPr>
        <w:t xml:space="preserve">not </w:t>
      </w:r>
      <w:r>
        <w:rPr>
          <w:sz w:val="24"/>
        </w:rPr>
        <w:t xml:space="preserve">be </w:t>
      </w:r>
      <w:r w:rsidRPr="008F3A3D">
        <w:rPr>
          <w:sz w:val="24"/>
        </w:rPr>
        <w:lastRenderedPageBreak/>
        <w:t>required when passenger carriers that are party to a revenue pooling agreement approved by the Surface Transportation Board exchange or interchange passenger vehicles between or among themselves on routes subject to the pooling agreement</w:t>
      </w:r>
      <w:r>
        <w:rPr>
          <w:sz w:val="24"/>
        </w:rPr>
        <w:t xml:space="preserve">.  A </w:t>
      </w:r>
      <w:r w:rsidRPr="008F3A3D">
        <w:rPr>
          <w:sz w:val="24"/>
        </w:rPr>
        <w:t>simple statement affirming responsibility for</w:t>
      </w:r>
      <w:r>
        <w:rPr>
          <w:sz w:val="24"/>
        </w:rPr>
        <w:t xml:space="preserve"> regulatory compliance and marking</w:t>
      </w:r>
      <w:r w:rsidRPr="008F3A3D">
        <w:rPr>
          <w:sz w:val="24"/>
        </w:rPr>
        <w:t xml:space="preserve"> the vehicle appropriately</w:t>
      </w:r>
      <w:r>
        <w:rPr>
          <w:sz w:val="24"/>
        </w:rPr>
        <w:t xml:space="preserve"> will be required for these: (1) </w:t>
      </w:r>
      <w:r w:rsidR="00CD0567">
        <w:rPr>
          <w:sz w:val="24"/>
        </w:rPr>
        <w:t xml:space="preserve">exchanges of passenger vehicles among </w:t>
      </w:r>
      <w:r w:rsidRPr="008F3A3D">
        <w:rPr>
          <w:sz w:val="24"/>
        </w:rPr>
        <w:t>commonly owned and controlled motor carrier</w:t>
      </w:r>
      <w:r w:rsidR="00CD0567">
        <w:rPr>
          <w:sz w:val="24"/>
        </w:rPr>
        <w:t>s</w:t>
      </w:r>
      <w:r w:rsidRPr="008F3A3D">
        <w:rPr>
          <w:sz w:val="24"/>
        </w:rPr>
        <w:t xml:space="preserve">; </w:t>
      </w:r>
      <w:r w:rsidR="000F027C">
        <w:rPr>
          <w:sz w:val="24"/>
        </w:rPr>
        <w:t xml:space="preserve">and </w:t>
      </w:r>
      <w:r w:rsidRPr="008F3A3D">
        <w:rPr>
          <w:sz w:val="24"/>
        </w:rPr>
        <w:t>(</w:t>
      </w:r>
      <w:r>
        <w:rPr>
          <w:sz w:val="24"/>
        </w:rPr>
        <w:t>2</w:t>
      </w:r>
      <w:r w:rsidRPr="008F3A3D">
        <w:rPr>
          <w:sz w:val="24"/>
        </w:rPr>
        <w:t xml:space="preserve">) </w:t>
      </w:r>
      <w:r>
        <w:rPr>
          <w:sz w:val="24"/>
        </w:rPr>
        <w:t>parties</w:t>
      </w:r>
      <w:r w:rsidRPr="008F3A3D">
        <w:rPr>
          <w:sz w:val="24"/>
        </w:rPr>
        <w:t xml:space="preserve"> to revenue pooling agreement approved by the Surface Transportation Board</w:t>
      </w:r>
      <w:r w:rsidR="000F027C">
        <w:rPr>
          <w:sz w:val="24"/>
        </w:rPr>
        <w:t>.</w:t>
      </w:r>
      <w:r>
        <w:rPr>
          <w:sz w:val="24"/>
        </w:rPr>
        <w:t xml:space="preserve">  Also, FMCSA has added </w:t>
      </w:r>
      <w:r w:rsidRPr="00B763C5">
        <w:rPr>
          <w:sz w:val="24"/>
        </w:rPr>
        <w:t>an emergency exception to the requirement that the lease or interchange agreement be signed before</w:t>
      </w:r>
      <w:r>
        <w:rPr>
          <w:sz w:val="24"/>
        </w:rPr>
        <w:t xml:space="preserve"> the vehicle begins operation. </w:t>
      </w:r>
      <w:r w:rsidRPr="00B763C5">
        <w:rPr>
          <w:sz w:val="24"/>
        </w:rPr>
        <w:t>When a passenger vehicle is disabled during a trip, the lessor and lessee of the replacement vehicle may postpone the completion of a written lease for up to 48 hours</w:t>
      </w:r>
      <w:r>
        <w:rPr>
          <w:sz w:val="24"/>
        </w:rPr>
        <w:t xml:space="preserve"> to reduce regulatory</w:t>
      </w:r>
      <w:r w:rsidR="005A000E">
        <w:rPr>
          <w:sz w:val="24"/>
        </w:rPr>
        <w:t xml:space="preserve"> and paperwork</w:t>
      </w:r>
      <w:r>
        <w:rPr>
          <w:sz w:val="24"/>
        </w:rPr>
        <w:t xml:space="preserve"> burdens and allow the passenger </w:t>
      </w:r>
      <w:r w:rsidR="00385E44">
        <w:rPr>
          <w:sz w:val="24"/>
        </w:rPr>
        <w:t>to resume</w:t>
      </w:r>
      <w:r>
        <w:rPr>
          <w:sz w:val="24"/>
        </w:rPr>
        <w:t xml:space="preserve"> their trip quickly</w:t>
      </w:r>
      <w:r w:rsidRPr="00B763C5">
        <w:rPr>
          <w:sz w:val="24"/>
        </w:rPr>
        <w:t>.</w:t>
      </w:r>
    </w:p>
    <w:p w14:paraId="1B0FAFEF" w14:textId="77777777" w:rsidR="00B763C5" w:rsidRDefault="00B763C5" w:rsidP="000077A0">
      <w:pPr>
        <w:widowControl/>
        <w:rPr>
          <w:sz w:val="24"/>
        </w:rPr>
      </w:pPr>
    </w:p>
    <w:p w14:paraId="43DD2B75" w14:textId="77777777" w:rsidR="00AD1AD8" w:rsidRDefault="00AD1AD8" w:rsidP="000077A0">
      <w:pPr>
        <w:keepNext/>
        <w:keepLines/>
        <w:widowControl/>
        <w:rPr>
          <w:sz w:val="24"/>
        </w:rPr>
      </w:pPr>
      <w:r>
        <w:rPr>
          <w:b/>
          <w:bCs/>
          <w:sz w:val="24"/>
        </w:rPr>
        <w:t xml:space="preserve">6.  </w:t>
      </w:r>
      <w:r w:rsidR="00380B22">
        <w:rPr>
          <w:b/>
          <w:bCs/>
          <w:sz w:val="24"/>
        </w:rPr>
        <w:t>IMPACT OF LESS FREQUENT COLLECTION OF INFORMATION</w:t>
      </w:r>
      <w:r w:rsidR="00380B22">
        <w:rPr>
          <w:sz w:val="24"/>
        </w:rPr>
        <w:t>.</w:t>
      </w:r>
    </w:p>
    <w:p w14:paraId="16D8FF5C" w14:textId="77777777" w:rsidR="00AD1AD8" w:rsidRDefault="00AD1AD8" w:rsidP="000077A0">
      <w:pPr>
        <w:keepNext/>
        <w:keepLines/>
        <w:widowControl/>
        <w:rPr>
          <w:sz w:val="24"/>
        </w:rPr>
      </w:pPr>
    </w:p>
    <w:p w14:paraId="4A940CCD" w14:textId="48AC796D" w:rsidR="00787D91" w:rsidRDefault="00147D96" w:rsidP="000077A0">
      <w:pPr>
        <w:keepNext/>
        <w:keepLines/>
        <w:widowControl/>
        <w:rPr>
          <w:sz w:val="24"/>
        </w:rPr>
      </w:pPr>
      <w:r>
        <w:rPr>
          <w:sz w:val="24"/>
        </w:rPr>
        <w:t>Less frequent collections of information are infeasible by failing to fully serve the purpose of the vehicle leasing and interchange regulations for passenger carriers.</w:t>
      </w:r>
    </w:p>
    <w:p w14:paraId="1BBB15D4" w14:textId="77777777" w:rsidR="008D3049" w:rsidRDefault="008D3049" w:rsidP="000077A0">
      <w:pPr>
        <w:keepNext/>
        <w:keepLines/>
        <w:widowControl/>
        <w:rPr>
          <w:sz w:val="24"/>
        </w:rPr>
      </w:pPr>
    </w:p>
    <w:p w14:paraId="2CBBE9E4" w14:textId="77777777" w:rsidR="00AD1AD8" w:rsidRDefault="00AD1AD8" w:rsidP="000077A0">
      <w:pPr>
        <w:widowControl/>
        <w:rPr>
          <w:sz w:val="24"/>
        </w:rPr>
      </w:pPr>
      <w:r>
        <w:rPr>
          <w:b/>
          <w:bCs/>
          <w:sz w:val="24"/>
        </w:rPr>
        <w:t xml:space="preserve">7.  </w:t>
      </w:r>
      <w:r w:rsidR="00380B22">
        <w:rPr>
          <w:b/>
          <w:bCs/>
          <w:sz w:val="24"/>
        </w:rPr>
        <w:t>SPECIAL CIRCUMSTANCES</w:t>
      </w:r>
      <w:r w:rsidR="00380B22">
        <w:rPr>
          <w:sz w:val="24"/>
        </w:rPr>
        <w:t>.</w:t>
      </w:r>
    </w:p>
    <w:p w14:paraId="4008AC5D" w14:textId="77777777" w:rsidR="00AD1AD8" w:rsidRDefault="00AD1AD8" w:rsidP="000077A0">
      <w:pPr>
        <w:widowControl/>
        <w:rPr>
          <w:sz w:val="24"/>
        </w:rPr>
      </w:pPr>
    </w:p>
    <w:p w14:paraId="27C95224" w14:textId="77777777" w:rsidR="00AD1AD8" w:rsidRDefault="00AD1AD8" w:rsidP="000077A0">
      <w:pPr>
        <w:pStyle w:val="BodyText"/>
        <w:widowControl/>
      </w:pPr>
      <w:r>
        <w:t>There are no special circumstances related to this information collection.</w:t>
      </w:r>
    </w:p>
    <w:p w14:paraId="7160E732" w14:textId="77777777" w:rsidR="00AD1AD8" w:rsidRDefault="00AD1AD8" w:rsidP="000077A0">
      <w:pPr>
        <w:widowControl/>
        <w:rPr>
          <w:sz w:val="24"/>
        </w:rPr>
      </w:pPr>
    </w:p>
    <w:p w14:paraId="2D926B3E" w14:textId="77777777" w:rsidR="00AD1AD8" w:rsidRDefault="00AD1AD8" w:rsidP="000077A0">
      <w:pPr>
        <w:widowControl/>
        <w:rPr>
          <w:sz w:val="24"/>
        </w:rPr>
      </w:pPr>
      <w:r>
        <w:rPr>
          <w:b/>
          <w:bCs/>
          <w:sz w:val="24"/>
        </w:rPr>
        <w:t xml:space="preserve">8.  </w:t>
      </w:r>
      <w:r w:rsidR="00380B22">
        <w:rPr>
          <w:b/>
          <w:bCs/>
          <w:sz w:val="24"/>
        </w:rPr>
        <w:t>COMPLIANCE WITH 5 CFR 1320.8.</w:t>
      </w:r>
    </w:p>
    <w:p w14:paraId="6528E996" w14:textId="77777777" w:rsidR="00AD1AD8" w:rsidRDefault="00AD1AD8" w:rsidP="000077A0">
      <w:pPr>
        <w:widowControl/>
        <w:rPr>
          <w:sz w:val="24"/>
        </w:rPr>
      </w:pPr>
    </w:p>
    <w:p w14:paraId="6D9604F1" w14:textId="768739FC" w:rsidR="005943F0" w:rsidRPr="005943F0" w:rsidRDefault="000563FB" w:rsidP="000077A0">
      <w:pPr>
        <w:widowControl/>
        <w:autoSpaceDE/>
        <w:autoSpaceDN/>
        <w:adjustRightInd/>
        <w:rPr>
          <w:color w:val="000000"/>
          <w:sz w:val="24"/>
        </w:rPr>
      </w:pPr>
      <w:r>
        <w:rPr>
          <w:sz w:val="24"/>
        </w:rPr>
        <w:t>O</w:t>
      </w:r>
      <w:r w:rsidRPr="000563FB">
        <w:rPr>
          <w:sz w:val="24"/>
        </w:rPr>
        <w:t xml:space="preserve">n </w:t>
      </w:r>
      <w:r w:rsidR="00926052">
        <w:rPr>
          <w:sz w:val="24"/>
        </w:rPr>
        <w:t>September 20</w:t>
      </w:r>
      <w:r w:rsidRPr="000563FB">
        <w:rPr>
          <w:sz w:val="24"/>
        </w:rPr>
        <w:t>, 201</w:t>
      </w:r>
      <w:r w:rsidR="00AC7E95">
        <w:rPr>
          <w:sz w:val="24"/>
        </w:rPr>
        <w:t>3</w:t>
      </w:r>
      <w:r w:rsidRPr="000563FB">
        <w:rPr>
          <w:sz w:val="24"/>
        </w:rPr>
        <w:t xml:space="preserve"> (7</w:t>
      </w:r>
      <w:r w:rsidR="00AC7E95">
        <w:rPr>
          <w:sz w:val="24"/>
        </w:rPr>
        <w:t>8</w:t>
      </w:r>
      <w:r w:rsidRPr="000563FB">
        <w:rPr>
          <w:sz w:val="24"/>
        </w:rPr>
        <w:t xml:space="preserve"> FR </w:t>
      </w:r>
      <w:r w:rsidR="00926052">
        <w:rPr>
          <w:sz w:val="24"/>
        </w:rPr>
        <w:t>57822</w:t>
      </w:r>
      <w:r w:rsidR="00833715">
        <w:rPr>
          <w:sz w:val="24"/>
        </w:rPr>
        <w:t>)</w:t>
      </w:r>
      <w:r w:rsidRPr="000563FB">
        <w:rPr>
          <w:sz w:val="24"/>
        </w:rPr>
        <w:t xml:space="preserve"> (See Attachment </w:t>
      </w:r>
      <w:r w:rsidR="00FC56C5">
        <w:rPr>
          <w:sz w:val="24"/>
        </w:rPr>
        <w:t>D</w:t>
      </w:r>
      <w:r w:rsidRPr="000563FB">
        <w:rPr>
          <w:sz w:val="24"/>
        </w:rPr>
        <w:t xml:space="preserve">), FMCSA published </w:t>
      </w:r>
      <w:r>
        <w:rPr>
          <w:sz w:val="24"/>
        </w:rPr>
        <w:t>a</w:t>
      </w:r>
      <w:r w:rsidR="00926052">
        <w:rPr>
          <w:sz w:val="24"/>
        </w:rPr>
        <w:t>n NPRM</w:t>
      </w:r>
      <w:r w:rsidRPr="000563FB">
        <w:rPr>
          <w:sz w:val="24"/>
        </w:rPr>
        <w:t xml:space="preserve"> in the Federal Register requesting public comments on </w:t>
      </w:r>
      <w:r w:rsidR="00926052">
        <w:rPr>
          <w:sz w:val="24"/>
        </w:rPr>
        <w:t>proposed additional lease and interchange requirements for passenger carriers using buses and motorcoaches</w:t>
      </w:r>
      <w:r>
        <w:rPr>
          <w:sz w:val="24"/>
        </w:rPr>
        <w:t xml:space="preserve">. </w:t>
      </w:r>
      <w:r w:rsidR="00926052">
        <w:rPr>
          <w:sz w:val="24"/>
        </w:rPr>
        <w:t xml:space="preserve">The FMCSA received no specific information collection comments in response to this </w:t>
      </w:r>
      <w:r w:rsidR="000430FE">
        <w:rPr>
          <w:sz w:val="24"/>
        </w:rPr>
        <w:t>proposal;</w:t>
      </w:r>
      <w:r w:rsidR="00926052">
        <w:rPr>
          <w:sz w:val="24"/>
        </w:rPr>
        <w:t xml:space="preserve"> however, many commenters believed exceptions and exemptions from the new rules should be adopted for various reasons</w:t>
      </w:r>
      <w:r w:rsidR="005943F0" w:rsidRPr="005943F0">
        <w:rPr>
          <w:color w:val="000000"/>
          <w:spacing w:val="1"/>
          <w:sz w:val="24"/>
        </w:rPr>
        <w:t>.</w:t>
      </w:r>
    </w:p>
    <w:p w14:paraId="2F488F82" w14:textId="77777777" w:rsidR="000563FB" w:rsidRDefault="000563FB" w:rsidP="000077A0">
      <w:pPr>
        <w:widowControl/>
        <w:autoSpaceDE/>
        <w:autoSpaceDN/>
        <w:adjustRightInd/>
        <w:ind w:left="720"/>
        <w:rPr>
          <w:sz w:val="24"/>
        </w:rPr>
      </w:pPr>
    </w:p>
    <w:p w14:paraId="0DB62EBE" w14:textId="77777777" w:rsidR="00C1797D" w:rsidRPr="00124C99" w:rsidRDefault="00C1797D" w:rsidP="000077A0">
      <w:pPr>
        <w:keepNext/>
        <w:widowControl/>
        <w:ind w:right="720" w:firstLine="720"/>
        <w:outlineLvl w:val="0"/>
        <w:rPr>
          <w:rFonts w:eastAsia="MS Mincho"/>
          <w:bCs/>
          <w:sz w:val="24"/>
        </w:rPr>
      </w:pPr>
      <w:r w:rsidRPr="00124C99">
        <w:rPr>
          <w:rFonts w:eastAsia="MS Mincho"/>
          <w:bCs/>
          <w:sz w:val="24"/>
          <w:u w:val="single"/>
        </w:rPr>
        <w:t>Emergency Exception</w:t>
      </w:r>
    </w:p>
    <w:p w14:paraId="212BF190" w14:textId="7BB85C19" w:rsidR="00C1797D" w:rsidRPr="00124C99" w:rsidRDefault="00C1797D" w:rsidP="000077A0">
      <w:pPr>
        <w:widowControl/>
        <w:ind w:right="720" w:firstLine="720"/>
        <w:outlineLvl w:val="0"/>
        <w:rPr>
          <w:rFonts w:eastAsia="MS Mincho"/>
          <w:bCs/>
          <w:sz w:val="24"/>
        </w:rPr>
      </w:pPr>
      <w:r w:rsidRPr="00124C99">
        <w:rPr>
          <w:rFonts w:eastAsia="MS Mincho"/>
          <w:bCs/>
          <w:sz w:val="24"/>
        </w:rPr>
        <w:t>A</w:t>
      </w:r>
      <w:r w:rsidR="00147D96">
        <w:rPr>
          <w:rFonts w:eastAsia="MS Mincho"/>
          <w:bCs/>
          <w:sz w:val="24"/>
        </w:rPr>
        <w:t xml:space="preserve">merican </w:t>
      </w:r>
      <w:r w:rsidRPr="00124C99">
        <w:rPr>
          <w:rFonts w:eastAsia="MS Mincho"/>
          <w:bCs/>
          <w:sz w:val="24"/>
        </w:rPr>
        <w:t>B</w:t>
      </w:r>
      <w:r w:rsidR="00147D96">
        <w:rPr>
          <w:rFonts w:eastAsia="MS Mincho"/>
          <w:bCs/>
          <w:sz w:val="24"/>
        </w:rPr>
        <w:t xml:space="preserve">us </w:t>
      </w:r>
      <w:r w:rsidRPr="00124C99">
        <w:rPr>
          <w:rFonts w:eastAsia="MS Mincho"/>
          <w:bCs/>
          <w:sz w:val="24"/>
        </w:rPr>
        <w:t>A</w:t>
      </w:r>
      <w:r w:rsidR="00147D96">
        <w:rPr>
          <w:rFonts w:eastAsia="MS Mincho"/>
          <w:bCs/>
          <w:sz w:val="24"/>
        </w:rPr>
        <w:t>ssociation (ABA)</w:t>
      </w:r>
      <w:r w:rsidRPr="00124C99">
        <w:rPr>
          <w:rFonts w:eastAsia="MS Mincho"/>
          <w:bCs/>
          <w:sz w:val="24"/>
        </w:rPr>
        <w:t xml:space="preserve">, </w:t>
      </w:r>
      <w:r w:rsidR="00147D96">
        <w:rPr>
          <w:rFonts w:eastAsia="MS Mincho"/>
          <w:bCs/>
          <w:sz w:val="24"/>
        </w:rPr>
        <w:t>United Motorcoach Association (</w:t>
      </w:r>
      <w:r w:rsidRPr="00124C99">
        <w:rPr>
          <w:rFonts w:eastAsia="MS Mincho"/>
          <w:bCs/>
          <w:sz w:val="24"/>
        </w:rPr>
        <w:t>UMA</w:t>
      </w:r>
      <w:r w:rsidR="00147D96">
        <w:rPr>
          <w:rFonts w:eastAsia="MS Mincho"/>
          <w:bCs/>
          <w:sz w:val="24"/>
        </w:rPr>
        <w:t>)</w:t>
      </w:r>
      <w:r w:rsidRPr="00124C99">
        <w:rPr>
          <w:rFonts w:eastAsia="MS Mincho"/>
          <w:bCs/>
          <w:sz w:val="24"/>
        </w:rPr>
        <w:t>, Greyhound</w:t>
      </w:r>
      <w:r w:rsidR="00147D96">
        <w:rPr>
          <w:rFonts w:eastAsia="MS Mincho"/>
          <w:bCs/>
          <w:sz w:val="24"/>
        </w:rPr>
        <w:t xml:space="preserve"> Lines Inc. (Greyhound)</w:t>
      </w:r>
      <w:r w:rsidRPr="00124C99">
        <w:rPr>
          <w:rFonts w:eastAsia="MS Mincho"/>
          <w:bCs/>
          <w:sz w:val="24"/>
        </w:rPr>
        <w:t xml:space="preserve">, and Coach USA noted that mechanical failures can unexpectedly strand passengers at places where safe accommodations may not exist.  The commenters argued that, in order to minimize the resulting inconvenience and possible danger to passengers, the carrier must obtain a replacement vehicle as quickly as possible, sometimes from an unknown lessor, and without waiting to negotiate and exchange written lease documents.  These commenters requested an exception to the proposed leasing requirements for emergency situations. </w:t>
      </w:r>
    </w:p>
    <w:p w14:paraId="2DDEE02E" w14:textId="77777777" w:rsidR="00C1797D" w:rsidRPr="00124C99" w:rsidRDefault="00C1797D" w:rsidP="000077A0">
      <w:pPr>
        <w:widowControl/>
        <w:ind w:right="720" w:firstLine="720"/>
        <w:outlineLvl w:val="0"/>
        <w:rPr>
          <w:rFonts w:eastAsia="MS Mincho"/>
          <w:bCs/>
          <w:sz w:val="24"/>
        </w:rPr>
      </w:pPr>
    </w:p>
    <w:p w14:paraId="5A4B0765" w14:textId="69B0EADD" w:rsidR="00C1797D" w:rsidRPr="00124C99" w:rsidRDefault="00C1797D" w:rsidP="000077A0">
      <w:pPr>
        <w:widowControl/>
        <w:ind w:right="720" w:firstLine="720"/>
        <w:outlineLvl w:val="0"/>
        <w:rPr>
          <w:rFonts w:eastAsia="MS Mincho"/>
          <w:bCs/>
          <w:sz w:val="24"/>
        </w:rPr>
      </w:pPr>
      <w:r w:rsidRPr="00124C99">
        <w:rPr>
          <w:rFonts w:eastAsia="MS Mincho"/>
          <w:bCs/>
          <w:sz w:val="24"/>
        </w:rPr>
        <w:t xml:space="preserve">FMCSA agrees that negotiating and writing an emergency lease for a replacement vehicle (perhaps with a driver) from a local passenger carrier and exchanging the appropriate documents could unnecessarily prolong the delays and increase the risks experienced by passengers.  On the other hand, the benefits the Agency expects to derive from this rule would be lost if the requirement for a lease were simply waived in these situations.  FMCSA has therefore adopted an emergency exception to give the operating </w:t>
      </w:r>
      <w:r w:rsidRPr="00124C99">
        <w:rPr>
          <w:rFonts w:eastAsia="MS Mincho"/>
          <w:bCs/>
          <w:sz w:val="24"/>
        </w:rPr>
        <w:lastRenderedPageBreak/>
        <w:t>carrier and the lessor up to 48 hours after the lessee takes possession of the replacement vehicle to reduce to writing the terms of their lease agreement [§ 390.303(a)(3)].  Because the replacement vehicle will pick up the stranded passengers and resume the interrupted trip almost immediately, a lessee that cannot transmit an electronic copy of the subsequently completed lease to the driver’s smartphone, notepad or other computer may not be able to ensure that a copy of the lease is carried on the motorcoach, as required by § 390.303(</w:t>
      </w:r>
      <w:r w:rsidR="000F027C">
        <w:rPr>
          <w:rFonts w:eastAsia="MS Mincho"/>
          <w:bCs/>
          <w:sz w:val="24"/>
        </w:rPr>
        <w:t>f</w:t>
      </w:r>
      <w:r w:rsidRPr="00124C99">
        <w:rPr>
          <w:rFonts w:eastAsia="MS Mincho"/>
          <w:bCs/>
          <w:sz w:val="24"/>
        </w:rPr>
        <w:t xml:space="preserve">)(2).  In this limited situation and for the duration of the lease, FMCSA will instead allow the lessee to carry a statement signed by the driver or any available company official that </w:t>
      </w:r>
      <w:r w:rsidRPr="00124C99">
        <w:rPr>
          <w:sz w:val="24"/>
        </w:rPr>
        <w:t>“[Carrier A] has leased this vehicle to [Carrier B] pursuant to 49 CFR 390.303(a)(</w:t>
      </w:r>
      <w:r w:rsidR="000F027C">
        <w:rPr>
          <w:sz w:val="24"/>
        </w:rPr>
        <w:t>2</w:t>
      </w:r>
      <w:r w:rsidRPr="00124C99">
        <w:rPr>
          <w:sz w:val="24"/>
        </w:rPr>
        <w:t>).”</w:t>
      </w:r>
    </w:p>
    <w:p w14:paraId="0B67A0DC" w14:textId="77777777" w:rsidR="00C1797D" w:rsidRPr="00650D7B" w:rsidRDefault="00C1797D" w:rsidP="000077A0">
      <w:pPr>
        <w:widowControl/>
        <w:ind w:left="360"/>
        <w:rPr>
          <w:sz w:val="24"/>
        </w:rPr>
      </w:pPr>
    </w:p>
    <w:p w14:paraId="2192D25E" w14:textId="77777777" w:rsidR="00C1797D" w:rsidRPr="00124C99" w:rsidRDefault="00C1797D" w:rsidP="000077A0">
      <w:pPr>
        <w:keepNext/>
        <w:widowControl/>
        <w:ind w:right="720" w:firstLine="720"/>
        <w:outlineLvl w:val="0"/>
        <w:rPr>
          <w:rFonts w:eastAsia="MS Mincho"/>
          <w:bCs/>
          <w:sz w:val="24"/>
        </w:rPr>
      </w:pPr>
      <w:r w:rsidRPr="00124C99">
        <w:rPr>
          <w:rFonts w:eastAsia="MS Mincho"/>
          <w:bCs/>
          <w:sz w:val="24"/>
          <w:u w:val="single"/>
        </w:rPr>
        <w:t>Revenue Pooling Agreements</w:t>
      </w:r>
    </w:p>
    <w:p w14:paraId="189D2DB4" w14:textId="77777777" w:rsidR="00C1797D" w:rsidRPr="00124C99" w:rsidRDefault="00C1797D" w:rsidP="000077A0">
      <w:pPr>
        <w:widowControl/>
        <w:ind w:right="720" w:firstLine="720"/>
        <w:outlineLvl w:val="0"/>
        <w:rPr>
          <w:rFonts w:eastAsia="MS Mincho"/>
          <w:bCs/>
          <w:sz w:val="24"/>
        </w:rPr>
      </w:pPr>
      <w:r w:rsidRPr="00124C99">
        <w:rPr>
          <w:rFonts w:eastAsia="MS Mincho"/>
          <w:bCs/>
          <w:sz w:val="24"/>
        </w:rPr>
        <w:t>ABA pointed out that 49 U.S.C. 14302(b) authorizes the Surface Transportation Board (STB) to approve revenue pooling agreements among carriers.  Adirondack Trailways indicated that it is a party to STB-approved revenue pooling agreements</w:t>
      </w:r>
      <w:r w:rsidR="00C55A25" w:rsidRPr="00124C99">
        <w:rPr>
          <w:rFonts w:eastAsia="MS Mincho"/>
          <w:bCs/>
          <w:sz w:val="24"/>
        </w:rPr>
        <w:t xml:space="preserve"> and that the requirements of the NPRM were inconsistent with the procedures authorized under the pooling agreements. </w:t>
      </w:r>
      <w:r w:rsidRPr="00124C99">
        <w:rPr>
          <w:rFonts w:eastAsia="MS Mincho"/>
          <w:bCs/>
          <w:sz w:val="24"/>
        </w:rPr>
        <w:t>Greyhound said that, in 2012, it “operated a total of 8,089 trips with buses leased on an interchange basis from its pool or interline partners.”</w:t>
      </w:r>
    </w:p>
    <w:p w14:paraId="60EF05CA" w14:textId="77777777" w:rsidR="00C1797D" w:rsidRPr="00124C99" w:rsidRDefault="00C1797D" w:rsidP="000077A0">
      <w:pPr>
        <w:widowControl/>
        <w:ind w:right="720" w:firstLine="720"/>
        <w:outlineLvl w:val="0"/>
        <w:rPr>
          <w:rFonts w:eastAsia="MS Mincho"/>
          <w:bCs/>
          <w:sz w:val="24"/>
        </w:rPr>
      </w:pPr>
    </w:p>
    <w:p w14:paraId="4CBE0773" w14:textId="73412793" w:rsidR="00C1797D" w:rsidRPr="00124C99" w:rsidRDefault="00C55A25" w:rsidP="000077A0">
      <w:pPr>
        <w:widowControl/>
        <w:ind w:right="720" w:firstLine="720"/>
        <w:outlineLvl w:val="0"/>
        <w:rPr>
          <w:rFonts w:eastAsia="MS Mincho"/>
          <w:bCs/>
          <w:sz w:val="24"/>
        </w:rPr>
      </w:pPr>
      <w:r w:rsidRPr="00124C99">
        <w:rPr>
          <w:rFonts w:eastAsia="MS Mincho"/>
          <w:bCs/>
          <w:sz w:val="24"/>
        </w:rPr>
        <w:t>FMCSA agrees that operations under revenue pooling agreements appro</w:t>
      </w:r>
      <w:r w:rsidR="00C1797D" w:rsidRPr="00124C99">
        <w:rPr>
          <w:rFonts w:eastAsia="MS Mincho"/>
          <w:bCs/>
          <w:sz w:val="24"/>
        </w:rPr>
        <w:t xml:space="preserve">ved by the STB should be exempt from the lease and receipt requirements of this rule.  The final rule therefore imposes only a few requirements to enable the </w:t>
      </w:r>
      <w:r w:rsidR="00147D96">
        <w:rPr>
          <w:rFonts w:eastAsia="MS Mincho"/>
          <w:bCs/>
          <w:sz w:val="24"/>
        </w:rPr>
        <w:t>Agency</w:t>
      </w:r>
      <w:r w:rsidR="00147D96" w:rsidRPr="00124C99">
        <w:rPr>
          <w:rFonts w:eastAsia="MS Mincho"/>
          <w:bCs/>
          <w:sz w:val="24"/>
        </w:rPr>
        <w:t xml:space="preserve"> </w:t>
      </w:r>
      <w:r w:rsidR="00C1797D" w:rsidRPr="00124C99">
        <w:rPr>
          <w:rFonts w:eastAsia="MS Mincho"/>
          <w:bCs/>
          <w:sz w:val="24"/>
        </w:rPr>
        <w:t>to track the safety performance of all members of the pool and specifically identify the carrier responsible for safety.  Each vehicle must have available, either in hard copy or electronically, the number and date of the STB decision approving the pool and the names of the pool members.  In addition, each vehicle must have available a list of (1) all routes covered by the pooling agreement, (2) the carrier or carriers authorized to operate on each route or portion of a route, (3) all points of origin, destination, or interchange (should interchanges be part of the agreement).   However, all members of the revenue pool must mark the vehicles with the name of the operating carrier, as required by § 390.21(f).  The advantage of this exception is that the parties to a pooling agreement need not exchange lease documents and receipts.</w:t>
      </w:r>
    </w:p>
    <w:p w14:paraId="3130A44A" w14:textId="77777777" w:rsidR="00C1797D" w:rsidRPr="00650D7B" w:rsidRDefault="00C1797D" w:rsidP="000077A0">
      <w:pPr>
        <w:widowControl/>
        <w:ind w:left="360"/>
        <w:rPr>
          <w:sz w:val="24"/>
        </w:rPr>
      </w:pPr>
    </w:p>
    <w:p w14:paraId="321B78BC" w14:textId="77777777" w:rsidR="00B71E87" w:rsidRPr="00124C99" w:rsidRDefault="00B71E87" w:rsidP="000077A0">
      <w:pPr>
        <w:keepNext/>
        <w:widowControl/>
        <w:ind w:right="720" w:firstLine="720"/>
        <w:outlineLvl w:val="0"/>
        <w:rPr>
          <w:rFonts w:eastAsia="MS Mincho"/>
          <w:bCs/>
          <w:sz w:val="24"/>
          <w:u w:val="single"/>
        </w:rPr>
      </w:pPr>
      <w:r w:rsidRPr="00124C99">
        <w:rPr>
          <w:rFonts w:eastAsia="MS Mincho"/>
          <w:bCs/>
          <w:sz w:val="24"/>
          <w:u w:val="single"/>
        </w:rPr>
        <w:t>Common Ownership and Control</w:t>
      </w:r>
    </w:p>
    <w:p w14:paraId="62F39392" w14:textId="77777777" w:rsidR="008D52FB" w:rsidRPr="00124C99" w:rsidRDefault="00B71E87" w:rsidP="000077A0">
      <w:pPr>
        <w:widowControl/>
        <w:ind w:right="720" w:firstLine="720"/>
        <w:outlineLvl w:val="0"/>
        <w:rPr>
          <w:rFonts w:eastAsia="MS Mincho"/>
          <w:bCs/>
          <w:sz w:val="24"/>
        </w:rPr>
      </w:pPr>
      <w:r w:rsidRPr="00124C99">
        <w:rPr>
          <w:rFonts w:eastAsia="MS Mincho"/>
          <w:bCs/>
          <w:sz w:val="24"/>
        </w:rPr>
        <w:t>Coach USA, a non-carrier that controls many passenger carriers, requested “an exemption from the requirements of proposed section 390.303 for vehicle exchanges between affiliated companies. By ‘affiliated companies,’ Coach USA means companies that share a common parent company.”  Similar comments were submitted by Adirondack Trailways, which is commonly owned and controlled with two other carriers, Pine Hill Trailways and New York Trailways.  Adirondack stated that “[t]hese three companies interchange buses and drivers on a regular basis every single day” and that operational agreements among these carriers were inconsistent with</w:t>
      </w:r>
      <w:r w:rsidR="008D52FB" w:rsidRPr="00124C99">
        <w:rPr>
          <w:rFonts w:eastAsia="MS Mincho"/>
          <w:bCs/>
          <w:sz w:val="24"/>
        </w:rPr>
        <w:t>, and should be exempted from,</w:t>
      </w:r>
      <w:r w:rsidRPr="00124C99">
        <w:rPr>
          <w:rFonts w:eastAsia="MS Mincho"/>
          <w:bCs/>
          <w:sz w:val="24"/>
        </w:rPr>
        <w:t xml:space="preserve"> the requirements </w:t>
      </w:r>
      <w:r w:rsidR="008D52FB" w:rsidRPr="00124C99">
        <w:rPr>
          <w:rFonts w:eastAsia="MS Mincho"/>
          <w:bCs/>
          <w:sz w:val="24"/>
        </w:rPr>
        <w:t>of the NPRM</w:t>
      </w:r>
      <w:r w:rsidR="000430FE">
        <w:rPr>
          <w:rFonts w:eastAsia="MS Mincho"/>
          <w:bCs/>
          <w:sz w:val="24"/>
        </w:rPr>
        <w:t>.”</w:t>
      </w:r>
    </w:p>
    <w:p w14:paraId="3571289F" w14:textId="77777777" w:rsidR="00B71E87" w:rsidRPr="00124C99" w:rsidRDefault="00B71E87" w:rsidP="000077A0">
      <w:pPr>
        <w:widowControl/>
        <w:ind w:right="720" w:firstLine="720"/>
        <w:outlineLvl w:val="0"/>
        <w:rPr>
          <w:rFonts w:eastAsia="MS Mincho"/>
          <w:bCs/>
          <w:sz w:val="24"/>
        </w:rPr>
      </w:pPr>
    </w:p>
    <w:p w14:paraId="51303AC5" w14:textId="432F2090" w:rsidR="00B71E87" w:rsidRPr="00124C99" w:rsidRDefault="00B71E87" w:rsidP="000077A0">
      <w:pPr>
        <w:widowControl/>
        <w:ind w:right="720" w:firstLine="720"/>
        <w:outlineLvl w:val="0"/>
        <w:rPr>
          <w:rFonts w:eastAsia="MS Mincho"/>
          <w:bCs/>
          <w:sz w:val="24"/>
        </w:rPr>
      </w:pPr>
      <w:r w:rsidRPr="00124C99">
        <w:rPr>
          <w:rFonts w:eastAsia="MS Mincho"/>
          <w:bCs/>
          <w:sz w:val="24"/>
        </w:rPr>
        <w:t xml:space="preserve">FMCSA agrees that there is no need for individual leases and receipts when vehicles are interchanged between or among commonly owned and controlled passenger </w:t>
      </w:r>
      <w:r w:rsidRPr="00124C99">
        <w:rPr>
          <w:rFonts w:eastAsia="MS Mincho"/>
          <w:bCs/>
          <w:sz w:val="24"/>
        </w:rPr>
        <w:lastRenderedPageBreak/>
        <w:t xml:space="preserve">carriers. </w:t>
      </w:r>
      <w:r w:rsidR="008D52FB" w:rsidRPr="00124C99">
        <w:rPr>
          <w:rFonts w:eastAsia="MS Mincho"/>
          <w:bCs/>
          <w:sz w:val="24"/>
        </w:rPr>
        <w:t xml:space="preserve"> Such a requirement would add nothing to these carriers’ standard business practices and impose unnecessary paperwork. </w:t>
      </w:r>
      <w:r w:rsidRPr="00124C99">
        <w:rPr>
          <w:rFonts w:eastAsia="MS Mincho"/>
          <w:bCs/>
          <w:sz w:val="24"/>
        </w:rPr>
        <w:t xml:space="preserve"> In most cases, all of the “family” members are likely to be operating according to the same administrative procedures and safety standards. </w:t>
      </w:r>
      <w:r w:rsidR="008D52FB" w:rsidRPr="00124C99">
        <w:rPr>
          <w:rFonts w:eastAsia="MS Mincho"/>
          <w:bCs/>
          <w:sz w:val="24"/>
        </w:rPr>
        <w:t xml:space="preserve"> The carrier responsible for safety and regulatory compliance can be readily identified by the less complex trip summary which § 390.301(b)(2) requires these exchanged or interchanged vehicles to carry.  The trip summary is necessary since</w:t>
      </w:r>
      <w:r w:rsidRPr="00124C99">
        <w:rPr>
          <w:rFonts w:eastAsia="MS Mincho"/>
          <w:bCs/>
          <w:sz w:val="24"/>
        </w:rPr>
        <w:t xml:space="preserve"> large holding companies seek to minimize their regulatory and tort exposure by dividing their motor carrier business into multiple limited liability companies (LLCs) while operating them very much like a single corporation.  Therefore, each driver in a group of commonly owned and controlled motor carriers must carry a summary document listing all members of the corporate family, along with their USDOT numbers and business addresses.  The document must also identify the operating carrier, the trip (by charter number, run number, or something similar), the vehicle (by the carrier’s internal number or license plate number), and the date of the trip.</w:t>
      </w:r>
      <w:r w:rsidR="008D52FB" w:rsidRPr="00124C99">
        <w:rPr>
          <w:rFonts w:eastAsia="MS Mincho"/>
          <w:bCs/>
          <w:sz w:val="24"/>
        </w:rPr>
        <w:t xml:space="preserve"> These trip summaries are subject to the one-year record retention requirement of</w:t>
      </w:r>
      <w:r w:rsidRPr="00124C99">
        <w:rPr>
          <w:rFonts w:eastAsia="MS Mincho"/>
          <w:bCs/>
          <w:sz w:val="24"/>
        </w:rPr>
        <w:t xml:space="preserve"> § 390.303(</w:t>
      </w:r>
      <w:r w:rsidR="000F027C">
        <w:rPr>
          <w:rFonts w:eastAsia="MS Mincho"/>
          <w:bCs/>
          <w:sz w:val="24"/>
        </w:rPr>
        <w:t>d</w:t>
      </w:r>
      <w:r w:rsidRPr="00124C99">
        <w:rPr>
          <w:rFonts w:eastAsia="MS Mincho"/>
          <w:bCs/>
          <w:sz w:val="24"/>
        </w:rPr>
        <w:t>). Like the parties to a pooling agreement, however, commonly owned and controlled carriers need not prepare leases or receipts when they exchange vehicles.</w:t>
      </w:r>
    </w:p>
    <w:p w14:paraId="424B7DB2" w14:textId="77777777" w:rsidR="00B71E87" w:rsidRPr="00650D7B" w:rsidRDefault="00B71E87" w:rsidP="000077A0">
      <w:pPr>
        <w:widowControl/>
        <w:ind w:left="360"/>
        <w:rPr>
          <w:sz w:val="24"/>
        </w:rPr>
      </w:pPr>
    </w:p>
    <w:p w14:paraId="6521DF3E" w14:textId="79D879FF" w:rsidR="00CB6D5A" w:rsidRPr="00124C99" w:rsidRDefault="000C3B3C" w:rsidP="000077A0">
      <w:pPr>
        <w:keepNext/>
        <w:widowControl/>
        <w:ind w:right="720" w:firstLine="720"/>
        <w:outlineLvl w:val="0"/>
        <w:rPr>
          <w:rFonts w:eastAsia="MS Mincho"/>
          <w:bCs/>
          <w:sz w:val="24"/>
        </w:rPr>
      </w:pPr>
      <w:r w:rsidRPr="000C3B3C">
        <w:rPr>
          <w:rFonts w:eastAsia="MS Mincho"/>
          <w:bCs/>
          <w:sz w:val="24"/>
          <w:u w:val="single"/>
        </w:rPr>
        <w:t>Passenger Carriers Chartering Other Passenger Carriers</w:t>
      </w:r>
    </w:p>
    <w:p w14:paraId="5F7E3599" w14:textId="3419B711" w:rsidR="00CB6D5A" w:rsidRPr="00124C99" w:rsidRDefault="00CB6D5A" w:rsidP="000077A0">
      <w:pPr>
        <w:widowControl/>
        <w:ind w:right="720" w:firstLine="720"/>
        <w:outlineLvl w:val="0"/>
        <w:rPr>
          <w:rFonts w:eastAsia="MS Mincho"/>
          <w:bCs/>
          <w:sz w:val="24"/>
        </w:rPr>
      </w:pPr>
      <w:r w:rsidRPr="00124C99">
        <w:rPr>
          <w:rFonts w:eastAsia="MS Mincho"/>
          <w:bCs/>
          <w:sz w:val="24"/>
        </w:rPr>
        <w:t>ABA said the NPRM “does not define, or even mention, the term ‘charter’ which is how motorcoach carriers of passengers view the hiring or interchange of vehicles.”  UMA commented that “Interstate passenger carriers routinely charter the services of other passenger carriers for emergencies or capacity reasons.  . . .  It is generally considered that the chartered company assumes all responsibilities for regulatory compliance.  . . .  This system is so effective, FMCSA should completely evaluate the positive attributes of these charter arrangements versus the possibilities that a lease may actually reduce an otherwise compliant chartered passenger carrier’s responsibilities and motives; thereby reducing their safety and compliance concerns.”</w:t>
      </w:r>
    </w:p>
    <w:p w14:paraId="07DB13E4" w14:textId="77777777" w:rsidR="00CB6D5A" w:rsidRDefault="00CB6D5A" w:rsidP="000077A0">
      <w:pPr>
        <w:widowControl/>
        <w:ind w:right="720" w:firstLine="720"/>
        <w:outlineLvl w:val="0"/>
        <w:rPr>
          <w:rFonts w:eastAsia="MS Mincho"/>
          <w:bCs/>
          <w:sz w:val="24"/>
        </w:rPr>
      </w:pPr>
    </w:p>
    <w:p w14:paraId="10C0C2DE" w14:textId="77777777" w:rsidR="000C3B3C" w:rsidRDefault="000C3B3C" w:rsidP="000C3B3C">
      <w:pPr>
        <w:widowControl/>
        <w:ind w:right="720" w:firstLine="720"/>
        <w:outlineLvl w:val="0"/>
        <w:rPr>
          <w:rFonts w:eastAsia="MS Mincho"/>
          <w:bCs/>
          <w:sz w:val="24"/>
        </w:rPr>
      </w:pPr>
      <w:r w:rsidRPr="000C3B3C">
        <w:rPr>
          <w:rFonts w:eastAsia="MS Mincho"/>
          <w:bCs/>
          <w:sz w:val="24"/>
        </w:rPr>
        <w:t>The NPRM did not specifically discuss “passenger carriers chartering other passenger carriers” because the Agency believed it was sufficiently clear that such arrangements, depending on their specific terms, either would not be subject to the proposed rule at all because they involved no leases, or would be subject to the rule because the “chartered” carrier was leasing vehicles and drivers to another passenger carrier. Based upon the comments received, it is apparent that clarification is needed.</w:t>
      </w:r>
    </w:p>
    <w:p w14:paraId="63D05553" w14:textId="77777777" w:rsidR="000C3B3C" w:rsidRPr="000C3B3C" w:rsidRDefault="000C3B3C" w:rsidP="000C3B3C">
      <w:pPr>
        <w:widowControl/>
        <w:ind w:right="720" w:firstLine="720"/>
        <w:outlineLvl w:val="0"/>
        <w:rPr>
          <w:rFonts w:eastAsia="MS Mincho"/>
          <w:bCs/>
          <w:sz w:val="24"/>
        </w:rPr>
      </w:pPr>
    </w:p>
    <w:p w14:paraId="4E008AA0" w14:textId="77777777" w:rsidR="000C3B3C" w:rsidRDefault="000C3B3C" w:rsidP="000C3B3C">
      <w:pPr>
        <w:widowControl/>
        <w:ind w:right="720" w:firstLine="720"/>
        <w:outlineLvl w:val="0"/>
        <w:rPr>
          <w:rFonts w:eastAsia="MS Mincho"/>
          <w:bCs/>
          <w:sz w:val="24"/>
        </w:rPr>
      </w:pPr>
      <w:r w:rsidRPr="000C3B3C">
        <w:rPr>
          <w:rFonts w:eastAsia="MS Mincho"/>
          <w:bCs/>
          <w:sz w:val="24"/>
        </w:rPr>
        <w:t xml:space="preserve">A passenger carrier that agrees to transport a tour or travel group on a particular trip may find itself without the capacity to accommodate the group. In that case, the carrier might transfer the contract to a second carrier that has the necessary capacity. The second carrier may or may not pay a fee to the transferring passenger carrier. In any case, this rule would not apply to that transaction because the first carrier has not leased equipment from the second. The contract has been reassigned and the second carrier has undertaken the trip in its own name on its own authority with its own vehicle(s), and is therefore responsible for compliance with the FMCSRs. As a good business practice, the transferring passenger carrier should of course immediately notify the tour or travel group that another carrier will provide the transportation. Disgruntled customers have </w:t>
      </w:r>
      <w:r w:rsidRPr="000C3B3C">
        <w:rPr>
          <w:rFonts w:eastAsia="MS Mincho"/>
          <w:bCs/>
          <w:sz w:val="24"/>
        </w:rPr>
        <w:lastRenderedPageBreak/>
        <w:t xml:space="preserve">occasionally contacted FMCSA when such notification does not occur and an unknown carrier arrives unexpectedly to pick up a group of passengers. While the final rule does not address communication when a passenger transportation contract is completely transferred to another carrier, the industry should note that the interests of tour operators and their customers are not adequately protected when such contracts are transferred among carriers without prior notice to the passengers affected by the change. </w:t>
      </w:r>
    </w:p>
    <w:p w14:paraId="4A663974" w14:textId="77777777" w:rsidR="000C3B3C" w:rsidRPr="000C3B3C" w:rsidRDefault="000C3B3C" w:rsidP="000C3B3C">
      <w:pPr>
        <w:widowControl/>
        <w:ind w:right="720" w:firstLine="720"/>
        <w:outlineLvl w:val="0"/>
        <w:rPr>
          <w:rFonts w:eastAsia="MS Mincho"/>
          <w:bCs/>
          <w:sz w:val="24"/>
        </w:rPr>
      </w:pPr>
    </w:p>
    <w:p w14:paraId="05D2FD03" w14:textId="77777777" w:rsidR="000C3B3C" w:rsidRPr="000C3B3C" w:rsidRDefault="000C3B3C" w:rsidP="000C3B3C">
      <w:pPr>
        <w:widowControl/>
        <w:ind w:right="720" w:firstLine="720"/>
        <w:outlineLvl w:val="0"/>
        <w:rPr>
          <w:rFonts w:eastAsia="MS Mincho"/>
          <w:bCs/>
          <w:sz w:val="24"/>
        </w:rPr>
      </w:pPr>
      <w:r w:rsidRPr="000C3B3C">
        <w:rPr>
          <w:rFonts w:eastAsia="MS Mincho"/>
          <w:bCs/>
          <w:sz w:val="24"/>
        </w:rPr>
        <w:t xml:space="preserve">On the other hand, a passenger carrier that needs one or more additional vehicles may subcontract with another carrier to supply the vehicle(s) and possibly also driver(s) while still nominally performing the contract with the tour or travel group. When a passenger carrier hires or charters (i.e., contracts for) the services of another passenger carrier to help perform a contract, it has leased vehicles and services from that carrier. In these circumstances, a lease must be prepared and receipts exchanged in compliance with this rule to indicate that the prime contractor is responsible for the lessor’s (i.e., subcontractor’s) regulatory compliance. A copy of the lease or written agreement must be on the vehicle obtained from the subcontracted lessor, and the hiring passenger carrier’s legal name and USDOT number must be marked on the vehicle as prescribed in 49 CFR 390.21. While the prime contractor (i.e., the lessee carrier) may require the subcontractor to comply with all applicable provisions of the FMCSRs and to indemnify it for any civil penalties assessed for violations of those provisions by the subcontracted lessor, FMCSA and its State partners will hold both the prime contractor and its subcontractor responsible for completion of the lease described in this final rule. </w:t>
      </w:r>
    </w:p>
    <w:p w14:paraId="4EB6EAFC" w14:textId="77777777" w:rsidR="000C3B3C" w:rsidRDefault="000C3B3C" w:rsidP="000C3B3C">
      <w:pPr>
        <w:widowControl/>
        <w:ind w:right="720" w:firstLine="720"/>
        <w:outlineLvl w:val="0"/>
        <w:rPr>
          <w:rFonts w:eastAsia="MS Mincho"/>
          <w:bCs/>
          <w:sz w:val="24"/>
        </w:rPr>
      </w:pPr>
    </w:p>
    <w:p w14:paraId="0A410A40" w14:textId="7B5678DB" w:rsidR="000C3B3C" w:rsidRPr="000C3B3C" w:rsidRDefault="000C3B3C" w:rsidP="000C3B3C">
      <w:pPr>
        <w:widowControl/>
        <w:ind w:right="720" w:firstLine="720"/>
        <w:outlineLvl w:val="0"/>
        <w:rPr>
          <w:rFonts w:eastAsia="MS Mincho"/>
          <w:bCs/>
          <w:sz w:val="24"/>
        </w:rPr>
      </w:pPr>
      <w:r w:rsidRPr="000C3B3C">
        <w:rPr>
          <w:rFonts w:eastAsia="MS Mincho"/>
          <w:bCs/>
          <w:sz w:val="24"/>
        </w:rPr>
        <w:t>In this situation described above, the lessee carrier is fully responsible for the regulatory compliance of the lessor carrier and must mark the vehicles leased from the lessor with the information required by 49 CFR 390.21(f). However, because the name and/or logo of the chartered or hired passenger carrier is likely to be displayed prominently on the vehicles, passengers might overlook th</w:t>
      </w:r>
      <w:r>
        <w:rPr>
          <w:rFonts w:eastAsia="MS Mincho"/>
          <w:bCs/>
          <w:sz w:val="24"/>
        </w:rPr>
        <w:t>e smaller placard required by § </w:t>
      </w:r>
      <w:r w:rsidRPr="000C3B3C">
        <w:rPr>
          <w:rFonts w:eastAsia="MS Mincho"/>
          <w:bCs/>
          <w:sz w:val="24"/>
        </w:rPr>
        <w:t xml:space="preserve">390.21(f)(2) and assume that a different carrier was providing the transportation. To reduce the possibility of confusion, FMCSA has added a provision to the rule that requires a passenger carrier that subcontracts all or a portion of a transportation service to notify the tour or travel group within 24 hours of establishing the subcontracting arrangement that all or some of the transportation will be performed by a lessor subcontractor. </w:t>
      </w:r>
    </w:p>
    <w:p w14:paraId="5A61A933" w14:textId="77777777" w:rsidR="000C3B3C" w:rsidRDefault="000C3B3C" w:rsidP="000C3B3C">
      <w:pPr>
        <w:widowControl/>
        <w:ind w:right="720" w:firstLine="720"/>
        <w:outlineLvl w:val="0"/>
        <w:rPr>
          <w:rFonts w:eastAsia="MS Mincho"/>
          <w:bCs/>
          <w:sz w:val="24"/>
        </w:rPr>
      </w:pPr>
    </w:p>
    <w:p w14:paraId="7C3ED554" w14:textId="6FA4F9B1" w:rsidR="000C3B3C" w:rsidRDefault="000C3B3C" w:rsidP="000C3B3C">
      <w:pPr>
        <w:widowControl/>
        <w:ind w:right="720" w:firstLine="720"/>
        <w:outlineLvl w:val="0"/>
        <w:rPr>
          <w:rFonts w:eastAsia="MS Mincho"/>
          <w:bCs/>
          <w:sz w:val="24"/>
        </w:rPr>
      </w:pPr>
      <w:r w:rsidRPr="000C3B3C">
        <w:rPr>
          <w:rFonts w:eastAsia="MS Mincho"/>
          <w:bCs/>
          <w:sz w:val="24"/>
        </w:rPr>
        <w:t>This rule holds the lessee carrier directly responsible for violations of the FMCSRs. While UMA asserted that the chartered passenger carrier generally assumes all responsibilities for regulatory compliance, this final rule does not prevent the two carriers from including in the charter (i.e., lease) contract a provision making the chartered carrier responsible for such compliance, with appropriate indemnification language for penalties imposed by regulatory agencies. The relationship between the two parties remains that of a lessor and lessee. The “charter contract” described by UMA appears to involve negotiation and paperwork burdens similar to those associated with a lease. The net burden imposed by this rule therefore should be minor.</w:t>
      </w:r>
    </w:p>
    <w:p w14:paraId="480F747C" w14:textId="77777777" w:rsidR="000C3B3C" w:rsidRPr="00124C99" w:rsidRDefault="000C3B3C" w:rsidP="000C3B3C">
      <w:pPr>
        <w:widowControl/>
        <w:ind w:right="720" w:firstLine="720"/>
        <w:outlineLvl w:val="0"/>
        <w:rPr>
          <w:rFonts w:eastAsia="MS Mincho"/>
          <w:bCs/>
          <w:sz w:val="24"/>
        </w:rPr>
      </w:pPr>
    </w:p>
    <w:p w14:paraId="630B3336" w14:textId="1232A6F1" w:rsidR="000563FB" w:rsidRPr="000563FB" w:rsidRDefault="000563FB" w:rsidP="000077A0">
      <w:pPr>
        <w:widowControl/>
        <w:autoSpaceDE/>
        <w:autoSpaceDN/>
        <w:adjustRightInd/>
        <w:rPr>
          <w:sz w:val="24"/>
        </w:rPr>
      </w:pPr>
      <w:r w:rsidRPr="000563FB">
        <w:rPr>
          <w:sz w:val="24"/>
        </w:rPr>
        <w:t xml:space="preserve">FMCSA published a </w:t>
      </w:r>
      <w:r w:rsidR="00926052">
        <w:rPr>
          <w:sz w:val="24"/>
        </w:rPr>
        <w:t xml:space="preserve">final rule </w:t>
      </w:r>
      <w:r w:rsidRPr="000563FB">
        <w:rPr>
          <w:sz w:val="24"/>
        </w:rPr>
        <w:t xml:space="preserve">on </w:t>
      </w:r>
      <w:r w:rsidR="006042F6">
        <w:rPr>
          <w:sz w:val="24"/>
        </w:rPr>
        <w:t>May 27</w:t>
      </w:r>
      <w:r w:rsidRPr="006042F6">
        <w:rPr>
          <w:sz w:val="24"/>
        </w:rPr>
        <w:t>, 201</w:t>
      </w:r>
      <w:r w:rsidR="00926052" w:rsidRPr="006042F6">
        <w:rPr>
          <w:sz w:val="24"/>
        </w:rPr>
        <w:t>5</w:t>
      </w:r>
      <w:r w:rsidRPr="006042F6">
        <w:rPr>
          <w:sz w:val="24"/>
        </w:rPr>
        <w:t xml:space="preserve"> (</w:t>
      </w:r>
      <w:r w:rsidR="00926052" w:rsidRPr="006042F6">
        <w:rPr>
          <w:sz w:val="24"/>
        </w:rPr>
        <w:t xml:space="preserve">80 </w:t>
      </w:r>
      <w:r w:rsidRPr="006042F6">
        <w:rPr>
          <w:sz w:val="24"/>
        </w:rPr>
        <w:t xml:space="preserve">FR </w:t>
      </w:r>
      <w:r w:rsidR="006042F6" w:rsidRPr="006042F6">
        <w:rPr>
          <w:sz w:val="24"/>
        </w:rPr>
        <w:t>30164</w:t>
      </w:r>
      <w:r w:rsidRPr="006042F6">
        <w:rPr>
          <w:sz w:val="24"/>
        </w:rPr>
        <w:t>) (See Attachment</w:t>
      </w:r>
      <w:r w:rsidR="00833715" w:rsidRPr="006042F6">
        <w:rPr>
          <w:sz w:val="24"/>
        </w:rPr>
        <w:t xml:space="preserve"> </w:t>
      </w:r>
      <w:r w:rsidR="00FC56C5" w:rsidRPr="006042F6">
        <w:rPr>
          <w:sz w:val="24"/>
        </w:rPr>
        <w:t>A</w:t>
      </w:r>
      <w:r w:rsidRPr="006042F6">
        <w:rPr>
          <w:sz w:val="24"/>
        </w:rPr>
        <w:t>)</w:t>
      </w:r>
      <w:r w:rsidR="00926052" w:rsidRPr="006042F6">
        <w:rPr>
          <w:sz w:val="24"/>
        </w:rPr>
        <w:t>.</w:t>
      </w:r>
    </w:p>
    <w:p w14:paraId="3FB888CA" w14:textId="77777777" w:rsidR="000563FB" w:rsidRDefault="000563FB" w:rsidP="000077A0">
      <w:pPr>
        <w:pStyle w:val="BodyText"/>
        <w:widowControl/>
      </w:pPr>
    </w:p>
    <w:p w14:paraId="256495FC" w14:textId="77777777" w:rsidR="00AD1AD8" w:rsidRDefault="00AD1AD8" w:rsidP="000077A0">
      <w:pPr>
        <w:keepNext/>
        <w:widowControl/>
        <w:rPr>
          <w:sz w:val="24"/>
        </w:rPr>
      </w:pPr>
      <w:r>
        <w:rPr>
          <w:b/>
          <w:bCs/>
          <w:sz w:val="24"/>
        </w:rPr>
        <w:t xml:space="preserve">9.  </w:t>
      </w:r>
      <w:r w:rsidR="00380B22">
        <w:rPr>
          <w:b/>
          <w:bCs/>
          <w:sz w:val="24"/>
        </w:rPr>
        <w:t>PAYMENT OR GIFTS TO RESPONDENTS</w:t>
      </w:r>
      <w:r w:rsidR="00380B22">
        <w:rPr>
          <w:sz w:val="24"/>
        </w:rPr>
        <w:t>.</w:t>
      </w:r>
    </w:p>
    <w:p w14:paraId="1EDAADE7" w14:textId="77777777" w:rsidR="00AD1AD8" w:rsidRDefault="00AD1AD8" w:rsidP="000077A0">
      <w:pPr>
        <w:keepNext/>
        <w:widowControl/>
        <w:rPr>
          <w:sz w:val="24"/>
        </w:rPr>
      </w:pPr>
    </w:p>
    <w:p w14:paraId="464E4A17" w14:textId="77777777" w:rsidR="00AD1AD8" w:rsidRDefault="00AD1AD8" w:rsidP="000077A0">
      <w:pPr>
        <w:widowControl/>
        <w:rPr>
          <w:sz w:val="24"/>
        </w:rPr>
      </w:pPr>
      <w:r>
        <w:rPr>
          <w:sz w:val="24"/>
        </w:rPr>
        <w:t>Respondents are not provided with any payment or gift for this information collection.</w:t>
      </w:r>
    </w:p>
    <w:p w14:paraId="447D1FA9" w14:textId="77777777" w:rsidR="000E4C5D" w:rsidRDefault="000E4C5D" w:rsidP="000077A0">
      <w:pPr>
        <w:widowControl/>
        <w:rPr>
          <w:sz w:val="24"/>
        </w:rPr>
      </w:pPr>
    </w:p>
    <w:p w14:paraId="0F345EEE" w14:textId="77777777" w:rsidR="00AD1AD8" w:rsidRDefault="00AD1AD8" w:rsidP="000077A0">
      <w:pPr>
        <w:keepNext/>
        <w:widowControl/>
        <w:rPr>
          <w:sz w:val="24"/>
        </w:rPr>
      </w:pPr>
      <w:r>
        <w:rPr>
          <w:b/>
          <w:bCs/>
          <w:sz w:val="24"/>
        </w:rPr>
        <w:t xml:space="preserve">10.  </w:t>
      </w:r>
      <w:r w:rsidR="00380B22">
        <w:rPr>
          <w:b/>
          <w:bCs/>
          <w:sz w:val="24"/>
        </w:rPr>
        <w:t>ASSURANCE OF CONFIDENTIALITY.</w:t>
      </w:r>
    </w:p>
    <w:p w14:paraId="672A7D57" w14:textId="77777777" w:rsidR="00AD1AD8" w:rsidRDefault="00AD1AD8" w:rsidP="000077A0">
      <w:pPr>
        <w:keepNext/>
        <w:widowControl/>
        <w:rPr>
          <w:sz w:val="24"/>
        </w:rPr>
      </w:pPr>
    </w:p>
    <w:p w14:paraId="64176B3D" w14:textId="77777777" w:rsidR="00985B7A" w:rsidRDefault="00985B7A" w:rsidP="000077A0">
      <w:pPr>
        <w:widowControl/>
        <w:rPr>
          <w:sz w:val="24"/>
        </w:rPr>
      </w:pPr>
      <w:r>
        <w:rPr>
          <w:sz w:val="24"/>
        </w:rPr>
        <w:t>Not applicable.</w:t>
      </w:r>
      <w:r w:rsidR="00380B22">
        <w:rPr>
          <w:sz w:val="24"/>
        </w:rPr>
        <w:t xml:space="preserve">  The leases and other agreements are developed and </w:t>
      </w:r>
      <w:r w:rsidR="00AC2E64">
        <w:rPr>
          <w:sz w:val="24"/>
        </w:rPr>
        <w:t>held by the lessor and lessee.</w:t>
      </w:r>
    </w:p>
    <w:p w14:paraId="7179EDEE" w14:textId="77777777" w:rsidR="007534EE" w:rsidRDefault="007534EE" w:rsidP="000077A0">
      <w:pPr>
        <w:widowControl/>
        <w:rPr>
          <w:b/>
          <w:bCs/>
          <w:sz w:val="24"/>
        </w:rPr>
      </w:pPr>
    </w:p>
    <w:p w14:paraId="6DA9BD71" w14:textId="77777777" w:rsidR="00AD1AD8" w:rsidRDefault="00AD1AD8" w:rsidP="000077A0">
      <w:pPr>
        <w:keepNext/>
        <w:keepLines/>
        <w:widowControl/>
        <w:rPr>
          <w:sz w:val="24"/>
        </w:rPr>
      </w:pPr>
      <w:r>
        <w:rPr>
          <w:b/>
          <w:bCs/>
          <w:sz w:val="24"/>
        </w:rPr>
        <w:t xml:space="preserve">11.  </w:t>
      </w:r>
      <w:r w:rsidR="00380B22">
        <w:rPr>
          <w:b/>
          <w:bCs/>
          <w:sz w:val="24"/>
        </w:rPr>
        <w:t>JUSTIFICATION FOR COLLECTION OF SENSITIVE INFORMATION</w:t>
      </w:r>
      <w:r w:rsidR="00380B22">
        <w:rPr>
          <w:sz w:val="24"/>
        </w:rPr>
        <w:t>.</w:t>
      </w:r>
    </w:p>
    <w:p w14:paraId="23D58D2A" w14:textId="77777777" w:rsidR="00AD1AD8" w:rsidRDefault="00AD1AD8" w:rsidP="000077A0">
      <w:pPr>
        <w:keepNext/>
        <w:keepLines/>
        <w:widowControl/>
        <w:rPr>
          <w:sz w:val="24"/>
        </w:rPr>
      </w:pPr>
    </w:p>
    <w:p w14:paraId="52955A80" w14:textId="77777777" w:rsidR="00AD1AD8" w:rsidRDefault="00AD1AD8" w:rsidP="000077A0">
      <w:pPr>
        <w:pStyle w:val="BodyText"/>
        <w:widowControl/>
      </w:pPr>
      <w:r>
        <w:t>There are no questions of a sensitive nature.</w:t>
      </w:r>
    </w:p>
    <w:p w14:paraId="46BDBCF6" w14:textId="77777777" w:rsidR="00AD1AD8" w:rsidRDefault="00AD1AD8" w:rsidP="000077A0">
      <w:pPr>
        <w:widowControl/>
        <w:rPr>
          <w:sz w:val="24"/>
        </w:rPr>
      </w:pPr>
    </w:p>
    <w:p w14:paraId="780708BF" w14:textId="77777777" w:rsidR="003E7470" w:rsidRDefault="00AD1AD8" w:rsidP="000077A0">
      <w:pPr>
        <w:keepNext/>
        <w:widowControl/>
        <w:rPr>
          <w:sz w:val="24"/>
        </w:rPr>
      </w:pPr>
      <w:r>
        <w:rPr>
          <w:b/>
          <w:bCs/>
          <w:sz w:val="24"/>
        </w:rPr>
        <w:t xml:space="preserve">12.  </w:t>
      </w:r>
      <w:r w:rsidR="00380B22">
        <w:rPr>
          <w:b/>
          <w:bCs/>
          <w:sz w:val="24"/>
        </w:rPr>
        <w:t>ESTIMATES OF BURDEN HOURS FOR INFORMATION REQUESTED</w:t>
      </w:r>
      <w:r w:rsidR="00380B22">
        <w:rPr>
          <w:sz w:val="24"/>
        </w:rPr>
        <w:t>.</w:t>
      </w:r>
    </w:p>
    <w:p w14:paraId="40E7905B" w14:textId="77777777" w:rsidR="007B4092" w:rsidRDefault="007B4092" w:rsidP="000077A0">
      <w:pPr>
        <w:keepNext/>
        <w:widowControl/>
        <w:rPr>
          <w:sz w:val="24"/>
        </w:rPr>
      </w:pPr>
    </w:p>
    <w:p w14:paraId="0E99CE66" w14:textId="77777777" w:rsidR="00363985" w:rsidRDefault="00363985" w:rsidP="000077A0">
      <w:pPr>
        <w:keepNext/>
        <w:widowControl/>
        <w:rPr>
          <w:sz w:val="24"/>
        </w:rPr>
      </w:pPr>
    </w:p>
    <w:p w14:paraId="3D8FE2A4" w14:textId="77777777" w:rsidR="00FF5105" w:rsidRPr="005F5FF9" w:rsidRDefault="00FF5105" w:rsidP="000077A0">
      <w:pPr>
        <w:keepNext/>
        <w:widowControl/>
        <w:rPr>
          <w:sz w:val="24"/>
        </w:rPr>
      </w:pPr>
      <w:r w:rsidRPr="00FF5105">
        <w:rPr>
          <w:b/>
          <w:sz w:val="24"/>
          <w:u w:val="single"/>
        </w:rPr>
        <w:t xml:space="preserve"> </w:t>
      </w:r>
      <w:r w:rsidRPr="005F5FF9">
        <w:rPr>
          <w:b/>
          <w:sz w:val="24"/>
          <w:u w:val="single"/>
        </w:rPr>
        <w:t xml:space="preserve">IC-1:  </w:t>
      </w:r>
      <w:r>
        <w:rPr>
          <w:b/>
          <w:sz w:val="24"/>
          <w:u w:val="single"/>
        </w:rPr>
        <w:t>Part 376, Property-Carrying Commercial Motor Vehicles</w:t>
      </w:r>
    </w:p>
    <w:p w14:paraId="53F68146" w14:textId="77777777" w:rsidR="00FF5105" w:rsidRDefault="00FF5105" w:rsidP="000077A0">
      <w:pPr>
        <w:keepNext/>
        <w:widowControl/>
        <w:rPr>
          <w:sz w:val="24"/>
        </w:rPr>
      </w:pPr>
    </w:p>
    <w:p w14:paraId="32CA3026" w14:textId="77777777" w:rsidR="00FF5105" w:rsidRDefault="00FF5105" w:rsidP="000077A0">
      <w:pPr>
        <w:pStyle w:val="BodyText"/>
        <w:widowControl/>
      </w:pPr>
      <w:r>
        <w:t>Part 376 applies only to certain motor carriers in interstate commerce and only to certain leasing situations.  The rules cover leasing between a for-hire carrier that does not hold an operating authority and another for-hire carrier that does hold operating authority.  To determine the number of affected carriers, FMCSA used data from its Motor Carrier Management Information System (MCMIS) database from September 2012. Because straight trucks generally operate locally, FMCSA focused on carriers that lease CMVs that pull one or more trailers.  Because household goods carriers have relatively low mileage per CMV (20,000 to 35,000 miles/year), FMCSA included in its estimates all carriers that term-lease CMVs and average more than 20,000 miles per CMV.  This approach is conservative because it is likely that many of the leased vehicles/drivers are being leased from carriers that hold their own operating authority.    Based on the MCMIS data, FMCSA estimates that about 16,500 for-hire carriers lease 311,000 CMVs annually.</w:t>
      </w:r>
      <w:r w:rsidR="00770B39">
        <w:t xml:space="preserve"> </w:t>
      </w:r>
    </w:p>
    <w:p w14:paraId="11A5F3DB" w14:textId="77777777" w:rsidR="00770B39" w:rsidRDefault="00770B39" w:rsidP="000077A0">
      <w:pPr>
        <w:pStyle w:val="BodyText"/>
        <w:widowControl/>
      </w:pPr>
    </w:p>
    <w:p w14:paraId="2688C811" w14:textId="580E32AD" w:rsidR="00770B39" w:rsidRPr="00770B39" w:rsidRDefault="00770B39" w:rsidP="000077A0">
      <w:pPr>
        <w:widowControl/>
        <w:tabs>
          <w:tab w:val="left" w:pos="-90"/>
        </w:tabs>
        <w:ind w:right="187"/>
        <w:outlineLvl w:val="0"/>
        <w:rPr>
          <w:rFonts w:eastAsia="MS Mincho"/>
          <w:bCs/>
          <w:sz w:val="24"/>
        </w:rPr>
      </w:pPr>
      <w:r w:rsidRPr="00770B39">
        <w:rPr>
          <w:rFonts w:eastAsia="MS Mincho"/>
          <w:bCs/>
          <w:sz w:val="24"/>
        </w:rPr>
        <w:t xml:space="preserve">Given that the carrier population </w:t>
      </w:r>
      <w:r w:rsidRPr="00770B39">
        <w:rPr>
          <w:sz w:val="24"/>
        </w:rPr>
        <w:t>is projected to increase at an annual rate</w:t>
      </w:r>
      <w:r w:rsidRPr="00770B39">
        <w:rPr>
          <w:rFonts w:eastAsia="MS Mincho"/>
          <w:bCs/>
          <w:sz w:val="24"/>
        </w:rPr>
        <w:t xml:space="preserve"> of 2.17 percent per year,</w:t>
      </w:r>
      <w:r w:rsidRPr="00770B39">
        <w:rPr>
          <w:rStyle w:val="FootnoteReference"/>
          <w:rFonts w:eastAsia="MS Mincho"/>
          <w:bCs/>
          <w:sz w:val="24"/>
          <w:vertAlign w:val="superscript"/>
        </w:rPr>
        <w:footnoteReference w:id="2"/>
      </w:r>
      <w:r w:rsidRPr="00770B39">
        <w:rPr>
          <w:rFonts w:eastAsia="MS Mincho"/>
          <w:bCs/>
          <w:sz w:val="24"/>
          <w:vertAlign w:val="superscript"/>
        </w:rPr>
        <w:t xml:space="preserve"> </w:t>
      </w:r>
      <w:r w:rsidR="005E42FD">
        <w:rPr>
          <w:rFonts w:eastAsia="MS Mincho"/>
          <w:bCs/>
          <w:sz w:val="24"/>
        </w:rPr>
        <w:t>then in 2017—t</w:t>
      </w:r>
      <w:r w:rsidRPr="00770B39">
        <w:rPr>
          <w:rFonts w:eastAsia="MS Mincho"/>
          <w:bCs/>
          <w:sz w:val="24"/>
        </w:rPr>
        <w:t>h</w:t>
      </w:r>
      <w:r w:rsidR="005E42FD">
        <w:rPr>
          <w:rFonts w:eastAsia="MS Mincho"/>
          <w:bCs/>
          <w:sz w:val="24"/>
        </w:rPr>
        <w:t xml:space="preserve">e first year of the rule—the </w:t>
      </w:r>
      <w:r w:rsidR="005E42FD" w:rsidRPr="00564C66">
        <w:rPr>
          <w:rFonts w:eastAsia="MS Mincho"/>
          <w:bCs/>
          <w:i/>
          <w:sz w:val="24"/>
        </w:rPr>
        <w:t>Agency estimates</w:t>
      </w:r>
      <w:r w:rsidRPr="00564C66">
        <w:rPr>
          <w:rFonts w:eastAsia="MS Mincho"/>
          <w:bCs/>
          <w:i/>
          <w:sz w:val="24"/>
        </w:rPr>
        <w:t xml:space="preserve"> </w:t>
      </w:r>
      <w:r w:rsidR="005E42FD" w:rsidRPr="00564C66">
        <w:rPr>
          <w:rFonts w:eastAsia="MS Mincho"/>
          <w:bCs/>
          <w:i/>
          <w:sz w:val="24"/>
        </w:rPr>
        <w:t>that 18,000 for hire-carriers (</w:t>
      </w:r>
      <w:r w:rsidR="0092600D">
        <w:rPr>
          <w:rFonts w:eastAsia="MS Mincho"/>
          <w:bCs/>
          <w:sz w:val="24"/>
        </w:rPr>
        <w:t>18,370</w:t>
      </w:r>
      <w:r w:rsidR="005E42FD">
        <w:rPr>
          <w:rFonts w:eastAsia="MS Mincho"/>
          <w:bCs/>
          <w:sz w:val="24"/>
        </w:rPr>
        <w:t xml:space="preserve"> = 16</w:t>
      </w:r>
      <w:r w:rsidR="001257A0">
        <w:rPr>
          <w:rFonts w:eastAsia="MS Mincho"/>
          <w:bCs/>
          <w:sz w:val="24"/>
        </w:rPr>
        <w:t>,500</w:t>
      </w:r>
      <w:r w:rsidRPr="00770B39">
        <w:rPr>
          <w:rFonts w:eastAsia="MS Mincho"/>
          <w:bCs/>
          <w:sz w:val="24"/>
        </w:rPr>
        <w:t xml:space="preserve"> </w:t>
      </w:r>
      <w:r w:rsidR="00DC7E3E">
        <w:rPr>
          <w:rFonts w:eastAsia="MS Mincho"/>
          <w:bCs/>
          <w:sz w:val="24"/>
        </w:rPr>
        <w:t>×</w:t>
      </w:r>
      <w:r w:rsidRPr="00770B39">
        <w:rPr>
          <w:rFonts w:eastAsia="MS Mincho"/>
          <w:bCs/>
          <w:sz w:val="24"/>
        </w:rPr>
        <w:t xml:space="preserve"> (1.0217</w:t>
      </w:r>
      <w:r w:rsidR="0092600D">
        <w:rPr>
          <w:rFonts w:eastAsia="MS Mincho"/>
          <w:bCs/>
          <w:sz w:val="24"/>
          <w:vertAlign w:val="superscript"/>
        </w:rPr>
        <w:t>5</w:t>
      </w:r>
      <w:r w:rsidRPr="00770B39">
        <w:rPr>
          <w:rFonts w:eastAsia="MS Mincho"/>
          <w:bCs/>
          <w:sz w:val="24"/>
        </w:rPr>
        <w:t>))</w:t>
      </w:r>
      <w:r w:rsidR="005E42FD">
        <w:rPr>
          <w:rFonts w:eastAsia="MS Mincho"/>
          <w:bCs/>
          <w:sz w:val="24"/>
        </w:rPr>
        <w:t xml:space="preserve"> </w:t>
      </w:r>
      <w:r w:rsidR="005E42FD" w:rsidRPr="00564C66">
        <w:rPr>
          <w:rFonts w:eastAsia="MS Mincho"/>
          <w:bCs/>
          <w:i/>
          <w:sz w:val="24"/>
        </w:rPr>
        <w:t>lease 339,000 CMVs</w:t>
      </w:r>
      <w:r w:rsidR="005E42FD">
        <w:rPr>
          <w:rFonts w:eastAsia="MS Mincho"/>
          <w:bCs/>
          <w:sz w:val="24"/>
        </w:rPr>
        <w:t xml:space="preserve"> (</w:t>
      </w:r>
      <w:r w:rsidR="001257A0">
        <w:rPr>
          <w:rFonts w:eastAsia="MS Mincho"/>
          <w:bCs/>
          <w:sz w:val="24"/>
        </w:rPr>
        <w:t>338,886 = 311,000</w:t>
      </w:r>
      <w:r w:rsidR="00DC7E3E">
        <w:rPr>
          <w:rFonts w:eastAsia="MS Mincho"/>
          <w:bCs/>
          <w:sz w:val="24"/>
        </w:rPr>
        <w:t xml:space="preserve"> × </w:t>
      </w:r>
      <w:r w:rsidR="001257A0" w:rsidRPr="00770B39">
        <w:rPr>
          <w:rFonts w:eastAsia="MS Mincho"/>
          <w:bCs/>
          <w:sz w:val="24"/>
        </w:rPr>
        <w:t>(1.0217</w:t>
      </w:r>
      <w:r w:rsidR="0092600D">
        <w:rPr>
          <w:rFonts w:eastAsia="MS Mincho"/>
          <w:bCs/>
          <w:sz w:val="24"/>
          <w:vertAlign w:val="superscript"/>
        </w:rPr>
        <w:t>5</w:t>
      </w:r>
      <w:r w:rsidR="001257A0" w:rsidRPr="00770B39">
        <w:rPr>
          <w:rFonts w:eastAsia="MS Mincho"/>
          <w:bCs/>
          <w:sz w:val="24"/>
        </w:rPr>
        <w:t>))</w:t>
      </w:r>
      <w:r w:rsidR="007369DE">
        <w:rPr>
          <w:rFonts w:eastAsia="MS Mincho"/>
          <w:bCs/>
          <w:sz w:val="24"/>
        </w:rPr>
        <w:t>.</w:t>
      </w:r>
    </w:p>
    <w:p w14:paraId="686FEDCB" w14:textId="77777777" w:rsidR="00FF5105" w:rsidRDefault="00FF5105" w:rsidP="000077A0">
      <w:pPr>
        <w:pStyle w:val="BodyText"/>
        <w:widowControl/>
      </w:pPr>
    </w:p>
    <w:p w14:paraId="290278BD" w14:textId="77777777" w:rsidR="00FF5105" w:rsidRDefault="00FF5105" w:rsidP="000C3B3C">
      <w:pPr>
        <w:pStyle w:val="BodyText"/>
        <w:keepNext/>
        <w:widowControl/>
      </w:pPr>
      <w:r>
        <w:lastRenderedPageBreak/>
        <w:t>Section 376.11 requires a for-hire carrier to do the following when the carrier (lessee) leases equipment from a person (lessor) that does not hold its own operating authority and that is not a private carrier:</w:t>
      </w:r>
    </w:p>
    <w:p w14:paraId="5EDEA507" w14:textId="77777777" w:rsidR="00FF5105" w:rsidRDefault="00FF5105" w:rsidP="000C3B3C">
      <w:pPr>
        <w:pStyle w:val="BodyText"/>
        <w:keepNext/>
        <w:widowControl/>
      </w:pPr>
    </w:p>
    <w:p w14:paraId="1E6DEA7E" w14:textId="77777777" w:rsidR="00FF5105" w:rsidRDefault="00FF5105" w:rsidP="000C3B3C">
      <w:pPr>
        <w:pStyle w:val="BodyText"/>
        <w:keepNext/>
        <w:widowControl/>
        <w:numPr>
          <w:ilvl w:val="0"/>
          <w:numId w:val="4"/>
        </w:numPr>
      </w:pPr>
      <w:r>
        <w:t>The lessor and lessee enter into a formal lease that specifies the terms and conditions (49 CFR 376.12).</w:t>
      </w:r>
    </w:p>
    <w:p w14:paraId="79C99B4B" w14:textId="77777777" w:rsidR="00FF5105" w:rsidRDefault="00FF5105" w:rsidP="000077A0">
      <w:pPr>
        <w:pStyle w:val="BodyText"/>
        <w:widowControl/>
        <w:numPr>
          <w:ilvl w:val="0"/>
          <w:numId w:val="4"/>
        </w:numPr>
      </w:pPr>
      <w:r>
        <w:t>The lessee provides the lessor with receipts specifying the equipment being leased at the beginning of the lease and at the end of the lease if required by the lease.</w:t>
      </w:r>
    </w:p>
    <w:p w14:paraId="46577CF0" w14:textId="77777777" w:rsidR="00FF5105" w:rsidRDefault="00FF5105" w:rsidP="000077A0">
      <w:pPr>
        <w:pStyle w:val="BodyText"/>
        <w:widowControl/>
        <w:numPr>
          <w:ilvl w:val="0"/>
          <w:numId w:val="4"/>
        </w:numPr>
      </w:pPr>
      <w:r>
        <w:t>The lessee shall ensure that either a copy of the lease or a statement certifying its use is on each piece of leased equipment.</w:t>
      </w:r>
    </w:p>
    <w:p w14:paraId="2560E439" w14:textId="77777777" w:rsidR="00FF5105" w:rsidRDefault="00FF5105" w:rsidP="000077A0">
      <w:pPr>
        <w:pStyle w:val="BodyText"/>
        <w:widowControl/>
        <w:numPr>
          <w:ilvl w:val="0"/>
          <w:numId w:val="4"/>
        </w:numPr>
      </w:pPr>
      <w:r>
        <w:t>The lessee shall prepare and keep documents for each trip for each piece of leased equipment.  It should also carry papers on the equipment documenting each trip and retain the records; a master lease and freight documents can replace these records.</w:t>
      </w:r>
    </w:p>
    <w:p w14:paraId="11201ACD" w14:textId="77777777" w:rsidR="00FF5105" w:rsidRDefault="00FF5105" w:rsidP="000077A0">
      <w:pPr>
        <w:pStyle w:val="BodyText"/>
        <w:widowControl/>
      </w:pPr>
    </w:p>
    <w:p w14:paraId="17B0F7E0" w14:textId="153B9D11" w:rsidR="00FF5105" w:rsidRDefault="00FF5105" w:rsidP="000077A0">
      <w:pPr>
        <w:pStyle w:val="BodyText"/>
        <w:widowControl/>
        <w:rPr>
          <w:color w:val="000000"/>
        </w:rPr>
      </w:pPr>
      <w:r>
        <w:rPr>
          <w:color w:val="000000"/>
        </w:rPr>
        <w:t xml:space="preserve">Most authorized carriers that lease equipment lease both power units and drivers, often from a </w:t>
      </w:r>
      <w:r w:rsidR="009C547C">
        <w:rPr>
          <w:color w:val="000000"/>
        </w:rPr>
        <w:t>(lessor)</w:t>
      </w:r>
      <w:r>
        <w:rPr>
          <w:color w:val="000000"/>
        </w:rPr>
        <w:t xml:space="preserve"> driver who owns a single CMV, and sometimes from many such drivers.  </w:t>
      </w:r>
      <w:r w:rsidRPr="002B55CF">
        <w:rPr>
          <w:color w:val="000000"/>
        </w:rPr>
        <w:t xml:space="preserve">The leasing carrier, or lessee, is assumed to have a master lease that it uses </w:t>
      </w:r>
      <w:r>
        <w:rPr>
          <w:color w:val="000000"/>
        </w:rPr>
        <w:t>for all lessors rather than negotiating the terms with each lessor.  Given this standardization, FMCSA assumes that time the lessor spends reviewing the lease is negligible in the trucking context.  The lease or statement to be carried in the tractor will be standard documents that, once created, impose no additional burden.  Because trip records can be met by freight records, which are generated in the ordinary course of business, they impose no additional burden.  Similarly, receipts for the possession of the equipment are necessary documents that would be generated to establish legal responsibility at specific points in time.  Therefore, the burden associated with § 376.11 is the following:</w:t>
      </w:r>
    </w:p>
    <w:p w14:paraId="7B221833" w14:textId="77777777" w:rsidR="00FF5105" w:rsidRDefault="00FF5105" w:rsidP="000077A0">
      <w:pPr>
        <w:pStyle w:val="BodyText"/>
        <w:widowControl/>
        <w:rPr>
          <w:color w:val="000000"/>
        </w:rPr>
      </w:pPr>
    </w:p>
    <w:p w14:paraId="660755D6" w14:textId="77777777" w:rsidR="00FF5105" w:rsidRPr="00515DE0" w:rsidRDefault="00FF5105" w:rsidP="000077A0">
      <w:pPr>
        <w:pStyle w:val="BodyText"/>
        <w:widowControl/>
        <w:numPr>
          <w:ilvl w:val="0"/>
          <w:numId w:val="9"/>
        </w:numPr>
      </w:pPr>
      <w:r w:rsidRPr="000D0743">
        <w:rPr>
          <w:color w:val="000000"/>
        </w:rPr>
        <w:t>The creation of master leases by for-hire carriers that lease equipment and drivers from people without operating authority</w:t>
      </w:r>
      <w:r w:rsidRPr="008F4F51">
        <w:rPr>
          <w:color w:val="000000"/>
        </w:rPr>
        <w:t>.</w:t>
      </w:r>
    </w:p>
    <w:p w14:paraId="4274CF94" w14:textId="77777777" w:rsidR="00FF5105" w:rsidRDefault="00FF5105" w:rsidP="000077A0">
      <w:pPr>
        <w:pStyle w:val="BodyText"/>
        <w:widowControl/>
        <w:numPr>
          <w:ilvl w:val="0"/>
          <w:numId w:val="9"/>
        </w:numPr>
      </w:pPr>
      <w:r w:rsidRPr="000D0743">
        <w:rPr>
          <w:color w:val="000000"/>
        </w:rPr>
        <w:t>C</w:t>
      </w:r>
      <w:r>
        <w:t>reation of a statement or copy of the lease to be carried in each leased tractor/truck.</w:t>
      </w:r>
    </w:p>
    <w:p w14:paraId="164C3CA1" w14:textId="77777777" w:rsidR="00FF5105" w:rsidRDefault="00FF5105" w:rsidP="000077A0">
      <w:pPr>
        <w:pStyle w:val="BodyText"/>
        <w:widowControl/>
        <w:ind w:left="360"/>
      </w:pPr>
    </w:p>
    <w:p w14:paraId="05BEBA7E" w14:textId="77777777" w:rsidR="00FF5105" w:rsidRDefault="00FF5105" w:rsidP="000077A0">
      <w:pPr>
        <w:pStyle w:val="BodyText"/>
        <w:widowControl/>
        <w:rPr>
          <w:rFonts w:eastAsia="MS Mincho"/>
          <w:bCs/>
        </w:rPr>
      </w:pPr>
      <w:r>
        <w:rPr>
          <w:color w:val="000000"/>
        </w:rPr>
        <w:t xml:space="preserve">The analysis </w:t>
      </w:r>
      <w:r w:rsidRPr="008F4F51">
        <w:rPr>
          <w:color w:val="000000"/>
        </w:rPr>
        <w:t>assume</w:t>
      </w:r>
      <w:r>
        <w:rPr>
          <w:color w:val="000000"/>
        </w:rPr>
        <w:t>s</w:t>
      </w:r>
      <w:r w:rsidRPr="008F4F51">
        <w:rPr>
          <w:color w:val="000000"/>
        </w:rPr>
        <w:t xml:space="preserve"> that all impacted carriers will engage in </w:t>
      </w:r>
      <w:r w:rsidRPr="00540ACC">
        <w:rPr>
          <w:color w:val="000000"/>
        </w:rPr>
        <w:t>lease negotiation leading to a ‘master lease’ or repeat leases.</w:t>
      </w:r>
      <w:r w:rsidRPr="00540ACC">
        <w:rPr>
          <w:color w:val="000000"/>
          <w:vertAlign w:val="superscript"/>
        </w:rPr>
        <w:footnoteReference w:id="3"/>
      </w:r>
      <w:r w:rsidRPr="00540ACC">
        <w:rPr>
          <w:color w:val="000000"/>
        </w:rPr>
        <w:t xml:space="preserve"> T</w:t>
      </w:r>
      <w:r w:rsidRPr="00540ACC">
        <w:t xml:space="preserve">he Agency believes this </w:t>
      </w:r>
      <w:r>
        <w:t xml:space="preserve">impact </w:t>
      </w:r>
      <w:r w:rsidRPr="00540ACC">
        <w:t xml:space="preserve">is minimal because several leases can be combined and negotiated as one (master) lease and many lease forms are available online and do not require legal assistance.  </w:t>
      </w:r>
      <w:r w:rsidRPr="002B55CF">
        <w:rPr>
          <w:rFonts w:eastAsia="MS Mincho"/>
          <w:bCs/>
        </w:rPr>
        <w:t>Lease negotiation and documentation are assumed to be a burden of 30 minutes (0.5 hours) of a transportation manager’s time.  This cost is applied to both the lessee and the lessor.</w:t>
      </w:r>
      <w:r>
        <w:rPr>
          <w:rFonts w:eastAsia="MS Mincho"/>
          <w:bCs/>
        </w:rPr>
        <w:t xml:space="preserve"> </w:t>
      </w:r>
    </w:p>
    <w:p w14:paraId="01052AA0" w14:textId="77777777" w:rsidR="00FF5105" w:rsidRDefault="00FF5105" w:rsidP="000077A0">
      <w:pPr>
        <w:pStyle w:val="BodyText"/>
        <w:widowControl/>
        <w:rPr>
          <w:rFonts w:eastAsia="MS Mincho"/>
          <w:bCs/>
        </w:rPr>
      </w:pPr>
    </w:p>
    <w:p w14:paraId="3E40EE1A" w14:textId="77777777" w:rsidR="00FF5105" w:rsidRPr="002B55CF" w:rsidRDefault="00FF5105" w:rsidP="000077A0">
      <w:pPr>
        <w:pStyle w:val="BodyText"/>
        <w:widowControl/>
      </w:pPr>
      <w:r>
        <w:rPr>
          <w:color w:val="000000"/>
        </w:rPr>
        <w:t xml:space="preserve">The number of statements issued to lessors annually is uncertain because some leases may be open-ended or self-renewing.  Therefore, the burden of issuing copies of leases would be less for a motor carrier with a large percentage of owner-operators who automatically stay longer than one year.  Conversely, the trucking industry regularly reports annual driver turnover rates around </w:t>
      </w:r>
      <w:r>
        <w:rPr>
          <w:color w:val="000000"/>
        </w:rPr>
        <w:lastRenderedPageBreak/>
        <w:t xml:space="preserve">the 100 percent mark for large truckload fleets, which may lead to a greater number of leases per year, thus, lease statements.  With many trucking carriers automatically renewing annual leases and many new lessors joining the industry, the Agency assumes that these two effects equally offset each other.  For the purpose of this analysis, each lease has a term of 1 year, so that a new statement is issued annually, on average.  A standard leasing statement will incur </w:t>
      </w:r>
      <w:r w:rsidRPr="00BB479B">
        <w:rPr>
          <w:bCs/>
          <w:color w:val="000000"/>
        </w:rPr>
        <w:t xml:space="preserve">the </w:t>
      </w:r>
      <w:r>
        <w:rPr>
          <w:bCs/>
          <w:color w:val="000000"/>
        </w:rPr>
        <w:t>burden</w:t>
      </w:r>
      <w:r w:rsidRPr="00BB479B">
        <w:rPr>
          <w:bCs/>
          <w:color w:val="000000"/>
        </w:rPr>
        <w:t xml:space="preserve"> of preparing the written documentation of the requisite information and signature of the lease agreement</w:t>
      </w:r>
      <w:r>
        <w:rPr>
          <w:bCs/>
          <w:color w:val="000000"/>
        </w:rPr>
        <w:t>, which is</w:t>
      </w:r>
      <w:r w:rsidRPr="00BB479B">
        <w:rPr>
          <w:bCs/>
          <w:color w:val="000000"/>
        </w:rPr>
        <w:t xml:space="preserve"> undertaken in </w:t>
      </w:r>
      <w:r>
        <w:rPr>
          <w:bCs/>
          <w:color w:val="000000"/>
        </w:rPr>
        <w:t>5</w:t>
      </w:r>
      <w:r w:rsidRPr="00BB479B">
        <w:rPr>
          <w:bCs/>
          <w:color w:val="000000"/>
        </w:rPr>
        <w:t xml:space="preserve"> minutes (0.083 hours</w:t>
      </w:r>
      <w:r w:rsidRPr="002B55CF">
        <w:rPr>
          <w:bCs/>
          <w:color w:val="000000"/>
        </w:rPr>
        <w:t>)</w:t>
      </w:r>
      <w:r w:rsidRPr="002B55CF">
        <w:t xml:space="preserve">.  </w:t>
      </w:r>
      <w:r w:rsidRPr="002B55CF">
        <w:rPr>
          <w:rFonts w:eastAsia="MS Mincho"/>
          <w:bCs/>
        </w:rPr>
        <w:t>This cost is applied to both the lessee and the lessor.</w:t>
      </w:r>
    </w:p>
    <w:p w14:paraId="5BFB3B34" w14:textId="77777777" w:rsidR="00FF5105" w:rsidRPr="002B55CF" w:rsidRDefault="00FF5105" w:rsidP="000077A0">
      <w:pPr>
        <w:pStyle w:val="BodyText"/>
        <w:widowControl/>
      </w:pPr>
    </w:p>
    <w:p w14:paraId="501B2470" w14:textId="77777777" w:rsidR="00FF5105" w:rsidRDefault="00FF5105" w:rsidP="000077A0">
      <w:pPr>
        <w:pStyle w:val="BodyText"/>
        <w:widowControl/>
        <w:rPr>
          <w:color w:val="000000"/>
        </w:rPr>
      </w:pPr>
      <w:r w:rsidRPr="002B55CF">
        <w:rPr>
          <w:color w:val="000000"/>
        </w:rPr>
        <w:t xml:space="preserve">Based on MCMIS data, FMCSA estimates </w:t>
      </w:r>
      <w:r w:rsidR="001257A0">
        <w:rPr>
          <w:color w:val="000000"/>
        </w:rPr>
        <w:t>that for 2017—the first year of the rule—there are about 18,000</w:t>
      </w:r>
      <w:r w:rsidRPr="002B55CF">
        <w:rPr>
          <w:color w:val="000000"/>
        </w:rPr>
        <w:t xml:space="preserve"> </w:t>
      </w:r>
      <w:r w:rsidR="001257A0">
        <w:rPr>
          <w:color w:val="000000"/>
        </w:rPr>
        <w:t>for-hire carriers that lease 339</w:t>
      </w:r>
      <w:r w:rsidRPr="002B55CF">
        <w:rPr>
          <w:color w:val="000000"/>
        </w:rPr>
        <w:t>,000 CMVs.  Therefore, motor carriers are</w:t>
      </w:r>
      <w:r w:rsidR="001257A0">
        <w:rPr>
          <w:color w:val="000000"/>
        </w:rPr>
        <w:t xml:space="preserve"> estimated to spend about 18,000 hours (18,000 carriers × 0.5 hours × 2 = 18,0</w:t>
      </w:r>
      <w:r w:rsidRPr="002B55CF">
        <w:rPr>
          <w:color w:val="000000"/>
        </w:rPr>
        <w:t xml:space="preserve">00 hours, rounded to nearest hundred) on average, every year to develop a master lease. </w:t>
      </w:r>
      <w:r w:rsidR="001257A0">
        <w:rPr>
          <w:color w:val="000000"/>
        </w:rPr>
        <w:t xml:space="preserve"> Approximately 56,500 hours (339</w:t>
      </w:r>
      <w:r w:rsidRPr="002B55CF">
        <w:rPr>
          <w:color w:val="000000"/>
        </w:rPr>
        <w:t>,000 power units</w:t>
      </w:r>
      <w:r w:rsidR="001257A0">
        <w:rPr>
          <w:color w:val="000000"/>
        </w:rPr>
        <w:t xml:space="preserve"> × 0.083 hours × 2 entities = 56,481</w:t>
      </w:r>
      <w:r w:rsidRPr="002B55CF">
        <w:rPr>
          <w:color w:val="000000"/>
        </w:rPr>
        <w:t xml:space="preserve"> hours, rounded to nearest hundred) will be spent annually on the creation of a copy of the standard leasing statement—this results in a total annual burd</w:t>
      </w:r>
      <w:r w:rsidR="001257A0">
        <w:rPr>
          <w:color w:val="000000"/>
        </w:rPr>
        <w:t>en of about 74,500 hours (18,000 hours + 56,500</w:t>
      </w:r>
      <w:r w:rsidRPr="002B55CF">
        <w:rPr>
          <w:color w:val="000000"/>
        </w:rPr>
        <w:t xml:space="preserve"> hours) for leasing and interchange of vehicles.</w:t>
      </w:r>
      <w:r>
        <w:rPr>
          <w:color w:val="000000"/>
        </w:rPr>
        <w:t xml:space="preserve">  </w:t>
      </w:r>
    </w:p>
    <w:p w14:paraId="3C51C1C4" w14:textId="77777777" w:rsidR="00FF5105" w:rsidRDefault="00FF5105" w:rsidP="000077A0">
      <w:pPr>
        <w:pStyle w:val="BodyText"/>
        <w:widowControl/>
        <w:rPr>
          <w:color w:val="000000"/>
        </w:rPr>
      </w:pPr>
    </w:p>
    <w:p w14:paraId="27835751" w14:textId="77777777" w:rsidR="00FF5105" w:rsidRPr="00515DE0" w:rsidRDefault="00FF5105" w:rsidP="000077A0">
      <w:pPr>
        <w:pStyle w:val="BodyText"/>
        <w:widowControl/>
      </w:pPr>
      <w:r>
        <w:rPr>
          <w:color w:val="000000"/>
        </w:rPr>
        <w:t>Table</w:t>
      </w:r>
      <w:r w:rsidRPr="00BB479B">
        <w:rPr>
          <w:color w:val="000000"/>
        </w:rPr>
        <w:t xml:space="preserve"> 1 presents the burden hours covered by IC</w:t>
      </w:r>
      <w:r>
        <w:rPr>
          <w:color w:val="000000"/>
        </w:rPr>
        <w:t>-1</w:t>
      </w:r>
      <w:r w:rsidRPr="00BB479B">
        <w:rPr>
          <w:color w:val="000000"/>
        </w:rPr>
        <w:t xml:space="preserve">. </w:t>
      </w:r>
    </w:p>
    <w:p w14:paraId="74B99377" w14:textId="77777777" w:rsidR="00FF5105" w:rsidRDefault="00FF5105" w:rsidP="000077A0">
      <w:pPr>
        <w:widowControl/>
        <w:rPr>
          <w:color w:val="000000"/>
          <w:sz w:val="24"/>
        </w:rPr>
      </w:pPr>
    </w:p>
    <w:p w14:paraId="0E5B42A8" w14:textId="77A3E7D5" w:rsidR="00FF5105" w:rsidRPr="000077A0" w:rsidRDefault="00FF5105" w:rsidP="000077A0">
      <w:pPr>
        <w:keepNext/>
        <w:widowControl/>
        <w:jc w:val="center"/>
        <w:rPr>
          <w:b/>
          <w:color w:val="000000"/>
          <w:sz w:val="24"/>
        </w:rPr>
      </w:pPr>
      <w:r w:rsidRPr="000077A0">
        <w:rPr>
          <w:b/>
          <w:color w:val="000000"/>
          <w:sz w:val="24"/>
        </w:rPr>
        <w:t>Table 1.  Annual Burden Hours</w:t>
      </w:r>
      <w:r w:rsidR="00A979AC" w:rsidRPr="000077A0">
        <w:rPr>
          <w:b/>
          <w:color w:val="000000"/>
          <w:sz w:val="24"/>
        </w:rPr>
        <w:t xml:space="preserve"> in 2017</w:t>
      </w:r>
    </w:p>
    <w:p w14:paraId="5E18D569" w14:textId="77777777" w:rsidR="00FF5105" w:rsidRDefault="00FF5105" w:rsidP="000077A0">
      <w:pPr>
        <w:keepNext/>
        <w:widowControl/>
        <w:jc w:val="center"/>
        <w:rPr>
          <w:b/>
          <w:color w:val="000000"/>
          <w:sz w:val="24"/>
        </w:rPr>
      </w:pPr>
    </w:p>
    <w:tbl>
      <w:tblPr>
        <w:tblW w:w="444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203"/>
        <w:gridCol w:w="1076"/>
        <w:gridCol w:w="999"/>
        <w:gridCol w:w="982"/>
        <w:gridCol w:w="1697"/>
        <w:gridCol w:w="1554"/>
      </w:tblGrid>
      <w:tr w:rsidR="00FF5105" w:rsidRPr="00EB0A86" w14:paraId="66E2009D" w14:textId="77777777" w:rsidTr="00AF5548">
        <w:trPr>
          <w:trHeight w:val="300"/>
          <w:jc w:val="center"/>
        </w:trPr>
        <w:tc>
          <w:tcPr>
            <w:tcW w:w="1294" w:type="pct"/>
            <w:shd w:val="clear" w:color="auto" w:fill="D9D9D9" w:themeFill="background1" w:themeFillShade="D9"/>
            <w:noWrap/>
            <w:vAlign w:val="center"/>
            <w:hideMark/>
          </w:tcPr>
          <w:p w14:paraId="79C007B0" w14:textId="77777777" w:rsidR="00FF5105" w:rsidRPr="00EB0A86" w:rsidRDefault="00FF5105" w:rsidP="000077A0">
            <w:pPr>
              <w:widowControl/>
              <w:autoSpaceDE/>
              <w:autoSpaceDN/>
              <w:adjustRightInd/>
              <w:jc w:val="center"/>
              <w:rPr>
                <w:color w:val="000000"/>
                <w:sz w:val="22"/>
                <w:szCs w:val="22"/>
              </w:rPr>
            </w:pPr>
          </w:p>
        </w:tc>
        <w:tc>
          <w:tcPr>
            <w:tcW w:w="632" w:type="pct"/>
            <w:shd w:val="clear" w:color="auto" w:fill="D9D9D9" w:themeFill="background1" w:themeFillShade="D9"/>
            <w:noWrap/>
            <w:vAlign w:val="center"/>
            <w:hideMark/>
          </w:tcPr>
          <w:p w14:paraId="56F3F661" w14:textId="77777777" w:rsidR="00FF5105" w:rsidRPr="00EB0A86" w:rsidRDefault="00FF5105" w:rsidP="000077A0">
            <w:pPr>
              <w:widowControl/>
              <w:autoSpaceDE/>
              <w:autoSpaceDN/>
              <w:adjustRightInd/>
              <w:jc w:val="center"/>
              <w:rPr>
                <w:b/>
                <w:bCs/>
                <w:color w:val="000000"/>
                <w:sz w:val="22"/>
                <w:szCs w:val="22"/>
              </w:rPr>
            </w:pPr>
            <w:r w:rsidRPr="00EB0A86">
              <w:rPr>
                <w:rFonts w:cs="Calibri"/>
                <w:b/>
                <w:bCs/>
                <w:color w:val="000000"/>
                <w:sz w:val="22"/>
                <w:szCs w:val="22"/>
              </w:rPr>
              <w:t>Carriers</w:t>
            </w:r>
          </w:p>
        </w:tc>
        <w:tc>
          <w:tcPr>
            <w:tcW w:w="587" w:type="pct"/>
            <w:shd w:val="clear" w:color="auto" w:fill="D9D9D9" w:themeFill="background1" w:themeFillShade="D9"/>
            <w:noWrap/>
            <w:vAlign w:val="center"/>
            <w:hideMark/>
          </w:tcPr>
          <w:p w14:paraId="683FC26D" w14:textId="77777777" w:rsidR="00FF5105" w:rsidRPr="00EB0A86" w:rsidRDefault="00FF5105" w:rsidP="000077A0">
            <w:pPr>
              <w:widowControl/>
              <w:autoSpaceDE/>
              <w:autoSpaceDN/>
              <w:adjustRightInd/>
              <w:jc w:val="center"/>
              <w:rPr>
                <w:b/>
                <w:bCs/>
                <w:color w:val="000000"/>
                <w:sz w:val="22"/>
                <w:szCs w:val="22"/>
              </w:rPr>
            </w:pPr>
            <w:r w:rsidRPr="00EB0A86">
              <w:rPr>
                <w:b/>
                <w:bCs/>
                <w:color w:val="000000"/>
                <w:sz w:val="22"/>
                <w:szCs w:val="22"/>
              </w:rPr>
              <w:t>Vehicles</w:t>
            </w:r>
          </w:p>
        </w:tc>
        <w:tc>
          <w:tcPr>
            <w:tcW w:w="577" w:type="pct"/>
            <w:shd w:val="clear" w:color="auto" w:fill="D9D9D9" w:themeFill="background1" w:themeFillShade="D9"/>
            <w:noWrap/>
            <w:vAlign w:val="center"/>
            <w:hideMark/>
          </w:tcPr>
          <w:p w14:paraId="7112AB9B" w14:textId="77777777" w:rsidR="00FF5105" w:rsidRPr="00EB0A86" w:rsidRDefault="00FF5105" w:rsidP="000077A0">
            <w:pPr>
              <w:widowControl/>
              <w:autoSpaceDE/>
              <w:autoSpaceDN/>
              <w:adjustRightInd/>
              <w:jc w:val="center"/>
              <w:rPr>
                <w:b/>
                <w:bCs/>
                <w:color w:val="000000"/>
                <w:sz w:val="22"/>
                <w:szCs w:val="22"/>
              </w:rPr>
            </w:pPr>
            <w:r w:rsidRPr="00EB0A86">
              <w:rPr>
                <w:rFonts w:cs="Calibri"/>
                <w:b/>
                <w:bCs/>
                <w:color w:val="000000"/>
                <w:sz w:val="22"/>
                <w:szCs w:val="22"/>
              </w:rPr>
              <w:t>Hours</w:t>
            </w:r>
          </w:p>
        </w:tc>
        <w:tc>
          <w:tcPr>
            <w:tcW w:w="997" w:type="pct"/>
            <w:shd w:val="clear" w:color="auto" w:fill="D9D9D9" w:themeFill="background1" w:themeFillShade="D9"/>
            <w:vAlign w:val="center"/>
          </w:tcPr>
          <w:p w14:paraId="744E5B9B" w14:textId="77777777" w:rsidR="00FF5105" w:rsidRPr="00EB0A86" w:rsidRDefault="00FF5105" w:rsidP="000077A0">
            <w:pPr>
              <w:widowControl/>
              <w:autoSpaceDE/>
              <w:autoSpaceDN/>
              <w:adjustRightInd/>
              <w:jc w:val="center"/>
              <w:rPr>
                <w:rFonts w:cs="Calibri"/>
                <w:b/>
                <w:bCs/>
                <w:color w:val="000000"/>
                <w:sz w:val="22"/>
                <w:szCs w:val="22"/>
              </w:rPr>
            </w:pPr>
            <w:r>
              <w:rPr>
                <w:rFonts w:cs="Calibri"/>
                <w:b/>
                <w:bCs/>
                <w:color w:val="000000"/>
                <w:sz w:val="22"/>
                <w:szCs w:val="22"/>
              </w:rPr>
              <w:t>Entities (Lessee and Lessor)</w:t>
            </w:r>
          </w:p>
        </w:tc>
        <w:tc>
          <w:tcPr>
            <w:tcW w:w="914" w:type="pct"/>
            <w:shd w:val="clear" w:color="auto" w:fill="D9D9D9" w:themeFill="background1" w:themeFillShade="D9"/>
            <w:noWrap/>
            <w:vAlign w:val="center"/>
            <w:hideMark/>
          </w:tcPr>
          <w:p w14:paraId="7D1D44B6" w14:textId="77777777" w:rsidR="00FF5105" w:rsidRPr="00EB0A86" w:rsidRDefault="00FF5105" w:rsidP="000077A0">
            <w:pPr>
              <w:widowControl/>
              <w:autoSpaceDE/>
              <w:autoSpaceDN/>
              <w:adjustRightInd/>
              <w:jc w:val="center"/>
              <w:rPr>
                <w:b/>
                <w:bCs/>
                <w:color w:val="000000"/>
                <w:sz w:val="22"/>
                <w:szCs w:val="22"/>
              </w:rPr>
            </w:pPr>
            <w:r w:rsidRPr="00EB0A86">
              <w:rPr>
                <w:rFonts w:cs="Calibri"/>
                <w:b/>
                <w:bCs/>
                <w:color w:val="000000"/>
                <w:sz w:val="22"/>
                <w:szCs w:val="22"/>
              </w:rPr>
              <w:t>Total Hours</w:t>
            </w:r>
          </w:p>
        </w:tc>
      </w:tr>
      <w:tr w:rsidR="00FF5105" w:rsidRPr="00EB0A86" w14:paraId="713ED207" w14:textId="77777777" w:rsidTr="00AF5548">
        <w:trPr>
          <w:trHeight w:val="300"/>
          <w:jc w:val="center"/>
        </w:trPr>
        <w:tc>
          <w:tcPr>
            <w:tcW w:w="1294" w:type="pct"/>
            <w:shd w:val="clear" w:color="auto" w:fill="FFFFFF" w:themeFill="background1"/>
            <w:noWrap/>
            <w:vAlign w:val="center"/>
            <w:hideMark/>
          </w:tcPr>
          <w:p w14:paraId="073E62AD" w14:textId="77777777" w:rsidR="00FF5105" w:rsidRPr="00EB0A86" w:rsidRDefault="00FF5105" w:rsidP="000077A0">
            <w:pPr>
              <w:widowControl/>
              <w:autoSpaceDE/>
              <w:autoSpaceDN/>
              <w:adjustRightInd/>
              <w:jc w:val="center"/>
              <w:rPr>
                <w:b/>
                <w:bCs/>
                <w:color w:val="000000"/>
                <w:sz w:val="22"/>
                <w:szCs w:val="22"/>
              </w:rPr>
            </w:pPr>
            <w:r w:rsidRPr="00EB0A86">
              <w:rPr>
                <w:rFonts w:cs="Calibri"/>
                <w:b/>
                <w:bCs/>
                <w:color w:val="000000"/>
                <w:sz w:val="22"/>
                <w:szCs w:val="22"/>
              </w:rPr>
              <w:t>Master Lease</w:t>
            </w:r>
          </w:p>
        </w:tc>
        <w:tc>
          <w:tcPr>
            <w:tcW w:w="632" w:type="pct"/>
            <w:shd w:val="clear" w:color="auto" w:fill="FFFFFF" w:themeFill="background1"/>
            <w:noWrap/>
            <w:vAlign w:val="center"/>
            <w:hideMark/>
          </w:tcPr>
          <w:p w14:paraId="7F5C3FF1" w14:textId="77777777" w:rsidR="00FF5105" w:rsidRPr="00EB0A86" w:rsidRDefault="001257A0" w:rsidP="000077A0">
            <w:pPr>
              <w:widowControl/>
              <w:autoSpaceDE/>
              <w:autoSpaceDN/>
              <w:adjustRightInd/>
              <w:jc w:val="center"/>
              <w:rPr>
                <w:color w:val="000000"/>
                <w:sz w:val="22"/>
                <w:szCs w:val="22"/>
              </w:rPr>
            </w:pPr>
            <w:r>
              <w:rPr>
                <w:rFonts w:cs="Calibri"/>
                <w:color w:val="000000"/>
                <w:sz w:val="22"/>
                <w:szCs w:val="22"/>
              </w:rPr>
              <w:t>18,0</w:t>
            </w:r>
            <w:r w:rsidR="00FF5105" w:rsidRPr="00EB0A86">
              <w:rPr>
                <w:rFonts w:cs="Calibri"/>
                <w:color w:val="000000"/>
                <w:sz w:val="22"/>
                <w:szCs w:val="22"/>
              </w:rPr>
              <w:t>00</w:t>
            </w:r>
          </w:p>
        </w:tc>
        <w:tc>
          <w:tcPr>
            <w:tcW w:w="587" w:type="pct"/>
            <w:shd w:val="clear" w:color="auto" w:fill="FFFFFF" w:themeFill="background1"/>
            <w:noWrap/>
            <w:vAlign w:val="center"/>
            <w:hideMark/>
          </w:tcPr>
          <w:p w14:paraId="110DEA21" w14:textId="77777777" w:rsidR="00FF5105" w:rsidRPr="00EB0A86" w:rsidRDefault="00FF5105" w:rsidP="000077A0">
            <w:pPr>
              <w:widowControl/>
              <w:autoSpaceDE/>
              <w:autoSpaceDN/>
              <w:adjustRightInd/>
              <w:jc w:val="center"/>
              <w:rPr>
                <w:color w:val="000000"/>
                <w:sz w:val="22"/>
                <w:szCs w:val="22"/>
              </w:rPr>
            </w:pPr>
          </w:p>
        </w:tc>
        <w:tc>
          <w:tcPr>
            <w:tcW w:w="577" w:type="pct"/>
            <w:shd w:val="clear" w:color="auto" w:fill="FFFFFF" w:themeFill="background1"/>
            <w:noWrap/>
            <w:vAlign w:val="center"/>
            <w:hideMark/>
          </w:tcPr>
          <w:p w14:paraId="5DDBA4EA" w14:textId="77777777" w:rsidR="00FF5105" w:rsidRPr="00EB0A86" w:rsidRDefault="00FF5105" w:rsidP="000077A0">
            <w:pPr>
              <w:widowControl/>
              <w:autoSpaceDE/>
              <w:autoSpaceDN/>
              <w:adjustRightInd/>
              <w:jc w:val="center"/>
              <w:rPr>
                <w:color w:val="000000"/>
                <w:sz w:val="22"/>
                <w:szCs w:val="22"/>
              </w:rPr>
            </w:pPr>
            <w:r w:rsidRPr="00EB0A86">
              <w:rPr>
                <w:rFonts w:cs="Calibri"/>
                <w:color w:val="000000"/>
                <w:sz w:val="22"/>
                <w:szCs w:val="22"/>
              </w:rPr>
              <w:t>0.</w:t>
            </w:r>
            <w:r>
              <w:rPr>
                <w:rFonts w:cs="Calibri"/>
                <w:color w:val="000000"/>
                <w:sz w:val="22"/>
                <w:szCs w:val="22"/>
              </w:rPr>
              <w:t>5</w:t>
            </w:r>
          </w:p>
        </w:tc>
        <w:tc>
          <w:tcPr>
            <w:tcW w:w="997" w:type="pct"/>
            <w:shd w:val="clear" w:color="auto" w:fill="FFFFFF" w:themeFill="background1"/>
            <w:vAlign w:val="center"/>
          </w:tcPr>
          <w:p w14:paraId="4E52964D" w14:textId="77777777" w:rsidR="00FF5105" w:rsidRDefault="00FF5105" w:rsidP="000077A0">
            <w:pPr>
              <w:widowControl/>
              <w:autoSpaceDE/>
              <w:autoSpaceDN/>
              <w:adjustRightInd/>
              <w:jc w:val="center"/>
              <w:rPr>
                <w:rFonts w:cs="Calibri"/>
                <w:color w:val="000000"/>
                <w:sz w:val="22"/>
                <w:szCs w:val="22"/>
              </w:rPr>
            </w:pPr>
            <w:r>
              <w:rPr>
                <w:rFonts w:cs="Calibri"/>
                <w:color w:val="000000"/>
                <w:sz w:val="22"/>
                <w:szCs w:val="22"/>
              </w:rPr>
              <w:t>2</w:t>
            </w:r>
          </w:p>
        </w:tc>
        <w:tc>
          <w:tcPr>
            <w:tcW w:w="914" w:type="pct"/>
            <w:shd w:val="clear" w:color="auto" w:fill="FFFFFF" w:themeFill="background1"/>
            <w:noWrap/>
            <w:vAlign w:val="center"/>
            <w:hideMark/>
          </w:tcPr>
          <w:p w14:paraId="515CD406" w14:textId="77777777" w:rsidR="00FF5105" w:rsidRPr="00EB0A86" w:rsidRDefault="001257A0" w:rsidP="000077A0">
            <w:pPr>
              <w:widowControl/>
              <w:autoSpaceDE/>
              <w:autoSpaceDN/>
              <w:adjustRightInd/>
              <w:jc w:val="center"/>
              <w:rPr>
                <w:color w:val="000000"/>
                <w:sz w:val="22"/>
                <w:szCs w:val="22"/>
              </w:rPr>
            </w:pPr>
            <w:r>
              <w:rPr>
                <w:rFonts w:cs="Calibri"/>
                <w:color w:val="000000"/>
                <w:sz w:val="22"/>
                <w:szCs w:val="22"/>
              </w:rPr>
              <w:t>18,0</w:t>
            </w:r>
            <w:r w:rsidR="00FF5105">
              <w:rPr>
                <w:rFonts w:cs="Calibri"/>
                <w:color w:val="000000"/>
                <w:sz w:val="22"/>
                <w:szCs w:val="22"/>
              </w:rPr>
              <w:t>00</w:t>
            </w:r>
          </w:p>
        </w:tc>
      </w:tr>
      <w:tr w:rsidR="00FF5105" w:rsidRPr="00EB0A86" w14:paraId="6EED6057" w14:textId="77777777" w:rsidTr="00AF5548">
        <w:trPr>
          <w:trHeight w:val="300"/>
          <w:jc w:val="center"/>
        </w:trPr>
        <w:tc>
          <w:tcPr>
            <w:tcW w:w="1294" w:type="pct"/>
            <w:shd w:val="clear" w:color="auto" w:fill="FFFFFF" w:themeFill="background1"/>
            <w:noWrap/>
            <w:vAlign w:val="center"/>
            <w:hideMark/>
          </w:tcPr>
          <w:p w14:paraId="120C4D4F" w14:textId="77777777" w:rsidR="00FF5105" w:rsidRPr="00EB0A86" w:rsidRDefault="00FF5105" w:rsidP="000077A0">
            <w:pPr>
              <w:widowControl/>
              <w:autoSpaceDE/>
              <w:autoSpaceDN/>
              <w:adjustRightInd/>
              <w:jc w:val="center"/>
              <w:rPr>
                <w:b/>
                <w:bCs/>
                <w:color w:val="000000"/>
                <w:sz w:val="22"/>
                <w:szCs w:val="22"/>
              </w:rPr>
            </w:pPr>
            <w:r w:rsidRPr="00EB0A86">
              <w:rPr>
                <w:rFonts w:cs="Calibri"/>
                <w:b/>
                <w:bCs/>
                <w:color w:val="000000"/>
                <w:sz w:val="22"/>
                <w:szCs w:val="22"/>
              </w:rPr>
              <w:t>Standard Statement</w:t>
            </w:r>
          </w:p>
        </w:tc>
        <w:tc>
          <w:tcPr>
            <w:tcW w:w="632" w:type="pct"/>
            <w:shd w:val="clear" w:color="auto" w:fill="FFFFFF" w:themeFill="background1"/>
            <w:noWrap/>
            <w:vAlign w:val="center"/>
            <w:hideMark/>
          </w:tcPr>
          <w:p w14:paraId="7CFE7F6D" w14:textId="77777777" w:rsidR="00FF5105" w:rsidRPr="00EB0A86" w:rsidRDefault="00FF5105" w:rsidP="000077A0">
            <w:pPr>
              <w:widowControl/>
              <w:autoSpaceDE/>
              <w:autoSpaceDN/>
              <w:adjustRightInd/>
              <w:jc w:val="center"/>
              <w:rPr>
                <w:color w:val="000000"/>
                <w:sz w:val="22"/>
                <w:szCs w:val="22"/>
              </w:rPr>
            </w:pPr>
          </w:p>
        </w:tc>
        <w:tc>
          <w:tcPr>
            <w:tcW w:w="587" w:type="pct"/>
            <w:shd w:val="clear" w:color="auto" w:fill="FFFFFF" w:themeFill="background1"/>
            <w:noWrap/>
            <w:vAlign w:val="center"/>
            <w:hideMark/>
          </w:tcPr>
          <w:p w14:paraId="4A6B6D7C" w14:textId="77777777" w:rsidR="00FF5105" w:rsidRPr="00EB0A86" w:rsidRDefault="001257A0" w:rsidP="000077A0">
            <w:pPr>
              <w:widowControl/>
              <w:autoSpaceDE/>
              <w:autoSpaceDN/>
              <w:adjustRightInd/>
              <w:jc w:val="center"/>
              <w:rPr>
                <w:color w:val="000000"/>
                <w:sz w:val="22"/>
                <w:szCs w:val="22"/>
              </w:rPr>
            </w:pPr>
            <w:r>
              <w:rPr>
                <w:color w:val="000000"/>
                <w:sz w:val="22"/>
                <w:szCs w:val="22"/>
              </w:rPr>
              <w:t>339</w:t>
            </w:r>
            <w:r w:rsidR="00FF5105" w:rsidRPr="00EB0A86">
              <w:rPr>
                <w:color w:val="000000"/>
                <w:sz w:val="22"/>
                <w:szCs w:val="22"/>
              </w:rPr>
              <w:t>,000</w:t>
            </w:r>
          </w:p>
        </w:tc>
        <w:tc>
          <w:tcPr>
            <w:tcW w:w="577" w:type="pct"/>
            <w:shd w:val="clear" w:color="auto" w:fill="FFFFFF" w:themeFill="background1"/>
            <w:noWrap/>
            <w:vAlign w:val="center"/>
            <w:hideMark/>
          </w:tcPr>
          <w:p w14:paraId="165415AD" w14:textId="77777777" w:rsidR="00FF5105" w:rsidRPr="00EB0A86" w:rsidRDefault="00FF5105" w:rsidP="000077A0">
            <w:pPr>
              <w:widowControl/>
              <w:autoSpaceDE/>
              <w:autoSpaceDN/>
              <w:adjustRightInd/>
              <w:jc w:val="center"/>
              <w:rPr>
                <w:color w:val="000000"/>
                <w:sz w:val="22"/>
                <w:szCs w:val="22"/>
              </w:rPr>
            </w:pPr>
            <w:r w:rsidRPr="00EB0A86">
              <w:rPr>
                <w:rFonts w:cs="Calibri"/>
                <w:color w:val="000000"/>
                <w:sz w:val="22"/>
                <w:szCs w:val="22"/>
              </w:rPr>
              <w:t>0.083</w:t>
            </w:r>
          </w:p>
        </w:tc>
        <w:tc>
          <w:tcPr>
            <w:tcW w:w="997" w:type="pct"/>
            <w:shd w:val="clear" w:color="auto" w:fill="FFFFFF" w:themeFill="background1"/>
            <w:vAlign w:val="center"/>
          </w:tcPr>
          <w:p w14:paraId="32D04958" w14:textId="77777777" w:rsidR="00FF5105" w:rsidRPr="00EB0A86" w:rsidRDefault="00FF5105" w:rsidP="000077A0">
            <w:pPr>
              <w:widowControl/>
              <w:autoSpaceDE/>
              <w:autoSpaceDN/>
              <w:adjustRightInd/>
              <w:jc w:val="center"/>
              <w:rPr>
                <w:rFonts w:cs="Calibri"/>
                <w:color w:val="000000"/>
                <w:sz w:val="22"/>
                <w:szCs w:val="22"/>
              </w:rPr>
            </w:pPr>
            <w:r>
              <w:rPr>
                <w:rFonts w:cs="Calibri"/>
                <w:color w:val="000000"/>
                <w:sz w:val="22"/>
                <w:szCs w:val="22"/>
              </w:rPr>
              <w:t>2</w:t>
            </w:r>
          </w:p>
        </w:tc>
        <w:tc>
          <w:tcPr>
            <w:tcW w:w="914" w:type="pct"/>
            <w:shd w:val="clear" w:color="auto" w:fill="FFFFFF" w:themeFill="background1"/>
            <w:noWrap/>
            <w:vAlign w:val="center"/>
            <w:hideMark/>
          </w:tcPr>
          <w:p w14:paraId="7B9A70FC" w14:textId="77777777" w:rsidR="00FF5105" w:rsidRPr="00EB0A86" w:rsidRDefault="001257A0" w:rsidP="000077A0">
            <w:pPr>
              <w:widowControl/>
              <w:autoSpaceDE/>
              <w:autoSpaceDN/>
              <w:adjustRightInd/>
              <w:jc w:val="center"/>
              <w:rPr>
                <w:color w:val="000000"/>
                <w:sz w:val="22"/>
                <w:szCs w:val="22"/>
              </w:rPr>
            </w:pPr>
            <w:r>
              <w:rPr>
                <w:rFonts w:cs="Calibri"/>
                <w:color w:val="000000"/>
                <w:sz w:val="22"/>
                <w:szCs w:val="22"/>
              </w:rPr>
              <w:t>56,5</w:t>
            </w:r>
            <w:r w:rsidR="00FF5105">
              <w:rPr>
                <w:rFonts w:cs="Calibri"/>
                <w:color w:val="000000"/>
                <w:sz w:val="22"/>
                <w:szCs w:val="22"/>
              </w:rPr>
              <w:t>00</w:t>
            </w:r>
          </w:p>
        </w:tc>
      </w:tr>
      <w:tr w:rsidR="00FF5105" w:rsidRPr="00EB0A86" w14:paraId="31AD3BFB" w14:textId="77777777" w:rsidTr="00AF5548">
        <w:trPr>
          <w:trHeight w:val="300"/>
          <w:jc w:val="center"/>
        </w:trPr>
        <w:tc>
          <w:tcPr>
            <w:tcW w:w="1294" w:type="pct"/>
            <w:shd w:val="clear" w:color="auto" w:fill="FFFFFF" w:themeFill="background1"/>
            <w:noWrap/>
            <w:vAlign w:val="center"/>
            <w:hideMark/>
          </w:tcPr>
          <w:p w14:paraId="2395DFEB" w14:textId="77777777" w:rsidR="00FF5105" w:rsidRPr="00EB0A86" w:rsidRDefault="00FF5105" w:rsidP="000077A0">
            <w:pPr>
              <w:widowControl/>
              <w:autoSpaceDE/>
              <w:autoSpaceDN/>
              <w:adjustRightInd/>
              <w:jc w:val="center"/>
              <w:rPr>
                <w:b/>
                <w:bCs/>
                <w:color w:val="000000"/>
                <w:sz w:val="22"/>
                <w:szCs w:val="22"/>
              </w:rPr>
            </w:pPr>
            <w:r w:rsidRPr="00EB0A86">
              <w:rPr>
                <w:rFonts w:cs="Calibri"/>
                <w:b/>
                <w:bCs/>
                <w:color w:val="000000"/>
                <w:sz w:val="22"/>
                <w:szCs w:val="22"/>
              </w:rPr>
              <w:t>Total</w:t>
            </w:r>
          </w:p>
        </w:tc>
        <w:tc>
          <w:tcPr>
            <w:tcW w:w="632" w:type="pct"/>
            <w:shd w:val="clear" w:color="auto" w:fill="FFFFFF" w:themeFill="background1"/>
            <w:noWrap/>
            <w:vAlign w:val="center"/>
            <w:hideMark/>
          </w:tcPr>
          <w:p w14:paraId="47BC0D04" w14:textId="77777777" w:rsidR="00FF5105" w:rsidRPr="00EB0A86" w:rsidRDefault="00FF5105" w:rsidP="000077A0">
            <w:pPr>
              <w:widowControl/>
              <w:autoSpaceDE/>
              <w:autoSpaceDN/>
              <w:adjustRightInd/>
              <w:jc w:val="center"/>
              <w:rPr>
                <w:b/>
                <w:bCs/>
                <w:color w:val="000000"/>
                <w:sz w:val="22"/>
                <w:szCs w:val="22"/>
              </w:rPr>
            </w:pPr>
          </w:p>
        </w:tc>
        <w:tc>
          <w:tcPr>
            <w:tcW w:w="587" w:type="pct"/>
            <w:shd w:val="clear" w:color="auto" w:fill="FFFFFF" w:themeFill="background1"/>
            <w:noWrap/>
            <w:vAlign w:val="center"/>
            <w:hideMark/>
          </w:tcPr>
          <w:p w14:paraId="144C39B5" w14:textId="77777777" w:rsidR="00FF5105" w:rsidRPr="00EB0A86" w:rsidRDefault="00FF5105" w:rsidP="000077A0">
            <w:pPr>
              <w:widowControl/>
              <w:autoSpaceDE/>
              <w:autoSpaceDN/>
              <w:adjustRightInd/>
              <w:jc w:val="center"/>
              <w:rPr>
                <w:b/>
                <w:bCs/>
                <w:color w:val="000000"/>
                <w:sz w:val="22"/>
                <w:szCs w:val="22"/>
              </w:rPr>
            </w:pPr>
          </w:p>
        </w:tc>
        <w:tc>
          <w:tcPr>
            <w:tcW w:w="577" w:type="pct"/>
            <w:shd w:val="clear" w:color="auto" w:fill="FFFFFF" w:themeFill="background1"/>
            <w:noWrap/>
            <w:vAlign w:val="center"/>
            <w:hideMark/>
          </w:tcPr>
          <w:p w14:paraId="4B4E93C5" w14:textId="77777777" w:rsidR="00FF5105" w:rsidRPr="00EB0A86" w:rsidRDefault="00FF5105" w:rsidP="000077A0">
            <w:pPr>
              <w:widowControl/>
              <w:autoSpaceDE/>
              <w:autoSpaceDN/>
              <w:adjustRightInd/>
              <w:jc w:val="center"/>
              <w:rPr>
                <w:b/>
                <w:bCs/>
                <w:color w:val="000000"/>
                <w:sz w:val="22"/>
                <w:szCs w:val="22"/>
              </w:rPr>
            </w:pPr>
          </w:p>
        </w:tc>
        <w:tc>
          <w:tcPr>
            <w:tcW w:w="997" w:type="pct"/>
            <w:shd w:val="clear" w:color="auto" w:fill="FFFFFF" w:themeFill="background1"/>
            <w:vAlign w:val="center"/>
          </w:tcPr>
          <w:p w14:paraId="2087BD31" w14:textId="77777777" w:rsidR="00FF5105" w:rsidRDefault="00FF5105" w:rsidP="000077A0">
            <w:pPr>
              <w:widowControl/>
              <w:autoSpaceDE/>
              <w:autoSpaceDN/>
              <w:adjustRightInd/>
              <w:jc w:val="center"/>
              <w:rPr>
                <w:b/>
                <w:bCs/>
                <w:color w:val="000000"/>
                <w:sz w:val="22"/>
                <w:szCs w:val="22"/>
              </w:rPr>
            </w:pPr>
          </w:p>
        </w:tc>
        <w:tc>
          <w:tcPr>
            <w:tcW w:w="914" w:type="pct"/>
            <w:shd w:val="clear" w:color="auto" w:fill="FFFFFF" w:themeFill="background1"/>
            <w:noWrap/>
            <w:vAlign w:val="center"/>
            <w:hideMark/>
          </w:tcPr>
          <w:p w14:paraId="1271C55D" w14:textId="77777777" w:rsidR="00FF5105" w:rsidRPr="00EB0A86" w:rsidRDefault="001257A0" w:rsidP="000077A0">
            <w:pPr>
              <w:widowControl/>
              <w:autoSpaceDE/>
              <w:autoSpaceDN/>
              <w:adjustRightInd/>
              <w:jc w:val="center"/>
              <w:rPr>
                <w:b/>
                <w:bCs/>
                <w:color w:val="000000"/>
                <w:sz w:val="22"/>
                <w:szCs w:val="22"/>
              </w:rPr>
            </w:pPr>
            <w:r>
              <w:rPr>
                <w:b/>
                <w:bCs/>
                <w:color w:val="000000"/>
                <w:sz w:val="22"/>
                <w:szCs w:val="22"/>
              </w:rPr>
              <w:t>74,5</w:t>
            </w:r>
            <w:r w:rsidR="00FF5105">
              <w:rPr>
                <w:b/>
                <w:bCs/>
                <w:color w:val="000000"/>
                <w:sz w:val="22"/>
                <w:szCs w:val="22"/>
              </w:rPr>
              <w:t>00</w:t>
            </w:r>
          </w:p>
        </w:tc>
      </w:tr>
    </w:tbl>
    <w:p w14:paraId="5DE2D2B1" w14:textId="77777777" w:rsidR="00FF5105" w:rsidRDefault="00FF5105" w:rsidP="000077A0">
      <w:pPr>
        <w:widowControl/>
        <w:rPr>
          <w:color w:val="000000"/>
          <w:sz w:val="24"/>
        </w:rPr>
      </w:pPr>
      <w:r>
        <w:rPr>
          <w:color w:val="000000"/>
          <w:sz w:val="24"/>
        </w:rPr>
        <w:t xml:space="preserve"> </w:t>
      </w:r>
    </w:p>
    <w:p w14:paraId="61B9A737" w14:textId="77777777" w:rsidR="00FF5105" w:rsidRPr="006B0E00" w:rsidRDefault="00FF5105" w:rsidP="000077A0">
      <w:pPr>
        <w:widowControl/>
        <w:rPr>
          <w:bCs/>
          <w:sz w:val="24"/>
        </w:rPr>
      </w:pPr>
      <w:r w:rsidRPr="00B7031C">
        <w:rPr>
          <w:color w:val="000000"/>
          <w:sz w:val="24"/>
        </w:rPr>
        <w:t xml:space="preserve">Section 376.12 enumerates specific and detailed requirements regarding the provisions of contracts between carriers and owner-operators. </w:t>
      </w:r>
      <w:r>
        <w:rPr>
          <w:color w:val="000000"/>
          <w:sz w:val="24"/>
        </w:rPr>
        <w:t xml:space="preserve"> </w:t>
      </w:r>
      <w:r w:rsidRPr="006B0E00">
        <w:rPr>
          <w:bCs/>
          <w:sz w:val="24"/>
        </w:rPr>
        <w:t>When taken as a whole, the main thrust of §</w:t>
      </w:r>
      <w:r>
        <w:rPr>
          <w:bCs/>
          <w:sz w:val="24"/>
        </w:rPr>
        <w:t> </w:t>
      </w:r>
      <w:r w:rsidRPr="006B0E00">
        <w:rPr>
          <w:bCs/>
          <w:sz w:val="24"/>
        </w:rPr>
        <w:t xml:space="preserve">376.12 is </w:t>
      </w:r>
      <w:r>
        <w:rPr>
          <w:bCs/>
          <w:sz w:val="24"/>
        </w:rPr>
        <w:t>to achieve</w:t>
      </w:r>
      <w:r w:rsidRPr="006B0E00">
        <w:rPr>
          <w:bCs/>
          <w:sz w:val="24"/>
        </w:rPr>
        <w:t xml:space="preserve"> specificity and transparency in lease contracts and transactions governed by those contracts. </w:t>
      </w:r>
      <w:r>
        <w:rPr>
          <w:bCs/>
          <w:sz w:val="24"/>
        </w:rPr>
        <w:t xml:space="preserve"> </w:t>
      </w:r>
      <w:r w:rsidRPr="006B0E00">
        <w:rPr>
          <w:bCs/>
          <w:sz w:val="24"/>
        </w:rPr>
        <w:t xml:space="preserve">These rules require that all relevant terms of the arrangement be made clear to lessors and that lessors </w:t>
      </w:r>
      <w:r>
        <w:rPr>
          <w:bCs/>
          <w:sz w:val="24"/>
        </w:rPr>
        <w:t xml:space="preserve">be </w:t>
      </w:r>
      <w:r w:rsidRPr="006B0E00">
        <w:rPr>
          <w:bCs/>
          <w:sz w:val="24"/>
        </w:rPr>
        <w:t xml:space="preserve">given sufficient information so that they can </w:t>
      </w:r>
      <w:r>
        <w:rPr>
          <w:bCs/>
          <w:sz w:val="24"/>
        </w:rPr>
        <w:t>determine</w:t>
      </w:r>
      <w:r w:rsidRPr="006B0E00">
        <w:rPr>
          <w:bCs/>
          <w:sz w:val="24"/>
        </w:rPr>
        <w:t xml:space="preserve"> whether </w:t>
      </w:r>
      <w:r>
        <w:rPr>
          <w:bCs/>
          <w:sz w:val="24"/>
        </w:rPr>
        <w:t xml:space="preserve">or not </w:t>
      </w:r>
      <w:r w:rsidRPr="006B0E00">
        <w:rPr>
          <w:bCs/>
          <w:sz w:val="24"/>
        </w:rPr>
        <w:t xml:space="preserve">carriers are complying with contracts. </w:t>
      </w:r>
      <w:r>
        <w:rPr>
          <w:bCs/>
          <w:sz w:val="24"/>
        </w:rPr>
        <w:t xml:space="preserve"> </w:t>
      </w:r>
      <w:r w:rsidRPr="006B0E00">
        <w:rPr>
          <w:bCs/>
          <w:sz w:val="24"/>
        </w:rPr>
        <w:t>The information burden associated with this section is that le</w:t>
      </w:r>
      <w:r>
        <w:rPr>
          <w:bCs/>
          <w:sz w:val="24"/>
        </w:rPr>
        <w:t>a</w:t>
      </w:r>
      <w:r w:rsidRPr="006B0E00">
        <w:rPr>
          <w:bCs/>
          <w:sz w:val="24"/>
        </w:rPr>
        <w:t>s</w:t>
      </w:r>
      <w:r>
        <w:rPr>
          <w:bCs/>
          <w:sz w:val="24"/>
        </w:rPr>
        <w:t>e</w:t>
      </w:r>
      <w:r w:rsidRPr="006B0E00">
        <w:rPr>
          <w:bCs/>
          <w:sz w:val="24"/>
        </w:rPr>
        <w:t>s must</w:t>
      </w:r>
      <w:r>
        <w:rPr>
          <w:bCs/>
          <w:sz w:val="24"/>
        </w:rPr>
        <w:t xml:space="preserve"> specify that an authorized carrier must</w:t>
      </w:r>
      <w:r w:rsidRPr="006B0E00">
        <w:rPr>
          <w:bCs/>
          <w:sz w:val="24"/>
        </w:rPr>
        <w:t xml:space="preserve"> provide </w:t>
      </w:r>
      <w:r>
        <w:rPr>
          <w:bCs/>
          <w:sz w:val="24"/>
        </w:rPr>
        <w:t>the</w:t>
      </w:r>
      <w:r w:rsidRPr="006B0E00">
        <w:rPr>
          <w:bCs/>
          <w:sz w:val="24"/>
        </w:rPr>
        <w:t xml:space="preserve"> less</w:t>
      </w:r>
      <w:r>
        <w:rPr>
          <w:bCs/>
          <w:sz w:val="24"/>
        </w:rPr>
        <w:t>or</w:t>
      </w:r>
      <w:r w:rsidRPr="006B0E00">
        <w:rPr>
          <w:bCs/>
          <w:sz w:val="24"/>
        </w:rPr>
        <w:t xml:space="preserve"> a copy of the freight bill </w:t>
      </w:r>
      <w:r>
        <w:rPr>
          <w:bCs/>
          <w:sz w:val="24"/>
        </w:rPr>
        <w:t>up</w:t>
      </w:r>
      <w:r w:rsidRPr="006B0E00">
        <w:rPr>
          <w:bCs/>
          <w:sz w:val="24"/>
        </w:rPr>
        <w:t>on request</w:t>
      </w:r>
      <w:r>
        <w:rPr>
          <w:bCs/>
          <w:sz w:val="24"/>
        </w:rPr>
        <w:t xml:space="preserve"> </w:t>
      </w:r>
      <w:r w:rsidRPr="00A63AC1">
        <w:rPr>
          <w:bCs/>
          <w:sz w:val="24"/>
        </w:rPr>
        <w:t>in circumstances where a lessor’s revenue is based on a percentage of gross revenue for a shipment</w:t>
      </w:r>
      <w:r>
        <w:rPr>
          <w:bCs/>
          <w:sz w:val="24"/>
        </w:rPr>
        <w:t xml:space="preserve"> (49 CFR 376.12(g))</w:t>
      </w:r>
      <w:r w:rsidRPr="006B0E00">
        <w:rPr>
          <w:bCs/>
          <w:sz w:val="24"/>
        </w:rPr>
        <w:t>.</w:t>
      </w:r>
      <w:r>
        <w:rPr>
          <w:bCs/>
          <w:sz w:val="24"/>
        </w:rPr>
        <w:t xml:space="preserve">  FMCSA has no basis for estimating how often such requests occur.  Many long-haul drivers are paid by distance traveled and not by value of a shipment.  For lessors paid a percentage of shipping charge, it is likely that the lessee would routinely provide documentation on the charges.  FMCSA, therefore, has not estimated a burden for this requirement. </w:t>
      </w:r>
    </w:p>
    <w:p w14:paraId="2A50DDCC" w14:textId="77777777" w:rsidR="00FF5105" w:rsidRDefault="00FF5105" w:rsidP="000077A0">
      <w:pPr>
        <w:pStyle w:val="BodyText"/>
        <w:widowControl/>
        <w:rPr>
          <w:bCs/>
        </w:rPr>
      </w:pPr>
    </w:p>
    <w:p w14:paraId="7B599566" w14:textId="77777777" w:rsidR="00FF5105" w:rsidRDefault="00FF5105" w:rsidP="000077A0">
      <w:pPr>
        <w:pStyle w:val="BodyText"/>
        <w:widowControl/>
      </w:pPr>
      <w:r>
        <w:t xml:space="preserve">Section 376.22 requires that a for-hire carrier with operating authority or a private carrier leasing equipment to a for-hire carrier with operating authority have a written agreement between the parties that specifies which carrier is in control of the vehicle.  A copy is carried on the equipment.  The burden associated with this section is the creation of a copy to be carried in the </w:t>
      </w:r>
      <w:r>
        <w:lastRenderedPageBreak/>
        <w:t xml:space="preserve">vehicle.  FMCSA has not estimated a burden for these copies because it is </w:t>
      </w:r>
      <w:r w:rsidRPr="002B55CF">
        <w:t>assumed to be</w:t>
      </w:r>
      <w:r>
        <w:t xml:space="preserve"> included in the burden associated with the lease agreement, as that covers all term-leased CMVs estimated to be operating outside of commercial zones.</w:t>
      </w:r>
    </w:p>
    <w:p w14:paraId="36C57665" w14:textId="77777777" w:rsidR="00FF5105" w:rsidRDefault="00FF5105" w:rsidP="000077A0">
      <w:pPr>
        <w:pStyle w:val="BodyText"/>
        <w:widowControl/>
      </w:pPr>
    </w:p>
    <w:p w14:paraId="505BE2C6" w14:textId="15BADC13" w:rsidR="00FF5105" w:rsidRPr="002B55CF" w:rsidRDefault="00FF5105" w:rsidP="000077A0">
      <w:pPr>
        <w:widowControl/>
        <w:rPr>
          <w:sz w:val="24"/>
        </w:rPr>
      </w:pPr>
      <w:r w:rsidRPr="002B55CF">
        <w:rPr>
          <w:b/>
          <w:sz w:val="24"/>
        </w:rPr>
        <w:t>Estimated Average Total Annual Burden Hours</w:t>
      </w:r>
      <w:r>
        <w:rPr>
          <w:b/>
          <w:sz w:val="24"/>
        </w:rPr>
        <w:t xml:space="preserve"> for IC-1</w:t>
      </w:r>
      <w:r w:rsidR="000C3F7E">
        <w:rPr>
          <w:b/>
          <w:sz w:val="24"/>
        </w:rPr>
        <w:t xml:space="preserve"> (in 2017)</w:t>
      </w:r>
      <w:r w:rsidR="001257A0">
        <w:rPr>
          <w:b/>
          <w:sz w:val="24"/>
        </w:rPr>
        <w:t>:  74,5</w:t>
      </w:r>
      <w:r w:rsidRPr="002B55CF">
        <w:rPr>
          <w:b/>
          <w:sz w:val="24"/>
        </w:rPr>
        <w:t>00</w:t>
      </w:r>
      <w:r w:rsidR="001257A0">
        <w:rPr>
          <w:sz w:val="24"/>
        </w:rPr>
        <w:t xml:space="preserve"> (18,0</w:t>
      </w:r>
      <w:r w:rsidRPr="002B55CF">
        <w:rPr>
          <w:sz w:val="24"/>
        </w:rPr>
        <w:t>00 carrier</w:t>
      </w:r>
      <w:r w:rsidR="007D08C0">
        <w:rPr>
          <w:sz w:val="24"/>
        </w:rPr>
        <w:t>s × 0.5 </w:t>
      </w:r>
      <w:r w:rsidR="001257A0">
        <w:rPr>
          <w:sz w:val="24"/>
        </w:rPr>
        <w:t>hours × 2 entities + 339</w:t>
      </w:r>
      <w:r w:rsidRPr="002B55CF">
        <w:rPr>
          <w:sz w:val="24"/>
        </w:rPr>
        <w:t>,000 vehicles × 0</w:t>
      </w:r>
      <w:r w:rsidR="001257A0">
        <w:rPr>
          <w:sz w:val="24"/>
        </w:rPr>
        <w:t>.083 hours × 2 entities = 74,460</w:t>
      </w:r>
      <w:r w:rsidRPr="002B55CF">
        <w:rPr>
          <w:sz w:val="24"/>
        </w:rPr>
        <w:t xml:space="preserve"> hours, rounded to nearest hundred)</w:t>
      </w:r>
      <w:r>
        <w:rPr>
          <w:sz w:val="24"/>
        </w:rPr>
        <w:t>.</w:t>
      </w:r>
    </w:p>
    <w:p w14:paraId="701796DA" w14:textId="77777777" w:rsidR="00FF5105" w:rsidRPr="002B55CF" w:rsidRDefault="00FF5105" w:rsidP="000077A0">
      <w:pPr>
        <w:widowControl/>
        <w:rPr>
          <w:b/>
          <w:sz w:val="24"/>
        </w:rPr>
      </w:pPr>
    </w:p>
    <w:p w14:paraId="540309A1" w14:textId="3C9982A5" w:rsidR="00FF5105" w:rsidRPr="002B55CF" w:rsidRDefault="00FF5105" w:rsidP="000077A0">
      <w:pPr>
        <w:widowControl/>
        <w:rPr>
          <w:b/>
          <w:sz w:val="24"/>
        </w:rPr>
      </w:pPr>
      <w:r w:rsidRPr="002B55CF">
        <w:rPr>
          <w:b/>
          <w:sz w:val="24"/>
        </w:rPr>
        <w:t>Estimated Ann</w:t>
      </w:r>
      <w:r w:rsidR="001257A0">
        <w:rPr>
          <w:b/>
          <w:sz w:val="24"/>
        </w:rPr>
        <w:t>ual Number of Respondents</w:t>
      </w:r>
      <w:r w:rsidR="000C3F7E">
        <w:rPr>
          <w:b/>
          <w:sz w:val="24"/>
        </w:rPr>
        <w:t xml:space="preserve"> (in 2017)</w:t>
      </w:r>
      <w:r w:rsidR="001257A0">
        <w:rPr>
          <w:b/>
          <w:sz w:val="24"/>
        </w:rPr>
        <w:t>:  36,0</w:t>
      </w:r>
      <w:r w:rsidRPr="002B55CF">
        <w:rPr>
          <w:b/>
          <w:sz w:val="24"/>
        </w:rPr>
        <w:t>00 (</w:t>
      </w:r>
      <w:r w:rsidR="001257A0">
        <w:rPr>
          <w:sz w:val="24"/>
        </w:rPr>
        <w:t>18,0</w:t>
      </w:r>
      <w:r w:rsidRPr="002B55CF">
        <w:rPr>
          <w:sz w:val="24"/>
        </w:rPr>
        <w:t xml:space="preserve">00 </w:t>
      </w:r>
      <w:r w:rsidR="001257A0">
        <w:rPr>
          <w:sz w:val="24"/>
        </w:rPr>
        <w:t>lessees + 18,0</w:t>
      </w:r>
      <w:r w:rsidRPr="002B55CF">
        <w:rPr>
          <w:sz w:val="24"/>
        </w:rPr>
        <w:t>00 lessors)</w:t>
      </w:r>
      <w:r>
        <w:rPr>
          <w:sz w:val="24"/>
        </w:rPr>
        <w:t>.</w:t>
      </w:r>
    </w:p>
    <w:p w14:paraId="139536A3" w14:textId="77777777" w:rsidR="00FF5105" w:rsidRPr="002B55CF" w:rsidRDefault="00FF5105" w:rsidP="000077A0">
      <w:pPr>
        <w:widowControl/>
        <w:rPr>
          <w:b/>
          <w:sz w:val="24"/>
        </w:rPr>
      </w:pPr>
    </w:p>
    <w:p w14:paraId="5E5DDA30" w14:textId="6835CCB1" w:rsidR="00FF5105" w:rsidRDefault="00FF5105" w:rsidP="000077A0">
      <w:pPr>
        <w:widowControl/>
        <w:rPr>
          <w:b/>
          <w:sz w:val="24"/>
        </w:rPr>
      </w:pPr>
      <w:r w:rsidRPr="002B55CF">
        <w:rPr>
          <w:b/>
          <w:sz w:val="24"/>
        </w:rPr>
        <w:t xml:space="preserve">Estimated </w:t>
      </w:r>
      <w:r w:rsidR="001257A0">
        <w:rPr>
          <w:b/>
          <w:sz w:val="24"/>
        </w:rPr>
        <w:t>Annual Number of Responses</w:t>
      </w:r>
      <w:r w:rsidR="000C3F7E">
        <w:rPr>
          <w:b/>
          <w:sz w:val="24"/>
        </w:rPr>
        <w:t xml:space="preserve"> (in 2017)</w:t>
      </w:r>
      <w:r w:rsidR="001257A0">
        <w:rPr>
          <w:b/>
          <w:sz w:val="24"/>
        </w:rPr>
        <w:t>:  678</w:t>
      </w:r>
      <w:r w:rsidRPr="002B55CF">
        <w:rPr>
          <w:b/>
          <w:sz w:val="24"/>
        </w:rPr>
        <w:t>,000 (</w:t>
      </w:r>
      <w:r w:rsidR="001257A0">
        <w:rPr>
          <w:sz w:val="24"/>
        </w:rPr>
        <w:t>339,000 lessee statements + 339</w:t>
      </w:r>
      <w:r w:rsidRPr="002B55CF">
        <w:rPr>
          <w:sz w:val="24"/>
        </w:rPr>
        <w:t>,000 lessor statements)</w:t>
      </w:r>
      <w:r>
        <w:rPr>
          <w:sz w:val="24"/>
        </w:rPr>
        <w:t>.</w:t>
      </w:r>
      <w:r w:rsidRPr="001828E3">
        <w:rPr>
          <w:b/>
          <w:sz w:val="24"/>
        </w:rPr>
        <w:t xml:space="preserve"> </w:t>
      </w:r>
    </w:p>
    <w:p w14:paraId="7538C0B8" w14:textId="77777777" w:rsidR="00D83684" w:rsidRDefault="00D83684" w:rsidP="000077A0">
      <w:pPr>
        <w:widowControl/>
        <w:rPr>
          <w:b/>
          <w:sz w:val="24"/>
        </w:rPr>
      </w:pPr>
    </w:p>
    <w:p w14:paraId="1D46377A" w14:textId="77777777" w:rsidR="00D83684" w:rsidRPr="005F5FF9" w:rsidRDefault="00D83684" w:rsidP="000077A0">
      <w:pPr>
        <w:keepNext/>
        <w:widowControl/>
        <w:rPr>
          <w:sz w:val="24"/>
        </w:rPr>
      </w:pPr>
      <w:r w:rsidRPr="005F5FF9">
        <w:rPr>
          <w:b/>
          <w:sz w:val="24"/>
          <w:u w:val="single"/>
        </w:rPr>
        <w:t>IC-</w:t>
      </w:r>
      <w:r>
        <w:rPr>
          <w:b/>
          <w:sz w:val="24"/>
          <w:u w:val="single"/>
        </w:rPr>
        <w:t>2</w:t>
      </w:r>
      <w:r w:rsidRPr="005F5FF9">
        <w:rPr>
          <w:b/>
          <w:sz w:val="24"/>
          <w:u w:val="single"/>
        </w:rPr>
        <w:t xml:space="preserve">:  </w:t>
      </w:r>
      <w:r>
        <w:rPr>
          <w:b/>
          <w:sz w:val="24"/>
          <w:u w:val="single"/>
        </w:rPr>
        <w:t>Part 390, Subpart F Passenger-Carrying Commercial Motor Vehicles</w:t>
      </w:r>
    </w:p>
    <w:p w14:paraId="29CAF4B3" w14:textId="77777777" w:rsidR="00D83684" w:rsidRDefault="00D83684" w:rsidP="000077A0">
      <w:pPr>
        <w:keepNext/>
        <w:widowControl/>
        <w:rPr>
          <w:sz w:val="24"/>
        </w:rPr>
      </w:pPr>
    </w:p>
    <w:p w14:paraId="6A1A4566" w14:textId="5E51602D" w:rsidR="008C7874" w:rsidRDefault="00D83684" w:rsidP="000077A0">
      <w:pPr>
        <w:widowControl/>
        <w:tabs>
          <w:tab w:val="left" w:pos="90"/>
          <w:tab w:val="left" w:pos="9540"/>
        </w:tabs>
        <w:ind w:firstLine="720"/>
        <w:outlineLvl w:val="0"/>
        <w:rPr>
          <w:bCs/>
          <w:sz w:val="24"/>
        </w:rPr>
      </w:pPr>
      <w:r>
        <w:rPr>
          <w:bCs/>
          <w:sz w:val="24"/>
        </w:rPr>
        <w:t xml:space="preserve">The final rule has </w:t>
      </w:r>
      <w:r w:rsidR="009C547C">
        <w:rPr>
          <w:bCs/>
          <w:sz w:val="24"/>
        </w:rPr>
        <w:t>five</w:t>
      </w:r>
      <w:r w:rsidR="00A01087">
        <w:rPr>
          <w:bCs/>
          <w:sz w:val="24"/>
        </w:rPr>
        <w:t xml:space="preserve"> </w:t>
      </w:r>
      <w:r>
        <w:rPr>
          <w:bCs/>
          <w:sz w:val="24"/>
        </w:rPr>
        <w:t xml:space="preserve">information-collection requirements for passenger carriers: (1) written lease agreements and receipts, </w:t>
      </w:r>
      <w:r w:rsidR="00A01087">
        <w:rPr>
          <w:bCs/>
          <w:sz w:val="24"/>
        </w:rPr>
        <w:t>(</w:t>
      </w:r>
      <w:r w:rsidR="009C547C">
        <w:rPr>
          <w:bCs/>
          <w:sz w:val="24"/>
        </w:rPr>
        <w:t>2</w:t>
      </w:r>
      <w:r w:rsidR="00A01087">
        <w:rPr>
          <w:bCs/>
          <w:sz w:val="24"/>
        </w:rPr>
        <w:t>) </w:t>
      </w:r>
      <w:r w:rsidR="00A01087" w:rsidRPr="00A01087">
        <w:rPr>
          <w:bCs/>
          <w:sz w:val="24"/>
        </w:rPr>
        <w:t>summary document</w:t>
      </w:r>
      <w:r w:rsidR="00A01087">
        <w:rPr>
          <w:bCs/>
          <w:sz w:val="24"/>
        </w:rPr>
        <w:t>s for passenger carriers having commonly owned and controlled buses, (</w:t>
      </w:r>
      <w:r w:rsidR="009C547C">
        <w:rPr>
          <w:bCs/>
          <w:sz w:val="24"/>
        </w:rPr>
        <w:t>3</w:t>
      </w:r>
      <w:r w:rsidR="00A01087">
        <w:rPr>
          <w:bCs/>
          <w:sz w:val="24"/>
        </w:rPr>
        <w:t>) summary documents for passenger carriers with STB-approved revenue pooling agreements,  (</w:t>
      </w:r>
      <w:r w:rsidR="009C547C">
        <w:rPr>
          <w:bCs/>
          <w:sz w:val="24"/>
        </w:rPr>
        <w:t>4</w:t>
      </w:r>
      <w:r w:rsidR="00A01087">
        <w:rPr>
          <w:bCs/>
          <w:sz w:val="24"/>
        </w:rPr>
        <w:t>) a statement of regulatory responsibility for passenger carriers requiring</w:t>
      </w:r>
      <w:r w:rsidR="00A01087" w:rsidRPr="00A01087">
        <w:rPr>
          <w:bCs/>
          <w:sz w:val="24"/>
        </w:rPr>
        <w:t xml:space="preserve"> </w:t>
      </w:r>
      <w:r w:rsidR="00A01087">
        <w:rPr>
          <w:bCs/>
          <w:sz w:val="24"/>
        </w:rPr>
        <w:t xml:space="preserve">an immediate </w:t>
      </w:r>
      <w:r w:rsidR="00A01087" w:rsidRPr="00A01087">
        <w:rPr>
          <w:bCs/>
          <w:sz w:val="24"/>
        </w:rPr>
        <w:t>replacement vehicle from another motor carrier</w:t>
      </w:r>
      <w:r w:rsidR="00A01087">
        <w:rPr>
          <w:bCs/>
          <w:sz w:val="24"/>
        </w:rPr>
        <w:t xml:space="preserve"> for unforeseen contingency events</w:t>
      </w:r>
      <w:r w:rsidR="008C7874">
        <w:rPr>
          <w:bCs/>
          <w:sz w:val="24"/>
        </w:rPr>
        <w:t xml:space="preserve">, for example, </w:t>
      </w:r>
      <w:r w:rsidR="008C7874" w:rsidRPr="008C7874">
        <w:rPr>
          <w:bCs/>
          <w:sz w:val="24"/>
        </w:rPr>
        <w:t xml:space="preserve">a crash, the vehicle is disabled, </w:t>
      </w:r>
      <w:r w:rsidR="008C7874">
        <w:rPr>
          <w:bCs/>
          <w:sz w:val="24"/>
        </w:rPr>
        <w:t xml:space="preserve">or </w:t>
      </w:r>
      <w:r w:rsidR="008C7874" w:rsidRPr="008C7874">
        <w:rPr>
          <w:bCs/>
          <w:sz w:val="24"/>
        </w:rPr>
        <w:t>the driver is ill</w:t>
      </w:r>
      <w:r w:rsidR="009C547C">
        <w:rPr>
          <w:bCs/>
          <w:sz w:val="24"/>
        </w:rPr>
        <w:t>, and (5) notification of a tour or travel group within 24 hours after the passenger carrier originally contracted to provide service arranges for a subcontractor to transport the tour or travel group</w:t>
      </w:r>
      <w:r w:rsidR="00A01087">
        <w:rPr>
          <w:bCs/>
          <w:sz w:val="24"/>
        </w:rPr>
        <w:t>.</w:t>
      </w:r>
    </w:p>
    <w:p w14:paraId="0CE55A1C" w14:textId="42CBB959" w:rsidR="00942E59" w:rsidRDefault="00D83684" w:rsidP="000077A0">
      <w:pPr>
        <w:widowControl/>
        <w:tabs>
          <w:tab w:val="left" w:pos="90"/>
          <w:tab w:val="left" w:pos="9540"/>
        </w:tabs>
        <w:ind w:firstLine="720"/>
        <w:outlineLvl w:val="0"/>
        <w:rPr>
          <w:bCs/>
          <w:sz w:val="24"/>
        </w:rPr>
      </w:pPr>
      <w:r w:rsidRPr="0048208A">
        <w:rPr>
          <w:bCs/>
          <w:sz w:val="24"/>
        </w:rPr>
        <w:t xml:space="preserve">The affected carrier population </w:t>
      </w:r>
      <w:r w:rsidR="00D75EA3">
        <w:rPr>
          <w:bCs/>
          <w:sz w:val="24"/>
        </w:rPr>
        <w:t xml:space="preserve">in 2017, the first </w:t>
      </w:r>
      <w:r w:rsidR="00C851AD">
        <w:rPr>
          <w:bCs/>
          <w:sz w:val="24"/>
        </w:rPr>
        <w:t xml:space="preserve">full </w:t>
      </w:r>
      <w:r w:rsidR="00D75EA3">
        <w:rPr>
          <w:bCs/>
          <w:sz w:val="24"/>
        </w:rPr>
        <w:t xml:space="preserve">year </w:t>
      </w:r>
      <w:r w:rsidR="00C851AD">
        <w:rPr>
          <w:bCs/>
          <w:sz w:val="24"/>
        </w:rPr>
        <w:t>during which</w:t>
      </w:r>
      <w:r w:rsidR="00D75EA3">
        <w:rPr>
          <w:bCs/>
          <w:sz w:val="24"/>
        </w:rPr>
        <w:t xml:space="preserve"> the rule</w:t>
      </w:r>
      <w:r w:rsidR="00C851AD">
        <w:rPr>
          <w:bCs/>
          <w:sz w:val="24"/>
        </w:rPr>
        <w:t xml:space="preserve"> will be in effect</w:t>
      </w:r>
      <w:r w:rsidR="00EA6085">
        <w:rPr>
          <w:bCs/>
          <w:sz w:val="24"/>
        </w:rPr>
        <w:t>,</w:t>
      </w:r>
      <w:r w:rsidR="00D75EA3">
        <w:rPr>
          <w:bCs/>
          <w:sz w:val="24"/>
        </w:rPr>
        <w:t xml:space="preserve"> </w:t>
      </w:r>
      <w:r w:rsidRPr="0048208A">
        <w:rPr>
          <w:bCs/>
          <w:sz w:val="24"/>
        </w:rPr>
        <w:t xml:space="preserve">is </w:t>
      </w:r>
      <w:r w:rsidR="00D75EA3">
        <w:rPr>
          <w:bCs/>
          <w:sz w:val="24"/>
        </w:rPr>
        <w:t xml:space="preserve">estimated at </w:t>
      </w:r>
      <w:r w:rsidR="00EA6085">
        <w:rPr>
          <w:bCs/>
          <w:sz w:val="24"/>
        </w:rPr>
        <w:t>7,518</w:t>
      </w:r>
      <w:r w:rsidRPr="0048208A">
        <w:rPr>
          <w:bCs/>
          <w:sz w:val="24"/>
        </w:rPr>
        <w:t xml:space="preserve">, which is </w:t>
      </w:r>
      <w:r>
        <w:rPr>
          <w:bCs/>
          <w:sz w:val="24"/>
        </w:rPr>
        <w:t xml:space="preserve">the number </w:t>
      </w:r>
      <w:r w:rsidRPr="0048208A">
        <w:rPr>
          <w:bCs/>
          <w:sz w:val="24"/>
        </w:rPr>
        <w:t xml:space="preserve">of </w:t>
      </w:r>
      <w:r>
        <w:rPr>
          <w:bCs/>
          <w:sz w:val="24"/>
        </w:rPr>
        <w:t xml:space="preserve">interstate </w:t>
      </w:r>
      <w:r w:rsidRPr="0048208A">
        <w:rPr>
          <w:bCs/>
          <w:sz w:val="24"/>
        </w:rPr>
        <w:t xml:space="preserve">passenger carriers, with recent activity, as of </w:t>
      </w:r>
      <w:r w:rsidR="00EA6085">
        <w:rPr>
          <w:bCs/>
          <w:sz w:val="24"/>
        </w:rPr>
        <w:t>June,</w:t>
      </w:r>
      <w:r w:rsidR="009463E9">
        <w:rPr>
          <w:bCs/>
          <w:sz w:val="24"/>
        </w:rPr>
        <w:t xml:space="preserve"> 2014</w:t>
      </w:r>
      <w:r>
        <w:rPr>
          <w:bCs/>
          <w:sz w:val="24"/>
        </w:rPr>
        <w:t>,</w:t>
      </w:r>
      <w:r w:rsidRPr="0048208A">
        <w:rPr>
          <w:bCs/>
          <w:sz w:val="24"/>
        </w:rPr>
        <w:t xml:space="preserve"> that fall under the registration categories of </w:t>
      </w:r>
      <w:r>
        <w:rPr>
          <w:bCs/>
          <w:sz w:val="24"/>
        </w:rPr>
        <w:t xml:space="preserve">carriers that are </w:t>
      </w:r>
      <w:r w:rsidRPr="0048208A">
        <w:rPr>
          <w:bCs/>
          <w:sz w:val="24"/>
        </w:rPr>
        <w:t>authorized for-hire, exempt for-hire, and private (business and non-business)</w:t>
      </w:r>
      <w:r>
        <w:rPr>
          <w:bCs/>
          <w:sz w:val="24"/>
        </w:rPr>
        <w:t xml:space="preserve">, with 8 + </w:t>
      </w:r>
      <w:r w:rsidR="00A2136F">
        <w:rPr>
          <w:bCs/>
          <w:sz w:val="24"/>
        </w:rPr>
        <w:t xml:space="preserve">vehicular </w:t>
      </w:r>
      <w:r>
        <w:rPr>
          <w:bCs/>
          <w:sz w:val="24"/>
        </w:rPr>
        <w:t>passenger capacity</w:t>
      </w:r>
      <w:r w:rsidR="007D08C0">
        <w:rPr>
          <w:bCs/>
          <w:sz w:val="24"/>
        </w:rPr>
        <w:t>.</w:t>
      </w:r>
      <w:r w:rsidR="000937B3">
        <w:rPr>
          <w:bCs/>
          <w:sz w:val="24"/>
        </w:rPr>
        <w:t xml:space="preserve">  Note that the information-collection requirements for carriers having commonly owned and controlled buses as well as those with STB-approved revenue pooling agreements are lower than for other carriers covered by the final rule; however, the burden and cost to this subset of carriers resulting from this rule is conservatively estimated (on a per-carrier basis) to be equal to </w:t>
      </w:r>
      <w:r w:rsidR="00B10722">
        <w:rPr>
          <w:bCs/>
          <w:sz w:val="24"/>
        </w:rPr>
        <w:t xml:space="preserve">that of carriers not qualifying for </w:t>
      </w:r>
      <w:r w:rsidR="008D7CA9">
        <w:rPr>
          <w:bCs/>
          <w:sz w:val="24"/>
        </w:rPr>
        <w:t xml:space="preserve">either of </w:t>
      </w:r>
      <w:r w:rsidR="00B10722">
        <w:rPr>
          <w:bCs/>
          <w:sz w:val="24"/>
        </w:rPr>
        <w:t>these exceptions.</w:t>
      </w:r>
    </w:p>
    <w:p w14:paraId="55BEA7E8" w14:textId="697EEB97" w:rsidR="00247D22" w:rsidRDefault="00793027" w:rsidP="000077A0">
      <w:pPr>
        <w:widowControl/>
        <w:tabs>
          <w:tab w:val="left" w:pos="90"/>
          <w:tab w:val="left" w:pos="9540"/>
        </w:tabs>
        <w:ind w:firstLine="720"/>
        <w:outlineLvl w:val="0"/>
        <w:rPr>
          <w:bCs/>
          <w:sz w:val="24"/>
        </w:rPr>
      </w:pPr>
      <w:r>
        <w:rPr>
          <w:bCs/>
          <w:sz w:val="24"/>
        </w:rPr>
        <w:t xml:space="preserve">The estimate of 7,518 affected carriers is based on </w:t>
      </w:r>
      <w:r w:rsidR="000E63E2">
        <w:rPr>
          <w:bCs/>
          <w:sz w:val="24"/>
        </w:rPr>
        <w:t>analysis of year 201</w:t>
      </w:r>
      <w:r w:rsidR="008D0CD7">
        <w:rPr>
          <w:bCs/>
          <w:sz w:val="24"/>
        </w:rPr>
        <w:t>4</w:t>
      </w:r>
      <w:r w:rsidR="000E63E2">
        <w:rPr>
          <w:bCs/>
          <w:sz w:val="24"/>
        </w:rPr>
        <w:t xml:space="preserve"> carrier counts from which the Agency estimated that</w:t>
      </w:r>
      <w:r w:rsidRPr="00793027">
        <w:rPr>
          <w:bCs/>
          <w:sz w:val="24"/>
        </w:rPr>
        <w:t xml:space="preserve"> 7,049 carriers are affected by this rule—5,945 authorized for-hire (they have operating authority from FMCSA), 296 exempt 9+ for-hire motor carriers, 180 exempt 16+ for-hire motor carriers, 261 private business motor carriers, and 367 private non-business motor carriers.  </w:t>
      </w:r>
      <w:r w:rsidR="000E63E2">
        <w:rPr>
          <w:bCs/>
          <w:sz w:val="24"/>
        </w:rPr>
        <w:t>Applying the annual growth factor of 2.17 percent per year to the carrier count to project the value of 7,049 from year 201</w:t>
      </w:r>
      <w:r w:rsidR="008D0CD7">
        <w:rPr>
          <w:bCs/>
          <w:sz w:val="24"/>
        </w:rPr>
        <w:t>4</w:t>
      </w:r>
      <w:r w:rsidR="000E63E2">
        <w:rPr>
          <w:bCs/>
          <w:sz w:val="24"/>
        </w:rPr>
        <w:t xml:space="preserve"> to year 2017 (shown in Table 2 below) results in a value of 7,518 carriers affected by this rule in 2017.</w:t>
      </w:r>
    </w:p>
    <w:p w14:paraId="4520E29C" w14:textId="77777777" w:rsidR="000077A0" w:rsidRDefault="000077A0" w:rsidP="000077A0">
      <w:pPr>
        <w:widowControl/>
        <w:tabs>
          <w:tab w:val="left" w:pos="90"/>
          <w:tab w:val="left" w:pos="9540"/>
        </w:tabs>
        <w:ind w:firstLine="720"/>
        <w:outlineLvl w:val="0"/>
        <w:rPr>
          <w:rFonts w:eastAsia="MS Mincho"/>
          <w:bCs/>
          <w:sz w:val="24"/>
        </w:rPr>
      </w:pPr>
    </w:p>
    <w:p w14:paraId="0E3C50EB" w14:textId="77777777" w:rsidR="00D83684" w:rsidRPr="00D83684" w:rsidRDefault="00D83684" w:rsidP="000077A0">
      <w:pPr>
        <w:keepNext/>
        <w:widowControl/>
        <w:tabs>
          <w:tab w:val="left" w:pos="90"/>
          <w:tab w:val="left" w:pos="9540"/>
        </w:tabs>
        <w:outlineLvl w:val="0"/>
        <w:rPr>
          <w:rFonts w:eastAsia="MS Mincho"/>
          <w:bCs/>
          <w:sz w:val="24"/>
          <w:u w:val="single"/>
        </w:rPr>
      </w:pPr>
      <w:r w:rsidRPr="00D83684">
        <w:rPr>
          <w:rFonts w:eastAsia="MS Mincho"/>
          <w:bCs/>
          <w:sz w:val="24"/>
          <w:u w:val="single"/>
        </w:rPr>
        <w:lastRenderedPageBreak/>
        <w:t>Leases</w:t>
      </w:r>
    </w:p>
    <w:p w14:paraId="3AF8EE7C" w14:textId="0BBA9EE0" w:rsidR="00D83684" w:rsidRDefault="00D83684" w:rsidP="000C3B3C">
      <w:pPr>
        <w:keepLines/>
        <w:widowControl/>
        <w:tabs>
          <w:tab w:val="left" w:pos="90"/>
          <w:tab w:val="left" w:pos="9540"/>
        </w:tabs>
        <w:ind w:firstLine="720"/>
        <w:outlineLvl w:val="0"/>
        <w:rPr>
          <w:rFonts w:eastAsia="MS Mincho"/>
          <w:bCs/>
          <w:sz w:val="24"/>
        </w:rPr>
      </w:pPr>
      <w:r>
        <w:rPr>
          <w:rFonts w:eastAsia="MS Mincho"/>
          <w:bCs/>
          <w:sz w:val="24"/>
        </w:rPr>
        <w:t xml:space="preserve">For </w:t>
      </w:r>
      <w:r w:rsidRPr="005C1977">
        <w:rPr>
          <w:rFonts w:eastAsia="MS Mincho"/>
          <w:bCs/>
          <w:i/>
          <w:sz w:val="24"/>
        </w:rPr>
        <w:t>documentation</w:t>
      </w:r>
      <w:r>
        <w:rPr>
          <w:rFonts w:eastAsia="MS Mincho"/>
          <w:bCs/>
          <w:sz w:val="24"/>
        </w:rPr>
        <w:t xml:space="preserve"> of the lease, the Agency estimates the cost of obtaining and preparing a standard generic template that is</w:t>
      </w:r>
      <w:r w:rsidRPr="00A93BCD">
        <w:rPr>
          <w:rFonts w:eastAsia="MS Mincho"/>
          <w:bCs/>
          <w:sz w:val="24"/>
        </w:rPr>
        <w:t xml:space="preserve"> freely available on the internet, or through </w:t>
      </w:r>
      <w:r>
        <w:rPr>
          <w:rFonts w:eastAsia="MS Mincho"/>
          <w:bCs/>
          <w:sz w:val="24"/>
        </w:rPr>
        <w:t xml:space="preserve">trade organizations or </w:t>
      </w:r>
      <w:r w:rsidRPr="00A93BCD">
        <w:rPr>
          <w:rFonts w:eastAsia="MS Mincho"/>
          <w:bCs/>
          <w:sz w:val="24"/>
        </w:rPr>
        <w:t xml:space="preserve">existing passenger carriers.  The total number of pages of one such template is two, which is the number used in the Agency’s estimate.  </w:t>
      </w:r>
      <w:r>
        <w:rPr>
          <w:rFonts w:eastAsia="MS Mincho"/>
          <w:bCs/>
          <w:sz w:val="24"/>
        </w:rPr>
        <w:t xml:space="preserve">The estimated annual number of burden hours depends on the estimated annual frequency of leasing. </w:t>
      </w:r>
      <w:r w:rsidR="004C010F">
        <w:rPr>
          <w:rFonts w:eastAsia="MS Mincho"/>
          <w:bCs/>
          <w:sz w:val="24"/>
        </w:rPr>
        <w:t>Assuming lease fr</w:t>
      </w:r>
      <w:r w:rsidR="009D755E">
        <w:rPr>
          <w:rFonts w:eastAsia="MS Mincho"/>
          <w:bCs/>
          <w:sz w:val="24"/>
        </w:rPr>
        <w:t>e</w:t>
      </w:r>
      <w:r w:rsidR="004C010F">
        <w:rPr>
          <w:rFonts w:eastAsia="MS Mincho"/>
          <w:bCs/>
          <w:sz w:val="24"/>
        </w:rPr>
        <w:t>qu</w:t>
      </w:r>
      <w:r w:rsidR="009D755E">
        <w:rPr>
          <w:rFonts w:eastAsia="MS Mincho"/>
          <w:bCs/>
          <w:sz w:val="24"/>
        </w:rPr>
        <w:t>e</w:t>
      </w:r>
      <w:r w:rsidR="004C010F">
        <w:rPr>
          <w:rFonts w:eastAsia="MS Mincho"/>
          <w:bCs/>
          <w:sz w:val="24"/>
        </w:rPr>
        <w:t>ncy is medium, t</w:t>
      </w:r>
      <w:r>
        <w:rPr>
          <w:rFonts w:eastAsia="MS Mincho"/>
          <w:bCs/>
          <w:sz w:val="24"/>
        </w:rPr>
        <w:t>he Agency assumes that the average passenger carrier (</w:t>
      </w:r>
      <w:r w:rsidR="009463E9">
        <w:rPr>
          <w:rFonts w:eastAsia="MS Mincho"/>
          <w:bCs/>
          <w:sz w:val="24"/>
        </w:rPr>
        <w:t>6.6</w:t>
      </w:r>
      <w:r>
        <w:rPr>
          <w:rFonts w:eastAsia="MS Mincho"/>
          <w:bCs/>
          <w:sz w:val="24"/>
        </w:rPr>
        <w:t xml:space="preserve"> power units) will engage in </w:t>
      </w:r>
      <w:r w:rsidR="009463E9">
        <w:rPr>
          <w:rFonts w:eastAsia="MS Mincho"/>
          <w:bCs/>
          <w:sz w:val="24"/>
        </w:rPr>
        <w:t>64</w:t>
      </w:r>
      <w:r>
        <w:rPr>
          <w:rFonts w:eastAsia="MS Mincho"/>
          <w:bCs/>
          <w:sz w:val="24"/>
        </w:rPr>
        <w:t xml:space="preserve"> lease agreements per year.  This estimate consists of </w:t>
      </w:r>
      <w:r w:rsidR="009463E9">
        <w:rPr>
          <w:rFonts w:eastAsia="MS Mincho"/>
          <w:bCs/>
          <w:sz w:val="24"/>
        </w:rPr>
        <w:t>8</w:t>
      </w:r>
      <w:r>
        <w:rPr>
          <w:rFonts w:eastAsia="MS Mincho"/>
          <w:bCs/>
          <w:sz w:val="24"/>
        </w:rPr>
        <w:t xml:space="preserve"> leases per peak month </w:t>
      </w:r>
      <w:r w:rsidR="00A2136F">
        <w:rPr>
          <w:rFonts w:eastAsia="MS Mincho"/>
          <w:bCs/>
          <w:sz w:val="24"/>
        </w:rPr>
        <w:t xml:space="preserve">(May through August) </w:t>
      </w:r>
      <w:r>
        <w:rPr>
          <w:rFonts w:eastAsia="MS Mincho"/>
          <w:bCs/>
          <w:sz w:val="24"/>
        </w:rPr>
        <w:t xml:space="preserve">and </w:t>
      </w:r>
      <w:r w:rsidR="009463E9">
        <w:rPr>
          <w:rFonts w:eastAsia="MS Mincho"/>
          <w:bCs/>
          <w:sz w:val="24"/>
        </w:rPr>
        <w:t>4</w:t>
      </w:r>
      <w:r>
        <w:rPr>
          <w:rFonts w:eastAsia="MS Mincho"/>
          <w:bCs/>
          <w:sz w:val="24"/>
        </w:rPr>
        <w:t xml:space="preserve"> leases per off-peak month</w:t>
      </w:r>
      <w:r w:rsidR="009463E9">
        <w:rPr>
          <w:rFonts w:eastAsia="MS Mincho"/>
          <w:bCs/>
          <w:sz w:val="24"/>
        </w:rPr>
        <w:t xml:space="preserve"> (September through April)</w:t>
      </w:r>
      <w:r>
        <w:rPr>
          <w:rFonts w:eastAsia="MS Mincho"/>
          <w:bCs/>
          <w:sz w:val="24"/>
        </w:rPr>
        <w:t>.  The total annual number of leases</w:t>
      </w:r>
      <w:r w:rsidR="004C010F">
        <w:rPr>
          <w:rFonts w:eastAsia="MS Mincho"/>
          <w:bCs/>
          <w:sz w:val="24"/>
        </w:rPr>
        <w:t xml:space="preserve"> estimated in 2017</w:t>
      </w:r>
      <w:r>
        <w:rPr>
          <w:rFonts w:eastAsia="MS Mincho"/>
          <w:bCs/>
          <w:sz w:val="24"/>
        </w:rPr>
        <w:t xml:space="preserve"> is </w:t>
      </w:r>
      <w:r w:rsidR="00ED23AC">
        <w:rPr>
          <w:rFonts w:eastAsia="MS Mincho"/>
          <w:bCs/>
          <w:sz w:val="24"/>
        </w:rPr>
        <w:t>492,578</w:t>
      </w:r>
      <w:r w:rsidR="004C010F">
        <w:rPr>
          <w:rFonts w:eastAsia="MS Mincho"/>
          <w:bCs/>
          <w:sz w:val="24"/>
        </w:rPr>
        <w:t xml:space="preserve">—that is, 64 lease agreements for </w:t>
      </w:r>
      <w:r w:rsidR="00EC2082">
        <w:rPr>
          <w:rFonts w:eastAsia="MS Mincho"/>
          <w:bCs/>
          <w:sz w:val="24"/>
        </w:rPr>
        <w:t xml:space="preserve">each </w:t>
      </w:r>
      <w:r w:rsidR="004C010F">
        <w:rPr>
          <w:rFonts w:eastAsia="MS Mincho"/>
          <w:bCs/>
          <w:sz w:val="24"/>
        </w:rPr>
        <w:t xml:space="preserve">the </w:t>
      </w:r>
      <w:r w:rsidR="00C2135E">
        <w:rPr>
          <w:rFonts w:eastAsia="MS Mincho"/>
          <w:bCs/>
          <w:sz w:val="24"/>
        </w:rPr>
        <w:t>7,518</w:t>
      </w:r>
      <w:r w:rsidR="004C010F">
        <w:rPr>
          <w:rFonts w:eastAsia="MS Mincho"/>
          <w:bCs/>
          <w:sz w:val="24"/>
        </w:rPr>
        <w:t xml:space="preserve"> carriers estimated to be affected by this rule in 2017</w:t>
      </w:r>
      <w:r w:rsidR="007F1501">
        <w:rPr>
          <w:rFonts w:eastAsia="MS Mincho"/>
          <w:bCs/>
          <w:sz w:val="24"/>
        </w:rPr>
        <w:t xml:space="preserve"> (</w:t>
      </w:r>
      <w:r w:rsidR="00F73FFE">
        <w:rPr>
          <w:rFonts w:eastAsia="MS Mincho"/>
          <w:bCs/>
          <w:sz w:val="24"/>
        </w:rPr>
        <w:t>492,578</w:t>
      </w:r>
      <w:r w:rsidR="007F1501">
        <w:rPr>
          <w:rFonts w:eastAsia="MS Mincho"/>
          <w:bCs/>
          <w:sz w:val="24"/>
        </w:rPr>
        <w:t xml:space="preserve"> = 64</w:t>
      </w:r>
      <w:r w:rsidR="00DC7E3E">
        <w:rPr>
          <w:rFonts w:eastAsia="MS Mincho"/>
          <w:bCs/>
          <w:sz w:val="24"/>
        </w:rPr>
        <w:t xml:space="preserve"> × </w:t>
      </w:r>
      <w:r w:rsidR="00F73FFE">
        <w:rPr>
          <w:rFonts w:eastAsia="MS Mincho"/>
          <w:bCs/>
          <w:sz w:val="24"/>
        </w:rPr>
        <w:t>7,518</w:t>
      </w:r>
      <w:r w:rsidR="002C388C">
        <w:rPr>
          <w:rFonts w:eastAsia="MS Mincho"/>
          <w:bCs/>
          <w:sz w:val="24"/>
        </w:rPr>
        <w:t xml:space="preserve"> plus</w:t>
      </w:r>
      <w:r w:rsidR="007F1501">
        <w:rPr>
          <w:rFonts w:eastAsia="MS Mincho"/>
          <w:bCs/>
          <w:sz w:val="24"/>
        </w:rPr>
        <w:t xml:space="preserve"> 11,426</w:t>
      </w:r>
      <w:r w:rsidR="007D08C0">
        <w:rPr>
          <w:rFonts w:eastAsia="MS Mincho"/>
          <w:bCs/>
          <w:sz w:val="24"/>
        </w:rPr>
        <w:t> </w:t>
      </w:r>
      <w:r w:rsidR="007F1501">
        <w:rPr>
          <w:rFonts w:eastAsia="MS Mincho"/>
          <w:bCs/>
          <w:sz w:val="24"/>
        </w:rPr>
        <w:t>leases for Greyhound)</w:t>
      </w:r>
      <w:r w:rsidR="00EC2082">
        <w:rPr>
          <w:rFonts w:eastAsia="MS Mincho"/>
          <w:bCs/>
          <w:sz w:val="24"/>
        </w:rPr>
        <w:t xml:space="preserve">. </w:t>
      </w:r>
      <w:r>
        <w:rPr>
          <w:rFonts w:eastAsia="MS Mincho"/>
          <w:bCs/>
          <w:sz w:val="24"/>
        </w:rPr>
        <w:t>The Agency assumes 5 minutes of documentation time per lease agreement.  This amounts to</w:t>
      </w:r>
      <w:r w:rsidR="00EC2082">
        <w:rPr>
          <w:rFonts w:eastAsia="MS Mincho"/>
          <w:bCs/>
          <w:sz w:val="24"/>
        </w:rPr>
        <w:t xml:space="preserve"> 5 and 1/</w:t>
      </w:r>
      <w:r w:rsidR="007D08C0">
        <w:rPr>
          <w:rFonts w:eastAsia="MS Mincho"/>
          <w:bCs/>
          <w:sz w:val="24"/>
        </w:rPr>
        <w:t>3 hours per carrier per year (5 </w:t>
      </w:r>
      <w:r w:rsidR="00EC2082">
        <w:rPr>
          <w:rFonts w:eastAsia="MS Mincho"/>
          <w:bCs/>
          <w:sz w:val="24"/>
        </w:rPr>
        <w:t>1/3 = 64</w:t>
      </w:r>
      <w:r w:rsidR="00DC7E3E">
        <w:rPr>
          <w:rFonts w:eastAsia="MS Mincho"/>
          <w:bCs/>
          <w:sz w:val="24"/>
        </w:rPr>
        <w:t xml:space="preserve"> × </w:t>
      </w:r>
      <w:r w:rsidR="00EC2082">
        <w:rPr>
          <w:rFonts w:eastAsia="MS Mincho"/>
          <w:bCs/>
          <w:sz w:val="24"/>
        </w:rPr>
        <w:t>5</w:t>
      </w:r>
      <w:r w:rsidR="008F356C">
        <w:rPr>
          <w:rFonts w:eastAsia="MS Mincho"/>
          <w:bCs/>
          <w:sz w:val="24"/>
        </w:rPr>
        <w:t xml:space="preserve"> </w:t>
      </w:r>
      <w:r w:rsidR="00720ADF">
        <w:rPr>
          <w:rFonts w:eastAsia="MS Mincho"/>
          <w:bCs/>
          <w:sz w:val="24"/>
        </w:rPr>
        <w:t>÷</w:t>
      </w:r>
      <w:r w:rsidR="008F356C">
        <w:rPr>
          <w:rFonts w:eastAsia="MS Mincho"/>
          <w:bCs/>
          <w:sz w:val="24"/>
        </w:rPr>
        <w:t xml:space="preserve"> </w:t>
      </w:r>
      <w:r w:rsidR="00EC2082">
        <w:rPr>
          <w:rFonts w:eastAsia="MS Mincho"/>
          <w:bCs/>
          <w:sz w:val="24"/>
        </w:rPr>
        <w:t>60) and amounts to an</w:t>
      </w:r>
      <w:r w:rsidR="006E1394">
        <w:rPr>
          <w:rFonts w:eastAsia="MS Mincho"/>
          <w:bCs/>
          <w:sz w:val="24"/>
        </w:rPr>
        <w:t xml:space="preserve"> industry total of</w:t>
      </w:r>
      <w:r w:rsidR="005C1977">
        <w:rPr>
          <w:rFonts w:eastAsia="MS Mincho"/>
          <w:bCs/>
          <w:sz w:val="24"/>
        </w:rPr>
        <w:t xml:space="preserve"> </w:t>
      </w:r>
      <w:r w:rsidR="006E1394">
        <w:rPr>
          <w:rFonts w:eastAsia="MS Mincho"/>
          <w:bCs/>
          <w:sz w:val="24"/>
        </w:rPr>
        <w:t xml:space="preserve">about </w:t>
      </w:r>
      <w:r w:rsidR="00E330F0">
        <w:rPr>
          <w:rFonts w:eastAsia="MS Mincho"/>
          <w:bCs/>
          <w:sz w:val="24"/>
        </w:rPr>
        <w:t>41,048</w:t>
      </w:r>
      <w:r w:rsidR="00C851AD">
        <w:rPr>
          <w:rFonts w:eastAsia="MS Mincho"/>
          <w:bCs/>
          <w:sz w:val="24"/>
        </w:rPr>
        <w:t xml:space="preserve"> hours</w:t>
      </w:r>
      <w:r w:rsidR="007F1501">
        <w:rPr>
          <w:rFonts w:eastAsia="MS Mincho"/>
          <w:bCs/>
          <w:sz w:val="24"/>
        </w:rPr>
        <w:t xml:space="preserve"> </w:t>
      </w:r>
      <w:r w:rsidR="006E1394">
        <w:rPr>
          <w:rFonts w:eastAsia="MS Mincho"/>
          <w:bCs/>
          <w:sz w:val="24"/>
        </w:rPr>
        <w:t>(</w:t>
      </w:r>
      <w:r w:rsidR="00E330F0">
        <w:rPr>
          <w:rFonts w:eastAsia="MS Mincho"/>
          <w:bCs/>
          <w:sz w:val="24"/>
        </w:rPr>
        <w:t>41,048.</w:t>
      </w:r>
      <w:r w:rsidR="00356DE1">
        <w:rPr>
          <w:rFonts w:eastAsia="MS Mincho"/>
          <w:bCs/>
          <w:sz w:val="24"/>
        </w:rPr>
        <w:t>2</w:t>
      </w:r>
      <w:r w:rsidR="006E1394">
        <w:rPr>
          <w:rFonts w:eastAsia="MS Mincho"/>
          <w:bCs/>
          <w:sz w:val="24"/>
        </w:rPr>
        <w:t xml:space="preserve"> </w:t>
      </w:r>
      <w:r w:rsidR="007F1501">
        <w:rPr>
          <w:rFonts w:eastAsia="MS Mincho"/>
          <w:bCs/>
          <w:sz w:val="24"/>
        </w:rPr>
        <w:t xml:space="preserve">= </w:t>
      </w:r>
      <w:r w:rsidR="00E330F0">
        <w:rPr>
          <w:rFonts w:eastAsia="MS Mincho"/>
          <w:bCs/>
          <w:sz w:val="24"/>
        </w:rPr>
        <w:t>492,578</w:t>
      </w:r>
      <w:r w:rsidR="00DC7E3E">
        <w:rPr>
          <w:rFonts w:eastAsia="MS Mincho"/>
          <w:bCs/>
          <w:sz w:val="24"/>
        </w:rPr>
        <w:t xml:space="preserve"> × </w:t>
      </w:r>
      <w:r w:rsidR="007D08C0">
        <w:rPr>
          <w:rFonts w:eastAsia="MS Mincho"/>
          <w:bCs/>
          <w:sz w:val="24"/>
        </w:rPr>
        <w:t>(5 </w:t>
      </w:r>
      <w:r w:rsidR="00720ADF">
        <w:rPr>
          <w:rFonts w:eastAsia="MS Mincho"/>
          <w:bCs/>
          <w:sz w:val="24"/>
        </w:rPr>
        <w:t>÷</w:t>
      </w:r>
      <w:r w:rsidR="007D08C0">
        <w:rPr>
          <w:rFonts w:eastAsia="MS Mincho"/>
          <w:bCs/>
          <w:sz w:val="24"/>
        </w:rPr>
        <w:t> </w:t>
      </w:r>
      <w:r w:rsidR="005C1977">
        <w:rPr>
          <w:rFonts w:eastAsia="MS Mincho"/>
          <w:bCs/>
          <w:sz w:val="24"/>
        </w:rPr>
        <w:t>60)</w:t>
      </w:r>
      <w:r>
        <w:rPr>
          <w:rFonts w:eastAsia="MS Mincho"/>
          <w:bCs/>
          <w:sz w:val="24"/>
        </w:rPr>
        <w:t xml:space="preserve">. This total is multiplied by two, since the cost burden applies to both the lessees and the lessors. Thus, </w:t>
      </w:r>
      <w:r w:rsidR="001F4D41">
        <w:rPr>
          <w:rFonts w:eastAsia="MS Mincho"/>
          <w:bCs/>
          <w:sz w:val="24"/>
        </w:rPr>
        <w:t>the total is</w:t>
      </w:r>
      <w:r>
        <w:rPr>
          <w:rFonts w:eastAsia="MS Mincho"/>
          <w:bCs/>
          <w:sz w:val="24"/>
        </w:rPr>
        <w:t xml:space="preserve"> </w:t>
      </w:r>
      <w:r w:rsidR="00E330F0">
        <w:rPr>
          <w:rFonts w:eastAsia="MS Mincho"/>
          <w:bCs/>
          <w:sz w:val="24"/>
        </w:rPr>
        <w:t>82,0</w:t>
      </w:r>
      <w:r w:rsidR="0051602C">
        <w:rPr>
          <w:rFonts w:eastAsia="MS Mincho"/>
          <w:bCs/>
          <w:sz w:val="24"/>
        </w:rPr>
        <w:t>96</w:t>
      </w:r>
      <w:r w:rsidR="00F86922">
        <w:rPr>
          <w:rFonts w:eastAsia="MS Mincho"/>
          <w:bCs/>
          <w:sz w:val="24"/>
        </w:rPr>
        <w:t xml:space="preserve"> </w:t>
      </w:r>
      <w:r w:rsidR="00C851AD">
        <w:rPr>
          <w:rFonts w:eastAsia="MS Mincho"/>
          <w:bCs/>
          <w:sz w:val="24"/>
        </w:rPr>
        <w:t xml:space="preserve">hours </w:t>
      </w:r>
      <w:r w:rsidR="00F86922">
        <w:rPr>
          <w:rFonts w:eastAsia="MS Mincho"/>
          <w:bCs/>
          <w:sz w:val="24"/>
        </w:rPr>
        <w:t>(</w:t>
      </w:r>
      <w:r w:rsidR="00E330F0">
        <w:rPr>
          <w:rFonts w:eastAsia="MS Mincho"/>
          <w:bCs/>
          <w:sz w:val="24"/>
        </w:rPr>
        <w:t>82,0</w:t>
      </w:r>
      <w:r w:rsidR="0051602C">
        <w:rPr>
          <w:rFonts w:eastAsia="MS Mincho"/>
          <w:bCs/>
          <w:sz w:val="24"/>
        </w:rPr>
        <w:t>96</w:t>
      </w:r>
      <w:r w:rsidR="00F86922">
        <w:rPr>
          <w:rFonts w:eastAsia="MS Mincho"/>
          <w:bCs/>
          <w:sz w:val="24"/>
        </w:rPr>
        <w:t xml:space="preserve"> = </w:t>
      </w:r>
      <w:r w:rsidR="00E330F0">
        <w:rPr>
          <w:rFonts w:eastAsia="MS Mincho"/>
          <w:bCs/>
          <w:sz w:val="24"/>
        </w:rPr>
        <w:t>41,048.</w:t>
      </w:r>
      <w:r w:rsidR="00356DE1">
        <w:rPr>
          <w:rFonts w:eastAsia="MS Mincho"/>
          <w:bCs/>
          <w:sz w:val="24"/>
        </w:rPr>
        <w:t>2</w:t>
      </w:r>
      <w:r w:rsidR="00DC7E3E">
        <w:rPr>
          <w:rFonts w:eastAsia="MS Mincho"/>
          <w:bCs/>
          <w:sz w:val="24"/>
        </w:rPr>
        <w:t xml:space="preserve"> × </w:t>
      </w:r>
      <w:r w:rsidR="00F86922">
        <w:rPr>
          <w:rFonts w:eastAsia="MS Mincho"/>
          <w:bCs/>
          <w:sz w:val="24"/>
        </w:rPr>
        <w:t>2</w:t>
      </w:r>
      <w:r w:rsidR="006E1394">
        <w:rPr>
          <w:rFonts w:eastAsia="MS Mincho"/>
          <w:bCs/>
          <w:sz w:val="24"/>
        </w:rPr>
        <w:t>)</w:t>
      </w:r>
      <w:r w:rsidR="00BE5E58">
        <w:rPr>
          <w:rFonts w:eastAsia="MS Mincho"/>
          <w:bCs/>
          <w:sz w:val="24"/>
        </w:rPr>
        <w:t>.</w:t>
      </w:r>
      <w:r w:rsidR="009C3AAF">
        <w:rPr>
          <w:rFonts w:eastAsia="MS Mincho"/>
          <w:bCs/>
          <w:sz w:val="24"/>
        </w:rPr>
        <w:t xml:space="preserve"> Table </w:t>
      </w:r>
      <w:r w:rsidR="00301A04">
        <w:rPr>
          <w:rFonts w:eastAsia="MS Mincho"/>
          <w:bCs/>
          <w:sz w:val="24"/>
        </w:rPr>
        <w:t>2</w:t>
      </w:r>
      <w:r w:rsidR="009C3AAF">
        <w:rPr>
          <w:rFonts w:eastAsia="MS Mincho"/>
          <w:bCs/>
          <w:sz w:val="24"/>
        </w:rPr>
        <w:t xml:space="preserve"> </w:t>
      </w:r>
      <w:r w:rsidR="00301A04">
        <w:rPr>
          <w:rFonts w:eastAsia="MS Mincho"/>
          <w:bCs/>
          <w:sz w:val="24"/>
        </w:rPr>
        <w:t>below</w:t>
      </w:r>
      <w:r w:rsidR="009C3AAF">
        <w:rPr>
          <w:rFonts w:eastAsia="MS Mincho"/>
          <w:bCs/>
          <w:sz w:val="24"/>
        </w:rPr>
        <w:t xml:space="preserve"> presents these calculations.</w:t>
      </w:r>
    </w:p>
    <w:p w14:paraId="7AE1DDD7" w14:textId="2CFD82C4" w:rsidR="00D83684" w:rsidRDefault="00D83684" w:rsidP="000077A0">
      <w:pPr>
        <w:widowControl/>
        <w:tabs>
          <w:tab w:val="left" w:pos="90"/>
          <w:tab w:val="left" w:pos="9540"/>
        </w:tabs>
        <w:ind w:firstLine="720"/>
        <w:outlineLvl w:val="0"/>
        <w:rPr>
          <w:rFonts w:eastAsia="MS Mincho"/>
          <w:bCs/>
          <w:sz w:val="24"/>
        </w:rPr>
      </w:pPr>
      <w:r>
        <w:rPr>
          <w:rFonts w:eastAsia="MS Mincho"/>
          <w:bCs/>
          <w:sz w:val="24"/>
        </w:rPr>
        <w:t xml:space="preserve">Regarding documentation of receipts, the Agency estimates the cost of their transcription, but does not assign burden hours to the task.  The receipts do not have to adhere to a certain format, length or complexity, as long as they meet the requirements of the </w:t>
      </w:r>
      <w:r w:rsidR="00494497">
        <w:rPr>
          <w:rFonts w:eastAsia="MS Mincho"/>
          <w:bCs/>
          <w:sz w:val="24"/>
        </w:rPr>
        <w:t>rule</w:t>
      </w:r>
      <w:r>
        <w:rPr>
          <w:rFonts w:eastAsia="MS Mincho"/>
          <w:bCs/>
          <w:sz w:val="24"/>
        </w:rPr>
        <w:t>.  The receipts are sometimes replicas or portion of ‘master leases</w:t>
      </w:r>
      <w:r w:rsidR="00354750">
        <w:rPr>
          <w:rFonts w:eastAsia="MS Mincho"/>
          <w:bCs/>
          <w:sz w:val="24"/>
        </w:rPr>
        <w:t>,</w:t>
      </w:r>
      <w:r>
        <w:rPr>
          <w:rFonts w:eastAsia="MS Mincho"/>
          <w:bCs/>
          <w:sz w:val="24"/>
        </w:rPr>
        <w:t>’ which make for easy and quick documentation.</w:t>
      </w:r>
    </w:p>
    <w:p w14:paraId="4608764B" w14:textId="77777777" w:rsidR="00D83684" w:rsidRDefault="00D83684" w:rsidP="000077A0">
      <w:pPr>
        <w:widowControl/>
        <w:tabs>
          <w:tab w:val="left" w:pos="90"/>
          <w:tab w:val="left" w:pos="9540"/>
        </w:tabs>
        <w:spacing w:line="360" w:lineRule="auto"/>
        <w:ind w:firstLine="720"/>
        <w:outlineLvl w:val="0"/>
        <w:rPr>
          <w:rFonts w:eastAsia="MS Mincho"/>
          <w:bCs/>
          <w:sz w:val="24"/>
        </w:rPr>
      </w:pPr>
    </w:p>
    <w:p w14:paraId="4DAEF862" w14:textId="77777777" w:rsidR="00D83684" w:rsidRPr="007277B0" w:rsidRDefault="00D83684" w:rsidP="000077A0">
      <w:pPr>
        <w:keepNext/>
        <w:widowControl/>
        <w:tabs>
          <w:tab w:val="left" w:pos="90"/>
          <w:tab w:val="left" w:pos="9540"/>
        </w:tabs>
        <w:outlineLvl w:val="0"/>
        <w:rPr>
          <w:rFonts w:eastAsia="MS Mincho"/>
          <w:bCs/>
          <w:sz w:val="24"/>
          <w:u w:val="single"/>
        </w:rPr>
      </w:pPr>
      <w:r w:rsidRPr="007277B0">
        <w:rPr>
          <w:rFonts w:eastAsia="MS Mincho"/>
          <w:bCs/>
          <w:sz w:val="24"/>
          <w:u w:val="single"/>
        </w:rPr>
        <w:t>Notification</w:t>
      </w:r>
    </w:p>
    <w:p w14:paraId="0BC05059" w14:textId="5B6EFF06" w:rsidR="002B3114" w:rsidRPr="00A71B9F" w:rsidRDefault="002B3114" w:rsidP="000077A0">
      <w:pPr>
        <w:pStyle w:val="ListParagraph"/>
        <w:widowControl/>
        <w:tabs>
          <w:tab w:val="left" w:pos="0"/>
        </w:tabs>
        <w:ind w:left="0"/>
        <w:rPr>
          <w:rFonts w:eastAsia="MS Mincho"/>
          <w:bCs/>
          <w:sz w:val="24"/>
        </w:rPr>
      </w:pPr>
      <w:r>
        <w:rPr>
          <w:rFonts w:eastAsia="MS Mincho"/>
          <w:bCs/>
          <w:sz w:val="24"/>
        </w:rPr>
        <w:tab/>
      </w:r>
      <w:r w:rsidRPr="00A71B9F">
        <w:rPr>
          <w:rFonts w:eastAsia="MS Mincho"/>
          <w:bCs/>
          <w:sz w:val="24"/>
        </w:rPr>
        <w:t>The final rule includes a notification requirement: when a passenger carrier with a charter contract leases vehicles from a subcontractor carrier to perform the charter, it must notify the charter party within 24 hours after hiring the subcontractor that the transportation will be provided by the subcontractor.  This requirement may be satisfied by notifying the tour operator or group of passengers about the role of and information about the subcontracted motor carrier.</w:t>
      </w:r>
    </w:p>
    <w:p w14:paraId="6BD71263" w14:textId="4A590745" w:rsidR="002B3114" w:rsidRPr="00A71B9F" w:rsidRDefault="002B3114" w:rsidP="000077A0">
      <w:pPr>
        <w:pStyle w:val="ListParagraph"/>
        <w:widowControl/>
        <w:tabs>
          <w:tab w:val="left" w:pos="0"/>
        </w:tabs>
        <w:ind w:left="0"/>
        <w:rPr>
          <w:rFonts w:eastAsia="MS Mincho"/>
          <w:bCs/>
          <w:sz w:val="24"/>
        </w:rPr>
      </w:pPr>
      <w:r>
        <w:rPr>
          <w:rFonts w:eastAsia="MS Mincho"/>
          <w:bCs/>
          <w:sz w:val="24"/>
        </w:rPr>
        <w:tab/>
      </w:r>
      <w:r w:rsidRPr="00A71B9F">
        <w:rPr>
          <w:rFonts w:eastAsia="MS Mincho"/>
          <w:bCs/>
          <w:sz w:val="24"/>
        </w:rPr>
        <w:t xml:space="preserve">FMCSA lacks data with which to directly quantify the annual number of passenger carriers that subcontract with other carriers to provide charter service, to which this notification requirement is applicable.  The </w:t>
      </w:r>
      <w:r w:rsidRPr="00A71B9F">
        <w:rPr>
          <w:rFonts w:eastAsia="MS Mincho"/>
          <w:bCs/>
          <w:i/>
          <w:sz w:val="24"/>
        </w:rPr>
        <w:t>Motorcoach Census 2013</w:t>
      </w:r>
      <w:r w:rsidRPr="00A71B9F">
        <w:rPr>
          <w:rFonts w:eastAsia="MS Mincho"/>
          <w:bCs/>
          <w:sz w:val="24"/>
        </w:rPr>
        <w:t>, published by the American Bus Association, characterizes three types of motorcoach transportation services for which an unknown fraction of trips may require such notification:</w:t>
      </w:r>
      <w:r w:rsidR="00A71B9F" w:rsidRPr="00A71B9F">
        <w:rPr>
          <w:color w:val="000000"/>
          <w:vertAlign w:val="superscript"/>
        </w:rPr>
        <w:t xml:space="preserve"> </w:t>
      </w:r>
      <w:r w:rsidR="00A71B9F" w:rsidRPr="00540ACC">
        <w:rPr>
          <w:color w:val="000000"/>
          <w:vertAlign w:val="superscript"/>
        </w:rPr>
        <w:footnoteReference w:id="4"/>
      </w:r>
    </w:p>
    <w:p w14:paraId="34E958AD" w14:textId="77777777" w:rsidR="002B3114" w:rsidRPr="00A71B9F" w:rsidRDefault="002B3114" w:rsidP="000077A0">
      <w:pPr>
        <w:pStyle w:val="ListParagraph"/>
        <w:widowControl/>
        <w:tabs>
          <w:tab w:val="left" w:pos="0"/>
        </w:tabs>
        <w:ind w:left="0"/>
        <w:rPr>
          <w:rFonts w:eastAsia="MS Mincho"/>
          <w:bCs/>
          <w:sz w:val="24"/>
        </w:rPr>
      </w:pPr>
    </w:p>
    <w:p w14:paraId="76FBB04C" w14:textId="77777777" w:rsidR="002B3114" w:rsidRPr="00A71B9F" w:rsidRDefault="002B3114" w:rsidP="000077A0">
      <w:pPr>
        <w:pStyle w:val="ListParagraph"/>
        <w:widowControl/>
        <w:numPr>
          <w:ilvl w:val="0"/>
          <w:numId w:val="15"/>
        </w:numPr>
        <w:tabs>
          <w:tab w:val="left" w:pos="0"/>
        </w:tabs>
        <w:autoSpaceDE/>
        <w:autoSpaceDN/>
        <w:adjustRightInd/>
        <w:rPr>
          <w:rFonts w:eastAsiaTheme="minorHAnsi"/>
          <w:sz w:val="24"/>
        </w:rPr>
      </w:pPr>
      <w:r w:rsidRPr="00A71B9F">
        <w:rPr>
          <w:rFonts w:eastAsiaTheme="minorHAnsi"/>
          <w:sz w:val="24"/>
        </w:rPr>
        <w:t>Charter – A preformed group (organization, association, tour company, shuttle service, church, school, etc.) who hires a motorcoach for exclusive use under a fixed contract.</w:t>
      </w:r>
    </w:p>
    <w:p w14:paraId="30A75071" w14:textId="77777777" w:rsidR="002B3114" w:rsidRPr="00A71B9F" w:rsidRDefault="002B3114" w:rsidP="000077A0">
      <w:pPr>
        <w:pStyle w:val="ListParagraph"/>
        <w:widowControl/>
        <w:numPr>
          <w:ilvl w:val="0"/>
          <w:numId w:val="15"/>
        </w:numPr>
        <w:tabs>
          <w:tab w:val="left" w:pos="0"/>
        </w:tabs>
        <w:autoSpaceDE/>
        <w:autoSpaceDN/>
        <w:adjustRightInd/>
        <w:rPr>
          <w:rFonts w:eastAsiaTheme="minorHAnsi"/>
          <w:sz w:val="24"/>
        </w:rPr>
      </w:pPr>
      <w:r w:rsidRPr="00A71B9F">
        <w:rPr>
          <w:rFonts w:eastAsiaTheme="minorHAnsi"/>
          <w:sz w:val="24"/>
        </w:rPr>
        <w:t>Packaged/Retail Tour – A planned or prearranged trip offered for sale by a motorcoach transportation company (including a tour company that leases/owns and operates motorcoaches) at fixed price to leisure travelers. Price usually includes lodging, meals, sightseeing, and transportation.</w:t>
      </w:r>
    </w:p>
    <w:p w14:paraId="1DC5CA0E" w14:textId="77777777" w:rsidR="002B3114" w:rsidRPr="00A71B9F" w:rsidRDefault="002B3114" w:rsidP="000077A0">
      <w:pPr>
        <w:pStyle w:val="ListParagraph"/>
        <w:widowControl/>
        <w:numPr>
          <w:ilvl w:val="0"/>
          <w:numId w:val="15"/>
        </w:numPr>
        <w:tabs>
          <w:tab w:val="left" w:pos="0"/>
        </w:tabs>
        <w:autoSpaceDE/>
        <w:autoSpaceDN/>
        <w:adjustRightInd/>
        <w:rPr>
          <w:rFonts w:eastAsiaTheme="minorHAnsi"/>
          <w:sz w:val="24"/>
        </w:rPr>
      </w:pPr>
      <w:r w:rsidRPr="00A71B9F">
        <w:rPr>
          <w:rFonts w:eastAsiaTheme="minorHAnsi"/>
          <w:sz w:val="24"/>
        </w:rPr>
        <w:t>Sightseeing – A service offered by motorcoach or tour companies to view points of interest within a specified area.</w:t>
      </w:r>
    </w:p>
    <w:p w14:paraId="47E54E1B" w14:textId="77777777" w:rsidR="002B3114" w:rsidRPr="00A71B9F" w:rsidRDefault="002B3114" w:rsidP="000077A0">
      <w:pPr>
        <w:widowControl/>
        <w:tabs>
          <w:tab w:val="left" w:pos="-90"/>
        </w:tabs>
        <w:ind w:right="180"/>
        <w:outlineLvl w:val="0"/>
        <w:rPr>
          <w:rFonts w:eastAsia="MS Mincho"/>
          <w:bCs/>
          <w:sz w:val="24"/>
        </w:rPr>
      </w:pPr>
    </w:p>
    <w:p w14:paraId="42F2458A" w14:textId="0D18617F" w:rsidR="002B3114" w:rsidRPr="006C067E" w:rsidRDefault="002B3114" w:rsidP="000077A0">
      <w:pPr>
        <w:widowControl/>
        <w:tabs>
          <w:tab w:val="left" w:pos="-90"/>
        </w:tabs>
        <w:ind w:right="180"/>
        <w:outlineLvl w:val="0"/>
        <w:rPr>
          <w:rFonts w:eastAsia="MS Mincho"/>
          <w:bCs/>
          <w:sz w:val="24"/>
        </w:rPr>
      </w:pPr>
      <w:r w:rsidRPr="006B333A">
        <w:rPr>
          <w:rFonts w:eastAsia="MS Mincho"/>
          <w:bCs/>
          <w:sz w:val="24"/>
        </w:rPr>
        <w:lastRenderedPageBreak/>
        <w:tab/>
        <w:t>Together, these three categories comprised 56.3% of total motorcoach service mileage in 2012.</w:t>
      </w:r>
      <w:r w:rsidR="006C067E" w:rsidRPr="006C067E">
        <w:rPr>
          <w:rStyle w:val="FootnoteReference"/>
          <w:rFonts w:eastAsia="MS Mincho"/>
          <w:bCs/>
          <w:vertAlign w:val="superscript"/>
        </w:rPr>
        <w:footnoteReference w:id="5"/>
      </w:r>
      <w:r w:rsidR="006C067E">
        <w:rPr>
          <w:rFonts w:eastAsia="MS Mincho"/>
          <w:bCs/>
        </w:rPr>
        <w:t xml:space="preserve"> </w:t>
      </w:r>
      <w:r w:rsidRPr="006B333A">
        <w:rPr>
          <w:rFonts w:eastAsia="MS Mincho"/>
          <w:bCs/>
          <w:sz w:val="24"/>
        </w:rPr>
        <w:t>In the same year, most passenger carriers (97.4%) offered charter service, while packaged/retail tour service and sightseeing service were offered by 45.0% and 20.8% of passenger carriers, respecti</w:t>
      </w:r>
      <w:r w:rsidRPr="00A71B9F">
        <w:rPr>
          <w:rFonts w:eastAsia="MS Mincho"/>
          <w:bCs/>
          <w:sz w:val="24"/>
        </w:rPr>
        <w:t xml:space="preserve">vely. To estimate the number of passenger carriers that subcontract with other carriers to provide charter service, this analysis assumes that </w:t>
      </w:r>
      <w:r w:rsidR="00376989" w:rsidRPr="00A71B9F">
        <w:rPr>
          <w:rFonts w:eastAsia="MS Mincho"/>
          <w:bCs/>
          <w:sz w:val="24"/>
        </w:rPr>
        <w:t>as of 201</w:t>
      </w:r>
      <w:r w:rsidR="006C067E">
        <w:rPr>
          <w:rFonts w:eastAsia="MS Mincho"/>
          <w:bCs/>
          <w:sz w:val="24"/>
        </w:rPr>
        <w:t>4</w:t>
      </w:r>
      <w:r w:rsidR="00376989" w:rsidRPr="00A71B9F">
        <w:rPr>
          <w:rFonts w:eastAsia="MS Mincho"/>
          <w:bCs/>
          <w:sz w:val="24"/>
        </w:rPr>
        <w:t xml:space="preserve">, </w:t>
      </w:r>
      <w:r w:rsidRPr="00A71B9F">
        <w:rPr>
          <w:rFonts w:eastAsia="MS Mincho"/>
          <w:bCs/>
          <w:sz w:val="24"/>
        </w:rPr>
        <w:t xml:space="preserve">all 7,049 carriers </w:t>
      </w:r>
      <w:r w:rsidRPr="00A71B9F">
        <w:rPr>
          <w:rFonts w:eastAsia="MS Mincho"/>
          <w:bCs/>
          <w:i/>
          <w:sz w:val="24"/>
        </w:rPr>
        <w:t xml:space="preserve">might </w:t>
      </w:r>
      <w:r w:rsidRPr="00A71B9F">
        <w:rPr>
          <w:rFonts w:eastAsia="MS Mincho"/>
          <w:bCs/>
          <w:sz w:val="24"/>
        </w:rPr>
        <w:t>engage</w:t>
      </w:r>
      <w:r w:rsidRPr="00A655DC">
        <w:rPr>
          <w:rFonts w:eastAsia="MS Mincho"/>
          <w:bCs/>
          <w:sz w:val="24"/>
        </w:rPr>
        <w:t xml:space="preserve"> in subcontracting, though only half (3,525) </w:t>
      </w:r>
      <w:r w:rsidR="00376989" w:rsidRPr="00A655DC">
        <w:rPr>
          <w:rFonts w:eastAsia="MS Mincho"/>
          <w:bCs/>
          <w:sz w:val="24"/>
        </w:rPr>
        <w:t>do</w:t>
      </w:r>
      <w:r w:rsidRPr="006C067E">
        <w:rPr>
          <w:rFonts w:eastAsia="MS Mincho"/>
          <w:bCs/>
          <w:sz w:val="24"/>
        </w:rPr>
        <w:t>, as discussed in the following paragraph.</w:t>
      </w:r>
    </w:p>
    <w:p w14:paraId="5C415950" w14:textId="00C80BD7" w:rsidR="006B333A" w:rsidRPr="006B333A" w:rsidRDefault="006B333A" w:rsidP="000077A0">
      <w:pPr>
        <w:widowControl/>
        <w:tabs>
          <w:tab w:val="left" w:pos="-90"/>
        </w:tabs>
        <w:ind w:right="180"/>
        <w:outlineLvl w:val="0"/>
        <w:rPr>
          <w:rFonts w:eastAsia="MS Mincho"/>
          <w:bCs/>
          <w:sz w:val="24"/>
        </w:rPr>
      </w:pPr>
      <w:r>
        <w:rPr>
          <w:rFonts w:eastAsia="MS Mincho"/>
          <w:bCs/>
          <w:sz w:val="24"/>
        </w:rPr>
        <w:tab/>
      </w:r>
      <w:r w:rsidRPr="006B333A">
        <w:rPr>
          <w:rFonts w:eastAsia="MS Mincho"/>
          <w:bCs/>
          <w:sz w:val="24"/>
        </w:rPr>
        <w:t xml:space="preserve">The assumption that half of the carrier population subject to </w:t>
      </w:r>
      <w:r w:rsidR="0029056F">
        <w:rPr>
          <w:rFonts w:eastAsia="MS Mincho"/>
          <w:bCs/>
          <w:sz w:val="24"/>
        </w:rPr>
        <w:t>the charter group notification requirement</w:t>
      </w:r>
      <w:r w:rsidRPr="006B333A">
        <w:rPr>
          <w:rFonts w:eastAsia="MS Mincho"/>
          <w:bCs/>
          <w:sz w:val="24"/>
        </w:rPr>
        <w:t xml:space="preserve"> (3,525 carriers) utilizes subcontracting is based on several considerations: 1) the prevalence of leasing throughout the passenger carrier industry, 2) the distribution of total motorcoach vehicle miles traveled (VMT) by fleet size in 2012, in which carriers operating fleets with fewer than 25 vehicles (that is, 94.3% of carriers) accounted for 40.6% of vehicle mileage, and 3) the fact that larger fleets accrue relatively more VMT in scheduled services and commuter services than smaller fleets that depend more on charter, packaged/retail tour, and sightseeing services as the core of their business.</w:t>
      </w:r>
      <w:r w:rsidRPr="00320B1E">
        <w:rPr>
          <w:rStyle w:val="FootnoteReference"/>
          <w:rFonts w:eastAsia="MS Mincho"/>
          <w:bCs/>
          <w:sz w:val="24"/>
          <w:vertAlign w:val="superscript"/>
        </w:rPr>
        <w:footnoteReference w:id="6"/>
      </w:r>
    </w:p>
    <w:p w14:paraId="3A6CD287" w14:textId="11AB17D2" w:rsidR="006B333A" w:rsidRPr="006B333A" w:rsidRDefault="00BD640D" w:rsidP="000077A0">
      <w:pPr>
        <w:widowControl/>
        <w:tabs>
          <w:tab w:val="left" w:pos="-90"/>
        </w:tabs>
        <w:ind w:right="180"/>
        <w:outlineLvl w:val="0"/>
        <w:rPr>
          <w:rFonts w:eastAsia="MS Mincho"/>
          <w:bCs/>
          <w:sz w:val="24"/>
        </w:rPr>
      </w:pPr>
      <w:r>
        <w:rPr>
          <w:rFonts w:eastAsia="MS Mincho"/>
          <w:bCs/>
          <w:sz w:val="24"/>
        </w:rPr>
        <w:tab/>
      </w:r>
      <w:r w:rsidR="006B333A" w:rsidRPr="006B333A">
        <w:rPr>
          <w:rFonts w:eastAsia="MS Mincho"/>
          <w:bCs/>
          <w:sz w:val="24"/>
        </w:rPr>
        <w:t>It is assumed that virtually all carriers will comply with this requirement by means of electronic notification (email) as it is standard business practice for a charter group’s organizer to provide the carrier with contact information.  Although the notification requirement may be satisfied through providing the required information to the charter group’s organizer, carriers may have contact information for some portion the charter group’s passengers through online ticket sales, enabling direct passenger notification.  However, this analysis assumes carriers will maintain electronic communication with a sole representative of each charter group responsible for disseminating notifications to the charter group’s members.  This is the lowest-cost compliance strategy for carriers and provides the greatest assurance that all members of the charter group will receive the notice.</w:t>
      </w:r>
    </w:p>
    <w:p w14:paraId="41CB8B1D" w14:textId="33D0511D" w:rsidR="006B333A" w:rsidRDefault="00E32809" w:rsidP="000077A0">
      <w:pPr>
        <w:widowControl/>
        <w:tabs>
          <w:tab w:val="left" w:pos="-90"/>
        </w:tabs>
        <w:ind w:right="180"/>
        <w:outlineLvl w:val="0"/>
        <w:rPr>
          <w:sz w:val="24"/>
        </w:rPr>
      </w:pPr>
      <w:r>
        <w:rPr>
          <w:rFonts w:eastAsia="MS Mincho"/>
          <w:bCs/>
          <w:sz w:val="24"/>
        </w:rPr>
        <w:tab/>
      </w:r>
      <w:r w:rsidR="006B333A" w:rsidRPr="006B333A">
        <w:rPr>
          <w:rFonts w:eastAsia="MS Mincho"/>
          <w:bCs/>
          <w:sz w:val="24"/>
        </w:rPr>
        <w:t xml:space="preserve">Given that the rule is set to begin in 2017 and the annual increase in the carrier population is assumed to be 2.17 percent, the Agency estimates </w:t>
      </w:r>
      <w:r w:rsidR="00487502">
        <w:rPr>
          <w:rFonts w:eastAsia="MS Mincho"/>
          <w:bCs/>
          <w:sz w:val="24"/>
        </w:rPr>
        <w:t>3,759</w:t>
      </w:r>
      <w:r w:rsidR="006B333A" w:rsidRPr="006B333A">
        <w:rPr>
          <w:rFonts w:eastAsia="MS Mincho"/>
          <w:bCs/>
          <w:sz w:val="24"/>
        </w:rPr>
        <w:t xml:space="preserve"> carriers may be affected by the notification requirement during the first year of the rule (3,759 = 3,525 × (1.0217</w:t>
      </w:r>
      <w:r w:rsidR="006B333A" w:rsidRPr="006B333A">
        <w:rPr>
          <w:rFonts w:eastAsia="MS Mincho"/>
          <w:bCs/>
          <w:sz w:val="24"/>
          <w:vertAlign w:val="superscript"/>
        </w:rPr>
        <w:t>3</w:t>
      </w:r>
      <w:r w:rsidR="006B333A" w:rsidRPr="006B333A">
        <w:rPr>
          <w:rFonts w:eastAsia="MS Mincho"/>
          <w:bCs/>
          <w:sz w:val="24"/>
        </w:rPr>
        <w:t xml:space="preserve">). The number of notifications in the first year is the product of the number of impacted carriers (3,759) and the average number of subcontracted charters per impacted carrier.  </w:t>
      </w:r>
      <w:r w:rsidR="00377037">
        <w:rPr>
          <w:rFonts w:eastAsia="MS Mincho"/>
          <w:bCs/>
          <w:sz w:val="24"/>
        </w:rPr>
        <w:t>The Agency assumes the average carrier impacted by the charter group notification requirement engages i</w:t>
      </w:r>
      <w:r w:rsidR="003F1EF8">
        <w:rPr>
          <w:rFonts w:eastAsia="MS Mincho"/>
          <w:bCs/>
          <w:sz w:val="24"/>
        </w:rPr>
        <w:t>n</w:t>
      </w:r>
      <w:r w:rsidR="00377037">
        <w:rPr>
          <w:rFonts w:eastAsia="MS Mincho"/>
          <w:bCs/>
          <w:sz w:val="24"/>
        </w:rPr>
        <w:t xml:space="preserve"> </w:t>
      </w:r>
      <w:r w:rsidR="006B333A" w:rsidRPr="006B333A">
        <w:rPr>
          <w:rFonts w:eastAsia="MS Mincho"/>
          <w:bCs/>
          <w:sz w:val="24"/>
        </w:rPr>
        <w:t>64</w:t>
      </w:r>
      <w:r w:rsidR="00377037">
        <w:rPr>
          <w:rFonts w:eastAsia="MS Mincho"/>
          <w:bCs/>
          <w:sz w:val="24"/>
        </w:rPr>
        <w:t xml:space="preserve"> subcontract agreements per year that consequently require 64 separate notifications.</w:t>
      </w:r>
      <w:r w:rsidR="00BB54DE">
        <w:rPr>
          <w:rFonts w:eastAsia="MS Mincho"/>
          <w:bCs/>
          <w:sz w:val="24"/>
        </w:rPr>
        <w:t xml:space="preserve"> At this rate,</w:t>
      </w:r>
      <w:r w:rsidR="006B333A" w:rsidRPr="006B333A">
        <w:rPr>
          <w:rFonts w:eastAsia="MS Mincho"/>
          <w:bCs/>
          <w:sz w:val="24"/>
        </w:rPr>
        <w:t xml:space="preserve"> the total number of notifications required in the year 2017 is 240,576 (240,576</w:t>
      </w:r>
      <w:r w:rsidR="00BB54DE">
        <w:rPr>
          <w:rFonts w:eastAsia="MS Mincho"/>
          <w:bCs/>
          <w:sz w:val="24"/>
        </w:rPr>
        <w:t xml:space="preserve"> notifications</w:t>
      </w:r>
      <w:r w:rsidR="006B333A" w:rsidRPr="006B333A">
        <w:rPr>
          <w:rFonts w:eastAsia="MS Mincho"/>
          <w:bCs/>
          <w:sz w:val="24"/>
        </w:rPr>
        <w:t xml:space="preserve"> = 3,759</w:t>
      </w:r>
      <w:r w:rsidR="000B5DDD">
        <w:rPr>
          <w:rFonts w:eastAsia="MS Mincho"/>
          <w:bCs/>
          <w:sz w:val="24"/>
        </w:rPr>
        <w:t xml:space="preserve"> impacted carriers</w:t>
      </w:r>
      <w:r w:rsidR="006B333A" w:rsidRPr="006B333A">
        <w:rPr>
          <w:rFonts w:eastAsia="MS Mincho"/>
          <w:bCs/>
          <w:sz w:val="24"/>
        </w:rPr>
        <w:t xml:space="preserve"> × 64</w:t>
      </w:r>
      <w:r w:rsidR="00BB54DE">
        <w:rPr>
          <w:rFonts w:eastAsia="MS Mincho"/>
          <w:bCs/>
          <w:sz w:val="24"/>
        </w:rPr>
        <w:t xml:space="preserve"> notifications per impacted carrier</w:t>
      </w:r>
      <w:r w:rsidR="006B333A" w:rsidRPr="006B333A">
        <w:rPr>
          <w:rFonts w:eastAsia="MS Mincho"/>
          <w:bCs/>
          <w:sz w:val="24"/>
        </w:rPr>
        <w:t xml:space="preserve">). </w:t>
      </w:r>
      <w:r w:rsidR="00740A6F">
        <w:rPr>
          <w:rFonts w:eastAsia="MS Mincho"/>
          <w:bCs/>
          <w:sz w:val="24"/>
        </w:rPr>
        <w:t xml:space="preserve">Factoring in data provided by Greyhound, documenting that in 2012, Greyhound leased </w:t>
      </w:r>
      <w:r w:rsidR="006B333A" w:rsidRPr="006B333A">
        <w:rPr>
          <w:sz w:val="24"/>
        </w:rPr>
        <w:t>2,174 buses on a trip lease basis for use primarily as extra sections during peak periods</w:t>
      </w:r>
      <w:r w:rsidR="00740A6F">
        <w:rPr>
          <w:sz w:val="24"/>
        </w:rPr>
        <w:t>, the estimated number of notifications is increased accordingly</w:t>
      </w:r>
      <w:r w:rsidR="006B333A" w:rsidRPr="006B333A">
        <w:rPr>
          <w:sz w:val="24"/>
        </w:rPr>
        <w:t>. Projecting Greyhound’s trip lease frequency to 2017 using the 2.17 percent per year growth factor applied</w:t>
      </w:r>
      <w:r w:rsidR="00740A6F">
        <w:rPr>
          <w:sz w:val="24"/>
        </w:rPr>
        <w:t xml:space="preserve"> to the motor carrier population</w:t>
      </w:r>
      <w:r w:rsidR="006B333A" w:rsidRPr="006B333A">
        <w:rPr>
          <w:sz w:val="24"/>
        </w:rPr>
        <w:t>, it is estimated that Greyhound may have up to 2,420 chartered trips in 2017 (2,420 = 2,174 × 1.0217</w:t>
      </w:r>
      <w:r w:rsidR="006B333A" w:rsidRPr="006B333A">
        <w:rPr>
          <w:sz w:val="24"/>
          <w:vertAlign w:val="superscript"/>
        </w:rPr>
        <w:t>5</w:t>
      </w:r>
      <w:r w:rsidR="006B333A" w:rsidRPr="006B333A">
        <w:rPr>
          <w:sz w:val="24"/>
        </w:rPr>
        <w:t>) for which this notification requirement applies.  Therefore, the number of notifications projected in year 2017 is incremented by 2,420 and estimated at 242,996 (242,996 = 240,576 + 2,420).</w:t>
      </w:r>
    </w:p>
    <w:p w14:paraId="38AF83F8" w14:textId="62AD44B0" w:rsidR="00C61D52" w:rsidRPr="00C61D52" w:rsidRDefault="00C61D52" w:rsidP="000077A0">
      <w:pPr>
        <w:widowControl/>
        <w:tabs>
          <w:tab w:val="left" w:pos="-90"/>
        </w:tabs>
        <w:ind w:right="180"/>
        <w:outlineLvl w:val="0"/>
        <w:rPr>
          <w:rFonts w:eastAsia="MS Mincho"/>
          <w:bCs/>
          <w:sz w:val="24"/>
        </w:rPr>
      </w:pPr>
      <w:r>
        <w:rPr>
          <w:rFonts w:eastAsia="MS Mincho"/>
          <w:bCs/>
          <w:sz w:val="24"/>
        </w:rPr>
        <w:lastRenderedPageBreak/>
        <w:tab/>
      </w:r>
      <w:r w:rsidRPr="00C61D52">
        <w:rPr>
          <w:rFonts w:eastAsia="MS Mincho"/>
          <w:bCs/>
          <w:sz w:val="24"/>
        </w:rPr>
        <w:t>The analysis assumes an average of 5 minutes per email notification</w:t>
      </w:r>
      <w:r w:rsidR="00DC7E3E">
        <w:rPr>
          <w:rFonts w:eastAsia="MS Mincho"/>
          <w:bCs/>
          <w:sz w:val="24"/>
        </w:rPr>
        <w:t xml:space="preserve">. This value is </w:t>
      </w:r>
      <w:r w:rsidRPr="00C61D52">
        <w:rPr>
          <w:rFonts w:eastAsia="MS Mincho"/>
          <w:bCs/>
          <w:sz w:val="24"/>
        </w:rPr>
        <w:t>multiplied by the projected number of notifications per year</w:t>
      </w:r>
      <w:r w:rsidR="00DC7E3E">
        <w:rPr>
          <w:rFonts w:eastAsia="MS Mincho"/>
          <w:bCs/>
          <w:sz w:val="24"/>
        </w:rPr>
        <w:t>,</w:t>
      </w:r>
      <w:r w:rsidRPr="00C61D52">
        <w:rPr>
          <w:rFonts w:eastAsia="MS Mincho"/>
          <w:bCs/>
          <w:sz w:val="24"/>
        </w:rPr>
        <w:t xml:space="preserve"> which is </w:t>
      </w:r>
      <w:r w:rsidR="00DC7E3E">
        <w:rPr>
          <w:rFonts w:eastAsia="MS Mincho"/>
          <w:bCs/>
          <w:sz w:val="24"/>
        </w:rPr>
        <w:t xml:space="preserve">determined as </w:t>
      </w:r>
      <w:r w:rsidRPr="00C61D52">
        <w:rPr>
          <w:rFonts w:eastAsia="MS Mincho"/>
          <w:bCs/>
          <w:sz w:val="24"/>
        </w:rPr>
        <w:t>the average number of subcontract agreements</w:t>
      </w:r>
      <w:r>
        <w:rPr>
          <w:rFonts w:eastAsia="MS Mincho"/>
          <w:bCs/>
          <w:sz w:val="24"/>
        </w:rPr>
        <w:t xml:space="preserve"> per year (64</w:t>
      </w:r>
      <w:r w:rsidRPr="00C61D52">
        <w:rPr>
          <w:rFonts w:eastAsia="MS Mincho"/>
          <w:bCs/>
          <w:sz w:val="24"/>
        </w:rPr>
        <w:t>) multiplied by the projected number of impacted carriers (3,759), plus the projected number of Greyhound trip-leases (2,420)</w:t>
      </w:r>
      <w:r w:rsidR="00DC7E3E">
        <w:rPr>
          <w:rFonts w:eastAsia="MS Mincho"/>
          <w:bCs/>
          <w:sz w:val="24"/>
        </w:rPr>
        <w:t>, to estimate the total annual notification burden</w:t>
      </w:r>
      <w:r w:rsidRPr="00C61D52">
        <w:rPr>
          <w:rFonts w:eastAsia="MS Mincho"/>
          <w:bCs/>
          <w:sz w:val="24"/>
        </w:rPr>
        <w:t>. The total</w:t>
      </w:r>
      <w:r w:rsidR="00BF74A8">
        <w:rPr>
          <w:rFonts w:eastAsia="MS Mincho"/>
          <w:bCs/>
          <w:sz w:val="24"/>
        </w:rPr>
        <w:t xml:space="preserve"> number of</w:t>
      </w:r>
      <w:r w:rsidRPr="00C61D52">
        <w:rPr>
          <w:rFonts w:eastAsia="MS Mincho"/>
          <w:bCs/>
          <w:sz w:val="24"/>
        </w:rPr>
        <w:t xml:space="preserve"> </w:t>
      </w:r>
      <w:r w:rsidR="00BF74A8">
        <w:rPr>
          <w:rFonts w:eastAsia="MS Mincho"/>
          <w:bCs/>
          <w:sz w:val="24"/>
        </w:rPr>
        <w:t>notifications estimated per year as of 2017 is</w:t>
      </w:r>
      <w:r w:rsidRPr="00C61D52">
        <w:rPr>
          <w:rFonts w:eastAsia="MS Mincho"/>
          <w:bCs/>
          <w:sz w:val="24"/>
        </w:rPr>
        <w:t xml:space="preserve"> </w:t>
      </w:r>
      <w:r w:rsidR="00BF74A8">
        <w:rPr>
          <w:rFonts w:eastAsia="MS Mincho"/>
          <w:bCs/>
          <w:sz w:val="24"/>
        </w:rPr>
        <w:t xml:space="preserve">242,996 </w:t>
      </w:r>
      <w:r w:rsidRPr="00C61D52">
        <w:rPr>
          <w:rFonts w:eastAsia="MS Mincho"/>
          <w:bCs/>
          <w:sz w:val="24"/>
        </w:rPr>
        <w:t>(</w:t>
      </w:r>
      <w:r w:rsidR="00BF74A8">
        <w:rPr>
          <w:rFonts w:eastAsia="MS Mincho"/>
          <w:bCs/>
          <w:sz w:val="24"/>
        </w:rPr>
        <w:t>242,996</w:t>
      </w:r>
      <w:r w:rsidRPr="00C61D52">
        <w:rPr>
          <w:rFonts w:eastAsia="MS Mincho"/>
          <w:bCs/>
          <w:sz w:val="24"/>
        </w:rPr>
        <w:t xml:space="preserve"> =</w:t>
      </w:r>
      <w:r w:rsidR="00BF74A8">
        <w:rPr>
          <w:rFonts w:eastAsia="MS Mincho"/>
          <w:bCs/>
          <w:sz w:val="24"/>
        </w:rPr>
        <w:t xml:space="preserve"> 64 agreements per affected carrier × 3,759 affected carriers + 2,420 Greyhound-specific agreements)</w:t>
      </w:r>
      <w:r w:rsidRPr="00C61D52">
        <w:rPr>
          <w:rFonts w:eastAsia="MS Mincho"/>
          <w:bCs/>
          <w:sz w:val="24"/>
        </w:rPr>
        <w:t>.</w:t>
      </w:r>
      <w:r w:rsidR="00E116D7">
        <w:rPr>
          <w:rFonts w:eastAsia="MS Mincho"/>
          <w:bCs/>
          <w:sz w:val="24"/>
        </w:rPr>
        <w:t xml:space="preserve">  The total annual notification burden is therefore 20,250 hours (20,250 = 242,996 notifications × 5 minutes per notification ÷</w:t>
      </w:r>
      <w:r w:rsidR="00DE32E7">
        <w:rPr>
          <w:rFonts w:eastAsia="MS Mincho"/>
          <w:bCs/>
          <w:sz w:val="24"/>
        </w:rPr>
        <w:t xml:space="preserve"> </w:t>
      </w:r>
      <w:r w:rsidR="00E116D7">
        <w:rPr>
          <w:rFonts w:eastAsia="MS Mincho"/>
          <w:bCs/>
          <w:sz w:val="24"/>
        </w:rPr>
        <w:t>60 minutes per hour).</w:t>
      </w:r>
    </w:p>
    <w:p w14:paraId="7143A492" w14:textId="77777777" w:rsidR="006B333A" w:rsidRPr="00C21197" w:rsidRDefault="006B333A" w:rsidP="000077A0">
      <w:pPr>
        <w:widowControl/>
        <w:tabs>
          <w:tab w:val="left" w:pos="-90"/>
        </w:tabs>
        <w:ind w:right="180"/>
        <w:outlineLvl w:val="0"/>
        <w:rPr>
          <w:rFonts w:eastAsia="MS Mincho"/>
          <w:bCs/>
          <w:sz w:val="24"/>
        </w:rPr>
      </w:pPr>
    </w:p>
    <w:p w14:paraId="2450FDF4" w14:textId="4F67B49D" w:rsidR="00247D22" w:rsidRDefault="00247D22" w:rsidP="000077A0">
      <w:pPr>
        <w:keepNext/>
        <w:widowControl/>
        <w:ind w:firstLine="720"/>
        <w:rPr>
          <w:sz w:val="24"/>
        </w:rPr>
      </w:pPr>
      <w:r>
        <w:rPr>
          <w:bCs/>
          <w:sz w:val="24"/>
        </w:rPr>
        <w:t xml:space="preserve">Table 2 below presents in detail the calculation of each component of the IC-2 burden hours and </w:t>
      </w:r>
      <w:r>
        <w:rPr>
          <w:sz w:val="24"/>
        </w:rPr>
        <w:t>costs for all of the individual tasks necessary to comply with the rule.</w:t>
      </w:r>
    </w:p>
    <w:p w14:paraId="522B43E5" w14:textId="77777777" w:rsidR="00247D22" w:rsidRDefault="00247D22" w:rsidP="000077A0">
      <w:pPr>
        <w:widowControl/>
        <w:tabs>
          <w:tab w:val="left" w:pos="90"/>
          <w:tab w:val="left" w:pos="9540"/>
        </w:tabs>
        <w:spacing w:line="360" w:lineRule="auto"/>
        <w:outlineLvl w:val="0"/>
        <w:rPr>
          <w:bCs/>
          <w:sz w:val="24"/>
        </w:rPr>
      </w:pPr>
    </w:p>
    <w:tbl>
      <w:tblPr>
        <w:tblW w:w="7864" w:type="dxa"/>
        <w:jc w:val="center"/>
        <w:tblLook w:val="04A0" w:firstRow="1" w:lastRow="0" w:firstColumn="1" w:lastColumn="0" w:noHBand="0" w:noVBand="1"/>
      </w:tblPr>
      <w:tblGrid>
        <w:gridCol w:w="3444"/>
        <w:gridCol w:w="1808"/>
        <w:gridCol w:w="2612"/>
      </w:tblGrid>
      <w:tr w:rsidR="00247D22" w:rsidRPr="006E1394" w14:paraId="6D09DE30" w14:textId="77777777" w:rsidTr="007B6F94">
        <w:trPr>
          <w:trHeight w:val="315"/>
          <w:tblHeader/>
          <w:jc w:val="center"/>
        </w:trPr>
        <w:tc>
          <w:tcPr>
            <w:tcW w:w="7864" w:type="dxa"/>
            <w:gridSpan w:val="3"/>
            <w:tcBorders>
              <w:top w:val="single" w:sz="8" w:space="0" w:color="auto"/>
              <w:left w:val="single" w:sz="8" w:space="0" w:color="auto"/>
              <w:bottom w:val="single" w:sz="8" w:space="0" w:color="auto"/>
              <w:right w:val="single" w:sz="8" w:space="0" w:color="000000"/>
            </w:tcBorders>
            <w:shd w:val="clear" w:color="000000" w:fill="C7F1C7"/>
            <w:vAlign w:val="center"/>
            <w:hideMark/>
          </w:tcPr>
          <w:p w14:paraId="60D88241" w14:textId="38851041"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 xml:space="preserve">Table 2: Burden Hours </w:t>
            </w:r>
            <w:r w:rsidR="00F0498D">
              <w:rPr>
                <w:b/>
                <w:bCs/>
                <w:color w:val="000000"/>
                <w:sz w:val="22"/>
                <w:szCs w:val="22"/>
              </w:rPr>
              <w:t>b</w:t>
            </w:r>
            <w:r w:rsidRPr="00793027">
              <w:rPr>
                <w:b/>
                <w:bCs/>
                <w:color w:val="000000"/>
                <w:sz w:val="22"/>
                <w:szCs w:val="22"/>
              </w:rPr>
              <w:t xml:space="preserve">y Task </w:t>
            </w:r>
            <w:r w:rsidR="00F0498D">
              <w:rPr>
                <w:b/>
                <w:bCs/>
                <w:color w:val="000000"/>
                <w:sz w:val="22"/>
                <w:szCs w:val="22"/>
              </w:rPr>
              <w:t>in Year</w:t>
            </w:r>
            <w:r w:rsidRPr="00793027">
              <w:rPr>
                <w:b/>
                <w:bCs/>
                <w:color w:val="000000"/>
                <w:sz w:val="22"/>
                <w:szCs w:val="22"/>
              </w:rPr>
              <w:t xml:space="preserve"> 2017</w:t>
            </w:r>
          </w:p>
        </w:tc>
      </w:tr>
      <w:tr w:rsidR="00247D22" w:rsidRPr="006E1394" w14:paraId="664A3556" w14:textId="77777777" w:rsidTr="002B745C">
        <w:trPr>
          <w:trHeight w:val="315"/>
          <w:jc w:val="center"/>
        </w:trPr>
        <w:tc>
          <w:tcPr>
            <w:tcW w:w="5252" w:type="dxa"/>
            <w:gridSpan w:val="2"/>
            <w:tcBorders>
              <w:top w:val="single" w:sz="8" w:space="0" w:color="auto"/>
              <w:left w:val="single" w:sz="8" w:space="0" w:color="auto"/>
              <w:bottom w:val="single" w:sz="8" w:space="0" w:color="auto"/>
              <w:right w:val="single" w:sz="8" w:space="0" w:color="000000"/>
            </w:tcBorders>
            <w:shd w:val="clear" w:color="000000" w:fill="CDDEFF"/>
            <w:noWrap/>
            <w:vAlign w:val="center"/>
            <w:hideMark/>
          </w:tcPr>
          <w:p w14:paraId="2E9DCAD4"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Basics</w:t>
            </w:r>
          </w:p>
        </w:tc>
        <w:tc>
          <w:tcPr>
            <w:tcW w:w="2612" w:type="dxa"/>
            <w:tcBorders>
              <w:top w:val="nil"/>
              <w:left w:val="nil"/>
              <w:bottom w:val="single" w:sz="8" w:space="0" w:color="auto"/>
              <w:right w:val="single" w:sz="8" w:space="0" w:color="auto"/>
            </w:tcBorders>
            <w:shd w:val="clear" w:color="000000" w:fill="CDDEFF"/>
            <w:noWrap/>
            <w:vAlign w:val="center"/>
            <w:hideMark/>
          </w:tcPr>
          <w:p w14:paraId="767AF65D"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Notes</w:t>
            </w:r>
          </w:p>
        </w:tc>
      </w:tr>
      <w:tr w:rsidR="00247D22" w:rsidRPr="006E1394" w14:paraId="00629D42" w14:textId="77777777" w:rsidTr="002B745C">
        <w:trPr>
          <w:trHeight w:val="300"/>
          <w:jc w:val="center"/>
        </w:trPr>
        <w:tc>
          <w:tcPr>
            <w:tcW w:w="3444" w:type="dxa"/>
            <w:tcBorders>
              <w:top w:val="nil"/>
              <w:left w:val="single" w:sz="8" w:space="0" w:color="auto"/>
              <w:bottom w:val="nil"/>
              <w:right w:val="nil"/>
            </w:tcBorders>
            <w:shd w:val="clear" w:color="auto" w:fill="auto"/>
            <w:noWrap/>
            <w:vAlign w:val="center"/>
            <w:hideMark/>
          </w:tcPr>
          <w:p w14:paraId="47ECFF48"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Carrier Population Increase</w:t>
            </w:r>
          </w:p>
        </w:tc>
        <w:tc>
          <w:tcPr>
            <w:tcW w:w="1808" w:type="dxa"/>
            <w:tcBorders>
              <w:top w:val="nil"/>
              <w:left w:val="nil"/>
              <w:bottom w:val="nil"/>
              <w:right w:val="nil"/>
            </w:tcBorders>
            <w:shd w:val="clear" w:color="auto" w:fill="auto"/>
            <w:noWrap/>
            <w:vAlign w:val="center"/>
            <w:hideMark/>
          </w:tcPr>
          <w:p w14:paraId="6A0A3B3B" w14:textId="77777777" w:rsidR="00247D22" w:rsidRPr="00793027" w:rsidRDefault="00247D22" w:rsidP="000077A0">
            <w:pPr>
              <w:widowControl/>
              <w:autoSpaceDE/>
              <w:autoSpaceDN/>
              <w:adjustRightInd/>
              <w:jc w:val="center"/>
              <w:rPr>
                <w:color w:val="000000"/>
                <w:sz w:val="22"/>
                <w:szCs w:val="22"/>
              </w:rPr>
            </w:pPr>
            <w:r w:rsidRPr="00793027">
              <w:rPr>
                <w:color w:val="000000"/>
                <w:sz w:val="22"/>
                <w:szCs w:val="22"/>
              </w:rPr>
              <w:t>1.0217</w:t>
            </w:r>
          </w:p>
        </w:tc>
        <w:tc>
          <w:tcPr>
            <w:tcW w:w="2612" w:type="dxa"/>
            <w:tcBorders>
              <w:top w:val="nil"/>
              <w:left w:val="nil"/>
              <w:bottom w:val="nil"/>
              <w:right w:val="single" w:sz="8" w:space="0" w:color="auto"/>
            </w:tcBorders>
            <w:shd w:val="clear" w:color="auto" w:fill="auto"/>
            <w:noWrap/>
            <w:vAlign w:val="center"/>
            <w:hideMark/>
          </w:tcPr>
          <w:p w14:paraId="258F2A9D" w14:textId="2B63BD36" w:rsidR="00247D22" w:rsidRPr="00793027" w:rsidRDefault="00247D22" w:rsidP="000077A0">
            <w:pPr>
              <w:widowControl/>
              <w:autoSpaceDE/>
              <w:autoSpaceDN/>
              <w:adjustRightInd/>
              <w:jc w:val="center"/>
              <w:rPr>
                <w:color w:val="000000"/>
                <w:sz w:val="22"/>
                <w:szCs w:val="22"/>
              </w:rPr>
            </w:pPr>
            <w:r w:rsidRPr="00793027">
              <w:rPr>
                <w:color w:val="000000"/>
                <w:sz w:val="22"/>
                <w:szCs w:val="22"/>
              </w:rPr>
              <w:t>2.17% Increase</w:t>
            </w:r>
            <w:r w:rsidR="00793027" w:rsidRPr="00793027">
              <w:rPr>
                <w:color w:val="000000"/>
                <w:sz w:val="22"/>
                <w:szCs w:val="22"/>
              </w:rPr>
              <w:t xml:space="preserve"> (see footnote 2)</w:t>
            </w:r>
          </w:p>
        </w:tc>
      </w:tr>
      <w:tr w:rsidR="00247D22" w:rsidRPr="006E1394" w14:paraId="7D6C3610" w14:textId="77777777" w:rsidTr="002B745C">
        <w:trPr>
          <w:trHeight w:val="300"/>
          <w:jc w:val="center"/>
        </w:trPr>
        <w:tc>
          <w:tcPr>
            <w:tcW w:w="3444" w:type="dxa"/>
            <w:tcBorders>
              <w:top w:val="nil"/>
              <w:left w:val="single" w:sz="8" w:space="0" w:color="auto"/>
              <w:bottom w:val="nil"/>
              <w:right w:val="nil"/>
            </w:tcBorders>
            <w:shd w:val="clear" w:color="auto" w:fill="auto"/>
            <w:noWrap/>
            <w:vAlign w:val="center"/>
            <w:hideMark/>
          </w:tcPr>
          <w:p w14:paraId="6237A6BF" w14:textId="4F872B44"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 xml:space="preserve">Affected Carriers in </w:t>
            </w:r>
            <w:r w:rsidR="00A655DC">
              <w:rPr>
                <w:b/>
                <w:bCs/>
                <w:color w:val="000000"/>
                <w:sz w:val="22"/>
                <w:szCs w:val="22"/>
              </w:rPr>
              <w:t>2014</w:t>
            </w:r>
          </w:p>
        </w:tc>
        <w:tc>
          <w:tcPr>
            <w:tcW w:w="1808" w:type="dxa"/>
            <w:tcBorders>
              <w:top w:val="nil"/>
              <w:left w:val="nil"/>
              <w:bottom w:val="nil"/>
              <w:right w:val="nil"/>
            </w:tcBorders>
            <w:shd w:val="clear" w:color="auto" w:fill="auto"/>
            <w:noWrap/>
            <w:vAlign w:val="center"/>
            <w:hideMark/>
          </w:tcPr>
          <w:p w14:paraId="0C04C8F4" w14:textId="71B2B960" w:rsidR="00247D22" w:rsidRPr="00793027" w:rsidRDefault="006C6640" w:rsidP="000077A0">
            <w:pPr>
              <w:widowControl/>
              <w:autoSpaceDE/>
              <w:autoSpaceDN/>
              <w:adjustRightInd/>
              <w:jc w:val="center"/>
              <w:rPr>
                <w:color w:val="000000"/>
                <w:sz w:val="22"/>
                <w:szCs w:val="22"/>
              </w:rPr>
            </w:pPr>
            <w:r w:rsidRPr="00793027">
              <w:rPr>
                <w:color w:val="000000"/>
                <w:sz w:val="22"/>
                <w:szCs w:val="22"/>
              </w:rPr>
              <w:t>7,049</w:t>
            </w:r>
          </w:p>
        </w:tc>
        <w:tc>
          <w:tcPr>
            <w:tcW w:w="2612" w:type="dxa"/>
            <w:tcBorders>
              <w:top w:val="nil"/>
              <w:left w:val="nil"/>
              <w:bottom w:val="nil"/>
              <w:right w:val="single" w:sz="8" w:space="0" w:color="auto"/>
            </w:tcBorders>
            <w:shd w:val="clear" w:color="auto" w:fill="auto"/>
            <w:noWrap/>
            <w:vAlign w:val="center"/>
            <w:hideMark/>
          </w:tcPr>
          <w:p w14:paraId="2E9DF928" w14:textId="77777777" w:rsidR="00247D22" w:rsidRPr="00793027" w:rsidRDefault="00247D22" w:rsidP="000077A0">
            <w:pPr>
              <w:widowControl/>
              <w:autoSpaceDE/>
              <w:autoSpaceDN/>
              <w:adjustRightInd/>
              <w:jc w:val="center"/>
              <w:rPr>
                <w:color w:val="000000"/>
                <w:sz w:val="22"/>
                <w:szCs w:val="22"/>
              </w:rPr>
            </w:pPr>
            <w:r w:rsidRPr="00793027">
              <w:rPr>
                <w:color w:val="000000"/>
                <w:sz w:val="22"/>
                <w:szCs w:val="22"/>
              </w:rPr>
              <w:t> </w:t>
            </w:r>
          </w:p>
        </w:tc>
      </w:tr>
      <w:tr w:rsidR="00247D22" w:rsidRPr="006E1394" w14:paraId="3D217864" w14:textId="77777777" w:rsidTr="002B745C">
        <w:trPr>
          <w:trHeight w:val="345"/>
          <w:jc w:val="center"/>
        </w:trPr>
        <w:tc>
          <w:tcPr>
            <w:tcW w:w="3444" w:type="dxa"/>
            <w:tcBorders>
              <w:top w:val="nil"/>
              <w:left w:val="single" w:sz="8" w:space="0" w:color="auto"/>
              <w:bottom w:val="nil"/>
              <w:right w:val="nil"/>
            </w:tcBorders>
            <w:shd w:val="clear" w:color="auto" w:fill="auto"/>
            <w:noWrap/>
            <w:vAlign w:val="center"/>
            <w:hideMark/>
          </w:tcPr>
          <w:p w14:paraId="3B630F68"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Carriers Affected  in 2017</w:t>
            </w:r>
          </w:p>
        </w:tc>
        <w:tc>
          <w:tcPr>
            <w:tcW w:w="1808" w:type="dxa"/>
            <w:tcBorders>
              <w:top w:val="nil"/>
              <w:left w:val="nil"/>
              <w:bottom w:val="nil"/>
              <w:right w:val="nil"/>
            </w:tcBorders>
            <w:shd w:val="clear" w:color="auto" w:fill="auto"/>
            <w:noWrap/>
            <w:vAlign w:val="center"/>
            <w:hideMark/>
          </w:tcPr>
          <w:p w14:paraId="6252CB8A" w14:textId="3FF1133A" w:rsidR="00247D22" w:rsidRPr="00793027" w:rsidRDefault="006C6640" w:rsidP="000077A0">
            <w:pPr>
              <w:widowControl/>
              <w:autoSpaceDE/>
              <w:autoSpaceDN/>
              <w:adjustRightInd/>
              <w:jc w:val="center"/>
              <w:rPr>
                <w:color w:val="000000"/>
                <w:sz w:val="22"/>
                <w:szCs w:val="22"/>
              </w:rPr>
            </w:pPr>
            <w:r w:rsidRPr="00793027">
              <w:rPr>
                <w:color w:val="000000"/>
                <w:sz w:val="22"/>
                <w:szCs w:val="22"/>
              </w:rPr>
              <w:t>7,518</w:t>
            </w:r>
          </w:p>
        </w:tc>
        <w:tc>
          <w:tcPr>
            <w:tcW w:w="2612" w:type="dxa"/>
            <w:tcBorders>
              <w:top w:val="nil"/>
              <w:left w:val="nil"/>
              <w:bottom w:val="nil"/>
              <w:right w:val="single" w:sz="8" w:space="0" w:color="auto"/>
            </w:tcBorders>
            <w:shd w:val="clear" w:color="auto" w:fill="auto"/>
            <w:noWrap/>
            <w:vAlign w:val="center"/>
            <w:hideMark/>
          </w:tcPr>
          <w:p w14:paraId="1D576745" w14:textId="3E678AFC" w:rsidR="00247D22" w:rsidRPr="00793027" w:rsidRDefault="006C6640" w:rsidP="000077A0">
            <w:pPr>
              <w:widowControl/>
              <w:autoSpaceDE/>
              <w:autoSpaceDN/>
              <w:adjustRightInd/>
              <w:jc w:val="center"/>
              <w:rPr>
                <w:color w:val="000000"/>
                <w:sz w:val="22"/>
                <w:szCs w:val="22"/>
              </w:rPr>
            </w:pPr>
            <w:r w:rsidRPr="00793027">
              <w:rPr>
                <w:color w:val="000000"/>
                <w:sz w:val="22"/>
                <w:szCs w:val="22"/>
              </w:rPr>
              <w:t>7,049</w:t>
            </w:r>
            <w:r w:rsidR="00247D22" w:rsidRPr="00793027">
              <w:rPr>
                <w:color w:val="000000"/>
                <w:sz w:val="22"/>
                <w:szCs w:val="22"/>
              </w:rPr>
              <w:t xml:space="preserve"> </w:t>
            </w:r>
            <w:r w:rsidR="00AE21FF">
              <w:rPr>
                <w:color w:val="000000"/>
                <w:sz w:val="22"/>
                <w:szCs w:val="22"/>
              </w:rPr>
              <w:t>×</w:t>
            </w:r>
            <w:r w:rsidR="00247D22" w:rsidRPr="00793027">
              <w:rPr>
                <w:color w:val="000000"/>
                <w:sz w:val="22"/>
                <w:szCs w:val="22"/>
              </w:rPr>
              <w:t xml:space="preserve"> (1.</w:t>
            </w:r>
            <w:r w:rsidR="00C90C0F" w:rsidRPr="00793027">
              <w:rPr>
                <w:color w:val="000000"/>
                <w:sz w:val="22"/>
                <w:szCs w:val="22"/>
              </w:rPr>
              <w:t>0217</w:t>
            </w:r>
            <w:r w:rsidR="00C90C0F">
              <w:rPr>
                <w:color w:val="000000"/>
                <w:sz w:val="22"/>
                <w:szCs w:val="22"/>
                <w:vertAlign w:val="superscript"/>
              </w:rPr>
              <w:t>3</w:t>
            </w:r>
            <w:r w:rsidR="00247D22" w:rsidRPr="00793027">
              <w:rPr>
                <w:color w:val="000000"/>
                <w:sz w:val="22"/>
                <w:szCs w:val="22"/>
              </w:rPr>
              <w:t>)</w:t>
            </w:r>
          </w:p>
        </w:tc>
      </w:tr>
      <w:tr w:rsidR="00247D22" w:rsidRPr="006E1394" w14:paraId="79B02A32" w14:textId="77777777" w:rsidTr="002B745C">
        <w:trPr>
          <w:trHeight w:val="300"/>
          <w:jc w:val="center"/>
        </w:trPr>
        <w:tc>
          <w:tcPr>
            <w:tcW w:w="3444" w:type="dxa"/>
            <w:tcBorders>
              <w:top w:val="nil"/>
              <w:left w:val="single" w:sz="8" w:space="0" w:color="auto"/>
              <w:bottom w:val="nil"/>
              <w:right w:val="nil"/>
            </w:tcBorders>
            <w:shd w:val="clear" w:color="auto" w:fill="auto"/>
            <w:noWrap/>
            <w:vAlign w:val="center"/>
            <w:hideMark/>
          </w:tcPr>
          <w:p w14:paraId="48146241" w14:textId="33005C7D" w:rsidR="00247D22" w:rsidRPr="00793027" w:rsidRDefault="00635220" w:rsidP="000077A0">
            <w:pPr>
              <w:widowControl/>
              <w:autoSpaceDE/>
              <w:autoSpaceDN/>
              <w:adjustRightInd/>
              <w:jc w:val="center"/>
              <w:rPr>
                <w:b/>
                <w:bCs/>
                <w:color w:val="000000"/>
                <w:sz w:val="22"/>
                <w:szCs w:val="22"/>
              </w:rPr>
            </w:pPr>
            <w:r>
              <w:rPr>
                <w:b/>
                <w:bCs/>
                <w:color w:val="000000"/>
                <w:sz w:val="22"/>
                <w:szCs w:val="22"/>
              </w:rPr>
              <w:t>Carriers Affected by Charter Group Notification Requirement in 201</w:t>
            </w:r>
            <w:r w:rsidR="006C067E">
              <w:rPr>
                <w:b/>
                <w:bCs/>
                <w:color w:val="000000"/>
                <w:sz w:val="22"/>
                <w:szCs w:val="22"/>
              </w:rPr>
              <w:t>4</w:t>
            </w:r>
          </w:p>
        </w:tc>
        <w:tc>
          <w:tcPr>
            <w:tcW w:w="1808" w:type="dxa"/>
            <w:tcBorders>
              <w:top w:val="nil"/>
              <w:left w:val="nil"/>
              <w:bottom w:val="nil"/>
              <w:right w:val="nil"/>
            </w:tcBorders>
            <w:shd w:val="clear" w:color="auto" w:fill="auto"/>
            <w:noWrap/>
            <w:vAlign w:val="center"/>
            <w:hideMark/>
          </w:tcPr>
          <w:p w14:paraId="510A2DDB" w14:textId="45CAFF48" w:rsidR="00247D22" w:rsidRPr="00793027" w:rsidRDefault="000802A1" w:rsidP="000077A0">
            <w:pPr>
              <w:widowControl/>
              <w:autoSpaceDE/>
              <w:autoSpaceDN/>
              <w:adjustRightInd/>
              <w:jc w:val="center"/>
              <w:rPr>
                <w:color w:val="000000"/>
                <w:sz w:val="22"/>
                <w:szCs w:val="22"/>
              </w:rPr>
            </w:pPr>
            <w:r>
              <w:rPr>
                <w:color w:val="000000"/>
                <w:sz w:val="22"/>
                <w:szCs w:val="22"/>
              </w:rPr>
              <w:t>3,525</w:t>
            </w:r>
          </w:p>
        </w:tc>
        <w:tc>
          <w:tcPr>
            <w:tcW w:w="2612" w:type="dxa"/>
            <w:tcBorders>
              <w:top w:val="nil"/>
              <w:left w:val="nil"/>
              <w:bottom w:val="nil"/>
              <w:right w:val="single" w:sz="8" w:space="0" w:color="auto"/>
            </w:tcBorders>
            <w:shd w:val="clear" w:color="auto" w:fill="auto"/>
            <w:noWrap/>
            <w:vAlign w:val="center"/>
            <w:hideMark/>
          </w:tcPr>
          <w:p w14:paraId="0E8E0706" w14:textId="1ACA6DE5" w:rsidR="00247D22" w:rsidRPr="00793027" w:rsidRDefault="003475D9" w:rsidP="000077A0">
            <w:pPr>
              <w:widowControl/>
              <w:autoSpaceDE/>
              <w:autoSpaceDN/>
              <w:adjustRightInd/>
              <w:jc w:val="center"/>
              <w:rPr>
                <w:color w:val="000000"/>
                <w:sz w:val="22"/>
                <w:szCs w:val="22"/>
              </w:rPr>
            </w:pPr>
            <w:r>
              <w:rPr>
                <w:color w:val="000000"/>
                <w:sz w:val="22"/>
                <w:szCs w:val="22"/>
              </w:rPr>
              <w:t>7,049 ÷ 2</w:t>
            </w:r>
            <w:r w:rsidR="00247D22" w:rsidRPr="00793027">
              <w:rPr>
                <w:color w:val="000000"/>
                <w:sz w:val="22"/>
                <w:szCs w:val="22"/>
              </w:rPr>
              <w:t> </w:t>
            </w:r>
          </w:p>
        </w:tc>
      </w:tr>
      <w:tr w:rsidR="00247D22" w:rsidRPr="006E1394" w14:paraId="6B62F51A" w14:textId="77777777" w:rsidTr="002B745C">
        <w:trPr>
          <w:trHeight w:val="345"/>
          <w:jc w:val="center"/>
        </w:trPr>
        <w:tc>
          <w:tcPr>
            <w:tcW w:w="3444" w:type="dxa"/>
            <w:tcBorders>
              <w:top w:val="nil"/>
              <w:left w:val="single" w:sz="8" w:space="0" w:color="auto"/>
              <w:bottom w:val="nil"/>
              <w:right w:val="nil"/>
            </w:tcBorders>
            <w:shd w:val="clear" w:color="auto" w:fill="auto"/>
            <w:noWrap/>
            <w:vAlign w:val="center"/>
            <w:hideMark/>
          </w:tcPr>
          <w:p w14:paraId="764FC921" w14:textId="2B965AE9" w:rsidR="00247D22" w:rsidRPr="00793027" w:rsidRDefault="00635220" w:rsidP="000077A0">
            <w:pPr>
              <w:widowControl/>
              <w:autoSpaceDE/>
              <w:autoSpaceDN/>
              <w:adjustRightInd/>
              <w:jc w:val="center"/>
              <w:rPr>
                <w:b/>
                <w:bCs/>
                <w:color w:val="000000"/>
                <w:sz w:val="22"/>
                <w:szCs w:val="22"/>
              </w:rPr>
            </w:pPr>
            <w:r>
              <w:rPr>
                <w:b/>
                <w:bCs/>
                <w:color w:val="000000"/>
                <w:sz w:val="22"/>
                <w:szCs w:val="22"/>
              </w:rPr>
              <w:t>Carriers Affected by Charter Group Notification Requirement in 2017</w:t>
            </w:r>
          </w:p>
        </w:tc>
        <w:tc>
          <w:tcPr>
            <w:tcW w:w="1808" w:type="dxa"/>
            <w:tcBorders>
              <w:top w:val="nil"/>
              <w:left w:val="nil"/>
              <w:bottom w:val="nil"/>
              <w:right w:val="nil"/>
            </w:tcBorders>
            <w:shd w:val="clear" w:color="auto" w:fill="auto"/>
            <w:noWrap/>
            <w:vAlign w:val="center"/>
            <w:hideMark/>
          </w:tcPr>
          <w:p w14:paraId="6DE3F8B0" w14:textId="2AD47D4C" w:rsidR="00247D22" w:rsidRPr="00793027" w:rsidRDefault="000802A1" w:rsidP="000077A0">
            <w:pPr>
              <w:widowControl/>
              <w:autoSpaceDE/>
              <w:autoSpaceDN/>
              <w:adjustRightInd/>
              <w:jc w:val="center"/>
              <w:rPr>
                <w:color w:val="000000"/>
                <w:sz w:val="22"/>
                <w:szCs w:val="22"/>
              </w:rPr>
            </w:pPr>
            <w:r>
              <w:rPr>
                <w:color w:val="000000"/>
                <w:sz w:val="22"/>
                <w:szCs w:val="22"/>
              </w:rPr>
              <w:t>3,759</w:t>
            </w:r>
          </w:p>
        </w:tc>
        <w:tc>
          <w:tcPr>
            <w:tcW w:w="2612" w:type="dxa"/>
            <w:tcBorders>
              <w:top w:val="nil"/>
              <w:left w:val="nil"/>
              <w:bottom w:val="nil"/>
              <w:right w:val="single" w:sz="8" w:space="0" w:color="auto"/>
            </w:tcBorders>
            <w:shd w:val="clear" w:color="auto" w:fill="auto"/>
            <w:noWrap/>
            <w:vAlign w:val="center"/>
            <w:hideMark/>
          </w:tcPr>
          <w:p w14:paraId="5DC861F6" w14:textId="45DE2EF7" w:rsidR="00247D22" w:rsidRPr="00793027" w:rsidRDefault="003475D9" w:rsidP="000077A0">
            <w:pPr>
              <w:widowControl/>
              <w:autoSpaceDE/>
              <w:autoSpaceDN/>
              <w:adjustRightInd/>
              <w:jc w:val="center"/>
              <w:rPr>
                <w:color w:val="000000"/>
                <w:sz w:val="22"/>
                <w:szCs w:val="22"/>
              </w:rPr>
            </w:pPr>
            <w:r>
              <w:rPr>
                <w:color w:val="000000"/>
                <w:sz w:val="22"/>
                <w:szCs w:val="22"/>
              </w:rPr>
              <w:t>3,525</w:t>
            </w:r>
            <w:r w:rsidRPr="00793027">
              <w:rPr>
                <w:color w:val="000000"/>
                <w:sz w:val="22"/>
                <w:szCs w:val="22"/>
              </w:rPr>
              <w:t xml:space="preserve"> </w:t>
            </w:r>
            <w:r w:rsidR="000707D0">
              <w:rPr>
                <w:color w:val="000000"/>
                <w:sz w:val="22"/>
                <w:szCs w:val="22"/>
              </w:rPr>
              <w:t>×</w:t>
            </w:r>
            <w:r w:rsidR="00247D22" w:rsidRPr="00793027">
              <w:rPr>
                <w:color w:val="000000"/>
                <w:sz w:val="22"/>
                <w:szCs w:val="22"/>
              </w:rPr>
              <w:t xml:space="preserve"> (1.</w:t>
            </w:r>
            <w:r w:rsidRPr="00793027">
              <w:rPr>
                <w:color w:val="000000"/>
                <w:sz w:val="22"/>
                <w:szCs w:val="22"/>
              </w:rPr>
              <w:t>0217</w:t>
            </w:r>
            <w:r>
              <w:rPr>
                <w:color w:val="000000"/>
                <w:sz w:val="22"/>
                <w:szCs w:val="22"/>
                <w:vertAlign w:val="superscript"/>
              </w:rPr>
              <w:t>3</w:t>
            </w:r>
            <w:r w:rsidR="00247D22" w:rsidRPr="00793027">
              <w:rPr>
                <w:color w:val="000000"/>
                <w:sz w:val="22"/>
                <w:szCs w:val="22"/>
              </w:rPr>
              <w:t>)</w:t>
            </w:r>
          </w:p>
        </w:tc>
      </w:tr>
      <w:tr w:rsidR="00247D22" w:rsidRPr="006E1394" w14:paraId="6195ED2D" w14:textId="77777777" w:rsidTr="002B745C">
        <w:trPr>
          <w:trHeight w:val="300"/>
          <w:jc w:val="center"/>
        </w:trPr>
        <w:tc>
          <w:tcPr>
            <w:tcW w:w="3444" w:type="dxa"/>
            <w:tcBorders>
              <w:top w:val="nil"/>
              <w:left w:val="single" w:sz="8" w:space="0" w:color="auto"/>
              <w:bottom w:val="nil"/>
              <w:right w:val="nil"/>
            </w:tcBorders>
            <w:shd w:val="clear" w:color="auto" w:fill="auto"/>
            <w:noWrap/>
            <w:vAlign w:val="center"/>
            <w:hideMark/>
          </w:tcPr>
          <w:p w14:paraId="4E61E560"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Leases Per Carrier Per Year</w:t>
            </w:r>
          </w:p>
        </w:tc>
        <w:tc>
          <w:tcPr>
            <w:tcW w:w="1808" w:type="dxa"/>
            <w:tcBorders>
              <w:top w:val="nil"/>
              <w:left w:val="nil"/>
              <w:bottom w:val="nil"/>
              <w:right w:val="nil"/>
            </w:tcBorders>
            <w:shd w:val="clear" w:color="auto" w:fill="auto"/>
            <w:noWrap/>
            <w:vAlign w:val="center"/>
            <w:hideMark/>
          </w:tcPr>
          <w:p w14:paraId="1CA96254" w14:textId="77777777" w:rsidR="00247D22" w:rsidRPr="00793027" w:rsidRDefault="00247D22" w:rsidP="000077A0">
            <w:pPr>
              <w:widowControl/>
              <w:autoSpaceDE/>
              <w:autoSpaceDN/>
              <w:adjustRightInd/>
              <w:jc w:val="center"/>
              <w:rPr>
                <w:color w:val="000000"/>
                <w:sz w:val="22"/>
                <w:szCs w:val="22"/>
              </w:rPr>
            </w:pPr>
            <w:r w:rsidRPr="00793027">
              <w:rPr>
                <w:color w:val="000000"/>
                <w:sz w:val="22"/>
                <w:szCs w:val="22"/>
              </w:rPr>
              <w:t>64</w:t>
            </w:r>
          </w:p>
        </w:tc>
        <w:tc>
          <w:tcPr>
            <w:tcW w:w="2612" w:type="dxa"/>
            <w:tcBorders>
              <w:top w:val="nil"/>
              <w:left w:val="nil"/>
              <w:bottom w:val="nil"/>
              <w:right w:val="single" w:sz="8" w:space="0" w:color="auto"/>
            </w:tcBorders>
            <w:shd w:val="clear" w:color="auto" w:fill="auto"/>
            <w:noWrap/>
            <w:vAlign w:val="center"/>
            <w:hideMark/>
          </w:tcPr>
          <w:p w14:paraId="292DEAD0" w14:textId="4B628FD2" w:rsidR="00247D22" w:rsidRPr="00793027" w:rsidRDefault="00247D22" w:rsidP="000077A0">
            <w:pPr>
              <w:widowControl/>
              <w:autoSpaceDE/>
              <w:autoSpaceDN/>
              <w:adjustRightInd/>
              <w:jc w:val="center"/>
              <w:rPr>
                <w:color w:val="000000"/>
                <w:sz w:val="22"/>
                <w:szCs w:val="22"/>
              </w:rPr>
            </w:pPr>
            <w:r w:rsidRPr="00793027">
              <w:rPr>
                <w:color w:val="000000"/>
                <w:sz w:val="22"/>
                <w:szCs w:val="22"/>
              </w:rPr>
              <w:t xml:space="preserve">Medium </w:t>
            </w:r>
            <w:r w:rsidR="000A0CEB" w:rsidRPr="00793027">
              <w:rPr>
                <w:color w:val="000000"/>
                <w:sz w:val="22"/>
                <w:szCs w:val="22"/>
              </w:rPr>
              <w:t xml:space="preserve">Lease </w:t>
            </w:r>
            <w:r w:rsidRPr="00793027">
              <w:rPr>
                <w:color w:val="000000"/>
                <w:sz w:val="22"/>
                <w:szCs w:val="22"/>
              </w:rPr>
              <w:t>Frequency</w:t>
            </w:r>
          </w:p>
        </w:tc>
      </w:tr>
      <w:tr w:rsidR="00247D22" w:rsidRPr="006E1394" w14:paraId="614457CA" w14:textId="77777777" w:rsidTr="002B745C">
        <w:trPr>
          <w:trHeight w:val="300"/>
          <w:jc w:val="center"/>
        </w:trPr>
        <w:tc>
          <w:tcPr>
            <w:tcW w:w="3444" w:type="dxa"/>
            <w:tcBorders>
              <w:top w:val="nil"/>
              <w:left w:val="single" w:sz="8" w:space="0" w:color="auto"/>
              <w:bottom w:val="nil"/>
              <w:right w:val="nil"/>
            </w:tcBorders>
            <w:shd w:val="clear" w:color="auto" w:fill="auto"/>
            <w:noWrap/>
            <w:vAlign w:val="center"/>
            <w:hideMark/>
          </w:tcPr>
          <w:p w14:paraId="4FB8B95A"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Total Greyhound Leases 2017</w:t>
            </w:r>
          </w:p>
        </w:tc>
        <w:tc>
          <w:tcPr>
            <w:tcW w:w="1808" w:type="dxa"/>
            <w:tcBorders>
              <w:top w:val="nil"/>
              <w:left w:val="nil"/>
              <w:bottom w:val="nil"/>
              <w:right w:val="nil"/>
            </w:tcBorders>
            <w:shd w:val="clear" w:color="auto" w:fill="auto"/>
            <w:noWrap/>
            <w:vAlign w:val="center"/>
            <w:hideMark/>
          </w:tcPr>
          <w:p w14:paraId="7CABA202" w14:textId="77777777" w:rsidR="00247D22" w:rsidRPr="00793027" w:rsidRDefault="00247D22" w:rsidP="000077A0">
            <w:pPr>
              <w:widowControl/>
              <w:autoSpaceDE/>
              <w:autoSpaceDN/>
              <w:adjustRightInd/>
              <w:jc w:val="center"/>
              <w:rPr>
                <w:color w:val="000000"/>
                <w:sz w:val="22"/>
                <w:szCs w:val="22"/>
              </w:rPr>
            </w:pPr>
            <w:r w:rsidRPr="00793027">
              <w:rPr>
                <w:color w:val="000000"/>
                <w:sz w:val="22"/>
                <w:szCs w:val="22"/>
              </w:rPr>
              <w:t>11,426</w:t>
            </w:r>
          </w:p>
        </w:tc>
        <w:tc>
          <w:tcPr>
            <w:tcW w:w="2612" w:type="dxa"/>
            <w:tcBorders>
              <w:top w:val="nil"/>
              <w:left w:val="nil"/>
              <w:bottom w:val="nil"/>
              <w:right w:val="single" w:sz="8" w:space="0" w:color="auto"/>
            </w:tcBorders>
            <w:shd w:val="clear" w:color="auto" w:fill="auto"/>
            <w:noWrap/>
            <w:vAlign w:val="center"/>
            <w:hideMark/>
          </w:tcPr>
          <w:p w14:paraId="5F7331A4" w14:textId="4E00F268" w:rsidR="00247D22" w:rsidRPr="006301C9" w:rsidRDefault="00247D22" w:rsidP="000077A0">
            <w:pPr>
              <w:widowControl/>
              <w:autoSpaceDE/>
              <w:autoSpaceDN/>
              <w:adjustRightInd/>
              <w:jc w:val="center"/>
              <w:rPr>
                <w:color w:val="000000"/>
                <w:sz w:val="22"/>
                <w:szCs w:val="22"/>
                <w:vertAlign w:val="superscript"/>
              </w:rPr>
            </w:pPr>
            <w:r w:rsidRPr="00793027">
              <w:rPr>
                <w:color w:val="000000"/>
                <w:sz w:val="22"/>
                <w:szCs w:val="22"/>
              </w:rPr>
              <w:t> </w:t>
            </w:r>
            <w:r w:rsidR="000D39FE">
              <w:rPr>
                <w:color w:val="000000"/>
                <w:sz w:val="22"/>
                <w:szCs w:val="22"/>
              </w:rPr>
              <w:t>10,263 × 1.0217</w:t>
            </w:r>
            <w:r w:rsidR="000D39FE">
              <w:rPr>
                <w:color w:val="000000"/>
                <w:sz w:val="22"/>
                <w:szCs w:val="22"/>
                <w:vertAlign w:val="superscript"/>
              </w:rPr>
              <w:t>5</w:t>
            </w:r>
          </w:p>
        </w:tc>
      </w:tr>
      <w:tr w:rsidR="00247D22" w:rsidRPr="006E1394" w14:paraId="2DB2D5B3" w14:textId="77777777" w:rsidTr="002B745C">
        <w:trPr>
          <w:trHeight w:val="300"/>
          <w:jc w:val="center"/>
        </w:trPr>
        <w:tc>
          <w:tcPr>
            <w:tcW w:w="3444" w:type="dxa"/>
            <w:tcBorders>
              <w:top w:val="nil"/>
              <w:left w:val="single" w:sz="8" w:space="0" w:color="auto"/>
              <w:bottom w:val="nil"/>
              <w:right w:val="nil"/>
            </w:tcBorders>
            <w:shd w:val="clear" w:color="auto" w:fill="auto"/>
            <w:noWrap/>
            <w:vAlign w:val="center"/>
            <w:hideMark/>
          </w:tcPr>
          <w:p w14:paraId="15E8B9DA"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Total Leases Per Year</w:t>
            </w:r>
          </w:p>
        </w:tc>
        <w:tc>
          <w:tcPr>
            <w:tcW w:w="1808" w:type="dxa"/>
            <w:tcBorders>
              <w:top w:val="nil"/>
              <w:left w:val="nil"/>
              <w:bottom w:val="nil"/>
              <w:right w:val="nil"/>
            </w:tcBorders>
            <w:shd w:val="clear" w:color="auto" w:fill="auto"/>
            <w:noWrap/>
            <w:vAlign w:val="center"/>
            <w:hideMark/>
          </w:tcPr>
          <w:p w14:paraId="1C2E8F07" w14:textId="1DCF1A1F" w:rsidR="00247D22" w:rsidRPr="00793027" w:rsidRDefault="00A27E7A" w:rsidP="000077A0">
            <w:pPr>
              <w:widowControl/>
              <w:autoSpaceDE/>
              <w:autoSpaceDN/>
              <w:adjustRightInd/>
              <w:jc w:val="center"/>
              <w:rPr>
                <w:color w:val="000000"/>
                <w:sz w:val="22"/>
                <w:szCs w:val="22"/>
              </w:rPr>
            </w:pPr>
            <w:r w:rsidRPr="00793027">
              <w:rPr>
                <w:color w:val="000000"/>
                <w:sz w:val="22"/>
                <w:szCs w:val="22"/>
              </w:rPr>
              <w:t>492,572</w:t>
            </w:r>
          </w:p>
        </w:tc>
        <w:tc>
          <w:tcPr>
            <w:tcW w:w="2612" w:type="dxa"/>
            <w:tcBorders>
              <w:top w:val="nil"/>
              <w:left w:val="nil"/>
              <w:bottom w:val="single" w:sz="8" w:space="0" w:color="auto"/>
              <w:right w:val="single" w:sz="8" w:space="0" w:color="auto"/>
            </w:tcBorders>
            <w:shd w:val="clear" w:color="auto" w:fill="auto"/>
            <w:noWrap/>
            <w:vAlign w:val="center"/>
            <w:hideMark/>
          </w:tcPr>
          <w:p w14:paraId="4131C72D" w14:textId="123A1782" w:rsidR="00247D22" w:rsidRPr="00793027" w:rsidRDefault="00247D22" w:rsidP="000077A0">
            <w:pPr>
              <w:widowControl/>
              <w:autoSpaceDE/>
              <w:autoSpaceDN/>
              <w:adjustRightInd/>
              <w:jc w:val="center"/>
              <w:rPr>
                <w:color w:val="000000"/>
                <w:sz w:val="22"/>
                <w:szCs w:val="22"/>
              </w:rPr>
            </w:pPr>
            <w:r w:rsidRPr="00793027">
              <w:rPr>
                <w:color w:val="000000"/>
                <w:sz w:val="22"/>
                <w:szCs w:val="22"/>
              </w:rPr>
              <w:t xml:space="preserve">(64 </w:t>
            </w:r>
            <w:r w:rsidR="00AE21FF">
              <w:rPr>
                <w:color w:val="000000"/>
                <w:sz w:val="22"/>
                <w:szCs w:val="22"/>
              </w:rPr>
              <w:t>×</w:t>
            </w:r>
            <w:r w:rsidRPr="00793027">
              <w:rPr>
                <w:color w:val="000000"/>
                <w:sz w:val="22"/>
                <w:szCs w:val="22"/>
              </w:rPr>
              <w:t xml:space="preserve"> </w:t>
            </w:r>
            <w:r w:rsidR="00A27E7A" w:rsidRPr="00793027">
              <w:rPr>
                <w:color w:val="000000"/>
                <w:sz w:val="22"/>
                <w:szCs w:val="22"/>
              </w:rPr>
              <w:t>7</w:t>
            </w:r>
            <w:r w:rsidRPr="00793027">
              <w:rPr>
                <w:color w:val="000000"/>
                <w:sz w:val="22"/>
                <w:szCs w:val="22"/>
              </w:rPr>
              <w:t>,</w:t>
            </w:r>
            <w:r w:rsidR="004D568F" w:rsidRPr="00793027">
              <w:rPr>
                <w:color w:val="000000"/>
                <w:sz w:val="22"/>
                <w:szCs w:val="22"/>
              </w:rPr>
              <w:t>518</w:t>
            </w:r>
            <w:r w:rsidRPr="00793027">
              <w:rPr>
                <w:color w:val="000000"/>
                <w:sz w:val="22"/>
                <w:szCs w:val="22"/>
              </w:rPr>
              <w:t>) + 11,426</w:t>
            </w:r>
          </w:p>
        </w:tc>
      </w:tr>
      <w:tr w:rsidR="00247D22" w:rsidRPr="006E1394" w14:paraId="4EB30A2F" w14:textId="77777777" w:rsidTr="002B745C">
        <w:trPr>
          <w:trHeight w:val="315"/>
          <w:jc w:val="center"/>
        </w:trPr>
        <w:tc>
          <w:tcPr>
            <w:tcW w:w="5252" w:type="dxa"/>
            <w:gridSpan w:val="2"/>
            <w:tcBorders>
              <w:top w:val="single" w:sz="8" w:space="0" w:color="auto"/>
              <w:left w:val="single" w:sz="8" w:space="0" w:color="auto"/>
              <w:bottom w:val="single" w:sz="8" w:space="0" w:color="auto"/>
              <w:right w:val="single" w:sz="8" w:space="0" w:color="000000"/>
            </w:tcBorders>
            <w:shd w:val="clear" w:color="000000" w:fill="CDDEFF"/>
            <w:noWrap/>
            <w:vAlign w:val="center"/>
            <w:hideMark/>
          </w:tcPr>
          <w:p w14:paraId="3D887D49"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Master Lease Creation</w:t>
            </w:r>
          </w:p>
        </w:tc>
        <w:tc>
          <w:tcPr>
            <w:tcW w:w="2612" w:type="dxa"/>
            <w:tcBorders>
              <w:top w:val="single" w:sz="8" w:space="0" w:color="auto"/>
              <w:left w:val="nil"/>
              <w:bottom w:val="single" w:sz="8" w:space="0" w:color="auto"/>
              <w:right w:val="single" w:sz="8" w:space="0" w:color="auto"/>
            </w:tcBorders>
            <w:shd w:val="clear" w:color="000000" w:fill="CDDEFF"/>
            <w:noWrap/>
            <w:vAlign w:val="center"/>
            <w:hideMark/>
          </w:tcPr>
          <w:p w14:paraId="383B1C22"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Notes</w:t>
            </w:r>
          </w:p>
        </w:tc>
      </w:tr>
      <w:tr w:rsidR="00247D22" w:rsidRPr="006E1394" w14:paraId="7E950C2D" w14:textId="77777777" w:rsidTr="002B745C">
        <w:trPr>
          <w:trHeight w:val="300"/>
          <w:jc w:val="center"/>
        </w:trPr>
        <w:tc>
          <w:tcPr>
            <w:tcW w:w="3444" w:type="dxa"/>
            <w:tcBorders>
              <w:top w:val="nil"/>
              <w:left w:val="single" w:sz="8" w:space="0" w:color="auto"/>
              <w:bottom w:val="nil"/>
              <w:right w:val="nil"/>
            </w:tcBorders>
            <w:shd w:val="clear" w:color="auto" w:fill="auto"/>
            <w:noWrap/>
            <w:vAlign w:val="center"/>
            <w:hideMark/>
          </w:tcPr>
          <w:p w14:paraId="459A9201"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Hours Per Lease</w:t>
            </w:r>
          </w:p>
        </w:tc>
        <w:tc>
          <w:tcPr>
            <w:tcW w:w="1808" w:type="dxa"/>
            <w:tcBorders>
              <w:top w:val="nil"/>
              <w:left w:val="nil"/>
              <w:bottom w:val="nil"/>
              <w:right w:val="nil"/>
            </w:tcBorders>
            <w:shd w:val="clear" w:color="auto" w:fill="auto"/>
            <w:noWrap/>
            <w:vAlign w:val="center"/>
            <w:hideMark/>
          </w:tcPr>
          <w:p w14:paraId="55DFFD8A" w14:textId="77777777" w:rsidR="00247D22" w:rsidRPr="00793027" w:rsidRDefault="00247D22" w:rsidP="000077A0">
            <w:pPr>
              <w:widowControl/>
              <w:autoSpaceDE/>
              <w:autoSpaceDN/>
              <w:adjustRightInd/>
              <w:jc w:val="center"/>
              <w:rPr>
                <w:color w:val="000000"/>
                <w:sz w:val="22"/>
                <w:szCs w:val="22"/>
              </w:rPr>
            </w:pPr>
            <w:r w:rsidRPr="00793027">
              <w:rPr>
                <w:color w:val="000000"/>
                <w:sz w:val="22"/>
                <w:szCs w:val="22"/>
              </w:rPr>
              <w:t xml:space="preserve"> </w:t>
            </w:r>
            <w:r w:rsidR="00EE577B" w:rsidRPr="00793027">
              <w:rPr>
                <w:color w:val="000000"/>
                <w:sz w:val="22"/>
                <w:szCs w:val="22"/>
              </w:rPr>
              <w:t>½</w:t>
            </w:r>
          </w:p>
        </w:tc>
        <w:tc>
          <w:tcPr>
            <w:tcW w:w="2612" w:type="dxa"/>
            <w:tcBorders>
              <w:top w:val="nil"/>
              <w:left w:val="nil"/>
              <w:bottom w:val="nil"/>
              <w:right w:val="single" w:sz="8" w:space="0" w:color="auto"/>
            </w:tcBorders>
            <w:shd w:val="clear" w:color="auto" w:fill="auto"/>
            <w:noWrap/>
            <w:vAlign w:val="center"/>
            <w:hideMark/>
          </w:tcPr>
          <w:p w14:paraId="0D0E746C" w14:textId="77777777" w:rsidR="00247D22" w:rsidRPr="00793027" w:rsidRDefault="00247D22" w:rsidP="000077A0">
            <w:pPr>
              <w:widowControl/>
              <w:autoSpaceDE/>
              <w:autoSpaceDN/>
              <w:adjustRightInd/>
              <w:jc w:val="center"/>
              <w:rPr>
                <w:color w:val="000000"/>
                <w:sz w:val="22"/>
                <w:szCs w:val="22"/>
              </w:rPr>
            </w:pPr>
            <w:r w:rsidRPr="00793027">
              <w:rPr>
                <w:color w:val="000000"/>
                <w:sz w:val="22"/>
                <w:szCs w:val="22"/>
              </w:rPr>
              <w:t>30 minutes</w:t>
            </w:r>
          </w:p>
        </w:tc>
      </w:tr>
      <w:tr w:rsidR="00247D22" w:rsidRPr="006E1394" w14:paraId="0195D71E" w14:textId="77777777" w:rsidTr="002B745C">
        <w:trPr>
          <w:trHeight w:val="300"/>
          <w:jc w:val="center"/>
        </w:trPr>
        <w:tc>
          <w:tcPr>
            <w:tcW w:w="3444" w:type="dxa"/>
            <w:tcBorders>
              <w:top w:val="nil"/>
              <w:left w:val="single" w:sz="8" w:space="0" w:color="auto"/>
              <w:bottom w:val="nil"/>
              <w:right w:val="nil"/>
            </w:tcBorders>
            <w:shd w:val="clear" w:color="auto" w:fill="auto"/>
            <w:noWrap/>
            <w:vAlign w:val="center"/>
            <w:hideMark/>
          </w:tcPr>
          <w:p w14:paraId="37011C59"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Agents Per Lease</w:t>
            </w:r>
          </w:p>
        </w:tc>
        <w:tc>
          <w:tcPr>
            <w:tcW w:w="1808" w:type="dxa"/>
            <w:tcBorders>
              <w:top w:val="nil"/>
              <w:left w:val="nil"/>
              <w:bottom w:val="nil"/>
              <w:right w:val="nil"/>
            </w:tcBorders>
            <w:shd w:val="clear" w:color="auto" w:fill="auto"/>
            <w:noWrap/>
            <w:vAlign w:val="center"/>
            <w:hideMark/>
          </w:tcPr>
          <w:p w14:paraId="40A961DE" w14:textId="77777777" w:rsidR="00247D22" w:rsidRPr="00793027" w:rsidRDefault="00247D22" w:rsidP="000077A0">
            <w:pPr>
              <w:widowControl/>
              <w:autoSpaceDE/>
              <w:autoSpaceDN/>
              <w:adjustRightInd/>
              <w:jc w:val="center"/>
              <w:rPr>
                <w:color w:val="000000"/>
                <w:sz w:val="22"/>
                <w:szCs w:val="22"/>
              </w:rPr>
            </w:pPr>
            <w:r w:rsidRPr="00793027">
              <w:rPr>
                <w:color w:val="000000"/>
                <w:sz w:val="22"/>
                <w:szCs w:val="22"/>
              </w:rPr>
              <w:t>2</w:t>
            </w:r>
          </w:p>
        </w:tc>
        <w:tc>
          <w:tcPr>
            <w:tcW w:w="2612" w:type="dxa"/>
            <w:tcBorders>
              <w:top w:val="nil"/>
              <w:left w:val="nil"/>
              <w:bottom w:val="nil"/>
              <w:right w:val="single" w:sz="8" w:space="0" w:color="auto"/>
            </w:tcBorders>
            <w:shd w:val="clear" w:color="auto" w:fill="auto"/>
            <w:noWrap/>
            <w:vAlign w:val="center"/>
            <w:hideMark/>
          </w:tcPr>
          <w:p w14:paraId="3D1C4BD4" w14:textId="77777777" w:rsidR="00247D22" w:rsidRPr="00793027" w:rsidRDefault="00247D22" w:rsidP="000077A0">
            <w:pPr>
              <w:widowControl/>
              <w:autoSpaceDE/>
              <w:autoSpaceDN/>
              <w:adjustRightInd/>
              <w:jc w:val="center"/>
              <w:rPr>
                <w:color w:val="000000"/>
                <w:sz w:val="22"/>
                <w:szCs w:val="22"/>
              </w:rPr>
            </w:pPr>
            <w:r w:rsidRPr="00793027">
              <w:rPr>
                <w:color w:val="000000"/>
                <w:sz w:val="22"/>
                <w:szCs w:val="22"/>
              </w:rPr>
              <w:t>Lessee and Lessor</w:t>
            </w:r>
          </w:p>
        </w:tc>
      </w:tr>
      <w:tr w:rsidR="00247D22" w:rsidRPr="006E1394" w14:paraId="1603603D" w14:textId="77777777" w:rsidTr="002B745C">
        <w:trPr>
          <w:trHeight w:val="300"/>
          <w:jc w:val="center"/>
        </w:trPr>
        <w:tc>
          <w:tcPr>
            <w:tcW w:w="3444" w:type="dxa"/>
            <w:tcBorders>
              <w:top w:val="nil"/>
              <w:left w:val="single" w:sz="8" w:space="0" w:color="auto"/>
              <w:bottom w:val="nil"/>
              <w:right w:val="nil"/>
            </w:tcBorders>
            <w:shd w:val="clear" w:color="auto" w:fill="auto"/>
            <w:noWrap/>
            <w:vAlign w:val="center"/>
            <w:hideMark/>
          </w:tcPr>
          <w:p w14:paraId="6C6A37DE"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Total Negotiations</w:t>
            </w:r>
          </w:p>
        </w:tc>
        <w:tc>
          <w:tcPr>
            <w:tcW w:w="1808" w:type="dxa"/>
            <w:tcBorders>
              <w:top w:val="nil"/>
              <w:left w:val="nil"/>
              <w:bottom w:val="nil"/>
              <w:right w:val="nil"/>
            </w:tcBorders>
            <w:shd w:val="clear" w:color="auto" w:fill="auto"/>
            <w:noWrap/>
            <w:vAlign w:val="center"/>
            <w:hideMark/>
          </w:tcPr>
          <w:p w14:paraId="41EE32AA" w14:textId="16D3DCE4" w:rsidR="00247D22" w:rsidRPr="00793027" w:rsidRDefault="00B15CF5" w:rsidP="000077A0">
            <w:pPr>
              <w:widowControl/>
              <w:autoSpaceDE/>
              <w:autoSpaceDN/>
              <w:adjustRightInd/>
              <w:jc w:val="center"/>
              <w:rPr>
                <w:color w:val="000000"/>
                <w:sz w:val="22"/>
                <w:szCs w:val="22"/>
              </w:rPr>
            </w:pPr>
            <w:r w:rsidRPr="00793027">
              <w:rPr>
                <w:color w:val="000000"/>
                <w:sz w:val="22"/>
                <w:szCs w:val="22"/>
              </w:rPr>
              <w:t>15,036</w:t>
            </w:r>
          </w:p>
        </w:tc>
        <w:tc>
          <w:tcPr>
            <w:tcW w:w="2612" w:type="dxa"/>
            <w:tcBorders>
              <w:top w:val="nil"/>
              <w:left w:val="nil"/>
              <w:bottom w:val="nil"/>
              <w:right w:val="single" w:sz="8" w:space="0" w:color="auto"/>
            </w:tcBorders>
            <w:shd w:val="clear" w:color="auto" w:fill="auto"/>
            <w:noWrap/>
            <w:vAlign w:val="center"/>
            <w:hideMark/>
          </w:tcPr>
          <w:p w14:paraId="6A1A823D" w14:textId="33344365" w:rsidR="00247D22" w:rsidRPr="00793027" w:rsidRDefault="00130F4E" w:rsidP="000077A0">
            <w:pPr>
              <w:widowControl/>
              <w:autoSpaceDE/>
              <w:autoSpaceDN/>
              <w:adjustRightInd/>
              <w:jc w:val="center"/>
              <w:rPr>
                <w:color w:val="000000"/>
                <w:sz w:val="22"/>
                <w:szCs w:val="22"/>
              </w:rPr>
            </w:pPr>
            <w:r w:rsidRPr="00793027">
              <w:rPr>
                <w:color w:val="000000"/>
                <w:sz w:val="22"/>
                <w:szCs w:val="22"/>
              </w:rPr>
              <w:t>7,518</w:t>
            </w:r>
            <w:r w:rsidR="00247D22" w:rsidRPr="00793027">
              <w:rPr>
                <w:color w:val="000000"/>
                <w:sz w:val="22"/>
                <w:szCs w:val="22"/>
              </w:rPr>
              <w:t xml:space="preserve"> </w:t>
            </w:r>
            <w:r w:rsidR="00AE21FF">
              <w:rPr>
                <w:color w:val="000000"/>
                <w:sz w:val="22"/>
                <w:szCs w:val="22"/>
              </w:rPr>
              <w:t>×</w:t>
            </w:r>
            <w:r w:rsidR="00247D22" w:rsidRPr="00793027">
              <w:rPr>
                <w:color w:val="000000"/>
                <w:sz w:val="22"/>
                <w:szCs w:val="22"/>
              </w:rPr>
              <w:t xml:space="preserve"> 2</w:t>
            </w:r>
          </w:p>
        </w:tc>
      </w:tr>
      <w:tr w:rsidR="00247D22" w:rsidRPr="006E1394" w14:paraId="4BE0CBD9" w14:textId="77777777" w:rsidTr="002B745C">
        <w:trPr>
          <w:trHeight w:val="300"/>
          <w:jc w:val="center"/>
        </w:trPr>
        <w:tc>
          <w:tcPr>
            <w:tcW w:w="3444" w:type="dxa"/>
            <w:tcBorders>
              <w:top w:val="nil"/>
              <w:left w:val="single" w:sz="8" w:space="0" w:color="auto"/>
              <w:bottom w:val="nil"/>
              <w:right w:val="nil"/>
            </w:tcBorders>
            <w:shd w:val="clear" w:color="auto" w:fill="auto"/>
            <w:noWrap/>
            <w:vAlign w:val="center"/>
            <w:hideMark/>
          </w:tcPr>
          <w:p w14:paraId="1A8FC43A"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Total Hours</w:t>
            </w:r>
          </w:p>
        </w:tc>
        <w:tc>
          <w:tcPr>
            <w:tcW w:w="1808" w:type="dxa"/>
            <w:tcBorders>
              <w:top w:val="nil"/>
              <w:left w:val="nil"/>
              <w:bottom w:val="nil"/>
              <w:right w:val="nil"/>
            </w:tcBorders>
            <w:shd w:val="clear" w:color="auto" w:fill="auto"/>
            <w:noWrap/>
            <w:vAlign w:val="center"/>
            <w:hideMark/>
          </w:tcPr>
          <w:p w14:paraId="1867A42A" w14:textId="10FB8F9C" w:rsidR="00247D22" w:rsidRPr="00793027" w:rsidRDefault="002E6638" w:rsidP="000077A0">
            <w:pPr>
              <w:widowControl/>
              <w:autoSpaceDE/>
              <w:autoSpaceDN/>
              <w:adjustRightInd/>
              <w:jc w:val="center"/>
              <w:rPr>
                <w:color w:val="000000"/>
                <w:sz w:val="22"/>
                <w:szCs w:val="22"/>
              </w:rPr>
            </w:pPr>
            <w:r w:rsidRPr="00793027">
              <w:rPr>
                <w:color w:val="000000"/>
                <w:sz w:val="22"/>
                <w:szCs w:val="22"/>
              </w:rPr>
              <w:t>7,518</w:t>
            </w:r>
          </w:p>
        </w:tc>
        <w:tc>
          <w:tcPr>
            <w:tcW w:w="2612" w:type="dxa"/>
            <w:tcBorders>
              <w:top w:val="nil"/>
              <w:left w:val="nil"/>
              <w:bottom w:val="single" w:sz="8" w:space="0" w:color="auto"/>
              <w:right w:val="single" w:sz="8" w:space="0" w:color="auto"/>
            </w:tcBorders>
            <w:shd w:val="clear" w:color="auto" w:fill="auto"/>
            <w:noWrap/>
            <w:vAlign w:val="center"/>
            <w:hideMark/>
          </w:tcPr>
          <w:p w14:paraId="5B11907C" w14:textId="770A4764" w:rsidR="00247D22" w:rsidRPr="00793027" w:rsidRDefault="001E604A" w:rsidP="000077A0">
            <w:pPr>
              <w:widowControl/>
              <w:autoSpaceDE/>
              <w:autoSpaceDN/>
              <w:adjustRightInd/>
              <w:jc w:val="center"/>
              <w:rPr>
                <w:color w:val="000000"/>
                <w:sz w:val="22"/>
                <w:szCs w:val="22"/>
              </w:rPr>
            </w:pPr>
            <w:r w:rsidRPr="00793027">
              <w:rPr>
                <w:color w:val="000000"/>
                <w:sz w:val="22"/>
                <w:szCs w:val="22"/>
              </w:rPr>
              <w:t>15,036</w:t>
            </w:r>
            <w:r w:rsidR="00247D22" w:rsidRPr="00793027">
              <w:rPr>
                <w:color w:val="000000"/>
                <w:sz w:val="22"/>
                <w:szCs w:val="22"/>
              </w:rPr>
              <w:t xml:space="preserve"> </w:t>
            </w:r>
            <w:r w:rsidR="00AE21FF">
              <w:rPr>
                <w:color w:val="000000"/>
                <w:sz w:val="22"/>
                <w:szCs w:val="22"/>
              </w:rPr>
              <w:t>×</w:t>
            </w:r>
            <w:r w:rsidR="00247D22" w:rsidRPr="00793027">
              <w:rPr>
                <w:color w:val="000000"/>
                <w:sz w:val="22"/>
                <w:szCs w:val="22"/>
              </w:rPr>
              <w:t xml:space="preserve"> 1/2</w:t>
            </w:r>
          </w:p>
        </w:tc>
      </w:tr>
      <w:tr w:rsidR="00247D22" w:rsidRPr="006E1394" w14:paraId="745FBEDF" w14:textId="77777777" w:rsidTr="002B745C">
        <w:trPr>
          <w:trHeight w:val="315"/>
          <w:jc w:val="center"/>
        </w:trPr>
        <w:tc>
          <w:tcPr>
            <w:tcW w:w="5252" w:type="dxa"/>
            <w:gridSpan w:val="2"/>
            <w:tcBorders>
              <w:top w:val="single" w:sz="8" w:space="0" w:color="auto"/>
              <w:left w:val="single" w:sz="8" w:space="0" w:color="auto"/>
              <w:bottom w:val="single" w:sz="8" w:space="0" w:color="auto"/>
              <w:right w:val="single" w:sz="8" w:space="0" w:color="000000"/>
            </w:tcBorders>
            <w:shd w:val="clear" w:color="000000" w:fill="CDDEFF"/>
            <w:noWrap/>
            <w:vAlign w:val="center"/>
            <w:hideMark/>
          </w:tcPr>
          <w:p w14:paraId="770097F8"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Lease Negotiation</w:t>
            </w:r>
          </w:p>
        </w:tc>
        <w:tc>
          <w:tcPr>
            <w:tcW w:w="2612" w:type="dxa"/>
            <w:tcBorders>
              <w:top w:val="single" w:sz="8" w:space="0" w:color="auto"/>
              <w:left w:val="nil"/>
              <w:bottom w:val="single" w:sz="8" w:space="0" w:color="auto"/>
              <w:right w:val="single" w:sz="8" w:space="0" w:color="auto"/>
            </w:tcBorders>
            <w:shd w:val="clear" w:color="000000" w:fill="CDDEFF"/>
            <w:noWrap/>
            <w:vAlign w:val="center"/>
            <w:hideMark/>
          </w:tcPr>
          <w:p w14:paraId="6CD2F722"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Notes</w:t>
            </w:r>
          </w:p>
        </w:tc>
      </w:tr>
      <w:tr w:rsidR="00247D22" w:rsidRPr="006E1394" w14:paraId="0598AFE2" w14:textId="77777777" w:rsidTr="002B745C">
        <w:trPr>
          <w:trHeight w:val="300"/>
          <w:jc w:val="center"/>
        </w:trPr>
        <w:tc>
          <w:tcPr>
            <w:tcW w:w="3444" w:type="dxa"/>
            <w:tcBorders>
              <w:top w:val="nil"/>
              <w:left w:val="single" w:sz="8" w:space="0" w:color="auto"/>
              <w:bottom w:val="nil"/>
              <w:right w:val="nil"/>
            </w:tcBorders>
            <w:shd w:val="clear" w:color="auto" w:fill="auto"/>
            <w:noWrap/>
            <w:vAlign w:val="center"/>
            <w:hideMark/>
          </w:tcPr>
          <w:p w14:paraId="182A6408"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Hours Per Negotiation</w:t>
            </w:r>
          </w:p>
        </w:tc>
        <w:tc>
          <w:tcPr>
            <w:tcW w:w="1808" w:type="dxa"/>
            <w:tcBorders>
              <w:top w:val="nil"/>
              <w:left w:val="nil"/>
              <w:bottom w:val="nil"/>
              <w:right w:val="nil"/>
            </w:tcBorders>
            <w:shd w:val="clear" w:color="auto" w:fill="auto"/>
            <w:noWrap/>
            <w:vAlign w:val="center"/>
            <w:hideMark/>
          </w:tcPr>
          <w:p w14:paraId="2D4C337D" w14:textId="77777777" w:rsidR="00247D22" w:rsidRPr="00793027" w:rsidRDefault="00247D22" w:rsidP="000077A0">
            <w:pPr>
              <w:widowControl/>
              <w:autoSpaceDE/>
              <w:autoSpaceDN/>
              <w:adjustRightInd/>
              <w:jc w:val="center"/>
              <w:rPr>
                <w:color w:val="000000"/>
                <w:sz w:val="22"/>
                <w:szCs w:val="22"/>
              </w:rPr>
            </w:pPr>
            <w:r w:rsidRPr="00793027">
              <w:rPr>
                <w:color w:val="000000"/>
                <w:sz w:val="22"/>
                <w:szCs w:val="22"/>
              </w:rPr>
              <w:t xml:space="preserve"> </w:t>
            </w:r>
            <w:r w:rsidR="00481D3D" w:rsidRPr="00793027">
              <w:rPr>
                <w:color w:val="000000"/>
                <w:sz w:val="22"/>
                <w:szCs w:val="22"/>
              </w:rPr>
              <w:t>½</w:t>
            </w:r>
          </w:p>
        </w:tc>
        <w:tc>
          <w:tcPr>
            <w:tcW w:w="2612" w:type="dxa"/>
            <w:tcBorders>
              <w:top w:val="nil"/>
              <w:left w:val="nil"/>
              <w:bottom w:val="nil"/>
              <w:right w:val="single" w:sz="8" w:space="0" w:color="auto"/>
            </w:tcBorders>
            <w:shd w:val="clear" w:color="auto" w:fill="auto"/>
            <w:noWrap/>
            <w:vAlign w:val="center"/>
            <w:hideMark/>
          </w:tcPr>
          <w:p w14:paraId="5F601F2B" w14:textId="77777777" w:rsidR="00247D22" w:rsidRPr="00793027" w:rsidRDefault="00247D22" w:rsidP="000077A0">
            <w:pPr>
              <w:widowControl/>
              <w:autoSpaceDE/>
              <w:autoSpaceDN/>
              <w:adjustRightInd/>
              <w:jc w:val="center"/>
              <w:rPr>
                <w:color w:val="000000"/>
                <w:sz w:val="22"/>
                <w:szCs w:val="22"/>
              </w:rPr>
            </w:pPr>
            <w:r w:rsidRPr="00793027">
              <w:rPr>
                <w:color w:val="000000"/>
                <w:sz w:val="22"/>
                <w:szCs w:val="22"/>
              </w:rPr>
              <w:t>30 minutes</w:t>
            </w:r>
          </w:p>
        </w:tc>
      </w:tr>
      <w:tr w:rsidR="00247D22" w:rsidRPr="006E1394" w14:paraId="39294D9B" w14:textId="77777777" w:rsidTr="002B745C">
        <w:trPr>
          <w:trHeight w:val="300"/>
          <w:jc w:val="center"/>
        </w:trPr>
        <w:tc>
          <w:tcPr>
            <w:tcW w:w="3444" w:type="dxa"/>
            <w:tcBorders>
              <w:top w:val="nil"/>
              <w:left w:val="single" w:sz="8" w:space="0" w:color="auto"/>
              <w:bottom w:val="nil"/>
              <w:right w:val="nil"/>
            </w:tcBorders>
            <w:shd w:val="clear" w:color="auto" w:fill="auto"/>
            <w:noWrap/>
            <w:vAlign w:val="center"/>
            <w:hideMark/>
          </w:tcPr>
          <w:p w14:paraId="4DA01CDC"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Negotiations Per Lease</w:t>
            </w:r>
          </w:p>
        </w:tc>
        <w:tc>
          <w:tcPr>
            <w:tcW w:w="1808" w:type="dxa"/>
            <w:tcBorders>
              <w:top w:val="nil"/>
              <w:left w:val="nil"/>
              <w:bottom w:val="nil"/>
              <w:right w:val="nil"/>
            </w:tcBorders>
            <w:shd w:val="clear" w:color="auto" w:fill="auto"/>
            <w:noWrap/>
            <w:vAlign w:val="center"/>
            <w:hideMark/>
          </w:tcPr>
          <w:p w14:paraId="128000C3" w14:textId="77777777" w:rsidR="00247D22" w:rsidRPr="00793027" w:rsidRDefault="00247D22" w:rsidP="000077A0">
            <w:pPr>
              <w:widowControl/>
              <w:autoSpaceDE/>
              <w:autoSpaceDN/>
              <w:adjustRightInd/>
              <w:jc w:val="center"/>
              <w:rPr>
                <w:color w:val="000000"/>
                <w:sz w:val="22"/>
                <w:szCs w:val="22"/>
              </w:rPr>
            </w:pPr>
            <w:r w:rsidRPr="00793027">
              <w:rPr>
                <w:color w:val="000000"/>
                <w:sz w:val="22"/>
                <w:szCs w:val="22"/>
              </w:rPr>
              <w:t>2</w:t>
            </w:r>
          </w:p>
        </w:tc>
        <w:tc>
          <w:tcPr>
            <w:tcW w:w="2612" w:type="dxa"/>
            <w:tcBorders>
              <w:top w:val="nil"/>
              <w:left w:val="nil"/>
              <w:bottom w:val="nil"/>
              <w:right w:val="single" w:sz="8" w:space="0" w:color="auto"/>
            </w:tcBorders>
            <w:shd w:val="clear" w:color="auto" w:fill="auto"/>
            <w:noWrap/>
            <w:vAlign w:val="center"/>
            <w:hideMark/>
          </w:tcPr>
          <w:p w14:paraId="53A9EE56" w14:textId="77777777" w:rsidR="00247D22" w:rsidRPr="00793027" w:rsidRDefault="00247D22" w:rsidP="000077A0">
            <w:pPr>
              <w:widowControl/>
              <w:autoSpaceDE/>
              <w:autoSpaceDN/>
              <w:adjustRightInd/>
              <w:jc w:val="center"/>
              <w:rPr>
                <w:color w:val="000000"/>
                <w:sz w:val="22"/>
                <w:szCs w:val="22"/>
              </w:rPr>
            </w:pPr>
            <w:r w:rsidRPr="00793027">
              <w:rPr>
                <w:color w:val="000000"/>
                <w:sz w:val="22"/>
                <w:szCs w:val="22"/>
              </w:rPr>
              <w:t>Lessee and Lessor</w:t>
            </w:r>
          </w:p>
        </w:tc>
      </w:tr>
      <w:tr w:rsidR="00247D22" w:rsidRPr="006E1394" w14:paraId="6E0E51F7" w14:textId="77777777" w:rsidTr="002B745C">
        <w:trPr>
          <w:trHeight w:val="300"/>
          <w:jc w:val="center"/>
        </w:trPr>
        <w:tc>
          <w:tcPr>
            <w:tcW w:w="3444" w:type="dxa"/>
            <w:tcBorders>
              <w:top w:val="nil"/>
              <w:left w:val="single" w:sz="8" w:space="0" w:color="auto"/>
              <w:bottom w:val="nil"/>
              <w:right w:val="nil"/>
            </w:tcBorders>
            <w:shd w:val="clear" w:color="auto" w:fill="auto"/>
            <w:noWrap/>
            <w:vAlign w:val="center"/>
            <w:hideMark/>
          </w:tcPr>
          <w:p w14:paraId="00931086"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Total Negotiations</w:t>
            </w:r>
          </w:p>
        </w:tc>
        <w:tc>
          <w:tcPr>
            <w:tcW w:w="1808" w:type="dxa"/>
            <w:tcBorders>
              <w:top w:val="nil"/>
              <w:left w:val="nil"/>
              <w:bottom w:val="nil"/>
              <w:right w:val="nil"/>
            </w:tcBorders>
            <w:shd w:val="clear" w:color="auto" w:fill="auto"/>
            <w:noWrap/>
            <w:vAlign w:val="center"/>
            <w:hideMark/>
          </w:tcPr>
          <w:p w14:paraId="24ED96A9" w14:textId="4BFDA7A4" w:rsidR="00247D22" w:rsidRPr="00793027" w:rsidRDefault="001017A5" w:rsidP="000077A0">
            <w:pPr>
              <w:widowControl/>
              <w:autoSpaceDE/>
              <w:autoSpaceDN/>
              <w:adjustRightInd/>
              <w:jc w:val="center"/>
              <w:rPr>
                <w:color w:val="000000"/>
                <w:sz w:val="22"/>
                <w:szCs w:val="22"/>
              </w:rPr>
            </w:pPr>
            <w:r w:rsidRPr="00793027">
              <w:rPr>
                <w:color w:val="000000"/>
                <w:sz w:val="22"/>
                <w:szCs w:val="22"/>
              </w:rPr>
              <w:t>985,144</w:t>
            </w:r>
          </w:p>
        </w:tc>
        <w:tc>
          <w:tcPr>
            <w:tcW w:w="2612" w:type="dxa"/>
            <w:tcBorders>
              <w:top w:val="nil"/>
              <w:left w:val="nil"/>
              <w:bottom w:val="nil"/>
              <w:right w:val="single" w:sz="8" w:space="0" w:color="auto"/>
            </w:tcBorders>
            <w:shd w:val="clear" w:color="auto" w:fill="auto"/>
            <w:noWrap/>
            <w:vAlign w:val="center"/>
            <w:hideMark/>
          </w:tcPr>
          <w:p w14:paraId="49B98ACA" w14:textId="6061AF07" w:rsidR="00247D22" w:rsidRPr="00793027" w:rsidRDefault="001017A5" w:rsidP="000077A0">
            <w:pPr>
              <w:widowControl/>
              <w:autoSpaceDE/>
              <w:autoSpaceDN/>
              <w:adjustRightInd/>
              <w:jc w:val="center"/>
              <w:rPr>
                <w:color w:val="000000"/>
                <w:sz w:val="22"/>
                <w:szCs w:val="22"/>
              </w:rPr>
            </w:pPr>
            <w:r w:rsidRPr="00793027">
              <w:rPr>
                <w:color w:val="000000"/>
                <w:sz w:val="22"/>
                <w:szCs w:val="22"/>
              </w:rPr>
              <w:t>492,572</w:t>
            </w:r>
            <w:r w:rsidR="00247D22" w:rsidRPr="00793027">
              <w:rPr>
                <w:color w:val="000000"/>
                <w:sz w:val="22"/>
                <w:szCs w:val="22"/>
              </w:rPr>
              <w:t xml:space="preserve"> </w:t>
            </w:r>
            <w:r w:rsidR="00AE21FF">
              <w:rPr>
                <w:color w:val="000000"/>
                <w:sz w:val="22"/>
                <w:szCs w:val="22"/>
              </w:rPr>
              <w:t>×</w:t>
            </w:r>
            <w:r w:rsidR="00247D22" w:rsidRPr="00793027">
              <w:rPr>
                <w:color w:val="000000"/>
                <w:sz w:val="22"/>
                <w:szCs w:val="22"/>
              </w:rPr>
              <w:t xml:space="preserve"> 2</w:t>
            </w:r>
          </w:p>
        </w:tc>
      </w:tr>
      <w:tr w:rsidR="00247D22" w:rsidRPr="006E1394" w14:paraId="5CE7AC4E" w14:textId="77777777" w:rsidTr="002B745C">
        <w:trPr>
          <w:trHeight w:val="300"/>
          <w:jc w:val="center"/>
        </w:trPr>
        <w:tc>
          <w:tcPr>
            <w:tcW w:w="3444" w:type="dxa"/>
            <w:tcBorders>
              <w:top w:val="nil"/>
              <w:left w:val="single" w:sz="8" w:space="0" w:color="auto"/>
              <w:bottom w:val="nil"/>
              <w:right w:val="nil"/>
            </w:tcBorders>
            <w:shd w:val="clear" w:color="auto" w:fill="auto"/>
            <w:noWrap/>
            <w:vAlign w:val="center"/>
            <w:hideMark/>
          </w:tcPr>
          <w:p w14:paraId="366B6C83"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Total Hours</w:t>
            </w:r>
          </w:p>
        </w:tc>
        <w:tc>
          <w:tcPr>
            <w:tcW w:w="1808" w:type="dxa"/>
            <w:tcBorders>
              <w:top w:val="nil"/>
              <w:left w:val="nil"/>
              <w:bottom w:val="nil"/>
              <w:right w:val="nil"/>
            </w:tcBorders>
            <w:shd w:val="clear" w:color="auto" w:fill="auto"/>
            <w:noWrap/>
            <w:vAlign w:val="center"/>
            <w:hideMark/>
          </w:tcPr>
          <w:p w14:paraId="522EBA20" w14:textId="5D988901" w:rsidR="00247D22" w:rsidRPr="00793027" w:rsidRDefault="00B82222" w:rsidP="000077A0">
            <w:pPr>
              <w:widowControl/>
              <w:autoSpaceDE/>
              <w:autoSpaceDN/>
              <w:adjustRightInd/>
              <w:jc w:val="center"/>
              <w:rPr>
                <w:color w:val="000000"/>
                <w:sz w:val="22"/>
                <w:szCs w:val="22"/>
              </w:rPr>
            </w:pPr>
            <w:r w:rsidRPr="00793027">
              <w:rPr>
                <w:color w:val="000000"/>
                <w:sz w:val="22"/>
                <w:szCs w:val="22"/>
              </w:rPr>
              <w:t>492,572</w:t>
            </w:r>
          </w:p>
        </w:tc>
        <w:tc>
          <w:tcPr>
            <w:tcW w:w="2612" w:type="dxa"/>
            <w:tcBorders>
              <w:top w:val="nil"/>
              <w:left w:val="nil"/>
              <w:bottom w:val="single" w:sz="8" w:space="0" w:color="auto"/>
              <w:right w:val="single" w:sz="8" w:space="0" w:color="auto"/>
            </w:tcBorders>
            <w:shd w:val="clear" w:color="auto" w:fill="auto"/>
            <w:noWrap/>
            <w:vAlign w:val="center"/>
            <w:hideMark/>
          </w:tcPr>
          <w:p w14:paraId="65A743FA" w14:textId="1E84885F" w:rsidR="00247D22" w:rsidRPr="00793027" w:rsidRDefault="001017A5" w:rsidP="000077A0">
            <w:pPr>
              <w:widowControl/>
              <w:autoSpaceDE/>
              <w:autoSpaceDN/>
              <w:adjustRightInd/>
              <w:jc w:val="center"/>
              <w:rPr>
                <w:color w:val="000000"/>
                <w:sz w:val="22"/>
                <w:szCs w:val="22"/>
              </w:rPr>
            </w:pPr>
            <w:r w:rsidRPr="00793027">
              <w:rPr>
                <w:color w:val="000000"/>
                <w:sz w:val="22"/>
                <w:szCs w:val="22"/>
              </w:rPr>
              <w:t>985,144</w:t>
            </w:r>
            <w:r w:rsidR="00247D22" w:rsidRPr="00793027">
              <w:rPr>
                <w:color w:val="000000"/>
                <w:sz w:val="22"/>
                <w:szCs w:val="22"/>
              </w:rPr>
              <w:t xml:space="preserve"> </w:t>
            </w:r>
            <w:r w:rsidR="00AE21FF">
              <w:rPr>
                <w:color w:val="000000"/>
                <w:sz w:val="22"/>
                <w:szCs w:val="22"/>
              </w:rPr>
              <w:t>×</w:t>
            </w:r>
            <w:r w:rsidR="00247D22" w:rsidRPr="00793027">
              <w:rPr>
                <w:color w:val="000000"/>
                <w:sz w:val="22"/>
                <w:szCs w:val="22"/>
              </w:rPr>
              <w:t xml:space="preserve"> 1/2</w:t>
            </w:r>
          </w:p>
        </w:tc>
      </w:tr>
      <w:tr w:rsidR="00247D22" w:rsidRPr="006E1394" w14:paraId="08F9F681" w14:textId="77777777" w:rsidTr="002B745C">
        <w:trPr>
          <w:trHeight w:val="315"/>
          <w:jc w:val="center"/>
        </w:trPr>
        <w:tc>
          <w:tcPr>
            <w:tcW w:w="5252" w:type="dxa"/>
            <w:gridSpan w:val="2"/>
            <w:tcBorders>
              <w:top w:val="single" w:sz="8" w:space="0" w:color="auto"/>
              <w:left w:val="single" w:sz="8" w:space="0" w:color="auto"/>
              <w:bottom w:val="single" w:sz="8" w:space="0" w:color="auto"/>
              <w:right w:val="single" w:sz="8" w:space="0" w:color="000000"/>
            </w:tcBorders>
            <w:shd w:val="clear" w:color="000000" w:fill="CDDEFF"/>
            <w:noWrap/>
            <w:vAlign w:val="center"/>
            <w:hideMark/>
          </w:tcPr>
          <w:p w14:paraId="65947CA9" w14:textId="77777777" w:rsidR="00247D22" w:rsidRPr="00793027" w:rsidRDefault="00247D22" w:rsidP="000077A0">
            <w:pPr>
              <w:keepNext/>
              <w:widowControl/>
              <w:autoSpaceDE/>
              <w:autoSpaceDN/>
              <w:adjustRightInd/>
              <w:jc w:val="center"/>
              <w:rPr>
                <w:b/>
                <w:bCs/>
                <w:color w:val="000000"/>
                <w:sz w:val="22"/>
                <w:szCs w:val="22"/>
              </w:rPr>
            </w:pPr>
            <w:r w:rsidRPr="00793027">
              <w:rPr>
                <w:b/>
                <w:bCs/>
                <w:color w:val="000000"/>
                <w:sz w:val="22"/>
                <w:szCs w:val="22"/>
              </w:rPr>
              <w:t>Lease Documentation</w:t>
            </w:r>
          </w:p>
        </w:tc>
        <w:tc>
          <w:tcPr>
            <w:tcW w:w="2612" w:type="dxa"/>
            <w:tcBorders>
              <w:top w:val="single" w:sz="8" w:space="0" w:color="auto"/>
              <w:left w:val="nil"/>
              <w:bottom w:val="single" w:sz="8" w:space="0" w:color="auto"/>
              <w:right w:val="single" w:sz="8" w:space="0" w:color="auto"/>
            </w:tcBorders>
            <w:shd w:val="clear" w:color="000000" w:fill="CDDEFF"/>
            <w:noWrap/>
            <w:vAlign w:val="center"/>
            <w:hideMark/>
          </w:tcPr>
          <w:p w14:paraId="0C7F4154"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Notes</w:t>
            </w:r>
          </w:p>
        </w:tc>
      </w:tr>
      <w:tr w:rsidR="00247D22" w:rsidRPr="006E1394" w14:paraId="0B183B73" w14:textId="77777777" w:rsidTr="002B745C">
        <w:trPr>
          <w:trHeight w:val="300"/>
          <w:jc w:val="center"/>
        </w:trPr>
        <w:tc>
          <w:tcPr>
            <w:tcW w:w="3444" w:type="dxa"/>
            <w:tcBorders>
              <w:top w:val="nil"/>
              <w:left w:val="single" w:sz="8" w:space="0" w:color="auto"/>
              <w:bottom w:val="nil"/>
              <w:right w:val="nil"/>
            </w:tcBorders>
            <w:shd w:val="clear" w:color="auto" w:fill="auto"/>
            <w:noWrap/>
            <w:vAlign w:val="center"/>
            <w:hideMark/>
          </w:tcPr>
          <w:p w14:paraId="7872752C" w14:textId="77777777" w:rsidR="00247D22" w:rsidRPr="00793027" w:rsidRDefault="00247D22" w:rsidP="000077A0">
            <w:pPr>
              <w:keepNext/>
              <w:widowControl/>
              <w:autoSpaceDE/>
              <w:autoSpaceDN/>
              <w:adjustRightInd/>
              <w:jc w:val="center"/>
              <w:rPr>
                <w:b/>
                <w:bCs/>
                <w:color w:val="000000"/>
                <w:sz w:val="22"/>
                <w:szCs w:val="22"/>
              </w:rPr>
            </w:pPr>
            <w:r w:rsidRPr="00793027">
              <w:rPr>
                <w:b/>
                <w:bCs/>
                <w:color w:val="000000"/>
                <w:sz w:val="22"/>
                <w:szCs w:val="22"/>
              </w:rPr>
              <w:t>Hours Per Transaction</w:t>
            </w:r>
          </w:p>
        </w:tc>
        <w:tc>
          <w:tcPr>
            <w:tcW w:w="1808" w:type="dxa"/>
            <w:tcBorders>
              <w:top w:val="nil"/>
              <w:left w:val="nil"/>
              <w:bottom w:val="nil"/>
              <w:right w:val="nil"/>
            </w:tcBorders>
            <w:shd w:val="clear" w:color="auto" w:fill="auto"/>
            <w:noWrap/>
            <w:vAlign w:val="center"/>
            <w:hideMark/>
          </w:tcPr>
          <w:p w14:paraId="5A060FAB" w14:textId="77777777" w:rsidR="00247D22" w:rsidRPr="00793027" w:rsidRDefault="00247D22" w:rsidP="000077A0">
            <w:pPr>
              <w:widowControl/>
              <w:autoSpaceDE/>
              <w:autoSpaceDN/>
              <w:adjustRightInd/>
              <w:jc w:val="center"/>
              <w:rPr>
                <w:color w:val="000000"/>
                <w:sz w:val="22"/>
                <w:szCs w:val="22"/>
              </w:rPr>
            </w:pPr>
            <w:r w:rsidRPr="00793027">
              <w:rPr>
                <w:color w:val="000000"/>
                <w:sz w:val="22"/>
                <w:szCs w:val="22"/>
              </w:rPr>
              <w:t xml:space="preserve">  1/12</w:t>
            </w:r>
          </w:p>
        </w:tc>
        <w:tc>
          <w:tcPr>
            <w:tcW w:w="2612" w:type="dxa"/>
            <w:tcBorders>
              <w:top w:val="nil"/>
              <w:left w:val="nil"/>
              <w:bottom w:val="nil"/>
              <w:right w:val="single" w:sz="8" w:space="0" w:color="auto"/>
            </w:tcBorders>
            <w:shd w:val="clear" w:color="auto" w:fill="auto"/>
            <w:noWrap/>
            <w:vAlign w:val="center"/>
            <w:hideMark/>
          </w:tcPr>
          <w:p w14:paraId="35940889" w14:textId="77777777" w:rsidR="00247D22" w:rsidRPr="00793027" w:rsidRDefault="00247D22" w:rsidP="000077A0">
            <w:pPr>
              <w:widowControl/>
              <w:autoSpaceDE/>
              <w:autoSpaceDN/>
              <w:adjustRightInd/>
              <w:jc w:val="center"/>
              <w:rPr>
                <w:color w:val="000000"/>
                <w:sz w:val="22"/>
                <w:szCs w:val="22"/>
              </w:rPr>
            </w:pPr>
            <w:r w:rsidRPr="00793027">
              <w:rPr>
                <w:color w:val="000000"/>
                <w:sz w:val="22"/>
                <w:szCs w:val="22"/>
              </w:rPr>
              <w:t>5 minutes</w:t>
            </w:r>
          </w:p>
        </w:tc>
      </w:tr>
      <w:tr w:rsidR="00247D22" w:rsidRPr="006E1394" w14:paraId="31872A51" w14:textId="77777777" w:rsidTr="002B745C">
        <w:trPr>
          <w:trHeight w:val="300"/>
          <w:jc w:val="center"/>
        </w:trPr>
        <w:tc>
          <w:tcPr>
            <w:tcW w:w="3444" w:type="dxa"/>
            <w:tcBorders>
              <w:top w:val="nil"/>
              <w:left w:val="single" w:sz="8" w:space="0" w:color="auto"/>
              <w:bottom w:val="nil"/>
              <w:right w:val="nil"/>
            </w:tcBorders>
            <w:shd w:val="clear" w:color="auto" w:fill="auto"/>
            <w:noWrap/>
            <w:vAlign w:val="center"/>
            <w:hideMark/>
          </w:tcPr>
          <w:p w14:paraId="3BAD6FC9" w14:textId="77777777" w:rsidR="00247D22" w:rsidRPr="00793027" w:rsidRDefault="00247D22" w:rsidP="000077A0">
            <w:pPr>
              <w:keepNext/>
              <w:widowControl/>
              <w:autoSpaceDE/>
              <w:autoSpaceDN/>
              <w:adjustRightInd/>
              <w:jc w:val="center"/>
              <w:rPr>
                <w:b/>
                <w:bCs/>
                <w:color w:val="000000"/>
                <w:sz w:val="22"/>
                <w:szCs w:val="22"/>
              </w:rPr>
            </w:pPr>
            <w:r w:rsidRPr="00793027">
              <w:rPr>
                <w:b/>
                <w:bCs/>
                <w:color w:val="000000"/>
                <w:sz w:val="22"/>
                <w:szCs w:val="22"/>
              </w:rPr>
              <w:t>Agents Per Lease</w:t>
            </w:r>
          </w:p>
        </w:tc>
        <w:tc>
          <w:tcPr>
            <w:tcW w:w="1808" w:type="dxa"/>
            <w:tcBorders>
              <w:top w:val="nil"/>
              <w:left w:val="nil"/>
              <w:bottom w:val="nil"/>
              <w:right w:val="nil"/>
            </w:tcBorders>
            <w:shd w:val="clear" w:color="auto" w:fill="auto"/>
            <w:noWrap/>
            <w:vAlign w:val="center"/>
            <w:hideMark/>
          </w:tcPr>
          <w:p w14:paraId="07A65707" w14:textId="77777777" w:rsidR="00247D22" w:rsidRPr="00793027" w:rsidRDefault="00247D22" w:rsidP="000077A0">
            <w:pPr>
              <w:widowControl/>
              <w:autoSpaceDE/>
              <w:autoSpaceDN/>
              <w:adjustRightInd/>
              <w:jc w:val="center"/>
              <w:rPr>
                <w:color w:val="000000"/>
                <w:sz w:val="22"/>
                <w:szCs w:val="22"/>
              </w:rPr>
            </w:pPr>
            <w:r w:rsidRPr="00793027">
              <w:rPr>
                <w:color w:val="000000"/>
                <w:sz w:val="22"/>
                <w:szCs w:val="22"/>
              </w:rPr>
              <w:t>2</w:t>
            </w:r>
          </w:p>
        </w:tc>
        <w:tc>
          <w:tcPr>
            <w:tcW w:w="2612" w:type="dxa"/>
            <w:tcBorders>
              <w:top w:val="nil"/>
              <w:left w:val="nil"/>
              <w:bottom w:val="nil"/>
              <w:right w:val="single" w:sz="8" w:space="0" w:color="auto"/>
            </w:tcBorders>
            <w:shd w:val="clear" w:color="auto" w:fill="auto"/>
            <w:noWrap/>
            <w:vAlign w:val="center"/>
            <w:hideMark/>
          </w:tcPr>
          <w:p w14:paraId="13655554" w14:textId="77777777" w:rsidR="00247D22" w:rsidRPr="00793027" w:rsidRDefault="00247D22" w:rsidP="000077A0">
            <w:pPr>
              <w:widowControl/>
              <w:autoSpaceDE/>
              <w:autoSpaceDN/>
              <w:adjustRightInd/>
              <w:jc w:val="center"/>
              <w:rPr>
                <w:color w:val="000000"/>
                <w:sz w:val="22"/>
                <w:szCs w:val="22"/>
              </w:rPr>
            </w:pPr>
            <w:r w:rsidRPr="00793027">
              <w:rPr>
                <w:color w:val="000000"/>
                <w:sz w:val="22"/>
                <w:szCs w:val="22"/>
              </w:rPr>
              <w:t>Lessee and Lessor</w:t>
            </w:r>
          </w:p>
        </w:tc>
      </w:tr>
      <w:tr w:rsidR="00247D22" w:rsidRPr="006E1394" w14:paraId="651307BE" w14:textId="77777777" w:rsidTr="002B745C">
        <w:trPr>
          <w:trHeight w:val="300"/>
          <w:jc w:val="center"/>
        </w:trPr>
        <w:tc>
          <w:tcPr>
            <w:tcW w:w="3444" w:type="dxa"/>
            <w:tcBorders>
              <w:top w:val="nil"/>
              <w:left w:val="single" w:sz="8" w:space="0" w:color="auto"/>
              <w:bottom w:val="nil"/>
              <w:right w:val="nil"/>
            </w:tcBorders>
            <w:shd w:val="clear" w:color="auto" w:fill="auto"/>
            <w:noWrap/>
            <w:vAlign w:val="center"/>
            <w:hideMark/>
          </w:tcPr>
          <w:p w14:paraId="296F451C" w14:textId="77777777" w:rsidR="00247D22" w:rsidRPr="00793027" w:rsidRDefault="00247D22" w:rsidP="000077A0">
            <w:pPr>
              <w:keepNext/>
              <w:widowControl/>
              <w:autoSpaceDE/>
              <w:autoSpaceDN/>
              <w:adjustRightInd/>
              <w:jc w:val="center"/>
              <w:rPr>
                <w:b/>
                <w:bCs/>
                <w:color w:val="000000"/>
                <w:sz w:val="22"/>
                <w:szCs w:val="22"/>
              </w:rPr>
            </w:pPr>
            <w:r w:rsidRPr="00793027">
              <w:rPr>
                <w:b/>
                <w:bCs/>
                <w:color w:val="000000"/>
                <w:sz w:val="22"/>
                <w:szCs w:val="22"/>
              </w:rPr>
              <w:t>Total Transactions</w:t>
            </w:r>
          </w:p>
        </w:tc>
        <w:tc>
          <w:tcPr>
            <w:tcW w:w="1808" w:type="dxa"/>
            <w:tcBorders>
              <w:top w:val="nil"/>
              <w:left w:val="nil"/>
              <w:bottom w:val="nil"/>
              <w:right w:val="nil"/>
            </w:tcBorders>
            <w:shd w:val="clear" w:color="auto" w:fill="auto"/>
            <w:noWrap/>
            <w:vAlign w:val="center"/>
            <w:hideMark/>
          </w:tcPr>
          <w:p w14:paraId="2CBB1B4A" w14:textId="599A61C0" w:rsidR="00247D22" w:rsidRPr="00793027" w:rsidRDefault="00607BAA" w:rsidP="000077A0">
            <w:pPr>
              <w:widowControl/>
              <w:autoSpaceDE/>
              <w:autoSpaceDN/>
              <w:adjustRightInd/>
              <w:jc w:val="center"/>
              <w:rPr>
                <w:color w:val="000000"/>
                <w:sz w:val="22"/>
                <w:szCs w:val="22"/>
              </w:rPr>
            </w:pPr>
            <w:r w:rsidRPr="00793027">
              <w:rPr>
                <w:color w:val="000000"/>
                <w:sz w:val="22"/>
                <w:szCs w:val="22"/>
              </w:rPr>
              <w:t>985,144</w:t>
            </w:r>
          </w:p>
        </w:tc>
        <w:tc>
          <w:tcPr>
            <w:tcW w:w="2612" w:type="dxa"/>
            <w:tcBorders>
              <w:top w:val="nil"/>
              <w:left w:val="nil"/>
              <w:bottom w:val="nil"/>
              <w:right w:val="single" w:sz="8" w:space="0" w:color="auto"/>
            </w:tcBorders>
            <w:shd w:val="clear" w:color="auto" w:fill="auto"/>
            <w:noWrap/>
            <w:vAlign w:val="center"/>
            <w:hideMark/>
          </w:tcPr>
          <w:p w14:paraId="2112B0BD" w14:textId="5D705C68" w:rsidR="00247D22" w:rsidRPr="00793027" w:rsidRDefault="00607BAA" w:rsidP="000077A0">
            <w:pPr>
              <w:widowControl/>
              <w:autoSpaceDE/>
              <w:autoSpaceDN/>
              <w:adjustRightInd/>
              <w:jc w:val="center"/>
              <w:rPr>
                <w:color w:val="000000"/>
                <w:sz w:val="22"/>
                <w:szCs w:val="22"/>
              </w:rPr>
            </w:pPr>
            <w:r w:rsidRPr="00793027">
              <w:rPr>
                <w:color w:val="000000"/>
                <w:sz w:val="22"/>
                <w:szCs w:val="22"/>
              </w:rPr>
              <w:t>492,572</w:t>
            </w:r>
            <w:r w:rsidR="00247D22" w:rsidRPr="00793027">
              <w:rPr>
                <w:color w:val="000000"/>
                <w:sz w:val="22"/>
                <w:szCs w:val="22"/>
              </w:rPr>
              <w:t xml:space="preserve"> </w:t>
            </w:r>
            <w:r w:rsidR="00AE21FF">
              <w:rPr>
                <w:color w:val="000000"/>
                <w:sz w:val="22"/>
                <w:szCs w:val="22"/>
              </w:rPr>
              <w:t>×</w:t>
            </w:r>
            <w:r w:rsidR="00247D22" w:rsidRPr="00793027">
              <w:rPr>
                <w:color w:val="000000"/>
                <w:sz w:val="22"/>
                <w:szCs w:val="22"/>
              </w:rPr>
              <w:t xml:space="preserve"> 2</w:t>
            </w:r>
          </w:p>
        </w:tc>
      </w:tr>
      <w:tr w:rsidR="00247D22" w:rsidRPr="006E1394" w14:paraId="795D09FC" w14:textId="77777777" w:rsidTr="002B745C">
        <w:trPr>
          <w:trHeight w:val="300"/>
          <w:jc w:val="center"/>
        </w:trPr>
        <w:tc>
          <w:tcPr>
            <w:tcW w:w="3444" w:type="dxa"/>
            <w:tcBorders>
              <w:top w:val="nil"/>
              <w:left w:val="single" w:sz="8" w:space="0" w:color="auto"/>
              <w:bottom w:val="nil"/>
              <w:right w:val="nil"/>
            </w:tcBorders>
            <w:shd w:val="clear" w:color="auto" w:fill="auto"/>
            <w:noWrap/>
            <w:vAlign w:val="center"/>
            <w:hideMark/>
          </w:tcPr>
          <w:p w14:paraId="261CEFFF"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Total Hours</w:t>
            </w:r>
          </w:p>
        </w:tc>
        <w:tc>
          <w:tcPr>
            <w:tcW w:w="1808" w:type="dxa"/>
            <w:tcBorders>
              <w:top w:val="nil"/>
              <w:left w:val="nil"/>
              <w:bottom w:val="nil"/>
              <w:right w:val="nil"/>
            </w:tcBorders>
            <w:shd w:val="clear" w:color="auto" w:fill="auto"/>
            <w:noWrap/>
            <w:vAlign w:val="center"/>
            <w:hideMark/>
          </w:tcPr>
          <w:p w14:paraId="3F2FD9A9" w14:textId="2E2B0F7E" w:rsidR="00247D22" w:rsidRPr="00793027" w:rsidRDefault="00607BAA" w:rsidP="000077A0">
            <w:pPr>
              <w:widowControl/>
              <w:autoSpaceDE/>
              <w:autoSpaceDN/>
              <w:adjustRightInd/>
              <w:jc w:val="center"/>
              <w:rPr>
                <w:color w:val="000000"/>
                <w:sz w:val="22"/>
                <w:szCs w:val="22"/>
              </w:rPr>
            </w:pPr>
            <w:r w:rsidRPr="00793027">
              <w:rPr>
                <w:color w:val="000000"/>
                <w:sz w:val="22"/>
                <w:szCs w:val="22"/>
              </w:rPr>
              <w:t>82,095</w:t>
            </w:r>
          </w:p>
        </w:tc>
        <w:tc>
          <w:tcPr>
            <w:tcW w:w="2612" w:type="dxa"/>
            <w:tcBorders>
              <w:top w:val="nil"/>
              <w:left w:val="nil"/>
              <w:bottom w:val="single" w:sz="8" w:space="0" w:color="auto"/>
              <w:right w:val="single" w:sz="8" w:space="0" w:color="auto"/>
            </w:tcBorders>
            <w:shd w:val="clear" w:color="auto" w:fill="auto"/>
            <w:noWrap/>
            <w:vAlign w:val="center"/>
            <w:hideMark/>
          </w:tcPr>
          <w:p w14:paraId="29BE01EF" w14:textId="3A95EEF4" w:rsidR="00247D22" w:rsidRPr="00793027" w:rsidRDefault="00030D11" w:rsidP="000077A0">
            <w:pPr>
              <w:widowControl/>
              <w:autoSpaceDE/>
              <w:autoSpaceDN/>
              <w:adjustRightInd/>
              <w:jc w:val="center"/>
              <w:rPr>
                <w:color w:val="000000"/>
                <w:sz w:val="22"/>
                <w:szCs w:val="22"/>
              </w:rPr>
            </w:pPr>
            <w:r w:rsidRPr="00793027">
              <w:rPr>
                <w:color w:val="000000"/>
                <w:sz w:val="22"/>
                <w:szCs w:val="22"/>
              </w:rPr>
              <w:t>985,144</w:t>
            </w:r>
            <w:r w:rsidR="00247D22" w:rsidRPr="00793027">
              <w:rPr>
                <w:color w:val="000000"/>
                <w:sz w:val="22"/>
                <w:szCs w:val="22"/>
              </w:rPr>
              <w:t xml:space="preserve"> </w:t>
            </w:r>
            <w:r w:rsidR="00AE21FF">
              <w:rPr>
                <w:color w:val="000000"/>
                <w:sz w:val="22"/>
                <w:szCs w:val="22"/>
              </w:rPr>
              <w:t>×</w:t>
            </w:r>
            <w:r w:rsidR="00247D22" w:rsidRPr="00793027">
              <w:rPr>
                <w:color w:val="000000"/>
                <w:sz w:val="22"/>
                <w:szCs w:val="22"/>
              </w:rPr>
              <w:t xml:space="preserve"> 1/12</w:t>
            </w:r>
          </w:p>
        </w:tc>
      </w:tr>
      <w:tr w:rsidR="00247D22" w:rsidRPr="006E1394" w14:paraId="2C7D8F00" w14:textId="77777777" w:rsidTr="002B745C">
        <w:trPr>
          <w:trHeight w:val="315"/>
          <w:jc w:val="center"/>
        </w:trPr>
        <w:tc>
          <w:tcPr>
            <w:tcW w:w="5252" w:type="dxa"/>
            <w:gridSpan w:val="2"/>
            <w:tcBorders>
              <w:top w:val="single" w:sz="8" w:space="0" w:color="auto"/>
              <w:left w:val="single" w:sz="8" w:space="0" w:color="auto"/>
              <w:bottom w:val="single" w:sz="8" w:space="0" w:color="auto"/>
              <w:right w:val="single" w:sz="8" w:space="0" w:color="000000"/>
            </w:tcBorders>
            <w:shd w:val="clear" w:color="000000" w:fill="CDDEFF"/>
            <w:noWrap/>
            <w:vAlign w:val="center"/>
            <w:hideMark/>
          </w:tcPr>
          <w:p w14:paraId="33108BD7"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lastRenderedPageBreak/>
              <w:t>Lease Copying</w:t>
            </w:r>
          </w:p>
        </w:tc>
        <w:tc>
          <w:tcPr>
            <w:tcW w:w="2612" w:type="dxa"/>
            <w:tcBorders>
              <w:top w:val="single" w:sz="8" w:space="0" w:color="auto"/>
              <w:left w:val="nil"/>
              <w:bottom w:val="single" w:sz="8" w:space="0" w:color="auto"/>
              <w:right w:val="single" w:sz="8" w:space="0" w:color="auto"/>
            </w:tcBorders>
            <w:shd w:val="clear" w:color="000000" w:fill="CDDEFF"/>
            <w:noWrap/>
            <w:vAlign w:val="center"/>
            <w:hideMark/>
          </w:tcPr>
          <w:p w14:paraId="1CD18239"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Notes</w:t>
            </w:r>
          </w:p>
        </w:tc>
      </w:tr>
      <w:tr w:rsidR="00247D22" w:rsidRPr="006E1394" w14:paraId="55CD11FE" w14:textId="77777777" w:rsidTr="002B745C">
        <w:trPr>
          <w:trHeight w:val="300"/>
          <w:jc w:val="center"/>
        </w:trPr>
        <w:tc>
          <w:tcPr>
            <w:tcW w:w="3444" w:type="dxa"/>
            <w:tcBorders>
              <w:top w:val="nil"/>
              <w:left w:val="single" w:sz="8" w:space="0" w:color="auto"/>
              <w:bottom w:val="nil"/>
              <w:right w:val="nil"/>
            </w:tcBorders>
            <w:shd w:val="clear" w:color="auto" w:fill="auto"/>
            <w:noWrap/>
            <w:vAlign w:val="center"/>
            <w:hideMark/>
          </w:tcPr>
          <w:p w14:paraId="67E3BD5D"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Agents Per Lease</w:t>
            </w:r>
          </w:p>
        </w:tc>
        <w:tc>
          <w:tcPr>
            <w:tcW w:w="1808" w:type="dxa"/>
            <w:tcBorders>
              <w:top w:val="nil"/>
              <w:left w:val="nil"/>
              <w:bottom w:val="nil"/>
              <w:right w:val="nil"/>
            </w:tcBorders>
            <w:shd w:val="clear" w:color="auto" w:fill="auto"/>
            <w:noWrap/>
            <w:vAlign w:val="center"/>
            <w:hideMark/>
          </w:tcPr>
          <w:p w14:paraId="26E4907C" w14:textId="77777777" w:rsidR="00247D22" w:rsidRPr="00793027" w:rsidRDefault="00247D22" w:rsidP="000077A0">
            <w:pPr>
              <w:widowControl/>
              <w:autoSpaceDE/>
              <w:autoSpaceDN/>
              <w:adjustRightInd/>
              <w:jc w:val="center"/>
              <w:rPr>
                <w:color w:val="000000"/>
                <w:sz w:val="22"/>
                <w:szCs w:val="22"/>
              </w:rPr>
            </w:pPr>
            <w:r w:rsidRPr="00793027">
              <w:rPr>
                <w:color w:val="000000"/>
                <w:sz w:val="22"/>
                <w:szCs w:val="22"/>
              </w:rPr>
              <w:t>2</w:t>
            </w:r>
          </w:p>
        </w:tc>
        <w:tc>
          <w:tcPr>
            <w:tcW w:w="2612" w:type="dxa"/>
            <w:tcBorders>
              <w:top w:val="nil"/>
              <w:left w:val="nil"/>
              <w:bottom w:val="nil"/>
              <w:right w:val="single" w:sz="8" w:space="0" w:color="auto"/>
            </w:tcBorders>
            <w:shd w:val="clear" w:color="auto" w:fill="auto"/>
            <w:noWrap/>
            <w:vAlign w:val="center"/>
            <w:hideMark/>
          </w:tcPr>
          <w:p w14:paraId="2987B23A" w14:textId="77777777" w:rsidR="00247D22" w:rsidRPr="00793027" w:rsidRDefault="00247D22" w:rsidP="000077A0">
            <w:pPr>
              <w:widowControl/>
              <w:autoSpaceDE/>
              <w:autoSpaceDN/>
              <w:adjustRightInd/>
              <w:jc w:val="center"/>
              <w:rPr>
                <w:color w:val="000000"/>
                <w:sz w:val="22"/>
                <w:szCs w:val="22"/>
              </w:rPr>
            </w:pPr>
            <w:r w:rsidRPr="00793027">
              <w:rPr>
                <w:color w:val="000000"/>
                <w:sz w:val="22"/>
                <w:szCs w:val="22"/>
              </w:rPr>
              <w:t>Lessee and Lessor</w:t>
            </w:r>
          </w:p>
        </w:tc>
      </w:tr>
      <w:tr w:rsidR="00247D22" w:rsidRPr="006E1394" w14:paraId="15FE361F" w14:textId="77777777" w:rsidTr="002B745C">
        <w:trPr>
          <w:trHeight w:val="300"/>
          <w:jc w:val="center"/>
        </w:trPr>
        <w:tc>
          <w:tcPr>
            <w:tcW w:w="3444" w:type="dxa"/>
            <w:tcBorders>
              <w:top w:val="nil"/>
              <w:left w:val="single" w:sz="8" w:space="0" w:color="auto"/>
              <w:bottom w:val="nil"/>
              <w:right w:val="nil"/>
            </w:tcBorders>
            <w:shd w:val="clear" w:color="auto" w:fill="auto"/>
            <w:noWrap/>
            <w:vAlign w:val="center"/>
            <w:hideMark/>
          </w:tcPr>
          <w:p w14:paraId="37381C95"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Total Transactions</w:t>
            </w:r>
          </w:p>
        </w:tc>
        <w:tc>
          <w:tcPr>
            <w:tcW w:w="1808" w:type="dxa"/>
            <w:tcBorders>
              <w:top w:val="nil"/>
              <w:left w:val="nil"/>
              <w:bottom w:val="nil"/>
              <w:right w:val="nil"/>
            </w:tcBorders>
            <w:shd w:val="clear" w:color="auto" w:fill="auto"/>
            <w:noWrap/>
            <w:vAlign w:val="center"/>
            <w:hideMark/>
          </w:tcPr>
          <w:p w14:paraId="7EAD5BC3" w14:textId="342C9814" w:rsidR="00247D22" w:rsidRPr="00793027" w:rsidRDefault="00510C48" w:rsidP="000077A0">
            <w:pPr>
              <w:widowControl/>
              <w:autoSpaceDE/>
              <w:autoSpaceDN/>
              <w:adjustRightInd/>
              <w:jc w:val="center"/>
              <w:rPr>
                <w:color w:val="000000"/>
                <w:sz w:val="22"/>
                <w:szCs w:val="22"/>
              </w:rPr>
            </w:pPr>
            <w:r w:rsidRPr="00793027">
              <w:rPr>
                <w:color w:val="000000"/>
                <w:sz w:val="22"/>
                <w:szCs w:val="22"/>
              </w:rPr>
              <w:t>985,144</w:t>
            </w:r>
          </w:p>
        </w:tc>
        <w:tc>
          <w:tcPr>
            <w:tcW w:w="2612" w:type="dxa"/>
            <w:tcBorders>
              <w:top w:val="nil"/>
              <w:left w:val="nil"/>
              <w:bottom w:val="nil"/>
              <w:right w:val="single" w:sz="8" w:space="0" w:color="auto"/>
            </w:tcBorders>
            <w:shd w:val="clear" w:color="auto" w:fill="auto"/>
            <w:noWrap/>
            <w:vAlign w:val="center"/>
            <w:hideMark/>
          </w:tcPr>
          <w:p w14:paraId="5BA64DA9" w14:textId="24FCD312" w:rsidR="00247D22" w:rsidRPr="00793027" w:rsidRDefault="00510C48" w:rsidP="000077A0">
            <w:pPr>
              <w:widowControl/>
              <w:autoSpaceDE/>
              <w:autoSpaceDN/>
              <w:adjustRightInd/>
              <w:jc w:val="center"/>
              <w:rPr>
                <w:color w:val="000000"/>
                <w:sz w:val="22"/>
                <w:szCs w:val="22"/>
              </w:rPr>
            </w:pPr>
            <w:r w:rsidRPr="00793027">
              <w:rPr>
                <w:color w:val="000000"/>
                <w:sz w:val="22"/>
                <w:szCs w:val="22"/>
              </w:rPr>
              <w:t>492,572</w:t>
            </w:r>
            <w:r w:rsidR="00247D22" w:rsidRPr="00793027">
              <w:rPr>
                <w:color w:val="000000"/>
                <w:sz w:val="22"/>
                <w:szCs w:val="22"/>
              </w:rPr>
              <w:t xml:space="preserve"> </w:t>
            </w:r>
            <w:r w:rsidR="00AE21FF">
              <w:rPr>
                <w:color w:val="000000"/>
                <w:sz w:val="22"/>
                <w:szCs w:val="22"/>
              </w:rPr>
              <w:t>×</w:t>
            </w:r>
            <w:r w:rsidR="00247D22" w:rsidRPr="00793027">
              <w:rPr>
                <w:color w:val="000000"/>
                <w:sz w:val="22"/>
                <w:szCs w:val="22"/>
              </w:rPr>
              <w:t xml:space="preserve"> 2</w:t>
            </w:r>
          </w:p>
        </w:tc>
      </w:tr>
      <w:tr w:rsidR="00A33BCA" w:rsidRPr="006E1394" w14:paraId="58E603E8" w14:textId="77777777" w:rsidTr="002B745C">
        <w:trPr>
          <w:trHeight w:val="300"/>
          <w:jc w:val="center"/>
        </w:trPr>
        <w:tc>
          <w:tcPr>
            <w:tcW w:w="3444" w:type="dxa"/>
            <w:tcBorders>
              <w:top w:val="nil"/>
              <w:left w:val="single" w:sz="8" w:space="0" w:color="auto"/>
              <w:bottom w:val="nil"/>
              <w:right w:val="nil"/>
            </w:tcBorders>
            <w:shd w:val="clear" w:color="auto" w:fill="auto"/>
            <w:noWrap/>
            <w:vAlign w:val="center"/>
          </w:tcPr>
          <w:p w14:paraId="546F020D" w14:textId="77777777" w:rsidR="00A33BCA" w:rsidRPr="00793027" w:rsidRDefault="00A33BCA" w:rsidP="000077A0">
            <w:pPr>
              <w:widowControl/>
              <w:autoSpaceDE/>
              <w:autoSpaceDN/>
              <w:adjustRightInd/>
              <w:jc w:val="center"/>
              <w:rPr>
                <w:b/>
                <w:bCs/>
                <w:color w:val="000000"/>
                <w:sz w:val="22"/>
                <w:szCs w:val="22"/>
              </w:rPr>
            </w:pPr>
            <w:r w:rsidRPr="00793027">
              <w:rPr>
                <w:b/>
                <w:bCs/>
                <w:color w:val="000000"/>
                <w:sz w:val="22"/>
                <w:szCs w:val="22"/>
              </w:rPr>
              <w:t>Hours Per Transaction</w:t>
            </w:r>
          </w:p>
        </w:tc>
        <w:tc>
          <w:tcPr>
            <w:tcW w:w="1808" w:type="dxa"/>
            <w:tcBorders>
              <w:top w:val="nil"/>
              <w:left w:val="nil"/>
              <w:bottom w:val="nil"/>
              <w:right w:val="nil"/>
            </w:tcBorders>
            <w:shd w:val="clear" w:color="auto" w:fill="auto"/>
            <w:noWrap/>
            <w:vAlign w:val="center"/>
          </w:tcPr>
          <w:p w14:paraId="41AE8ECE" w14:textId="77777777" w:rsidR="00A33BCA" w:rsidRPr="00793027" w:rsidRDefault="00A33BCA" w:rsidP="000077A0">
            <w:pPr>
              <w:widowControl/>
              <w:autoSpaceDE/>
              <w:autoSpaceDN/>
              <w:adjustRightInd/>
              <w:jc w:val="center"/>
              <w:rPr>
                <w:color w:val="000000"/>
                <w:sz w:val="22"/>
                <w:szCs w:val="22"/>
              </w:rPr>
            </w:pPr>
            <w:r w:rsidRPr="00793027">
              <w:rPr>
                <w:color w:val="000000"/>
                <w:sz w:val="22"/>
                <w:szCs w:val="22"/>
              </w:rPr>
              <w:t>0</w:t>
            </w:r>
          </w:p>
        </w:tc>
        <w:tc>
          <w:tcPr>
            <w:tcW w:w="2612" w:type="dxa"/>
            <w:tcBorders>
              <w:top w:val="nil"/>
              <w:left w:val="nil"/>
              <w:bottom w:val="nil"/>
              <w:right w:val="single" w:sz="8" w:space="0" w:color="auto"/>
            </w:tcBorders>
            <w:shd w:val="clear" w:color="auto" w:fill="auto"/>
            <w:noWrap/>
            <w:vAlign w:val="center"/>
          </w:tcPr>
          <w:p w14:paraId="60A945C2" w14:textId="77777777" w:rsidR="00A33BCA" w:rsidRPr="00793027" w:rsidRDefault="00A33BCA" w:rsidP="000077A0">
            <w:pPr>
              <w:widowControl/>
              <w:autoSpaceDE/>
              <w:autoSpaceDN/>
              <w:adjustRightInd/>
              <w:jc w:val="center"/>
              <w:rPr>
                <w:color w:val="000000"/>
                <w:sz w:val="22"/>
                <w:szCs w:val="22"/>
              </w:rPr>
            </w:pPr>
            <w:r w:rsidRPr="00793027">
              <w:rPr>
                <w:color w:val="000000"/>
                <w:sz w:val="22"/>
                <w:szCs w:val="22"/>
              </w:rPr>
              <w:t>Negligible Time</w:t>
            </w:r>
            <w:r w:rsidR="00E64ABB" w:rsidRPr="00793027">
              <w:rPr>
                <w:color w:val="000000"/>
                <w:sz w:val="22"/>
                <w:szCs w:val="22"/>
              </w:rPr>
              <w:t xml:space="preserve"> Burden</w:t>
            </w:r>
          </w:p>
        </w:tc>
      </w:tr>
      <w:tr w:rsidR="00247D22" w:rsidRPr="006E1394" w14:paraId="78910806" w14:textId="77777777" w:rsidTr="002B745C">
        <w:trPr>
          <w:trHeight w:val="315"/>
          <w:jc w:val="center"/>
        </w:trPr>
        <w:tc>
          <w:tcPr>
            <w:tcW w:w="5252" w:type="dxa"/>
            <w:gridSpan w:val="2"/>
            <w:tcBorders>
              <w:top w:val="single" w:sz="8" w:space="0" w:color="auto"/>
              <w:left w:val="single" w:sz="8" w:space="0" w:color="auto"/>
              <w:bottom w:val="single" w:sz="8" w:space="0" w:color="auto"/>
              <w:right w:val="single" w:sz="8" w:space="0" w:color="000000"/>
            </w:tcBorders>
            <w:shd w:val="clear" w:color="000000" w:fill="CDDEFF"/>
            <w:noWrap/>
            <w:vAlign w:val="center"/>
            <w:hideMark/>
          </w:tcPr>
          <w:p w14:paraId="0B30D2B8" w14:textId="778F179C" w:rsidR="00247D22" w:rsidRPr="00793027" w:rsidRDefault="00841A77" w:rsidP="000077A0">
            <w:pPr>
              <w:keepNext/>
              <w:widowControl/>
              <w:autoSpaceDE/>
              <w:autoSpaceDN/>
              <w:adjustRightInd/>
              <w:jc w:val="center"/>
              <w:rPr>
                <w:b/>
                <w:bCs/>
                <w:color w:val="000000"/>
                <w:sz w:val="22"/>
                <w:szCs w:val="22"/>
              </w:rPr>
            </w:pPr>
            <w:r>
              <w:rPr>
                <w:b/>
                <w:bCs/>
                <w:color w:val="000000"/>
                <w:sz w:val="22"/>
                <w:szCs w:val="22"/>
              </w:rPr>
              <w:t>Notification by Carriers to Charter Groups</w:t>
            </w:r>
          </w:p>
        </w:tc>
        <w:tc>
          <w:tcPr>
            <w:tcW w:w="2612" w:type="dxa"/>
            <w:tcBorders>
              <w:top w:val="single" w:sz="8" w:space="0" w:color="auto"/>
              <w:left w:val="nil"/>
              <w:bottom w:val="single" w:sz="8" w:space="0" w:color="auto"/>
              <w:right w:val="single" w:sz="8" w:space="0" w:color="auto"/>
            </w:tcBorders>
            <w:shd w:val="clear" w:color="000000" w:fill="CDDEFF"/>
            <w:noWrap/>
            <w:vAlign w:val="center"/>
            <w:hideMark/>
          </w:tcPr>
          <w:p w14:paraId="6B10A4D9"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Notes</w:t>
            </w:r>
          </w:p>
        </w:tc>
      </w:tr>
      <w:tr w:rsidR="00247D22" w:rsidRPr="006E1394" w14:paraId="7B26AF0B" w14:textId="77777777" w:rsidTr="002B745C">
        <w:trPr>
          <w:trHeight w:val="300"/>
          <w:jc w:val="center"/>
        </w:trPr>
        <w:tc>
          <w:tcPr>
            <w:tcW w:w="3444" w:type="dxa"/>
            <w:tcBorders>
              <w:top w:val="nil"/>
              <w:left w:val="single" w:sz="8" w:space="0" w:color="auto"/>
              <w:bottom w:val="nil"/>
              <w:right w:val="nil"/>
            </w:tcBorders>
            <w:shd w:val="clear" w:color="auto" w:fill="auto"/>
            <w:noWrap/>
            <w:vAlign w:val="center"/>
            <w:hideMark/>
          </w:tcPr>
          <w:p w14:paraId="6EEDBD4C" w14:textId="77777777" w:rsidR="00247D22" w:rsidRPr="00793027" w:rsidRDefault="00247D22" w:rsidP="000077A0">
            <w:pPr>
              <w:keepNext/>
              <w:widowControl/>
              <w:autoSpaceDE/>
              <w:autoSpaceDN/>
              <w:adjustRightInd/>
              <w:jc w:val="center"/>
              <w:rPr>
                <w:b/>
                <w:bCs/>
                <w:color w:val="000000"/>
                <w:sz w:val="22"/>
                <w:szCs w:val="22"/>
              </w:rPr>
            </w:pPr>
            <w:r w:rsidRPr="00793027">
              <w:rPr>
                <w:b/>
                <w:bCs/>
                <w:color w:val="000000"/>
                <w:sz w:val="22"/>
                <w:szCs w:val="22"/>
              </w:rPr>
              <w:t>Notifications Per Year</w:t>
            </w:r>
          </w:p>
        </w:tc>
        <w:tc>
          <w:tcPr>
            <w:tcW w:w="1808" w:type="dxa"/>
            <w:tcBorders>
              <w:top w:val="nil"/>
              <w:left w:val="nil"/>
              <w:bottom w:val="nil"/>
              <w:right w:val="nil"/>
            </w:tcBorders>
            <w:shd w:val="clear" w:color="auto" w:fill="auto"/>
            <w:noWrap/>
            <w:vAlign w:val="bottom"/>
            <w:hideMark/>
          </w:tcPr>
          <w:p w14:paraId="3183F4D6" w14:textId="1CA19704" w:rsidR="00247D22" w:rsidRPr="00793027" w:rsidRDefault="002476F4" w:rsidP="000077A0">
            <w:pPr>
              <w:widowControl/>
              <w:autoSpaceDE/>
              <w:autoSpaceDN/>
              <w:adjustRightInd/>
              <w:jc w:val="center"/>
              <w:rPr>
                <w:color w:val="000000"/>
                <w:sz w:val="22"/>
                <w:szCs w:val="22"/>
              </w:rPr>
            </w:pPr>
            <w:r>
              <w:rPr>
                <w:color w:val="000000"/>
                <w:sz w:val="22"/>
                <w:szCs w:val="22"/>
              </w:rPr>
              <w:t>242,996</w:t>
            </w:r>
          </w:p>
        </w:tc>
        <w:tc>
          <w:tcPr>
            <w:tcW w:w="2612" w:type="dxa"/>
            <w:tcBorders>
              <w:top w:val="nil"/>
              <w:left w:val="nil"/>
              <w:bottom w:val="nil"/>
              <w:right w:val="single" w:sz="8" w:space="0" w:color="auto"/>
            </w:tcBorders>
            <w:shd w:val="clear" w:color="auto" w:fill="auto"/>
            <w:noWrap/>
            <w:vAlign w:val="bottom"/>
            <w:hideMark/>
          </w:tcPr>
          <w:p w14:paraId="5A101C73" w14:textId="77777777" w:rsidR="002476F4" w:rsidRPr="00A34060" w:rsidRDefault="002476F4" w:rsidP="000077A0">
            <w:pPr>
              <w:widowControl/>
              <w:jc w:val="center"/>
              <w:rPr>
                <w:color w:val="000000"/>
                <w:szCs w:val="20"/>
              </w:rPr>
            </w:pPr>
            <w:r w:rsidRPr="00A34060">
              <w:rPr>
                <w:color w:val="000000"/>
                <w:szCs w:val="20"/>
              </w:rPr>
              <w:t xml:space="preserve">3,759 × 64 + </w:t>
            </w:r>
          </w:p>
          <w:p w14:paraId="2E5482B2" w14:textId="32955F7E" w:rsidR="00247D22" w:rsidRPr="00793027" w:rsidRDefault="002476F4" w:rsidP="000077A0">
            <w:pPr>
              <w:widowControl/>
              <w:autoSpaceDE/>
              <w:autoSpaceDN/>
              <w:adjustRightInd/>
              <w:jc w:val="center"/>
              <w:rPr>
                <w:color w:val="000000"/>
                <w:sz w:val="22"/>
                <w:szCs w:val="22"/>
              </w:rPr>
            </w:pPr>
            <w:r w:rsidRPr="00A34060">
              <w:rPr>
                <w:color w:val="000000"/>
                <w:szCs w:val="20"/>
              </w:rPr>
              <w:t>2,420 (Greyhound)</w:t>
            </w:r>
          </w:p>
        </w:tc>
      </w:tr>
      <w:tr w:rsidR="00247D22" w:rsidRPr="006E1394" w14:paraId="10EDC3EF" w14:textId="77777777" w:rsidTr="002B745C">
        <w:trPr>
          <w:trHeight w:val="300"/>
          <w:jc w:val="center"/>
        </w:trPr>
        <w:tc>
          <w:tcPr>
            <w:tcW w:w="3444" w:type="dxa"/>
            <w:tcBorders>
              <w:top w:val="nil"/>
              <w:left w:val="single" w:sz="8" w:space="0" w:color="auto"/>
              <w:bottom w:val="nil"/>
              <w:right w:val="nil"/>
            </w:tcBorders>
            <w:shd w:val="clear" w:color="auto" w:fill="auto"/>
            <w:noWrap/>
            <w:vAlign w:val="center"/>
            <w:hideMark/>
          </w:tcPr>
          <w:p w14:paraId="161624AC" w14:textId="77777777" w:rsidR="00247D22" w:rsidRPr="00793027" w:rsidRDefault="00247D22" w:rsidP="000077A0">
            <w:pPr>
              <w:keepNext/>
              <w:widowControl/>
              <w:autoSpaceDE/>
              <w:autoSpaceDN/>
              <w:adjustRightInd/>
              <w:jc w:val="center"/>
              <w:rPr>
                <w:b/>
                <w:bCs/>
                <w:color w:val="000000"/>
                <w:sz w:val="22"/>
                <w:szCs w:val="22"/>
              </w:rPr>
            </w:pPr>
            <w:r w:rsidRPr="00793027">
              <w:rPr>
                <w:b/>
                <w:bCs/>
                <w:color w:val="000000"/>
                <w:sz w:val="22"/>
                <w:szCs w:val="22"/>
              </w:rPr>
              <w:t>Hours Per Notification</w:t>
            </w:r>
          </w:p>
        </w:tc>
        <w:tc>
          <w:tcPr>
            <w:tcW w:w="1808" w:type="dxa"/>
            <w:tcBorders>
              <w:top w:val="nil"/>
              <w:left w:val="nil"/>
              <w:bottom w:val="nil"/>
              <w:right w:val="nil"/>
            </w:tcBorders>
            <w:shd w:val="clear" w:color="auto" w:fill="auto"/>
            <w:noWrap/>
            <w:vAlign w:val="center"/>
            <w:hideMark/>
          </w:tcPr>
          <w:p w14:paraId="6A898EB5" w14:textId="77777777" w:rsidR="00247D22" w:rsidRPr="00793027" w:rsidRDefault="00247D22" w:rsidP="000077A0">
            <w:pPr>
              <w:widowControl/>
              <w:autoSpaceDE/>
              <w:autoSpaceDN/>
              <w:adjustRightInd/>
              <w:jc w:val="center"/>
              <w:rPr>
                <w:color w:val="000000"/>
                <w:sz w:val="22"/>
                <w:szCs w:val="22"/>
              </w:rPr>
            </w:pPr>
            <w:r w:rsidRPr="00793027">
              <w:rPr>
                <w:color w:val="000000"/>
                <w:sz w:val="22"/>
                <w:szCs w:val="22"/>
              </w:rPr>
              <w:t xml:space="preserve">  1/12</w:t>
            </w:r>
          </w:p>
        </w:tc>
        <w:tc>
          <w:tcPr>
            <w:tcW w:w="2612" w:type="dxa"/>
            <w:tcBorders>
              <w:top w:val="nil"/>
              <w:left w:val="nil"/>
              <w:bottom w:val="nil"/>
              <w:right w:val="single" w:sz="8" w:space="0" w:color="auto"/>
            </w:tcBorders>
            <w:shd w:val="clear" w:color="auto" w:fill="auto"/>
            <w:noWrap/>
            <w:vAlign w:val="bottom"/>
            <w:hideMark/>
          </w:tcPr>
          <w:p w14:paraId="3A34A6BF" w14:textId="77777777" w:rsidR="00247D22" w:rsidRPr="00793027" w:rsidRDefault="00247D22" w:rsidP="000077A0">
            <w:pPr>
              <w:widowControl/>
              <w:autoSpaceDE/>
              <w:autoSpaceDN/>
              <w:adjustRightInd/>
              <w:jc w:val="center"/>
              <w:rPr>
                <w:color w:val="000000"/>
                <w:sz w:val="22"/>
                <w:szCs w:val="22"/>
              </w:rPr>
            </w:pPr>
            <w:r w:rsidRPr="00793027">
              <w:rPr>
                <w:color w:val="000000"/>
                <w:sz w:val="22"/>
                <w:szCs w:val="22"/>
              </w:rPr>
              <w:t>5 minutes</w:t>
            </w:r>
          </w:p>
        </w:tc>
      </w:tr>
      <w:tr w:rsidR="00247D22" w:rsidRPr="006E1394" w14:paraId="6E3746D0" w14:textId="77777777" w:rsidTr="002B745C">
        <w:trPr>
          <w:trHeight w:val="300"/>
          <w:jc w:val="center"/>
        </w:trPr>
        <w:tc>
          <w:tcPr>
            <w:tcW w:w="3444" w:type="dxa"/>
            <w:tcBorders>
              <w:top w:val="nil"/>
              <w:left w:val="single" w:sz="8" w:space="0" w:color="auto"/>
              <w:bottom w:val="single" w:sz="8" w:space="0" w:color="auto"/>
              <w:right w:val="nil"/>
            </w:tcBorders>
            <w:shd w:val="clear" w:color="auto" w:fill="auto"/>
            <w:noWrap/>
            <w:vAlign w:val="center"/>
            <w:hideMark/>
          </w:tcPr>
          <w:p w14:paraId="0C825370" w14:textId="77777777" w:rsidR="00247D22" w:rsidRPr="00793027" w:rsidRDefault="00247D22" w:rsidP="000077A0">
            <w:pPr>
              <w:keepNext/>
              <w:widowControl/>
              <w:autoSpaceDE/>
              <w:autoSpaceDN/>
              <w:adjustRightInd/>
              <w:jc w:val="center"/>
              <w:rPr>
                <w:b/>
                <w:bCs/>
                <w:color w:val="000000"/>
                <w:sz w:val="22"/>
                <w:szCs w:val="22"/>
              </w:rPr>
            </w:pPr>
            <w:r w:rsidRPr="00793027">
              <w:rPr>
                <w:b/>
                <w:bCs/>
                <w:color w:val="000000"/>
                <w:sz w:val="22"/>
                <w:szCs w:val="22"/>
              </w:rPr>
              <w:t>Total Hours</w:t>
            </w:r>
          </w:p>
        </w:tc>
        <w:tc>
          <w:tcPr>
            <w:tcW w:w="1808" w:type="dxa"/>
            <w:tcBorders>
              <w:top w:val="nil"/>
              <w:left w:val="nil"/>
              <w:bottom w:val="single" w:sz="8" w:space="0" w:color="auto"/>
              <w:right w:val="nil"/>
            </w:tcBorders>
            <w:shd w:val="clear" w:color="auto" w:fill="auto"/>
            <w:noWrap/>
            <w:vAlign w:val="bottom"/>
            <w:hideMark/>
          </w:tcPr>
          <w:p w14:paraId="7EC79838" w14:textId="7C0FF8EE" w:rsidR="00247D22" w:rsidRPr="00793027" w:rsidRDefault="00822A15" w:rsidP="000077A0">
            <w:pPr>
              <w:widowControl/>
              <w:autoSpaceDE/>
              <w:autoSpaceDN/>
              <w:adjustRightInd/>
              <w:jc w:val="center"/>
              <w:rPr>
                <w:color w:val="000000"/>
                <w:sz w:val="22"/>
                <w:szCs w:val="22"/>
              </w:rPr>
            </w:pPr>
            <w:r>
              <w:rPr>
                <w:color w:val="000000"/>
                <w:sz w:val="22"/>
                <w:szCs w:val="22"/>
              </w:rPr>
              <w:t>20,250</w:t>
            </w:r>
          </w:p>
        </w:tc>
        <w:tc>
          <w:tcPr>
            <w:tcW w:w="2612" w:type="dxa"/>
            <w:tcBorders>
              <w:top w:val="nil"/>
              <w:left w:val="nil"/>
              <w:bottom w:val="single" w:sz="8" w:space="0" w:color="auto"/>
              <w:right w:val="single" w:sz="8" w:space="0" w:color="auto"/>
            </w:tcBorders>
            <w:shd w:val="clear" w:color="auto" w:fill="auto"/>
            <w:noWrap/>
            <w:vAlign w:val="bottom"/>
            <w:hideMark/>
          </w:tcPr>
          <w:p w14:paraId="4A27A6D0" w14:textId="182B8CFD" w:rsidR="00247D22" w:rsidRPr="00793027" w:rsidRDefault="00247D22" w:rsidP="000077A0">
            <w:pPr>
              <w:widowControl/>
              <w:autoSpaceDE/>
              <w:autoSpaceDN/>
              <w:adjustRightInd/>
              <w:jc w:val="center"/>
              <w:rPr>
                <w:color w:val="000000"/>
                <w:sz w:val="22"/>
                <w:szCs w:val="22"/>
              </w:rPr>
            </w:pPr>
            <w:r w:rsidRPr="00793027">
              <w:rPr>
                <w:color w:val="000000"/>
                <w:sz w:val="22"/>
                <w:szCs w:val="22"/>
              </w:rPr>
              <w:t xml:space="preserve">1/12 </w:t>
            </w:r>
            <w:r w:rsidR="00AB31FE">
              <w:rPr>
                <w:color w:val="000000"/>
                <w:sz w:val="22"/>
                <w:szCs w:val="22"/>
              </w:rPr>
              <w:t>× 242,996</w:t>
            </w:r>
          </w:p>
        </w:tc>
      </w:tr>
      <w:tr w:rsidR="00247D22" w:rsidRPr="006E1394" w14:paraId="5E36D279" w14:textId="77777777" w:rsidTr="002B745C">
        <w:trPr>
          <w:trHeight w:val="315"/>
          <w:jc w:val="center"/>
        </w:trPr>
        <w:tc>
          <w:tcPr>
            <w:tcW w:w="3444" w:type="dxa"/>
            <w:tcBorders>
              <w:top w:val="single" w:sz="8" w:space="0" w:color="auto"/>
              <w:left w:val="single" w:sz="8" w:space="0" w:color="auto"/>
              <w:bottom w:val="single" w:sz="8" w:space="0" w:color="auto"/>
              <w:right w:val="nil"/>
            </w:tcBorders>
            <w:shd w:val="clear" w:color="auto" w:fill="auto"/>
            <w:noWrap/>
            <w:vAlign w:val="center"/>
            <w:hideMark/>
          </w:tcPr>
          <w:p w14:paraId="6252877B" w14:textId="77777777" w:rsidR="00247D22" w:rsidRPr="00793027" w:rsidRDefault="00247D22" w:rsidP="000077A0">
            <w:pPr>
              <w:widowControl/>
              <w:autoSpaceDE/>
              <w:autoSpaceDN/>
              <w:adjustRightInd/>
              <w:jc w:val="center"/>
              <w:rPr>
                <w:b/>
                <w:bCs/>
                <w:color w:val="000000"/>
                <w:sz w:val="22"/>
                <w:szCs w:val="22"/>
              </w:rPr>
            </w:pPr>
            <w:r w:rsidRPr="00793027">
              <w:rPr>
                <w:b/>
                <w:bCs/>
                <w:color w:val="000000"/>
                <w:sz w:val="22"/>
                <w:szCs w:val="22"/>
              </w:rPr>
              <w:t>Grand Total Hours</w:t>
            </w:r>
          </w:p>
        </w:tc>
        <w:tc>
          <w:tcPr>
            <w:tcW w:w="1808" w:type="dxa"/>
            <w:tcBorders>
              <w:top w:val="single" w:sz="8" w:space="0" w:color="auto"/>
              <w:left w:val="nil"/>
              <w:bottom w:val="single" w:sz="8" w:space="0" w:color="auto"/>
              <w:right w:val="nil"/>
            </w:tcBorders>
            <w:shd w:val="clear" w:color="auto" w:fill="auto"/>
            <w:noWrap/>
            <w:vAlign w:val="bottom"/>
            <w:hideMark/>
          </w:tcPr>
          <w:p w14:paraId="13247219" w14:textId="0A862DC0" w:rsidR="00247D22" w:rsidRPr="00793027" w:rsidRDefault="006B65FE" w:rsidP="000077A0">
            <w:pPr>
              <w:widowControl/>
              <w:autoSpaceDE/>
              <w:autoSpaceDN/>
              <w:adjustRightInd/>
              <w:jc w:val="center"/>
              <w:rPr>
                <w:color w:val="000000"/>
                <w:sz w:val="22"/>
                <w:szCs w:val="22"/>
              </w:rPr>
            </w:pPr>
            <w:r>
              <w:rPr>
                <w:color w:val="000000"/>
                <w:sz w:val="22"/>
                <w:szCs w:val="22"/>
              </w:rPr>
              <w:t>602,435</w:t>
            </w:r>
          </w:p>
        </w:tc>
        <w:tc>
          <w:tcPr>
            <w:tcW w:w="2612" w:type="dxa"/>
            <w:tcBorders>
              <w:top w:val="single" w:sz="8" w:space="0" w:color="auto"/>
              <w:left w:val="nil"/>
              <w:bottom w:val="single" w:sz="8" w:space="0" w:color="auto"/>
              <w:right w:val="single" w:sz="8" w:space="0" w:color="auto"/>
            </w:tcBorders>
            <w:shd w:val="clear" w:color="auto" w:fill="auto"/>
            <w:noWrap/>
            <w:vAlign w:val="bottom"/>
            <w:hideMark/>
          </w:tcPr>
          <w:p w14:paraId="7839D895" w14:textId="6FD264AC" w:rsidR="00247D22" w:rsidRPr="00793027" w:rsidRDefault="00EC0406" w:rsidP="000077A0">
            <w:pPr>
              <w:widowControl/>
              <w:autoSpaceDE/>
              <w:autoSpaceDN/>
              <w:adjustRightInd/>
              <w:jc w:val="center"/>
              <w:rPr>
                <w:color w:val="000000"/>
                <w:sz w:val="22"/>
                <w:szCs w:val="22"/>
              </w:rPr>
            </w:pPr>
            <w:r w:rsidRPr="00793027">
              <w:rPr>
                <w:color w:val="000000"/>
                <w:sz w:val="22"/>
                <w:szCs w:val="22"/>
              </w:rPr>
              <w:t>7,518 + … + 2,827</w:t>
            </w:r>
          </w:p>
        </w:tc>
      </w:tr>
    </w:tbl>
    <w:p w14:paraId="78356005" w14:textId="77777777" w:rsidR="008C7874" w:rsidRDefault="008C7874" w:rsidP="000077A0">
      <w:pPr>
        <w:widowControl/>
        <w:tabs>
          <w:tab w:val="left" w:pos="90"/>
          <w:tab w:val="left" w:pos="9540"/>
        </w:tabs>
        <w:spacing w:line="360" w:lineRule="auto"/>
        <w:ind w:firstLine="720"/>
        <w:outlineLvl w:val="0"/>
        <w:rPr>
          <w:rFonts w:eastAsia="MS Mincho"/>
          <w:bCs/>
          <w:sz w:val="24"/>
        </w:rPr>
      </w:pPr>
    </w:p>
    <w:p w14:paraId="32B18785" w14:textId="77777777" w:rsidR="00942E59" w:rsidRDefault="00942E59" w:rsidP="000077A0">
      <w:pPr>
        <w:keepNext/>
        <w:widowControl/>
        <w:rPr>
          <w:b/>
          <w:bCs/>
          <w:sz w:val="24"/>
        </w:rPr>
      </w:pPr>
    </w:p>
    <w:p w14:paraId="5FA8BBC7" w14:textId="77777777" w:rsidR="00942E59" w:rsidRDefault="00D83684" w:rsidP="000077A0">
      <w:pPr>
        <w:keepNext/>
        <w:widowControl/>
        <w:rPr>
          <w:b/>
          <w:bCs/>
          <w:sz w:val="24"/>
        </w:rPr>
      </w:pPr>
      <w:r>
        <w:rPr>
          <w:b/>
          <w:bCs/>
          <w:sz w:val="24"/>
        </w:rPr>
        <w:t>IC-2 Summary</w:t>
      </w:r>
    </w:p>
    <w:p w14:paraId="67389F8D" w14:textId="77777777" w:rsidR="00942E59" w:rsidRDefault="00942E59" w:rsidP="000077A0">
      <w:pPr>
        <w:keepNext/>
        <w:widowControl/>
        <w:rPr>
          <w:b/>
          <w:bCs/>
          <w:sz w:val="24"/>
        </w:rPr>
      </w:pPr>
    </w:p>
    <w:p w14:paraId="024DD166" w14:textId="49C4A8FD" w:rsidR="005A7457" w:rsidRDefault="00353099" w:rsidP="000077A0">
      <w:pPr>
        <w:keepNext/>
        <w:widowControl/>
        <w:rPr>
          <w:b/>
          <w:bCs/>
          <w:sz w:val="24"/>
        </w:rPr>
      </w:pPr>
      <w:r>
        <w:rPr>
          <w:b/>
          <w:bCs/>
          <w:sz w:val="24"/>
        </w:rPr>
        <w:t xml:space="preserve">Annual Burden Hours (in 2017): </w:t>
      </w:r>
      <w:r w:rsidR="005C4824">
        <w:rPr>
          <w:b/>
          <w:bCs/>
          <w:sz w:val="24"/>
        </w:rPr>
        <w:t>602,000</w:t>
      </w:r>
      <w:r w:rsidR="005A7457">
        <w:rPr>
          <w:b/>
          <w:bCs/>
          <w:sz w:val="24"/>
        </w:rPr>
        <w:t xml:space="preserve"> </w:t>
      </w:r>
      <w:r w:rsidR="005A7457" w:rsidRPr="00BB6396">
        <w:rPr>
          <w:bCs/>
          <w:sz w:val="24"/>
        </w:rPr>
        <w:t>[</w:t>
      </w:r>
      <w:r w:rsidR="00146428">
        <w:rPr>
          <w:bCs/>
          <w:sz w:val="24"/>
        </w:rPr>
        <w:t>602,435</w:t>
      </w:r>
      <w:r w:rsidR="005A7457" w:rsidRPr="00BB6396">
        <w:rPr>
          <w:bCs/>
          <w:sz w:val="24"/>
        </w:rPr>
        <w:t xml:space="preserve"> =</w:t>
      </w:r>
      <w:r w:rsidR="00C9738A">
        <w:rPr>
          <w:bCs/>
          <w:sz w:val="24"/>
        </w:rPr>
        <w:t xml:space="preserve"> </w:t>
      </w:r>
      <w:r w:rsidR="008A5242">
        <w:rPr>
          <w:bCs/>
          <w:sz w:val="24"/>
        </w:rPr>
        <w:t>7,518</w:t>
      </w:r>
      <w:r w:rsidR="005A7457" w:rsidRPr="00BB6396">
        <w:rPr>
          <w:bCs/>
          <w:sz w:val="24"/>
        </w:rPr>
        <w:t xml:space="preserve"> (master lease) + 4</w:t>
      </w:r>
      <w:r w:rsidR="008A5242">
        <w:rPr>
          <w:bCs/>
          <w:sz w:val="24"/>
        </w:rPr>
        <w:t>92,572</w:t>
      </w:r>
      <w:r w:rsidR="005A7457" w:rsidRPr="00BB6396">
        <w:rPr>
          <w:bCs/>
          <w:sz w:val="24"/>
        </w:rPr>
        <w:t xml:space="preserve"> (negotiation) + </w:t>
      </w:r>
      <w:r w:rsidR="008A5242">
        <w:rPr>
          <w:bCs/>
          <w:sz w:val="24"/>
        </w:rPr>
        <w:t>82,095</w:t>
      </w:r>
      <w:r w:rsidR="005A7457" w:rsidRPr="00BB6396">
        <w:rPr>
          <w:bCs/>
          <w:sz w:val="24"/>
        </w:rPr>
        <w:t xml:space="preserve"> (documentation) + </w:t>
      </w:r>
      <w:r w:rsidR="00146428">
        <w:rPr>
          <w:bCs/>
          <w:sz w:val="24"/>
        </w:rPr>
        <w:t>20,250</w:t>
      </w:r>
      <w:r w:rsidR="005A7457" w:rsidRPr="00BB6396">
        <w:rPr>
          <w:bCs/>
          <w:sz w:val="24"/>
        </w:rPr>
        <w:t xml:space="preserve"> (</w:t>
      </w:r>
      <w:r w:rsidR="00146428">
        <w:rPr>
          <w:bCs/>
          <w:sz w:val="24"/>
        </w:rPr>
        <w:t>charter group notification</w:t>
      </w:r>
      <w:r w:rsidR="005A7457" w:rsidRPr="00BB6396">
        <w:rPr>
          <w:bCs/>
          <w:sz w:val="24"/>
        </w:rPr>
        <w:t>)]</w:t>
      </w:r>
      <w:r w:rsidR="005A7457">
        <w:rPr>
          <w:b/>
          <w:bCs/>
          <w:sz w:val="24"/>
        </w:rPr>
        <w:tab/>
      </w:r>
    </w:p>
    <w:p w14:paraId="7E66DC1D" w14:textId="1893CB9A" w:rsidR="00D83684" w:rsidRDefault="00D83684" w:rsidP="000077A0">
      <w:pPr>
        <w:keepNext/>
        <w:widowControl/>
        <w:rPr>
          <w:b/>
          <w:bCs/>
          <w:sz w:val="24"/>
        </w:rPr>
      </w:pPr>
      <w:r>
        <w:rPr>
          <w:b/>
          <w:bCs/>
          <w:sz w:val="24"/>
        </w:rPr>
        <w:t>Annual Number of Respondents</w:t>
      </w:r>
      <w:r w:rsidR="00F679B9">
        <w:rPr>
          <w:b/>
          <w:bCs/>
          <w:sz w:val="24"/>
        </w:rPr>
        <w:t xml:space="preserve"> (in 2017)</w:t>
      </w:r>
      <w:r>
        <w:rPr>
          <w:b/>
          <w:bCs/>
          <w:sz w:val="24"/>
        </w:rPr>
        <w:t>:</w:t>
      </w:r>
      <w:r w:rsidR="00AF5548">
        <w:rPr>
          <w:b/>
          <w:bCs/>
          <w:sz w:val="24"/>
        </w:rPr>
        <w:t xml:space="preserve"> </w:t>
      </w:r>
      <w:r w:rsidR="005A7457">
        <w:rPr>
          <w:b/>
          <w:bCs/>
          <w:sz w:val="24"/>
        </w:rPr>
        <w:t>2,</w:t>
      </w:r>
      <w:r w:rsidR="007117D9">
        <w:rPr>
          <w:b/>
          <w:bCs/>
          <w:sz w:val="24"/>
        </w:rPr>
        <w:t>887</w:t>
      </w:r>
      <w:r w:rsidR="005A7457">
        <w:rPr>
          <w:b/>
          <w:bCs/>
          <w:sz w:val="24"/>
        </w:rPr>
        <w:t>,000</w:t>
      </w:r>
      <w:r w:rsidR="00AF5548">
        <w:rPr>
          <w:b/>
          <w:bCs/>
          <w:sz w:val="24"/>
        </w:rPr>
        <w:t xml:space="preserve"> </w:t>
      </w:r>
      <w:r w:rsidR="005A7457" w:rsidRPr="00BB6396">
        <w:rPr>
          <w:bCs/>
          <w:sz w:val="24"/>
        </w:rPr>
        <w:t>[</w:t>
      </w:r>
      <w:r w:rsidR="00AF5548" w:rsidRPr="00BB6396">
        <w:rPr>
          <w:bCs/>
          <w:sz w:val="24"/>
        </w:rPr>
        <w:t>2,</w:t>
      </w:r>
      <w:r w:rsidR="007117D9">
        <w:rPr>
          <w:bCs/>
          <w:sz w:val="24"/>
        </w:rPr>
        <w:t>886,912</w:t>
      </w:r>
      <w:r w:rsidR="005A7457" w:rsidRPr="00BB6396">
        <w:rPr>
          <w:bCs/>
          <w:sz w:val="24"/>
        </w:rPr>
        <w:t xml:space="preserve"> </w:t>
      </w:r>
      <w:r w:rsidR="00AF5548" w:rsidRPr="00BB6396">
        <w:rPr>
          <w:bCs/>
          <w:sz w:val="24"/>
        </w:rPr>
        <w:t xml:space="preserve">= </w:t>
      </w:r>
      <w:r w:rsidR="007117D9">
        <w:rPr>
          <w:bCs/>
          <w:sz w:val="24"/>
        </w:rPr>
        <w:t>7</w:t>
      </w:r>
      <w:r w:rsidR="007D08C0">
        <w:rPr>
          <w:bCs/>
          <w:sz w:val="24"/>
        </w:rPr>
        <w:t>,</w:t>
      </w:r>
      <w:r w:rsidR="007117D9">
        <w:rPr>
          <w:bCs/>
          <w:sz w:val="24"/>
        </w:rPr>
        <w:t>518</w:t>
      </w:r>
      <w:r w:rsidR="007D08C0">
        <w:rPr>
          <w:bCs/>
          <w:sz w:val="24"/>
        </w:rPr>
        <w:t xml:space="preserve"> carriers </w:t>
      </w:r>
      <w:r w:rsidR="00951324">
        <w:rPr>
          <w:bCs/>
          <w:sz w:val="24"/>
        </w:rPr>
        <w:t>×</w:t>
      </w:r>
      <w:r w:rsidR="007D08C0">
        <w:rPr>
          <w:bCs/>
          <w:sz w:val="24"/>
        </w:rPr>
        <w:t xml:space="preserve"> up to 6 </w:t>
      </w:r>
      <w:r w:rsidR="00DF7072" w:rsidRPr="00BB6396">
        <w:rPr>
          <w:bCs/>
          <w:sz w:val="24"/>
        </w:rPr>
        <w:t xml:space="preserve">people per lease </w:t>
      </w:r>
      <w:r w:rsidR="00951324">
        <w:rPr>
          <w:bCs/>
          <w:sz w:val="24"/>
        </w:rPr>
        <w:t>×</w:t>
      </w:r>
      <w:r w:rsidR="00DF7072" w:rsidRPr="00BB6396">
        <w:rPr>
          <w:bCs/>
          <w:sz w:val="24"/>
        </w:rPr>
        <w:t xml:space="preserve"> 64 leases </w:t>
      </w:r>
      <w:r w:rsidR="00AF5548" w:rsidRPr="00BB6396">
        <w:rPr>
          <w:bCs/>
          <w:sz w:val="24"/>
        </w:rPr>
        <w:t>annually per carrier]</w:t>
      </w:r>
    </w:p>
    <w:p w14:paraId="4B174F3B" w14:textId="0A74818E" w:rsidR="00D83684" w:rsidRDefault="00D83684" w:rsidP="000077A0">
      <w:pPr>
        <w:keepNext/>
        <w:widowControl/>
        <w:rPr>
          <w:b/>
          <w:bCs/>
          <w:sz w:val="24"/>
        </w:rPr>
      </w:pPr>
      <w:r>
        <w:rPr>
          <w:b/>
          <w:bCs/>
          <w:sz w:val="24"/>
        </w:rPr>
        <w:t>Annual Number of Responses</w:t>
      </w:r>
      <w:r w:rsidR="00846813">
        <w:rPr>
          <w:b/>
          <w:bCs/>
          <w:sz w:val="24"/>
        </w:rPr>
        <w:t xml:space="preserve"> (in 2017)</w:t>
      </w:r>
      <w:r w:rsidR="00AF7742">
        <w:rPr>
          <w:b/>
          <w:bCs/>
          <w:sz w:val="24"/>
        </w:rPr>
        <w:t xml:space="preserve">: </w:t>
      </w:r>
      <w:r w:rsidR="007C634D">
        <w:rPr>
          <w:b/>
          <w:bCs/>
          <w:sz w:val="24"/>
        </w:rPr>
        <w:t>2,706,000</w:t>
      </w:r>
      <w:r w:rsidR="00AF5548">
        <w:rPr>
          <w:rFonts w:eastAsia="MS Mincho"/>
          <w:b/>
          <w:bCs/>
          <w:sz w:val="24"/>
        </w:rPr>
        <w:t xml:space="preserve"> </w:t>
      </w:r>
      <w:r w:rsidR="00AF5548" w:rsidRPr="00BB6396">
        <w:rPr>
          <w:rFonts w:eastAsia="MS Mincho"/>
          <w:bCs/>
          <w:sz w:val="24"/>
        </w:rPr>
        <w:t>[</w:t>
      </w:r>
      <w:r w:rsidR="008F5247">
        <w:rPr>
          <w:rFonts w:eastAsia="MS Mincho"/>
          <w:bCs/>
          <w:sz w:val="24"/>
        </w:rPr>
        <w:t>2,705,796</w:t>
      </w:r>
      <w:r w:rsidR="005A7457" w:rsidRPr="00BB6396">
        <w:rPr>
          <w:rFonts w:eastAsia="MS Mincho"/>
          <w:bCs/>
          <w:sz w:val="24"/>
        </w:rPr>
        <w:t xml:space="preserve"> </w:t>
      </w:r>
      <w:r w:rsidR="00AF5548" w:rsidRPr="00BB6396">
        <w:rPr>
          <w:rFonts w:eastAsia="MS Mincho"/>
          <w:bCs/>
          <w:sz w:val="24"/>
        </w:rPr>
        <w:t xml:space="preserve">= </w:t>
      </w:r>
      <w:r w:rsidR="007F0F52">
        <w:rPr>
          <w:rFonts w:eastAsia="MS Mincho"/>
          <w:bCs/>
          <w:sz w:val="24"/>
        </w:rPr>
        <w:t>492,572</w:t>
      </w:r>
      <w:r w:rsidR="00AF5548" w:rsidRPr="00BB6396">
        <w:rPr>
          <w:rFonts w:eastAsia="MS Mincho"/>
          <w:bCs/>
          <w:sz w:val="24"/>
        </w:rPr>
        <w:t xml:space="preserve"> (leases) + </w:t>
      </w:r>
      <w:r w:rsidR="007F0F52">
        <w:rPr>
          <w:rFonts w:eastAsia="MS Mincho"/>
          <w:bCs/>
          <w:sz w:val="24"/>
        </w:rPr>
        <w:t>985,144</w:t>
      </w:r>
      <w:r w:rsidR="00AF5548" w:rsidRPr="00BB6396">
        <w:rPr>
          <w:rFonts w:eastAsia="MS Mincho"/>
          <w:bCs/>
          <w:sz w:val="24"/>
        </w:rPr>
        <w:t xml:space="preserve"> (</w:t>
      </w:r>
      <w:r w:rsidR="00581001">
        <w:rPr>
          <w:rFonts w:eastAsia="MS Mincho"/>
          <w:bCs/>
          <w:sz w:val="24"/>
        </w:rPr>
        <w:t>transcription</w:t>
      </w:r>
      <w:r w:rsidR="00BE3C66">
        <w:rPr>
          <w:rFonts w:eastAsia="MS Mincho"/>
          <w:bCs/>
          <w:sz w:val="24"/>
        </w:rPr>
        <w:t xml:space="preserve"> of lease agreements</w:t>
      </w:r>
      <w:r w:rsidR="00AF5548" w:rsidRPr="00BB6396">
        <w:rPr>
          <w:rFonts w:eastAsia="MS Mincho"/>
          <w:bCs/>
          <w:sz w:val="24"/>
        </w:rPr>
        <w:t>)</w:t>
      </w:r>
      <w:r w:rsidR="00F87E81" w:rsidRPr="00BB6396">
        <w:rPr>
          <w:rFonts w:eastAsia="MS Mincho"/>
          <w:bCs/>
          <w:sz w:val="24"/>
        </w:rPr>
        <w:t xml:space="preserve"> +</w:t>
      </w:r>
      <w:r w:rsidR="00AF5548" w:rsidRPr="00BB6396">
        <w:rPr>
          <w:rFonts w:eastAsia="MS Mincho"/>
          <w:bCs/>
          <w:sz w:val="24"/>
        </w:rPr>
        <w:t xml:space="preserve"> </w:t>
      </w:r>
      <w:r w:rsidR="004236BB">
        <w:rPr>
          <w:rFonts w:eastAsia="MS Mincho"/>
          <w:bCs/>
          <w:sz w:val="24"/>
        </w:rPr>
        <w:t xml:space="preserve">985,144 </w:t>
      </w:r>
      <w:r w:rsidR="00AF5548" w:rsidRPr="00BB6396">
        <w:rPr>
          <w:rFonts w:eastAsia="MS Mincho"/>
          <w:bCs/>
          <w:sz w:val="24"/>
        </w:rPr>
        <w:t>(</w:t>
      </w:r>
      <w:r w:rsidR="00BE3C66">
        <w:rPr>
          <w:rFonts w:eastAsia="MS Mincho"/>
          <w:bCs/>
          <w:sz w:val="24"/>
        </w:rPr>
        <w:t>transcription of receipts</w:t>
      </w:r>
      <w:r w:rsidR="00AF5548" w:rsidRPr="00BB6396">
        <w:rPr>
          <w:rFonts w:eastAsia="MS Mincho"/>
          <w:bCs/>
          <w:sz w:val="24"/>
        </w:rPr>
        <w:t>)</w:t>
      </w:r>
      <w:r w:rsidR="00F87E81" w:rsidRPr="00BB6396">
        <w:rPr>
          <w:rFonts w:eastAsia="MS Mincho"/>
          <w:bCs/>
          <w:sz w:val="24"/>
        </w:rPr>
        <w:t xml:space="preserve"> </w:t>
      </w:r>
      <w:r w:rsidR="005A7457" w:rsidRPr="00BB6396">
        <w:rPr>
          <w:rFonts w:eastAsia="MS Mincho"/>
          <w:bCs/>
          <w:sz w:val="24"/>
        </w:rPr>
        <w:t xml:space="preserve">+ </w:t>
      </w:r>
      <w:r w:rsidR="00B11186">
        <w:rPr>
          <w:rFonts w:eastAsia="MS Mincho"/>
          <w:bCs/>
          <w:sz w:val="24"/>
        </w:rPr>
        <w:t>242,996</w:t>
      </w:r>
      <w:r w:rsidR="00AF5548" w:rsidRPr="00BB6396">
        <w:rPr>
          <w:rFonts w:eastAsia="MS Mincho"/>
          <w:bCs/>
          <w:sz w:val="24"/>
        </w:rPr>
        <w:t xml:space="preserve"> (</w:t>
      </w:r>
      <w:r w:rsidR="00B11186">
        <w:rPr>
          <w:rFonts w:eastAsia="MS Mincho"/>
          <w:bCs/>
          <w:sz w:val="24"/>
        </w:rPr>
        <w:t>charter group notification</w:t>
      </w:r>
      <w:r w:rsidR="00AF5548" w:rsidRPr="00BB6396">
        <w:rPr>
          <w:rFonts w:eastAsia="MS Mincho"/>
          <w:bCs/>
          <w:sz w:val="24"/>
        </w:rPr>
        <w:t>)]</w:t>
      </w:r>
    </w:p>
    <w:p w14:paraId="58475D3A" w14:textId="3C265EE4" w:rsidR="00D83684" w:rsidRDefault="00D83684" w:rsidP="000077A0">
      <w:pPr>
        <w:widowControl/>
        <w:rPr>
          <w:b/>
          <w:bCs/>
          <w:sz w:val="24"/>
        </w:rPr>
      </w:pPr>
    </w:p>
    <w:p w14:paraId="44D06F42" w14:textId="77777777" w:rsidR="00D83684" w:rsidRPr="005E4300" w:rsidRDefault="00D83684" w:rsidP="000077A0">
      <w:pPr>
        <w:widowControl/>
        <w:rPr>
          <w:b/>
          <w:sz w:val="24"/>
        </w:rPr>
      </w:pPr>
    </w:p>
    <w:p w14:paraId="0B49141E" w14:textId="77777777" w:rsidR="00D83684" w:rsidRDefault="00D83684" w:rsidP="000077A0">
      <w:pPr>
        <w:widowControl/>
        <w:rPr>
          <w:b/>
          <w:sz w:val="24"/>
        </w:rPr>
      </w:pPr>
      <w:r>
        <w:rPr>
          <w:b/>
          <w:sz w:val="24"/>
        </w:rPr>
        <w:t>Total for Both IC-1 and IC-2</w:t>
      </w:r>
    </w:p>
    <w:p w14:paraId="0D956DE9" w14:textId="77777777" w:rsidR="00D83684" w:rsidRDefault="00D83684" w:rsidP="000077A0">
      <w:pPr>
        <w:widowControl/>
        <w:rPr>
          <w:b/>
          <w:sz w:val="24"/>
        </w:rPr>
      </w:pPr>
    </w:p>
    <w:p w14:paraId="38A64129" w14:textId="772C48D4" w:rsidR="00D83684" w:rsidRPr="002B55CF" w:rsidRDefault="00D83684" w:rsidP="000077A0">
      <w:pPr>
        <w:widowControl/>
        <w:rPr>
          <w:b/>
          <w:sz w:val="24"/>
        </w:rPr>
      </w:pPr>
      <w:r w:rsidRPr="002B55CF">
        <w:rPr>
          <w:b/>
          <w:sz w:val="24"/>
        </w:rPr>
        <w:t>Estimated Average Total Annual Burden Hours</w:t>
      </w:r>
      <w:r w:rsidR="008D697A">
        <w:rPr>
          <w:b/>
          <w:sz w:val="24"/>
        </w:rPr>
        <w:t xml:space="preserve"> (in 2017)</w:t>
      </w:r>
      <w:r w:rsidRPr="002B55CF">
        <w:rPr>
          <w:b/>
          <w:sz w:val="24"/>
        </w:rPr>
        <w:t xml:space="preserve">:  </w:t>
      </w:r>
      <w:r w:rsidR="000E11D8">
        <w:rPr>
          <w:b/>
          <w:sz w:val="24"/>
        </w:rPr>
        <w:t>677,000</w:t>
      </w:r>
      <w:r w:rsidR="00BB6396" w:rsidRPr="00564C66">
        <w:rPr>
          <w:sz w:val="24"/>
        </w:rPr>
        <w:t xml:space="preserve"> [= 74,500 + </w:t>
      </w:r>
      <w:r w:rsidR="000E11D8">
        <w:rPr>
          <w:sz w:val="24"/>
        </w:rPr>
        <w:t>602,500</w:t>
      </w:r>
      <w:r w:rsidR="00BB6396" w:rsidRPr="00564C66">
        <w:rPr>
          <w:sz w:val="24"/>
        </w:rPr>
        <w:t>]</w:t>
      </w:r>
    </w:p>
    <w:p w14:paraId="5D1EA09A" w14:textId="04616431" w:rsidR="00D83684" w:rsidRPr="002B55CF" w:rsidRDefault="00D83684" w:rsidP="000077A0">
      <w:pPr>
        <w:widowControl/>
        <w:rPr>
          <w:b/>
          <w:sz w:val="24"/>
        </w:rPr>
      </w:pPr>
      <w:r w:rsidRPr="002B55CF">
        <w:rPr>
          <w:b/>
          <w:sz w:val="24"/>
        </w:rPr>
        <w:t>Estimated Annual Number of Respondents</w:t>
      </w:r>
      <w:r w:rsidR="008D697A">
        <w:rPr>
          <w:b/>
          <w:sz w:val="24"/>
        </w:rPr>
        <w:t xml:space="preserve"> (in 2017)</w:t>
      </w:r>
      <w:r w:rsidRPr="002B55CF">
        <w:rPr>
          <w:b/>
          <w:sz w:val="24"/>
        </w:rPr>
        <w:t xml:space="preserve">:  </w:t>
      </w:r>
      <w:r w:rsidR="00BB6396">
        <w:rPr>
          <w:b/>
          <w:sz w:val="24"/>
        </w:rPr>
        <w:t>2,</w:t>
      </w:r>
      <w:r w:rsidR="00AF57FD">
        <w:rPr>
          <w:b/>
          <w:sz w:val="24"/>
        </w:rPr>
        <w:t>923</w:t>
      </w:r>
      <w:r w:rsidR="00BB6396">
        <w:rPr>
          <w:b/>
          <w:sz w:val="24"/>
        </w:rPr>
        <w:t xml:space="preserve">,000 </w:t>
      </w:r>
      <w:r w:rsidR="00BB6396" w:rsidRPr="00564C66">
        <w:rPr>
          <w:sz w:val="24"/>
        </w:rPr>
        <w:t>[= 36,0</w:t>
      </w:r>
      <w:r w:rsidRPr="00564C66">
        <w:rPr>
          <w:sz w:val="24"/>
        </w:rPr>
        <w:t>00</w:t>
      </w:r>
      <w:r w:rsidR="00BB6396" w:rsidRPr="00564C66">
        <w:rPr>
          <w:sz w:val="24"/>
        </w:rPr>
        <w:t xml:space="preserve"> + </w:t>
      </w:r>
      <w:r w:rsidR="00564C66" w:rsidRPr="00564C66">
        <w:rPr>
          <w:sz w:val="24"/>
        </w:rPr>
        <w:t>2,</w:t>
      </w:r>
      <w:r w:rsidR="00AF57FD">
        <w:rPr>
          <w:sz w:val="24"/>
        </w:rPr>
        <w:t>887,000</w:t>
      </w:r>
      <w:r w:rsidR="00564C66" w:rsidRPr="00564C66">
        <w:rPr>
          <w:sz w:val="24"/>
        </w:rPr>
        <w:t>]</w:t>
      </w:r>
    </w:p>
    <w:p w14:paraId="7B04248F" w14:textId="78F2EEDD" w:rsidR="00D83684" w:rsidRDefault="00D83684" w:rsidP="000077A0">
      <w:pPr>
        <w:widowControl/>
        <w:rPr>
          <w:b/>
          <w:sz w:val="24"/>
        </w:rPr>
      </w:pPr>
      <w:r w:rsidRPr="002B55CF">
        <w:rPr>
          <w:b/>
          <w:sz w:val="24"/>
        </w:rPr>
        <w:t xml:space="preserve">Estimated </w:t>
      </w:r>
      <w:r w:rsidR="00564C66">
        <w:rPr>
          <w:b/>
          <w:sz w:val="24"/>
        </w:rPr>
        <w:t>Annual Number of Responses</w:t>
      </w:r>
      <w:r w:rsidR="008D697A">
        <w:rPr>
          <w:b/>
          <w:sz w:val="24"/>
        </w:rPr>
        <w:t xml:space="preserve"> (in 2017)</w:t>
      </w:r>
      <w:r w:rsidR="00564C66">
        <w:rPr>
          <w:b/>
          <w:sz w:val="24"/>
        </w:rPr>
        <w:t xml:space="preserve">:  </w:t>
      </w:r>
      <w:r w:rsidR="00030E75">
        <w:rPr>
          <w:b/>
          <w:sz w:val="24"/>
        </w:rPr>
        <w:t>3,384,000</w:t>
      </w:r>
      <w:r w:rsidR="00564C66">
        <w:rPr>
          <w:b/>
          <w:sz w:val="24"/>
        </w:rPr>
        <w:t xml:space="preserve"> </w:t>
      </w:r>
      <w:r w:rsidR="00564C66" w:rsidRPr="00564C66">
        <w:rPr>
          <w:sz w:val="24"/>
        </w:rPr>
        <w:t>[=</w:t>
      </w:r>
      <w:r w:rsidR="003B2FE6">
        <w:rPr>
          <w:sz w:val="24"/>
        </w:rPr>
        <w:t xml:space="preserve"> </w:t>
      </w:r>
      <w:r w:rsidR="00417288">
        <w:rPr>
          <w:sz w:val="24"/>
        </w:rPr>
        <w:t>678,000</w:t>
      </w:r>
      <w:r w:rsidR="003B2FE6">
        <w:rPr>
          <w:sz w:val="24"/>
        </w:rPr>
        <w:t xml:space="preserve"> + 2,706,000</w:t>
      </w:r>
      <w:r w:rsidR="00564C66" w:rsidRPr="00564C66">
        <w:rPr>
          <w:sz w:val="24"/>
        </w:rPr>
        <w:t>]</w:t>
      </w:r>
    </w:p>
    <w:p w14:paraId="68FB8260" w14:textId="77777777" w:rsidR="00D83684" w:rsidRDefault="00D83684" w:rsidP="000077A0">
      <w:pPr>
        <w:widowControl/>
        <w:rPr>
          <w:b/>
          <w:sz w:val="24"/>
        </w:rPr>
      </w:pPr>
    </w:p>
    <w:p w14:paraId="13C5839B" w14:textId="77777777" w:rsidR="003E7470" w:rsidRDefault="003E7470" w:rsidP="000077A0">
      <w:pPr>
        <w:widowControl/>
        <w:rPr>
          <w:b/>
          <w:sz w:val="24"/>
        </w:rPr>
      </w:pPr>
    </w:p>
    <w:p w14:paraId="1B5685E9" w14:textId="77777777" w:rsidR="00363985" w:rsidRPr="003E7470" w:rsidRDefault="003E7470" w:rsidP="000077A0">
      <w:pPr>
        <w:keepNext/>
        <w:widowControl/>
        <w:tabs>
          <w:tab w:val="left" w:pos="450"/>
        </w:tabs>
        <w:rPr>
          <w:b/>
          <w:sz w:val="24"/>
        </w:rPr>
      </w:pPr>
      <w:r w:rsidRPr="003E7470">
        <w:rPr>
          <w:b/>
          <w:sz w:val="24"/>
        </w:rPr>
        <w:t xml:space="preserve">13.  </w:t>
      </w:r>
      <w:r w:rsidR="00363985" w:rsidRPr="003E7470">
        <w:rPr>
          <w:b/>
          <w:bCs/>
          <w:sz w:val="24"/>
        </w:rPr>
        <w:t xml:space="preserve">ESTIMATE OF TOTAL ANNUAL COST TO RESPONDENTS </w:t>
      </w:r>
    </w:p>
    <w:p w14:paraId="615C02C0" w14:textId="77777777" w:rsidR="004C63F8" w:rsidRDefault="004C63F8" w:rsidP="000077A0">
      <w:pPr>
        <w:keepNext/>
        <w:widowControl/>
        <w:rPr>
          <w:sz w:val="24"/>
        </w:rPr>
      </w:pPr>
    </w:p>
    <w:p w14:paraId="21E2680D" w14:textId="77777777" w:rsidR="004C63F8" w:rsidRPr="005F5FF9" w:rsidRDefault="004C63F8" w:rsidP="000077A0">
      <w:pPr>
        <w:keepNext/>
        <w:widowControl/>
        <w:rPr>
          <w:sz w:val="24"/>
        </w:rPr>
      </w:pPr>
      <w:r w:rsidRPr="005F5FF9">
        <w:rPr>
          <w:b/>
          <w:sz w:val="24"/>
          <w:u w:val="single"/>
        </w:rPr>
        <w:t xml:space="preserve">IC-1:  </w:t>
      </w:r>
      <w:r>
        <w:rPr>
          <w:b/>
          <w:sz w:val="24"/>
          <w:u w:val="single"/>
        </w:rPr>
        <w:t>Part 376, Property-Carrying Commercial Motor Vehicles</w:t>
      </w:r>
    </w:p>
    <w:p w14:paraId="05BE8E92" w14:textId="77777777" w:rsidR="00AB1877" w:rsidRDefault="00AB1877" w:rsidP="000077A0">
      <w:pPr>
        <w:keepNext/>
        <w:widowControl/>
        <w:rPr>
          <w:bCs/>
          <w:sz w:val="24"/>
        </w:rPr>
      </w:pPr>
    </w:p>
    <w:p w14:paraId="7A703454" w14:textId="77777777" w:rsidR="00AB1877" w:rsidRPr="008A42D5" w:rsidRDefault="00AB1877" w:rsidP="000077A0">
      <w:pPr>
        <w:keepNext/>
        <w:widowControl/>
        <w:rPr>
          <w:b/>
          <w:bCs/>
          <w:sz w:val="24"/>
        </w:rPr>
      </w:pPr>
      <w:r w:rsidRPr="008A42D5">
        <w:rPr>
          <w:b/>
          <w:bCs/>
          <w:sz w:val="24"/>
        </w:rPr>
        <w:t>Capital and Startup Costs:</w:t>
      </w:r>
    </w:p>
    <w:p w14:paraId="3D946AAF" w14:textId="77777777" w:rsidR="00C3598A" w:rsidRDefault="00C3598A" w:rsidP="000077A0">
      <w:pPr>
        <w:keepNext/>
        <w:widowControl/>
        <w:spacing w:line="360" w:lineRule="auto"/>
        <w:rPr>
          <w:bCs/>
          <w:sz w:val="24"/>
        </w:rPr>
      </w:pPr>
    </w:p>
    <w:p w14:paraId="01CD9245" w14:textId="77777777" w:rsidR="00C3598A" w:rsidRPr="006731A4" w:rsidRDefault="00C3598A" w:rsidP="000077A0">
      <w:pPr>
        <w:keepNext/>
        <w:widowControl/>
        <w:spacing w:line="360" w:lineRule="auto"/>
        <w:rPr>
          <w:sz w:val="24"/>
          <w:u w:val="single"/>
        </w:rPr>
      </w:pPr>
      <w:r w:rsidRPr="008A5286">
        <w:rPr>
          <w:sz w:val="24"/>
          <w:u w:val="single"/>
        </w:rPr>
        <w:t xml:space="preserve">Transcription </w:t>
      </w:r>
    </w:p>
    <w:p w14:paraId="7C16BFB1" w14:textId="77777777" w:rsidR="00AB1877" w:rsidRDefault="00A43BE0" w:rsidP="000077A0">
      <w:pPr>
        <w:widowControl/>
        <w:ind w:firstLine="720"/>
        <w:rPr>
          <w:bCs/>
          <w:sz w:val="24"/>
        </w:rPr>
      </w:pPr>
      <w:r>
        <w:rPr>
          <w:bCs/>
          <w:sz w:val="24"/>
        </w:rPr>
        <w:t xml:space="preserve">The </w:t>
      </w:r>
      <w:r w:rsidR="009C60CD">
        <w:rPr>
          <w:bCs/>
          <w:sz w:val="24"/>
        </w:rPr>
        <w:t>A</w:t>
      </w:r>
      <w:r>
        <w:rPr>
          <w:bCs/>
          <w:sz w:val="24"/>
        </w:rPr>
        <w:t>gency concludes that property-carrying commercial motor vehicle operators have access to basic office equipment such as a computer, a printer and/or a copying machine necessary to complete these tasks.  These are standard pieces of office equipment and respondents face no added burden in this regard.</w:t>
      </w:r>
    </w:p>
    <w:p w14:paraId="0FC4E529" w14:textId="77777777" w:rsidR="00F254BC" w:rsidRDefault="00F254BC" w:rsidP="000077A0">
      <w:pPr>
        <w:widowControl/>
        <w:rPr>
          <w:bCs/>
          <w:sz w:val="24"/>
        </w:rPr>
      </w:pPr>
    </w:p>
    <w:p w14:paraId="0F98131D" w14:textId="77777777" w:rsidR="00F254BC" w:rsidRDefault="00F254BC" w:rsidP="000077A0">
      <w:pPr>
        <w:widowControl/>
        <w:rPr>
          <w:bCs/>
          <w:sz w:val="24"/>
        </w:rPr>
      </w:pPr>
    </w:p>
    <w:p w14:paraId="5822025F" w14:textId="77777777" w:rsidR="00AB1877" w:rsidRPr="008A42D5" w:rsidRDefault="00AB1877" w:rsidP="000077A0">
      <w:pPr>
        <w:keepNext/>
        <w:widowControl/>
        <w:rPr>
          <w:b/>
          <w:bCs/>
          <w:sz w:val="24"/>
        </w:rPr>
      </w:pPr>
      <w:r w:rsidRPr="008A42D5">
        <w:rPr>
          <w:b/>
          <w:bCs/>
          <w:sz w:val="24"/>
        </w:rPr>
        <w:lastRenderedPageBreak/>
        <w:t>Operation and Maintenance Costs:</w:t>
      </w:r>
    </w:p>
    <w:p w14:paraId="45855CD1" w14:textId="77777777" w:rsidR="000F336C" w:rsidRDefault="000F336C" w:rsidP="000077A0">
      <w:pPr>
        <w:keepNext/>
        <w:widowControl/>
        <w:rPr>
          <w:bCs/>
          <w:sz w:val="24"/>
        </w:rPr>
      </w:pPr>
    </w:p>
    <w:p w14:paraId="28468C3A" w14:textId="77777777" w:rsidR="000F336C" w:rsidRPr="006731A4" w:rsidRDefault="000F336C" w:rsidP="000077A0">
      <w:pPr>
        <w:keepNext/>
        <w:widowControl/>
        <w:spacing w:line="360" w:lineRule="auto"/>
        <w:rPr>
          <w:sz w:val="24"/>
          <w:u w:val="single"/>
        </w:rPr>
      </w:pPr>
      <w:r w:rsidRPr="008A5286">
        <w:rPr>
          <w:sz w:val="24"/>
          <w:u w:val="single"/>
        </w:rPr>
        <w:t xml:space="preserve">Transcription </w:t>
      </w:r>
    </w:p>
    <w:p w14:paraId="4C2DB69A" w14:textId="6A683188" w:rsidR="004C63F8" w:rsidRPr="002B55CF" w:rsidRDefault="004C63F8" w:rsidP="000077A0">
      <w:pPr>
        <w:widowControl/>
        <w:ind w:firstLine="720"/>
        <w:rPr>
          <w:sz w:val="24"/>
        </w:rPr>
      </w:pPr>
      <w:r w:rsidRPr="0032440C">
        <w:rPr>
          <w:bCs/>
          <w:sz w:val="24"/>
        </w:rPr>
        <w:t xml:space="preserve">The estimated unit-cost of </w:t>
      </w:r>
      <w:r w:rsidR="00646416">
        <w:rPr>
          <w:bCs/>
          <w:sz w:val="24"/>
        </w:rPr>
        <w:t>transcribing</w:t>
      </w:r>
      <w:r w:rsidRPr="0032440C">
        <w:rPr>
          <w:bCs/>
          <w:sz w:val="24"/>
        </w:rPr>
        <w:t xml:space="preserve"> one lease agreement double-sided (i.e., a two page agreement) is</w:t>
      </w:r>
      <w:r>
        <w:rPr>
          <w:bCs/>
          <w:sz w:val="24"/>
        </w:rPr>
        <w:t xml:space="preserve"> $0.15</w:t>
      </w:r>
      <w:r>
        <w:rPr>
          <w:sz w:val="24"/>
        </w:rPr>
        <w:t xml:space="preserve"> (incorporates cost per page of paper, ink used in printing, printer depreciation, etc.).  </w:t>
      </w:r>
      <w:r w:rsidRPr="0032440C">
        <w:rPr>
          <w:bCs/>
          <w:sz w:val="24"/>
        </w:rPr>
        <w:t>The estimated unit-cost corresponding to the lease receipts is $0.30.  This assumes two transactions, and hence two receipts: one for the delivery (or surrender) of the vehicle and one for the return of the vehicle.</w:t>
      </w:r>
      <w:r>
        <w:rPr>
          <w:bCs/>
          <w:sz w:val="24"/>
        </w:rPr>
        <w:t xml:space="preserve">  </w:t>
      </w:r>
      <w:r w:rsidRPr="002B55CF">
        <w:rPr>
          <w:bCs/>
          <w:sz w:val="24"/>
        </w:rPr>
        <w:t xml:space="preserve">This cost is applied to both the lessee and lessor.  </w:t>
      </w:r>
      <w:r w:rsidR="00443372">
        <w:rPr>
          <w:sz w:val="24"/>
        </w:rPr>
        <w:t>An estimated 339</w:t>
      </w:r>
      <w:r w:rsidRPr="002B55CF">
        <w:rPr>
          <w:sz w:val="24"/>
        </w:rPr>
        <w:t>,000 vehicles lea</w:t>
      </w:r>
      <w:r w:rsidR="00443372">
        <w:rPr>
          <w:sz w:val="24"/>
        </w:rPr>
        <w:t>sed every year would require 339</w:t>
      </w:r>
      <w:r w:rsidRPr="002B55CF">
        <w:rPr>
          <w:sz w:val="24"/>
        </w:rPr>
        <w:t>,000 lease statements; therefore, the total cost of generating copies of l</w:t>
      </w:r>
      <w:r w:rsidR="00443372">
        <w:rPr>
          <w:sz w:val="24"/>
        </w:rPr>
        <w:t>ease statements would be $203,000</w:t>
      </w:r>
      <w:r w:rsidRPr="002B55CF">
        <w:rPr>
          <w:sz w:val="24"/>
        </w:rPr>
        <w:t xml:space="preserve"> (</w:t>
      </w:r>
      <w:r w:rsidR="00443372">
        <w:rPr>
          <w:sz w:val="24"/>
        </w:rPr>
        <w:t>= 339</w:t>
      </w:r>
      <w:r w:rsidRPr="002B55CF">
        <w:rPr>
          <w:sz w:val="24"/>
        </w:rPr>
        <w:t xml:space="preserve">,000 statements × $0.30 per page × 2 entities).  </w:t>
      </w:r>
    </w:p>
    <w:p w14:paraId="10C31335" w14:textId="77777777" w:rsidR="004C63F8" w:rsidRDefault="004C63F8" w:rsidP="000077A0">
      <w:pPr>
        <w:keepNext/>
        <w:widowControl/>
        <w:rPr>
          <w:color w:val="000000"/>
          <w:sz w:val="24"/>
        </w:rPr>
      </w:pPr>
    </w:p>
    <w:p w14:paraId="26C482E4" w14:textId="77777777" w:rsidR="00DF5475" w:rsidRDefault="00DF5475" w:rsidP="000077A0">
      <w:pPr>
        <w:widowControl/>
        <w:rPr>
          <w:b/>
          <w:bCs/>
          <w:sz w:val="24"/>
        </w:rPr>
      </w:pPr>
    </w:p>
    <w:p w14:paraId="5BDE25DD" w14:textId="77777777" w:rsidR="00DF5475" w:rsidRDefault="00DF5475" w:rsidP="000077A0">
      <w:pPr>
        <w:keepNext/>
        <w:widowControl/>
        <w:rPr>
          <w:b/>
          <w:bCs/>
          <w:sz w:val="24"/>
        </w:rPr>
      </w:pPr>
      <w:r>
        <w:rPr>
          <w:b/>
          <w:bCs/>
          <w:sz w:val="24"/>
        </w:rPr>
        <w:t>IC-1 Summary</w:t>
      </w:r>
    </w:p>
    <w:p w14:paraId="745F8299" w14:textId="77777777" w:rsidR="00DF5475" w:rsidRDefault="00DF5475" w:rsidP="000077A0">
      <w:pPr>
        <w:keepNext/>
        <w:widowControl/>
        <w:rPr>
          <w:b/>
          <w:bCs/>
          <w:sz w:val="24"/>
        </w:rPr>
      </w:pPr>
    </w:p>
    <w:p w14:paraId="0F221654" w14:textId="77777777" w:rsidR="00DF5475" w:rsidRDefault="00DF5475" w:rsidP="000077A0">
      <w:pPr>
        <w:widowControl/>
        <w:rPr>
          <w:bCs/>
          <w:sz w:val="24"/>
        </w:rPr>
      </w:pPr>
      <w:r w:rsidRPr="002B55CF">
        <w:rPr>
          <w:b/>
          <w:bCs/>
          <w:sz w:val="24"/>
        </w:rPr>
        <w:t>Esti</w:t>
      </w:r>
      <w:r>
        <w:rPr>
          <w:b/>
          <w:bCs/>
          <w:sz w:val="24"/>
        </w:rPr>
        <w:t xml:space="preserve">mated Capital and Startup </w:t>
      </w:r>
      <w:r w:rsidRPr="002B55CF">
        <w:rPr>
          <w:b/>
          <w:bCs/>
          <w:sz w:val="24"/>
        </w:rPr>
        <w:t xml:space="preserve">Cost to Respondents:  </w:t>
      </w:r>
      <w:r>
        <w:rPr>
          <w:bCs/>
          <w:sz w:val="24"/>
        </w:rPr>
        <w:t xml:space="preserve">$0                       </w:t>
      </w:r>
    </w:p>
    <w:p w14:paraId="29BF59FA" w14:textId="77777777" w:rsidR="00DF5475" w:rsidRDefault="00DF5475" w:rsidP="000077A0">
      <w:pPr>
        <w:widowControl/>
        <w:rPr>
          <w:b/>
          <w:bCs/>
          <w:sz w:val="24"/>
        </w:rPr>
      </w:pPr>
    </w:p>
    <w:p w14:paraId="2CEB8DE9" w14:textId="77777777" w:rsidR="004C63F8" w:rsidRDefault="001B559F" w:rsidP="000077A0">
      <w:pPr>
        <w:widowControl/>
        <w:rPr>
          <w:bCs/>
          <w:sz w:val="24"/>
        </w:rPr>
      </w:pPr>
      <w:r w:rsidRPr="002B55CF">
        <w:rPr>
          <w:b/>
          <w:bCs/>
          <w:sz w:val="24"/>
        </w:rPr>
        <w:t>Esti</w:t>
      </w:r>
      <w:r>
        <w:rPr>
          <w:b/>
          <w:bCs/>
          <w:sz w:val="24"/>
        </w:rPr>
        <w:t xml:space="preserve">mated Average Annual </w:t>
      </w:r>
      <w:r w:rsidRPr="002B55CF">
        <w:rPr>
          <w:b/>
          <w:bCs/>
          <w:sz w:val="24"/>
        </w:rPr>
        <w:t>Cost</w:t>
      </w:r>
      <w:r>
        <w:rPr>
          <w:b/>
          <w:bCs/>
          <w:sz w:val="24"/>
        </w:rPr>
        <w:t xml:space="preserve"> (Operation and Maintenance)</w:t>
      </w:r>
      <w:r w:rsidRPr="002B55CF">
        <w:rPr>
          <w:b/>
          <w:bCs/>
          <w:sz w:val="24"/>
        </w:rPr>
        <w:t xml:space="preserve"> to Respondents: </w:t>
      </w:r>
      <w:r w:rsidR="004C63F8" w:rsidRPr="002B55CF">
        <w:rPr>
          <w:bCs/>
          <w:sz w:val="24"/>
        </w:rPr>
        <w:t>$</w:t>
      </w:r>
      <w:r w:rsidR="00DD1FC2">
        <w:rPr>
          <w:bCs/>
          <w:sz w:val="24"/>
        </w:rPr>
        <w:t>5.64</w:t>
      </w:r>
      <w:r w:rsidR="006731A4">
        <w:rPr>
          <w:bCs/>
          <w:sz w:val="24"/>
        </w:rPr>
        <w:t xml:space="preserve"> [</w:t>
      </w:r>
      <w:r w:rsidR="00DD1FC2">
        <w:rPr>
          <w:bCs/>
          <w:sz w:val="24"/>
        </w:rPr>
        <w:t>$203,000 total cost ÷ 36,000 respondents = $5.64</w:t>
      </w:r>
      <w:r w:rsidR="004C63F8" w:rsidRPr="002B55CF">
        <w:rPr>
          <w:bCs/>
          <w:sz w:val="24"/>
        </w:rPr>
        <w:t>]</w:t>
      </w:r>
    </w:p>
    <w:p w14:paraId="63AFDF10" w14:textId="77777777" w:rsidR="004C63F8" w:rsidRDefault="004C63F8" w:rsidP="000077A0">
      <w:pPr>
        <w:widowControl/>
        <w:rPr>
          <w:bCs/>
          <w:sz w:val="24"/>
        </w:rPr>
      </w:pPr>
    </w:p>
    <w:p w14:paraId="6D0D4439" w14:textId="77777777" w:rsidR="002472F8" w:rsidRDefault="002472F8" w:rsidP="000077A0">
      <w:pPr>
        <w:keepNext/>
        <w:widowControl/>
        <w:rPr>
          <w:b/>
          <w:sz w:val="24"/>
          <w:u w:val="single"/>
        </w:rPr>
      </w:pPr>
    </w:p>
    <w:p w14:paraId="30FF2FA0" w14:textId="77777777" w:rsidR="004C63F8" w:rsidRPr="005F5FF9" w:rsidRDefault="004C63F8" w:rsidP="000077A0">
      <w:pPr>
        <w:keepNext/>
        <w:widowControl/>
        <w:rPr>
          <w:sz w:val="24"/>
        </w:rPr>
      </w:pPr>
      <w:r w:rsidRPr="005F5FF9">
        <w:rPr>
          <w:b/>
          <w:sz w:val="24"/>
          <w:u w:val="single"/>
        </w:rPr>
        <w:t>IC-</w:t>
      </w:r>
      <w:r>
        <w:rPr>
          <w:b/>
          <w:sz w:val="24"/>
          <w:u w:val="single"/>
        </w:rPr>
        <w:t>2</w:t>
      </w:r>
      <w:r w:rsidRPr="005F5FF9">
        <w:rPr>
          <w:b/>
          <w:sz w:val="24"/>
          <w:u w:val="single"/>
        </w:rPr>
        <w:t xml:space="preserve">:  </w:t>
      </w:r>
      <w:r>
        <w:rPr>
          <w:b/>
          <w:sz w:val="24"/>
          <w:u w:val="single"/>
        </w:rPr>
        <w:t>Part 390, Subpart F Passenger-Carrying Commercial Motor Vehicles</w:t>
      </w:r>
    </w:p>
    <w:p w14:paraId="48D2DCC6" w14:textId="77777777" w:rsidR="00A55952" w:rsidRDefault="00A55952" w:rsidP="000077A0">
      <w:pPr>
        <w:keepNext/>
        <w:widowControl/>
        <w:rPr>
          <w:sz w:val="24"/>
        </w:rPr>
      </w:pPr>
    </w:p>
    <w:p w14:paraId="5C6C74FD" w14:textId="77777777" w:rsidR="000F336C" w:rsidRPr="009A2686" w:rsidRDefault="000F336C" w:rsidP="000077A0">
      <w:pPr>
        <w:keepNext/>
        <w:widowControl/>
        <w:rPr>
          <w:b/>
          <w:bCs/>
          <w:sz w:val="24"/>
        </w:rPr>
      </w:pPr>
      <w:r w:rsidRPr="009A2686">
        <w:rPr>
          <w:b/>
          <w:bCs/>
          <w:sz w:val="24"/>
        </w:rPr>
        <w:t>Capital and Startup Costs:</w:t>
      </w:r>
    </w:p>
    <w:p w14:paraId="47D0FEAD" w14:textId="77777777" w:rsidR="000F336C" w:rsidRDefault="000F336C" w:rsidP="000077A0">
      <w:pPr>
        <w:keepNext/>
        <w:widowControl/>
        <w:rPr>
          <w:bCs/>
          <w:sz w:val="24"/>
        </w:rPr>
      </w:pPr>
    </w:p>
    <w:p w14:paraId="37C71AD9" w14:textId="77777777" w:rsidR="002007FF" w:rsidRDefault="002007FF" w:rsidP="000077A0">
      <w:pPr>
        <w:keepNext/>
        <w:widowControl/>
        <w:spacing w:line="360" w:lineRule="auto"/>
        <w:rPr>
          <w:sz w:val="24"/>
        </w:rPr>
      </w:pPr>
      <w:r>
        <w:rPr>
          <w:sz w:val="24"/>
          <w:u w:val="single"/>
        </w:rPr>
        <w:t>Master Lease Creation</w:t>
      </w:r>
    </w:p>
    <w:p w14:paraId="66C7A065" w14:textId="36B033B8" w:rsidR="002007FF" w:rsidRDefault="002007FF" w:rsidP="000077A0">
      <w:pPr>
        <w:widowControl/>
        <w:ind w:firstLine="720"/>
        <w:rPr>
          <w:sz w:val="24"/>
        </w:rPr>
      </w:pPr>
      <w:r>
        <w:rPr>
          <w:sz w:val="24"/>
        </w:rPr>
        <w:t xml:space="preserve">The Agency determines there </w:t>
      </w:r>
      <w:r w:rsidR="00EE577B">
        <w:rPr>
          <w:sz w:val="24"/>
        </w:rPr>
        <w:t>are</w:t>
      </w:r>
      <w:r>
        <w:rPr>
          <w:sz w:val="24"/>
        </w:rPr>
        <w:t xml:space="preserve"> no capital or startup cost associated with this burden.  Lease templates are readily available on the Internet at no cost.</w:t>
      </w:r>
    </w:p>
    <w:p w14:paraId="13613183" w14:textId="77777777" w:rsidR="002007FF" w:rsidRDefault="002007FF" w:rsidP="000077A0">
      <w:pPr>
        <w:widowControl/>
        <w:spacing w:line="360" w:lineRule="auto"/>
        <w:rPr>
          <w:sz w:val="24"/>
        </w:rPr>
      </w:pPr>
    </w:p>
    <w:p w14:paraId="12B53ADF" w14:textId="77777777" w:rsidR="002007FF" w:rsidRDefault="002007FF" w:rsidP="000077A0">
      <w:pPr>
        <w:keepNext/>
        <w:widowControl/>
        <w:spacing w:line="360" w:lineRule="auto"/>
        <w:rPr>
          <w:sz w:val="24"/>
        </w:rPr>
      </w:pPr>
      <w:r>
        <w:rPr>
          <w:sz w:val="24"/>
          <w:u w:val="single"/>
        </w:rPr>
        <w:t>Lease Negotiation</w:t>
      </w:r>
    </w:p>
    <w:p w14:paraId="14ECC309" w14:textId="0CF425B4" w:rsidR="002007FF" w:rsidRDefault="002007FF" w:rsidP="000077A0">
      <w:pPr>
        <w:widowControl/>
        <w:ind w:firstLine="720"/>
        <w:rPr>
          <w:sz w:val="24"/>
        </w:rPr>
      </w:pPr>
      <w:r>
        <w:rPr>
          <w:sz w:val="24"/>
        </w:rPr>
        <w:t>The Agency finds there</w:t>
      </w:r>
      <w:r w:rsidR="00EE577B">
        <w:rPr>
          <w:sz w:val="24"/>
        </w:rPr>
        <w:t xml:space="preserve"> are</w:t>
      </w:r>
      <w:r>
        <w:rPr>
          <w:sz w:val="24"/>
        </w:rPr>
        <w:t xml:space="preserve"> no capital or startup cost associated with this burden.  Lessors</w:t>
      </w:r>
      <w:r w:rsidR="007D08C0">
        <w:rPr>
          <w:sz w:val="24"/>
        </w:rPr>
        <w:t xml:space="preserve"> and</w:t>
      </w:r>
      <w:r>
        <w:rPr>
          <w:sz w:val="24"/>
        </w:rPr>
        <w:t xml:space="preserve"> lessees already engage in these negotiations independent of whether they formalize term</w:t>
      </w:r>
      <w:r w:rsidR="007D08C0">
        <w:rPr>
          <w:sz w:val="24"/>
        </w:rPr>
        <w:t xml:space="preserve">s in written lease agreements. </w:t>
      </w:r>
      <w:r>
        <w:rPr>
          <w:sz w:val="24"/>
        </w:rPr>
        <w:t>Negotiations are a standard practice among passenger motor vehicle carriers and the associated skill set is prevalent across the industry.</w:t>
      </w:r>
    </w:p>
    <w:p w14:paraId="5A02E10C" w14:textId="77777777" w:rsidR="002007FF" w:rsidRPr="003E2949" w:rsidRDefault="002007FF" w:rsidP="000077A0">
      <w:pPr>
        <w:widowControl/>
        <w:spacing w:line="360" w:lineRule="auto"/>
        <w:rPr>
          <w:sz w:val="24"/>
        </w:rPr>
      </w:pPr>
    </w:p>
    <w:p w14:paraId="3B806CB7" w14:textId="77777777" w:rsidR="002007FF" w:rsidRDefault="002007FF" w:rsidP="000077A0">
      <w:pPr>
        <w:keepNext/>
        <w:widowControl/>
        <w:spacing w:line="360" w:lineRule="auto"/>
        <w:rPr>
          <w:sz w:val="24"/>
        </w:rPr>
      </w:pPr>
      <w:r>
        <w:rPr>
          <w:sz w:val="24"/>
          <w:u w:val="single"/>
        </w:rPr>
        <w:t>Lease Documentation</w:t>
      </w:r>
    </w:p>
    <w:p w14:paraId="0DDA9F09" w14:textId="0D5733AD" w:rsidR="002007FF" w:rsidRPr="003E2949" w:rsidRDefault="002007FF" w:rsidP="000077A0">
      <w:pPr>
        <w:widowControl/>
        <w:ind w:firstLine="720"/>
        <w:rPr>
          <w:sz w:val="24"/>
        </w:rPr>
      </w:pPr>
      <w:r>
        <w:rPr>
          <w:sz w:val="24"/>
        </w:rPr>
        <w:t xml:space="preserve">The Agency finds there </w:t>
      </w:r>
      <w:r w:rsidR="00EE577B">
        <w:rPr>
          <w:sz w:val="24"/>
        </w:rPr>
        <w:t>are</w:t>
      </w:r>
      <w:r>
        <w:rPr>
          <w:sz w:val="24"/>
        </w:rPr>
        <w:t xml:space="preserve"> no capital or startup cost associated with this burden.  It involves no special equipment or training.</w:t>
      </w:r>
    </w:p>
    <w:p w14:paraId="1713CD5A" w14:textId="77777777" w:rsidR="00DF3679" w:rsidRDefault="00DF3679" w:rsidP="000077A0">
      <w:pPr>
        <w:widowControl/>
        <w:tabs>
          <w:tab w:val="left" w:pos="0"/>
        </w:tabs>
        <w:spacing w:line="360" w:lineRule="auto"/>
        <w:rPr>
          <w:sz w:val="24"/>
          <w:u w:val="single"/>
        </w:rPr>
      </w:pPr>
    </w:p>
    <w:p w14:paraId="6DB9A832" w14:textId="77777777" w:rsidR="002007FF" w:rsidRDefault="002007FF" w:rsidP="000077A0">
      <w:pPr>
        <w:keepNext/>
        <w:widowControl/>
        <w:tabs>
          <w:tab w:val="left" w:pos="0"/>
        </w:tabs>
        <w:spacing w:line="360" w:lineRule="auto"/>
        <w:rPr>
          <w:rFonts w:eastAsia="MS Mincho"/>
          <w:bCs/>
          <w:sz w:val="24"/>
        </w:rPr>
      </w:pPr>
      <w:r>
        <w:rPr>
          <w:rFonts w:eastAsia="MS Mincho"/>
          <w:bCs/>
          <w:sz w:val="24"/>
          <w:u w:val="single"/>
        </w:rPr>
        <w:lastRenderedPageBreak/>
        <w:t>Transcription</w:t>
      </w:r>
    </w:p>
    <w:p w14:paraId="08C07BEC" w14:textId="150CD352" w:rsidR="002007FF" w:rsidRDefault="002007FF" w:rsidP="007B6F94">
      <w:pPr>
        <w:keepLines/>
        <w:widowControl/>
        <w:ind w:firstLine="720"/>
        <w:rPr>
          <w:bCs/>
          <w:sz w:val="24"/>
        </w:rPr>
      </w:pPr>
      <w:r>
        <w:rPr>
          <w:bCs/>
          <w:sz w:val="24"/>
        </w:rPr>
        <w:t xml:space="preserve">The Agency concludes that property-carrying commercial motor vehicle operators have access to basic office equipment such as a computer, a printer and/or a copying machine necessary to complete these tasks.  These are standard pieces of office equipment and respondents face no added burden in this regard, and therefore the Agency finds there </w:t>
      </w:r>
      <w:r w:rsidR="008F356C">
        <w:rPr>
          <w:bCs/>
          <w:sz w:val="24"/>
        </w:rPr>
        <w:t xml:space="preserve">are </w:t>
      </w:r>
      <w:r>
        <w:rPr>
          <w:bCs/>
          <w:sz w:val="24"/>
        </w:rPr>
        <w:t>no capital or startup costs associated with this requirement.</w:t>
      </w:r>
    </w:p>
    <w:p w14:paraId="5B5EB6B1" w14:textId="77777777" w:rsidR="002007FF" w:rsidRDefault="002007FF" w:rsidP="000077A0">
      <w:pPr>
        <w:widowControl/>
        <w:tabs>
          <w:tab w:val="left" w:pos="0"/>
        </w:tabs>
        <w:spacing w:line="360" w:lineRule="auto"/>
        <w:rPr>
          <w:rFonts w:eastAsia="MS Mincho"/>
          <w:bCs/>
          <w:sz w:val="24"/>
        </w:rPr>
      </w:pPr>
    </w:p>
    <w:p w14:paraId="5B9399B6" w14:textId="1AC28C3F" w:rsidR="00DF3679" w:rsidRPr="007277B0" w:rsidRDefault="00DF3679" w:rsidP="000077A0">
      <w:pPr>
        <w:keepNext/>
        <w:widowControl/>
        <w:spacing w:line="360" w:lineRule="auto"/>
        <w:rPr>
          <w:rFonts w:eastAsia="MS Mincho"/>
          <w:bCs/>
          <w:sz w:val="24"/>
          <w:u w:val="single"/>
        </w:rPr>
      </w:pPr>
      <w:r w:rsidRPr="007277B0">
        <w:rPr>
          <w:rFonts w:eastAsia="MS Mincho"/>
          <w:bCs/>
          <w:sz w:val="24"/>
          <w:u w:val="single"/>
        </w:rPr>
        <w:t>Notification</w:t>
      </w:r>
      <w:r>
        <w:rPr>
          <w:rFonts w:eastAsia="MS Mincho"/>
          <w:bCs/>
          <w:sz w:val="24"/>
          <w:u w:val="single"/>
        </w:rPr>
        <w:t xml:space="preserve"> of </w:t>
      </w:r>
      <w:r w:rsidR="00C40193">
        <w:rPr>
          <w:rFonts w:eastAsia="MS Mincho"/>
          <w:bCs/>
          <w:sz w:val="24"/>
          <w:u w:val="single"/>
        </w:rPr>
        <w:t>Charter Groups by</w:t>
      </w:r>
      <w:r>
        <w:rPr>
          <w:rFonts w:eastAsia="MS Mincho"/>
          <w:bCs/>
          <w:sz w:val="24"/>
          <w:u w:val="single"/>
        </w:rPr>
        <w:t xml:space="preserve"> Carriers</w:t>
      </w:r>
    </w:p>
    <w:p w14:paraId="76D762E7" w14:textId="227EBDA1" w:rsidR="00DF3679" w:rsidRDefault="00DF3679" w:rsidP="000077A0">
      <w:pPr>
        <w:widowControl/>
        <w:ind w:firstLine="720"/>
        <w:rPr>
          <w:rFonts w:eastAsia="MS Mincho"/>
          <w:bCs/>
          <w:sz w:val="24"/>
        </w:rPr>
      </w:pPr>
      <w:r>
        <w:rPr>
          <w:rFonts w:eastAsia="MS Mincho"/>
          <w:bCs/>
          <w:sz w:val="24"/>
        </w:rPr>
        <w:t>There are</w:t>
      </w:r>
      <w:r w:rsidR="007D08C0">
        <w:rPr>
          <w:rFonts w:eastAsia="MS Mincho"/>
          <w:bCs/>
          <w:sz w:val="24"/>
        </w:rPr>
        <w:t xml:space="preserve"> </w:t>
      </w:r>
      <w:r>
        <w:rPr>
          <w:rFonts w:eastAsia="MS Mincho"/>
          <w:bCs/>
          <w:sz w:val="24"/>
        </w:rPr>
        <w:t>no</w:t>
      </w:r>
      <w:r w:rsidR="007D08C0">
        <w:rPr>
          <w:rFonts w:eastAsia="MS Mincho"/>
          <w:bCs/>
          <w:sz w:val="24"/>
        </w:rPr>
        <w:t xml:space="preserve"> </w:t>
      </w:r>
      <w:r>
        <w:rPr>
          <w:rFonts w:eastAsia="MS Mincho"/>
          <w:bCs/>
          <w:sz w:val="24"/>
        </w:rPr>
        <w:t xml:space="preserve">capital or start-up costs associated with email </w:t>
      </w:r>
      <w:r w:rsidR="007D08C0">
        <w:rPr>
          <w:rFonts w:eastAsia="MS Mincho"/>
          <w:bCs/>
          <w:sz w:val="24"/>
        </w:rPr>
        <w:t xml:space="preserve">notification messages to </w:t>
      </w:r>
      <w:r w:rsidR="00AC11E5">
        <w:rPr>
          <w:rFonts w:eastAsia="MS Mincho"/>
          <w:bCs/>
          <w:sz w:val="24"/>
        </w:rPr>
        <w:t>charter groups</w:t>
      </w:r>
      <w:r w:rsidR="007D08C0">
        <w:rPr>
          <w:rFonts w:eastAsia="MS Mincho"/>
          <w:bCs/>
          <w:sz w:val="24"/>
        </w:rPr>
        <w:t xml:space="preserve">. </w:t>
      </w:r>
      <w:r>
        <w:rPr>
          <w:rFonts w:eastAsia="MS Mincho"/>
          <w:bCs/>
          <w:sz w:val="24"/>
        </w:rPr>
        <w:t xml:space="preserve">The acquisition, operation, and maintenance of electronic devices, such as computers, laptops, tablets, ePads, or smartphones, that would be used to send electronic messages (email) to notify </w:t>
      </w:r>
      <w:r w:rsidR="008E7EEA">
        <w:rPr>
          <w:rFonts w:eastAsia="MS Mincho"/>
          <w:bCs/>
          <w:sz w:val="24"/>
        </w:rPr>
        <w:t>charter groups in the event that some portion or all of the chartered service has been subcontracted to another passenger carrier</w:t>
      </w:r>
      <w:r>
        <w:rPr>
          <w:rFonts w:eastAsia="MS Mincho"/>
          <w:bCs/>
          <w:sz w:val="24"/>
        </w:rPr>
        <w:t xml:space="preserve"> is considered a usual and customary business practice and is not calculated for this information collection burden estimate.</w:t>
      </w:r>
    </w:p>
    <w:p w14:paraId="3FFA1CEC" w14:textId="77777777" w:rsidR="002007FF" w:rsidRPr="00DF3679" w:rsidRDefault="002007FF" w:rsidP="000077A0">
      <w:pPr>
        <w:widowControl/>
        <w:tabs>
          <w:tab w:val="left" w:pos="0"/>
        </w:tabs>
        <w:spacing w:line="360" w:lineRule="auto"/>
        <w:rPr>
          <w:rFonts w:eastAsia="MS Mincho"/>
          <w:bCs/>
          <w:sz w:val="24"/>
        </w:rPr>
      </w:pPr>
    </w:p>
    <w:p w14:paraId="79345DE0" w14:textId="77777777" w:rsidR="002007FF" w:rsidRPr="008A5286" w:rsidRDefault="002007FF" w:rsidP="000077A0">
      <w:pPr>
        <w:keepNext/>
        <w:widowControl/>
        <w:tabs>
          <w:tab w:val="left" w:pos="90"/>
          <w:tab w:val="left" w:pos="9540"/>
        </w:tabs>
        <w:spacing w:line="360" w:lineRule="auto"/>
        <w:outlineLvl w:val="0"/>
        <w:rPr>
          <w:rFonts w:eastAsia="MS Mincho"/>
          <w:bCs/>
          <w:sz w:val="24"/>
          <w:u w:val="single"/>
        </w:rPr>
      </w:pPr>
      <w:r w:rsidRPr="008A5286">
        <w:rPr>
          <w:rFonts w:eastAsia="MS Mincho"/>
          <w:bCs/>
          <w:sz w:val="24"/>
          <w:u w:val="single"/>
        </w:rPr>
        <w:t>Record Retention</w:t>
      </w:r>
    </w:p>
    <w:p w14:paraId="1A3FD2C1" w14:textId="733D995C" w:rsidR="002007FF" w:rsidRDefault="008F356C" w:rsidP="000077A0">
      <w:pPr>
        <w:widowControl/>
        <w:tabs>
          <w:tab w:val="left" w:pos="0"/>
        </w:tabs>
        <w:rPr>
          <w:rFonts w:eastAsia="MS Mincho"/>
          <w:bCs/>
          <w:sz w:val="24"/>
        </w:rPr>
      </w:pPr>
      <w:r>
        <w:rPr>
          <w:rFonts w:eastAsia="MS Mincho"/>
          <w:bCs/>
          <w:sz w:val="24"/>
        </w:rPr>
        <w:tab/>
      </w:r>
      <w:r w:rsidR="002007FF" w:rsidRPr="00C71EA2">
        <w:rPr>
          <w:rFonts w:eastAsia="MS Mincho"/>
          <w:bCs/>
          <w:sz w:val="24"/>
        </w:rPr>
        <w:t xml:space="preserve">The </w:t>
      </w:r>
      <w:r w:rsidR="002007FF">
        <w:rPr>
          <w:rFonts w:eastAsia="MS Mincho"/>
          <w:bCs/>
          <w:sz w:val="24"/>
        </w:rPr>
        <w:t>rule</w:t>
      </w:r>
      <w:r w:rsidR="002007FF" w:rsidRPr="00C71EA2">
        <w:rPr>
          <w:rFonts w:eastAsia="MS Mincho"/>
          <w:bCs/>
          <w:sz w:val="24"/>
        </w:rPr>
        <w:t xml:space="preserve"> requires the retention of lease agreements for one year</w:t>
      </w:r>
      <w:r w:rsidR="002007FF">
        <w:rPr>
          <w:rFonts w:eastAsia="MS Mincho"/>
          <w:bCs/>
          <w:sz w:val="24"/>
        </w:rPr>
        <w:t xml:space="preserve"> after their termination</w:t>
      </w:r>
      <w:r w:rsidR="002007FF" w:rsidRPr="00C71EA2">
        <w:rPr>
          <w:rFonts w:eastAsia="MS Mincho"/>
          <w:bCs/>
          <w:sz w:val="24"/>
        </w:rPr>
        <w:t xml:space="preserve">. </w:t>
      </w:r>
      <w:r w:rsidR="002007FF">
        <w:rPr>
          <w:rFonts w:eastAsia="MS Mincho"/>
          <w:bCs/>
          <w:sz w:val="24"/>
        </w:rPr>
        <w:t xml:space="preserve">The Agency finds that the storage of work documents is a requisite part of doing business.  </w:t>
      </w:r>
      <w:r w:rsidR="002007FF" w:rsidRPr="00C71EA2">
        <w:rPr>
          <w:rFonts w:eastAsia="MS Mincho"/>
          <w:bCs/>
          <w:sz w:val="24"/>
        </w:rPr>
        <w:t xml:space="preserve">Thus, the requirement to retain a copy of the written lease agreement for one year </w:t>
      </w:r>
      <w:r w:rsidR="002007FF">
        <w:rPr>
          <w:rFonts w:eastAsia="MS Mincho"/>
          <w:bCs/>
          <w:sz w:val="24"/>
        </w:rPr>
        <w:t xml:space="preserve">after its termination </w:t>
      </w:r>
      <w:r w:rsidR="002007FF" w:rsidRPr="00C71EA2">
        <w:rPr>
          <w:rFonts w:eastAsia="MS Mincho"/>
          <w:bCs/>
          <w:sz w:val="24"/>
        </w:rPr>
        <w:t xml:space="preserve">does not impose a significant </w:t>
      </w:r>
      <w:r w:rsidR="002007FF">
        <w:rPr>
          <w:rFonts w:eastAsia="MS Mincho"/>
          <w:bCs/>
          <w:sz w:val="24"/>
        </w:rPr>
        <w:t xml:space="preserve">startup </w:t>
      </w:r>
      <w:r w:rsidR="002007FF" w:rsidRPr="00C71EA2">
        <w:rPr>
          <w:rFonts w:eastAsia="MS Mincho"/>
          <w:bCs/>
          <w:sz w:val="24"/>
        </w:rPr>
        <w:t xml:space="preserve">cost or burden on the affected carriers.  A two-inch stack of </w:t>
      </w:r>
      <w:r w:rsidR="002007FF">
        <w:rPr>
          <w:rFonts w:eastAsia="MS Mincho"/>
          <w:bCs/>
          <w:sz w:val="24"/>
        </w:rPr>
        <w:t>8 1/2”</w:t>
      </w:r>
      <w:r w:rsidR="00DC7E3E">
        <w:rPr>
          <w:rFonts w:eastAsia="MS Mincho"/>
          <w:bCs/>
          <w:sz w:val="24"/>
        </w:rPr>
        <w:t xml:space="preserve"> × </w:t>
      </w:r>
      <w:r w:rsidR="002007FF">
        <w:rPr>
          <w:rFonts w:eastAsia="MS Mincho"/>
          <w:bCs/>
          <w:sz w:val="24"/>
        </w:rPr>
        <w:t>11”</w:t>
      </w:r>
      <w:r w:rsidR="002007FF" w:rsidRPr="00C71EA2">
        <w:rPr>
          <w:rFonts w:eastAsia="MS Mincho"/>
          <w:bCs/>
          <w:sz w:val="24"/>
        </w:rPr>
        <w:t xml:space="preserve"> sheets of 200-pound paper (a ream) could amount to 500 double-sided copies of lease agreements.  This would </w:t>
      </w:r>
      <w:r w:rsidR="002007FF">
        <w:rPr>
          <w:rFonts w:eastAsia="MS Mincho"/>
          <w:bCs/>
          <w:sz w:val="24"/>
        </w:rPr>
        <w:t>amount to</w:t>
      </w:r>
      <w:r w:rsidR="002007FF" w:rsidRPr="00C71EA2">
        <w:rPr>
          <w:rFonts w:eastAsia="MS Mincho"/>
          <w:bCs/>
          <w:sz w:val="24"/>
        </w:rPr>
        <w:t xml:space="preserve"> more than one lease per day in a given year.</w:t>
      </w:r>
    </w:p>
    <w:p w14:paraId="1D84F5CE" w14:textId="77777777" w:rsidR="002007FF" w:rsidRDefault="002007FF" w:rsidP="000077A0">
      <w:pPr>
        <w:widowControl/>
        <w:rPr>
          <w:bCs/>
          <w:sz w:val="24"/>
        </w:rPr>
      </w:pPr>
    </w:p>
    <w:p w14:paraId="10D6A273" w14:textId="77777777" w:rsidR="002472F8" w:rsidRDefault="000F336C" w:rsidP="000077A0">
      <w:pPr>
        <w:keepNext/>
        <w:widowControl/>
        <w:rPr>
          <w:b/>
          <w:bCs/>
          <w:sz w:val="24"/>
        </w:rPr>
      </w:pPr>
      <w:r w:rsidRPr="00F864C5">
        <w:rPr>
          <w:b/>
          <w:bCs/>
          <w:sz w:val="24"/>
        </w:rPr>
        <w:t>Operation and Maintenance Costs:</w:t>
      </w:r>
    </w:p>
    <w:p w14:paraId="1522DB9D" w14:textId="77777777" w:rsidR="002472F8" w:rsidRDefault="002472F8" w:rsidP="000077A0">
      <w:pPr>
        <w:keepNext/>
        <w:widowControl/>
        <w:rPr>
          <w:b/>
          <w:bCs/>
          <w:sz w:val="24"/>
        </w:rPr>
      </w:pPr>
    </w:p>
    <w:p w14:paraId="754FD499" w14:textId="77777777" w:rsidR="002472F8" w:rsidRDefault="002D1994" w:rsidP="000077A0">
      <w:pPr>
        <w:keepNext/>
        <w:widowControl/>
        <w:rPr>
          <w:b/>
          <w:bCs/>
          <w:sz w:val="24"/>
        </w:rPr>
      </w:pPr>
      <w:r>
        <w:rPr>
          <w:sz w:val="24"/>
          <w:u w:val="single"/>
        </w:rPr>
        <w:t>Master Lease Creation</w:t>
      </w:r>
    </w:p>
    <w:p w14:paraId="129BE520" w14:textId="77777777" w:rsidR="002472F8" w:rsidRDefault="002472F8" w:rsidP="000077A0">
      <w:pPr>
        <w:keepNext/>
        <w:widowControl/>
        <w:rPr>
          <w:b/>
          <w:bCs/>
          <w:sz w:val="24"/>
        </w:rPr>
      </w:pPr>
    </w:p>
    <w:p w14:paraId="01B1B3B4" w14:textId="77777777" w:rsidR="002472F8" w:rsidRDefault="002D1994" w:rsidP="000077A0">
      <w:pPr>
        <w:widowControl/>
        <w:ind w:firstLine="720"/>
        <w:rPr>
          <w:sz w:val="24"/>
        </w:rPr>
      </w:pPr>
      <w:r>
        <w:rPr>
          <w:sz w:val="24"/>
        </w:rPr>
        <w:t>There are no</w:t>
      </w:r>
      <w:r w:rsidR="00A63756">
        <w:rPr>
          <w:sz w:val="24"/>
        </w:rPr>
        <w:t xml:space="preserve"> ongoing</w:t>
      </w:r>
      <w:r>
        <w:rPr>
          <w:sz w:val="24"/>
        </w:rPr>
        <w:t xml:space="preserve"> operating or maintenance costs resulting from this burden – the creation of a master lease is a one-time event.</w:t>
      </w:r>
    </w:p>
    <w:p w14:paraId="1947A0EA" w14:textId="77777777" w:rsidR="002472F8" w:rsidRDefault="002472F8" w:rsidP="000077A0">
      <w:pPr>
        <w:widowControl/>
        <w:spacing w:line="360" w:lineRule="auto"/>
        <w:rPr>
          <w:b/>
          <w:bCs/>
          <w:sz w:val="24"/>
        </w:rPr>
      </w:pPr>
    </w:p>
    <w:p w14:paraId="6BF4DE0A" w14:textId="77777777" w:rsidR="002472F8" w:rsidRDefault="002D1994" w:rsidP="000077A0">
      <w:pPr>
        <w:keepNext/>
        <w:widowControl/>
        <w:spacing w:line="360" w:lineRule="auto"/>
        <w:rPr>
          <w:sz w:val="24"/>
          <w:u w:val="single"/>
        </w:rPr>
      </w:pPr>
      <w:r>
        <w:rPr>
          <w:sz w:val="24"/>
          <w:u w:val="single"/>
        </w:rPr>
        <w:t>Lease Negotiation</w:t>
      </w:r>
    </w:p>
    <w:p w14:paraId="421A6402" w14:textId="00AB8706" w:rsidR="002472F8" w:rsidRDefault="002472F8" w:rsidP="000077A0">
      <w:pPr>
        <w:widowControl/>
        <w:ind w:firstLine="720"/>
        <w:rPr>
          <w:sz w:val="24"/>
        </w:rPr>
      </w:pPr>
      <w:r>
        <w:rPr>
          <w:sz w:val="24"/>
        </w:rPr>
        <w:t>T</w:t>
      </w:r>
      <w:r w:rsidR="008110E2">
        <w:rPr>
          <w:sz w:val="24"/>
        </w:rPr>
        <w:t xml:space="preserve">he Agency determines </w:t>
      </w:r>
      <w:r w:rsidR="00BC3977">
        <w:rPr>
          <w:sz w:val="24"/>
        </w:rPr>
        <w:t xml:space="preserve">that </w:t>
      </w:r>
      <w:r w:rsidR="008110E2">
        <w:rPr>
          <w:sz w:val="24"/>
        </w:rPr>
        <w:t xml:space="preserve">there </w:t>
      </w:r>
      <w:r w:rsidR="00BC3977">
        <w:rPr>
          <w:sz w:val="24"/>
        </w:rPr>
        <w:t>are</w:t>
      </w:r>
      <w:r w:rsidR="008110E2">
        <w:rPr>
          <w:sz w:val="24"/>
        </w:rPr>
        <w:t xml:space="preserve"> no ongoing operating or maintenance costs associated with this task as it requires only a means of communication which may be in person, electronic, or in written format, none of which impose marginal costs.</w:t>
      </w:r>
    </w:p>
    <w:p w14:paraId="097B7CE4" w14:textId="77777777" w:rsidR="002472F8" w:rsidRDefault="002472F8" w:rsidP="000077A0">
      <w:pPr>
        <w:widowControl/>
        <w:spacing w:line="360" w:lineRule="auto"/>
        <w:rPr>
          <w:b/>
          <w:bCs/>
          <w:sz w:val="24"/>
        </w:rPr>
      </w:pPr>
    </w:p>
    <w:p w14:paraId="6172FA56" w14:textId="77777777" w:rsidR="002472F8" w:rsidRDefault="002D1994" w:rsidP="000077A0">
      <w:pPr>
        <w:keepNext/>
        <w:widowControl/>
        <w:spacing w:line="360" w:lineRule="auto"/>
        <w:rPr>
          <w:sz w:val="24"/>
          <w:u w:val="single"/>
        </w:rPr>
      </w:pPr>
      <w:r>
        <w:rPr>
          <w:sz w:val="24"/>
          <w:u w:val="single"/>
        </w:rPr>
        <w:t>Lease Documentation</w:t>
      </w:r>
    </w:p>
    <w:p w14:paraId="35189EB8" w14:textId="77777777" w:rsidR="002472F8" w:rsidRDefault="00F01991" w:rsidP="000077A0">
      <w:pPr>
        <w:widowControl/>
        <w:ind w:firstLine="720"/>
        <w:rPr>
          <w:sz w:val="24"/>
        </w:rPr>
      </w:pPr>
      <w:r>
        <w:rPr>
          <w:sz w:val="24"/>
        </w:rPr>
        <w:t>Lease documentation is assumed to follow the template of carriers’ master lease agreements, with modifications where needed,</w:t>
      </w:r>
      <w:r w:rsidR="00180A19">
        <w:rPr>
          <w:sz w:val="24"/>
        </w:rPr>
        <w:t xml:space="preserve"> a task for which no marginal </w:t>
      </w:r>
      <w:r>
        <w:rPr>
          <w:sz w:val="24"/>
        </w:rPr>
        <w:t>cost burden is incurred.</w:t>
      </w:r>
    </w:p>
    <w:p w14:paraId="0C8DCA85" w14:textId="77777777" w:rsidR="002472F8" w:rsidRDefault="002472F8" w:rsidP="000077A0">
      <w:pPr>
        <w:widowControl/>
        <w:spacing w:line="360" w:lineRule="auto"/>
        <w:rPr>
          <w:b/>
          <w:bCs/>
          <w:sz w:val="24"/>
        </w:rPr>
      </w:pPr>
    </w:p>
    <w:p w14:paraId="369F0358" w14:textId="77777777" w:rsidR="00A55952" w:rsidRPr="002472F8" w:rsidRDefault="00A55952" w:rsidP="000077A0">
      <w:pPr>
        <w:keepNext/>
        <w:widowControl/>
        <w:spacing w:line="360" w:lineRule="auto"/>
        <w:rPr>
          <w:b/>
          <w:bCs/>
          <w:sz w:val="24"/>
        </w:rPr>
      </w:pPr>
      <w:r w:rsidRPr="008A5286">
        <w:rPr>
          <w:sz w:val="24"/>
          <w:u w:val="single"/>
        </w:rPr>
        <w:lastRenderedPageBreak/>
        <w:t xml:space="preserve">Transcription </w:t>
      </w:r>
    </w:p>
    <w:p w14:paraId="5449EAEA" w14:textId="1D315064" w:rsidR="00A55952" w:rsidRDefault="008F356C" w:rsidP="000077A0">
      <w:pPr>
        <w:widowControl/>
        <w:tabs>
          <w:tab w:val="left" w:pos="0"/>
        </w:tabs>
        <w:rPr>
          <w:sz w:val="24"/>
        </w:rPr>
      </w:pPr>
      <w:r>
        <w:rPr>
          <w:sz w:val="24"/>
        </w:rPr>
        <w:tab/>
      </w:r>
      <w:r w:rsidR="00A55952">
        <w:rPr>
          <w:sz w:val="24"/>
        </w:rPr>
        <w:t>The Agency estimates the annual cost of transcribing lease agreements and vehicle exchange receipts at $</w:t>
      </w:r>
      <w:r w:rsidR="005F4769">
        <w:rPr>
          <w:sz w:val="24"/>
        </w:rPr>
        <w:t>296,000</w:t>
      </w:r>
      <w:r w:rsidR="00A55952">
        <w:rPr>
          <w:sz w:val="24"/>
        </w:rPr>
        <w:t>.  Transcription of lease agreements assumes $0.15 per page (double-sided two page standard agreement).  Transcription of vehicle exchange receipts assumes $0.30 per exchange (one page for each receipt) for each event (surrender of leased vehicle by lessor and return of vehicle to the lessor)</w:t>
      </w:r>
      <w:r w:rsidR="00483E54">
        <w:rPr>
          <w:sz w:val="24"/>
        </w:rPr>
        <w:t xml:space="preserve"> or $0.60 per lease. With</w:t>
      </w:r>
      <w:r w:rsidR="00E5190A">
        <w:rPr>
          <w:sz w:val="24"/>
        </w:rPr>
        <w:t xml:space="preserve"> 4</w:t>
      </w:r>
      <w:r w:rsidR="006F4F10">
        <w:rPr>
          <w:sz w:val="24"/>
        </w:rPr>
        <w:t>92,578</w:t>
      </w:r>
      <w:r w:rsidR="00483E54">
        <w:rPr>
          <w:sz w:val="24"/>
        </w:rPr>
        <w:t xml:space="preserve"> leases per yea</w:t>
      </w:r>
      <w:r w:rsidR="00E5190A">
        <w:rPr>
          <w:sz w:val="24"/>
        </w:rPr>
        <w:t>r</w:t>
      </w:r>
      <w:r w:rsidR="0097657A">
        <w:rPr>
          <w:sz w:val="24"/>
        </w:rPr>
        <w:t>, the cost is $296,000 ($295,547</w:t>
      </w:r>
      <w:r w:rsidR="00E5190A">
        <w:rPr>
          <w:sz w:val="24"/>
        </w:rPr>
        <w:t xml:space="preserve"> = </w:t>
      </w:r>
      <w:r w:rsidR="006F4F10">
        <w:rPr>
          <w:sz w:val="24"/>
        </w:rPr>
        <w:t>492,578</w:t>
      </w:r>
      <w:r w:rsidR="00483E54">
        <w:rPr>
          <w:sz w:val="24"/>
        </w:rPr>
        <w:t xml:space="preserve"> leases</w:t>
      </w:r>
      <w:r w:rsidR="00DC7E3E">
        <w:rPr>
          <w:sz w:val="24"/>
        </w:rPr>
        <w:t xml:space="preserve"> × </w:t>
      </w:r>
      <w:r w:rsidR="00483E54">
        <w:rPr>
          <w:sz w:val="24"/>
        </w:rPr>
        <w:t>$0.60 per lease)</w:t>
      </w:r>
      <w:r w:rsidR="00A55952">
        <w:rPr>
          <w:sz w:val="24"/>
        </w:rPr>
        <w:t>.</w:t>
      </w:r>
      <w:r w:rsidR="005E1455">
        <w:rPr>
          <w:sz w:val="24"/>
        </w:rPr>
        <w:t xml:space="preserve"> </w:t>
      </w:r>
    </w:p>
    <w:p w14:paraId="32C60559" w14:textId="77777777" w:rsidR="00A55952" w:rsidRDefault="00A55952" w:rsidP="000077A0">
      <w:pPr>
        <w:widowControl/>
        <w:tabs>
          <w:tab w:val="left" w:pos="90"/>
          <w:tab w:val="left" w:pos="9540"/>
        </w:tabs>
        <w:spacing w:line="360" w:lineRule="auto"/>
        <w:outlineLvl w:val="0"/>
        <w:rPr>
          <w:rFonts w:eastAsia="MS Mincho"/>
          <w:bCs/>
          <w:sz w:val="24"/>
        </w:rPr>
      </w:pPr>
    </w:p>
    <w:p w14:paraId="3B8E5B6A" w14:textId="77777777" w:rsidR="00E13482" w:rsidRPr="007277B0" w:rsidRDefault="00E13482" w:rsidP="000077A0">
      <w:pPr>
        <w:keepNext/>
        <w:widowControl/>
        <w:spacing w:line="360" w:lineRule="auto"/>
        <w:rPr>
          <w:rFonts w:eastAsia="MS Mincho"/>
          <w:bCs/>
          <w:sz w:val="24"/>
          <w:u w:val="single"/>
        </w:rPr>
      </w:pPr>
      <w:r w:rsidRPr="007277B0">
        <w:rPr>
          <w:rFonts w:eastAsia="MS Mincho"/>
          <w:bCs/>
          <w:sz w:val="24"/>
          <w:u w:val="single"/>
        </w:rPr>
        <w:t>Notification</w:t>
      </w:r>
      <w:r>
        <w:rPr>
          <w:rFonts w:eastAsia="MS Mincho"/>
          <w:bCs/>
          <w:sz w:val="24"/>
          <w:u w:val="single"/>
        </w:rPr>
        <w:t xml:space="preserve"> of Charter Groups by Carriers</w:t>
      </w:r>
    </w:p>
    <w:p w14:paraId="0E69D625" w14:textId="77777777" w:rsidR="002D1994" w:rsidRDefault="002D1994" w:rsidP="000077A0">
      <w:pPr>
        <w:widowControl/>
        <w:ind w:firstLine="720"/>
        <w:rPr>
          <w:rFonts w:eastAsia="MS Mincho"/>
          <w:bCs/>
          <w:sz w:val="24"/>
        </w:rPr>
      </w:pPr>
      <w:r>
        <w:rPr>
          <w:rFonts w:eastAsia="MS Mincho"/>
          <w:bCs/>
          <w:sz w:val="24"/>
        </w:rPr>
        <w:t>There are no ongoing operation or maintenance costs associated with this requirement as all businesses covered by this requirement regularly communicate via electronic methods and there is no additional marginal cost per e-mail sent.</w:t>
      </w:r>
    </w:p>
    <w:p w14:paraId="0D491486" w14:textId="77777777" w:rsidR="002D1994" w:rsidRDefault="002D1994" w:rsidP="000077A0">
      <w:pPr>
        <w:keepNext/>
        <w:widowControl/>
        <w:tabs>
          <w:tab w:val="left" w:pos="90"/>
          <w:tab w:val="left" w:pos="9540"/>
        </w:tabs>
        <w:spacing w:line="360" w:lineRule="auto"/>
        <w:outlineLvl w:val="0"/>
        <w:rPr>
          <w:rFonts w:eastAsia="MS Mincho"/>
          <w:bCs/>
          <w:sz w:val="24"/>
          <w:u w:val="single"/>
        </w:rPr>
      </w:pPr>
    </w:p>
    <w:p w14:paraId="47A50C4E" w14:textId="77777777" w:rsidR="00A55952" w:rsidRPr="008A5286" w:rsidRDefault="00A55952" w:rsidP="000077A0">
      <w:pPr>
        <w:keepNext/>
        <w:widowControl/>
        <w:tabs>
          <w:tab w:val="left" w:pos="90"/>
          <w:tab w:val="left" w:pos="9540"/>
        </w:tabs>
        <w:spacing w:line="360" w:lineRule="auto"/>
        <w:outlineLvl w:val="0"/>
        <w:rPr>
          <w:rFonts w:eastAsia="MS Mincho"/>
          <w:bCs/>
          <w:sz w:val="24"/>
          <w:u w:val="single"/>
        </w:rPr>
      </w:pPr>
      <w:r w:rsidRPr="008A5286">
        <w:rPr>
          <w:rFonts w:eastAsia="MS Mincho"/>
          <w:bCs/>
          <w:sz w:val="24"/>
          <w:u w:val="single"/>
        </w:rPr>
        <w:t>Record Retention</w:t>
      </w:r>
    </w:p>
    <w:p w14:paraId="26C97410" w14:textId="2D910B65" w:rsidR="00A55952" w:rsidRDefault="008F356C" w:rsidP="000077A0">
      <w:pPr>
        <w:widowControl/>
        <w:tabs>
          <w:tab w:val="left" w:pos="0"/>
        </w:tabs>
        <w:rPr>
          <w:sz w:val="24"/>
        </w:rPr>
      </w:pPr>
      <w:r>
        <w:rPr>
          <w:rFonts w:eastAsia="MS Mincho"/>
          <w:bCs/>
          <w:sz w:val="24"/>
        </w:rPr>
        <w:tab/>
      </w:r>
      <w:r w:rsidR="00A55952" w:rsidRPr="00C71EA2">
        <w:rPr>
          <w:rFonts w:eastAsia="MS Mincho"/>
          <w:bCs/>
          <w:sz w:val="24"/>
        </w:rPr>
        <w:t xml:space="preserve">The storage of work documents is a requisite part of doing </w:t>
      </w:r>
      <w:r w:rsidR="00710746" w:rsidRPr="00C71EA2">
        <w:rPr>
          <w:rFonts w:eastAsia="MS Mincho"/>
          <w:bCs/>
          <w:sz w:val="24"/>
        </w:rPr>
        <w:t>business</w:t>
      </w:r>
      <w:r w:rsidR="00710746">
        <w:rPr>
          <w:rFonts w:eastAsia="MS Mincho"/>
          <w:bCs/>
          <w:sz w:val="24"/>
        </w:rPr>
        <w:t>;</w:t>
      </w:r>
      <w:r w:rsidR="00F864C5">
        <w:rPr>
          <w:rFonts w:eastAsia="MS Mincho"/>
          <w:bCs/>
          <w:sz w:val="24"/>
        </w:rPr>
        <w:t xml:space="preserve"> therefore the retention requirement poses no ongoing cost burden to retain nominal amounts of records as per standard business practices.</w:t>
      </w:r>
    </w:p>
    <w:p w14:paraId="197658CA" w14:textId="77777777" w:rsidR="00913A28" w:rsidRDefault="00913A28" w:rsidP="000077A0">
      <w:pPr>
        <w:widowControl/>
        <w:spacing w:line="360" w:lineRule="auto"/>
        <w:rPr>
          <w:rFonts w:eastAsia="MS Mincho"/>
          <w:bCs/>
          <w:sz w:val="24"/>
        </w:rPr>
      </w:pPr>
    </w:p>
    <w:p w14:paraId="6C390217" w14:textId="77777777" w:rsidR="007369DE" w:rsidRDefault="007369DE" w:rsidP="000077A0">
      <w:pPr>
        <w:keepNext/>
        <w:widowControl/>
        <w:rPr>
          <w:b/>
          <w:bCs/>
          <w:sz w:val="24"/>
        </w:rPr>
      </w:pPr>
      <w:r>
        <w:rPr>
          <w:b/>
          <w:bCs/>
          <w:sz w:val="24"/>
        </w:rPr>
        <w:t>IC-2 Summary</w:t>
      </w:r>
    </w:p>
    <w:p w14:paraId="62121BD9" w14:textId="77777777" w:rsidR="007369DE" w:rsidRDefault="007369DE" w:rsidP="000077A0">
      <w:pPr>
        <w:keepNext/>
        <w:widowControl/>
        <w:rPr>
          <w:b/>
          <w:bCs/>
          <w:sz w:val="24"/>
        </w:rPr>
      </w:pPr>
    </w:p>
    <w:p w14:paraId="6BC33875" w14:textId="77777777" w:rsidR="00D17FC0" w:rsidRDefault="00D17FC0" w:rsidP="000077A0">
      <w:pPr>
        <w:widowControl/>
        <w:rPr>
          <w:bCs/>
          <w:sz w:val="24"/>
        </w:rPr>
      </w:pPr>
      <w:r w:rsidRPr="002B55CF">
        <w:rPr>
          <w:b/>
          <w:bCs/>
          <w:sz w:val="24"/>
        </w:rPr>
        <w:t>Esti</w:t>
      </w:r>
      <w:r>
        <w:rPr>
          <w:b/>
          <w:bCs/>
          <w:sz w:val="24"/>
        </w:rPr>
        <w:t xml:space="preserve">mated Capital and Startup </w:t>
      </w:r>
      <w:r w:rsidRPr="002B55CF">
        <w:rPr>
          <w:b/>
          <w:bCs/>
          <w:sz w:val="24"/>
        </w:rPr>
        <w:t xml:space="preserve">Cost to Respondents:  </w:t>
      </w:r>
      <w:r>
        <w:rPr>
          <w:bCs/>
          <w:sz w:val="24"/>
        </w:rPr>
        <w:t xml:space="preserve">$0 </w:t>
      </w:r>
    </w:p>
    <w:p w14:paraId="3B59DE89" w14:textId="77777777" w:rsidR="00D17FC0" w:rsidRDefault="00D17FC0" w:rsidP="000077A0">
      <w:pPr>
        <w:widowControl/>
        <w:rPr>
          <w:b/>
          <w:bCs/>
          <w:sz w:val="24"/>
        </w:rPr>
      </w:pPr>
    </w:p>
    <w:p w14:paraId="01BAF555" w14:textId="3A588D2C" w:rsidR="007369DE" w:rsidRPr="0027272B" w:rsidRDefault="0027272B" w:rsidP="000077A0">
      <w:pPr>
        <w:widowControl/>
        <w:rPr>
          <w:bCs/>
          <w:sz w:val="24"/>
        </w:rPr>
      </w:pPr>
      <w:r w:rsidRPr="002B55CF">
        <w:rPr>
          <w:b/>
          <w:bCs/>
          <w:sz w:val="24"/>
        </w:rPr>
        <w:t>Esti</w:t>
      </w:r>
      <w:r w:rsidR="00D17FC0">
        <w:rPr>
          <w:b/>
          <w:bCs/>
          <w:sz w:val="24"/>
        </w:rPr>
        <w:t xml:space="preserve">mated Average Annual </w:t>
      </w:r>
      <w:r w:rsidRPr="002B55CF">
        <w:rPr>
          <w:b/>
          <w:bCs/>
          <w:sz w:val="24"/>
        </w:rPr>
        <w:t>Cost</w:t>
      </w:r>
      <w:r w:rsidR="0088323C">
        <w:rPr>
          <w:b/>
          <w:bCs/>
          <w:sz w:val="24"/>
        </w:rPr>
        <w:t xml:space="preserve"> (Operation</w:t>
      </w:r>
      <w:r w:rsidR="005E1455">
        <w:rPr>
          <w:b/>
          <w:bCs/>
          <w:sz w:val="24"/>
        </w:rPr>
        <w:t xml:space="preserve"> and Maintenance)</w:t>
      </w:r>
      <w:r w:rsidRPr="002B55CF">
        <w:rPr>
          <w:b/>
          <w:bCs/>
          <w:sz w:val="24"/>
        </w:rPr>
        <w:t xml:space="preserve"> to Respondents:  </w:t>
      </w:r>
      <w:r w:rsidRPr="002B55CF">
        <w:rPr>
          <w:bCs/>
          <w:sz w:val="24"/>
        </w:rPr>
        <w:t>$</w:t>
      </w:r>
      <w:r w:rsidR="00595386">
        <w:rPr>
          <w:bCs/>
          <w:sz w:val="24"/>
        </w:rPr>
        <w:t>39.</w:t>
      </w:r>
      <w:r w:rsidR="00747AB1">
        <w:rPr>
          <w:bCs/>
          <w:sz w:val="24"/>
        </w:rPr>
        <w:t xml:space="preserve">37 </w:t>
      </w:r>
      <w:r w:rsidR="00595386">
        <w:rPr>
          <w:bCs/>
          <w:sz w:val="24"/>
        </w:rPr>
        <w:t>($39.</w:t>
      </w:r>
      <w:r w:rsidR="00D8093C">
        <w:rPr>
          <w:bCs/>
          <w:sz w:val="24"/>
        </w:rPr>
        <w:t>37</w:t>
      </w:r>
      <w:r w:rsidR="00595386">
        <w:rPr>
          <w:bCs/>
          <w:sz w:val="24"/>
        </w:rPr>
        <w:t xml:space="preserve"> = $</w:t>
      </w:r>
      <w:r w:rsidR="00D8093C">
        <w:rPr>
          <w:bCs/>
          <w:sz w:val="24"/>
        </w:rPr>
        <w:t>296,000</w:t>
      </w:r>
      <w:r w:rsidR="00595386">
        <w:rPr>
          <w:bCs/>
          <w:sz w:val="24"/>
        </w:rPr>
        <w:t xml:space="preserve"> ÷ </w:t>
      </w:r>
      <w:r w:rsidR="00D8093C">
        <w:rPr>
          <w:bCs/>
          <w:sz w:val="24"/>
        </w:rPr>
        <w:t>7,518</w:t>
      </w:r>
      <w:r w:rsidR="00595386">
        <w:rPr>
          <w:bCs/>
          <w:sz w:val="24"/>
        </w:rPr>
        <w:t xml:space="preserve"> carriers)</w:t>
      </w:r>
    </w:p>
    <w:p w14:paraId="7C625CE5" w14:textId="77777777" w:rsidR="007369DE" w:rsidRPr="005E4300" w:rsidRDefault="007369DE" w:rsidP="000077A0">
      <w:pPr>
        <w:widowControl/>
        <w:rPr>
          <w:b/>
          <w:sz w:val="24"/>
        </w:rPr>
      </w:pPr>
    </w:p>
    <w:p w14:paraId="6492C509" w14:textId="77777777" w:rsidR="00247AA8" w:rsidRDefault="00247AA8" w:rsidP="000077A0">
      <w:pPr>
        <w:widowControl/>
        <w:rPr>
          <w:b/>
          <w:sz w:val="24"/>
        </w:rPr>
      </w:pPr>
    </w:p>
    <w:p w14:paraId="6D9DE72C" w14:textId="77777777" w:rsidR="007369DE" w:rsidRDefault="007369DE" w:rsidP="000077A0">
      <w:pPr>
        <w:widowControl/>
        <w:rPr>
          <w:b/>
          <w:sz w:val="24"/>
        </w:rPr>
      </w:pPr>
      <w:r>
        <w:rPr>
          <w:b/>
          <w:sz w:val="24"/>
        </w:rPr>
        <w:t xml:space="preserve">Total </w:t>
      </w:r>
      <w:r w:rsidR="00247AA8">
        <w:rPr>
          <w:b/>
          <w:sz w:val="24"/>
        </w:rPr>
        <w:t xml:space="preserve">Capital and Startup Costs </w:t>
      </w:r>
      <w:r>
        <w:rPr>
          <w:b/>
          <w:sz w:val="24"/>
        </w:rPr>
        <w:t>for Both IC-1 and IC-2</w:t>
      </w:r>
      <w:r w:rsidR="00247AA8">
        <w:rPr>
          <w:b/>
          <w:sz w:val="24"/>
        </w:rPr>
        <w:t xml:space="preserve">: </w:t>
      </w:r>
      <w:r w:rsidR="00247AA8" w:rsidRPr="0096670D">
        <w:rPr>
          <w:sz w:val="24"/>
        </w:rPr>
        <w:t>$0</w:t>
      </w:r>
    </w:p>
    <w:p w14:paraId="5DBA7B51" w14:textId="77777777" w:rsidR="007369DE" w:rsidRDefault="007369DE" w:rsidP="000077A0">
      <w:pPr>
        <w:widowControl/>
        <w:rPr>
          <w:b/>
          <w:sz w:val="24"/>
        </w:rPr>
      </w:pPr>
    </w:p>
    <w:p w14:paraId="5619C7D6" w14:textId="33E51146" w:rsidR="0027272B" w:rsidRPr="0027272B" w:rsidRDefault="00247AA8" w:rsidP="000077A0">
      <w:pPr>
        <w:widowControl/>
        <w:rPr>
          <w:bCs/>
          <w:sz w:val="24"/>
        </w:rPr>
      </w:pPr>
      <w:r>
        <w:rPr>
          <w:b/>
          <w:bCs/>
          <w:sz w:val="24"/>
        </w:rPr>
        <w:t xml:space="preserve">Total </w:t>
      </w:r>
      <w:r w:rsidR="0027272B" w:rsidRPr="002B55CF">
        <w:rPr>
          <w:b/>
          <w:bCs/>
          <w:sz w:val="24"/>
        </w:rPr>
        <w:t>Estimated Average Annual Cost to Respondents</w:t>
      </w:r>
      <w:r w:rsidR="00B7012D">
        <w:rPr>
          <w:b/>
          <w:bCs/>
          <w:sz w:val="24"/>
        </w:rPr>
        <w:t xml:space="preserve">:  $499,000 </w:t>
      </w:r>
      <w:r w:rsidR="00B7012D">
        <w:rPr>
          <w:bCs/>
          <w:sz w:val="24"/>
        </w:rPr>
        <w:t xml:space="preserve">[$203,000 cost for transcribing lease agreements and vehicle exchange receipts for IC-1 + $296,000 </w:t>
      </w:r>
      <w:r w:rsidR="00B7012D">
        <w:rPr>
          <w:bCs/>
          <w:sz w:val="24"/>
        </w:rPr>
        <w:t>cost for transcribing lease agreements and vehicle exchange receipts</w:t>
      </w:r>
      <w:r w:rsidR="00B7012D">
        <w:rPr>
          <w:bCs/>
          <w:sz w:val="24"/>
        </w:rPr>
        <w:t xml:space="preserve"> for IC-2 = </w:t>
      </w:r>
      <w:r w:rsidR="0027272B" w:rsidRPr="002B55CF">
        <w:rPr>
          <w:bCs/>
          <w:sz w:val="24"/>
        </w:rPr>
        <w:t>$</w:t>
      </w:r>
      <w:r w:rsidR="00B7012D">
        <w:rPr>
          <w:bCs/>
          <w:sz w:val="24"/>
        </w:rPr>
        <w:t>499,000]</w:t>
      </w:r>
    </w:p>
    <w:p w14:paraId="441F3A07" w14:textId="77777777" w:rsidR="00A55952" w:rsidRDefault="00A55952" w:rsidP="000077A0">
      <w:pPr>
        <w:widowControl/>
        <w:rPr>
          <w:bCs/>
          <w:sz w:val="24"/>
        </w:rPr>
      </w:pPr>
    </w:p>
    <w:p w14:paraId="7D02038B" w14:textId="77777777" w:rsidR="00363985" w:rsidRPr="003E7470" w:rsidRDefault="003E7470" w:rsidP="000077A0">
      <w:pPr>
        <w:keepNext/>
        <w:widowControl/>
        <w:tabs>
          <w:tab w:val="left" w:pos="450"/>
        </w:tabs>
        <w:rPr>
          <w:b/>
          <w:bCs/>
          <w:sz w:val="24"/>
        </w:rPr>
      </w:pPr>
      <w:r w:rsidRPr="003E7470">
        <w:rPr>
          <w:b/>
          <w:bCs/>
          <w:sz w:val="24"/>
        </w:rPr>
        <w:t>14.</w:t>
      </w:r>
      <w:r w:rsidRPr="003E7470">
        <w:rPr>
          <w:bCs/>
          <w:sz w:val="24"/>
        </w:rPr>
        <w:t xml:space="preserve">  </w:t>
      </w:r>
      <w:r w:rsidR="00363985" w:rsidRPr="003E7470">
        <w:rPr>
          <w:b/>
          <w:bCs/>
          <w:sz w:val="24"/>
        </w:rPr>
        <w:t xml:space="preserve">ESTIMATE OF COST TO THE FEDERAL GOVERNMENT </w:t>
      </w:r>
    </w:p>
    <w:p w14:paraId="514EE601" w14:textId="77777777" w:rsidR="00363985" w:rsidRDefault="00363985" w:rsidP="000077A0">
      <w:pPr>
        <w:keepNext/>
        <w:widowControl/>
        <w:rPr>
          <w:sz w:val="24"/>
        </w:rPr>
      </w:pPr>
    </w:p>
    <w:p w14:paraId="5ADA8D9A" w14:textId="77777777" w:rsidR="00363985" w:rsidRDefault="00363985" w:rsidP="000077A0">
      <w:pPr>
        <w:widowControl/>
        <w:rPr>
          <w:color w:val="000000"/>
          <w:sz w:val="24"/>
        </w:rPr>
      </w:pPr>
      <w:r>
        <w:rPr>
          <w:color w:val="000000"/>
          <w:sz w:val="24"/>
        </w:rPr>
        <w:t>None.</w:t>
      </w:r>
      <w:r w:rsidR="00112F4F">
        <w:rPr>
          <w:color w:val="000000"/>
          <w:sz w:val="24"/>
        </w:rPr>
        <w:t xml:space="preserve">  </w:t>
      </w:r>
      <w:r w:rsidR="008608F0">
        <w:rPr>
          <w:color w:val="000000"/>
          <w:sz w:val="24"/>
        </w:rPr>
        <w:t xml:space="preserve">These </w:t>
      </w:r>
      <w:r w:rsidR="00A55952">
        <w:rPr>
          <w:color w:val="000000"/>
          <w:sz w:val="24"/>
        </w:rPr>
        <w:t xml:space="preserve">truck and trailer </w:t>
      </w:r>
      <w:r w:rsidR="008608F0">
        <w:rPr>
          <w:color w:val="000000"/>
          <w:sz w:val="24"/>
        </w:rPr>
        <w:t>leases are maintained by the motor carriers and are not submitted to FMCSA.</w:t>
      </w:r>
    </w:p>
    <w:p w14:paraId="0D77339A" w14:textId="77777777" w:rsidR="003E7470" w:rsidRDefault="003E7470" w:rsidP="000077A0">
      <w:pPr>
        <w:widowControl/>
        <w:rPr>
          <w:color w:val="000000"/>
          <w:sz w:val="24"/>
        </w:rPr>
      </w:pPr>
    </w:p>
    <w:p w14:paraId="31034894" w14:textId="77777777" w:rsidR="00363985" w:rsidRPr="003E7470" w:rsidRDefault="003E7470" w:rsidP="000077A0">
      <w:pPr>
        <w:keepNext/>
        <w:widowControl/>
        <w:tabs>
          <w:tab w:val="left" w:pos="-1440"/>
          <w:tab w:val="left" w:pos="-720"/>
          <w:tab w:val="left" w:pos="0"/>
          <w:tab w:val="left" w:pos="450"/>
          <w:tab w:val="left" w:pos="1440"/>
          <w:tab w:val="left" w:pos="2160"/>
          <w:tab w:val="left" w:pos="2880"/>
          <w:tab w:val="left" w:pos="3600"/>
          <w:tab w:val="left" w:pos="4320"/>
          <w:tab w:val="left" w:pos="5040"/>
          <w:tab w:val="decimal" w:pos="5760"/>
        </w:tabs>
        <w:rPr>
          <w:b/>
          <w:sz w:val="24"/>
        </w:rPr>
      </w:pPr>
      <w:r w:rsidRPr="003E7470">
        <w:rPr>
          <w:b/>
          <w:color w:val="000000"/>
          <w:sz w:val="24"/>
        </w:rPr>
        <w:lastRenderedPageBreak/>
        <w:t>15.</w:t>
      </w:r>
      <w:r w:rsidRPr="003E7470">
        <w:rPr>
          <w:color w:val="000000"/>
          <w:sz w:val="24"/>
        </w:rPr>
        <w:t xml:space="preserve">  </w:t>
      </w:r>
      <w:r w:rsidR="00363985" w:rsidRPr="003E7470">
        <w:rPr>
          <w:b/>
          <w:bCs/>
          <w:sz w:val="24"/>
        </w:rPr>
        <w:t xml:space="preserve">EXPLANATION OF PROGRAM CHANGES OR ADJUSTMENTS </w:t>
      </w:r>
    </w:p>
    <w:p w14:paraId="660420FE" w14:textId="19BACF11" w:rsidR="00363985" w:rsidRPr="00073F97" w:rsidRDefault="00363985" w:rsidP="000077A0">
      <w:pPr>
        <w:keepNext/>
        <w:widowControl/>
        <w:tabs>
          <w:tab w:val="left" w:pos="-1440"/>
          <w:tab w:val="left" w:pos="-720"/>
          <w:tab w:val="left" w:pos="0"/>
          <w:tab w:val="left" w:pos="450"/>
          <w:tab w:val="left" w:pos="1440"/>
          <w:tab w:val="left" w:pos="2160"/>
          <w:tab w:val="left" w:pos="2880"/>
          <w:tab w:val="left" w:pos="3600"/>
          <w:tab w:val="left" w:pos="4320"/>
          <w:tab w:val="left" w:pos="5040"/>
          <w:tab w:val="decimal" w:pos="5760"/>
        </w:tabs>
        <w:ind w:left="720" w:hanging="720"/>
        <w:rPr>
          <w:b/>
          <w:sz w:val="24"/>
        </w:rPr>
      </w:pPr>
    </w:p>
    <w:p w14:paraId="47729833" w14:textId="5E11D19B" w:rsidR="00305085" w:rsidRDefault="00305085" w:rsidP="000077A0">
      <w:pPr>
        <w:keepLines/>
        <w:widowControl/>
        <w:rPr>
          <w:sz w:val="24"/>
        </w:rPr>
      </w:pPr>
      <w:r w:rsidRPr="009F3A44">
        <w:rPr>
          <w:sz w:val="24"/>
        </w:rPr>
        <w:t xml:space="preserve">This </w:t>
      </w:r>
      <w:r w:rsidR="000F233A">
        <w:rPr>
          <w:sz w:val="24"/>
        </w:rPr>
        <w:t xml:space="preserve">program change </w:t>
      </w:r>
      <w:r w:rsidR="00BE4F69">
        <w:rPr>
          <w:sz w:val="24"/>
        </w:rPr>
        <w:t xml:space="preserve">increase of 608,900 estimated annual burden hours [677,000 proposed estimated </w:t>
      </w:r>
      <w:r w:rsidR="00BE4F69" w:rsidRPr="00BE4F69">
        <w:rPr>
          <w:sz w:val="24"/>
        </w:rPr>
        <w:t>annual burden hours - 68,100 currently approved estimated annual burden hours = 608,900] is due to program requirements in a final rule entitled, "Lease and Interchange of Vehicle</w:t>
      </w:r>
      <w:r w:rsidR="00BE4F69">
        <w:rPr>
          <w:sz w:val="24"/>
        </w:rPr>
        <w:t>s; Motor Carriers of Passengers.</w:t>
      </w:r>
      <w:r w:rsidR="00BE4F69" w:rsidRPr="00BE4F69">
        <w:rPr>
          <w:sz w:val="24"/>
        </w:rPr>
        <w:t>"</w:t>
      </w:r>
      <w:r w:rsidR="000F233A">
        <w:rPr>
          <w:sz w:val="24"/>
        </w:rPr>
        <w:t xml:space="preserve">  The final rule</w:t>
      </w:r>
      <w:r w:rsidRPr="009F3A44">
        <w:rPr>
          <w:sz w:val="24"/>
        </w:rPr>
        <w:t xml:space="preserve"> </w:t>
      </w:r>
      <w:r>
        <w:rPr>
          <w:sz w:val="24"/>
        </w:rPr>
        <w:t>add</w:t>
      </w:r>
      <w:r w:rsidR="000F233A">
        <w:rPr>
          <w:sz w:val="24"/>
        </w:rPr>
        <w:t>s</w:t>
      </w:r>
      <w:r>
        <w:rPr>
          <w:sz w:val="24"/>
        </w:rPr>
        <w:t xml:space="preserve"> leasing requirements for buses and motorcoaches</w:t>
      </w:r>
      <w:r w:rsidRPr="009F3A44">
        <w:rPr>
          <w:sz w:val="24"/>
        </w:rPr>
        <w:t>.</w:t>
      </w:r>
      <w:r>
        <w:rPr>
          <w:sz w:val="24"/>
        </w:rPr>
        <w:t xml:space="preserve"> These </w:t>
      </w:r>
      <w:r w:rsidR="000F233A">
        <w:rPr>
          <w:sz w:val="24"/>
        </w:rPr>
        <w:t>new</w:t>
      </w:r>
      <w:r>
        <w:rPr>
          <w:sz w:val="24"/>
        </w:rPr>
        <w:t xml:space="preserve"> regulations </w:t>
      </w:r>
      <w:r w:rsidR="000F233A">
        <w:rPr>
          <w:sz w:val="24"/>
        </w:rPr>
        <w:t xml:space="preserve">will </w:t>
      </w:r>
      <w:r>
        <w:rPr>
          <w:sz w:val="24"/>
        </w:rPr>
        <w:t xml:space="preserve">require certain for-hire motor carriers of </w:t>
      </w:r>
      <w:r w:rsidR="005B44E9">
        <w:rPr>
          <w:sz w:val="24"/>
        </w:rPr>
        <w:t>passengers</w:t>
      </w:r>
      <w:r>
        <w:rPr>
          <w:sz w:val="24"/>
        </w:rPr>
        <w:t xml:space="preserve"> to have a formal lease when leasing equipment.  They require less </w:t>
      </w:r>
      <w:r w:rsidR="00E8000F">
        <w:rPr>
          <w:sz w:val="24"/>
        </w:rPr>
        <w:t>paperwork</w:t>
      </w:r>
      <w:r>
        <w:rPr>
          <w:sz w:val="24"/>
        </w:rPr>
        <w:t xml:space="preserve"> for</w:t>
      </w:r>
      <w:r w:rsidR="00E8000F">
        <w:rPr>
          <w:sz w:val="24"/>
        </w:rPr>
        <w:t xml:space="preserve"> some</w:t>
      </w:r>
      <w:r>
        <w:rPr>
          <w:sz w:val="24"/>
        </w:rPr>
        <w:t xml:space="preserve"> leasing</w:t>
      </w:r>
      <w:r w:rsidR="00E8000F">
        <w:rPr>
          <w:sz w:val="24"/>
        </w:rPr>
        <w:t xml:space="preserve"> and interchange</w:t>
      </w:r>
      <w:r>
        <w:rPr>
          <w:sz w:val="24"/>
        </w:rPr>
        <w:t xml:space="preserve"> arrangements</w:t>
      </w:r>
      <w:r w:rsidR="00E8000F">
        <w:rPr>
          <w:sz w:val="24"/>
        </w:rPr>
        <w:t>.</w:t>
      </w:r>
    </w:p>
    <w:p w14:paraId="6CA305F1" w14:textId="77777777" w:rsidR="00BE4F69" w:rsidRDefault="00BE4F69" w:rsidP="000077A0">
      <w:pPr>
        <w:keepNext/>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b/>
          <w:bCs/>
          <w:sz w:val="24"/>
        </w:rPr>
      </w:pPr>
    </w:p>
    <w:p w14:paraId="17132A17" w14:textId="77777777" w:rsidR="00AD1AD8" w:rsidRDefault="00AD1AD8" w:rsidP="000077A0">
      <w:pPr>
        <w:keepNext/>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r>
        <w:rPr>
          <w:b/>
          <w:bCs/>
          <w:sz w:val="24"/>
        </w:rPr>
        <w:t xml:space="preserve">16.  </w:t>
      </w:r>
      <w:r w:rsidR="00380B22">
        <w:rPr>
          <w:b/>
          <w:bCs/>
          <w:sz w:val="24"/>
        </w:rPr>
        <w:t>PUBLICATION OF RESULTS OF DATA COLLECTION</w:t>
      </w:r>
      <w:r w:rsidR="00380B22">
        <w:rPr>
          <w:sz w:val="24"/>
        </w:rPr>
        <w:t>.</w:t>
      </w:r>
    </w:p>
    <w:p w14:paraId="55427C49" w14:textId="77777777" w:rsidR="00AD1AD8" w:rsidRDefault="00AD1AD8" w:rsidP="000077A0">
      <w:pPr>
        <w:keepNext/>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p>
    <w:p w14:paraId="72A6E4BE" w14:textId="77777777" w:rsidR="00AD1AD8" w:rsidRDefault="00705021" w:rsidP="000077A0">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r>
        <w:rPr>
          <w:sz w:val="24"/>
        </w:rPr>
        <w:t>The results of this ICR will not be published.</w:t>
      </w:r>
    </w:p>
    <w:p w14:paraId="07A24044" w14:textId="77777777" w:rsidR="007973EF" w:rsidRDefault="007973EF" w:rsidP="000077A0">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p>
    <w:p w14:paraId="76883243" w14:textId="77777777" w:rsidR="00AD1AD8" w:rsidRDefault="00AD1AD8" w:rsidP="000077A0">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r>
        <w:rPr>
          <w:b/>
          <w:bCs/>
          <w:sz w:val="24"/>
        </w:rPr>
        <w:t xml:space="preserve">17.  </w:t>
      </w:r>
      <w:r w:rsidR="00380B22">
        <w:rPr>
          <w:b/>
          <w:bCs/>
          <w:sz w:val="24"/>
        </w:rPr>
        <w:t>APPROVAL FOR NOT DISPLAYING THE EXPIRATION DATE FOR OMB APPROVAL</w:t>
      </w:r>
      <w:r w:rsidR="00380B22">
        <w:rPr>
          <w:sz w:val="24"/>
        </w:rPr>
        <w:t>.</w:t>
      </w:r>
    </w:p>
    <w:p w14:paraId="61FD3211" w14:textId="77777777" w:rsidR="00AD1AD8" w:rsidRDefault="00AD1AD8" w:rsidP="000077A0">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p>
    <w:p w14:paraId="4976AE96" w14:textId="77777777" w:rsidR="00AD1AD8" w:rsidRDefault="007973EF" w:rsidP="000077A0">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r>
        <w:rPr>
          <w:sz w:val="24"/>
        </w:rPr>
        <w:t>Not applicable.</w:t>
      </w:r>
    </w:p>
    <w:p w14:paraId="6914865C" w14:textId="77777777" w:rsidR="003561EB" w:rsidRDefault="003561EB" w:rsidP="000077A0">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p>
    <w:p w14:paraId="53735767" w14:textId="77777777" w:rsidR="00AD1AD8" w:rsidRDefault="00AD1AD8" w:rsidP="000077A0">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r>
        <w:rPr>
          <w:b/>
          <w:bCs/>
          <w:sz w:val="24"/>
        </w:rPr>
        <w:t xml:space="preserve">18.  </w:t>
      </w:r>
      <w:r w:rsidR="00380B22">
        <w:rPr>
          <w:b/>
          <w:bCs/>
          <w:sz w:val="24"/>
        </w:rPr>
        <w:t>EXCEPTION TO CERTIFICATION STATEMENT</w:t>
      </w:r>
      <w:r w:rsidR="00380B22">
        <w:rPr>
          <w:sz w:val="24"/>
        </w:rPr>
        <w:t>.</w:t>
      </w:r>
    </w:p>
    <w:p w14:paraId="0AECFE69" w14:textId="77777777" w:rsidR="00AD1AD8" w:rsidRDefault="00AD1AD8" w:rsidP="000077A0">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p>
    <w:p w14:paraId="40E8BC84" w14:textId="77777777" w:rsidR="00AD1AD8" w:rsidRDefault="00AD1AD8" w:rsidP="000077A0">
      <w:pPr>
        <w:pStyle w:val="BodyText"/>
        <w:widowControl/>
        <w:tabs>
          <w:tab w:val="left" w:pos="-1440"/>
          <w:tab w:val="left" w:pos="-720"/>
          <w:tab w:val="left" w:pos="0"/>
          <w:tab w:val="left" w:pos="720"/>
          <w:tab w:val="left" w:pos="1440"/>
          <w:tab w:val="left" w:pos="2160"/>
          <w:tab w:val="left" w:pos="2880"/>
          <w:tab w:val="left" w:pos="3600"/>
          <w:tab w:val="left" w:pos="4320"/>
          <w:tab w:val="left" w:pos="5040"/>
          <w:tab w:val="decimal" w:pos="5760"/>
        </w:tabs>
      </w:pPr>
      <w:r>
        <w:t>There are no exceptions to the certification statement.</w:t>
      </w:r>
    </w:p>
    <w:p w14:paraId="3B94DA89" w14:textId="77777777" w:rsidR="00AD1AD8" w:rsidRDefault="00AD1AD8" w:rsidP="000077A0">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p>
    <w:p w14:paraId="589097A7" w14:textId="77777777" w:rsidR="00C241F8" w:rsidRDefault="00C241F8" w:rsidP="000077A0">
      <w:pPr>
        <w:widowControl/>
        <w:rPr>
          <w:b/>
          <w:sz w:val="24"/>
          <w:u w:val="single"/>
        </w:rPr>
      </w:pPr>
    </w:p>
    <w:sectPr w:rsidR="00C241F8" w:rsidSect="005C5663">
      <w:footerReference w:type="even" r:id="rId9"/>
      <w:footerReference w:type="default" r:id="rId10"/>
      <w:endnotePr>
        <w:numFmt w:val="decimal"/>
      </w:endnotePr>
      <w:pgSz w:w="12240" w:h="15840"/>
      <w:pgMar w:top="1440" w:right="1440" w:bottom="1440" w:left="1440" w:header="100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17A74" w14:textId="77777777" w:rsidR="004B4D36" w:rsidRDefault="004B4D36">
      <w:r>
        <w:separator/>
      </w:r>
    </w:p>
  </w:endnote>
  <w:endnote w:type="continuationSeparator" w:id="0">
    <w:p w14:paraId="7C5DC9F0" w14:textId="77777777" w:rsidR="004B4D36" w:rsidRDefault="004B4D36">
      <w:r>
        <w:continuationSeparator/>
      </w:r>
    </w:p>
  </w:endnote>
  <w:endnote w:type="continuationNotice" w:id="1">
    <w:p w14:paraId="19E8020B" w14:textId="77777777" w:rsidR="004B4D36" w:rsidRDefault="004B4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342E5" w14:textId="77777777" w:rsidR="00AF5548" w:rsidRDefault="00AF5548" w:rsidP="00DA4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8A4C72" w14:textId="77777777" w:rsidR="00AF5548" w:rsidRDefault="00AF55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81AA5" w14:textId="77777777" w:rsidR="00AF5548" w:rsidRDefault="00AF5548" w:rsidP="00572D19">
    <w:pPr>
      <w:framePr w:wrap="around" w:vAnchor="text" w:hAnchor="margin" w:xAlign="center" w:y="1"/>
      <w:jc w:val="center"/>
      <w:rPr>
        <w:sz w:val="24"/>
      </w:rPr>
    </w:pPr>
    <w:r>
      <w:rPr>
        <w:sz w:val="24"/>
      </w:rPr>
      <w:fldChar w:fldCharType="begin"/>
    </w:r>
    <w:r>
      <w:rPr>
        <w:sz w:val="24"/>
      </w:rPr>
      <w:instrText xml:space="preserve">PAGE </w:instrText>
    </w:r>
    <w:r>
      <w:rPr>
        <w:sz w:val="24"/>
      </w:rPr>
      <w:fldChar w:fldCharType="separate"/>
    </w:r>
    <w:r w:rsidR="00BE4F69">
      <w:rPr>
        <w:noProof/>
        <w:sz w:val="24"/>
      </w:rPr>
      <w:t>18</w:t>
    </w:r>
    <w:r>
      <w:rPr>
        <w:sz w:val="24"/>
      </w:rPr>
      <w:fldChar w:fldCharType="end"/>
    </w:r>
  </w:p>
  <w:p w14:paraId="5632FF69" w14:textId="77777777" w:rsidR="00AF5548" w:rsidRDefault="00AF5548">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29C44" w14:textId="77777777" w:rsidR="004B4D36" w:rsidRDefault="004B4D36">
      <w:r>
        <w:separator/>
      </w:r>
    </w:p>
  </w:footnote>
  <w:footnote w:type="continuationSeparator" w:id="0">
    <w:p w14:paraId="6CB77260" w14:textId="77777777" w:rsidR="004B4D36" w:rsidRDefault="004B4D36">
      <w:r>
        <w:continuationSeparator/>
      </w:r>
    </w:p>
  </w:footnote>
  <w:footnote w:type="continuationNotice" w:id="1">
    <w:p w14:paraId="5BC80287" w14:textId="77777777" w:rsidR="004B4D36" w:rsidRDefault="004B4D36"/>
  </w:footnote>
  <w:footnote w:id="2">
    <w:p w14:paraId="30E7FC9E" w14:textId="2632BB97" w:rsidR="00AF5548" w:rsidRDefault="00AF5548">
      <w:pPr>
        <w:pStyle w:val="FootnoteText"/>
      </w:pPr>
      <w:r w:rsidRPr="0002265D">
        <w:rPr>
          <w:rStyle w:val="FootnoteReference"/>
          <w:vertAlign w:val="superscript"/>
        </w:rPr>
        <w:footnoteRef/>
      </w:r>
      <w:r>
        <w:t xml:space="preserve"> FMCSA’s estimated annual growth rate of 2.17 percent is similar to the BLS estimate of 2.38 percent (Employment by industry, occupation, and percent distribution, 2010 and projected 2020 484000 Truck Transportation. </w:t>
      </w:r>
      <w:hyperlink r:id="rId1" w:history="1">
        <w:r w:rsidRPr="00141A84">
          <w:rPr>
            <w:rStyle w:val="Hyperlink"/>
          </w:rPr>
          <w:t>http://www.bls.gov/emp/ep_table_109.htm</w:t>
        </w:r>
      </w:hyperlink>
      <w:r w:rsidRPr="00141A84">
        <w:t xml:space="preserve">).  </w:t>
      </w:r>
      <w:r>
        <w:t>FMCSA used the growth rate obtained from MCMIS data because it captures the dynamic nature of the industry and allows for a separate growth rate for carriers with recent activity and new entrants.</w:t>
      </w:r>
    </w:p>
  </w:footnote>
  <w:footnote w:id="3">
    <w:p w14:paraId="4ED2F843" w14:textId="77777777" w:rsidR="00AF5548" w:rsidRDefault="00AF5548" w:rsidP="00FF5105">
      <w:pPr>
        <w:pStyle w:val="FootnoteText"/>
      </w:pPr>
      <w:r w:rsidRPr="00FC4E0F">
        <w:rPr>
          <w:rStyle w:val="FootnoteReference"/>
          <w:vertAlign w:val="superscript"/>
        </w:rPr>
        <w:footnoteRef/>
      </w:r>
      <w:r w:rsidRPr="00FC4E0F">
        <w:rPr>
          <w:vertAlign w:val="superscript"/>
        </w:rPr>
        <w:t xml:space="preserve"> </w:t>
      </w:r>
      <w:r>
        <w:t>For multiple or complex lease agreements, it is assumed that such leases are already negotiated and finalized in writing. The CMV industry leasing practices differ between the trucking and busing sectors. The recently proposed rulemaking entitled, “Lease and Interchange of Vehicles: Motor Carriers of Passengers,” NPRM (78 FR 57872) (RIN 2126-AB44) dated September 20, 2013 and the related ICR contain different burden calculations based on variables such as number of leases utilized annually and the burden allocated to lessors versus lessees.</w:t>
      </w:r>
    </w:p>
  </w:footnote>
  <w:footnote w:id="4">
    <w:p w14:paraId="5478C3B2" w14:textId="77777777" w:rsidR="00A71B9F" w:rsidRDefault="00A71B9F" w:rsidP="00A71B9F">
      <w:pPr>
        <w:pStyle w:val="FootnoteText"/>
      </w:pPr>
      <w:r w:rsidRPr="00FC4E0F">
        <w:rPr>
          <w:rStyle w:val="FootnoteReference"/>
          <w:vertAlign w:val="superscript"/>
        </w:rPr>
        <w:footnoteRef/>
      </w:r>
      <w:r w:rsidRPr="00FC4E0F">
        <w:rPr>
          <w:vertAlign w:val="superscript"/>
        </w:rPr>
        <w:t xml:space="preserve"> </w:t>
      </w:r>
      <w:r>
        <w:t>See</w:t>
      </w:r>
      <w:r w:rsidRPr="0049220F">
        <w:t xml:space="preserve"> </w:t>
      </w:r>
      <w:hyperlink r:id="rId2" w:history="1">
        <w:r w:rsidRPr="004C3890">
          <w:rPr>
            <w:rStyle w:val="Hyperlink"/>
          </w:rPr>
          <w:t>http://www.buses.org/files/Foundation/Census2013.pdf</w:t>
        </w:r>
      </w:hyperlink>
      <w:r>
        <w:t xml:space="preserve">  (accessed February 13, 2015).</w:t>
      </w:r>
    </w:p>
  </w:footnote>
  <w:footnote w:id="5">
    <w:p w14:paraId="1F8E5611" w14:textId="0F97F6ED" w:rsidR="006C067E" w:rsidRDefault="006C067E" w:rsidP="006C067E">
      <w:pPr>
        <w:pStyle w:val="FootnoteText"/>
      </w:pPr>
      <w:r>
        <w:rPr>
          <w:rStyle w:val="FootnoteReference"/>
        </w:rPr>
        <w:footnoteRef/>
      </w:r>
      <w:r w:rsidR="00C259E8">
        <w:t xml:space="preserve"> Ibid, Figure 2-4, p.12.</w:t>
      </w:r>
    </w:p>
  </w:footnote>
  <w:footnote w:id="6">
    <w:p w14:paraId="388F4D36" w14:textId="77777777" w:rsidR="006B333A" w:rsidRDefault="006B333A" w:rsidP="006B333A">
      <w:pPr>
        <w:pStyle w:val="FootnoteText"/>
      </w:pPr>
      <w:r>
        <w:rPr>
          <w:rStyle w:val="FootnoteReference"/>
        </w:rPr>
        <w:footnoteRef/>
      </w:r>
      <w:r>
        <w:t xml:space="preserve"> Ibid, p.12. “Fixed-route services’ share of motorcoach service mileage increases with fleet-size category, accounting for only 10.4% of mileage for the smallest carriers to 79.5% for the largest carriers.”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F1093"/>
    <w:multiLevelType w:val="hybridMultilevel"/>
    <w:tmpl w:val="165C4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722977"/>
    <w:multiLevelType w:val="hybridMultilevel"/>
    <w:tmpl w:val="D9AE8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B3666D"/>
    <w:multiLevelType w:val="hybridMultilevel"/>
    <w:tmpl w:val="4D60D16A"/>
    <w:lvl w:ilvl="0" w:tplc="B476A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D151CE"/>
    <w:multiLevelType w:val="hybridMultilevel"/>
    <w:tmpl w:val="40CC1E02"/>
    <w:lvl w:ilvl="0" w:tplc="3B8E2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921B77"/>
    <w:multiLevelType w:val="hybridMultilevel"/>
    <w:tmpl w:val="AFB2F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3E1D21"/>
    <w:multiLevelType w:val="hybridMultilevel"/>
    <w:tmpl w:val="7764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A0CE2"/>
    <w:multiLevelType w:val="hybridMultilevel"/>
    <w:tmpl w:val="9CA28E32"/>
    <w:lvl w:ilvl="0" w:tplc="04090015">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1F4B7A"/>
    <w:multiLevelType w:val="hybridMultilevel"/>
    <w:tmpl w:val="1C229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680152"/>
    <w:multiLevelType w:val="hybridMultilevel"/>
    <w:tmpl w:val="F9F61FDC"/>
    <w:lvl w:ilvl="0" w:tplc="617C334A">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A85442E"/>
    <w:multiLevelType w:val="hybridMultilevel"/>
    <w:tmpl w:val="A0CE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0F0C21"/>
    <w:multiLevelType w:val="hybridMultilevel"/>
    <w:tmpl w:val="587CF74A"/>
    <w:lvl w:ilvl="0" w:tplc="7DBC16FE">
      <w:start w:val="14"/>
      <w:numFmt w:val="decimal"/>
      <w:lvlText w:val="%1."/>
      <w:lvlJc w:val="left"/>
      <w:pPr>
        <w:tabs>
          <w:tab w:val="num" w:pos="870"/>
        </w:tabs>
        <w:ind w:left="87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102CBB"/>
    <w:multiLevelType w:val="hybridMultilevel"/>
    <w:tmpl w:val="A6AA4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13605D"/>
    <w:multiLevelType w:val="hybridMultilevel"/>
    <w:tmpl w:val="4040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D408C8"/>
    <w:multiLevelType w:val="hybridMultilevel"/>
    <w:tmpl w:val="525C1A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53076F2"/>
    <w:multiLevelType w:val="hybridMultilevel"/>
    <w:tmpl w:val="FBBE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2"/>
  </w:num>
  <w:num w:numId="5">
    <w:abstractNumId w:val="4"/>
  </w:num>
  <w:num w:numId="6">
    <w:abstractNumId w:val="1"/>
  </w:num>
  <w:num w:numId="7">
    <w:abstractNumId w:val="9"/>
  </w:num>
  <w:num w:numId="8">
    <w:abstractNumId w:val="7"/>
  </w:num>
  <w:num w:numId="9">
    <w:abstractNumId w:val="14"/>
  </w:num>
  <w:num w:numId="10">
    <w:abstractNumId w:val="8"/>
  </w:num>
  <w:num w:numId="11">
    <w:abstractNumId w:val="6"/>
  </w:num>
  <w:num w:numId="12">
    <w:abstractNumId w:val="3"/>
  </w:num>
  <w:num w:numId="13">
    <w:abstractNumId w:val="2"/>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C9D"/>
    <w:rsid w:val="000034E9"/>
    <w:rsid w:val="000063AF"/>
    <w:rsid w:val="000077A0"/>
    <w:rsid w:val="00011F93"/>
    <w:rsid w:val="0002265D"/>
    <w:rsid w:val="00030D11"/>
    <w:rsid w:val="00030E75"/>
    <w:rsid w:val="00035C9F"/>
    <w:rsid w:val="00037518"/>
    <w:rsid w:val="00042777"/>
    <w:rsid w:val="000430FE"/>
    <w:rsid w:val="000440FA"/>
    <w:rsid w:val="000445AA"/>
    <w:rsid w:val="00044808"/>
    <w:rsid w:val="000454E5"/>
    <w:rsid w:val="00047580"/>
    <w:rsid w:val="000513EE"/>
    <w:rsid w:val="00054CC9"/>
    <w:rsid w:val="000563FB"/>
    <w:rsid w:val="00057601"/>
    <w:rsid w:val="00057CFF"/>
    <w:rsid w:val="000707D0"/>
    <w:rsid w:val="00070EAA"/>
    <w:rsid w:val="000802A1"/>
    <w:rsid w:val="00080A5D"/>
    <w:rsid w:val="00082313"/>
    <w:rsid w:val="00083BFA"/>
    <w:rsid w:val="000925D0"/>
    <w:rsid w:val="000935EA"/>
    <w:rsid w:val="000937B3"/>
    <w:rsid w:val="00095D31"/>
    <w:rsid w:val="00096988"/>
    <w:rsid w:val="000A0CEB"/>
    <w:rsid w:val="000A2E8C"/>
    <w:rsid w:val="000B5DDD"/>
    <w:rsid w:val="000C3B3C"/>
    <w:rsid w:val="000C3F7E"/>
    <w:rsid w:val="000C4B9F"/>
    <w:rsid w:val="000C6BDD"/>
    <w:rsid w:val="000D0A05"/>
    <w:rsid w:val="000D0B00"/>
    <w:rsid w:val="000D165E"/>
    <w:rsid w:val="000D2EA1"/>
    <w:rsid w:val="000D39FE"/>
    <w:rsid w:val="000E11D8"/>
    <w:rsid w:val="000E21DD"/>
    <w:rsid w:val="000E4C5D"/>
    <w:rsid w:val="000E63E2"/>
    <w:rsid w:val="000F027C"/>
    <w:rsid w:val="000F1FF6"/>
    <w:rsid w:val="000F233A"/>
    <w:rsid w:val="000F2FD4"/>
    <w:rsid w:val="000F336C"/>
    <w:rsid w:val="000F7077"/>
    <w:rsid w:val="001017A5"/>
    <w:rsid w:val="00112F4F"/>
    <w:rsid w:val="001133CC"/>
    <w:rsid w:val="00114470"/>
    <w:rsid w:val="00116609"/>
    <w:rsid w:val="0012060A"/>
    <w:rsid w:val="00120872"/>
    <w:rsid w:val="00121EC4"/>
    <w:rsid w:val="0012305F"/>
    <w:rsid w:val="00124C99"/>
    <w:rsid w:val="001257A0"/>
    <w:rsid w:val="00127BA0"/>
    <w:rsid w:val="00130CA1"/>
    <w:rsid w:val="00130F4E"/>
    <w:rsid w:val="0013314C"/>
    <w:rsid w:val="00146428"/>
    <w:rsid w:val="00147D96"/>
    <w:rsid w:val="0015125D"/>
    <w:rsid w:val="001550C5"/>
    <w:rsid w:val="0015517E"/>
    <w:rsid w:val="00161EF5"/>
    <w:rsid w:val="00161F26"/>
    <w:rsid w:val="00171C6A"/>
    <w:rsid w:val="00171E27"/>
    <w:rsid w:val="00174590"/>
    <w:rsid w:val="001765AF"/>
    <w:rsid w:val="00180A19"/>
    <w:rsid w:val="00182540"/>
    <w:rsid w:val="001828E3"/>
    <w:rsid w:val="00185AFD"/>
    <w:rsid w:val="001967B9"/>
    <w:rsid w:val="001A5631"/>
    <w:rsid w:val="001A5D32"/>
    <w:rsid w:val="001A75D4"/>
    <w:rsid w:val="001B0680"/>
    <w:rsid w:val="001B2927"/>
    <w:rsid w:val="001B33B0"/>
    <w:rsid w:val="001B3FE8"/>
    <w:rsid w:val="001B559F"/>
    <w:rsid w:val="001C1237"/>
    <w:rsid w:val="001C682A"/>
    <w:rsid w:val="001D020F"/>
    <w:rsid w:val="001D1C2E"/>
    <w:rsid w:val="001D2E0B"/>
    <w:rsid w:val="001D34DF"/>
    <w:rsid w:val="001D3F35"/>
    <w:rsid w:val="001D7E7A"/>
    <w:rsid w:val="001E604A"/>
    <w:rsid w:val="001F4D41"/>
    <w:rsid w:val="002007FF"/>
    <w:rsid w:val="00206120"/>
    <w:rsid w:val="00211682"/>
    <w:rsid w:val="00217AE3"/>
    <w:rsid w:val="00220604"/>
    <w:rsid w:val="00223ADC"/>
    <w:rsid w:val="00225406"/>
    <w:rsid w:val="00225D23"/>
    <w:rsid w:val="00226F45"/>
    <w:rsid w:val="002415CB"/>
    <w:rsid w:val="00245028"/>
    <w:rsid w:val="002472F8"/>
    <w:rsid w:val="002476F4"/>
    <w:rsid w:val="00247AA8"/>
    <w:rsid w:val="00247D22"/>
    <w:rsid w:val="002529F6"/>
    <w:rsid w:val="00254E7E"/>
    <w:rsid w:val="002560B2"/>
    <w:rsid w:val="002645DB"/>
    <w:rsid w:val="00271712"/>
    <w:rsid w:val="0027208F"/>
    <w:rsid w:val="0027272B"/>
    <w:rsid w:val="00272EC2"/>
    <w:rsid w:val="002766A2"/>
    <w:rsid w:val="00281936"/>
    <w:rsid w:val="0028272A"/>
    <w:rsid w:val="00282CBE"/>
    <w:rsid w:val="0028423F"/>
    <w:rsid w:val="00284FA0"/>
    <w:rsid w:val="0029056F"/>
    <w:rsid w:val="00290FA1"/>
    <w:rsid w:val="00295046"/>
    <w:rsid w:val="00296EF1"/>
    <w:rsid w:val="002A0CCD"/>
    <w:rsid w:val="002A3C53"/>
    <w:rsid w:val="002A4E6F"/>
    <w:rsid w:val="002A4F49"/>
    <w:rsid w:val="002A58BB"/>
    <w:rsid w:val="002B3114"/>
    <w:rsid w:val="002B422E"/>
    <w:rsid w:val="002B55CF"/>
    <w:rsid w:val="002B68CA"/>
    <w:rsid w:val="002B6914"/>
    <w:rsid w:val="002B745C"/>
    <w:rsid w:val="002C1AA2"/>
    <w:rsid w:val="002C388C"/>
    <w:rsid w:val="002C3CFB"/>
    <w:rsid w:val="002C7233"/>
    <w:rsid w:val="002D074B"/>
    <w:rsid w:val="002D1994"/>
    <w:rsid w:val="002D2327"/>
    <w:rsid w:val="002D4B3F"/>
    <w:rsid w:val="002D786C"/>
    <w:rsid w:val="002E2F50"/>
    <w:rsid w:val="002E6638"/>
    <w:rsid w:val="002F10ED"/>
    <w:rsid w:val="002F126F"/>
    <w:rsid w:val="002F6CAD"/>
    <w:rsid w:val="003001D7"/>
    <w:rsid w:val="00300611"/>
    <w:rsid w:val="00301A04"/>
    <w:rsid w:val="00305085"/>
    <w:rsid w:val="0030654C"/>
    <w:rsid w:val="00307029"/>
    <w:rsid w:val="00307E37"/>
    <w:rsid w:val="003136A7"/>
    <w:rsid w:val="0031502E"/>
    <w:rsid w:val="003160F4"/>
    <w:rsid w:val="00320B1E"/>
    <w:rsid w:val="00320DB0"/>
    <w:rsid w:val="0032120B"/>
    <w:rsid w:val="003217A8"/>
    <w:rsid w:val="0032440C"/>
    <w:rsid w:val="0032785A"/>
    <w:rsid w:val="003313C5"/>
    <w:rsid w:val="0033307C"/>
    <w:rsid w:val="00333492"/>
    <w:rsid w:val="00334101"/>
    <w:rsid w:val="00334F7C"/>
    <w:rsid w:val="00341F9B"/>
    <w:rsid w:val="0034286E"/>
    <w:rsid w:val="0034542D"/>
    <w:rsid w:val="003457AA"/>
    <w:rsid w:val="003475D9"/>
    <w:rsid w:val="00351203"/>
    <w:rsid w:val="003514B7"/>
    <w:rsid w:val="00352551"/>
    <w:rsid w:val="00353099"/>
    <w:rsid w:val="003544A2"/>
    <w:rsid w:val="00354750"/>
    <w:rsid w:val="00354F94"/>
    <w:rsid w:val="003561EB"/>
    <w:rsid w:val="00356DE1"/>
    <w:rsid w:val="00361C38"/>
    <w:rsid w:val="00363985"/>
    <w:rsid w:val="00376989"/>
    <w:rsid w:val="00377037"/>
    <w:rsid w:val="00380614"/>
    <w:rsid w:val="00380B22"/>
    <w:rsid w:val="00380E13"/>
    <w:rsid w:val="00382A1D"/>
    <w:rsid w:val="00383EA3"/>
    <w:rsid w:val="0038429F"/>
    <w:rsid w:val="003842D0"/>
    <w:rsid w:val="00384ADE"/>
    <w:rsid w:val="00385E44"/>
    <w:rsid w:val="00387FDF"/>
    <w:rsid w:val="00391B42"/>
    <w:rsid w:val="00391D20"/>
    <w:rsid w:val="0039230C"/>
    <w:rsid w:val="003937C4"/>
    <w:rsid w:val="003A7564"/>
    <w:rsid w:val="003B2FE6"/>
    <w:rsid w:val="003C0C09"/>
    <w:rsid w:val="003D02F7"/>
    <w:rsid w:val="003E22E3"/>
    <w:rsid w:val="003E2949"/>
    <w:rsid w:val="003E6B57"/>
    <w:rsid w:val="003E6BA7"/>
    <w:rsid w:val="003E7470"/>
    <w:rsid w:val="003E797E"/>
    <w:rsid w:val="003F1EF8"/>
    <w:rsid w:val="003F2752"/>
    <w:rsid w:val="003F35CA"/>
    <w:rsid w:val="003F3ACE"/>
    <w:rsid w:val="003F5233"/>
    <w:rsid w:val="003F7B97"/>
    <w:rsid w:val="004037DF"/>
    <w:rsid w:val="0040489D"/>
    <w:rsid w:val="00413342"/>
    <w:rsid w:val="00417288"/>
    <w:rsid w:val="004229A7"/>
    <w:rsid w:val="004236BB"/>
    <w:rsid w:val="00425DA8"/>
    <w:rsid w:val="00436976"/>
    <w:rsid w:val="00440041"/>
    <w:rsid w:val="00443372"/>
    <w:rsid w:val="00454054"/>
    <w:rsid w:val="004574B2"/>
    <w:rsid w:val="00457669"/>
    <w:rsid w:val="0046005C"/>
    <w:rsid w:val="004627D6"/>
    <w:rsid w:val="004713B5"/>
    <w:rsid w:val="0047182F"/>
    <w:rsid w:val="0047787E"/>
    <w:rsid w:val="004778F9"/>
    <w:rsid w:val="00481D3D"/>
    <w:rsid w:val="00482BF6"/>
    <w:rsid w:val="004831F5"/>
    <w:rsid w:val="004832A3"/>
    <w:rsid w:val="00483E54"/>
    <w:rsid w:val="00487502"/>
    <w:rsid w:val="00487B10"/>
    <w:rsid w:val="00491082"/>
    <w:rsid w:val="0049388F"/>
    <w:rsid w:val="00494497"/>
    <w:rsid w:val="004A1762"/>
    <w:rsid w:val="004A1A2E"/>
    <w:rsid w:val="004A2C99"/>
    <w:rsid w:val="004A35F0"/>
    <w:rsid w:val="004A57E1"/>
    <w:rsid w:val="004B0015"/>
    <w:rsid w:val="004B1208"/>
    <w:rsid w:val="004B364B"/>
    <w:rsid w:val="004B3FE2"/>
    <w:rsid w:val="004B4D36"/>
    <w:rsid w:val="004C010F"/>
    <w:rsid w:val="004C5888"/>
    <w:rsid w:val="004C63F8"/>
    <w:rsid w:val="004D1068"/>
    <w:rsid w:val="004D29D9"/>
    <w:rsid w:val="004D40D9"/>
    <w:rsid w:val="004D4A5A"/>
    <w:rsid w:val="004D568F"/>
    <w:rsid w:val="004E23EB"/>
    <w:rsid w:val="004E2B73"/>
    <w:rsid w:val="004E4298"/>
    <w:rsid w:val="004F0AEC"/>
    <w:rsid w:val="004F7E74"/>
    <w:rsid w:val="00500C92"/>
    <w:rsid w:val="005033CB"/>
    <w:rsid w:val="00506E9F"/>
    <w:rsid w:val="005105A3"/>
    <w:rsid w:val="00510C48"/>
    <w:rsid w:val="00511B66"/>
    <w:rsid w:val="0051602C"/>
    <w:rsid w:val="00516EF4"/>
    <w:rsid w:val="005176BD"/>
    <w:rsid w:val="00517D76"/>
    <w:rsid w:val="00522BEE"/>
    <w:rsid w:val="005237DC"/>
    <w:rsid w:val="005251CD"/>
    <w:rsid w:val="00531620"/>
    <w:rsid w:val="00532480"/>
    <w:rsid w:val="00536B00"/>
    <w:rsid w:val="00540ACC"/>
    <w:rsid w:val="00540E68"/>
    <w:rsid w:val="005412B4"/>
    <w:rsid w:val="00545B88"/>
    <w:rsid w:val="00551A2F"/>
    <w:rsid w:val="00564C66"/>
    <w:rsid w:val="0056702F"/>
    <w:rsid w:val="005703C5"/>
    <w:rsid w:val="0057222C"/>
    <w:rsid w:val="00572D19"/>
    <w:rsid w:val="00581001"/>
    <w:rsid w:val="005815FC"/>
    <w:rsid w:val="00581B99"/>
    <w:rsid w:val="00581DB5"/>
    <w:rsid w:val="0058237E"/>
    <w:rsid w:val="00586890"/>
    <w:rsid w:val="005943F0"/>
    <w:rsid w:val="00595386"/>
    <w:rsid w:val="00595A75"/>
    <w:rsid w:val="00596A6D"/>
    <w:rsid w:val="005A000E"/>
    <w:rsid w:val="005A29E8"/>
    <w:rsid w:val="005A7024"/>
    <w:rsid w:val="005A7457"/>
    <w:rsid w:val="005A7DC4"/>
    <w:rsid w:val="005B34AB"/>
    <w:rsid w:val="005B44E9"/>
    <w:rsid w:val="005B7C24"/>
    <w:rsid w:val="005C07F0"/>
    <w:rsid w:val="005C1977"/>
    <w:rsid w:val="005C4824"/>
    <w:rsid w:val="005C4C1F"/>
    <w:rsid w:val="005C55EE"/>
    <w:rsid w:val="005C5663"/>
    <w:rsid w:val="005D146A"/>
    <w:rsid w:val="005D29BA"/>
    <w:rsid w:val="005D4BF0"/>
    <w:rsid w:val="005D5256"/>
    <w:rsid w:val="005D6B2F"/>
    <w:rsid w:val="005E1455"/>
    <w:rsid w:val="005E42FD"/>
    <w:rsid w:val="005E444A"/>
    <w:rsid w:val="005E45B6"/>
    <w:rsid w:val="005F2C78"/>
    <w:rsid w:val="005F3582"/>
    <w:rsid w:val="005F3A06"/>
    <w:rsid w:val="005F4769"/>
    <w:rsid w:val="005F5A3A"/>
    <w:rsid w:val="006042F6"/>
    <w:rsid w:val="00607BAA"/>
    <w:rsid w:val="00625FD2"/>
    <w:rsid w:val="0062656D"/>
    <w:rsid w:val="006301C9"/>
    <w:rsid w:val="00635220"/>
    <w:rsid w:val="006366F3"/>
    <w:rsid w:val="00640A67"/>
    <w:rsid w:val="00642CD6"/>
    <w:rsid w:val="00646416"/>
    <w:rsid w:val="00647101"/>
    <w:rsid w:val="00650D7B"/>
    <w:rsid w:val="00655E97"/>
    <w:rsid w:val="00656BCB"/>
    <w:rsid w:val="00657115"/>
    <w:rsid w:val="00660274"/>
    <w:rsid w:val="00661617"/>
    <w:rsid w:val="00661C9D"/>
    <w:rsid w:val="0067124F"/>
    <w:rsid w:val="006731A4"/>
    <w:rsid w:val="00673FC4"/>
    <w:rsid w:val="00683065"/>
    <w:rsid w:val="006837F4"/>
    <w:rsid w:val="006921EB"/>
    <w:rsid w:val="00693197"/>
    <w:rsid w:val="00693AB4"/>
    <w:rsid w:val="00695C3D"/>
    <w:rsid w:val="006A1543"/>
    <w:rsid w:val="006A1AE6"/>
    <w:rsid w:val="006B0E00"/>
    <w:rsid w:val="006B29EF"/>
    <w:rsid w:val="006B333A"/>
    <w:rsid w:val="006B5A3D"/>
    <w:rsid w:val="006B5EF7"/>
    <w:rsid w:val="006B65FE"/>
    <w:rsid w:val="006B7B1A"/>
    <w:rsid w:val="006C067E"/>
    <w:rsid w:val="006C49FA"/>
    <w:rsid w:val="006C647C"/>
    <w:rsid w:val="006C6640"/>
    <w:rsid w:val="006C6AE9"/>
    <w:rsid w:val="006C6CC4"/>
    <w:rsid w:val="006C6E59"/>
    <w:rsid w:val="006C78F5"/>
    <w:rsid w:val="006D1DBA"/>
    <w:rsid w:val="006D1F90"/>
    <w:rsid w:val="006D20D6"/>
    <w:rsid w:val="006D46EC"/>
    <w:rsid w:val="006D480B"/>
    <w:rsid w:val="006D4EE5"/>
    <w:rsid w:val="006D5D39"/>
    <w:rsid w:val="006E1394"/>
    <w:rsid w:val="006E2D00"/>
    <w:rsid w:val="006F4F10"/>
    <w:rsid w:val="00702AE6"/>
    <w:rsid w:val="00704533"/>
    <w:rsid w:val="00705021"/>
    <w:rsid w:val="00705608"/>
    <w:rsid w:val="00706815"/>
    <w:rsid w:val="00710746"/>
    <w:rsid w:val="00711089"/>
    <w:rsid w:val="007117C2"/>
    <w:rsid w:val="007117D9"/>
    <w:rsid w:val="00712A8D"/>
    <w:rsid w:val="0071401E"/>
    <w:rsid w:val="00720ADF"/>
    <w:rsid w:val="00722850"/>
    <w:rsid w:val="007236D1"/>
    <w:rsid w:val="00723E0A"/>
    <w:rsid w:val="00730284"/>
    <w:rsid w:val="00733B7C"/>
    <w:rsid w:val="00734283"/>
    <w:rsid w:val="007363DC"/>
    <w:rsid w:val="007369DE"/>
    <w:rsid w:val="00740A6F"/>
    <w:rsid w:val="007452FC"/>
    <w:rsid w:val="00747AB1"/>
    <w:rsid w:val="007534EE"/>
    <w:rsid w:val="00753684"/>
    <w:rsid w:val="00754874"/>
    <w:rsid w:val="00754C55"/>
    <w:rsid w:val="00760DD3"/>
    <w:rsid w:val="00762AE9"/>
    <w:rsid w:val="00763BE5"/>
    <w:rsid w:val="00766582"/>
    <w:rsid w:val="00770B39"/>
    <w:rsid w:val="00780F98"/>
    <w:rsid w:val="00783368"/>
    <w:rsid w:val="007835F8"/>
    <w:rsid w:val="00783FFA"/>
    <w:rsid w:val="0078797A"/>
    <w:rsid w:val="00787D91"/>
    <w:rsid w:val="00791115"/>
    <w:rsid w:val="00793027"/>
    <w:rsid w:val="00793EB6"/>
    <w:rsid w:val="00794BF0"/>
    <w:rsid w:val="007954D1"/>
    <w:rsid w:val="00796D7A"/>
    <w:rsid w:val="007973EF"/>
    <w:rsid w:val="007A7772"/>
    <w:rsid w:val="007B1865"/>
    <w:rsid w:val="007B3582"/>
    <w:rsid w:val="007B4092"/>
    <w:rsid w:val="007B4612"/>
    <w:rsid w:val="007B6438"/>
    <w:rsid w:val="007B6F94"/>
    <w:rsid w:val="007C634D"/>
    <w:rsid w:val="007D08C0"/>
    <w:rsid w:val="007D44EE"/>
    <w:rsid w:val="007D61BB"/>
    <w:rsid w:val="007D7382"/>
    <w:rsid w:val="007E06AF"/>
    <w:rsid w:val="007E5413"/>
    <w:rsid w:val="007F0F52"/>
    <w:rsid w:val="007F10F2"/>
    <w:rsid w:val="007F1501"/>
    <w:rsid w:val="007F1860"/>
    <w:rsid w:val="007F595E"/>
    <w:rsid w:val="00804B26"/>
    <w:rsid w:val="008074C7"/>
    <w:rsid w:val="008110E2"/>
    <w:rsid w:val="0081126A"/>
    <w:rsid w:val="00812E05"/>
    <w:rsid w:val="00813D60"/>
    <w:rsid w:val="0081672D"/>
    <w:rsid w:val="00817F6A"/>
    <w:rsid w:val="00822A15"/>
    <w:rsid w:val="00830269"/>
    <w:rsid w:val="00832838"/>
    <w:rsid w:val="00832943"/>
    <w:rsid w:val="00833715"/>
    <w:rsid w:val="008351CD"/>
    <w:rsid w:val="00841206"/>
    <w:rsid w:val="00841A77"/>
    <w:rsid w:val="00842756"/>
    <w:rsid w:val="00842CE3"/>
    <w:rsid w:val="008446CC"/>
    <w:rsid w:val="00846813"/>
    <w:rsid w:val="00847CE7"/>
    <w:rsid w:val="008521C9"/>
    <w:rsid w:val="00852EC7"/>
    <w:rsid w:val="008574F8"/>
    <w:rsid w:val="008604D4"/>
    <w:rsid w:val="008608F0"/>
    <w:rsid w:val="008610B7"/>
    <w:rsid w:val="00863DAC"/>
    <w:rsid w:val="00870C36"/>
    <w:rsid w:val="008730AD"/>
    <w:rsid w:val="00877548"/>
    <w:rsid w:val="00883232"/>
    <w:rsid w:val="0088323C"/>
    <w:rsid w:val="008832A9"/>
    <w:rsid w:val="008833A3"/>
    <w:rsid w:val="008837EF"/>
    <w:rsid w:val="00883F7C"/>
    <w:rsid w:val="00884E97"/>
    <w:rsid w:val="00885E4E"/>
    <w:rsid w:val="0089447C"/>
    <w:rsid w:val="00894E0F"/>
    <w:rsid w:val="008977A3"/>
    <w:rsid w:val="00897C92"/>
    <w:rsid w:val="008A33F5"/>
    <w:rsid w:val="008A42D5"/>
    <w:rsid w:val="008A5242"/>
    <w:rsid w:val="008B2D53"/>
    <w:rsid w:val="008B643E"/>
    <w:rsid w:val="008B7707"/>
    <w:rsid w:val="008C06D9"/>
    <w:rsid w:val="008C22BA"/>
    <w:rsid w:val="008C4F68"/>
    <w:rsid w:val="008C7874"/>
    <w:rsid w:val="008D0CD7"/>
    <w:rsid w:val="008D0EFD"/>
    <w:rsid w:val="008D1FF1"/>
    <w:rsid w:val="008D2100"/>
    <w:rsid w:val="008D26DA"/>
    <w:rsid w:val="008D3049"/>
    <w:rsid w:val="008D52FB"/>
    <w:rsid w:val="008D5A83"/>
    <w:rsid w:val="008D61D0"/>
    <w:rsid w:val="008D697A"/>
    <w:rsid w:val="008D7CA9"/>
    <w:rsid w:val="008E1DB8"/>
    <w:rsid w:val="008E3CF5"/>
    <w:rsid w:val="008E46CB"/>
    <w:rsid w:val="008E7EEA"/>
    <w:rsid w:val="008F2410"/>
    <w:rsid w:val="008F356C"/>
    <w:rsid w:val="008F3A3D"/>
    <w:rsid w:val="008F43B4"/>
    <w:rsid w:val="008F5247"/>
    <w:rsid w:val="008F6D92"/>
    <w:rsid w:val="00902E30"/>
    <w:rsid w:val="00913A28"/>
    <w:rsid w:val="00915A66"/>
    <w:rsid w:val="00921270"/>
    <w:rsid w:val="00923EA5"/>
    <w:rsid w:val="00925C98"/>
    <w:rsid w:val="0092600D"/>
    <w:rsid w:val="00926052"/>
    <w:rsid w:val="0093016C"/>
    <w:rsid w:val="009330AB"/>
    <w:rsid w:val="00934826"/>
    <w:rsid w:val="00935069"/>
    <w:rsid w:val="00942E59"/>
    <w:rsid w:val="0094536A"/>
    <w:rsid w:val="009463E9"/>
    <w:rsid w:val="00951124"/>
    <w:rsid w:val="00951324"/>
    <w:rsid w:val="00956861"/>
    <w:rsid w:val="0096385A"/>
    <w:rsid w:val="00965493"/>
    <w:rsid w:val="0096670D"/>
    <w:rsid w:val="009700B2"/>
    <w:rsid w:val="0097062D"/>
    <w:rsid w:val="00973839"/>
    <w:rsid w:val="009761C4"/>
    <w:rsid w:val="0097657A"/>
    <w:rsid w:val="00980156"/>
    <w:rsid w:val="00982CA9"/>
    <w:rsid w:val="00984636"/>
    <w:rsid w:val="00985B7A"/>
    <w:rsid w:val="00986730"/>
    <w:rsid w:val="0099606C"/>
    <w:rsid w:val="009960E4"/>
    <w:rsid w:val="009A2686"/>
    <w:rsid w:val="009A2D1F"/>
    <w:rsid w:val="009A59DE"/>
    <w:rsid w:val="009B0BE9"/>
    <w:rsid w:val="009C02D9"/>
    <w:rsid w:val="009C297E"/>
    <w:rsid w:val="009C3AAF"/>
    <w:rsid w:val="009C547C"/>
    <w:rsid w:val="009C60CD"/>
    <w:rsid w:val="009D00DA"/>
    <w:rsid w:val="009D6716"/>
    <w:rsid w:val="009D68E7"/>
    <w:rsid w:val="009D755E"/>
    <w:rsid w:val="009E09B5"/>
    <w:rsid w:val="009F0208"/>
    <w:rsid w:val="009F0B79"/>
    <w:rsid w:val="009F2AF3"/>
    <w:rsid w:val="009F59D1"/>
    <w:rsid w:val="009F6DFA"/>
    <w:rsid w:val="00A0024C"/>
    <w:rsid w:val="00A01087"/>
    <w:rsid w:val="00A07026"/>
    <w:rsid w:val="00A10F70"/>
    <w:rsid w:val="00A115B2"/>
    <w:rsid w:val="00A11A72"/>
    <w:rsid w:val="00A2136F"/>
    <w:rsid w:val="00A22F30"/>
    <w:rsid w:val="00A26C16"/>
    <w:rsid w:val="00A27E7A"/>
    <w:rsid w:val="00A33BCA"/>
    <w:rsid w:val="00A34A19"/>
    <w:rsid w:val="00A43508"/>
    <w:rsid w:val="00A43BE0"/>
    <w:rsid w:val="00A55952"/>
    <w:rsid w:val="00A56020"/>
    <w:rsid w:val="00A62A89"/>
    <w:rsid w:val="00A633B8"/>
    <w:rsid w:val="00A6356B"/>
    <w:rsid w:val="00A63756"/>
    <w:rsid w:val="00A655DC"/>
    <w:rsid w:val="00A71B9F"/>
    <w:rsid w:val="00A74498"/>
    <w:rsid w:val="00A768D0"/>
    <w:rsid w:val="00A77631"/>
    <w:rsid w:val="00A83932"/>
    <w:rsid w:val="00A85C4A"/>
    <w:rsid w:val="00A867A4"/>
    <w:rsid w:val="00A91FB9"/>
    <w:rsid w:val="00A93A87"/>
    <w:rsid w:val="00A95003"/>
    <w:rsid w:val="00A951B7"/>
    <w:rsid w:val="00A96AFE"/>
    <w:rsid w:val="00A97051"/>
    <w:rsid w:val="00A979AC"/>
    <w:rsid w:val="00AA1A61"/>
    <w:rsid w:val="00AA326E"/>
    <w:rsid w:val="00AA4E38"/>
    <w:rsid w:val="00AB1877"/>
    <w:rsid w:val="00AB31FE"/>
    <w:rsid w:val="00AB5265"/>
    <w:rsid w:val="00AC11E5"/>
    <w:rsid w:val="00AC2E64"/>
    <w:rsid w:val="00AC65D5"/>
    <w:rsid w:val="00AC7124"/>
    <w:rsid w:val="00AC7E95"/>
    <w:rsid w:val="00AD027E"/>
    <w:rsid w:val="00AD1AD8"/>
    <w:rsid w:val="00AD72E4"/>
    <w:rsid w:val="00AE127B"/>
    <w:rsid w:val="00AE1970"/>
    <w:rsid w:val="00AE1B88"/>
    <w:rsid w:val="00AE2044"/>
    <w:rsid w:val="00AE21F9"/>
    <w:rsid w:val="00AE21FF"/>
    <w:rsid w:val="00AF54E5"/>
    <w:rsid w:val="00AF5548"/>
    <w:rsid w:val="00AF57FD"/>
    <w:rsid w:val="00AF7742"/>
    <w:rsid w:val="00B00EF1"/>
    <w:rsid w:val="00B02291"/>
    <w:rsid w:val="00B02A78"/>
    <w:rsid w:val="00B066BC"/>
    <w:rsid w:val="00B10722"/>
    <w:rsid w:val="00B11063"/>
    <w:rsid w:val="00B11186"/>
    <w:rsid w:val="00B114CD"/>
    <w:rsid w:val="00B13176"/>
    <w:rsid w:val="00B13410"/>
    <w:rsid w:val="00B15CF5"/>
    <w:rsid w:val="00B15E92"/>
    <w:rsid w:val="00B223A5"/>
    <w:rsid w:val="00B32B07"/>
    <w:rsid w:val="00B45A3A"/>
    <w:rsid w:val="00B47158"/>
    <w:rsid w:val="00B517B6"/>
    <w:rsid w:val="00B5197E"/>
    <w:rsid w:val="00B54AD7"/>
    <w:rsid w:val="00B56271"/>
    <w:rsid w:val="00B61BBD"/>
    <w:rsid w:val="00B628BD"/>
    <w:rsid w:val="00B66556"/>
    <w:rsid w:val="00B665D0"/>
    <w:rsid w:val="00B67438"/>
    <w:rsid w:val="00B7012D"/>
    <w:rsid w:val="00B7031C"/>
    <w:rsid w:val="00B71AC5"/>
    <w:rsid w:val="00B71E87"/>
    <w:rsid w:val="00B731F7"/>
    <w:rsid w:val="00B763C5"/>
    <w:rsid w:val="00B7674A"/>
    <w:rsid w:val="00B8057A"/>
    <w:rsid w:val="00B82222"/>
    <w:rsid w:val="00B82EFA"/>
    <w:rsid w:val="00B8335F"/>
    <w:rsid w:val="00B8400F"/>
    <w:rsid w:val="00B9070E"/>
    <w:rsid w:val="00B90A0F"/>
    <w:rsid w:val="00B95892"/>
    <w:rsid w:val="00B96121"/>
    <w:rsid w:val="00B96BC8"/>
    <w:rsid w:val="00B9791F"/>
    <w:rsid w:val="00B97F97"/>
    <w:rsid w:val="00BA1852"/>
    <w:rsid w:val="00BA414D"/>
    <w:rsid w:val="00BB153C"/>
    <w:rsid w:val="00BB2878"/>
    <w:rsid w:val="00BB54DE"/>
    <w:rsid w:val="00BB6396"/>
    <w:rsid w:val="00BC03B5"/>
    <w:rsid w:val="00BC3977"/>
    <w:rsid w:val="00BD0C5A"/>
    <w:rsid w:val="00BD218F"/>
    <w:rsid w:val="00BD2E4C"/>
    <w:rsid w:val="00BD403F"/>
    <w:rsid w:val="00BD640D"/>
    <w:rsid w:val="00BE3C66"/>
    <w:rsid w:val="00BE4F69"/>
    <w:rsid w:val="00BE5E58"/>
    <w:rsid w:val="00BF03D4"/>
    <w:rsid w:val="00BF3591"/>
    <w:rsid w:val="00BF421D"/>
    <w:rsid w:val="00BF5493"/>
    <w:rsid w:val="00BF5B28"/>
    <w:rsid w:val="00BF71CC"/>
    <w:rsid w:val="00BF7317"/>
    <w:rsid w:val="00BF74A8"/>
    <w:rsid w:val="00C029B5"/>
    <w:rsid w:val="00C03785"/>
    <w:rsid w:val="00C10B12"/>
    <w:rsid w:val="00C1797D"/>
    <w:rsid w:val="00C21197"/>
    <w:rsid w:val="00C2135E"/>
    <w:rsid w:val="00C2249A"/>
    <w:rsid w:val="00C241F8"/>
    <w:rsid w:val="00C259E8"/>
    <w:rsid w:val="00C25A8F"/>
    <w:rsid w:val="00C3105B"/>
    <w:rsid w:val="00C3598A"/>
    <w:rsid w:val="00C40193"/>
    <w:rsid w:val="00C42310"/>
    <w:rsid w:val="00C42A22"/>
    <w:rsid w:val="00C54D67"/>
    <w:rsid w:val="00C55A25"/>
    <w:rsid w:val="00C57C44"/>
    <w:rsid w:val="00C61D52"/>
    <w:rsid w:val="00C6356C"/>
    <w:rsid w:val="00C658E6"/>
    <w:rsid w:val="00C66F75"/>
    <w:rsid w:val="00C6719E"/>
    <w:rsid w:val="00C72289"/>
    <w:rsid w:val="00C7550B"/>
    <w:rsid w:val="00C8070F"/>
    <w:rsid w:val="00C81B4B"/>
    <w:rsid w:val="00C828C7"/>
    <w:rsid w:val="00C851AD"/>
    <w:rsid w:val="00C8523F"/>
    <w:rsid w:val="00C8583E"/>
    <w:rsid w:val="00C86B9B"/>
    <w:rsid w:val="00C90C0F"/>
    <w:rsid w:val="00C90F5E"/>
    <w:rsid w:val="00C910FC"/>
    <w:rsid w:val="00C936B2"/>
    <w:rsid w:val="00C95578"/>
    <w:rsid w:val="00C96B0E"/>
    <w:rsid w:val="00C9738A"/>
    <w:rsid w:val="00CA596E"/>
    <w:rsid w:val="00CB2146"/>
    <w:rsid w:val="00CB2D3A"/>
    <w:rsid w:val="00CB31CD"/>
    <w:rsid w:val="00CB34CC"/>
    <w:rsid w:val="00CB6D5A"/>
    <w:rsid w:val="00CC0430"/>
    <w:rsid w:val="00CC68A2"/>
    <w:rsid w:val="00CD0567"/>
    <w:rsid w:val="00CD0C65"/>
    <w:rsid w:val="00CD22DB"/>
    <w:rsid w:val="00CD48F1"/>
    <w:rsid w:val="00CD5372"/>
    <w:rsid w:val="00CD7F13"/>
    <w:rsid w:val="00CE046E"/>
    <w:rsid w:val="00CE2B3A"/>
    <w:rsid w:val="00CE7228"/>
    <w:rsid w:val="00CF4414"/>
    <w:rsid w:val="00CF60F0"/>
    <w:rsid w:val="00CF7EC7"/>
    <w:rsid w:val="00D00829"/>
    <w:rsid w:val="00D0283D"/>
    <w:rsid w:val="00D02B53"/>
    <w:rsid w:val="00D129FB"/>
    <w:rsid w:val="00D167BC"/>
    <w:rsid w:val="00D17785"/>
    <w:rsid w:val="00D17FC0"/>
    <w:rsid w:val="00D2019F"/>
    <w:rsid w:val="00D20CF7"/>
    <w:rsid w:val="00D2153A"/>
    <w:rsid w:val="00D22389"/>
    <w:rsid w:val="00D2260B"/>
    <w:rsid w:val="00D232F2"/>
    <w:rsid w:val="00D33E1F"/>
    <w:rsid w:val="00D37528"/>
    <w:rsid w:val="00D41629"/>
    <w:rsid w:val="00D4574C"/>
    <w:rsid w:val="00D52905"/>
    <w:rsid w:val="00D61E81"/>
    <w:rsid w:val="00D61EB1"/>
    <w:rsid w:val="00D65CFB"/>
    <w:rsid w:val="00D66A1F"/>
    <w:rsid w:val="00D679FF"/>
    <w:rsid w:val="00D72B5F"/>
    <w:rsid w:val="00D75EA3"/>
    <w:rsid w:val="00D8093C"/>
    <w:rsid w:val="00D82974"/>
    <w:rsid w:val="00D832A5"/>
    <w:rsid w:val="00D83684"/>
    <w:rsid w:val="00D83C9C"/>
    <w:rsid w:val="00D87AAF"/>
    <w:rsid w:val="00D966A6"/>
    <w:rsid w:val="00D9770A"/>
    <w:rsid w:val="00DA44A5"/>
    <w:rsid w:val="00DA49AE"/>
    <w:rsid w:val="00DA74C5"/>
    <w:rsid w:val="00DB192E"/>
    <w:rsid w:val="00DB218E"/>
    <w:rsid w:val="00DB2732"/>
    <w:rsid w:val="00DC7E3E"/>
    <w:rsid w:val="00DC7FC7"/>
    <w:rsid w:val="00DD0156"/>
    <w:rsid w:val="00DD1FC2"/>
    <w:rsid w:val="00DD4E0F"/>
    <w:rsid w:val="00DE32E7"/>
    <w:rsid w:val="00DE628E"/>
    <w:rsid w:val="00DF25D9"/>
    <w:rsid w:val="00DF3679"/>
    <w:rsid w:val="00DF5475"/>
    <w:rsid w:val="00DF5F25"/>
    <w:rsid w:val="00DF7072"/>
    <w:rsid w:val="00E04EC4"/>
    <w:rsid w:val="00E060C5"/>
    <w:rsid w:val="00E116D7"/>
    <w:rsid w:val="00E126FF"/>
    <w:rsid w:val="00E13482"/>
    <w:rsid w:val="00E155AC"/>
    <w:rsid w:val="00E15DFD"/>
    <w:rsid w:val="00E174ED"/>
    <w:rsid w:val="00E30DCD"/>
    <w:rsid w:val="00E32809"/>
    <w:rsid w:val="00E330F0"/>
    <w:rsid w:val="00E33E4E"/>
    <w:rsid w:val="00E3695E"/>
    <w:rsid w:val="00E370B5"/>
    <w:rsid w:val="00E42740"/>
    <w:rsid w:val="00E432C9"/>
    <w:rsid w:val="00E4379B"/>
    <w:rsid w:val="00E45772"/>
    <w:rsid w:val="00E46246"/>
    <w:rsid w:val="00E46A45"/>
    <w:rsid w:val="00E51230"/>
    <w:rsid w:val="00E5190A"/>
    <w:rsid w:val="00E5201D"/>
    <w:rsid w:val="00E55E9C"/>
    <w:rsid w:val="00E621E8"/>
    <w:rsid w:val="00E624FE"/>
    <w:rsid w:val="00E649D4"/>
    <w:rsid w:val="00E64ABB"/>
    <w:rsid w:val="00E6629B"/>
    <w:rsid w:val="00E67757"/>
    <w:rsid w:val="00E7068E"/>
    <w:rsid w:val="00E8000F"/>
    <w:rsid w:val="00E8072C"/>
    <w:rsid w:val="00E8086D"/>
    <w:rsid w:val="00E81011"/>
    <w:rsid w:val="00E8451E"/>
    <w:rsid w:val="00E866FC"/>
    <w:rsid w:val="00E87265"/>
    <w:rsid w:val="00EA0C92"/>
    <w:rsid w:val="00EA1C7C"/>
    <w:rsid w:val="00EA6085"/>
    <w:rsid w:val="00EB1469"/>
    <w:rsid w:val="00EB1E09"/>
    <w:rsid w:val="00EB3837"/>
    <w:rsid w:val="00EB4FE5"/>
    <w:rsid w:val="00EC0406"/>
    <w:rsid w:val="00EC2082"/>
    <w:rsid w:val="00ED0BEE"/>
    <w:rsid w:val="00ED23AC"/>
    <w:rsid w:val="00ED240F"/>
    <w:rsid w:val="00ED622E"/>
    <w:rsid w:val="00EE577B"/>
    <w:rsid w:val="00F009B2"/>
    <w:rsid w:val="00F01991"/>
    <w:rsid w:val="00F03D3E"/>
    <w:rsid w:val="00F0498D"/>
    <w:rsid w:val="00F10A60"/>
    <w:rsid w:val="00F2164E"/>
    <w:rsid w:val="00F21A9D"/>
    <w:rsid w:val="00F254BC"/>
    <w:rsid w:val="00F26283"/>
    <w:rsid w:val="00F31857"/>
    <w:rsid w:val="00F37682"/>
    <w:rsid w:val="00F402F5"/>
    <w:rsid w:val="00F510D8"/>
    <w:rsid w:val="00F54F9B"/>
    <w:rsid w:val="00F556E8"/>
    <w:rsid w:val="00F615F3"/>
    <w:rsid w:val="00F62DE7"/>
    <w:rsid w:val="00F679B9"/>
    <w:rsid w:val="00F7048D"/>
    <w:rsid w:val="00F73FFE"/>
    <w:rsid w:val="00F773AF"/>
    <w:rsid w:val="00F8077E"/>
    <w:rsid w:val="00F82954"/>
    <w:rsid w:val="00F8357E"/>
    <w:rsid w:val="00F864C5"/>
    <w:rsid w:val="00F86922"/>
    <w:rsid w:val="00F87C3E"/>
    <w:rsid w:val="00F87E81"/>
    <w:rsid w:val="00F91395"/>
    <w:rsid w:val="00F928CB"/>
    <w:rsid w:val="00FA20FF"/>
    <w:rsid w:val="00FB269C"/>
    <w:rsid w:val="00FB5041"/>
    <w:rsid w:val="00FB6191"/>
    <w:rsid w:val="00FB63B8"/>
    <w:rsid w:val="00FB664A"/>
    <w:rsid w:val="00FB711C"/>
    <w:rsid w:val="00FC03DD"/>
    <w:rsid w:val="00FC1C09"/>
    <w:rsid w:val="00FC56C5"/>
    <w:rsid w:val="00FC596F"/>
    <w:rsid w:val="00FD02EF"/>
    <w:rsid w:val="00FD1E6D"/>
    <w:rsid w:val="00FD5D3E"/>
    <w:rsid w:val="00FD5F16"/>
    <w:rsid w:val="00FD7D7F"/>
    <w:rsid w:val="00FE3636"/>
    <w:rsid w:val="00FF08ED"/>
    <w:rsid w:val="00FF4DE2"/>
    <w:rsid w:val="00FF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A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475"/>
    <w:pPr>
      <w:widowControl w:val="0"/>
      <w:autoSpaceDE w:val="0"/>
      <w:autoSpaceDN w:val="0"/>
      <w:adjustRightInd w:val="0"/>
    </w:pPr>
    <w:rPr>
      <w:szCs w:val="24"/>
    </w:rPr>
  </w:style>
  <w:style w:type="paragraph" w:styleId="Heading1">
    <w:name w:val="heading 1"/>
    <w:basedOn w:val="Normal"/>
    <w:next w:val="Normal"/>
    <w:qFormat/>
    <w:rsid w:val="00734283"/>
    <w:pPr>
      <w:keepNext/>
      <w:tabs>
        <w:tab w:val="left" w:pos="-1440"/>
        <w:tab w:val="left" w:pos="-720"/>
        <w:tab w:val="left" w:pos="0"/>
        <w:tab w:val="left" w:pos="720"/>
        <w:tab w:val="left" w:pos="1440"/>
        <w:tab w:val="left" w:pos="2160"/>
        <w:tab w:val="left" w:pos="2880"/>
        <w:tab w:val="left" w:pos="3600"/>
        <w:tab w:val="left" w:pos="4320"/>
        <w:tab w:val="left" w:pos="5040"/>
        <w:tab w:val="decimal" w:pos="5760"/>
      </w:tabs>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34283"/>
  </w:style>
  <w:style w:type="paragraph" w:styleId="Title">
    <w:name w:val="Title"/>
    <w:basedOn w:val="Normal"/>
    <w:qFormat/>
    <w:rsid w:val="00734283"/>
    <w:pPr>
      <w:spacing w:line="300" w:lineRule="auto"/>
      <w:jc w:val="center"/>
    </w:pPr>
    <w:rPr>
      <w:b/>
      <w:bCs/>
      <w:sz w:val="24"/>
    </w:rPr>
  </w:style>
  <w:style w:type="character" w:styleId="Hyperlink">
    <w:name w:val="Hyperlink"/>
    <w:basedOn w:val="DefaultParagraphFont"/>
    <w:rsid w:val="00734283"/>
    <w:rPr>
      <w:color w:val="0000FF"/>
      <w:u w:val="single"/>
    </w:rPr>
  </w:style>
  <w:style w:type="paragraph" w:styleId="BodyText">
    <w:name w:val="Body Text"/>
    <w:basedOn w:val="Normal"/>
    <w:rsid w:val="00734283"/>
    <w:rPr>
      <w:sz w:val="24"/>
    </w:rPr>
  </w:style>
  <w:style w:type="paragraph" w:styleId="BodyText2">
    <w:name w:val="Body Text 2"/>
    <w:basedOn w:val="Normal"/>
    <w:rsid w:val="00734283"/>
    <w:pPr>
      <w:tabs>
        <w:tab w:val="left" w:pos="-1440"/>
        <w:tab w:val="left" w:pos="-720"/>
        <w:tab w:val="left" w:pos="0"/>
        <w:tab w:val="left" w:pos="720"/>
        <w:tab w:val="left" w:pos="1440"/>
        <w:tab w:val="left" w:pos="2160"/>
        <w:tab w:val="left" w:pos="2880"/>
        <w:tab w:val="left" w:pos="3600"/>
        <w:tab w:val="left" w:pos="4320"/>
        <w:tab w:val="left" w:pos="5040"/>
        <w:tab w:val="decimal" w:pos="5760"/>
      </w:tabs>
    </w:pPr>
    <w:rPr>
      <w:color w:val="000000"/>
      <w:sz w:val="24"/>
    </w:rPr>
  </w:style>
  <w:style w:type="paragraph" w:styleId="BalloonText">
    <w:name w:val="Balloon Text"/>
    <w:basedOn w:val="Normal"/>
    <w:semiHidden/>
    <w:rsid w:val="00661C9D"/>
    <w:rPr>
      <w:rFonts w:ascii="Tahoma" w:hAnsi="Tahoma" w:cs="Tahoma"/>
      <w:sz w:val="16"/>
      <w:szCs w:val="16"/>
    </w:rPr>
  </w:style>
  <w:style w:type="paragraph" w:styleId="FootnoteText">
    <w:name w:val="footnote text"/>
    <w:basedOn w:val="Normal"/>
    <w:link w:val="FootnoteTextChar"/>
    <w:uiPriority w:val="99"/>
    <w:rsid w:val="000925D0"/>
    <w:rPr>
      <w:szCs w:val="20"/>
    </w:rPr>
  </w:style>
  <w:style w:type="paragraph" w:styleId="Header">
    <w:name w:val="header"/>
    <w:basedOn w:val="Normal"/>
    <w:rsid w:val="00E155AC"/>
    <w:pPr>
      <w:tabs>
        <w:tab w:val="center" w:pos="4320"/>
        <w:tab w:val="right" w:pos="8640"/>
      </w:tabs>
    </w:pPr>
  </w:style>
  <w:style w:type="paragraph" w:styleId="Footer">
    <w:name w:val="footer"/>
    <w:basedOn w:val="Normal"/>
    <w:rsid w:val="00E155AC"/>
    <w:pPr>
      <w:tabs>
        <w:tab w:val="center" w:pos="4320"/>
        <w:tab w:val="right" w:pos="8640"/>
      </w:tabs>
    </w:pPr>
  </w:style>
  <w:style w:type="table" w:styleId="TableGrid">
    <w:name w:val="Table Grid"/>
    <w:basedOn w:val="TableNormal"/>
    <w:rsid w:val="009738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A2D1F"/>
    <w:rPr>
      <w:sz w:val="16"/>
      <w:szCs w:val="16"/>
    </w:rPr>
  </w:style>
  <w:style w:type="paragraph" w:styleId="CommentText">
    <w:name w:val="annotation text"/>
    <w:basedOn w:val="Normal"/>
    <w:link w:val="CommentTextChar"/>
    <w:rsid w:val="009A2D1F"/>
    <w:rPr>
      <w:szCs w:val="20"/>
    </w:rPr>
  </w:style>
  <w:style w:type="paragraph" w:styleId="CommentSubject">
    <w:name w:val="annotation subject"/>
    <w:basedOn w:val="CommentText"/>
    <w:next w:val="CommentText"/>
    <w:semiHidden/>
    <w:rsid w:val="009A2D1F"/>
    <w:rPr>
      <w:b/>
      <w:bCs/>
    </w:rPr>
  </w:style>
  <w:style w:type="paragraph" w:styleId="NormalWeb">
    <w:name w:val="Normal (Web)"/>
    <w:basedOn w:val="Normal"/>
    <w:rsid w:val="00057CFF"/>
    <w:pPr>
      <w:widowControl/>
      <w:autoSpaceDE/>
      <w:autoSpaceDN/>
      <w:adjustRightInd/>
      <w:spacing w:after="216" w:line="336" w:lineRule="atLeast"/>
    </w:pPr>
    <w:rPr>
      <w:sz w:val="24"/>
    </w:rPr>
  </w:style>
  <w:style w:type="character" w:styleId="PageNumber">
    <w:name w:val="page number"/>
    <w:basedOn w:val="DefaultParagraphFont"/>
    <w:rsid w:val="00572D19"/>
  </w:style>
  <w:style w:type="paragraph" w:customStyle="1" w:styleId="1AutoList39">
    <w:name w:val="1AutoList39"/>
    <w:rsid w:val="00E3695E"/>
    <w:pPr>
      <w:widowControl w:val="0"/>
      <w:autoSpaceDE w:val="0"/>
      <w:autoSpaceDN w:val="0"/>
      <w:adjustRightInd w:val="0"/>
    </w:pPr>
    <w:rPr>
      <w:sz w:val="24"/>
      <w:szCs w:val="24"/>
    </w:rPr>
  </w:style>
  <w:style w:type="character" w:customStyle="1" w:styleId="CommentTextChar">
    <w:name w:val="Comment Text Char"/>
    <w:basedOn w:val="DefaultParagraphFont"/>
    <w:link w:val="CommentText"/>
    <w:rsid w:val="00ED240F"/>
  </w:style>
  <w:style w:type="paragraph" w:styleId="ListParagraph">
    <w:name w:val="List Paragraph"/>
    <w:basedOn w:val="Normal"/>
    <w:qFormat/>
    <w:rsid w:val="00833715"/>
    <w:pPr>
      <w:ind w:left="720"/>
      <w:contextualSpacing/>
    </w:pPr>
  </w:style>
  <w:style w:type="character" w:customStyle="1" w:styleId="FootnoteTextChar">
    <w:name w:val="Footnote Text Char"/>
    <w:basedOn w:val="DefaultParagraphFont"/>
    <w:link w:val="FootnoteText"/>
    <w:uiPriority w:val="99"/>
    <w:rsid w:val="00A559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475"/>
    <w:pPr>
      <w:widowControl w:val="0"/>
      <w:autoSpaceDE w:val="0"/>
      <w:autoSpaceDN w:val="0"/>
      <w:adjustRightInd w:val="0"/>
    </w:pPr>
    <w:rPr>
      <w:szCs w:val="24"/>
    </w:rPr>
  </w:style>
  <w:style w:type="paragraph" w:styleId="Heading1">
    <w:name w:val="heading 1"/>
    <w:basedOn w:val="Normal"/>
    <w:next w:val="Normal"/>
    <w:qFormat/>
    <w:rsid w:val="00734283"/>
    <w:pPr>
      <w:keepNext/>
      <w:tabs>
        <w:tab w:val="left" w:pos="-1440"/>
        <w:tab w:val="left" w:pos="-720"/>
        <w:tab w:val="left" w:pos="0"/>
        <w:tab w:val="left" w:pos="720"/>
        <w:tab w:val="left" w:pos="1440"/>
        <w:tab w:val="left" w:pos="2160"/>
        <w:tab w:val="left" w:pos="2880"/>
        <w:tab w:val="left" w:pos="3600"/>
        <w:tab w:val="left" w:pos="4320"/>
        <w:tab w:val="left" w:pos="5040"/>
        <w:tab w:val="decimal" w:pos="5760"/>
      </w:tabs>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34283"/>
  </w:style>
  <w:style w:type="paragraph" w:styleId="Title">
    <w:name w:val="Title"/>
    <w:basedOn w:val="Normal"/>
    <w:qFormat/>
    <w:rsid w:val="00734283"/>
    <w:pPr>
      <w:spacing w:line="300" w:lineRule="auto"/>
      <w:jc w:val="center"/>
    </w:pPr>
    <w:rPr>
      <w:b/>
      <w:bCs/>
      <w:sz w:val="24"/>
    </w:rPr>
  </w:style>
  <w:style w:type="character" w:styleId="Hyperlink">
    <w:name w:val="Hyperlink"/>
    <w:basedOn w:val="DefaultParagraphFont"/>
    <w:rsid w:val="00734283"/>
    <w:rPr>
      <w:color w:val="0000FF"/>
      <w:u w:val="single"/>
    </w:rPr>
  </w:style>
  <w:style w:type="paragraph" w:styleId="BodyText">
    <w:name w:val="Body Text"/>
    <w:basedOn w:val="Normal"/>
    <w:rsid w:val="00734283"/>
    <w:rPr>
      <w:sz w:val="24"/>
    </w:rPr>
  </w:style>
  <w:style w:type="paragraph" w:styleId="BodyText2">
    <w:name w:val="Body Text 2"/>
    <w:basedOn w:val="Normal"/>
    <w:rsid w:val="00734283"/>
    <w:pPr>
      <w:tabs>
        <w:tab w:val="left" w:pos="-1440"/>
        <w:tab w:val="left" w:pos="-720"/>
        <w:tab w:val="left" w:pos="0"/>
        <w:tab w:val="left" w:pos="720"/>
        <w:tab w:val="left" w:pos="1440"/>
        <w:tab w:val="left" w:pos="2160"/>
        <w:tab w:val="left" w:pos="2880"/>
        <w:tab w:val="left" w:pos="3600"/>
        <w:tab w:val="left" w:pos="4320"/>
        <w:tab w:val="left" w:pos="5040"/>
        <w:tab w:val="decimal" w:pos="5760"/>
      </w:tabs>
    </w:pPr>
    <w:rPr>
      <w:color w:val="000000"/>
      <w:sz w:val="24"/>
    </w:rPr>
  </w:style>
  <w:style w:type="paragraph" w:styleId="BalloonText">
    <w:name w:val="Balloon Text"/>
    <w:basedOn w:val="Normal"/>
    <w:semiHidden/>
    <w:rsid w:val="00661C9D"/>
    <w:rPr>
      <w:rFonts w:ascii="Tahoma" w:hAnsi="Tahoma" w:cs="Tahoma"/>
      <w:sz w:val="16"/>
      <w:szCs w:val="16"/>
    </w:rPr>
  </w:style>
  <w:style w:type="paragraph" w:styleId="FootnoteText">
    <w:name w:val="footnote text"/>
    <w:basedOn w:val="Normal"/>
    <w:link w:val="FootnoteTextChar"/>
    <w:uiPriority w:val="99"/>
    <w:rsid w:val="000925D0"/>
    <w:rPr>
      <w:szCs w:val="20"/>
    </w:rPr>
  </w:style>
  <w:style w:type="paragraph" w:styleId="Header">
    <w:name w:val="header"/>
    <w:basedOn w:val="Normal"/>
    <w:rsid w:val="00E155AC"/>
    <w:pPr>
      <w:tabs>
        <w:tab w:val="center" w:pos="4320"/>
        <w:tab w:val="right" w:pos="8640"/>
      </w:tabs>
    </w:pPr>
  </w:style>
  <w:style w:type="paragraph" w:styleId="Footer">
    <w:name w:val="footer"/>
    <w:basedOn w:val="Normal"/>
    <w:rsid w:val="00E155AC"/>
    <w:pPr>
      <w:tabs>
        <w:tab w:val="center" w:pos="4320"/>
        <w:tab w:val="right" w:pos="8640"/>
      </w:tabs>
    </w:pPr>
  </w:style>
  <w:style w:type="table" w:styleId="TableGrid">
    <w:name w:val="Table Grid"/>
    <w:basedOn w:val="TableNormal"/>
    <w:rsid w:val="009738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A2D1F"/>
    <w:rPr>
      <w:sz w:val="16"/>
      <w:szCs w:val="16"/>
    </w:rPr>
  </w:style>
  <w:style w:type="paragraph" w:styleId="CommentText">
    <w:name w:val="annotation text"/>
    <w:basedOn w:val="Normal"/>
    <w:link w:val="CommentTextChar"/>
    <w:rsid w:val="009A2D1F"/>
    <w:rPr>
      <w:szCs w:val="20"/>
    </w:rPr>
  </w:style>
  <w:style w:type="paragraph" w:styleId="CommentSubject">
    <w:name w:val="annotation subject"/>
    <w:basedOn w:val="CommentText"/>
    <w:next w:val="CommentText"/>
    <w:semiHidden/>
    <w:rsid w:val="009A2D1F"/>
    <w:rPr>
      <w:b/>
      <w:bCs/>
    </w:rPr>
  </w:style>
  <w:style w:type="paragraph" w:styleId="NormalWeb">
    <w:name w:val="Normal (Web)"/>
    <w:basedOn w:val="Normal"/>
    <w:rsid w:val="00057CFF"/>
    <w:pPr>
      <w:widowControl/>
      <w:autoSpaceDE/>
      <w:autoSpaceDN/>
      <w:adjustRightInd/>
      <w:spacing w:after="216" w:line="336" w:lineRule="atLeast"/>
    </w:pPr>
    <w:rPr>
      <w:sz w:val="24"/>
    </w:rPr>
  </w:style>
  <w:style w:type="character" w:styleId="PageNumber">
    <w:name w:val="page number"/>
    <w:basedOn w:val="DefaultParagraphFont"/>
    <w:rsid w:val="00572D19"/>
  </w:style>
  <w:style w:type="paragraph" w:customStyle="1" w:styleId="1AutoList39">
    <w:name w:val="1AutoList39"/>
    <w:rsid w:val="00E3695E"/>
    <w:pPr>
      <w:widowControl w:val="0"/>
      <w:autoSpaceDE w:val="0"/>
      <w:autoSpaceDN w:val="0"/>
      <w:adjustRightInd w:val="0"/>
    </w:pPr>
    <w:rPr>
      <w:sz w:val="24"/>
      <w:szCs w:val="24"/>
    </w:rPr>
  </w:style>
  <w:style w:type="character" w:customStyle="1" w:styleId="CommentTextChar">
    <w:name w:val="Comment Text Char"/>
    <w:basedOn w:val="DefaultParagraphFont"/>
    <w:link w:val="CommentText"/>
    <w:rsid w:val="00ED240F"/>
  </w:style>
  <w:style w:type="paragraph" w:styleId="ListParagraph">
    <w:name w:val="List Paragraph"/>
    <w:basedOn w:val="Normal"/>
    <w:qFormat/>
    <w:rsid w:val="00833715"/>
    <w:pPr>
      <w:ind w:left="720"/>
      <w:contextualSpacing/>
    </w:pPr>
  </w:style>
  <w:style w:type="character" w:customStyle="1" w:styleId="FootnoteTextChar">
    <w:name w:val="Footnote Text Char"/>
    <w:basedOn w:val="DefaultParagraphFont"/>
    <w:link w:val="FootnoteText"/>
    <w:uiPriority w:val="99"/>
    <w:rsid w:val="00A55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2213">
      <w:bodyDiv w:val="1"/>
      <w:marLeft w:val="0"/>
      <w:marRight w:val="0"/>
      <w:marTop w:val="0"/>
      <w:marBottom w:val="0"/>
      <w:divBdr>
        <w:top w:val="none" w:sz="0" w:space="0" w:color="auto"/>
        <w:left w:val="none" w:sz="0" w:space="0" w:color="auto"/>
        <w:bottom w:val="none" w:sz="0" w:space="0" w:color="auto"/>
        <w:right w:val="none" w:sz="0" w:space="0" w:color="auto"/>
      </w:divBdr>
      <w:divsChild>
        <w:div w:id="186869033">
          <w:marLeft w:val="0"/>
          <w:marRight w:val="0"/>
          <w:marTop w:val="0"/>
          <w:marBottom w:val="75"/>
          <w:divBdr>
            <w:top w:val="none" w:sz="0" w:space="0" w:color="auto"/>
            <w:left w:val="single" w:sz="6" w:space="0" w:color="CCCCCC"/>
            <w:bottom w:val="single" w:sz="6" w:space="2" w:color="CCCCCC"/>
            <w:right w:val="single" w:sz="6" w:space="0" w:color="CCCCCC"/>
          </w:divBdr>
          <w:divsChild>
            <w:div w:id="1797672899">
              <w:marLeft w:val="2550"/>
              <w:marRight w:val="225"/>
              <w:marTop w:val="225"/>
              <w:marBottom w:val="450"/>
              <w:divBdr>
                <w:top w:val="none" w:sz="0" w:space="0" w:color="auto"/>
                <w:left w:val="none" w:sz="0" w:space="0" w:color="auto"/>
                <w:bottom w:val="none" w:sz="0" w:space="0" w:color="auto"/>
                <w:right w:val="none" w:sz="0" w:space="0" w:color="auto"/>
              </w:divBdr>
            </w:div>
          </w:divsChild>
        </w:div>
      </w:divsChild>
    </w:div>
    <w:div w:id="421073389">
      <w:bodyDiv w:val="1"/>
      <w:marLeft w:val="0"/>
      <w:marRight w:val="0"/>
      <w:marTop w:val="0"/>
      <w:marBottom w:val="0"/>
      <w:divBdr>
        <w:top w:val="none" w:sz="0" w:space="0" w:color="auto"/>
        <w:left w:val="none" w:sz="0" w:space="0" w:color="auto"/>
        <w:bottom w:val="none" w:sz="0" w:space="0" w:color="auto"/>
        <w:right w:val="none" w:sz="0" w:space="0" w:color="auto"/>
      </w:divBdr>
    </w:div>
    <w:div w:id="698429048">
      <w:bodyDiv w:val="1"/>
      <w:marLeft w:val="0"/>
      <w:marRight w:val="0"/>
      <w:marTop w:val="0"/>
      <w:marBottom w:val="0"/>
      <w:divBdr>
        <w:top w:val="none" w:sz="0" w:space="0" w:color="auto"/>
        <w:left w:val="none" w:sz="0" w:space="0" w:color="auto"/>
        <w:bottom w:val="none" w:sz="0" w:space="0" w:color="auto"/>
        <w:right w:val="none" w:sz="0" w:space="0" w:color="auto"/>
      </w:divBdr>
    </w:div>
    <w:div w:id="905530327">
      <w:bodyDiv w:val="1"/>
      <w:marLeft w:val="0"/>
      <w:marRight w:val="0"/>
      <w:marTop w:val="0"/>
      <w:marBottom w:val="0"/>
      <w:divBdr>
        <w:top w:val="none" w:sz="0" w:space="0" w:color="auto"/>
        <w:left w:val="none" w:sz="0" w:space="0" w:color="auto"/>
        <w:bottom w:val="none" w:sz="0" w:space="0" w:color="auto"/>
        <w:right w:val="none" w:sz="0" w:space="0" w:color="auto"/>
      </w:divBdr>
    </w:div>
    <w:div w:id="931477115">
      <w:bodyDiv w:val="1"/>
      <w:marLeft w:val="0"/>
      <w:marRight w:val="0"/>
      <w:marTop w:val="0"/>
      <w:marBottom w:val="0"/>
      <w:divBdr>
        <w:top w:val="none" w:sz="0" w:space="0" w:color="auto"/>
        <w:left w:val="none" w:sz="0" w:space="0" w:color="auto"/>
        <w:bottom w:val="none" w:sz="0" w:space="0" w:color="auto"/>
        <w:right w:val="none" w:sz="0" w:space="0" w:color="auto"/>
      </w:divBdr>
    </w:div>
    <w:div w:id="1124153919">
      <w:bodyDiv w:val="1"/>
      <w:marLeft w:val="0"/>
      <w:marRight w:val="0"/>
      <w:marTop w:val="0"/>
      <w:marBottom w:val="0"/>
      <w:divBdr>
        <w:top w:val="none" w:sz="0" w:space="0" w:color="auto"/>
        <w:left w:val="none" w:sz="0" w:space="0" w:color="auto"/>
        <w:bottom w:val="none" w:sz="0" w:space="0" w:color="auto"/>
        <w:right w:val="none" w:sz="0" w:space="0" w:color="auto"/>
      </w:divBdr>
    </w:div>
    <w:div w:id="1469585381">
      <w:bodyDiv w:val="1"/>
      <w:marLeft w:val="0"/>
      <w:marRight w:val="0"/>
      <w:marTop w:val="0"/>
      <w:marBottom w:val="0"/>
      <w:divBdr>
        <w:top w:val="none" w:sz="0" w:space="0" w:color="auto"/>
        <w:left w:val="none" w:sz="0" w:space="0" w:color="auto"/>
        <w:bottom w:val="none" w:sz="0" w:space="0" w:color="auto"/>
        <w:right w:val="none" w:sz="0" w:space="0" w:color="auto"/>
      </w:divBdr>
    </w:div>
    <w:div w:id="1529752821">
      <w:bodyDiv w:val="1"/>
      <w:marLeft w:val="0"/>
      <w:marRight w:val="0"/>
      <w:marTop w:val="0"/>
      <w:marBottom w:val="0"/>
      <w:divBdr>
        <w:top w:val="none" w:sz="0" w:space="0" w:color="auto"/>
        <w:left w:val="none" w:sz="0" w:space="0" w:color="auto"/>
        <w:bottom w:val="none" w:sz="0" w:space="0" w:color="auto"/>
        <w:right w:val="none" w:sz="0" w:space="0" w:color="auto"/>
      </w:divBdr>
    </w:div>
    <w:div w:id="1708797317">
      <w:bodyDiv w:val="1"/>
      <w:marLeft w:val="0"/>
      <w:marRight w:val="0"/>
      <w:marTop w:val="0"/>
      <w:marBottom w:val="0"/>
      <w:divBdr>
        <w:top w:val="none" w:sz="0" w:space="0" w:color="auto"/>
        <w:left w:val="none" w:sz="0" w:space="0" w:color="auto"/>
        <w:bottom w:val="none" w:sz="0" w:space="0" w:color="auto"/>
        <w:right w:val="none" w:sz="0" w:space="0" w:color="auto"/>
      </w:divBdr>
    </w:div>
    <w:div w:id="1739744506">
      <w:bodyDiv w:val="1"/>
      <w:marLeft w:val="0"/>
      <w:marRight w:val="0"/>
      <w:marTop w:val="0"/>
      <w:marBottom w:val="0"/>
      <w:divBdr>
        <w:top w:val="none" w:sz="0" w:space="0" w:color="auto"/>
        <w:left w:val="none" w:sz="0" w:space="0" w:color="auto"/>
        <w:bottom w:val="none" w:sz="0" w:space="0" w:color="auto"/>
        <w:right w:val="none" w:sz="0" w:space="0" w:color="auto"/>
      </w:divBdr>
    </w:div>
    <w:div w:id="1777022455">
      <w:bodyDiv w:val="1"/>
      <w:marLeft w:val="0"/>
      <w:marRight w:val="0"/>
      <w:marTop w:val="0"/>
      <w:marBottom w:val="0"/>
      <w:divBdr>
        <w:top w:val="none" w:sz="0" w:space="0" w:color="auto"/>
        <w:left w:val="none" w:sz="0" w:space="0" w:color="auto"/>
        <w:bottom w:val="none" w:sz="0" w:space="0" w:color="auto"/>
        <w:right w:val="none" w:sz="0" w:space="0" w:color="auto"/>
      </w:divBdr>
    </w:div>
    <w:div w:id="1777795662">
      <w:bodyDiv w:val="1"/>
      <w:marLeft w:val="0"/>
      <w:marRight w:val="0"/>
      <w:marTop w:val="0"/>
      <w:marBottom w:val="0"/>
      <w:divBdr>
        <w:top w:val="none" w:sz="0" w:space="0" w:color="auto"/>
        <w:left w:val="none" w:sz="0" w:space="0" w:color="auto"/>
        <w:bottom w:val="none" w:sz="0" w:space="0" w:color="auto"/>
        <w:right w:val="none" w:sz="0" w:space="0" w:color="auto"/>
      </w:divBdr>
    </w:div>
    <w:div w:id="178067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buses.org/files/Foundation/Census2013.pdf" TargetMode="External"/><Relationship Id="rId1" Type="http://schemas.openxmlformats.org/officeDocument/2006/relationships/hyperlink" Target="http://www.bls.gov/emp/ep_table_10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1E872-3673-46D2-89F9-7ED39F86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7166</Words>
  <Characters>39697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mcs</Company>
  <LinksUpToDate>false</LinksUpToDate>
  <CharactersWithSpaces>46770</CharactersWithSpaces>
  <SharedDoc>false</SharedDoc>
  <HLinks>
    <vt:vector size="6" baseType="variant">
      <vt:variant>
        <vt:i4>2228341</vt:i4>
      </vt:variant>
      <vt:variant>
        <vt:i4>0</vt:i4>
      </vt:variant>
      <vt:variant>
        <vt:i4>0</vt:i4>
      </vt:variant>
      <vt:variant>
        <vt:i4>5</vt:i4>
      </vt:variant>
      <vt:variant>
        <vt:lpwstr>http://www.fmcsa.dot.gov/factsfigs/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fmcsa</dc:creator>
  <cp:lastModifiedBy>herman.dogan</cp:lastModifiedBy>
  <cp:revision>2</cp:revision>
  <cp:lastPrinted>2015-05-27T17:50:00Z</cp:lastPrinted>
  <dcterms:created xsi:type="dcterms:W3CDTF">2015-05-27T18:13:00Z</dcterms:created>
  <dcterms:modified xsi:type="dcterms:W3CDTF">2015-05-27T18:13:00Z</dcterms:modified>
</cp:coreProperties>
</file>