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7DB" w:rsidRDefault="000847DB">
      <w:pPr>
        <w:spacing w:after="160" w:line="259" w:lineRule="auto"/>
        <w:rPr>
          <w:rFonts w:asciiTheme="minorHAnsi" w:hAnsiTheme="minorHAnsi" w:cs="Arial"/>
          <w:bCs/>
          <w:sz w:val="24"/>
          <w:szCs w:val="24"/>
        </w:rPr>
      </w:pPr>
    </w:p>
    <w:p w:rsidR="000847DB" w:rsidRPr="000847DB" w:rsidRDefault="000847DB" w:rsidP="000847DB">
      <w:pPr>
        <w:rPr>
          <w:rFonts w:asciiTheme="minorHAnsi" w:hAnsiTheme="minorHAnsi" w:cs="Arial"/>
          <w:sz w:val="24"/>
          <w:szCs w:val="24"/>
        </w:rPr>
      </w:pPr>
    </w:p>
    <w:p w:rsidR="000847DB" w:rsidRPr="000847DB" w:rsidRDefault="000847DB" w:rsidP="000847DB">
      <w:pPr>
        <w:rPr>
          <w:rFonts w:asciiTheme="minorHAnsi" w:hAnsiTheme="minorHAnsi" w:cs="Arial"/>
          <w:sz w:val="24"/>
          <w:szCs w:val="24"/>
        </w:rPr>
      </w:pPr>
    </w:p>
    <w:p w:rsidR="000847DB" w:rsidRPr="000847DB" w:rsidRDefault="000847DB" w:rsidP="000847DB">
      <w:pPr>
        <w:rPr>
          <w:rFonts w:asciiTheme="minorHAnsi" w:hAnsiTheme="minorHAnsi" w:cs="Arial"/>
          <w:sz w:val="24"/>
          <w:szCs w:val="24"/>
        </w:rPr>
      </w:pPr>
    </w:p>
    <w:p w:rsidR="000847DB" w:rsidRPr="000847DB" w:rsidRDefault="000847DB" w:rsidP="000847DB">
      <w:pPr>
        <w:rPr>
          <w:rFonts w:asciiTheme="minorHAnsi" w:hAnsiTheme="minorHAnsi" w:cs="Arial"/>
          <w:sz w:val="24"/>
          <w:szCs w:val="24"/>
        </w:rPr>
      </w:pPr>
    </w:p>
    <w:p w:rsidR="000847DB" w:rsidRPr="000847DB" w:rsidRDefault="000847DB" w:rsidP="000847DB">
      <w:pPr>
        <w:tabs>
          <w:tab w:val="left" w:pos="1605"/>
        </w:tabs>
        <w:spacing w:after="160" w:line="259" w:lineRule="auto"/>
        <w:jc w:val="center"/>
        <w:rPr>
          <w:rFonts w:ascii="Arial" w:hAnsi="Arial" w:cs="Arial"/>
          <w:sz w:val="44"/>
          <w:szCs w:val="44"/>
        </w:rPr>
      </w:pPr>
      <w:r w:rsidRPr="000847DB">
        <w:rPr>
          <w:rFonts w:ascii="Arial" w:hAnsi="Arial" w:cs="Arial"/>
          <w:sz w:val="44"/>
          <w:szCs w:val="44"/>
        </w:rPr>
        <w:t>Field Crops Production</w:t>
      </w:r>
    </w:p>
    <w:p w:rsidR="000847DB" w:rsidRPr="000847DB" w:rsidRDefault="000847DB" w:rsidP="000847DB">
      <w:pPr>
        <w:tabs>
          <w:tab w:val="left" w:pos="1605"/>
        </w:tabs>
        <w:spacing w:after="160" w:line="259" w:lineRule="auto"/>
        <w:jc w:val="center"/>
        <w:rPr>
          <w:rFonts w:ascii="Arial" w:hAnsi="Arial" w:cs="Arial"/>
          <w:sz w:val="32"/>
          <w:szCs w:val="32"/>
        </w:rPr>
      </w:pPr>
      <w:r w:rsidRPr="000847DB">
        <w:rPr>
          <w:rFonts w:ascii="Arial" w:hAnsi="Arial" w:cs="Arial"/>
          <w:sz w:val="32"/>
          <w:szCs w:val="32"/>
        </w:rPr>
        <w:t>(OMB # 0535-0002)</w:t>
      </w:r>
    </w:p>
    <w:p w:rsidR="000847DB" w:rsidRDefault="000847DB" w:rsidP="000847DB">
      <w:pPr>
        <w:tabs>
          <w:tab w:val="left" w:pos="1605"/>
        </w:tabs>
        <w:spacing w:after="160" w:line="259" w:lineRule="auto"/>
        <w:rPr>
          <w:color w:val="1F497D"/>
        </w:rPr>
      </w:pPr>
    </w:p>
    <w:p w:rsidR="001B0546" w:rsidRDefault="000847DB" w:rsidP="000847DB">
      <w:pPr>
        <w:tabs>
          <w:tab w:val="left" w:pos="1605"/>
        </w:tabs>
        <w:spacing w:after="160" w:line="259" w:lineRule="auto"/>
        <w:jc w:val="center"/>
        <w:rPr>
          <w:rFonts w:ascii="Arial" w:hAnsi="Arial" w:cs="Arial"/>
          <w:color w:val="1F497D"/>
          <w:sz w:val="28"/>
          <w:szCs w:val="28"/>
        </w:rPr>
      </w:pPr>
      <w:r w:rsidRPr="000847DB">
        <w:rPr>
          <w:rFonts w:ascii="Arial" w:hAnsi="Arial" w:cs="Arial"/>
          <w:color w:val="1F497D"/>
          <w:sz w:val="28"/>
          <w:szCs w:val="28"/>
        </w:rPr>
        <w:t>C</w:t>
      </w:r>
      <w:r w:rsidRPr="000847DB">
        <w:rPr>
          <w:rFonts w:ascii="Arial" w:hAnsi="Arial" w:cs="Arial"/>
          <w:color w:val="1F497D"/>
          <w:sz w:val="28"/>
          <w:szCs w:val="28"/>
        </w:rPr>
        <w:t>alculations for</w:t>
      </w:r>
      <w:r w:rsidR="001B0546">
        <w:rPr>
          <w:rFonts w:ascii="Arial" w:hAnsi="Arial" w:cs="Arial"/>
          <w:color w:val="1F497D"/>
          <w:sz w:val="28"/>
          <w:szCs w:val="28"/>
        </w:rPr>
        <w:t>:</w:t>
      </w:r>
    </w:p>
    <w:p w:rsidR="000847DB" w:rsidRPr="000847DB" w:rsidRDefault="000847DB" w:rsidP="000847DB">
      <w:pPr>
        <w:tabs>
          <w:tab w:val="left" w:pos="1605"/>
        </w:tabs>
        <w:spacing w:after="160" w:line="259" w:lineRule="auto"/>
        <w:jc w:val="center"/>
        <w:rPr>
          <w:rFonts w:ascii="Arial" w:hAnsi="Arial" w:cs="Arial"/>
          <w:color w:val="1F497D"/>
          <w:sz w:val="28"/>
          <w:szCs w:val="28"/>
        </w:rPr>
      </w:pPr>
      <w:r w:rsidRPr="000847DB">
        <w:rPr>
          <w:rFonts w:ascii="Arial" w:hAnsi="Arial" w:cs="Arial"/>
          <w:color w:val="1F497D"/>
          <w:sz w:val="28"/>
          <w:szCs w:val="28"/>
        </w:rPr>
        <w:t xml:space="preserve"> </w:t>
      </w:r>
      <w:r w:rsidR="001B0546">
        <w:rPr>
          <w:rFonts w:ascii="Arial" w:hAnsi="Arial" w:cs="Arial"/>
          <w:color w:val="1F497D"/>
          <w:sz w:val="28"/>
          <w:szCs w:val="28"/>
        </w:rPr>
        <w:t>T</w:t>
      </w:r>
      <w:r w:rsidRPr="000847DB">
        <w:rPr>
          <w:rFonts w:ascii="Arial" w:hAnsi="Arial" w:cs="Arial"/>
          <w:color w:val="1F497D"/>
          <w:sz w:val="28"/>
          <w:szCs w:val="28"/>
        </w:rPr>
        <w:t>otal responses,</w:t>
      </w:r>
    </w:p>
    <w:p w:rsidR="000847DB" w:rsidRPr="000847DB" w:rsidRDefault="000847DB" w:rsidP="000847DB">
      <w:pPr>
        <w:tabs>
          <w:tab w:val="left" w:pos="1605"/>
        </w:tabs>
        <w:spacing w:after="160" w:line="259" w:lineRule="auto"/>
        <w:jc w:val="center"/>
        <w:rPr>
          <w:rFonts w:ascii="Arial" w:hAnsi="Arial" w:cs="Arial"/>
          <w:color w:val="1F497D"/>
          <w:sz w:val="28"/>
          <w:szCs w:val="28"/>
        </w:rPr>
      </w:pPr>
      <w:r w:rsidRPr="000847DB">
        <w:rPr>
          <w:rFonts w:ascii="Arial" w:hAnsi="Arial" w:cs="Arial"/>
          <w:color w:val="1F497D"/>
          <w:sz w:val="28"/>
          <w:szCs w:val="28"/>
        </w:rPr>
        <w:t>A</w:t>
      </w:r>
      <w:r w:rsidRPr="000847DB">
        <w:rPr>
          <w:rFonts w:ascii="Arial" w:hAnsi="Arial" w:cs="Arial"/>
          <w:color w:val="1F497D"/>
          <w:sz w:val="28"/>
          <w:szCs w:val="28"/>
        </w:rPr>
        <w:t>verage response rate</w:t>
      </w:r>
      <w:r w:rsidRPr="000847DB">
        <w:rPr>
          <w:rFonts w:ascii="Arial" w:hAnsi="Arial" w:cs="Arial"/>
          <w:color w:val="1F497D"/>
          <w:sz w:val="28"/>
          <w:szCs w:val="28"/>
        </w:rPr>
        <w:t>s</w:t>
      </w:r>
      <w:r w:rsidRPr="000847DB">
        <w:rPr>
          <w:rFonts w:ascii="Arial" w:hAnsi="Arial" w:cs="Arial"/>
          <w:color w:val="1F497D"/>
          <w:sz w:val="28"/>
          <w:szCs w:val="28"/>
        </w:rPr>
        <w:t>, and</w:t>
      </w:r>
    </w:p>
    <w:p w:rsidR="000847DB" w:rsidRDefault="000847DB" w:rsidP="000847DB">
      <w:pPr>
        <w:tabs>
          <w:tab w:val="left" w:pos="1605"/>
        </w:tabs>
        <w:spacing w:after="160" w:line="259" w:lineRule="auto"/>
        <w:jc w:val="center"/>
        <w:rPr>
          <w:rFonts w:ascii="Arial" w:hAnsi="Arial" w:cs="Arial"/>
          <w:color w:val="1F497D"/>
          <w:sz w:val="28"/>
          <w:szCs w:val="28"/>
        </w:rPr>
      </w:pPr>
      <w:r w:rsidRPr="000847DB">
        <w:rPr>
          <w:rFonts w:ascii="Arial" w:hAnsi="Arial" w:cs="Arial"/>
          <w:color w:val="1F497D"/>
          <w:sz w:val="28"/>
          <w:szCs w:val="28"/>
        </w:rPr>
        <w:t>C</w:t>
      </w:r>
      <w:r w:rsidRPr="000847DB">
        <w:rPr>
          <w:rFonts w:ascii="Arial" w:hAnsi="Arial" w:cs="Arial"/>
          <w:color w:val="1F497D"/>
          <w:sz w:val="28"/>
          <w:szCs w:val="28"/>
        </w:rPr>
        <w:t>overage of commodity rate</w:t>
      </w:r>
      <w:r w:rsidRPr="000847DB">
        <w:rPr>
          <w:rFonts w:ascii="Arial" w:hAnsi="Arial" w:cs="Arial"/>
          <w:color w:val="1F497D"/>
          <w:sz w:val="28"/>
          <w:szCs w:val="28"/>
        </w:rPr>
        <w:t>s</w:t>
      </w:r>
      <w:r w:rsidR="001B0546">
        <w:rPr>
          <w:rFonts w:ascii="Arial" w:hAnsi="Arial" w:cs="Arial"/>
          <w:color w:val="1F497D"/>
          <w:sz w:val="28"/>
          <w:szCs w:val="28"/>
        </w:rPr>
        <w:t>.</w:t>
      </w:r>
    </w:p>
    <w:p w:rsidR="0070314E" w:rsidRPr="0070314E" w:rsidRDefault="0070314E" w:rsidP="000847DB">
      <w:pPr>
        <w:tabs>
          <w:tab w:val="left" w:pos="1605"/>
        </w:tabs>
        <w:spacing w:after="160" w:line="259" w:lineRule="auto"/>
        <w:jc w:val="center"/>
        <w:rPr>
          <w:rFonts w:ascii="Arial" w:hAnsi="Arial" w:cs="Arial"/>
          <w:sz w:val="24"/>
          <w:szCs w:val="24"/>
        </w:rPr>
      </w:pPr>
      <w:r w:rsidRPr="0070314E">
        <w:rPr>
          <w:rFonts w:ascii="Arial" w:hAnsi="Arial" w:cs="Arial"/>
          <w:sz w:val="24"/>
          <w:szCs w:val="24"/>
        </w:rPr>
        <w:t>October 15, 2015</w:t>
      </w:r>
    </w:p>
    <w:p w:rsidR="000847DB" w:rsidRDefault="000847DB">
      <w:pPr>
        <w:spacing w:after="160" w:line="259" w:lineRule="auto"/>
        <w:rPr>
          <w:rFonts w:asciiTheme="minorHAnsi" w:hAnsiTheme="minorHAnsi" w:cs="Arial"/>
          <w:bCs/>
          <w:sz w:val="24"/>
          <w:szCs w:val="24"/>
        </w:rPr>
      </w:pPr>
      <w:bookmarkStart w:id="0" w:name="_GoBack"/>
      <w:bookmarkEnd w:id="0"/>
      <w:r w:rsidRPr="000847DB">
        <w:rPr>
          <w:rFonts w:asciiTheme="minorHAnsi" w:hAnsiTheme="minorHAnsi" w:cs="Arial"/>
          <w:sz w:val="24"/>
          <w:szCs w:val="24"/>
        </w:rPr>
        <w:br w:type="page"/>
      </w:r>
      <w:r>
        <w:rPr>
          <w:rFonts w:asciiTheme="minorHAnsi" w:hAnsiTheme="minorHAnsi" w:cs="Arial"/>
          <w:bCs/>
          <w:sz w:val="24"/>
          <w:szCs w:val="24"/>
        </w:rPr>
        <w:lastRenderedPageBreak/>
        <w:t xml:space="preserve"> </w:t>
      </w:r>
    </w:p>
    <w:p w:rsidR="00016D66" w:rsidRPr="00832A96" w:rsidRDefault="00016D66" w:rsidP="00016D66">
      <w:pPr>
        <w:spacing w:after="200" w:line="276" w:lineRule="auto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To calculate the average response rate, OMB Guideline 3.2.2 is used (see below). However, i</w:t>
      </w:r>
      <w:r w:rsidRPr="00832A96">
        <w:rPr>
          <w:rFonts w:asciiTheme="minorHAnsi" w:hAnsiTheme="minorHAnsi" w:cs="Arial"/>
          <w:bCs/>
          <w:sz w:val="24"/>
          <w:szCs w:val="24"/>
        </w:rPr>
        <w:t xml:space="preserve">f there is more than </w:t>
      </w:r>
      <w:r>
        <w:rPr>
          <w:rFonts w:asciiTheme="minorHAnsi" w:hAnsiTheme="minorHAnsi" w:cs="Arial"/>
          <w:bCs/>
          <w:sz w:val="24"/>
          <w:szCs w:val="24"/>
        </w:rPr>
        <w:t xml:space="preserve">one </w:t>
      </w:r>
      <w:r w:rsidRPr="00832A96">
        <w:rPr>
          <w:rFonts w:asciiTheme="minorHAnsi" w:hAnsiTheme="minorHAnsi" w:cs="Arial"/>
          <w:bCs/>
          <w:sz w:val="24"/>
          <w:szCs w:val="24"/>
        </w:rPr>
        <w:t>wave of data collection</w:t>
      </w:r>
      <w:r>
        <w:rPr>
          <w:rFonts w:asciiTheme="minorHAnsi" w:hAnsiTheme="minorHAnsi" w:cs="Arial"/>
          <w:bCs/>
          <w:sz w:val="24"/>
          <w:szCs w:val="24"/>
        </w:rPr>
        <w:t>,</w:t>
      </w:r>
      <w:r w:rsidRPr="00832A96">
        <w:rPr>
          <w:rFonts w:asciiTheme="minorHAnsi" w:hAnsiTheme="minorHAnsi" w:cs="Arial"/>
          <w:bCs/>
          <w:sz w:val="24"/>
          <w:szCs w:val="24"/>
        </w:rPr>
        <w:t xml:space="preserve"> then the completed cases and in-scope sample cases are summed across the waves. </w:t>
      </w:r>
      <w:r>
        <w:rPr>
          <w:rFonts w:asciiTheme="minorHAnsi" w:hAnsiTheme="minorHAnsi" w:cs="Arial"/>
          <w:bCs/>
          <w:sz w:val="24"/>
          <w:szCs w:val="24"/>
        </w:rPr>
        <w:t xml:space="preserve">This is shown in the ‘Average Response Rate’ column in the table. </w:t>
      </w:r>
    </w:p>
    <w:p w:rsidR="00016D66" w:rsidRPr="007D02EC" w:rsidRDefault="00016D66" w:rsidP="00016D66">
      <w:pPr>
        <w:spacing w:after="200" w:line="276" w:lineRule="auto"/>
        <w:rPr>
          <w:rFonts w:asciiTheme="minorHAnsi" w:eastAsiaTheme="minorEastAsia" w:hAnsiTheme="minorHAnsi" w:cs="Arial"/>
          <w:bCs/>
        </w:rPr>
      </w:pPr>
      <m:oMathPara>
        <m:oMath>
          <m:r>
            <w:rPr>
              <w:rFonts w:ascii="Cambria Math" w:hAnsi="Cambria Math" w:cs="Arial"/>
            </w:rPr>
            <m:t xml:space="preserve">RRU= </m:t>
          </m:r>
          <m:f>
            <m:fPr>
              <m:ctrlPr>
                <w:rPr>
                  <w:rFonts w:ascii="Cambria Math" w:hAnsi="Cambria Math" w:cs="Arial"/>
                  <w:bCs/>
                  <w:i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bCs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Arial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k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bCs/>
                      <w:i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 w:cs="Arial"/>
                          <w:bCs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 xml:space="preserve">+ 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 xml:space="preserve">+ 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NC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O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 xml:space="preserve">+ 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e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bCs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U</m:t>
                              </m:r>
                            </m:e>
                          </m:d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k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Arial"/>
                    </w:rPr>
                    <m:t xml:space="preserve"> </m:t>
                  </m:r>
                </m:e>
              </m:nary>
            </m:den>
          </m:f>
        </m:oMath>
      </m:oMathPara>
    </w:p>
    <w:p w:rsidR="00016D66" w:rsidRDefault="00016D66" w:rsidP="00016D66">
      <w:pPr>
        <w:rPr>
          <w:rFonts w:asciiTheme="minorHAnsi" w:hAnsiTheme="minorHAnsi" w:cs="Arial"/>
          <w:bCs/>
          <w:sz w:val="24"/>
          <w:szCs w:val="24"/>
        </w:rPr>
      </w:pPr>
      <w:r w:rsidRPr="00832A96">
        <w:rPr>
          <w:rFonts w:asciiTheme="minorHAnsi" w:hAnsiTheme="minorHAnsi" w:cs="Arial"/>
          <w:bCs/>
          <w:sz w:val="24"/>
          <w:szCs w:val="24"/>
        </w:rPr>
        <w:t>Where C</w:t>
      </w:r>
      <w:r w:rsidRPr="00832A96">
        <w:rPr>
          <w:rFonts w:asciiTheme="minorHAnsi" w:hAnsiTheme="minorHAnsi" w:cs="Arial"/>
          <w:bCs/>
          <w:sz w:val="24"/>
          <w:szCs w:val="24"/>
          <w:vertAlign w:val="subscript"/>
        </w:rPr>
        <w:t>k</w:t>
      </w:r>
      <w:r w:rsidRPr="00832A96">
        <w:rPr>
          <w:rFonts w:asciiTheme="minorHAnsi" w:hAnsiTheme="minorHAnsi" w:cs="Arial"/>
          <w:bCs/>
          <w:sz w:val="24"/>
          <w:szCs w:val="24"/>
        </w:rPr>
        <w:t xml:space="preserve"> = number of completed cases or sufficient partials in k</w:t>
      </w:r>
      <w:r w:rsidRPr="00832A96">
        <w:rPr>
          <w:rFonts w:asciiTheme="minorHAnsi" w:hAnsiTheme="minorHAnsi" w:cs="Arial"/>
          <w:bCs/>
          <w:sz w:val="24"/>
          <w:szCs w:val="24"/>
          <w:vertAlign w:val="superscript"/>
        </w:rPr>
        <w:t>th</w:t>
      </w:r>
      <w:r w:rsidRPr="00832A96">
        <w:rPr>
          <w:rFonts w:asciiTheme="minorHAnsi" w:hAnsiTheme="minorHAnsi" w:cs="Arial"/>
          <w:bCs/>
          <w:sz w:val="24"/>
          <w:szCs w:val="24"/>
        </w:rPr>
        <w:t xml:space="preserve"> data collection wave</w:t>
      </w:r>
    </w:p>
    <w:p w:rsidR="00016D66" w:rsidRDefault="00016D66" w:rsidP="00016D66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  <w:t>R</w:t>
      </w:r>
      <w:r w:rsidRPr="00832A96">
        <w:rPr>
          <w:rFonts w:asciiTheme="minorHAnsi" w:hAnsiTheme="minorHAnsi" w:cs="Arial"/>
          <w:bCs/>
          <w:sz w:val="24"/>
          <w:szCs w:val="24"/>
          <w:vertAlign w:val="subscript"/>
        </w:rPr>
        <w:t>k</w:t>
      </w:r>
      <w:r>
        <w:rPr>
          <w:rFonts w:asciiTheme="minorHAnsi" w:hAnsiTheme="minorHAnsi" w:cs="Arial"/>
          <w:bCs/>
          <w:sz w:val="24"/>
          <w:szCs w:val="24"/>
        </w:rPr>
        <w:t xml:space="preserve"> = number of refused cases in k</w:t>
      </w:r>
      <w:r w:rsidRPr="00832A96">
        <w:rPr>
          <w:rFonts w:asciiTheme="minorHAnsi" w:hAnsiTheme="minorHAnsi" w:cs="Arial"/>
          <w:bCs/>
          <w:sz w:val="24"/>
          <w:szCs w:val="24"/>
          <w:vertAlign w:val="superscript"/>
        </w:rPr>
        <w:t>th</w:t>
      </w:r>
      <w:r>
        <w:rPr>
          <w:rFonts w:asciiTheme="minorHAnsi" w:hAnsiTheme="minorHAnsi" w:cs="Arial"/>
          <w:bCs/>
          <w:sz w:val="24"/>
          <w:szCs w:val="24"/>
        </w:rPr>
        <w:t xml:space="preserve"> data collection wave</w:t>
      </w:r>
    </w:p>
    <w:p w:rsidR="00016D66" w:rsidRDefault="00016D66" w:rsidP="00016D66">
      <w:pPr>
        <w:tabs>
          <w:tab w:val="left" w:pos="1170"/>
        </w:tabs>
        <w:ind w:left="720" w:hanging="720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  <w:t>NC</w:t>
      </w:r>
      <w:r w:rsidRPr="00832A96">
        <w:rPr>
          <w:rFonts w:asciiTheme="minorHAnsi" w:hAnsiTheme="minorHAnsi" w:cs="Arial"/>
          <w:bCs/>
          <w:sz w:val="24"/>
          <w:szCs w:val="24"/>
          <w:vertAlign w:val="subscript"/>
        </w:rPr>
        <w:t>k</w:t>
      </w:r>
      <w:r>
        <w:rPr>
          <w:rFonts w:asciiTheme="minorHAnsi" w:hAnsiTheme="minorHAnsi" w:cs="Arial"/>
          <w:bCs/>
          <w:sz w:val="24"/>
          <w:szCs w:val="24"/>
        </w:rPr>
        <w:t xml:space="preserve"> = number of non</w:t>
      </w:r>
      <w:r w:rsidR="005A26D3">
        <w:rPr>
          <w:rFonts w:asciiTheme="minorHAnsi" w:hAnsiTheme="minorHAnsi" w:cs="Arial"/>
          <w:bCs/>
          <w:sz w:val="24"/>
          <w:szCs w:val="24"/>
        </w:rPr>
        <w:t>-</w:t>
      </w:r>
      <w:r>
        <w:rPr>
          <w:rFonts w:asciiTheme="minorHAnsi" w:hAnsiTheme="minorHAnsi" w:cs="Arial"/>
          <w:bCs/>
          <w:sz w:val="24"/>
          <w:szCs w:val="24"/>
        </w:rPr>
        <w:t>contacted sample units known to be eligible in k</w:t>
      </w:r>
      <w:r w:rsidRPr="00832A96">
        <w:rPr>
          <w:rFonts w:asciiTheme="minorHAnsi" w:hAnsiTheme="minorHAnsi" w:cs="Arial"/>
          <w:bCs/>
          <w:sz w:val="24"/>
          <w:szCs w:val="24"/>
          <w:vertAlign w:val="superscript"/>
        </w:rPr>
        <w:t>th</w:t>
      </w:r>
      <w:r>
        <w:rPr>
          <w:rFonts w:asciiTheme="minorHAnsi" w:hAnsiTheme="minorHAnsi" w:cs="Arial"/>
          <w:bCs/>
          <w:sz w:val="24"/>
          <w:szCs w:val="24"/>
        </w:rPr>
        <w:t xml:space="preserve"> data collection wave</w:t>
      </w:r>
    </w:p>
    <w:p w:rsidR="00016D66" w:rsidRDefault="00016D66" w:rsidP="00016D66">
      <w:pPr>
        <w:ind w:left="720" w:hanging="720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  <w:t>O</w:t>
      </w:r>
      <w:r w:rsidRPr="00D44DB2">
        <w:rPr>
          <w:rFonts w:asciiTheme="minorHAnsi" w:hAnsiTheme="minorHAnsi" w:cs="Arial"/>
          <w:bCs/>
          <w:sz w:val="24"/>
          <w:szCs w:val="24"/>
          <w:vertAlign w:val="subscript"/>
        </w:rPr>
        <w:t>k</w:t>
      </w:r>
      <w:r>
        <w:rPr>
          <w:rFonts w:asciiTheme="minorHAnsi" w:hAnsiTheme="minorHAnsi" w:cs="Arial"/>
          <w:bCs/>
          <w:sz w:val="24"/>
          <w:szCs w:val="24"/>
        </w:rPr>
        <w:t xml:space="preserve"> = number of eligible sample units not responding for reasons other than refusal in k</w:t>
      </w:r>
      <w:r w:rsidRPr="00D44DB2">
        <w:rPr>
          <w:rFonts w:asciiTheme="minorHAnsi" w:hAnsiTheme="minorHAnsi" w:cs="Arial"/>
          <w:bCs/>
          <w:sz w:val="24"/>
          <w:szCs w:val="24"/>
          <w:vertAlign w:val="superscript"/>
        </w:rPr>
        <w:t>th</w:t>
      </w:r>
      <w:r>
        <w:rPr>
          <w:rFonts w:asciiTheme="minorHAnsi" w:hAnsiTheme="minorHAnsi" w:cs="Arial"/>
          <w:bCs/>
          <w:sz w:val="24"/>
          <w:szCs w:val="24"/>
        </w:rPr>
        <w:t xml:space="preserve"> data collection wave</w:t>
      </w:r>
    </w:p>
    <w:p w:rsidR="00016D66" w:rsidRDefault="00016D66" w:rsidP="00016D66">
      <w:pPr>
        <w:ind w:left="720" w:hanging="720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  <w:t>U</w:t>
      </w:r>
      <w:r w:rsidRPr="00D44DB2">
        <w:rPr>
          <w:rFonts w:asciiTheme="minorHAnsi" w:hAnsiTheme="minorHAnsi" w:cs="Arial"/>
          <w:bCs/>
          <w:sz w:val="24"/>
          <w:szCs w:val="24"/>
          <w:vertAlign w:val="subscript"/>
        </w:rPr>
        <w:t>k</w:t>
      </w:r>
      <w:r>
        <w:rPr>
          <w:rFonts w:asciiTheme="minorHAnsi" w:hAnsiTheme="minorHAnsi" w:cs="Arial"/>
          <w:bCs/>
          <w:sz w:val="24"/>
          <w:szCs w:val="24"/>
        </w:rPr>
        <w:t xml:space="preserve"> = number of sample units of unknown eligibility, not completed in k</w:t>
      </w:r>
      <w:r w:rsidRPr="00D44DB2">
        <w:rPr>
          <w:rFonts w:asciiTheme="minorHAnsi" w:hAnsiTheme="minorHAnsi" w:cs="Arial"/>
          <w:bCs/>
          <w:sz w:val="24"/>
          <w:szCs w:val="24"/>
          <w:vertAlign w:val="superscript"/>
        </w:rPr>
        <w:t>th</w:t>
      </w:r>
      <w:r>
        <w:rPr>
          <w:rFonts w:asciiTheme="minorHAnsi" w:hAnsiTheme="minorHAnsi" w:cs="Arial"/>
          <w:bCs/>
          <w:sz w:val="24"/>
          <w:szCs w:val="24"/>
        </w:rPr>
        <w:t xml:space="preserve"> data collection wave and </w:t>
      </w:r>
    </w:p>
    <w:p w:rsidR="00016D66" w:rsidRDefault="00016D66" w:rsidP="00016D66">
      <w:pPr>
        <w:ind w:left="720" w:hanging="720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  <w:t>E</w:t>
      </w:r>
      <w:r w:rsidRPr="00D44DB2">
        <w:rPr>
          <w:rFonts w:asciiTheme="minorHAnsi" w:hAnsiTheme="minorHAnsi" w:cs="Arial"/>
          <w:bCs/>
          <w:sz w:val="24"/>
          <w:szCs w:val="24"/>
          <w:vertAlign w:val="subscript"/>
        </w:rPr>
        <w:t>k</w:t>
      </w:r>
      <w:r>
        <w:rPr>
          <w:rFonts w:asciiTheme="minorHAnsi" w:hAnsiTheme="minorHAnsi" w:cs="Arial"/>
          <w:bCs/>
          <w:sz w:val="24"/>
          <w:szCs w:val="24"/>
        </w:rPr>
        <w:t xml:space="preserve"> = estimated proportion of sample units of unknown eligibility that are eligible in k</w:t>
      </w:r>
      <w:r w:rsidRPr="00D44DB2">
        <w:rPr>
          <w:rFonts w:asciiTheme="minorHAnsi" w:hAnsiTheme="minorHAnsi" w:cs="Arial"/>
          <w:bCs/>
          <w:sz w:val="24"/>
          <w:szCs w:val="24"/>
          <w:vertAlign w:val="superscript"/>
        </w:rPr>
        <w:t>th</w:t>
      </w:r>
      <w:r>
        <w:rPr>
          <w:rFonts w:asciiTheme="minorHAnsi" w:hAnsiTheme="minorHAnsi" w:cs="Arial"/>
          <w:bCs/>
          <w:sz w:val="24"/>
          <w:szCs w:val="24"/>
        </w:rPr>
        <w:t xml:space="preserve"> data collection wave.</w:t>
      </w:r>
    </w:p>
    <w:p w:rsidR="00016D66" w:rsidRDefault="00016D66" w:rsidP="00016D66">
      <w:pPr>
        <w:ind w:left="720" w:hanging="720"/>
        <w:rPr>
          <w:rFonts w:asciiTheme="minorHAnsi" w:hAnsiTheme="minorHAnsi" w:cs="Arial"/>
          <w:bCs/>
          <w:sz w:val="24"/>
          <w:szCs w:val="24"/>
        </w:rPr>
      </w:pPr>
    </w:p>
    <w:p w:rsidR="00016D66" w:rsidRDefault="00016D66" w:rsidP="00016D66">
      <w:pPr>
        <w:ind w:left="720" w:hanging="720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The ‘Total Responses’ column in table represents the numerator of the response rate above or the sum of completed cases or sufficient partials over all data collection waves.</w:t>
      </w:r>
    </w:p>
    <w:p w:rsidR="001575D0" w:rsidRDefault="001575D0" w:rsidP="001575D0">
      <w:pPr>
        <w:spacing w:after="200" w:line="276" w:lineRule="auto"/>
        <w:rPr>
          <w:rFonts w:asciiTheme="minorHAnsi" w:hAnsiTheme="minorHAnsi" w:cs="Arial"/>
          <w:b/>
          <w:bCs/>
        </w:rPr>
      </w:pPr>
    </w:p>
    <w:p w:rsidR="001575D0" w:rsidRDefault="001575D0" w:rsidP="001575D0">
      <w:pPr>
        <w:spacing w:after="200" w:line="276" w:lineRule="auto"/>
        <w:rPr>
          <w:rFonts w:asciiTheme="minorHAnsi" w:hAnsiTheme="minorHAnsi" w:cs="Arial"/>
          <w:b/>
          <w:bCs/>
        </w:rPr>
      </w:pPr>
      <w:r>
        <w:rPr>
          <w:noProof/>
        </w:rPr>
        <w:drawing>
          <wp:inline distT="0" distB="0" distL="0" distR="0" wp14:anchorId="7A8201D9" wp14:editId="688DCAF4">
            <wp:extent cx="5943600" cy="2371725"/>
            <wp:effectExtent l="0" t="0" r="0" b="952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CFF" w:rsidRDefault="00243CFF" w:rsidP="001575D0">
      <w:pPr>
        <w:spacing w:after="200" w:line="276" w:lineRule="auto"/>
        <w:rPr>
          <w:rFonts w:asciiTheme="minorHAnsi" w:hAnsiTheme="minorHAnsi" w:cs="Arial"/>
          <w:b/>
          <w:bCs/>
        </w:rPr>
      </w:pPr>
    </w:p>
    <w:p w:rsidR="00016D66" w:rsidRDefault="00016D66" w:rsidP="00016D66">
      <w:pPr>
        <w:spacing w:after="200" w:line="276" w:lineRule="auto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>The ‘Coverage of Commodity Rate’ is a weighted item response rate as described in OMB Guideline 3.2.3 (see below). It can also be described as the proportion of a key survey estimate that was reported by respondents who completed the survey. The formula used to calculate the ‘Coverage of Commodity Rate’ in the table is:</w:t>
      </w:r>
    </w:p>
    <w:p w:rsidR="00016D66" w:rsidRDefault="00016D66" w:rsidP="00016D66">
      <w:pPr>
        <w:spacing w:after="200" w:line="276" w:lineRule="auto"/>
        <w:rPr>
          <w:rFonts w:asciiTheme="minorHAnsi" w:hAnsiTheme="minorHAnsi" w:cs="Arial"/>
          <w:color w:val="000000"/>
          <w:sz w:val="24"/>
          <w:szCs w:val="24"/>
        </w:rPr>
      </w:pPr>
      <m:oMathPara>
        <m:oMath>
          <m:r>
            <w:rPr>
              <w:rFonts w:ascii="Cambria Math" w:hAnsi="Cambria Math" w:cs="Arial"/>
              <w:color w:val="000000"/>
              <w:sz w:val="24"/>
              <w:szCs w:val="24"/>
            </w:rPr>
            <w:lastRenderedPageBreak/>
            <m:t xml:space="preserve">RRW= </m:t>
          </m:r>
          <m:f>
            <m:fPr>
              <m:ctrlPr>
                <w:rPr>
                  <w:rFonts w:ascii="Cambria Math" w:hAnsi="Cambria Math" w:cs="Arial"/>
                  <w:i/>
                  <w:color w:val="000000"/>
                  <w:sz w:val="24"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color w:val="000000"/>
                          <w:sz w:val="24"/>
                          <w:szCs w:val="24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rial"/>
                          <w:color w:val="000000"/>
                          <w:sz w:val="24"/>
                          <w:szCs w:val="24"/>
                        </w:rPr>
                        <m:t>j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color w:val="000000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Arial"/>
                          <w:color w:val="000000"/>
                          <w:sz w:val="24"/>
                          <w:szCs w:val="24"/>
                        </w:rPr>
                        <m:t>j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color w:val="000000"/>
                          <w:sz w:val="24"/>
                          <w:szCs w:val="24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rial"/>
                          <w:color w:val="000000"/>
                          <w:sz w:val="24"/>
                          <w:szCs w:val="24"/>
                        </w:rPr>
                        <m:t>j</m:t>
                      </m:r>
                    </m:sub>
                  </m:sSub>
                </m:e>
              </m:nary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j</m:t>
                  </m:r>
                </m:sub>
              </m:sSub>
            </m:den>
          </m:f>
        </m:oMath>
      </m:oMathPara>
    </w:p>
    <w:p w:rsidR="00016D66" w:rsidRDefault="00016D66" w:rsidP="008336C7">
      <w:pPr>
        <w:ind w:left="720" w:hanging="720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>Where w</w:t>
      </w:r>
      <w:r w:rsidRPr="00312BFC">
        <w:rPr>
          <w:rFonts w:asciiTheme="minorHAnsi" w:hAnsiTheme="minorHAnsi" w:cs="Arial"/>
          <w:color w:val="000000"/>
          <w:sz w:val="24"/>
          <w:szCs w:val="24"/>
          <w:vertAlign w:val="subscript"/>
        </w:rPr>
        <w:t>j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= the inverse probability of selection (or initial sampling weight) for the j</w:t>
      </w:r>
      <w:r w:rsidRPr="00312BFC">
        <w:rPr>
          <w:rFonts w:asciiTheme="minorHAnsi" w:hAnsiTheme="minorHAnsi" w:cs="Arial"/>
          <w:color w:val="000000"/>
          <w:sz w:val="24"/>
          <w:szCs w:val="24"/>
          <w:vertAlign w:val="superscript"/>
        </w:rPr>
        <w:t>th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completed report </w:t>
      </w:r>
    </w:p>
    <w:p w:rsidR="00016D66" w:rsidRDefault="00016D66" w:rsidP="00016D66">
      <w:pPr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ab/>
        <w:t>y</w:t>
      </w:r>
      <w:r w:rsidRPr="00312BFC">
        <w:rPr>
          <w:rFonts w:asciiTheme="minorHAnsi" w:hAnsiTheme="minorHAnsi" w:cs="Arial"/>
          <w:color w:val="000000"/>
          <w:sz w:val="24"/>
          <w:szCs w:val="24"/>
          <w:vertAlign w:val="subscript"/>
        </w:rPr>
        <w:t>i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= reported data for key survey item from j</w:t>
      </w:r>
      <w:r w:rsidRPr="00312BFC">
        <w:rPr>
          <w:rFonts w:asciiTheme="minorHAnsi" w:hAnsiTheme="minorHAnsi" w:cs="Arial"/>
          <w:color w:val="000000"/>
          <w:sz w:val="24"/>
          <w:szCs w:val="24"/>
          <w:vertAlign w:val="superscript"/>
        </w:rPr>
        <w:t>th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completed report</w:t>
      </w:r>
    </w:p>
    <w:p w:rsidR="00016D66" w:rsidRDefault="00016D66" w:rsidP="00016D66">
      <w:pPr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ab/>
        <w:t>a</w:t>
      </w:r>
      <w:r w:rsidRPr="00312BFC">
        <w:rPr>
          <w:rFonts w:asciiTheme="minorHAnsi" w:hAnsiTheme="minorHAnsi" w:cs="Arial"/>
          <w:color w:val="000000"/>
          <w:sz w:val="24"/>
          <w:szCs w:val="24"/>
          <w:vertAlign w:val="subscript"/>
        </w:rPr>
        <w:t>i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= non-response adjustment for the j</w:t>
      </w:r>
      <w:r w:rsidRPr="00312BFC">
        <w:rPr>
          <w:rFonts w:asciiTheme="minorHAnsi" w:hAnsiTheme="minorHAnsi" w:cs="Arial"/>
          <w:color w:val="000000"/>
          <w:sz w:val="24"/>
          <w:szCs w:val="24"/>
          <w:vertAlign w:val="superscript"/>
        </w:rPr>
        <w:t>th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completed report</w:t>
      </w:r>
    </w:p>
    <w:p w:rsidR="00016D66" w:rsidRDefault="00016D66" w:rsidP="00016D66">
      <w:pPr>
        <w:rPr>
          <w:rFonts w:asciiTheme="minorHAnsi" w:hAnsiTheme="minorHAnsi" w:cs="Arial"/>
          <w:color w:val="000000"/>
          <w:sz w:val="24"/>
          <w:szCs w:val="24"/>
        </w:rPr>
      </w:pPr>
    </w:p>
    <w:p w:rsidR="00016D66" w:rsidRDefault="008336C7" w:rsidP="00016D66">
      <w:pPr>
        <w:spacing w:after="200" w:line="276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The u</w:t>
      </w:r>
      <w:r w:rsidR="00016D66">
        <w:rPr>
          <w:rFonts w:asciiTheme="minorHAnsi" w:hAnsiTheme="minorHAnsi" w:cs="Arial"/>
          <w:sz w:val="24"/>
          <w:szCs w:val="24"/>
        </w:rPr>
        <w:t xml:space="preserve">nits of </w:t>
      </w:r>
      <w:r>
        <w:rPr>
          <w:rFonts w:asciiTheme="minorHAnsi" w:hAnsiTheme="minorHAnsi" w:cs="Arial"/>
          <w:sz w:val="24"/>
          <w:szCs w:val="24"/>
        </w:rPr>
        <w:t xml:space="preserve">survey estimate used to calculate the </w:t>
      </w:r>
      <w:r w:rsidR="00016D66">
        <w:rPr>
          <w:rFonts w:asciiTheme="minorHAnsi" w:hAnsiTheme="minorHAnsi" w:cs="Arial"/>
          <w:sz w:val="24"/>
          <w:szCs w:val="24"/>
        </w:rPr>
        <w:t>Coverage of Commodity Rate</w:t>
      </w:r>
      <w:r>
        <w:rPr>
          <w:rFonts w:asciiTheme="minorHAnsi" w:hAnsiTheme="minorHAnsi" w:cs="Arial"/>
          <w:sz w:val="24"/>
          <w:szCs w:val="24"/>
        </w:rPr>
        <w:t xml:space="preserve"> varies by survey. They are specified in the table below</w:t>
      </w:r>
      <w:r w:rsidR="00016D66">
        <w:rPr>
          <w:rFonts w:asciiTheme="minorHAnsi" w:hAnsiTheme="minorHAnsi" w:cs="Arial"/>
          <w:sz w:val="24"/>
          <w:szCs w:val="24"/>
        </w:rPr>
        <w:t>:</w:t>
      </w:r>
    </w:p>
    <w:tbl>
      <w:tblPr>
        <w:tblStyle w:val="TableGrid"/>
        <w:tblW w:w="0" w:type="auto"/>
        <w:tblInd w:w="1465" w:type="dxa"/>
        <w:tblLook w:val="04A0" w:firstRow="1" w:lastRow="0" w:firstColumn="1" w:lastColumn="0" w:noHBand="0" w:noVBand="1"/>
      </w:tblPr>
      <w:tblGrid>
        <w:gridCol w:w="2878"/>
        <w:gridCol w:w="2621"/>
      </w:tblGrid>
      <w:tr w:rsidR="00016D66" w:rsidTr="000E0407">
        <w:trPr>
          <w:trHeight w:val="368"/>
        </w:trPr>
        <w:tc>
          <w:tcPr>
            <w:tcW w:w="2878" w:type="dxa"/>
          </w:tcPr>
          <w:p w:rsidR="00016D66" w:rsidRDefault="00016D66" w:rsidP="00016D66">
            <w:pPr>
              <w:spacing w:after="20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Survey</w:t>
            </w:r>
          </w:p>
        </w:tc>
        <w:tc>
          <w:tcPr>
            <w:tcW w:w="2621" w:type="dxa"/>
          </w:tcPr>
          <w:p w:rsidR="00016D66" w:rsidRDefault="00016D66" w:rsidP="00016D66">
            <w:pPr>
              <w:spacing w:after="20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Units of Coverage Rate</w:t>
            </w:r>
          </w:p>
        </w:tc>
      </w:tr>
      <w:tr w:rsidR="00016D66" w:rsidTr="000E0407">
        <w:trPr>
          <w:trHeight w:val="364"/>
        </w:trPr>
        <w:tc>
          <w:tcPr>
            <w:tcW w:w="2878" w:type="dxa"/>
          </w:tcPr>
          <w:p w:rsidR="00016D66" w:rsidRDefault="00016D66" w:rsidP="00016D66">
            <w:pPr>
              <w:spacing w:after="20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Sweet Potato Price</w:t>
            </w:r>
          </w:p>
        </w:tc>
        <w:tc>
          <w:tcPr>
            <w:tcW w:w="2621" w:type="dxa"/>
          </w:tcPr>
          <w:p w:rsidR="00016D66" w:rsidRPr="000E0407" w:rsidRDefault="00016D66" w:rsidP="000E0407">
            <w:pPr>
              <w:spacing w:after="200"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0E0407">
              <w:rPr>
                <w:rFonts w:asciiTheme="minorHAnsi" w:hAnsiTheme="minorHAnsi" w:cs="Arial"/>
                <w:sz w:val="24"/>
                <w:szCs w:val="24"/>
              </w:rPr>
              <w:t>Cwt</w:t>
            </w:r>
          </w:p>
        </w:tc>
      </w:tr>
      <w:tr w:rsidR="00016D66" w:rsidTr="000E0407">
        <w:trPr>
          <w:trHeight w:val="520"/>
        </w:trPr>
        <w:tc>
          <w:tcPr>
            <w:tcW w:w="2878" w:type="dxa"/>
          </w:tcPr>
          <w:p w:rsidR="00016D66" w:rsidRDefault="00016D66" w:rsidP="00016D66">
            <w:pPr>
              <w:spacing w:after="20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Sugarbeets</w:t>
            </w:r>
          </w:p>
        </w:tc>
        <w:tc>
          <w:tcPr>
            <w:tcW w:w="2621" w:type="dxa"/>
          </w:tcPr>
          <w:p w:rsidR="00016D66" w:rsidRPr="000E0407" w:rsidRDefault="005A26D3" w:rsidP="000E0407">
            <w:pPr>
              <w:spacing w:after="200"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0E0407">
              <w:rPr>
                <w:rFonts w:asciiTheme="minorHAnsi" w:hAnsiTheme="minorHAnsi" w:cs="Arial"/>
                <w:sz w:val="24"/>
                <w:szCs w:val="24"/>
              </w:rPr>
              <w:t>Tons</w:t>
            </w:r>
          </w:p>
        </w:tc>
      </w:tr>
      <w:tr w:rsidR="00016D66" w:rsidTr="000E0407">
        <w:trPr>
          <w:trHeight w:val="535"/>
        </w:trPr>
        <w:tc>
          <w:tcPr>
            <w:tcW w:w="2878" w:type="dxa"/>
          </w:tcPr>
          <w:p w:rsidR="00016D66" w:rsidRDefault="00016D66" w:rsidP="00016D66">
            <w:pPr>
              <w:spacing w:after="20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Sugar Production Survey</w:t>
            </w:r>
          </w:p>
        </w:tc>
        <w:tc>
          <w:tcPr>
            <w:tcW w:w="2621" w:type="dxa"/>
          </w:tcPr>
          <w:p w:rsidR="00016D66" w:rsidRPr="000E0407" w:rsidRDefault="005A26D3" w:rsidP="000E0407">
            <w:pPr>
              <w:spacing w:after="200"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0E0407">
              <w:rPr>
                <w:rFonts w:asciiTheme="minorHAnsi" w:hAnsiTheme="minorHAnsi" w:cs="Arial"/>
                <w:sz w:val="24"/>
                <w:szCs w:val="24"/>
              </w:rPr>
              <w:t>Tons</w:t>
            </w:r>
          </w:p>
        </w:tc>
      </w:tr>
      <w:tr w:rsidR="00016D66" w:rsidTr="000E0407">
        <w:trPr>
          <w:trHeight w:val="520"/>
        </w:trPr>
        <w:tc>
          <w:tcPr>
            <w:tcW w:w="2878" w:type="dxa"/>
          </w:tcPr>
          <w:p w:rsidR="00016D66" w:rsidRDefault="00016D66" w:rsidP="00016D66">
            <w:pPr>
              <w:spacing w:after="20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Tobacco Price Inquiry</w:t>
            </w:r>
          </w:p>
        </w:tc>
        <w:tc>
          <w:tcPr>
            <w:tcW w:w="2621" w:type="dxa"/>
          </w:tcPr>
          <w:p w:rsidR="00016D66" w:rsidRPr="000E0407" w:rsidRDefault="00016D66" w:rsidP="000E0407">
            <w:pPr>
              <w:spacing w:after="200"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0E0407">
              <w:rPr>
                <w:rFonts w:asciiTheme="minorHAnsi" w:hAnsiTheme="minorHAnsi" w:cs="Arial"/>
                <w:sz w:val="24"/>
                <w:szCs w:val="24"/>
              </w:rPr>
              <w:t>Lbs</w:t>
            </w:r>
            <w:r w:rsidR="000E0407" w:rsidRPr="000E0407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</w:tc>
      </w:tr>
      <w:tr w:rsidR="00016D66" w:rsidTr="000E0407">
        <w:trPr>
          <w:trHeight w:val="520"/>
        </w:trPr>
        <w:tc>
          <w:tcPr>
            <w:tcW w:w="2878" w:type="dxa"/>
          </w:tcPr>
          <w:p w:rsidR="00016D66" w:rsidRDefault="00016D66" w:rsidP="00016D66">
            <w:pPr>
              <w:spacing w:after="20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All other surveys listed</w:t>
            </w:r>
          </w:p>
        </w:tc>
        <w:tc>
          <w:tcPr>
            <w:tcW w:w="2621" w:type="dxa"/>
          </w:tcPr>
          <w:p w:rsidR="00016D66" w:rsidRPr="000E0407" w:rsidRDefault="00016D66" w:rsidP="000E0407">
            <w:pPr>
              <w:spacing w:after="200"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0E0407">
              <w:rPr>
                <w:rFonts w:asciiTheme="minorHAnsi" w:hAnsiTheme="minorHAnsi" w:cs="Arial"/>
                <w:sz w:val="24"/>
                <w:szCs w:val="24"/>
              </w:rPr>
              <w:t>Acres</w:t>
            </w:r>
          </w:p>
        </w:tc>
      </w:tr>
    </w:tbl>
    <w:p w:rsidR="00016D66" w:rsidRDefault="00016D66" w:rsidP="00016D66">
      <w:pPr>
        <w:ind w:left="720" w:hanging="720"/>
        <w:rPr>
          <w:rFonts w:asciiTheme="minorHAnsi" w:hAnsiTheme="minorHAnsi" w:cs="Arial"/>
          <w:b/>
          <w:bCs/>
        </w:rPr>
      </w:pPr>
    </w:p>
    <w:p w:rsidR="001575D0" w:rsidRDefault="001575D0" w:rsidP="001575D0">
      <w:pPr>
        <w:spacing w:after="200" w:line="276" w:lineRule="auto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w:drawing>
          <wp:inline distT="0" distB="0" distL="0" distR="0" wp14:anchorId="22AFECDA" wp14:editId="521E247C">
            <wp:extent cx="5943600" cy="1516380"/>
            <wp:effectExtent l="0" t="0" r="0" b="762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1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6A9936" wp14:editId="3984A999">
            <wp:extent cx="5943600" cy="2187575"/>
            <wp:effectExtent l="0" t="0" r="0" b="317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5D0" w:rsidRDefault="001575D0" w:rsidP="001575D0">
      <w:pPr>
        <w:spacing w:after="200" w:line="276" w:lineRule="auto"/>
        <w:rPr>
          <w:rFonts w:asciiTheme="minorHAnsi" w:hAnsiTheme="minorHAnsi" w:cs="Arial"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16B2B86" wp14:editId="77717E74">
            <wp:extent cx="5943600" cy="190754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75D0" w:rsidSect="00107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7E0" w:rsidRDefault="00FA37E0" w:rsidP="001575D0">
      <w:r>
        <w:separator/>
      </w:r>
    </w:p>
  </w:endnote>
  <w:endnote w:type="continuationSeparator" w:id="0">
    <w:p w:rsidR="00FA37E0" w:rsidRDefault="00FA37E0" w:rsidP="0015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7E0" w:rsidRDefault="00FA37E0" w:rsidP="001575D0">
      <w:r>
        <w:separator/>
      </w:r>
    </w:p>
  </w:footnote>
  <w:footnote w:type="continuationSeparator" w:id="0">
    <w:p w:rsidR="00FA37E0" w:rsidRDefault="00FA37E0" w:rsidP="00157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5D0"/>
    <w:rsid w:val="00016D66"/>
    <w:rsid w:val="00031752"/>
    <w:rsid w:val="00080B21"/>
    <w:rsid w:val="000847DB"/>
    <w:rsid w:val="000E0407"/>
    <w:rsid w:val="00107943"/>
    <w:rsid w:val="001477DA"/>
    <w:rsid w:val="001575D0"/>
    <w:rsid w:val="001B0546"/>
    <w:rsid w:val="00243CFF"/>
    <w:rsid w:val="00312BFC"/>
    <w:rsid w:val="003208C7"/>
    <w:rsid w:val="003316C2"/>
    <w:rsid w:val="00460BB3"/>
    <w:rsid w:val="00493E70"/>
    <w:rsid w:val="004955F4"/>
    <w:rsid w:val="004C0D56"/>
    <w:rsid w:val="005A26D3"/>
    <w:rsid w:val="00655AD7"/>
    <w:rsid w:val="0070314E"/>
    <w:rsid w:val="0076416C"/>
    <w:rsid w:val="00773A17"/>
    <w:rsid w:val="007D02EC"/>
    <w:rsid w:val="00832A96"/>
    <w:rsid w:val="008336C7"/>
    <w:rsid w:val="0091349C"/>
    <w:rsid w:val="00952634"/>
    <w:rsid w:val="00A31334"/>
    <w:rsid w:val="00AA24EF"/>
    <w:rsid w:val="00AF590E"/>
    <w:rsid w:val="00BA41E8"/>
    <w:rsid w:val="00C96852"/>
    <w:rsid w:val="00D44DB2"/>
    <w:rsid w:val="00DC6734"/>
    <w:rsid w:val="00DD4B28"/>
    <w:rsid w:val="00F8622B"/>
    <w:rsid w:val="00FA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97EA4-C3EB-4F11-B37E-66547DCF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5D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5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5D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75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5D0"/>
    <w:rPr>
      <w:rFonts w:ascii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DC6734"/>
    <w:rPr>
      <w:color w:val="808080"/>
    </w:rPr>
  </w:style>
  <w:style w:type="table" w:styleId="TableGrid">
    <w:name w:val="Table Grid"/>
    <w:basedOn w:val="TableNormal"/>
    <w:uiPriority w:val="39"/>
    <w:rsid w:val="00AA2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7D66A027.dotm</Template>
  <TotalTime>18</TotalTime>
  <Pages>4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Drunasky, Lindsay - NASS</dc:creator>
  <cp:keywords/>
  <dc:description/>
  <cp:lastModifiedBy>Hancock, David - NASS</cp:lastModifiedBy>
  <cp:revision>6</cp:revision>
  <dcterms:created xsi:type="dcterms:W3CDTF">2015-10-15T12:27:00Z</dcterms:created>
  <dcterms:modified xsi:type="dcterms:W3CDTF">2015-10-15T15:20:00Z</dcterms:modified>
</cp:coreProperties>
</file>