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DCE" w:rsidRPr="004C0364" w:rsidRDefault="00CB0DCE">
      <w:pPr>
        <w:jc w:val="center"/>
        <w:rPr>
          <w:rFonts w:ascii="Helvetica" w:hAnsi="Helvetica"/>
          <w:b/>
          <w:bCs/>
          <w:sz w:val="20"/>
        </w:rPr>
      </w:pPr>
      <w:r w:rsidRPr="004C0364">
        <w:rPr>
          <w:rFonts w:ascii="Helvetica" w:hAnsi="Helvetica"/>
          <w:b/>
          <w:bCs/>
          <w:sz w:val="20"/>
        </w:rPr>
        <w:t>COMMUNICATIONS SITE TENANT/CUSTOMER INVENTORY</w:t>
      </w:r>
    </w:p>
    <w:p w:rsidR="00CB0DCE" w:rsidRPr="004C0364" w:rsidRDefault="00CB0DCE">
      <w:pPr>
        <w:spacing w:before="120"/>
        <w:jc w:val="center"/>
        <w:rPr>
          <w:rFonts w:ascii="Helvetica" w:hAnsi="Helvetica"/>
          <w:b/>
          <w:bCs/>
          <w:sz w:val="20"/>
        </w:rPr>
      </w:pPr>
      <w:r w:rsidRPr="004C0364">
        <w:rPr>
          <w:rFonts w:ascii="Helvetica" w:hAnsi="Helvetica"/>
          <w:b/>
          <w:bCs/>
          <w:sz w:val="20"/>
        </w:rPr>
        <w:t>CERTIFICATION OF FACILITY OWNER OR MANAGER</w:t>
      </w:r>
    </w:p>
    <w:p w:rsidR="00CB0DCE" w:rsidRPr="004C0364" w:rsidRDefault="00CB0DCE">
      <w:pPr>
        <w:spacing w:before="120"/>
        <w:jc w:val="center"/>
        <w:rPr>
          <w:rFonts w:ascii="Helvetica" w:hAnsi="Helvetica"/>
          <w:sz w:val="16"/>
        </w:rPr>
      </w:pPr>
      <w:r w:rsidRPr="004C0364">
        <w:rPr>
          <w:rFonts w:ascii="Helvetica" w:hAnsi="Helvetica"/>
          <w:sz w:val="16"/>
        </w:rPr>
        <w:t>(</w:t>
      </w:r>
      <w:proofErr w:type="gramStart"/>
      <w:r w:rsidRPr="004C0364">
        <w:rPr>
          <w:rFonts w:ascii="Helvetica" w:hAnsi="Helvetica"/>
          <w:sz w:val="16"/>
        </w:rPr>
        <w:t>as</w:t>
      </w:r>
      <w:proofErr w:type="gramEnd"/>
      <w:r w:rsidRPr="004C0364">
        <w:rPr>
          <w:rFonts w:ascii="Helvetica" w:hAnsi="Helvetica"/>
          <w:sz w:val="16"/>
        </w:rPr>
        <w:t xml:space="preserve"> required by clause III(A), Form FS-2700-</w:t>
      </w:r>
      <w:r w:rsidR="0037595D" w:rsidRPr="004C0364">
        <w:rPr>
          <w:rFonts w:ascii="Helvetica" w:hAnsi="Helvetica"/>
          <w:sz w:val="16"/>
        </w:rPr>
        <w:t>10b</w:t>
      </w:r>
      <w:r w:rsidRPr="004C0364">
        <w:rPr>
          <w:rFonts w:ascii="Helvetica" w:hAnsi="Helvetica"/>
          <w:sz w:val="16"/>
        </w:rPr>
        <w:t>)</w:t>
      </w:r>
    </w:p>
    <w:p w:rsidR="00CB0DCE" w:rsidRPr="004C0364" w:rsidRDefault="00CB0DCE">
      <w:pPr>
        <w:rPr>
          <w:rFonts w:ascii="Helvetica" w:hAnsi="Helvetica"/>
          <w:sz w:val="20"/>
        </w:rPr>
      </w:pPr>
    </w:p>
    <w:p w:rsidR="00CB0DCE" w:rsidRPr="004C0364" w:rsidRDefault="00CB0DCE">
      <w:pPr>
        <w:rPr>
          <w:rFonts w:ascii="Helvetica" w:hAnsi="Helvetica"/>
          <w:sz w:val="20"/>
        </w:rPr>
      </w:pPr>
      <w:r w:rsidRPr="004C0364">
        <w:rPr>
          <w:rFonts w:ascii="Helvetica" w:hAnsi="Helvetica"/>
          <w:sz w:val="20"/>
        </w:rPr>
        <w:t>Name of Communication Site:  _________________________________________________________________</w:t>
      </w:r>
    </w:p>
    <w:p w:rsidR="00CB0DCE" w:rsidRPr="004C0364" w:rsidRDefault="00CB0DCE">
      <w:pPr>
        <w:rPr>
          <w:rFonts w:ascii="Helvetica" w:hAnsi="Helvetica"/>
          <w:sz w:val="20"/>
        </w:rPr>
      </w:pPr>
    </w:p>
    <w:p w:rsidR="00CB0DCE" w:rsidRPr="004C0364" w:rsidRDefault="00CB0DCE">
      <w:pPr>
        <w:tabs>
          <w:tab w:val="left" w:pos="3150"/>
          <w:tab w:val="left" w:pos="10080"/>
        </w:tabs>
        <w:rPr>
          <w:rFonts w:ascii="Helvetica" w:hAnsi="Helvetica"/>
          <w:sz w:val="20"/>
        </w:rPr>
      </w:pPr>
      <w:r w:rsidRPr="004C0364">
        <w:rPr>
          <w:rFonts w:ascii="Helvetica" w:hAnsi="Helvetica"/>
          <w:sz w:val="20"/>
        </w:rPr>
        <w:t>Name of Facility Owner or Manager:  ____________________________________________________________</w:t>
      </w:r>
    </w:p>
    <w:p w:rsidR="00CB0DCE" w:rsidRPr="004C0364" w:rsidRDefault="00CB0DCE">
      <w:pPr>
        <w:rPr>
          <w:rFonts w:ascii="Helvetica" w:hAnsi="Helvetica"/>
          <w:sz w:val="20"/>
        </w:rPr>
      </w:pPr>
    </w:p>
    <w:p w:rsidR="00CB0DCE" w:rsidRPr="004C0364" w:rsidRDefault="00CB0DCE">
      <w:pPr>
        <w:tabs>
          <w:tab w:val="left" w:pos="3150"/>
          <w:tab w:val="left" w:pos="10080"/>
        </w:tabs>
        <w:rPr>
          <w:rFonts w:ascii="Helvetica" w:hAnsi="Helvetica"/>
          <w:sz w:val="20"/>
        </w:rPr>
      </w:pPr>
      <w:r w:rsidRPr="004C0364">
        <w:rPr>
          <w:rFonts w:ascii="Helvetica" w:hAnsi="Helvetica"/>
          <w:sz w:val="20"/>
        </w:rPr>
        <w:t>Lease Authorization Number</w:t>
      </w:r>
      <w:r w:rsidR="00B92FB0" w:rsidRPr="004C0364">
        <w:rPr>
          <w:rFonts w:ascii="Helvetica" w:hAnsi="Helvetica"/>
          <w:sz w:val="20"/>
        </w:rPr>
        <w:t>/ID</w:t>
      </w:r>
      <w:r w:rsidRPr="004C0364">
        <w:rPr>
          <w:rFonts w:ascii="Helvetica" w:hAnsi="Helvetica"/>
          <w:sz w:val="20"/>
        </w:rPr>
        <w:t>:  ___________________________</w:t>
      </w:r>
    </w:p>
    <w:p w:rsidR="00CB0DCE" w:rsidRPr="004C0364" w:rsidRDefault="00CB0DCE">
      <w:pPr>
        <w:rPr>
          <w:rFonts w:ascii="Helvetica" w:hAnsi="Helvetica"/>
          <w:sz w:val="20"/>
        </w:rPr>
      </w:pPr>
    </w:p>
    <w:p w:rsidR="00CB0DCE" w:rsidRPr="004C0364" w:rsidRDefault="00CB0DCE">
      <w:pPr>
        <w:rPr>
          <w:rFonts w:ascii="Helvetica" w:hAnsi="Helvetica"/>
          <w:sz w:val="20"/>
        </w:rPr>
      </w:pPr>
      <w:r w:rsidRPr="004C0364">
        <w:rPr>
          <w:rFonts w:ascii="Helvetica" w:hAnsi="Helvetica"/>
          <w:sz w:val="20"/>
        </w:rPr>
        <w:t xml:space="preserve">Do you, as the owner of this communications facility, operate any communications equipment in this facility? </w:t>
      </w:r>
      <w:proofErr w:type="gramStart"/>
      <w:r w:rsidRPr="004C0364">
        <w:rPr>
          <w:rFonts w:ascii="Helvetica" w:hAnsi="Helvetica"/>
          <w:sz w:val="20"/>
        </w:rPr>
        <w:t>____</w:t>
      </w:r>
      <w:r w:rsidRPr="004C0364">
        <w:rPr>
          <w:rFonts w:ascii="Helvetica" w:hAnsi="Helvetica"/>
          <w:sz w:val="20"/>
        </w:rPr>
        <w:br/>
        <w:t xml:space="preserve">If yes, what </w:t>
      </w:r>
      <w:r w:rsidR="009D23AA" w:rsidRPr="004C0364">
        <w:rPr>
          <w:rFonts w:ascii="Helvetica" w:hAnsi="Helvetica"/>
          <w:sz w:val="20"/>
        </w:rPr>
        <w:t>are</w:t>
      </w:r>
      <w:r w:rsidRPr="004C0364">
        <w:rPr>
          <w:rFonts w:ascii="Helvetica" w:hAnsi="Helvetica"/>
          <w:sz w:val="20"/>
        </w:rPr>
        <w:t xml:space="preserve"> your type</w:t>
      </w:r>
      <w:r w:rsidR="009D23AA" w:rsidRPr="004C0364">
        <w:rPr>
          <w:rFonts w:ascii="Helvetica" w:hAnsi="Helvetica"/>
          <w:sz w:val="20"/>
        </w:rPr>
        <w:t>s</w:t>
      </w:r>
      <w:r w:rsidRPr="004C0364">
        <w:rPr>
          <w:rFonts w:ascii="Helvetica" w:hAnsi="Helvetica"/>
          <w:sz w:val="20"/>
        </w:rPr>
        <w:t xml:space="preserve"> of use (</w:t>
      </w:r>
      <w:r w:rsidR="00524AF0" w:rsidRPr="004C0364">
        <w:rPr>
          <w:rFonts w:ascii="Helvetica" w:hAnsi="Helvetica"/>
          <w:sz w:val="20"/>
        </w:rPr>
        <w:t xml:space="preserve">fee </w:t>
      </w:r>
      <w:r w:rsidRPr="004C0364">
        <w:rPr>
          <w:rFonts w:ascii="Helvetica" w:hAnsi="Helvetica"/>
          <w:sz w:val="20"/>
        </w:rPr>
        <w:t>categor</w:t>
      </w:r>
      <w:r w:rsidR="009D23AA" w:rsidRPr="004C0364">
        <w:rPr>
          <w:rFonts w:ascii="Helvetica" w:hAnsi="Helvetica"/>
          <w:sz w:val="20"/>
        </w:rPr>
        <w:t>ies</w:t>
      </w:r>
      <w:r w:rsidRPr="004C0364">
        <w:rPr>
          <w:rFonts w:ascii="Helvetica" w:hAnsi="Helvetica"/>
          <w:sz w:val="20"/>
        </w:rPr>
        <w:t xml:space="preserve"> &amp; </w:t>
      </w:r>
      <w:r w:rsidR="00524AF0" w:rsidRPr="004C0364">
        <w:rPr>
          <w:rFonts w:ascii="Helvetica" w:hAnsi="Helvetica"/>
          <w:sz w:val="20"/>
        </w:rPr>
        <w:t xml:space="preserve">use </w:t>
      </w:r>
      <w:r w:rsidRPr="004C0364">
        <w:rPr>
          <w:rFonts w:ascii="Helvetica" w:hAnsi="Helvetica"/>
          <w:sz w:val="20"/>
        </w:rPr>
        <w:t>code</w:t>
      </w:r>
      <w:r w:rsidR="009D23AA" w:rsidRPr="004C0364">
        <w:rPr>
          <w:rFonts w:ascii="Helvetica" w:hAnsi="Helvetica"/>
          <w:sz w:val="20"/>
        </w:rPr>
        <w:t>s</w:t>
      </w:r>
      <w:r w:rsidRPr="004C0364">
        <w:rPr>
          <w:rFonts w:ascii="Helvetica" w:hAnsi="Helvetica"/>
          <w:sz w:val="20"/>
        </w:rPr>
        <w:t>)</w:t>
      </w:r>
      <w:r w:rsidRPr="004C0364">
        <w:rPr>
          <w:rFonts w:ascii="Helvetica" w:hAnsi="Helvetica"/>
          <w:b/>
          <w:vertAlign w:val="superscript"/>
        </w:rPr>
        <w:t>*</w:t>
      </w:r>
      <w:r w:rsidRPr="004C0364">
        <w:rPr>
          <w:rFonts w:ascii="Helvetica" w:hAnsi="Helvetica"/>
          <w:sz w:val="20"/>
        </w:rPr>
        <w:t>?</w:t>
      </w:r>
      <w:proofErr w:type="gramEnd"/>
      <w:r w:rsidRPr="004C0364">
        <w:rPr>
          <w:rFonts w:ascii="Helvetica" w:hAnsi="Helvetica"/>
          <w:sz w:val="20"/>
        </w:rPr>
        <w:t xml:space="preserve">  __________________________________________</w:t>
      </w:r>
    </w:p>
    <w:p w:rsidR="00CB0DCE" w:rsidRPr="004C0364" w:rsidRDefault="00CB0DCE">
      <w:pPr>
        <w:pStyle w:val="Salutation"/>
        <w:rPr>
          <w:rFonts w:ascii="Helvetica" w:hAnsi="Helvetica"/>
          <w:sz w:val="20"/>
        </w:rPr>
      </w:pPr>
    </w:p>
    <w:p w:rsidR="00CB0DCE" w:rsidRPr="004C0364" w:rsidRDefault="00CB0DCE">
      <w:pPr>
        <w:spacing w:after="120"/>
        <w:rPr>
          <w:rFonts w:ascii="Helvetica" w:hAnsi="Helvetica"/>
          <w:sz w:val="20"/>
        </w:rPr>
      </w:pPr>
      <w:r w:rsidRPr="004C0364">
        <w:rPr>
          <w:rFonts w:ascii="Helvetica" w:hAnsi="Helvetica"/>
          <w:sz w:val="20"/>
        </w:rPr>
        <w:t xml:space="preserve">List all occupants (users with a formal or informal agreement to lease space) of your facility on </w:t>
      </w:r>
      <w:r w:rsidRPr="004C0364">
        <w:rPr>
          <w:rFonts w:ascii="Helvetica" w:hAnsi="Helvetica"/>
          <w:b/>
          <w:bCs/>
          <w:sz w:val="20"/>
        </w:rPr>
        <w:t>September 30</w:t>
      </w:r>
      <w:r w:rsidR="00951377" w:rsidRPr="004C0364">
        <w:rPr>
          <w:rFonts w:ascii="Helvetica" w:hAnsi="Helvetica"/>
          <w:b/>
          <w:bCs/>
          <w:sz w:val="20"/>
        </w:rPr>
        <w:t xml:space="preserve">,  </w:t>
      </w:r>
      <w:r w:rsidRPr="004C0364">
        <w:rPr>
          <w:rFonts w:ascii="Helvetica" w:hAnsi="Helvetica"/>
          <w:sz w:val="20"/>
        </w:rPr>
        <w:t xml:space="preserve"> </w:t>
      </w:r>
      <w:r w:rsidR="00951377" w:rsidRPr="004C0364">
        <w:rPr>
          <w:rFonts w:ascii="Helvetica" w:hAnsi="Helvetica"/>
          <w:sz w:val="20"/>
        </w:rPr>
        <w:t>_____</w:t>
      </w:r>
      <w:proofErr w:type="gramStart"/>
      <w:r w:rsidR="00951377" w:rsidRPr="004C0364">
        <w:rPr>
          <w:rFonts w:ascii="Helvetica" w:hAnsi="Helvetica"/>
          <w:sz w:val="20"/>
        </w:rPr>
        <w:t>_</w:t>
      </w:r>
      <w:r w:rsidRPr="004C0364">
        <w:rPr>
          <w:rFonts w:ascii="Helvetica" w:hAnsi="Helvetica"/>
          <w:sz w:val="20"/>
        </w:rPr>
        <w:t xml:space="preserve"> .</w:t>
      </w:r>
      <w:proofErr w:type="gramEnd"/>
      <w:r w:rsidRPr="004C0364">
        <w:rPr>
          <w:rFonts w:ascii="Helvetica" w:hAnsi="Helvetica"/>
          <w:sz w:val="20"/>
        </w:rPr>
        <w:t xml:space="preserve">  Include occupants in your facility that may have a contractual agreement with someone other than you.</w:t>
      </w:r>
    </w:p>
    <w:tbl>
      <w:tblPr>
        <w:tblW w:w="10092" w:type="dxa"/>
        <w:tblInd w:w="-57" w:type="dxa"/>
        <w:tblLayout w:type="fixed"/>
        <w:tblCellMar>
          <w:left w:w="0" w:type="dxa"/>
          <w:right w:w="0" w:type="dxa"/>
        </w:tblCellMar>
        <w:tblLook w:val="0000" w:firstRow="0" w:lastRow="0" w:firstColumn="0" w:lastColumn="0" w:noHBand="0" w:noVBand="0"/>
      </w:tblPr>
      <w:tblGrid>
        <w:gridCol w:w="4548"/>
        <w:gridCol w:w="3768"/>
        <w:gridCol w:w="1776"/>
      </w:tblGrid>
      <w:tr w:rsidR="00CB0DCE" w:rsidRPr="004C0364">
        <w:tblPrEx>
          <w:tblCellMar>
            <w:top w:w="0" w:type="dxa"/>
            <w:left w:w="0" w:type="dxa"/>
            <w:bottom w:w="0" w:type="dxa"/>
            <w:right w:w="0" w:type="dxa"/>
          </w:tblCellMar>
        </w:tblPrEx>
        <w:tc>
          <w:tcPr>
            <w:tcW w:w="4548" w:type="dxa"/>
            <w:tcBorders>
              <w:top w:val="single" w:sz="12" w:space="0" w:color="000000"/>
              <w:left w:val="single" w:sz="12" w:space="0" w:color="000000"/>
              <w:bottom w:val="single" w:sz="12" w:space="0" w:color="000000"/>
              <w:right w:val="single" w:sz="2" w:space="0" w:color="000000"/>
            </w:tcBorders>
          </w:tcPr>
          <w:p w:rsidR="00CB0DCE" w:rsidRPr="004C0364" w:rsidRDefault="00CB0DCE">
            <w:pPr>
              <w:jc w:val="center"/>
              <w:rPr>
                <w:rFonts w:ascii="Helvetica" w:hAnsi="Helvetica"/>
                <w:sz w:val="20"/>
              </w:rPr>
            </w:pPr>
            <w:r w:rsidRPr="004C0364">
              <w:rPr>
                <w:rFonts w:ascii="Helvetica" w:hAnsi="Helvetica"/>
                <w:sz w:val="20"/>
              </w:rPr>
              <w:t>OCCUPANT</w:t>
            </w:r>
          </w:p>
          <w:p w:rsidR="00CB0DCE" w:rsidRPr="004C0364" w:rsidRDefault="00CB0DCE">
            <w:pPr>
              <w:jc w:val="center"/>
              <w:rPr>
                <w:rFonts w:ascii="Helvetica" w:hAnsi="Helvetica"/>
                <w:sz w:val="20"/>
              </w:rPr>
            </w:pPr>
            <w:r w:rsidRPr="004C0364">
              <w:rPr>
                <w:rFonts w:ascii="Helvetica" w:hAnsi="Helvetica"/>
                <w:sz w:val="20"/>
              </w:rPr>
              <w:t>(</w:t>
            </w:r>
            <w:r w:rsidR="00951377" w:rsidRPr="004C0364">
              <w:rPr>
                <w:rFonts w:ascii="Helvetica" w:hAnsi="Helvetica"/>
                <w:sz w:val="20"/>
              </w:rPr>
              <w:t>Entity Name</w:t>
            </w:r>
            <w:r w:rsidRPr="004C0364">
              <w:rPr>
                <w:rFonts w:ascii="Helvetica" w:hAnsi="Helvetica"/>
                <w:sz w:val="20"/>
              </w:rPr>
              <w:t>)</w:t>
            </w:r>
          </w:p>
        </w:tc>
        <w:tc>
          <w:tcPr>
            <w:tcW w:w="3768" w:type="dxa"/>
            <w:tcBorders>
              <w:top w:val="single" w:sz="12" w:space="0" w:color="000000"/>
              <w:left w:val="single" w:sz="2" w:space="0" w:color="000000"/>
              <w:bottom w:val="single" w:sz="12" w:space="0" w:color="000000"/>
              <w:right w:val="single" w:sz="2" w:space="0" w:color="000000"/>
            </w:tcBorders>
          </w:tcPr>
          <w:p w:rsidR="00CB0DCE" w:rsidRPr="004C0364" w:rsidRDefault="00CB0DCE">
            <w:pPr>
              <w:jc w:val="center"/>
              <w:rPr>
                <w:rFonts w:ascii="Helvetica" w:hAnsi="Helvetica"/>
                <w:sz w:val="20"/>
              </w:rPr>
            </w:pPr>
            <w:r w:rsidRPr="004C0364">
              <w:rPr>
                <w:rFonts w:ascii="Helvetica" w:hAnsi="Helvetica"/>
                <w:sz w:val="20"/>
              </w:rPr>
              <w:t>TYPE OF USE</w:t>
            </w:r>
          </w:p>
          <w:p w:rsidR="00CB0DCE" w:rsidRPr="004C0364" w:rsidRDefault="00CB0DCE">
            <w:pPr>
              <w:jc w:val="center"/>
              <w:rPr>
                <w:rFonts w:ascii="Helvetica" w:hAnsi="Helvetica"/>
                <w:sz w:val="20"/>
              </w:rPr>
            </w:pPr>
            <w:r w:rsidRPr="004C0364">
              <w:rPr>
                <w:rFonts w:ascii="Helvetica" w:hAnsi="Helvetica"/>
                <w:sz w:val="20"/>
              </w:rPr>
              <w:t>(</w:t>
            </w:r>
            <w:r w:rsidR="00524AF0" w:rsidRPr="004C0364">
              <w:rPr>
                <w:rFonts w:ascii="Helvetica" w:hAnsi="Helvetica"/>
                <w:sz w:val="20"/>
              </w:rPr>
              <w:t xml:space="preserve">Fee </w:t>
            </w:r>
            <w:r w:rsidRPr="004C0364">
              <w:rPr>
                <w:rFonts w:ascii="Helvetica" w:hAnsi="Helvetica"/>
                <w:sz w:val="20"/>
              </w:rPr>
              <w:t xml:space="preserve">Category &amp; </w:t>
            </w:r>
            <w:r w:rsidR="00524AF0" w:rsidRPr="004C0364">
              <w:rPr>
                <w:rFonts w:ascii="Helvetica" w:hAnsi="Helvetica"/>
                <w:sz w:val="20"/>
              </w:rPr>
              <w:t xml:space="preserve">Use </w:t>
            </w:r>
            <w:r w:rsidRPr="004C0364">
              <w:rPr>
                <w:rFonts w:ascii="Helvetica" w:hAnsi="Helvetica"/>
                <w:sz w:val="20"/>
              </w:rPr>
              <w:t>Code)</w:t>
            </w:r>
            <w:r w:rsidRPr="004C0364">
              <w:rPr>
                <w:rFonts w:ascii="Helvetica" w:hAnsi="Helvetica"/>
                <w:vertAlign w:val="superscript"/>
              </w:rPr>
              <w:t>*</w:t>
            </w:r>
          </w:p>
        </w:tc>
        <w:tc>
          <w:tcPr>
            <w:tcW w:w="1776" w:type="dxa"/>
            <w:tcBorders>
              <w:top w:val="single" w:sz="12" w:space="0" w:color="000000"/>
              <w:left w:val="single" w:sz="2" w:space="0" w:color="000000"/>
              <w:bottom w:val="single" w:sz="12" w:space="0" w:color="000000"/>
              <w:right w:val="single" w:sz="12" w:space="0" w:color="000000"/>
            </w:tcBorders>
          </w:tcPr>
          <w:p w:rsidR="00CB0DCE" w:rsidRPr="004C0364" w:rsidRDefault="00CB0DCE">
            <w:pPr>
              <w:jc w:val="center"/>
              <w:rPr>
                <w:rFonts w:ascii="Helvetica" w:hAnsi="Helvetica"/>
                <w:sz w:val="20"/>
              </w:rPr>
            </w:pPr>
            <w:r w:rsidRPr="004C0364">
              <w:rPr>
                <w:rFonts w:ascii="Helvetica" w:hAnsi="Helvetica"/>
                <w:sz w:val="20"/>
              </w:rPr>
              <w:t>CUSTOMER or TENANT</w:t>
            </w:r>
            <w:r w:rsidRPr="004C0364">
              <w:rPr>
                <w:rFonts w:ascii="Helvetica" w:hAnsi="Helvetica"/>
                <w:b/>
                <w:vertAlign w:val="superscript"/>
              </w:rPr>
              <w:t>**</w:t>
            </w:r>
          </w:p>
        </w:tc>
      </w:tr>
      <w:tr w:rsidR="00CB0DCE" w:rsidRPr="004C0364">
        <w:tblPrEx>
          <w:tblCellMar>
            <w:top w:w="0" w:type="dxa"/>
            <w:left w:w="0" w:type="dxa"/>
            <w:bottom w:w="0" w:type="dxa"/>
            <w:right w:w="0" w:type="dxa"/>
          </w:tblCellMar>
        </w:tblPrEx>
        <w:tc>
          <w:tcPr>
            <w:tcW w:w="4548" w:type="dxa"/>
            <w:tcBorders>
              <w:top w:val="single" w:sz="1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1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12" w:space="0" w:color="000000"/>
              <w:left w:val="single" w:sz="2" w:space="0" w:color="000000"/>
              <w:bottom w:val="single" w:sz="2" w:space="0" w:color="000000"/>
              <w:right w:val="single" w:sz="12" w:space="0" w:color="000000"/>
            </w:tcBorders>
          </w:tcPr>
          <w:p w:rsidR="00CB0DCE" w:rsidRPr="004C0364" w:rsidRDefault="00CB0DCE">
            <w:pPr>
              <w:pStyle w:val="Salutation"/>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pStyle w:val="Header"/>
              <w:tabs>
                <w:tab w:val="clear" w:pos="4320"/>
                <w:tab w:val="clear" w:pos="8640"/>
              </w:tabs>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2" w:space="0" w:color="000000"/>
              <w:right w:val="single" w:sz="12" w:space="0" w:color="000000"/>
            </w:tcBorders>
          </w:tcPr>
          <w:p w:rsidR="00CB0DCE" w:rsidRPr="004C0364" w:rsidRDefault="00CB0DCE">
            <w:pPr>
              <w:rPr>
                <w:rFonts w:ascii="Helvetica" w:hAnsi="Helvetica"/>
                <w:sz w:val="28"/>
              </w:rPr>
            </w:pPr>
          </w:p>
        </w:tc>
      </w:tr>
      <w:tr w:rsidR="00CB0DCE" w:rsidRPr="004C0364">
        <w:tblPrEx>
          <w:tblCellMar>
            <w:top w:w="0" w:type="dxa"/>
            <w:left w:w="0" w:type="dxa"/>
            <w:bottom w:w="0" w:type="dxa"/>
            <w:right w:w="0" w:type="dxa"/>
          </w:tblCellMar>
        </w:tblPrEx>
        <w:tc>
          <w:tcPr>
            <w:tcW w:w="4548" w:type="dxa"/>
            <w:tcBorders>
              <w:top w:val="single" w:sz="2" w:space="0" w:color="000000"/>
              <w:left w:val="single" w:sz="12" w:space="0" w:color="000000"/>
              <w:bottom w:val="single" w:sz="12" w:space="0" w:color="000000"/>
              <w:right w:val="single" w:sz="2" w:space="0" w:color="000000"/>
            </w:tcBorders>
          </w:tcPr>
          <w:p w:rsidR="00CB0DCE" w:rsidRPr="004C0364" w:rsidRDefault="00CB0DCE">
            <w:pPr>
              <w:rPr>
                <w:rFonts w:ascii="Helvetica" w:hAnsi="Helvetica"/>
                <w:sz w:val="28"/>
              </w:rPr>
            </w:pPr>
          </w:p>
        </w:tc>
        <w:tc>
          <w:tcPr>
            <w:tcW w:w="3768" w:type="dxa"/>
            <w:tcBorders>
              <w:top w:val="single" w:sz="2" w:space="0" w:color="000000"/>
              <w:left w:val="single" w:sz="2" w:space="0" w:color="000000"/>
              <w:bottom w:val="single" w:sz="12" w:space="0" w:color="000000"/>
              <w:right w:val="single" w:sz="2" w:space="0" w:color="000000"/>
            </w:tcBorders>
          </w:tcPr>
          <w:p w:rsidR="00CB0DCE" w:rsidRPr="004C0364" w:rsidRDefault="00CB0DCE">
            <w:pPr>
              <w:rPr>
                <w:rFonts w:ascii="Helvetica" w:hAnsi="Helvetica"/>
                <w:sz w:val="28"/>
              </w:rPr>
            </w:pPr>
          </w:p>
        </w:tc>
        <w:tc>
          <w:tcPr>
            <w:tcW w:w="1776" w:type="dxa"/>
            <w:tcBorders>
              <w:top w:val="single" w:sz="2" w:space="0" w:color="000000"/>
              <w:left w:val="single" w:sz="2" w:space="0" w:color="000000"/>
              <w:bottom w:val="single" w:sz="12" w:space="0" w:color="000000"/>
              <w:right w:val="single" w:sz="12" w:space="0" w:color="000000"/>
            </w:tcBorders>
          </w:tcPr>
          <w:p w:rsidR="00CB0DCE" w:rsidRPr="004C0364" w:rsidRDefault="00CB0DCE">
            <w:pPr>
              <w:rPr>
                <w:rFonts w:ascii="Helvetica" w:hAnsi="Helvetica"/>
                <w:sz w:val="28"/>
              </w:rPr>
            </w:pPr>
          </w:p>
        </w:tc>
      </w:tr>
    </w:tbl>
    <w:p w:rsidR="00CB0DCE" w:rsidRPr="004C0364" w:rsidRDefault="00CB0DCE">
      <w:pPr>
        <w:spacing w:before="40"/>
        <w:ind w:right="274"/>
        <w:rPr>
          <w:rFonts w:ascii="Helvetica" w:hAnsi="Helvetica"/>
          <w:sz w:val="18"/>
        </w:rPr>
      </w:pPr>
      <w:r w:rsidRPr="004C0364">
        <w:rPr>
          <w:rFonts w:ascii="Helvetica" w:hAnsi="Helvetica"/>
          <w:vertAlign w:val="superscript"/>
        </w:rPr>
        <w:t>*</w:t>
      </w:r>
      <w:r w:rsidRPr="004C0364">
        <w:rPr>
          <w:rFonts w:ascii="Helvetica" w:hAnsi="Helvetica"/>
          <w:sz w:val="18"/>
        </w:rPr>
        <w:t>See attached category and code descriptions.</w:t>
      </w:r>
      <w:r w:rsidR="00966371" w:rsidRPr="004C0364">
        <w:rPr>
          <w:rFonts w:ascii="Helvetica" w:hAnsi="Helvetica"/>
          <w:sz w:val="18"/>
        </w:rPr>
        <w:t xml:space="preserve">  Please review the definitions specific to cellular and microwave uses.</w:t>
      </w:r>
    </w:p>
    <w:p w:rsidR="00CB0DCE" w:rsidRPr="004C0364" w:rsidRDefault="00CB0DCE">
      <w:pPr>
        <w:spacing w:before="40"/>
        <w:rPr>
          <w:rFonts w:ascii="Helvetica" w:hAnsi="Helvetica"/>
          <w:sz w:val="18"/>
        </w:rPr>
      </w:pPr>
      <w:r w:rsidRPr="004C0364">
        <w:rPr>
          <w:rFonts w:ascii="Helvetica" w:hAnsi="Helvetica"/>
          <w:vertAlign w:val="superscript"/>
        </w:rPr>
        <w:t>**</w:t>
      </w:r>
      <w:r w:rsidRPr="004C0364">
        <w:rPr>
          <w:rFonts w:ascii="Helvetica" w:hAnsi="Helvetica"/>
          <w:sz w:val="18"/>
        </w:rPr>
        <w:t>"</w:t>
      </w:r>
      <w:r w:rsidRPr="004C0364">
        <w:rPr>
          <w:rFonts w:ascii="Helvetica" w:hAnsi="Helvetica"/>
          <w:sz w:val="18"/>
          <w:u w:val="single"/>
        </w:rPr>
        <w:t>Customers</w:t>
      </w:r>
      <w:r w:rsidRPr="004C0364">
        <w:rPr>
          <w:rFonts w:ascii="Helvetica" w:hAnsi="Helvetica"/>
          <w:sz w:val="18"/>
        </w:rPr>
        <w:t xml:space="preserve">" are individuals, businesses, organizations, or </w:t>
      </w:r>
      <w:r w:rsidR="0066242D" w:rsidRPr="004C0364">
        <w:rPr>
          <w:rFonts w:ascii="Helvetica" w:hAnsi="Helvetica"/>
          <w:sz w:val="18"/>
        </w:rPr>
        <w:t>an agency that operates telecommunication equipment within your facility (building and/or tower) but does</w:t>
      </w:r>
      <w:r w:rsidR="0037595D" w:rsidRPr="004C0364">
        <w:rPr>
          <w:rFonts w:ascii="Helvetica" w:hAnsi="Helvetica"/>
          <w:sz w:val="18"/>
        </w:rPr>
        <w:t xml:space="preserve"> </w:t>
      </w:r>
      <w:r w:rsidRPr="004C0364">
        <w:rPr>
          <w:rFonts w:ascii="Helvetica" w:hAnsi="Helvetica"/>
          <w:sz w:val="18"/>
        </w:rPr>
        <w:t>not resell communication services to others.  "</w:t>
      </w:r>
      <w:r w:rsidRPr="004C0364">
        <w:rPr>
          <w:rFonts w:ascii="Helvetica" w:hAnsi="Helvetica"/>
          <w:sz w:val="18"/>
          <w:u w:val="single"/>
        </w:rPr>
        <w:t>Tenants</w:t>
      </w:r>
      <w:r w:rsidRPr="004C0364">
        <w:rPr>
          <w:rFonts w:ascii="Helvetica" w:hAnsi="Helvetica"/>
          <w:sz w:val="18"/>
        </w:rPr>
        <w:t xml:space="preserve">" are </w:t>
      </w:r>
      <w:r w:rsidR="0066242D" w:rsidRPr="004C0364">
        <w:rPr>
          <w:rFonts w:ascii="Helvetica" w:hAnsi="Helvetica"/>
          <w:sz w:val="18"/>
        </w:rPr>
        <w:t>individuals, businesses, organizations, or an agency that operates telecommunication equipment within your facility (buildings and/or tower)</w:t>
      </w:r>
      <w:r w:rsidRPr="004C0364">
        <w:rPr>
          <w:rFonts w:ascii="Helvetica" w:hAnsi="Helvetica"/>
          <w:sz w:val="18"/>
        </w:rPr>
        <w:t xml:space="preserve"> for the purpose of reselling communications services to others.</w:t>
      </w:r>
    </w:p>
    <w:p w:rsidR="00CB0DCE" w:rsidRPr="004C0364" w:rsidRDefault="00CB0DCE">
      <w:pPr>
        <w:pStyle w:val="Header"/>
        <w:tabs>
          <w:tab w:val="clear" w:pos="4320"/>
          <w:tab w:val="clear" w:pos="8640"/>
        </w:tabs>
        <w:rPr>
          <w:rFonts w:ascii="Helvetica" w:hAnsi="Helvetica"/>
          <w:sz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CB0DCE" w:rsidRPr="004C0364">
        <w:tblPrEx>
          <w:tblCellMar>
            <w:top w:w="0" w:type="dxa"/>
            <w:bottom w:w="0" w:type="dxa"/>
          </w:tblCellMar>
        </w:tblPrEx>
        <w:tc>
          <w:tcPr>
            <w:tcW w:w="9630" w:type="dxa"/>
          </w:tcPr>
          <w:p w:rsidR="00CB0DCE" w:rsidRPr="004C0364" w:rsidRDefault="00CB0DCE">
            <w:pPr>
              <w:rPr>
                <w:rFonts w:ascii="Helvetica" w:hAnsi="Helvetica"/>
                <w:sz w:val="18"/>
              </w:rPr>
            </w:pPr>
            <w:r w:rsidRPr="004C0364">
              <w:rPr>
                <w:rFonts w:ascii="Helvetica" w:hAnsi="Helvetica"/>
                <w:sz w:val="18"/>
              </w:rPr>
              <w:t>NOTICE:  The undersigned understands that it is a crime for any person to knowingly and willfully make false, fictitious, or fraudulent statements to matters under the jurisdiction of the United States Government (18 U.S.C. 1001).</w:t>
            </w:r>
          </w:p>
        </w:tc>
      </w:tr>
    </w:tbl>
    <w:p w:rsidR="00CB0DCE" w:rsidRPr="004C0364" w:rsidRDefault="00CB0DCE">
      <w:pPr>
        <w:pStyle w:val="Header"/>
        <w:tabs>
          <w:tab w:val="clear" w:pos="4320"/>
          <w:tab w:val="clear" w:pos="8640"/>
        </w:tabs>
        <w:rPr>
          <w:rFonts w:ascii="Helvetica" w:hAnsi="Helvetica"/>
          <w:sz w:val="20"/>
        </w:rPr>
      </w:pPr>
    </w:p>
    <w:p w:rsidR="00CB0DCE" w:rsidRPr="004C0364" w:rsidRDefault="00CB0DCE">
      <w:pPr>
        <w:rPr>
          <w:rFonts w:ascii="Helvetica" w:hAnsi="Helvetica"/>
          <w:b/>
          <w:bCs/>
          <w:sz w:val="20"/>
        </w:rPr>
      </w:pPr>
      <w:r w:rsidRPr="004C0364">
        <w:rPr>
          <w:rFonts w:ascii="Helvetica" w:hAnsi="Helvetica"/>
          <w:b/>
          <w:bCs/>
          <w:sz w:val="20"/>
        </w:rPr>
        <w:t>I certify that to the best of my knowledge the information provided above is true, correct, and complete.</w:t>
      </w:r>
    </w:p>
    <w:p w:rsidR="00CB0DCE" w:rsidRPr="004C0364" w:rsidRDefault="00CB0DCE">
      <w:pPr>
        <w:pStyle w:val="Salutation"/>
        <w:rPr>
          <w:rFonts w:ascii="Helvetica" w:hAnsi="Helvetica"/>
          <w:sz w:val="20"/>
        </w:rPr>
      </w:pPr>
    </w:p>
    <w:tbl>
      <w:tblPr>
        <w:tblW w:w="10060" w:type="dxa"/>
        <w:tblInd w:w="20" w:type="dxa"/>
        <w:tblLayout w:type="fixed"/>
        <w:tblCellMar>
          <w:left w:w="0" w:type="dxa"/>
          <w:right w:w="0" w:type="dxa"/>
        </w:tblCellMar>
        <w:tblLook w:val="0000" w:firstRow="0" w:lastRow="0" w:firstColumn="0" w:lastColumn="0" w:noHBand="0" w:noVBand="0"/>
      </w:tblPr>
      <w:tblGrid>
        <w:gridCol w:w="1150"/>
        <w:gridCol w:w="4950"/>
        <w:gridCol w:w="810"/>
        <w:gridCol w:w="3150"/>
      </w:tblGrid>
      <w:tr w:rsidR="00CB0DCE" w:rsidRPr="004C0364">
        <w:tblPrEx>
          <w:tblCellMar>
            <w:top w:w="0" w:type="dxa"/>
            <w:left w:w="0" w:type="dxa"/>
            <w:bottom w:w="0" w:type="dxa"/>
            <w:right w:w="0" w:type="dxa"/>
          </w:tblCellMar>
        </w:tblPrEx>
        <w:tc>
          <w:tcPr>
            <w:tcW w:w="1150" w:type="dxa"/>
            <w:tcBorders>
              <w:top w:val="nil"/>
              <w:left w:val="nil"/>
              <w:bottom w:val="nil"/>
            </w:tcBorders>
            <w:vAlign w:val="bottom"/>
          </w:tcPr>
          <w:p w:rsidR="00CB0DCE" w:rsidRPr="004C0364" w:rsidRDefault="00CB0DCE">
            <w:pPr>
              <w:rPr>
                <w:rFonts w:ascii="Helvetica" w:hAnsi="Helvetica"/>
                <w:sz w:val="20"/>
              </w:rPr>
            </w:pPr>
            <w:r w:rsidRPr="004C0364">
              <w:rPr>
                <w:rFonts w:ascii="Helvetica" w:hAnsi="Helvetica"/>
                <w:sz w:val="20"/>
              </w:rPr>
              <w:t>Signature:</w:t>
            </w:r>
          </w:p>
        </w:tc>
        <w:tc>
          <w:tcPr>
            <w:tcW w:w="4950" w:type="dxa"/>
            <w:tcBorders>
              <w:top w:val="nil"/>
              <w:left w:val="nil"/>
              <w:bottom w:val="single" w:sz="4" w:space="0" w:color="auto"/>
              <w:right w:val="nil"/>
            </w:tcBorders>
            <w:vAlign w:val="bottom"/>
          </w:tcPr>
          <w:p w:rsidR="00CB0DCE" w:rsidRPr="004C0364" w:rsidRDefault="00CB0DCE">
            <w:pPr>
              <w:spacing w:before="240"/>
              <w:rPr>
                <w:rFonts w:ascii="Helvetica" w:hAnsi="Helvetica"/>
                <w:sz w:val="20"/>
              </w:rPr>
            </w:pPr>
          </w:p>
        </w:tc>
        <w:tc>
          <w:tcPr>
            <w:tcW w:w="810" w:type="dxa"/>
            <w:tcBorders>
              <w:top w:val="nil"/>
              <w:left w:val="nil"/>
              <w:bottom w:val="nil"/>
            </w:tcBorders>
            <w:vAlign w:val="bottom"/>
          </w:tcPr>
          <w:p w:rsidR="00CB0DCE" w:rsidRPr="004C0364" w:rsidRDefault="00CB0DCE">
            <w:pPr>
              <w:ind w:right="105"/>
              <w:jc w:val="right"/>
              <w:rPr>
                <w:rFonts w:ascii="Helvetica" w:hAnsi="Helvetica"/>
                <w:sz w:val="20"/>
              </w:rPr>
            </w:pPr>
            <w:r w:rsidRPr="004C0364">
              <w:rPr>
                <w:rFonts w:ascii="Helvetica" w:hAnsi="Helvetica"/>
                <w:sz w:val="20"/>
              </w:rPr>
              <w:t>Date:</w:t>
            </w:r>
          </w:p>
        </w:tc>
        <w:tc>
          <w:tcPr>
            <w:tcW w:w="3150" w:type="dxa"/>
            <w:tcBorders>
              <w:top w:val="nil"/>
              <w:left w:val="nil"/>
              <w:bottom w:val="single" w:sz="4" w:space="0" w:color="auto"/>
              <w:right w:val="nil"/>
            </w:tcBorders>
            <w:vAlign w:val="bottom"/>
          </w:tcPr>
          <w:p w:rsidR="00CB0DCE" w:rsidRPr="004C0364" w:rsidRDefault="00CB0DCE">
            <w:pPr>
              <w:pStyle w:val="Salutation"/>
              <w:rPr>
                <w:rFonts w:ascii="Helvetica" w:hAnsi="Helvetica"/>
                <w:sz w:val="20"/>
              </w:rPr>
            </w:pPr>
          </w:p>
        </w:tc>
      </w:tr>
    </w:tbl>
    <w:p w:rsidR="00CB0DCE" w:rsidRPr="004C0364" w:rsidRDefault="00CB0DCE">
      <w:pPr>
        <w:pStyle w:val="Exhibit"/>
        <w:jc w:val="left"/>
        <w:rPr>
          <w:rFonts w:ascii="Helvetica" w:hAnsi="Helvetica"/>
          <w:b/>
          <w:bCs/>
          <w:sz w:val="12"/>
          <w:szCs w:val="12"/>
          <w:u w:val="none"/>
        </w:rPr>
      </w:pPr>
    </w:p>
    <w:tbl>
      <w:tblPr>
        <w:tblW w:w="10060" w:type="dxa"/>
        <w:tblInd w:w="20" w:type="dxa"/>
        <w:tblLayout w:type="fixed"/>
        <w:tblCellMar>
          <w:left w:w="0" w:type="dxa"/>
          <w:right w:w="0" w:type="dxa"/>
        </w:tblCellMar>
        <w:tblLook w:val="0000" w:firstRow="0" w:lastRow="0" w:firstColumn="0" w:lastColumn="0" w:noHBand="0" w:noVBand="0"/>
      </w:tblPr>
      <w:tblGrid>
        <w:gridCol w:w="1150"/>
        <w:gridCol w:w="3870"/>
        <w:gridCol w:w="1440"/>
        <w:gridCol w:w="3600"/>
      </w:tblGrid>
      <w:tr w:rsidR="009D23AA" w:rsidRPr="004C0364" w:rsidTr="002B6302">
        <w:tblPrEx>
          <w:tblCellMar>
            <w:top w:w="0" w:type="dxa"/>
            <w:left w:w="0" w:type="dxa"/>
            <w:bottom w:w="0" w:type="dxa"/>
            <w:right w:w="0" w:type="dxa"/>
          </w:tblCellMar>
        </w:tblPrEx>
        <w:tc>
          <w:tcPr>
            <w:tcW w:w="1150" w:type="dxa"/>
            <w:tcBorders>
              <w:top w:val="nil"/>
              <w:left w:val="nil"/>
              <w:bottom w:val="nil"/>
            </w:tcBorders>
            <w:vAlign w:val="bottom"/>
          </w:tcPr>
          <w:p w:rsidR="009D23AA" w:rsidRPr="004C0364" w:rsidRDefault="009D23AA" w:rsidP="002B6302">
            <w:pPr>
              <w:rPr>
                <w:rFonts w:ascii="Helvetica" w:hAnsi="Helvetica"/>
                <w:sz w:val="20"/>
              </w:rPr>
            </w:pPr>
            <w:r w:rsidRPr="004C0364">
              <w:rPr>
                <w:rFonts w:ascii="Helvetica" w:hAnsi="Helvetica"/>
                <w:sz w:val="20"/>
              </w:rPr>
              <w:t>Print Name:</w:t>
            </w:r>
          </w:p>
        </w:tc>
        <w:tc>
          <w:tcPr>
            <w:tcW w:w="3870" w:type="dxa"/>
            <w:tcBorders>
              <w:top w:val="nil"/>
              <w:left w:val="nil"/>
              <w:bottom w:val="single" w:sz="4" w:space="0" w:color="auto"/>
              <w:right w:val="nil"/>
            </w:tcBorders>
            <w:vAlign w:val="bottom"/>
          </w:tcPr>
          <w:p w:rsidR="009D23AA" w:rsidRPr="004C0364" w:rsidRDefault="009D23AA" w:rsidP="002B6302">
            <w:pPr>
              <w:spacing w:before="240"/>
              <w:rPr>
                <w:rFonts w:ascii="Helvetica" w:hAnsi="Helvetica"/>
                <w:sz w:val="20"/>
              </w:rPr>
            </w:pPr>
          </w:p>
        </w:tc>
        <w:tc>
          <w:tcPr>
            <w:tcW w:w="1440" w:type="dxa"/>
            <w:tcBorders>
              <w:top w:val="nil"/>
              <w:left w:val="nil"/>
              <w:bottom w:val="nil"/>
            </w:tcBorders>
            <w:vAlign w:val="bottom"/>
          </w:tcPr>
          <w:p w:rsidR="009D23AA" w:rsidRPr="004C0364" w:rsidRDefault="009D23AA" w:rsidP="009D23AA">
            <w:pPr>
              <w:ind w:right="105"/>
              <w:jc w:val="center"/>
              <w:rPr>
                <w:rFonts w:ascii="Helvetica" w:hAnsi="Helvetica"/>
                <w:sz w:val="20"/>
              </w:rPr>
            </w:pPr>
            <w:r w:rsidRPr="004C0364">
              <w:rPr>
                <w:rFonts w:ascii="Helvetica" w:hAnsi="Helvetica"/>
                <w:sz w:val="20"/>
              </w:rPr>
              <w:t>Contact Phone Number:</w:t>
            </w:r>
          </w:p>
        </w:tc>
        <w:tc>
          <w:tcPr>
            <w:tcW w:w="3600" w:type="dxa"/>
            <w:tcBorders>
              <w:top w:val="nil"/>
              <w:left w:val="nil"/>
              <w:bottom w:val="single" w:sz="4" w:space="0" w:color="auto"/>
              <w:right w:val="nil"/>
            </w:tcBorders>
            <w:vAlign w:val="bottom"/>
          </w:tcPr>
          <w:p w:rsidR="009D23AA" w:rsidRPr="004C0364" w:rsidRDefault="009D23AA" w:rsidP="002B6302">
            <w:pPr>
              <w:pStyle w:val="Salutation"/>
              <w:rPr>
                <w:rFonts w:ascii="Helvetica" w:hAnsi="Helvetica"/>
                <w:sz w:val="20"/>
              </w:rPr>
            </w:pPr>
          </w:p>
        </w:tc>
      </w:tr>
    </w:tbl>
    <w:p w:rsidR="009D23AA" w:rsidRPr="004C0364" w:rsidRDefault="009D23AA" w:rsidP="009D23AA"/>
    <w:p w:rsidR="004C0364" w:rsidRDefault="004C0364" w:rsidP="004C0364">
      <w:pPr>
        <w:jc w:val="center"/>
        <w:rPr>
          <w:rFonts w:ascii="Helvetica" w:hAnsi="Helvetica" w:cs="Arial"/>
          <w:b/>
          <w:sz w:val="18"/>
          <w:szCs w:val="18"/>
        </w:rPr>
      </w:pPr>
      <w:r>
        <w:rPr>
          <w:rFonts w:ascii="Helvetica" w:hAnsi="Helvetica" w:cs="Arial"/>
          <w:b/>
          <w:sz w:val="18"/>
          <w:szCs w:val="18"/>
        </w:rPr>
        <w:t>Burden and Non-Discrimination Statement</w:t>
      </w:r>
    </w:p>
    <w:p w:rsidR="004C0364" w:rsidRDefault="004C0364" w:rsidP="004C0364">
      <w:pPr>
        <w:ind w:right="720"/>
        <w:rPr>
          <w:rFonts w:ascii="Helvetica" w:hAnsi="Helvetica"/>
          <w:sz w:val="16"/>
          <w:szCs w:val="16"/>
        </w:rPr>
      </w:pPr>
      <w:r>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4C0364" w:rsidRDefault="004C0364" w:rsidP="004C0364">
      <w:pPr>
        <w:rPr>
          <w:rFonts w:ascii="Helvetica" w:hAnsi="Helvetica"/>
          <w:sz w:val="16"/>
          <w:szCs w:val="16"/>
        </w:rPr>
      </w:pPr>
    </w:p>
    <w:p w:rsidR="004C0364" w:rsidRDefault="004C0364" w:rsidP="004C0364">
      <w:pPr>
        <w:ind w:right="720"/>
        <w:rPr>
          <w:rFonts w:ascii="Helvetica" w:hAnsi="Helvetica"/>
          <w:sz w:val="16"/>
          <w:szCs w:val="16"/>
        </w:rPr>
      </w:pPr>
      <w:r>
        <w:rPr>
          <w:rFonts w:ascii="Helvetica" w:hAnsi="Helvetica"/>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w:t>
      </w:r>
      <w:r>
        <w:rPr>
          <w:rFonts w:ascii="Helvetica" w:hAnsi="Helvetica"/>
          <w:sz w:val="16"/>
          <w:szCs w:val="16"/>
        </w:rPr>
        <w:lastRenderedPageBreak/>
        <w:t xml:space="preserve">communication of program information (Braille, large print, audiotape, etc.) should contact USDA’s TARGET Center at 202-720-2600 (voice and </w:t>
      </w:r>
      <w:proofErr w:type="spellStart"/>
      <w:r>
        <w:rPr>
          <w:rFonts w:ascii="Helvetica" w:hAnsi="Helvetica"/>
          <w:sz w:val="16"/>
          <w:szCs w:val="16"/>
        </w:rPr>
        <w:t>TDD</w:t>
      </w:r>
      <w:proofErr w:type="spellEnd"/>
      <w:r>
        <w:rPr>
          <w:rFonts w:ascii="Helvetica" w:hAnsi="Helvetica"/>
          <w:sz w:val="16"/>
          <w:szCs w:val="16"/>
        </w:rPr>
        <w:t>).</w:t>
      </w:r>
    </w:p>
    <w:p w:rsidR="004C0364" w:rsidRDefault="004C0364" w:rsidP="004C0364">
      <w:pPr>
        <w:ind w:right="720"/>
        <w:rPr>
          <w:rFonts w:ascii="Helvetica" w:hAnsi="Helvetica"/>
          <w:sz w:val="16"/>
          <w:szCs w:val="16"/>
        </w:rPr>
      </w:pPr>
      <w:r>
        <w:rPr>
          <w:rFonts w:ascii="Helvetica" w:hAnsi="Helvetica"/>
          <w:sz w:val="16"/>
          <w:szCs w:val="16"/>
        </w:rPr>
        <w:t> </w:t>
      </w:r>
    </w:p>
    <w:p w:rsidR="004C0364" w:rsidRDefault="004C0364" w:rsidP="004C0364">
      <w:pPr>
        <w:spacing w:after="172"/>
        <w:ind w:right="720"/>
        <w:rPr>
          <w:rFonts w:ascii="Helvetica" w:hAnsi="Helvetica"/>
          <w:sz w:val="16"/>
          <w:szCs w:val="16"/>
        </w:rPr>
      </w:pPr>
      <w:r>
        <w:rPr>
          <w:rFonts w:ascii="Helvetica" w:hAnsi="Helvetica"/>
          <w:sz w:val="16"/>
          <w:szCs w:val="16"/>
        </w:rPr>
        <w:t xml:space="preserve">To file a complaint of discrimination, write USDA, Director, Office of Civil Rights, 1400 Independence Avenue, SW, Washington, DC 20250-9410, or call toll free at (866) 632-9992 (voice).  </w:t>
      </w:r>
      <w:proofErr w:type="spellStart"/>
      <w:r>
        <w:rPr>
          <w:rFonts w:ascii="Helvetica" w:hAnsi="Helvetica"/>
          <w:sz w:val="16"/>
          <w:szCs w:val="16"/>
        </w:rPr>
        <w:t>TDD</w:t>
      </w:r>
      <w:proofErr w:type="spellEnd"/>
      <w:r>
        <w:rPr>
          <w:rFonts w:ascii="Helvetica" w:hAnsi="Helvetica"/>
          <w:sz w:val="16"/>
          <w:szCs w:val="16"/>
        </w:rPr>
        <w:t xml:space="preserve"> users can contact USDA through local relay or the Federal relay at (800) 877-8339 (</w:t>
      </w:r>
      <w:proofErr w:type="spellStart"/>
      <w:r>
        <w:rPr>
          <w:rFonts w:ascii="Helvetica" w:hAnsi="Helvetica"/>
          <w:sz w:val="16"/>
          <w:szCs w:val="16"/>
        </w:rPr>
        <w:t>TDD</w:t>
      </w:r>
      <w:proofErr w:type="spellEnd"/>
      <w:r>
        <w:rPr>
          <w:rFonts w:ascii="Helvetica" w:hAnsi="Helvetica"/>
          <w:sz w:val="16"/>
          <w:szCs w:val="16"/>
        </w:rPr>
        <w:t>) or (866) 377-8642 (relay voice).  USDA is an equal opportunity provider and employer.</w:t>
      </w:r>
    </w:p>
    <w:p w:rsidR="004C0364" w:rsidRDefault="004C0364" w:rsidP="004C0364">
      <w:pPr>
        <w:rPr>
          <w:rFonts w:ascii="Helvetica" w:hAnsi="Helvetica"/>
        </w:rPr>
      </w:pPr>
      <w:r>
        <w:rPr>
          <w:rFonts w:ascii="Helvetica" w:hAnsi="Helvetica"/>
          <w:sz w:val="16"/>
          <w:szCs w:val="16"/>
        </w:rPr>
        <w:t xml:space="preserve">The Privacy Act of 1974 (5 </w:t>
      </w:r>
      <w:proofErr w:type="spellStart"/>
      <w:r>
        <w:rPr>
          <w:rFonts w:ascii="Helvetica" w:hAnsi="Helvetica"/>
          <w:sz w:val="16"/>
          <w:szCs w:val="16"/>
        </w:rPr>
        <w:t>U.S.C</w:t>
      </w:r>
      <w:proofErr w:type="spellEnd"/>
      <w:r>
        <w:rPr>
          <w:rFonts w:ascii="Helvetica" w:hAnsi="Helvetica"/>
          <w:sz w:val="16"/>
          <w:szCs w:val="16"/>
        </w:rPr>
        <w:t xml:space="preserve">. 552a) and the Freedom of Information Act (5 </w:t>
      </w:r>
      <w:proofErr w:type="spellStart"/>
      <w:r>
        <w:rPr>
          <w:rFonts w:ascii="Helvetica" w:hAnsi="Helvetica"/>
          <w:sz w:val="16"/>
          <w:szCs w:val="16"/>
        </w:rPr>
        <w:t>U.S.C</w:t>
      </w:r>
      <w:proofErr w:type="spellEnd"/>
      <w:r>
        <w:rPr>
          <w:rFonts w:ascii="Helvetica" w:hAnsi="Helvetica"/>
          <w:sz w:val="16"/>
          <w:szCs w:val="16"/>
        </w:rPr>
        <w:t>. 552) govern the confidentiality to be provided for information received by the Forest Service.</w:t>
      </w:r>
    </w:p>
    <w:p w:rsidR="004C0364" w:rsidRDefault="004C0364">
      <w:pPr>
        <w:pStyle w:val="Cell"/>
        <w:widowControl/>
        <w:jc w:val="center"/>
        <w:rPr>
          <w:b/>
          <w:bCs/>
          <w:noProof w:val="0"/>
          <w:color w:val="auto"/>
          <w:sz w:val="28"/>
          <w:szCs w:val="28"/>
        </w:rPr>
      </w:pPr>
    </w:p>
    <w:p w:rsidR="00893547" w:rsidRPr="004C0364" w:rsidRDefault="00893547">
      <w:pPr>
        <w:pStyle w:val="Cell"/>
        <w:widowControl/>
        <w:jc w:val="center"/>
        <w:rPr>
          <w:b/>
          <w:bCs/>
          <w:noProof w:val="0"/>
          <w:color w:val="auto"/>
          <w:sz w:val="28"/>
          <w:szCs w:val="28"/>
        </w:rPr>
      </w:pPr>
      <w:bookmarkStart w:id="0" w:name="_GoBack"/>
      <w:bookmarkEnd w:id="0"/>
      <w:r w:rsidRPr="004C0364">
        <w:rPr>
          <w:b/>
          <w:bCs/>
          <w:noProof w:val="0"/>
          <w:color w:val="auto"/>
          <w:sz w:val="28"/>
          <w:szCs w:val="28"/>
        </w:rPr>
        <w:t>Fee Categories and Use Codes</w:t>
      </w:r>
    </w:p>
    <w:p w:rsidR="00893547" w:rsidRPr="004C0364" w:rsidRDefault="00893547">
      <w:pPr>
        <w:pStyle w:val="Cell"/>
        <w:widowControl/>
        <w:jc w:val="center"/>
        <w:rPr>
          <w:b/>
          <w:bCs/>
          <w:noProof w:val="0"/>
          <w:color w:val="auto"/>
        </w:rPr>
      </w:pPr>
    </w:p>
    <w:tbl>
      <w:tblPr>
        <w:tblStyle w:val="TableGrid"/>
        <w:tblW w:w="9288" w:type="dxa"/>
        <w:jc w:val="center"/>
        <w:tblLook w:val="01E0" w:firstRow="1" w:lastRow="1" w:firstColumn="1" w:lastColumn="1" w:noHBand="0" w:noVBand="0"/>
      </w:tblPr>
      <w:tblGrid>
        <w:gridCol w:w="1188"/>
        <w:gridCol w:w="7200"/>
        <w:gridCol w:w="900"/>
      </w:tblGrid>
      <w:tr w:rsidR="0029515F" w:rsidRPr="004C0364">
        <w:trPr>
          <w:jc w:val="center"/>
        </w:trPr>
        <w:tc>
          <w:tcPr>
            <w:tcW w:w="1188" w:type="dxa"/>
            <w:tcBorders>
              <w:top w:val="single" w:sz="2" w:space="0" w:color="auto"/>
              <w:left w:val="single" w:sz="2" w:space="0" w:color="auto"/>
              <w:bottom w:val="single" w:sz="12" w:space="0" w:color="auto"/>
              <w:right w:val="single" w:sz="2" w:space="0" w:color="auto"/>
            </w:tcBorders>
            <w:vAlign w:val="bottom"/>
          </w:tcPr>
          <w:p w:rsidR="0029515F" w:rsidRPr="004C0364" w:rsidRDefault="0029515F">
            <w:pPr>
              <w:pStyle w:val="Cell"/>
              <w:widowControl/>
              <w:jc w:val="center"/>
              <w:rPr>
                <w:rFonts w:ascii="Times New Roman" w:hAnsi="Times New Roman"/>
                <w:b/>
                <w:noProof w:val="0"/>
                <w:color w:val="auto"/>
              </w:rPr>
            </w:pPr>
            <w:r w:rsidRPr="004C0364">
              <w:rPr>
                <w:rFonts w:ascii="Times New Roman" w:hAnsi="Times New Roman"/>
                <w:b/>
                <w:noProof w:val="0"/>
                <w:color w:val="auto"/>
              </w:rPr>
              <w:t>Fee Category</w:t>
            </w:r>
          </w:p>
        </w:tc>
        <w:tc>
          <w:tcPr>
            <w:tcW w:w="7200" w:type="dxa"/>
            <w:tcBorders>
              <w:top w:val="single" w:sz="2" w:space="0" w:color="auto"/>
              <w:left w:val="single" w:sz="2" w:space="0" w:color="auto"/>
              <w:bottom w:val="single" w:sz="12" w:space="0" w:color="auto"/>
              <w:right w:val="single" w:sz="2" w:space="0" w:color="auto"/>
            </w:tcBorders>
            <w:vAlign w:val="bottom"/>
          </w:tcPr>
          <w:p w:rsidR="0029515F" w:rsidRPr="004C0364" w:rsidRDefault="0029515F">
            <w:pPr>
              <w:pStyle w:val="Cell"/>
              <w:widowControl/>
              <w:jc w:val="center"/>
              <w:rPr>
                <w:rFonts w:ascii="Times New Roman" w:hAnsi="Times New Roman"/>
                <w:b/>
                <w:noProof w:val="0"/>
                <w:color w:val="auto"/>
              </w:rPr>
            </w:pPr>
            <w:r w:rsidRPr="004C0364">
              <w:rPr>
                <w:rFonts w:ascii="Times New Roman" w:hAnsi="Times New Roman"/>
                <w:b/>
                <w:noProof w:val="0"/>
                <w:color w:val="auto"/>
              </w:rPr>
              <w:t>Description</w:t>
            </w:r>
          </w:p>
        </w:tc>
        <w:tc>
          <w:tcPr>
            <w:tcW w:w="900" w:type="dxa"/>
            <w:tcBorders>
              <w:top w:val="single" w:sz="2" w:space="0" w:color="auto"/>
              <w:left w:val="single" w:sz="2" w:space="0" w:color="auto"/>
              <w:bottom w:val="single" w:sz="12" w:space="0" w:color="auto"/>
              <w:right w:val="single" w:sz="2" w:space="0" w:color="auto"/>
            </w:tcBorders>
            <w:vAlign w:val="bottom"/>
          </w:tcPr>
          <w:p w:rsidR="0029515F" w:rsidRPr="004C0364" w:rsidRDefault="0029515F" w:rsidP="00893547">
            <w:pPr>
              <w:pStyle w:val="Cell"/>
              <w:widowControl/>
              <w:jc w:val="center"/>
              <w:rPr>
                <w:rFonts w:ascii="Times New Roman" w:hAnsi="Times New Roman"/>
                <w:b/>
                <w:noProof w:val="0"/>
                <w:color w:val="auto"/>
              </w:rPr>
            </w:pPr>
            <w:r w:rsidRPr="004C0364">
              <w:rPr>
                <w:rFonts w:ascii="Times New Roman" w:hAnsi="Times New Roman"/>
                <w:b/>
                <w:noProof w:val="0"/>
                <w:color w:val="auto"/>
              </w:rPr>
              <w:t>Use Code</w:t>
            </w:r>
          </w:p>
        </w:tc>
      </w:tr>
      <w:tr w:rsidR="0029515F" w:rsidRPr="004C0364">
        <w:trPr>
          <w:jc w:val="center"/>
        </w:trPr>
        <w:tc>
          <w:tcPr>
            <w:tcW w:w="1188" w:type="dxa"/>
            <w:tcBorders>
              <w:top w:val="single" w:sz="12" w:space="0" w:color="auto"/>
            </w:tcBorders>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AM</w:t>
            </w:r>
          </w:p>
        </w:tc>
        <w:tc>
          <w:tcPr>
            <w:tcW w:w="7200" w:type="dxa"/>
            <w:tcBorders>
              <w:top w:val="single" w:sz="12" w:space="0" w:color="auto"/>
            </w:tcBorders>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AM Radio</w:t>
            </w:r>
            <w:r w:rsidR="00174DF7" w:rsidRPr="004C0364">
              <w:rPr>
                <w:rFonts w:ascii="Times New Roman" w:hAnsi="Times New Roman"/>
                <w:noProof w:val="0"/>
                <w:color w:val="auto"/>
              </w:rPr>
              <w:t xml:space="preserve"> Broadcast</w:t>
            </w:r>
          </w:p>
        </w:tc>
        <w:tc>
          <w:tcPr>
            <w:tcW w:w="900" w:type="dxa"/>
            <w:tcBorders>
              <w:top w:val="single" w:sz="12" w:space="0" w:color="auto"/>
            </w:tcBorders>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816</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BT</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Broadcast Translator, Low Power Television or Low Power FM Radio</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808</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CEL</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Cellular Telephone</w:t>
            </w:r>
            <w:r w:rsidR="00A26195" w:rsidRPr="004C0364">
              <w:rPr>
                <w:rFonts w:ascii="Times New Roman" w:hAnsi="Times New Roman"/>
                <w:noProof w:val="0"/>
                <w:color w:val="auto"/>
              </w:rPr>
              <w:t xml:space="preserve"> and Personal Communication Services (PCS)</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810</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CMRS</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Commercial Mobile Radio Service</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815</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CT</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Cable Television</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809</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FAM</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Facility Manager</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818</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FM</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FM Radio</w:t>
            </w:r>
            <w:r w:rsidR="00174DF7" w:rsidRPr="004C0364">
              <w:rPr>
                <w:rFonts w:ascii="Times New Roman" w:hAnsi="Times New Roman"/>
                <w:noProof w:val="0"/>
                <w:color w:val="auto"/>
              </w:rPr>
              <w:t xml:space="preserve"> Broadcast</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816</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ISP</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Wireless Internet Service Provider</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811</w:t>
            </w:r>
          </w:p>
        </w:tc>
      </w:tr>
      <w:tr w:rsidR="0029515F" w:rsidRPr="004C0364">
        <w:trPr>
          <w:jc w:val="center"/>
        </w:trPr>
        <w:tc>
          <w:tcPr>
            <w:tcW w:w="1188" w:type="dxa"/>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LE</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Local Exchange Network</w:t>
            </w:r>
          </w:p>
        </w:tc>
        <w:tc>
          <w:tcPr>
            <w:tcW w:w="900" w:type="dxa"/>
          </w:tcPr>
          <w:p w:rsidR="0029515F" w:rsidRPr="004C0364" w:rsidRDefault="0029515F"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805</w:t>
            </w:r>
          </w:p>
        </w:tc>
      </w:tr>
      <w:tr w:rsidR="0029515F" w:rsidRPr="004C0364">
        <w:trPr>
          <w:jc w:val="center"/>
        </w:trPr>
        <w:tc>
          <w:tcPr>
            <w:tcW w:w="1188" w:type="dxa"/>
            <w:vAlign w:val="center"/>
          </w:tcPr>
          <w:p w:rsidR="0029515F" w:rsidRPr="004C0364" w:rsidRDefault="0029515F">
            <w:pPr>
              <w:pStyle w:val="Cell"/>
              <w:widowControl/>
              <w:jc w:val="center"/>
              <w:rPr>
                <w:rFonts w:ascii="Times New Roman" w:hAnsi="Times New Roman"/>
                <w:noProof w:val="0"/>
                <w:color w:val="auto"/>
              </w:rPr>
            </w:pPr>
            <w:r w:rsidRPr="004C0364">
              <w:rPr>
                <w:rFonts w:ascii="Times New Roman" w:hAnsi="Times New Roman"/>
                <w:noProof w:val="0"/>
                <w:color w:val="auto"/>
              </w:rPr>
              <w:t>MIC</w:t>
            </w:r>
          </w:p>
        </w:tc>
        <w:tc>
          <w:tcPr>
            <w:tcW w:w="7200" w:type="dxa"/>
          </w:tcPr>
          <w:p w:rsidR="0029515F" w:rsidRPr="004C0364" w:rsidRDefault="0029515F" w:rsidP="0029515F">
            <w:pPr>
              <w:pStyle w:val="Cell"/>
              <w:widowControl/>
              <w:rPr>
                <w:rFonts w:ascii="Times New Roman" w:hAnsi="Times New Roman"/>
                <w:noProof w:val="0"/>
                <w:color w:val="auto"/>
              </w:rPr>
            </w:pPr>
            <w:r w:rsidRPr="004C0364">
              <w:rPr>
                <w:rFonts w:ascii="Times New Roman" w:hAnsi="Times New Roman"/>
                <w:noProof w:val="0"/>
                <w:color w:val="auto"/>
              </w:rPr>
              <w:t>Microwave</w:t>
            </w:r>
          </w:p>
          <w:p w:rsidR="0029515F" w:rsidRPr="004C0364" w:rsidRDefault="004E7FF8" w:rsidP="00174DF7">
            <w:pPr>
              <w:pStyle w:val="Cell"/>
              <w:widowControl/>
              <w:numPr>
                <w:ilvl w:val="0"/>
                <w:numId w:val="3"/>
              </w:numPr>
              <w:rPr>
                <w:rFonts w:ascii="Times New Roman" w:hAnsi="Times New Roman"/>
                <w:noProof w:val="0"/>
                <w:color w:val="auto"/>
              </w:rPr>
            </w:pPr>
            <w:r w:rsidRPr="004C0364">
              <w:rPr>
                <w:rFonts w:ascii="Times New Roman" w:hAnsi="Times New Roman"/>
                <w:noProof w:val="0"/>
                <w:color w:val="auto"/>
              </w:rPr>
              <w:t>Common Carrier</w:t>
            </w:r>
          </w:p>
          <w:p w:rsidR="004E7FF8" w:rsidRPr="004C0364" w:rsidRDefault="004E7FF8" w:rsidP="00174DF7">
            <w:pPr>
              <w:pStyle w:val="Cell"/>
              <w:widowControl/>
              <w:numPr>
                <w:ilvl w:val="0"/>
                <w:numId w:val="3"/>
              </w:numPr>
              <w:rPr>
                <w:rFonts w:ascii="Times New Roman" w:hAnsi="Times New Roman"/>
                <w:noProof w:val="0"/>
                <w:color w:val="auto"/>
              </w:rPr>
            </w:pPr>
            <w:r w:rsidRPr="004C0364">
              <w:rPr>
                <w:rFonts w:ascii="Times New Roman" w:hAnsi="Times New Roman"/>
                <w:noProof w:val="0"/>
                <w:color w:val="auto"/>
              </w:rPr>
              <w:t>Industrial</w:t>
            </w:r>
          </w:p>
        </w:tc>
        <w:tc>
          <w:tcPr>
            <w:tcW w:w="900" w:type="dxa"/>
          </w:tcPr>
          <w:p w:rsidR="0029515F" w:rsidRPr="004C0364" w:rsidRDefault="0029515F" w:rsidP="00893547">
            <w:pPr>
              <w:pStyle w:val="Cell"/>
              <w:widowControl/>
              <w:jc w:val="center"/>
              <w:rPr>
                <w:rFonts w:ascii="Times New Roman" w:hAnsi="Times New Roman"/>
                <w:noProof w:val="0"/>
                <w:color w:val="auto"/>
              </w:rPr>
            </w:pPr>
          </w:p>
          <w:p w:rsidR="004E7FF8" w:rsidRPr="004C0364" w:rsidRDefault="004E7FF8"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803</w:t>
            </w:r>
          </w:p>
          <w:p w:rsidR="004E7FF8" w:rsidRPr="004C0364" w:rsidRDefault="004E7FF8"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804</w:t>
            </w:r>
          </w:p>
        </w:tc>
      </w:tr>
      <w:tr w:rsidR="0029515F" w:rsidRPr="004C0364">
        <w:trPr>
          <w:jc w:val="center"/>
        </w:trPr>
        <w:tc>
          <w:tcPr>
            <w:tcW w:w="1188" w:type="dxa"/>
            <w:vAlign w:val="center"/>
          </w:tcPr>
          <w:p w:rsidR="0029515F" w:rsidRPr="004C0364" w:rsidRDefault="004E7FF8">
            <w:pPr>
              <w:pStyle w:val="Cell"/>
              <w:widowControl/>
              <w:jc w:val="center"/>
              <w:rPr>
                <w:rFonts w:ascii="Times New Roman" w:hAnsi="Times New Roman"/>
                <w:noProof w:val="0"/>
                <w:color w:val="auto"/>
              </w:rPr>
            </w:pPr>
            <w:r w:rsidRPr="004C0364">
              <w:rPr>
                <w:rFonts w:ascii="Times New Roman" w:hAnsi="Times New Roman"/>
                <w:noProof w:val="0"/>
                <w:color w:val="auto"/>
              </w:rPr>
              <w:t>OT</w:t>
            </w:r>
          </w:p>
        </w:tc>
        <w:tc>
          <w:tcPr>
            <w:tcW w:w="7200" w:type="dxa"/>
          </w:tcPr>
          <w:p w:rsidR="0029515F" w:rsidRPr="004C0364" w:rsidRDefault="004E7FF8" w:rsidP="0029515F">
            <w:pPr>
              <w:pStyle w:val="Cell"/>
              <w:widowControl/>
              <w:rPr>
                <w:rFonts w:ascii="Times New Roman" w:hAnsi="Times New Roman"/>
                <w:noProof w:val="0"/>
                <w:color w:val="auto"/>
              </w:rPr>
            </w:pPr>
            <w:r w:rsidRPr="004C0364">
              <w:rPr>
                <w:rFonts w:ascii="Times New Roman" w:hAnsi="Times New Roman"/>
                <w:noProof w:val="0"/>
                <w:color w:val="auto"/>
              </w:rPr>
              <w:t>Other Communication Uses</w:t>
            </w:r>
          </w:p>
          <w:p w:rsidR="004E7FF8" w:rsidRPr="004C0364" w:rsidRDefault="004E7FF8"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Amateur Radio</w:t>
            </w:r>
          </w:p>
          <w:p w:rsidR="004E7FF8" w:rsidRPr="004C0364" w:rsidRDefault="004E7FF8"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Personal/Private Receive-only Antenna</w:t>
            </w:r>
          </w:p>
          <w:p w:rsidR="004E7FF8" w:rsidRPr="004C0364" w:rsidRDefault="004E7FF8"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Resource Monitoring</w:t>
            </w:r>
          </w:p>
          <w:p w:rsidR="004E7FF8" w:rsidRPr="004C0364" w:rsidRDefault="004E7FF8"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Other</w:t>
            </w:r>
            <w:r w:rsidR="00174DF7" w:rsidRPr="004C0364">
              <w:rPr>
                <w:rFonts w:ascii="Times New Roman" w:hAnsi="Times New Roman"/>
                <w:noProof w:val="0"/>
                <w:color w:val="auto"/>
              </w:rPr>
              <w:t xml:space="preserve"> Communication Improvement</w:t>
            </w:r>
          </w:p>
          <w:p w:rsidR="00174DF7" w:rsidRPr="004C0364" w:rsidRDefault="00174DF7"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Other Communication Improvement, REA-financed</w:t>
            </w:r>
          </w:p>
          <w:p w:rsidR="00174DF7" w:rsidRPr="004C0364" w:rsidRDefault="00174DF7"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Navigational Equipment</w:t>
            </w:r>
          </w:p>
          <w:p w:rsidR="00174DF7" w:rsidRPr="004C0364" w:rsidRDefault="00174DF7" w:rsidP="00174DF7">
            <w:pPr>
              <w:pStyle w:val="Cell"/>
              <w:widowControl/>
              <w:numPr>
                <w:ilvl w:val="0"/>
                <w:numId w:val="2"/>
              </w:numPr>
              <w:rPr>
                <w:rFonts w:ascii="Times New Roman" w:hAnsi="Times New Roman"/>
                <w:noProof w:val="0"/>
                <w:color w:val="auto"/>
              </w:rPr>
            </w:pPr>
            <w:r w:rsidRPr="004C0364">
              <w:rPr>
                <w:rFonts w:ascii="Times New Roman" w:hAnsi="Times New Roman"/>
                <w:noProof w:val="0"/>
                <w:color w:val="auto"/>
              </w:rPr>
              <w:t>Astronomy Station</w:t>
            </w:r>
          </w:p>
        </w:tc>
        <w:tc>
          <w:tcPr>
            <w:tcW w:w="900" w:type="dxa"/>
          </w:tcPr>
          <w:p w:rsidR="0029515F" w:rsidRPr="004C0364" w:rsidRDefault="0029515F" w:rsidP="00893547">
            <w:pPr>
              <w:pStyle w:val="Cell"/>
              <w:widowControl/>
              <w:jc w:val="center"/>
              <w:rPr>
                <w:rFonts w:ascii="Times New Roman" w:hAnsi="Times New Roman"/>
                <w:noProof w:val="0"/>
                <w:color w:val="auto"/>
              </w:rPr>
            </w:pP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801</w:t>
            </w: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802</w:t>
            </w: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814</w:t>
            </w: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831</w:t>
            </w: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832</w:t>
            </w: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833</w:t>
            </w:r>
          </w:p>
          <w:p w:rsidR="00174DF7"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834</w:t>
            </w:r>
          </w:p>
        </w:tc>
      </w:tr>
      <w:tr w:rsidR="0029515F" w:rsidRPr="004C0364">
        <w:trPr>
          <w:jc w:val="center"/>
        </w:trPr>
        <w:tc>
          <w:tcPr>
            <w:tcW w:w="1188" w:type="dxa"/>
          </w:tcPr>
          <w:p w:rsidR="0029515F" w:rsidRPr="004C0364" w:rsidRDefault="00174DF7">
            <w:pPr>
              <w:pStyle w:val="Cell"/>
              <w:widowControl/>
              <w:jc w:val="center"/>
              <w:rPr>
                <w:rFonts w:ascii="Times New Roman" w:hAnsi="Times New Roman"/>
                <w:noProof w:val="0"/>
                <w:color w:val="auto"/>
              </w:rPr>
            </w:pPr>
            <w:r w:rsidRPr="004C0364">
              <w:rPr>
                <w:rFonts w:ascii="Times New Roman" w:hAnsi="Times New Roman"/>
                <w:noProof w:val="0"/>
                <w:color w:val="auto"/>
              </w:rPr>
              <w:t>PMRS</w:t>
            </w:r>
          </w:p>
        </w:tc>
        <w:tc>
          <w:tcPr>
            <w:tcW w:w="7200" w:type="dxa"/>
          </w:tcPr>
          <w:p w:rsidR="0029515F" w:rsidRPr="004C0364" w:rsidRDefault="00174DF7" w:rsidP="0029515F">
            <w:pPr>
              <w:pStyle w:val="Cell"/>
              <w:widowControl/>
              <w:rPr>
                <w:rFonts w:ascii="Times New Roman" w:hAnsi="Times New Roman"/>
                <w:noProof w:val="0"/>
                <w:color w:val="auto"/>
              </w:rPr>
            </w:pPr>
            <w:r w:rsidRPr="004C0364">
              <w:rPr>
                <w:rFonts w:ascii="Times New Roman" w:hAnsi="Times New Roman"/>
                <w:noProof w:val="0"/>
                <w:color w:val="auto"/>
              </w:rPr>
              <w:t>Private Mobile Radio Service</w:t>
            </w:r>
          </w:p>
        </w:tc>
        <w:tc>
          <w:tcPr>
            <w:tcW w:w="900" w:type="dxa"/>
          </w:tcPr>
          <w:p w:rsidR="0029515F"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806</w:t>
            </w:r>
          </w:p>
        </w:tc>
      </w:tr>
      <w:tr w:rsidR="0029515F" w:rsidRPr="004C0364">
        <w:trPr>
          <w:jc w:val="center"/>
        </w:trPr>
        <w:tc>
          <w:tcPr>
            <w:tcW w:w="1188" w:type="dxa"/>
          </w:tcPr>
          <w:p w:rsidR="0029515F" w:rsidRPr="004C0364" w:rsidRDefault="00174DF7">
            <w:pPr>
              <w:pStyle w:val="Cell"/>
              <w:widowControl/>
              <w:jc w:val="center"/>
              <w:rPr>
                <w:rFonts w:ascii="Times New Roman" w:hAnsi="Times New Roman"/>
                <w:noProof w:val="0"/>
                <w:color w:val="auto"/>
              </w:rPr>
            </w:pPr>
            <w:r w:rsidRPr="004C0364">
              <w:rPr>
                <w:rFonts w:ascii="Times New Roman" w:hAnsi="Times New Roman"/>
                <w:noProof w:val="0"/>
                <w:color w:val="auto"/>
              </w:rPr>
              <w:t>PR</w:t>
            </w:r>
          </w:p>
        </w:tc>
        <w:tc>
          <w:tcPr>
            <w:tcW w:w="7200" w:type="dxa"/>
          </w:tcPr>
          <w:p w:rsidR="0029515F" w:rsidRPr="004C0364" w:rsidRDefault="00174DF7" w:rsidP="0029515F">
            <w:pPr>
              <w:pStyle w:val="Cell"/>
              <w:widowControl/>
              <w:rPr>
                <w:rFonts w:ascii="Times New Roman" w:hAnsi="Times New Roman"/>
                <w:noProof w:val="0"/>
                <w:color w:val="auto"/>
              </w:rPr>
            </w:pPr>
            <w:r w:rsidRPr="004C0364">
              <w:rPr>
                <w:rFonts w:ascii="Times New Roman" w:hAnsi="Times New Roman"/>
                <w:noProof w:val="0"/>
                <w:color w:val="auto"/>
              </w:rPr>
              <w:t>Passive Reflector</w:t>
            </w:r>
          </w:p>
        </w:tc>
        <w:tc>
          <w:tcPr>
            <w:tcW w:w="900" w:type="dxa"/>
          </w:tcPr>
          <w:p w:rsidR="0029515F"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807</w:t>
            </w:r>
          </w:p>
        </w:tc>
      </w:tr>
      <w:tr w:rsidR="0029515F" w:rsidRPr="004C0364">
        <w:trPr>
          <w:jc w:val="center"/>
        </w:trPr>
        <w:tc>
          <w:tcPr>
            <w:tcW w:w="1188" w:type="dxa"/>
          </w:tcPr>
          <w:p w:rsidR="0029515F" w:rsidRPr="004C0364" w:rsidRDefault="00174DF7">
            <w:pPr>
              <w:pStyle w:val="Cell"/>
              <w:widowControl/>
              <w:jc w:val="center"/>
              <w:rPr>
                <w:rFonts w:ascii="Times New Roman" w:hAnsi="Times New Roman"/>
                <w:noProof w:val="0"/>
                <w:color w:val="auto"/>
              </w:rPr>
            </w:pPr>
            <w:r w:rsidRPr="004C0364">
              <w:rPr>
                <w:rFonts w:ascii="Times New Roman" w:hAnsi="Times New Roman"/>
                <w:noProof w:val="0"/>
                <w:color w:val="auto"/>
              </w:rPr>
              <w:t>TV</w:t>
            </w:r>
          </w:p>
        </w:tc>
        <w:tc>
          <w:tcPr>
            <w:tcW w:w="7200" w:type="dxa"/>
          </w:tcPr>
          <w:p w:rsidR="0029515F" w:rsidRPr="004C0364" w:rsidRDefault="00174DF7" w:rsidP="0029515F">
            <w:pPr>
              <w:pStyle w:val="Cell"/>
              <w:widowControl/>
              <w:rPr>
                <w:rFonts w:ascii="Times New Roman" w:hAnsi="Times New Roman"/>
                <w:noProof w:val="0"/>
                <w:color w:val="auto"/>
              </w:rPr>
            </w:pPr>
            <w:r w:rsidRPr="004C0364">
              <w:rPr>
                <w:rFonts w:ascii="Times New Roman" w:hAnsi="Times New Roman"/>
                <w:noProof w:val="0"/>
                <w:color w:val="auto"/>
              </w:rPr>
              <w:t>Television Broadcast</w:t>
            </w:r>
          </w:p>
        </w:tc>
        <w:tc>
          <w:tcPr>
            <w:tcW w:w="900" w:type="dxa"/>
          </w:tcPr>
          <w:p w:rsidR="0029515F" w:rsidRPr="004C0364" w:rsidRDefault="00174DF7" w:rsidP="00893547">
            <w:pPr>
              <w:pStyle w:val="Cell"/>
              <w:widowControl/>
              <w:jc w:val="center"/>
              <w:rPr>
                <w:rFonts w:ascii="Times New Roman" w:hAnsi="Times New Roman"/>
                <w:noProof w:val="0"/>
                <w:color w:val="auto"/>
              </w:rPr>
            </w:pPr>
            <w:r w:rsidRPr="004C0364">
              <w:rPr>
                <w:rFonts w:ascii="Times New Roman" w:hAnsi="Times New Roman"/>
                <w:noProof w:val="0"/>
                <w:color w:val="auto"/>
              </w:rPr>
              <w:t>817</w:t>
            </w:r>
          </w:p>
        </w:tc>
      </w:tr>
    </w:tbl>
    <w:p w:rsidR="0037595D" w:rsidRPr="004C0364" w:rsidRDefault="0037595D">
      <w:pPr>
        <w:pStyle w:val="Cell"/>
        <w:widowControl/>
        <w:jc w:val="center"/>
        <w:rPr>
          <w:rFonts w:ascii="Times New Roman" w:hAnsi="Times New Roman"/>
          <w:noProof w:val="0"/>
          <w:color w:val="auto"/>
        </w:rPr>
      </w:pPr>
    </w:p>
    <w:p w:rsidR="0037595D" w:rsidRPr="004C0364" w:rsidRDefault="0037595D">
      <w:pPr>
        <w:pStyle w:val="Cell"/>
        <w:widowControl/>
        <w:jc w:val="center"/>
        <w:rPr>
          <w:noProof w:val="0"/>
          <w:color w:val="auto"/>
          <w:sz w:val="28"/>
        </w:rPr>
      </w:pPr>
    </w:p>
    <w:p w:rsidR="00CB0DCE" w:rsidRPr="004C0364" w:rsidRDefault="00893547">
      <w:pPr>
        <w:pStyle w:val="Cell"/>
        <w:widowControl/>
        <w:jc w:val="center"/>
        <w:rPr>
          <w:b/>
          <w:noProof w:val="0"/>
          <w:color w:val="auto"/>
          <w:sz w:val="28"/>
        </w:rPr>
      </w:pPr>
      <w:r w:rsidRPr="004C0364">
        <w:rPr>
          <w:b/>
          <w:noProof w:val="0"/>
          <w:color w:val="auto"/>
          <w:sz w:val="28"/>
        </w:rPr>
        <w:t>Description of Communication</w:t>
      </w:r>
      <w:r w:rsidR="00CB0DCE" w:rsidRPr="004C0364">
        <w:rPr>
          <w:b/>
          <w:noProof w:val="0"/>
          <w:color w:val="auto"/>
          <w:sz w:val="28"/>
        </w:rPr>
        <w:t xml:space="preserve"> Site Uses</w:t>
      </w:r>
    </w:p>
    <w:p w:rsidR="00CB0DCE" w:rsidRPr="004C0364" w:rsidRDefault="00CB0DCE">
      <w:pPr>
        <w:jc w:val="center"/>
        <w:rPr>
          <w:sz w:val="20"/>
          <w:szCs w:val="20"/>
        </w:rPr>
      </w:pPr>
    </w:p>
    <w:p w:rsidR="00CB0DCE" w:rsidRPr="004C0364" w:rsidRDefault="00CB0DCE">
      <w:pPr>
        <w:pStyle w:val="Heading6"/>
      </w:pPr>
      <w:r w:rsidRPr="004C0364">
        <w:t>Broadcast Uses</w:t>
      </w:r>
    </w:p>
    <w:p w:rsidR="00CB0DCE" w:rsidRPr="004C0364" w:rsidRDefault="00CB0DCE">
      <w:pPr>
        <w:pStyle w:val="NumberList1"/>
        <w:spacing w:before="120"/>
        <w:rPr>
          <w:sz w:val="22"/>
        </w:rPr>
      </w:pPr>
      <w:r w:rsidRPr="004C0364">
        <w:rPr>
          <w:sz w:val="22"/>
          <w:u w:val="single"/>
        </w:rPr>
        <w:t>AM and FM Radio Broadcast (816)</w:t>
      </w:r>
      <w:r w:rsidRPr="004C0364">
        <w:rPr>
          <w:sz w:val="22"/>
        </w:rPr>
        <w:t>.  This category includes facilities licensed by the Federal Communications Commission (FCC) that broadcast AM and FM audio signals for general public reception and the communications equipment directly related to the operation, maintenance, and monitoring of the use.  Users include radio stations that generate revenues from commercial advertising and public radio stations whose revenues are supported by subscriptions, grants, and donations.  Broadcast areas often overlap State boundaries.  This category of use relates only to primary transmitters and not to any rebroadcast systems such as translators, microwave relays serving broadcast translators, or holders licensed by the FCC as low power FM radio.</w:t>
      </w:r>
    </w:p>
    <w:p w:rsidR="00CB0DCE" w:rsidRPr="004C0364" w:rsidRDefault="00CB0DCE">
      <w:pPr>
        <w:pStyle w:val="NumberList1"/>
        <w:spacing w:before="120"/>
        <w:rPr>
          <w:sz w:val="22"/>
        </w:rPr>
      </w:pPr>
      <w:proofErr w:type="gramStart"/>
      <w:r w:rsidRPr="004C0364">
        <w:rPr>
          <w:sz w:val="22"/>
          <w:u w:val="single"/>
        </w:rPr>
        <w:lastRenderedPageBreak/>
        <w:t>Broadcast Translator, Low Power Television, and Low Power FM Radio (808)</w:t>
      </w:r>
      <w:r w:rsidRPr="004C0364">
        <w:rPr>
          <w:sz w:val="22"/>
        </w:rPr>
        <w:t>.</w:t>
      </w:r>
      <w:proofErr w:type="gramEnd"/>
      <w:r w:rsidRPr="004C0364">
        <w:rPr>
          <w:sz w:val="22"/>
        </w:rPr>
        <w:t xml:space="preserve">  This category of use consists of FCC-licensed translators, low power television (LPTV), low power FM radio (LPFM), and communications equipment directly related to the operation, maintenance, or monitoring of that use.  Microwave facilities used in conjunction with the systems are included in this category.  Broadcast translators receive a television or FM radio broadcast signal and rebroadcast it on a different channel or frequency for local reception.  In some cases the translator relays the signal to another amplifier or translator.  LPTV and LPFM radio stations are broadcast translators that originate programming.  This category of use includes translators associated with a public telecommunications service.</w:t>
      </w:r>
    </w:p>
    <w:p w:rsidR="00CB0DCE" w:rsidRPr="004C0364" w:rsidRDefault="00CB0DCE">
      <w:pPr>
        <w:pStyle w:val="NumberList1"/>
        <w:spacing w:before="120"/>
        <w:rPr>
          <w:sz w:val="22"/>
        </w:rPr>
      </w:pPr>
      <w:proofErr w:type="gramStart"/>
      <w:r w:rsidRPr="004C0364">
        <w:rPr>
          <w:sz w:val="22"/>
          <w:u w:val="single"/>
        </w:rPr>
        <w:t>Cable Television (809)</w:t>
      </w:r>
      <w:r w:rsidRPr="004C0364">
        <w:rPr>
          <w:sz w:val="22"/>
        </w:rPr>
        <w:t>.</w:t>
      </w:r>
      <w:proofErr w:type="gramEnd"/>
      <w:r w:rsidRPr="004C0364">
        <w:rPr>
          <w:sz w:val="22"/>
        </w:rPr>
        <w:t xml:space="preserve">  This category includes FCC-licensed facilities that transmit video programming to multiple subscribers in a community over a wired or wireless network, and the communications equipment directly related to the operation, maintenance, or monitoring of the use.  These systems normally operate as a commercial entity within an authorized franchise area.  This category does not include rebroadcast devices or personal or internal antenna systems, such as private systems serving hotels or residences.</w:t>
      </w:r>
    </w:p>
    <w:p w:rsidR="00CB0DCE" w:rsidRPr="004C0364" w:rsidRDefault="00CB0DCE">
      <w:pPr>
        <w:pStyle w:val="NumberList1"/>
        <w:spacing w:before="120"/>
        <w:rPr>
          <w:sz w:val="22"/>
        </w:rPr>
      </w:pPr>
      <w:proofErr w:type="gramStart"/>
      <w:r w:rsidRPr="004C0364">
        <w:rPr>
          <w:sz w:val="22"/>
          <w:u w:val="single"/>
        </w:rPr>
        <w:t>Television Broadcast (817)</w:t>
      </w:r>
      <w:r w:rsidRPr="004C0364">
        <w:rPr>
          <w:sz w:val="22"/>
        </w:rPr>
        <w:t>.</w:t>
      </w:r>
      <w:proofErr w:type="gramEnd"/>
      <w:r w:rsidRPr="004C0364">
        <w:rPr>
          <w:sz w:val="22"/>
        </w:rPr>
        <w:t xml:space="preserve">  This category includes facilities licensed by the FCC that broadcast UHF and VHF audio and video signals for general public reception and the communications equipment directly related to the operation, maintenance, and monitoring of the use.  Users include television stations (major and independent networks) that generate income through commercial advertisement and public television stations whose operations are supported by subscriptions, grants, and donations.  Broadcast areas may overlap State boundaries.  This category of use relates only to primary transmitters and not to any rebroadcast systems such as translators, transmitting devices such as microwave relays serving broadcast translators, or holders licensed by the FCC as low power television (LPTV).</w:t>
      </w:r>
    </w:p>
    <w:p w:rsidR="00CB0DCE" w:rsidRPr="004C0364" w:rsidRDefault="00CB0DCE">
      <w:pPr>
        <w:jc w:val="center"/>
        <w:rPr>
          <w:sz w:val="22"/>
          <w:szCs w:val="20"/>
          <w:u w:val="single"/>
        </w:rPr>
      </w:pPr>
    </w:p>
    <w:p w:rsidR="00CB0DCE" w:rsidRPr="004C0364" w:rsidRDefault="00CB0DCE">
      <w:pPr>
        <w:rPr>
          <w:b/>
          <w:i/>
          <w:sz w:val="22"/>
        </w:rPr>
      </w:pPr>
      <w:r w:rsidRPr="004C0364">
        <w:rPr>
          <w:b/>
          <w:i/>
          <w:sz w:val="22"/>
        </w:rPr>
        <w:t>Non-Broadcast Uses</w:t>
      </w:r>
    </w:p>
    <w:p w:rsidR="00CB0DCE" w:rsidRPr="004C0364" w:rsidRDefault="00CB0DCE">
      <w:pPr>
        <w:pStyle w:val="NumberList1"/>
        <w:spacing w:before="120"/>
        <w:rPr>
          <w:sz w:val="22"/>
        </w:rPr>
      </w:pPr>
      <w:r w:rsidRPr="004C0364">
        <w:rPr>
          <w:sz w:val="22"/>
          <w:u w:val="single"/>
        </w:rPr>
        <w:t>Cellular Telephone and Personal Communications Services (PCS) (810)</w:t>
      </w:r>
      <w:r w:rsidRPr="004C0364">
        <w:rPr>
          <w:sz w:val="22"/>
        </w:rPr>
        <w:t xml:space="preserve">.  Cellular telephone and PCS include holders of FCC-licensed systems and related technologies for mobile communications that use a blend of radio and telephone switching technology to provide public switched network services for fixed and mobile users within a geographic area.  These systems consist of cell sites containing transmitting and receiving antennas, cellular base station radio, telephone equipment, and often microwave communications equipment </w:t>
      </w:r>
      <w:r w:rsidR="00966371" w:rsidRPr="004C0364">
        <w:rPr>
          <w:sz w:val="22"/>
        </w:rPr>
        <w:t xml:space="preserve">utilized as back haul for that site, </w:t>
      </w:r>
      <w:r w:rsidRPr="004C0364">
        <w:rPr>
          <w:sz w:val="22"/>
        </w:rPr>
        <w:t>and communications equipment directly related to the maintenance and monitoring of the use.  The following uses may be called Commercial Mobile Radio Service (CMRS) in an FCC license, however, for rent determination purposes these are considered Cellular/PCS uses (see FSH 27091, section 95, paragraph 1f):  (1) Enhanced Specialized Mobile Radio (ESMR), (2) Improved Mobile Telephone Service (IMTS), (3) Air-to-Ground, (4) Offshore Radio Telephone Service, (5) Cell Site Extender, (6) Local Multipoint Distribution Service.</w:t>
      </w:r>
      <w:r w:rsidR="00966371" w:rsidRPr="004C0364">
        <w:rPr>
          <w:sz w:val="22"/>
        </w:rPr>
        <w:t xml:space="preserve">  When </w:t>
      </w:r>
      <w:r w:rsidR="004C0020" w:rsidRPr="004C0364">
        <w:rPr>
          <w:sz w:val="22"/>
        </w:rPr>
        <w:t xml:space="preserve">two separate licensed Cellular/PCS bands are </w:t>
      </w:r>
      <w:r w:rsidR="00966371" w:rsidRPr="004C0364">
        <w:rPr>
          <w:sz w:val="22"/>
        </w:rPr>
        <w:t xml:space="preserve">operated at a site, </w:t>
      </w:r>
      <w:r w:rsidR="0037595D" w:rsidRPr="004C0364">
        <w:rPr>
          <w:sz w:val="22"/>
        </w:rPr>
        <w:t xml:space="preserve">inventory </w:t>
      </w:r>
      <w:r w:rsidR="00966371" w:rsidRPr="004C0364">
        <w:rPr>
          <w:sz w:val="22"/>
        </w:rPr>
        <w:t xml:space="preserve">two </w:t>
      </w:r>
      <w:r w:rsidR="0037595D" w:rsidRPr="004C0364">
        <w:rPr>
          <w:sz w:val="22"/>
        </w:rPr>
        <w:t>separ</w:t>
      </w:r>
      <w:r w:rsidR="00893547" w:rsidRPr="004C0364">
        <w:rPr>
          <w:sz w:val="22"/>
        </w:rPr>
        <w:t>a</w:t>
      </w:r>
      <w:r w:rsidR="0037595D" w:rsidRPr="004C0364">
        <w:rPr>
          <w:sz w:val="22"/>
        </w:rPr>
        <w:t xml:space="preserve">te </w:t>
      </w:r>
      <w:r w:rsidR="00966371" w:rsidRPr="004C0364">
        <w:rPr>
          <w:sz w:val="22"/>
        </w:rPr>
        <w:t>cellular</w:t>
      </w:r>
      <w:r w:rsidR="002945CA" w:rsidRPr="004C0364">
        <w:rPr>
          <w:sz w:val="22"/>
        </w:rPr>
        <w:t xml:space="preserve"> </w:t>
      </w:r>
      <w:r w:rsidR="00966371" w:rsidRPr="004C0364">
        <w:rPr>
          <w:sz w:val="22"/>
        </w:rPr>
        <w:t>(810) uses to determine the appropriate fee.</w:t>
      </w:r>
      <w:r w:rsidR="004C0020" w:rsidRPr="004C0364">
        <w:rPr>
          <w:sz w:val="22"/>
        </w:rPr>
        <w:t xml:space="preserve"> </w:t>
      </w:r>
      <w:r w:rsidR="0037595D" w:rsidRPr="004C0364">
        <w:rPr>
          <w:sz w:val="22"/>
        </w:rPr>
        <w:t xml:space="preserve"> </w:t>
      </w:r>
      <w:r w:rsidR="004C0020" w:rsidRPr="004C0364">
        <w:rPr>
          <w:sz w:val="22"/>
        </w:rPr>
        <w:t xml:space="preserve">The two most common bands are 850 MHz and 1950 MHz.  </w:t>
      </w:r>
      <w:r w:rsidR="0037595D" w:rsidRPr="004C0364">
        <w:rPr>
          <w:sz w:val="22"/>
        </w:rPr>
        <w:t xml:space="preserve">However, if </w:t>
      </w:r>
      <w:r w:rsidR="004C0020" w:rsidRPr="004C0364">
        <w:rPr>
          <w:sz w:val="22"/>
        </w:rPr>
        <w:t>analog and digital are using separate channels under one license</w:t>
      </w:r>
      <w:r w:rsidR="002945CA" w:rsidRPr="004C0364">
        <w:rPr>
          <w:sz w:val="22"/>
        </w:rPr>
        <w:t xml:space="preserve"> within one band</w:t>
      </w:r>
      <w:r w:rsidR="004C0020" w:rsidRPr="004C0364">
        <w:rPr>
          <w:sz w:val="22"/>
        </w:rPr>
        <w:t xml:space="preserve">, </w:t>
      </w:r>
      <w:r w:rsidR="0037595D" w:rsidRPr="004C0364">
        <w:rPr>
          <w:sz w:val="22"/>
        </w:rPr>
        <w:t>inventory as a single</w:t>
      </w:r>
      <w:r w:rsidR="004C0020" w:rsidRPr="004C0364">
        <w:rPr>
          <w:sz w:val="22"/>
        </w:rPr>
        <w:t xml:space="preserve"> </w:t>
      </w:r>
      <w:r w:rsidR="0037595D" w:rsidRPr="004C0364">
        <w:rPr>
          <w:sz w:val="22"/>
        </w:rPr>
        <w:t xml:space="preserve">cellular </w:t>
      </w:r>
      <w:r w:rsidR="004C0020" w:rsidRPr="004C0364">
        <w:rPr>
          <w:sz w:val="22"/>
        </w:rPr>
        <w:t>use for billing purposes.</w:t>
      </w:r>
    </w:p>
    <w:p w:rsidR="00CB0DCE" w:rsidRPr="004C0364" w:rsidRDefault="00CB0DCE">
      <w:pPr>
        <w:pStyle w:val="NumberList1"/>
        <w:spacing w:before="120"/>
        <w:rPr>
          <w:sz w:val="22"/>
        </w:rPr>
      </w:pPr>
      <w:r w:rsidRPr="004C0364">
        <w:rPr>
          <w:sz w:val="22"/>
          <w:u w:val="single"/>
        </w:rPr>
        <w:t>Commercial Mobile Radio Service (CMRS) (815)</w:t>
      </w:r>
      <w:r w:rsidRPr="004C0364">
        <w:rPr>
          <w:sz w:val="22"/>
        </w:rPr>
        <w:t>.  This category of use includes FCC-licensed users providing mobile radio communications service to individual customers and the communications equipment directly related to the operation, maintenance, or monitoring of the use.  Examples of mobile radio systems in this category are two-way voice and paging services such as community repeaters, trunked radio (specialized mobile radio), two-way radio dispatch, public switched network (telephone/data) interconnect service, and microwave communications link equipment.  Some FCC-designated CMRS uses are considered Cellular Telephone/PCS uses for rent determination purposes – see the description of the Cellular Telephone/PCS category.</w:t>
      </w:r>
      <w:r w:rsidR="00951377" w:rsidRPr="004C0364">
        <w:rPr>
          <w:sz w:val="22"/>
        </w:rPr>
        <w:t xml:space="preserve">  When multiple CMRS systems are operated by the same entity in the same facility, each must be included in the inventory and will be used to determine the appropriate fee.</w:t>
      </w:r>
    </w:p>
    <w:p w:rsidR="00CB0DCE" w:rsidRPr="004C0364" w:rsidRDefault="00CB0DCE">
      <w:pPr>
        <w:pStyle w:val="NumberList1"/>
        <w:spacing w:before="120"/>
        <w:rPr>
          <w:sz w:val="22"/>
        </w:rPr>
      </w:pPr>
      <w:r w:rsidRPr="004C0364">
        <w:rPr>
          <w:sz w:val="22"/>
          <w:u w:val="single"/>
        </w:rPr>
        <w:t>Facility Manager (818)</w:t>
      </w:r>
      <w:r w:rsidRPr="004C0364">
        <w:rPr>
          <w:sz w:val="22"/>
        </w:rPr>
        <w:t xml:space="preserve">.  A facility manager does not directly provide communications services and does not hold an FCC license to operate communications equipment.  A facility manager owns a communications facility on National Forest System lands and has a special use authorization to lease building, tower, and related facility space as part of the business enterprise.  </w:t>
      </w:r>
    </w:p>
    <w:p w:rsidR="00CB0DCE" w:rsidRPr="004C0364" w:rsidRDefault="00CB0DCE">
      <w:pPr>
        <w:pStyle w:val="NumberList1"/>
        <w:spacing w:before="120"/>
        <w:rPr>
          <w:sz w:val="22"/>
        </w:rPr>
      </w:pPr>
      <w:proofErr w:type="gramStart"/>
      <w:r w:rsidRPr="004C0364">
        <w:rPr>
          <w:sz w:val="22"/>
          <w:u w:val="single"/>
        </w:rPr>
        <w:lastRenderedPageBreak/>
        <w:t>Local Exchange Network (805)</w:t>
      </w:r>
      <w:r w:rsidRPr="004C0364">
        <w:rPr>
          <w:sz w:val="22"/>
        </w:rPr>
        <w:t>.</w:t>
      </w:r>
      <w:proofErr w:type="gramEnd"/>
      <w:r w:rsidRPr="004C0364">
        <w:rPr>
          <w:sz w:val="22"/>
        </w:rPr>
        <w:t xml:space="preserve">  This use refers to a radio service that provides basic telephone service, primarily to rural communities.</w:t>
      </w:r>
    </w:p>
    <w:p w:rsidR="00CB0DCE" w:rsidRPr="004C0364" w:rsidRDefault="00CB0DCE">
      <w:pPr>
        <w:pStyle w:val="NumberList1"/>
        <w:spacing w:before="120"/>
        <w:rPr>
          <w:sz w:val="22"/>
        </w:rPr>
      </w:pPr>
      <w:proofErr w:type="gramStart"/>
      <w:r w:rsidRPr="004C0364">
        <w:rPr>
          <w:sz w:val="22"/>
          <w:u w:val="single"/>
        </w:rPr>
        <w:t>Microwave (803, 804)</w:t>
      </w:r>
      <w:r w:rsidRPr="004C0364">
        <w:rPr>
          <w:sz w:val="22"/>
        </w:rPr>
        <w:t>.</w:t>
      </w:r>
      <w:proofErr w:type="gramEnd"/>
      <w:r w:rsidRPr="004C0364">
        <w:rPr>
          <w:sz w:val="22"/>
        </w:rPr>
        <w:t xml:space="preserve">  This use includes holders of FCC-licensed facilities used for long-line intrastate and interstate public telephone</w:t>
      </w:r>
      <w:r w:rsidR="00966371" w:rsidRPr="004C0364">
        <w:rPr>
          <w:sz w:val="22"/>
        </w:rPr>
        <w:t xml:space="preserve"> (including relay of cellular traffic from other cellular sites)</w:t>
      </w:r>
      <w:r w:rsidRPr="004C0364">
        <w:rPr>
          <w:sz w:val="22"/>
        </w:rPr>
        <w:t xml:space="preserve">, television, information, </w:t>
      </w:r>
      <w:r w:rsidR="00966371" w:rsidRPr="004C0364">
        <w:rPr>
          <w:sz w:val="22"/>
        </w:rPr>
        <w:t xml:space="preserve">, </w:t>
      </w:r>
      <w:r w:rsidRPr="004C0364">
        <w:rPr>
          <w:sz w:val="22"/>
        </w:rPr>
        <w:t>and data transmissions (common carrier, code 803), or used by pipeline and power companies, railroads, and land resource management companies in support of the holder's primary business (industrial, code 804).  Also included is communications equipment, directly related to the operation, maintenance, or monitoring of the use, such as mobile radio service.</w:t>
      </w:r>
      <w:r w:rsidR="00966371" w:rsidRPr="004C0364">
        <w:rPr>
          <w:sz w:val="22"/>
        </w:rPr>
        <w:t xml:space="preserve">  When a portion of the microwave bandwidth is used commercially, a separate microwave use shall be inventoried for fee calculation purposes.</w:t>
      </w:r>
    </w:p>
    <w:p w:rsidR="002945CA" w:rsidRPr="004C0364" w:rsidRDefault="00CB0DCE">
      <w:pPr>
        <w:pStyle w:val="NumberList1"/>
        <w:spacing w:before="120"/>
        <w:rPr>
          <w:sz w:val="22"/>
        </w:rPr>
      </w:pPr>
      <w:proofErr w:type="gramStart"/>
      <w:r w:rsidRPr="004C0364">
        <w:rPr>
          <w:sz w:val="22"/>
          <w:u w:val="single"/>
        </w:rPr>
        <w:t>Other Communications Uses (801, 802, 814, 831, 832</w:t>
      </w:r>
      <w:r w:rsidR="002673B9" w:rsidRPr="004C0364">
        <w:rPr>
          <w:sz w:val="22"/>
          <w:u w:val="single"/>
        </w:rPr>
        <w:t xml:space="preserve">, </w:t>
      </w:r>
      <w:r w:rsidR="002945CA" w:rsidRPr="004C0364">
        <w:rPr>
          <w:sz w:val="22"/>
          <w:u w:val="single"/>
        </w:rPr>
        <w:t>833</w:t>
      </w:r>
      <w:r w:rsidR="00A26195" w:rsidRPr="004C0364">
        <w:rPr>
          <w:sz w:val="22"/>
          <w:u w:val="single"/>
        </w:rPr>
        <w:t>, 834</w:t>
      </w:r>
      <w:r w:rsidRPr="004C0364">
        <w:rPr>
          <w:sz w:val="22"/>
          <w:u w:val="single"/>
        </w:rPr>
        <w:t>)</w:t>
      </w:r>
      <w:r w:rsidRPr="004C0364">
        <w:rPr>
          <w:sz w:val="22"/>
        </w:rPr>
        <w:t>.</w:t>
      </w:r>
      <w:proofErr w:type="gramEnd"/>
      <w:r w:rsidRPr="004C0364">
        <w:rPr>
          <w:sz w:val="22"/>
        </w:rPr>
        <w:t xml:space="preserve">  This category includes holders of FCC-licensed private communications uses such as amateur radio (801); personal/private receive-only antennas designed for the reception of electronic signals to serve private homes (802); natural resource and environmental monitoring equipment used by weather stations, seismic stations, and snow measurement courses (814); and other small, low-power devices used to monitor or control remote activities (831).  These facilities are personally owned and not operated for profit.</w:t>
      </w:r>
      <w:r w:rsidR="002673B9" w:rsidRPr="004C0364">
        <w:rPr>
          <w:sz w:val="22"/>
        </w:rPr>
        <w:t xml:space="preserve">  </w:t>
      </w:r>
      <w:r w:rsidR="00EB55FE" w:rsidRPr="004C0364">
        <w:rPr>
          <w:sz w:val="22"/>
        </w:rPr>
        <w:t>Several federal agencies utilize the category of navigational equipment</w:t>
      </w:r>
      <w:r w:rsidR="002945CA" w:rsidRPr="004C0364">
        <w:rPr>
          <w:sz w:val="22"/>
        </w:rPr>
        <w:t xml:space="preserve"> (833)</w:t>
      </w:r>
      <w:r w:rsidR="00893547" w:rsidRPr="004C0364">
        <w:rPr>
          <w:sz w:val="22"/>
        </w:rPr>
        <w:t xml:space="preserve"> for electronic signaling for aviation or marine navigation</w:t>
      </w:r>
      <w:r w:rsidR="00EB55FE" w:rsidRPr="004C0364">
        <w:rPr>
          <w:sz w:val="22"/>
        </w:rPr>
        <w:t>.  For example the FAA</w:t>
      </w:r>
      <w:r w:rsidR="002945CA" w:rsidRPr="004C0364">
        <w:rPr>
          <w:sz w:val="22"/>
        </w:rPr>
        <w:t>, and US Navy, and Air Force</w:t>
      </w:r>
      <w:r w:rsidR="00EB55FE" w:rsidRPr="004C0364">
        <w:rPr>
          <w:sz w:val="22"/>
        </w:rPr>
        <w:t xml:space="preserve"> utilize several technologies such as VORTA</w:t>
      </w:r>
      <w:r w:rsidR="002945CA" w:rsidRPr="004C0364">
        <w:rPr>
          <w:sz w:val="22"/>
        </w:rPr>
        <w:t>C</w:t>
      </w:r>
      <w:r w:rsidR="00EB55FE" w:rsidRPr="004C0364">
        <w:rPr>
          <w:sz w:val="22"/>
        </w:rPr>
        <w:t xml:space="preserve"> and </w:t>
      </w:r>
      <w:r w:rsidR="002945CA" w:rsidRPr="004C0364">
        <w:rPr>
          <w:sz w:val="22"/>
        </w:rPr>
        <w:t>other air traffic control systems.</w:t>
      </w:r>
      <w:r w:rsidR="00893547" w:rsidRPr="004C0364">
        <w:rPr>
          <w:sz w:val="22"/>
        </w:rPr>
        <w:t xml:space="preserve">  Astronomy stations can be classified under this category (834).  This category also includes other communication improvements not accounted for in other categories (831), and any communication improvements financed under the Rural Electrification Act (REA) (832).</w:t>
      </w:r>
    </w:p>
    <w:p w:rsidR="00CB0DCE" w:rsidRPr="004C0364" w:rsidRDefault="002945CA">
      <w:pPr>
        <w:pStyle w:val="NumberList1"/>
        <w:spacing w:before="120"/>
        <w:rPr>
          <w:sz w:val="22"/>
        </w:rPr>
      </w:pPr>
      <w:r w:rsidRPr="004C0364">
        <w:rPr>
          <w:sz w:val="22"/>
        </w:rPr>
        <w:t>Radar and Doppler, though not technically “communications uses” will be found at communications sites and due to the necessity for the scanning field to be free of obstructions may govern the installation of other communications site facilities.</w:t>
      </w:r>
      <w:r w:rsidR="00EB55FE" w:rsidRPr="004C0364">
        <w:rPr>
          <w:sz w:val="22"/>
        </w:rPr>
        <w:t xml:space="preserve"> </w:t>
      </w:r>
      <w:r w:rsidR="0099088F" w:rsidRPr="004C0364">
        <w:rPr>
          <w:sz w:val="22"/>
        </w:rPr>
        <w:t xml:space="preserve"> For inventory and rent calculation, determine the communication use category according the method used to transmit data from the site.  For example, if a television station </w:t>
      </w:r>
      <w:r w:rsidR="00893547" w:rsidRPr="004C0364">
        <w:rPr>
          <w:sz w:val="22"/>
        </w:rPr>
        <w:t>operates</w:t>
      </w:r>
      <w:r w:rsidR="0099088F" w:rsidRPr="004C0364">
        <w:rPr>
          <w:sz w:val="22"/>
        </w:rPr>
        <w:t xml:space="preserve"> a weather Doppler facility and transmits from the site via microwave, then the communication site use would be industrial microwave (804).</w:t>
      </w:r>
    </w:p>
    <w:p w:rsidR="00CB0DCE" w:rsidRPr="004C0364" w:rsidRDefault="00CB0DCE">
      <w:pPr>
        <w:pStyle w:val="NumberList1"/>
        <w:spacing w:before="120"/>
        <w:rPr>
          <w:sz w:val="22"/>
        </w:rPr>
      </w:pPr>
      <w:proofErr w:type="gramStart"/>
      <w:r w:rsidRPr="004C0364">
        <w:rPr>
          <w:sz w:val="22"/>
          <w:u w:val="single"/>
        </w:rPr>
        <w:t>Passive Reflector (807)</w:t>
      </w:r>
      <w:r w:rsidRPr="004C0364">
        <w:rPr>
          <w:sz w:val="22"/>
        </w:rPr>
        <w:t>.</w:t>
      </w:r>
      <w:proofErr w:type="gramEnd"/>
      <w:r w:rsidRPr="004C0364">
        <w:rPr>
          <w:sz w:val="22"/>
        </w:rPr>
        <w:t xml:space="preserve">  Passive reflectors include various types of non-powered reflector devices used to bend or </w:t>
      </w:r>
      <w:proofErr w:type="gramStart"/>
      <w:r w:rsidRPr="004C0364">
        <w:rPr>
          <w:sz w:val="22"/>
        </w:rPr>
        <w:t>ricochet</w:t>
      </w:r>
      <w:proofErr w:type="gramEnd"/>
      <w:r w:rsidRPr="004C0364">
        <w:rPr>
          <w:sz w:val="22"/>
        </w:rPr>
        <w:t xml:space="preserve"> electronic signals between active relay stations or between an active relay station and a terminal.  A passive reflector commonly serves a microwave communications system.  The reflector requires point-to-point line-of-sight with the connecting relay stations, but does not require electric power.  Maintenance is minimal; reflectors seldom require site visits for maintenance or monitoring.</w:t>
      </w:r>
    </w:p>
    <w:p w:rsidR="00CB0DCE" w:rsidRPr="004C0364" w:rsidRDefault="00CB0DCE">
      <w:pPr>
        <w:pStyle w:val="NumberList1"/>
        <w:spacing w:before="120"/>
        <w:rPr>
          <w:sz w:val="22"/>
        </w:rPr>
      </w:pPr>
      <w:r w:rsidRPr="004C0364">
        <w:rPr>
          <w:sz w:val="22"/>
          <w:u w:val="single"/>
        </w:rPr>
        <w:t>Private Mobile Radio Service (PMRS) (806)</w:t>
      </w:r>
      <w:r w:rsidRPr="004C0364">
        <w:rPr>
          <w:sz w:val="22"/>
        </w:rPr>
        <w:t>.  This use category includes holders of FCC-licensed private mobile radio systems primarily used by a single entity for the purpose of mobile internal communications and the communications equipment directly related to the operation, maintenance, or monitoring of the use.  The communications service is not sold to others and is limited to the user.  Services generally include local internal radio dispatch for municipalities, utilities, and non-communications businesses, private paging services, and ancillary microwave communications equipment for the control of the mobile facilities.</w:t>
      </w:r>
    </w:p>
    <w:p w:rsidR="00CB0DCE" w:rsidRPr="004C0364" w:rsidRDefault="00CB0DCE">
      <w:pPr>
        <w:pStyle w:val="NumberList1"/>
        <w:spacing w:before="120"/>
        <w:rPr>
          <w:sz w:val="22"/>
        </w:rPr>
      </w:pPr>
      <w:proofErr w:type="gramStart"/>
      <w:r w:rsidRPr="004C0364">
        <w:rPr>
          <w:sz w:val="22"/>
          <w:u w:val="single"/>
        </w:rPr>
        <w:t>Wireless Internet Service Provider (ISP) (811)</w:t>
      </w:r>
      <w:r w:rsidRPr="004C0364">
        <w:rPr>
          <w:sz w:val="22"/>
        </w:rPr>
        <w:t>.</w:t>
      </w:r>
      <w:proofErr w:type="gramEnd"/>
      <w:r w:rsidRPr="004C0364">
        <w:rPr>
          <w:sz w:val="22"/>
        </w:rPr>
        <w:t xml:space="preserve">  These uses may or may not be in FCC-licensed bands.  An ISP utilizes wireless technology to connect subscription users to the internet.  </w:t>
      </w:r>
      <w:r w:rsidRPr="004C0364">
        <w:rPr>
          <w:rFonts w:ascii="Times" w:hAnsi="Times"/>
          <w:sz w:val="22"/>
        </w:rPr>
        <w:t>The ISP as a facility owner or as a tenant is a microwave use for fee determination purposes.</w:t>
      </w:r>
      <w:r w:rsidRPr="004C0364">
        <w:rPr>
          <w:sz w:val="22"/>
        </w:rPr>
        <w:t xml:space="preserve">  A customer of an ISP who has a communications facility on National Forest System lands to receive and transmit an ISP signal would be considered a PMRS use for rental determination purposes.</w:t>
      </w:r>
      <w:r w:rsidR="004C0020" w:rsidRPr="004C0364">
        <w:rPr>
          <w:sz w:val="22"/>
        </w:rPr>
        <w:t xml:space="preserve">  This category now also includes </w:t>
      </w:r>
      <w:proofErr w:type="spellStart"/>
      <w:r w:rsidR="004C0020" w:rsidRPr="004C0364">
        <w:rPr>
          <w:sz w:val="22"/>
        </w:rPr>
        <w:t>WiFI</w:t>
      </w:r>
      <w:proofErr w:type="spellEnd"/>
      <w:r w:rsidR="004C0020" w:rsidRPr="004C0364">
        <w:rPr>
          <w:sz w:val="22"/>
        </w:rPr>
        <w:t xml:space="preserve">, and </w:t>
      </w:r>
      <w:proofErr w:type="spellStart"/>
      <w:r w:rsidR="004C0020" w:rsidRPr="004C0364">
        <w:rPr>
          <w:sz w:val="22"/>
        </w:rPr>
        <w:t>WiMax</w:t>
      </w:r>
      <w:proofErr w:type="spellEnd"/>
      <w:r w:rsidR="004C0020" w:rsidRPr="004C0364">
        <w:rPr>
          <w:sz w:val="22"/>
        </w:rPr>
        <w:t>.</w:t>
      </w:r>
    </w:p>
    <w:p w:rsidR="004C0020" w:rsidRPr="004C0364" w:rsidRDefault="004C0020" w:rsidP="002673B9">
      <w:pPr>
        <w:pStyle w:val="NumberList1"/>
        <w:spacing w:before="120"/>
        <w:ind w:left="720" w:firstLine="0"/>
        <w:rPr>
          <w:sz w:val="22"/>
          <w:szCs w:val="22"/>
        </w:rPr>
      </w:pPr>
      <w:r w:rsidRPr="004C0364">
        <w:rPr>
          <w:sz w:val="22"/>
          <w:szCs w:val="22"/>
        </w:rPr>
        <w:t>Wi-Fi is used for mobile devices and LANs, and often used for Inte</w:t>
      </w:r>
      <w:r w:rsidR="002673B9" w:rsidRPr="004C0364">
        <w:rPr>
          <w:sz w:val="22"/>
          <w:szCs w:val="22"/>
        </w:rPr>
        <w:t>r</w:t>
      </w:r>
      <w:r w:rsidRPr="004C0364">
        <w:rPr>
          <w:sz w:val="22"/>
          <w:szCs w:val="22"/>
        </w:rPr>
        <w:t xml:space="preserve">net. </w:t>
      </w:r>
      <w:r w:rsidR="0099088F" w:rsidRPr="004C0364">
        <w:rPr>
          <w:sz w:val="22"/>
          <w:szCs w:val="22"/>
        </w:rPr>
        <w:t xml:space="preserve"> </w:t>
      </w:r>
      <w:r w:rsidRPr="004C0364">
        <w:rPr>
          <w:sz w:val="22"/>
          <w:szCs w:val="22"/>
        </w:rPr>
        <w:t xml:space="preserve">It enables a person with a wireless-enabled computer or </w:t>
      </w:r>
      <w:r w:rsidR="002673B9" w:rsidRPr="004C0364">
        <w:rPr>
          <w:sz w:val="22"/>
          <w:szCs w:val="22"/>
        </w:rPr>
        <w:t>personal digital assistant</w:t>
      </w:r>
      <w:r w:rsidRPr="004C0364">
        <w:rPr>
          <w:sz w:val="22"/>
          <w:szCs w:val="22"/>
        </w:rPr>
        <w:t xml:space="preserve"> (PDA) to connect to the Internet when in proximity of an </w:t>
      </w:r>
      <w:r w:rsidR="002673B9" w:rsidRPr="004C0364">
        <w:rPr>
          <w:sz w:val="22"/>
          <w:szCs w:val="22"/>
        </w:rPr>
        <w:t>access point</w:t>
      </w:r>
      <w:r w:rsidRPr="004C0364">
        <w:rPr>
          <w:sz w:val="22"/>
          <w:szCs w:val="22"/>
        </w:rPr>
        <w:t xml:space="preserve">. </w:t>
      </w:r>
      <w:r w:rsidR="0099088F" w:rsidRPr="004C0364">
        <w:rPr>
          <w:sz w:val="22"/>
          <w:szCs w:val="22"/>
        </w:rPr>
        <w:t xml:space="preserve"> </w:t>
      </w:r>
      <w:r w:rsidRPr="004C0364">
        <w:rPr>
          <w:sz w:val="22"/>
          <w:szCs w:val="22"/>
        </w:rPr>
        <w:t>The geographical region covered by one or several access points is called a hotspot.</w:t>
      </w:r>
    </w:p>
    <w:p w:rsidR="002673B9" w:rsidRPr="004C0364" w:rsidRDefault="002673B9" w:rsidP="002673B9">
      <w:pPr>
        <w:pStyle w:val="NumberList1"/>
        <w:spacing w:before="120"/>
        <w:ind w:left="720" w:firstLine="0"/>
        <w:rPr>
          <w:sz w:val="22"/>
          <w:szCs w:val="22"/>
        </w:rPr>
      </w:pPr>
      <w:proofErr w:type="spellStart"/>
      <w:r w:rsidRPr="004C0364">
        <w:rPr>
          <w:bCs/>
          <w:sz w:val="22"/>
          <w:szCs w:val="22"/>
        </w:rPr>
        <w:t>WiMAX</w:t>
      </w:r>
      <w:proofErr w:type="spellEnd"/>
      <w:r w:rsidRPr="004C0364">
        <w:rPr>
          <w:sz w:val="22"/>
          <w:szCs w:val="22"/>
        </w:rPr>
        <w:t xml:space="preserve"> is an acronym that stands for </w:t>
      </w:r>
      <w:r w:rsidRPr="004C0364">
        <w:rPr>
          <w:b/>
          <w:bCs/>
          <w:sz w:val="22"/>
          <w:szCs w:val="22"/>
        </w:rPr>
        <w:t>W</w:t>
      </w:r>
      <w:r w:rsidRPr="004C0364">
        <w:rPr>
          <w:sz w:val="22"/>
          <w:szCs w:val="22"/>
        </w:rPr>
        <w:t xml:space="preserve">orldwide </w:t>
      </w:r>
      <w:r w:rsidRPr="004C0364">
        <w:rPr>
          <w:b/>
          <w:bCs/>
          <w:sz w:val="22"/>
          <w:szCs w:val="22"/>
        </w:rPr>
        <w:t>I</w:t>
      </w:r>
      <w:r w:rsidRPr="004C0364">
        <w:rPr>
          <w:sz w:val="22"/>
          <w:szCs w:val="22"/>
        </w:rPr>
        <w:t xml:space="preserve">nteroperability for </w:t>
      </w:r>
      <w:r w:rsidRPr="004C0364">
        <w:rPr>
          <w:b/>
          <w:bCs/>
          <w:sz w:val="22"/>
          <w:szCs w:val="22"/>
        </w:rPr>
        <w:t>M</w:t>
      </w:r>
      <w:r w:rsidRPr="004C0364">
        <w:rPr>
          <w:sz w:val="22"/>
          <w:szCs w:val="22"/>
        </w:rPr>
        <w:t xml:space="preserve">icrowave </w:t>
      </w:r>
      <w:r w:rsidRPr="004C0364">
        <w:rPr>
          <w:b/>
          <w:bCs/>
          <w:sz w:val="22"/>
          <w:szCs w:val="22"/>
        </w:rPr>
        <w:t>Acc</w:t>
      </w:r>
      <w:r w:rsidRPr="004C0364">
        <w:rPr>
          <w:sz w:val="22"/>
          <w:szCs w:val="22"/>
        </w:rPr>
        <w:t xml:space="preserve">ess, a certification mark for products that pass conformity and interoperability tests for the IEEE 802.16 standards. </w:t>
      </w:r>
      <w:r w:rsidR="0099088F" w:rsidRPr="004C0364">
        <w:rPr>
          <w:sz w:val="22"/>
          <w:szCs w:val="22"/>
        </w:rPr>
        <w:t xml:space="preserve"> </w:t>
      </w:r>
      <w:proofErr w:type="spellStart"/>
      <w:r w:rsidRPr="004C0364">
        <w:rPr>
          <w:sz w:val="22"/>
          <w:szCs w:val="22"/>
        </w:rPr>
        <w:t>WiMAX</w:t>
      </w:r>
      <w:proofErr w:type="spellEnd"/>
      <w:r w:rsidRPr="004C0364">
        <w:rPr>
          <w:sz w:val="22"/>
          <w:szCs w:val="22"/>
        </w:rPr>
        <w:t xml:space="preserve"> is a standards-based wireless technology that provides high-throughput broadband connections over long </w:t>
      </w:r>
      <w:r w:rsidRPr="004C0364">
        <w:rPr>
          <w:sz w:val="22"/>
          <w:szCs w:val="22"/>
        </w:rPr>
        <w:lastRenderedPageBreak/>
        <w:t xml:space="preserve">distances. </w:t>
      </w:r>
      <w:r w:rsidR="00524AF0" w:rsidRPr="004C0364">
        <w:rPr>
          <w:sz w:val="22"/>
          <w:szCs w:val="22"/>
        </w:rPr>
        <w:t xml:space="preserve"> </w:t>
      </w:r>
      <w:proofErr w:type="spellStart"/>
      <w:r w:rsidRPr="004C0364">
        <w:rPr>
          <w:sz w:val="22"/>
          <w:szCs w:val="22"/>
        </w:rPr>
        <w:t>WiMAX</w:t>
      </w:r>
      <w:proofErr w:type="spellEnd"/>
      <w:r w:rsidRPr="004C0364">
        <w:rPr>
          <w:sz w:val="22"/>
          <w:szCs w:val="22"/>
        </w:rPr>
        <w:t xml:space="preserve"> can be used for a number of applications, including "last mile" broadband connections, hotspots and cellular backhaul, and high-speed enterprise connectivity for business.</w:t>
      </w:r>
    </w:p>
    <w:p w:rsidR="00CB0DCE" w:rsidRPr="004C0364" w:rsidRDefault="00CB0DCE">
      <w:pPr>
        <w:pStyle w:val="NumberList1"/>
        <w:spacing w:before="120"/>
        <w:rPr>
          <w:sz w:val="22"/>
        </w:rPr>
      </w:pPr>
      <w:r w:rsidRPr="004C0364">
        <w:rPr>
          <w:sz w:val="22"/>
          <w:szCs w:val="20"/>
        </w:rPr>
        <w:t xml:space="preserve">NOTE:  </w:t>
      </w:r>
      <w:r w:rsidRPr="004C0364">
        <w:rPr>
          <w:sz w:val="22"/>
          <w:szCs w:val="20"/>
          <w:u w:val="single"/>
        </w:rPr>
        <w:t>REA-financed Communications Site Improvements (use code 832)</w:t>
      </w:r>
      <w:r w:rsidRPr="004C0364">
        <w:rPr>
          <w:sz w:val="22"/>
          <w:szCs w:val="20"/>
        </w:rPr>
        <w:t xml:space="preserve"> may be described as one of several of the preceding categories, depending on the actual type of use.  However, the use designation code for REA-financed communication site improvements is 832 instead of the code otherwise used for the communications site category.  REA-financed facilities are exempt from rent, as explained in FSH 2709.11, section 34.</w:t>
      </w:r>
    </w:p>
    <w:sectPr w:rsidR="00CB0DCE" w:rsidRPr="004C0364" w:rsidSect="004C0364">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36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E90" w:rsidRDefault="001F2E90">
      <w:r>
        <w:separator/>
      </w:r>
    </w:p>
  </w:endnote>
  <w:endnote w:type="continuationSeparator" w:id="0">
    <w:p w:rsidR="001F2E90" w:rsidRDefault="001F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DF" w:rsidRDefault="001544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392211"/>
      <w:docPartObj>
        <w:docPartGallery w:val="Page Numbers (Top of Page)"/>
        <w:docPartUnique/>
      </w:docPartObj>
    </w:sdtPr>
    <w:sdtContent>
      <w:p w:rsidR="004C0364" w:rsidRDefault="004C0364" w:rsidP="004C0364">
        <w:pPr>
          <w:pStyle w:val="Footer"/>
          <w:jc w:val="center"/>
        </w:pPr>
        <w:r>
          <w:t xml:space="preserve">Page </w:t>
        </w:r>
        <w:r>
          <w:rPr>
            <w:b/>
            <w:bCs/>
          </w:rPr>
          <w:fldChar w:fldCharType="begin"/>
        </w:r>
        <w:r>
          <w:rPr>
            <w:b/>
            <w:bCs/>
          </w:rPr>
          <w:instrText xml:space="preserve"> PAGE </w:instrText>
        </w:r>
        <w:r>
          <w:rPr>
            <w:b/>
            <w:bCs/>
          </w:rPr>
          <w:fldChar w:fldCharType="separate"/>
        </w:r>
        <w:r w:rsidR="001544DF">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1544DF">
          <w:rPr>
            <w:b/>
            <w:bCs/>
            <w:noProof/>
          </w:rPr>
          <w:t>5</w:t>
        </w:r>
        <w:r>
          <w:rPr>
            <w:b/>
            <w:bCs/>
          </w:rPr>
          <w:fldChar w:fldCharType="end"/>
        </w:r>
      </w:p>
    </w:sdtContent>
  </w:sdt>
  <w:p w:rsidR="00241711" w:rsidRDefault="0024171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1352"/>
      <w:docPartObj>
        <w:docPartGallery w:val="Page Numbers (Top of Page)"/>
        <w:docPartUnique/>
      </w:docPartObj>
    </w:sdtPr>
    <w:sdtContent>
      <w:p w:rsidR="004C0364" w:rsidRDefault="004C0364" w:rsidP="004C0364">
        <w:pPr>
          <w:pStyle w:val="Footer"/>
          <w:jc w:val="center"/>
        </w:pPr>
        <w:r>
          <w:t xml:space="preserve">Page </w:t>
        </w:r>
        <w:r>
          <w:rPr>
            <w:b/>
            <w:bCs/>
          </w:rPr>
          <w:fldChar w:fldCharType="begin"/>
        </w:r>
        <w:r>
          <w:rPr>
            <w:b/>
            <w:bCs/>
          </w:rPr>
          <w:instrText xml:space="preserve"> PAGE </w:instrText>
        </w:r>
        <w:r>
          <w:rPr>
            <w:b/>
            <w:bCs/>
          </w:rPr>
          <w:fldChar w:fldCharType="separate"/>
        </w:r>
        <w:r w:rsidR="001544D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544DF">
          <w:rPr>
            <w:b/>
            <w:bCs/>
            <w:noProof/>
          </w:rPr>
          <w:t>5</w:t>
        </w:r>
        <w:r>
          <w:rPr>
            <w:b/>
            <w:bCs/>
          </w:rPr>
          <w:fldChar w:fldCharType="end"/>
        </w:r>
      </w:p>
    </w:sdtContent>
  </w:sdt>
  <w:p w:rsidR="004C0364" w:rsidRDefault="004C0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E90" w:rsidRDefault="001F2E90">
      <w:r>
        <w:separator/>
      </w:r>
    </w:p>
  </w:footnote>
  <w:footnote w:type="continuationSeparator" w:id="0">
    <w:p w:rsidR="001F2E90" w:rsidRDefault="001F2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DF" w:rsidRDefault="001544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64" w:rsidRPr="004C0364" w:rsidRDefault="004C0364" w:rsidP="004C0364">
    <w:pPr>
      <w:tabs>
        <w:tab w:val="center" w:pos="5040"/>
        <w:tab w:val="right" w:pos="10080"/>
      </w:tabs>
      <w:rPr>
        <w:sz w:val="20"/>
        <w:szCs w:val="20"/>
      </w:rPr>
    </w:pPr>
    <w:r w:rsidRPr="004C0364">
      <w:rPr>
        <w:rFonts w:ascii="Helvetica" w:hAnsi="Helvetica"/>
        <w:sz w:val="20"/>
        <w:szCs w:val="20"/>
      </w:rPr>
      <w:t>USDA Forest Service</w:t>
    </w:r>
    <w:r w:rsidRPr="004C0364">
      <w:rPr>
        <w:sz w:val="20"/>
        <w:szCs w:val="20"/>
      </w:rPr>
      <w:tab/>
    </w:r>
    <w:r w:rsidRPr="004C0364">
      <w:rPr>
        <w:rFonts w:ascii="Helvetica" w:hAnsi="Helvetica"/>
        <w:sz w:val="20"/>
        <w:szCs w:val="20"/>
      </w:rPr>
      <w:tab/>
      <w:t>FS-2700-10a (05/09)</w:t>
    </w:r>
  </w:p>
  <w:p w:rsidR="004C0364" w:rsidRPr="004C0364" w:rsidRDefault="004C0364" w:rsidP="004C0364">
    <w:pPr>
      <w:tabs>
        <w:tab w:val="right" w:pos="9900"/>
      </w:tabs>
      <w:jc w:val="right"/>
      <w:rPr>
        <w:rFonts w:ascii="Helvetica" w:hAnsi="Helvetica"/>
        <w:sz w:val="20"/>
        <w:szCs w:val="20"/>
      </w:rPr>
    </w:pPr>
    <w:r w:rsidRPr="004C0364">
      <w:rPr>
        <w:rFonts w:ascii="Helvetica" w:hAnsi="Helvetica"/>
        <w:sz w:val="20"/>
        <w:szCs w:val="20"/>
      </w:rPr>
      <w:t>OMB No. 0596-0082</w:t>
    </w:r>
  </w:p>
  <w:p w:rsidR="004C0364" w:rsidRDefault="004C03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711" w:rsidRPr="004C0364" w:rsidRDefault="00241711">
    <w:pPr>
      <w:tabs>
        <w:tab w:val="center" w:pos="5040"/>
        <w:tab w:val="right" w:pos="10080"/>
      </w:tabs>
      <w:rPr>
        <w:sz w:val="20"/>
        <w:szCs w:val="20"/>
      </w:rPr>
    </w:pPr>
    <w:r w:rsidRPr="004C0364">
      <w:rPr>
        <w:rFonts w:ascii="Helvetica" w:hAnsi="Helvetica"/>
        <w:sz w:val="20"/>
        <w:szCs w:val="20"/>
      </w:rPr>
      <w:t>USDA Forest Service</w:t>
    </w:r>
    <w:r w:rsidRPr="004C0364">
      <w:rPr>
        <w:sz w:val="20"/>
        <w:szCs w:val="20"/>
      </w:rPr>
      <w:tab/>
    </w:r>
    <w:r w:rsidRPr="004C0364">
      <w:rPr>
        <w:rFonts w:ascii="Helvetica" w:hAnsi="Helvetica"/>
        <w:sz w:val="20"/>
        <w:szCs w:val="20"/>
      </w:rPr>
      <w:tab/>
      <w:t xml:space="preserve">FS-2700-10a </w:t>
    </w:r>
    <w:r w:rsidR="004B222C" w:rsidRPr="004C0364">
      <w:rPr>
        <w:rFonts w:ascii="Helvetica" w:hAnsi="Helvetica"/>
        <w:sz w:val="20"/>
        <w:szCs w:val="20"/>
      </w:rPr>
      <w:t>(</w:t>
    </w:r>
    <w:r w:rsidR="004B4B1C" w:rsidRPr="004C0364">
      <w:rPr>
        <w:rFonts w:ascii="Helvetica" w:hAnsi="Helvetica"/>
        <w:sz w:val="20"/>
        <w:szCs w:val="20"/>
      </w:rPr>
      <w:t>05</w:t>
    </w:r>
    <w:r w:rsidR="004B222C" w:rsidRPr="004C0364">
      <w:rPr>
        <w:rFonts w:ascii="Helvetica" w:hAnsi="Helvetica"/>
        <w:sz w:val="20"/>
        <w:szCs w:val="20"/>
      </w:rPr>
      <w:t>/09)</w:t>
    </w:r>
  </w:p>
  <w:p w:rsidR="00241711" w:rsidRPr="004C0364" w:rsidRDefault="00241711">
    <w:pPr>
      <w:tabs>
        <w:tab w:val="right" w:pos="9900"/>
      </w:tabs>
      <w:jc w:val="right"/>
      <w:rPr>
        <w:rFonts w:ascii="Helvetica" w:hAnsi="Helvetica"/>
        <w:sz w:val="20"/>
        <w:szCs w:val="20"/>
      </w:rPr>
    </w:pPr>
    <w:r w:rsidRPr="004C0364">
      <w:rPr>
        <w:rFonts w:ascii="Helvetica" w:hAnsi="Helvetica"/>
        <w:sz w:val="20"/>
        <w:szCs w:val="20"/>
      </w:rPr>
      <w:t>OMB No. 0596-0082</w:t>
    </w:r>
  </w:p>
  <w:p w:rsidR="00241711" w:rsidRDefault="00241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83A66"/>
    <w:multiLevelType w:val="hybridMultilevel"/>
    <w:tmpl w:val="19AE952E"/>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cs="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
    <w:nsid w:val="31204C45"/>
    <w:multiLevelType w:val="hybridMultilevel"/>
    <w:tmpl w:val="56928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C5937E4"/>
    <w:multiLevelType w:val="hybridMultilevel"/>
    <w:tmpl w:val="DF1E167C"/>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cs="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371"/>
    <w:rsid w:val="00016224"/>
    <w:rsid w:val="00124D03"/>
    <w:rsid w:val="001544DF"/>
    <w:rsid w:val="00174DF7"/>
    <w:rsid w:val="001B4844"/>
    <w:rsid w:val="001F2E90"/>
    <w:rsid w:val="00231F82"/>
    <w:rsid w:val="00241711"/>
    <w:rsid w:val="002673B9"/>
    <w:rsid w:val="002945CA"/>
    <w:rsid w:val="0029515F"/>
    <w:rsid w:val="002B6302"/>
    <w:rsid w:val="002F351F"/>
    <w:rsid w:val="0037595D"/>
    <w:rsid w:val="003E424E"/>
    <w:rsid w:val="004B222C"/>
    <w:rsid w:val="004B4B1C"/>
    <w:rsid w:val="004C0020"/>
    <w:rsid w:val="004C0364"/>
    <w:rsid w:val="004E7FF8"/>
    <w:rsid w:val="00521D65"/>
    <w:rsid w:val="00524AF0"/>
    <w:rsid w:val="00607E00"/>
    <w:rsid w:val="0066242D"/>
    <w:rsid w:val="00893547"/>
    <w:rsid w:val="008A2811"/>
    <w:rsid w:val="008A601B"/>
    <w:rsid w:val="008D5F33"/>
    <w:rsid w:val="00951377"/>
    <w:rsid w:val="00952308"/>
    <w:rsid w:val="00966371"/>
    <w:rsid w:val="0099088F"/>
    <w:rsid w:val="009D23AA"/>
    <w:rsid w:val="00A102CD"/>
    <w:rsid w:val="00A12AE5"/>
    <w:rsid w:val="00A26195"/>
    <w:rsid w:val="00A3172D"/>
    <w:rsid w:val="00A33885"/>
    <w:rsid w:val="00B8644E"/>
    <w:rsid w:val="00B92FB0"/>
    <w:rsid w:val="00BE0687"/>
    <w:rsid w:val="00C64B46"/>
    <w:rsid w:val="00C8293C"/>
    <w:rsid w:val="00CB0DCE"/>
    <w:rsid w:val="00CF1D54"/>
    <w:rsid w:val="00D42767"/>
    <w:rsid w:val="00E249BF"/>
    <w:rsid w:val="00E72F73"/>
    <w:rsid w:val="00EB55FE"/>
    <w:rsid w:val="00F14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outlineLvl w:val="0"/>
    </w:pPr>
    <w:rPr>
      <w:rFonts w:ascii="Arial" w:hAnsi="Arial" w:cs="Arial"/>
      <w:b/>
      <w:bCs/>
      <w:caps/>
      <w:color w:val="0000FF"/>
      <w:kern w:val="32"/>
      <w:szCs w:val="32"/>
    </w:rPr>
  </w:style>
  <w:style w:type="paragraph" w:styleId="Heading2">
    <w:name w:val="heading 2"/>
    <w:basedOn w:val="Normal"/>
    <w:next w:val="Normal"/>
    <w:qFormat/>
    <w:pPr>
      <w:keepNext/>
      <w:spacing w:before="240"/>
      <w:outlineLvl w:val="1"/>
    </w:pPr>
    <w:rPr>
      <w:rFonts w:ascii="Arial" w:hAnsi="Arial" w:cs="Arial"/>
      <w:b/>
      <w:bCs/>
      <w:iCs/>
      <w:color w:val="0000FF"/>
      <w:szCs w:val="28"/>
    </w:rPr>
  </w:style>
  <w:style w:type="paragraph" w:styleId="Heading3">
    <w:name w:val="heading 3"/>
    <w:basedOn w:val="Normal"/>
    <w:next w:val="Normal"/>
    <w:qFormat/>
    <w:pPr>
      <w:keepNext/>
      <w:spacing w:before="240"/>
      <w:outlineLvl w:val="2"/>
    </w:pPr>
    <w:rPr>
      <w:rFonts w:ascii="Arial" w:hAnsi="Arial" w:cs="Arial"/>
      <w:b/>
      <w:bCs/>
      <w:color w:val="0000FF"/>
      <w:szCs w:val="2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ind w:right="180"/>
      <w:jc w:val="center"/>
      <w:outlineLvl w:val="4"/>
    </w:pPr>
    <w:rPr>
      <w:b/>
      <w:u w:val="single"/>
    </w:rPr>
  </w:style>
  <w:style w:type="paragraph" w:styleId="Heading6">
    <w:name w:val="heading 6"/>
    <w:basedOn w:val="Normal"/>
    <w:next w:val="Normal"/>
    <w:qFormat/>
    <w:pPr>
      <w:keepNext/>
      <w:outlineLvl w:val="5"/>
    </w:pPr>
    <w:rPr>
      <w:b/>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hibit">
    <w:name w:val="Exhibit"/>
    <w:basedOn w:val="Normal"/>
    <w:next w:val="Normal"/>
    <w:pPr>
      <w:jc w:val="center"/>
    </w:pPr>
    <w:rPr>
      <w:u w:val="single"/>
    </w:rPr>
  </w:style>
  <w:style w:type="paragraph" w:customStyle="1" w:styleId="NumberList1">
    <w:name w:val="Number List 1"/>
    <w:aliases w:val="2,3,Numbered List - 1,3..."/>
    <w:basedOn w:val="Normal"/>
    <w:pPr>
      <w:spacing w:before="240"/>
      <w:ind w:firstLine="720"/>
    </w:pPr>
  </w:style>
  <w:style w:type="paragraph" w:customStyle="1" w:styleId="NumberLista">
    <w:name w:val="Number List a"/>
    <w:aliases w:val="(1),(a)"/>
    <w:basedOn w:val="Normal"/>
    <w:pPr>
      <w:spacing w:before="240"/>
      <w:ind w:left="1080"/>
    </w:pPr>
  </w:style>
  <w:style w:type="paragraph" w:customStyle="1" w:styleId="Quotation">
    <w:name w:val="Quotation"/>
    <w:basedOn w:val="Normal"/>
    <w:next w:val="Normal"/>
    <w:pPr>
      <w:ind w:left="1080" w:right="1080"/>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Salutation">
    <w:name w:val="Salutation"/>
    <w:basedOn w:val="Normal"/>
    <w:next w:val="Normal"/>
  </w:style>
  <w:style w:type="paragraph" w:customStyle="1" w:styleId="Cell">
    <w:name w:val="Cell"/>
    <w:basedOn w:val="Normal"/>
    <w:pPr>
      <w:widowControl w:val="0"/>
      <w:autoSpaceDE w:val="0"/>
      <w:autoSpaceDN w:val="0"/>
      <w:adjustRightInd w:val="0"/>
    </w:pPr>
    <w:rPr>
      <w:rFonts w:ascii="Times" w:hAnsi="Times"/>
      <w:noProof/>
      <w:color w:val="000000"/>
    </w:rPr>
  </w:style>
  <w:style w:type="character" w:styleId="Hyperlink">
    <w:name w:val="Hyperlink"/>
    <w:basedOn w:val="DefaultParagraphFont"/>
    <w:rsid w:val="004C0020"/>
    <w:rPr>
      <w:color w:val="0000FF"/>
      <w:u w:val="single"/>
    </w:rPr>
  </w:style>
  <w:style w:type="paragraph" w:styleId="BalloonText">
    <w:name w:val="Balloon Text"/>
    <w:basedOn w:val="Normal"/>
    <w:semiHidden/>
    <w:rsid w:val="0037595D"/>
    <w:rPr>
      <w:rFonts w:ascii="Tahoma" w:hAnsi="Tahoma" w:cs="Tahoma"/>
      <w:sz w:val="16"/>
      <w:szCs w:val="16"/>
    </w:rPr>
  </w:style>
  <w:style w:type="table" w:styleId="TableGrid">
    <w:name w:val="Table Grid"/>
    <w:basedOn w:val="TableNormal"/>
    <w:rsid w:val="00524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B92FB0"/>
    <w:rPr>
      <w:sz w:val="16"/>
      <w:szCs w:val="16"/>
    </w:rPr>
  </w:style>
  <w:style w:type="paragraph" w:styleId="CommentText">
    <w:name w:val="annotation text"/>
    <w:basedOn w:val="Normal"/>
    <w:semiHidden/>
    <w:rsid w:val="00B92FB0"/>
    <w:rPr>
      <w:sz w:val="20"/>
      <w:szCs w:val="20"/>
    </w:rPr>
  </w:style>
  <w:style w:type="paragraph" w:styleId="CommentSubject">
    <w:name w:val="annotation subject"/>
    <w:basedOn w:val="CommentText"/>
    <w:next w:val="CommentText"/>
    <w:semiHidden/>
    <w:rsid w:val="00B92FB0"/>
    <w:rPr>
      <w:b/>
      <w:bCs/>
    </w:rPr>
  </w:style>
  <w:style w:type="character" w:customStyle="1" w:styleId="FooterChar">
    <w:name w:val="Footer Char"/>
    <w:link w:val="Footer"/>
    <w:uiPriority w:val="99"/>
    <w:rsid w:val="004C03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outlineLvl w:val="0"/>
    </w:pPr>
    <w:rPr>
      <w:rFonts w:ascii="Arial" w:hAnsi="Arial" w:cs="Arial"/>
      <w:b/>
      <w:bCs/>
      <w:caps/>
      <w:color w:val="0000FF"/>
      <w:kern w:val="32"/>
      <w:szCs w:val="32"/>
    </w:rPr>
  </w:style>
  <w:style w:type="paragraph" w:styleId="Heading2">
    <w:name w:val="heading 2"/>
    <w:basedOn w:val="Normal"/>
    <w:next w:val="Normal"/>
    <w:qFormat/>
    <w:pPr>
      <w:keepNext/>
      <w:spacing w:before="240"/>
      <w:outlineLvl w:val="1"/>
    </w:pPr>
    <w:rPr>
      <w:rFonts w:ascii="Arial" w:hAnsi="Arial" w:cs="Arial"/>
      <w:b/>
      <w:bCs/>
      <w:iCs/>
      <w:color w:val="0000FF"/>
      <w:szCs w:val="28"/>
    </w:rPr>
  </w:style>
  <w:style w:type="paragraph" w:styleId="Heading3">
    <w:name w:val="heading 3"/>
    <w:basedOn w:val="Normal"/>
    <w:next w:val="Normal"/>
    <w:qFormat/>
    <w:pPr>
      <w:keepNext/>
      <w:spacing w:before="240"/>
      <w:outlineLvl w:val="2"/>
    </w:pPr>
    <w:rPr>
      <w:rFonts w:ascii="Arial" w:hAnsi="Arial" w:cs="Arial"/>
      <w:b/>
      <w:bCs/>
      <w:color w:val="0000FF"/>
      <w:szCs w:val="2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ind w:right="180"/>
      <w:jc w:val="center"/>
      <w:outlineLvl w:val="4"/>
    </w:pPr>
    <w:rPr>
      <w:b/>
      <w:u w:val="single"/>
    </w:rPr>
  </w:style>
  <w:style w:type="paragraph" w:styleId="Heading6">
    <w:name w:val="heading 6"/>
    <w:basedOn w:val="Normal"/>
    <w:next w:val="Normal"/>
    <w:qFormat/>
    <w:pPr>
      <w:keepNext/>
      <w:outlineLvl w:val="5"/>
    </w:pPr>
    <w:rPr>
      <w:b/>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hibit">
    <w:name w:val="Exhibit"/>
    <w:basedOn w:val="Normal"/>
    <w:next w:val="Normal"/>
    <w:pPr>
      <w:jc w:val="center"/>
    </w:pPr>
    <w:rPr>
      <w:u w:val="single"/>
    </w:rPr>
  </w:style>
  <w:style w:type="paragraph" w:customStyle="1" w:styleId="NumberList1">
    <w:name w:val="Number List 1"/>
    <w:aliases w:val="2,3,Numbered List - 1,3..."/>
    <w:basedOn w:val="Normal"/>
    <w:pPr>
      <w:spacing w:before="240"/>
      <w:ind w:firstLine="720"/>
    </w:pPr>
  </w:style>
  <w:style w:type="paragraph" w:customStyle="1" w:styleId="NumberLista">
    <w:name w:val="Number List a"/>
    <w:aliases w:val="(1),(a)"/>
    <w:basedOn w:val="Normal"/>
    <w:pPr>
      <w:spacing w:before="240"/>
      <w:ind w:left="1080"/>
    </w:pPr>
  </w:style>
  <w:style w:type="paragraph" w:customStyle="1" w:styleId="Quotation">
    <w:name w:val="Quotation"/>
    <w:basedOn w:val="Normal"/>
    <w:next w:val="Normal"/>
    <w:pPr>
      <w:ind w:left="1080" w:right="1080"/>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Salutation">
    <w:name w:val="Salutation"/>
    <w:basedOn w:val="Normal"/>
    <w:next w:val="Normal"/>
  </w:style>
  <w:style w:type="paragraph" w:customStyle="1" w:styleId="Cell">
    <w:name w:val="Cell"/>
    <w:basedOn w:val="Normal"/>
    <w:pPr>
      <w:widowControl w:val="0"/>
      <w:autoSpaceDE w:val="0"/>
      <w:autoSpaceDN w:val="0"/>
      <w:adjustRightInd w:val="0"/>
    </w:pPr>
    <w:rPr>
      <w:rFonts w:ascii="Times" w:hAnsi="Times"/>
      <w:noProof/>
      <w:color w:val="000000"/>
    </w:rPr>
  </w:style>
  <w:style w:type="character" w:styleId="Hyperlink">
    <w:name w:val="Hyperlink"/>
    <w:basedOn w:val="DefaultParagraphFont"/>
    <w:rsid w:val="004C0020"/>
    <w:rPr>
      <w:color w:val="0000FF"/>
      <w:u w:val="single"/>
    </w:rPr>
  </w:style>
  <w:style w:type="paragraph" w:styleId="BalloonText">
    <w:name w:val="Balloon Text"/>
    <w:basedOn w:val="Normal"/>
    <w:semiHidden/>
    <w:rsid w:val="0037595D"/>
    <w:rPr>
      <w:rFonts w:ascii="Tahoma" w:hAnsi="Tahoma" w:cs="Tahoma"/>
      <w:sz w:val="16"/>
      <w:szCs w:val="16"/>
    </w:rPr>
  </w:style>
  <w:style w:type="table" w:styleId="TableGrid">
    <w:name w:val="Table Grid"/>
    <w:basedOn w:val="TableNormal"/>
    <w:rsid w:val="00524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B92FB0"/>
    <w:rPr>
      <w:sz w:val="16"/>
      <w:szCs w:val="16"/>
    </w:rPr>
  </w:style>
  <w:style w:type="paragraph" w:styleId="CommentText">
    <w:name w:val="annotation text"/>
    <w:basedOn w:val="Normal"/>
    <w:semiHidden/>
    <w:rsid w:val="00B92FB0"/>
    <w:rPr>
      <w:sz w:val="20"/>
      <w:szCs w:val="20"/>
    </w:rPr>
  </w:style>
  <w:style w:type="paragraph" w:styleId="CommentSubject">
    <w:name w:val="annotation subject"/>
    <w:basedOn w:val="CommentText"/>
    <w:next w:val="CommentText"/>
    <w:semiHidden/>
    <w:rsid w:val="00B92FB0"/>
    <w:rPr>
      <w:b/>
      <w:bCs/>
    </w:rPr>
  </w:style>
  <w:style w:type="character" w:customStyle="1" w:styleId="FooterChar">
    <w:name w:val="Footer Char"/>
    <w:link w:val="Footer"/>
    <w:uiPriority w:val="99"/>
    <w:rsid w:val="004C03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2012-09-27T19:31:00Z</dcterms:created>
  <dcterms:modified xsi:type="dcterms:W3CDTF">2012-09-27T19:31:00Z</dcterms:modified>
</cp:coreProperties>
</file>