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979B2" w14:textId="77777777" w:rsidR="009A5F9A" w:rsidRDefault="009A5F9A" w:rsidP="009A5F9A">
      <w:pPr>
        <w:pStyle w:val="Title"/>
      </w:pPr>
      <w:r>
        <w:t>SUPPORTING STATEMENT</w:t>
      </w:r>
    </w:p>
    <w:p w14:paraId="4B6979B3" w14:textId="77777777" w:rsidR="009A5F9A" w:rsidRDefault="009A5F9A" w:rsidP="009A5F9A">
      <w:pPr>
        <w:pStyle w:val="Title"/>
      </w:pPr>
      <w:r>
        <w:t>United States Patent and Trademark Office</w:t>
      </w:r>
    </w:p>
    <w:p w14:paraId="4B6979B4" w14:textId="77777777" w:rsidR="009A5F9A" w:rsidRDefault="009A5F9A" w:rsidP="009A5F9A">
      <w:pPr>
        <w:jc w:val="center"/>
        <w:rPr>
          <w:rFonts w:ascii="Arial" w:hAnsi="Arial"/>
          <w:b/>
          <w:sz w:val="24"/>
        </w:rPr>
      </w:pPr>
      <w:r>
        <w:rPr>
          <w:rFonts w:ascii="Arial" w:hAnsi="Arial"/>
          <w:b/>
          <w:sz w:val="24"/>
        </w:rPr>
        <w:t>Matters Related to First Inventor to File</w:t>
      </w:r>
    </w:p>
    <w:p w14:paraId="4B6979B5" w14:textId="0887CF35" w:rsidR="009A5F9A" w:rsidRDefault="009A5F9A" w:rsidP="009A5F9A">
      <w:pPr>
        <w:jc w:val="center"/>
        <w:rPr>
          <w:rFonts w:ascii="Arial" w:hAnsi="Arial"/>
          <w:b/>
          <w:sz w:val="24"/>
        </w:rPr>
      </w:pPr>
      <w:r>
        <w:rPr>
          <w:rFonts w:ascii="Arial" w:hAnsi="Arial"/>
          <w:b/>
          <w:sz w:val="24"/>
        </w:rPr>
        <w:t>OMB CONTROL NUMBER 0651-00</w:t>
      </w:r>
      <w:r w:rsidR="00775D1E">
        <w:rPr>
          <w:rFonts w:ascii="Arial" w:hAnsi="Arial"/>
          <w:b/>
          <w:sz w:val="24"/>
        </w:rPr>
        <w:t>71</w:t>
      </w:r>
    </w:p>
    <w:p w14:paraId="4B6979B6" w14:textId="291568A3" w:rsidR="009A5F9A" w:rsidRPr="005236E3" w:rsidRDefault="005E20EA" w:rsidP="009A5F9A">
      <w:pPr>
        <w:jc w:val="center"/>
        <w:rPr>
          <w:rFonts w:ascii="Arial" w:hAnsi="Arial"/>
          <w:b/>
          <w:sz w:val="24"/>
          <w:szCs w:val="24"/>
        </w:rPr>
      </w:pPr>
      <w:r>
        <w:rPr>
          <w:rFonts w:ascii="Arial" w:hAnsi="Arial"/>
          <w:b/>
          <w:sz w:val="24"/>
          <w:szCs w:val="24"/>
        </w:rPr>
        <w:t xml:space="preserve">September </w:t>
      </w:r>
      <w:r w:rsidR="00775D1E">
        <w:rPr>
          <w:rFonts w:ascii="Arial" w:hAnsi="Arial"/>
          <w:b/>
          <w:sz w:val="24"/>
          <w:szCs w:val="24"/>
        </w:rPr>
        <w:t>2015</w:t>
      </w:r>
    </w:p>
    <w:p w14:paraId="4B6979B7" w14:textId="77777777" w:rsidR="009A5F9A" w:rsidRDefault="009A5F9A" w:rsidP="009A5F9A">
      <w:pPr>
        <w:jc w:val="center"/>
        <w:rPr>
          <w:rFonts w:ascii="Arial" w:hAnsi="Arial"/>
          <w:b/>
          <w:sz w:val="24"/>
        </w:rPr>
      </w:pPr>
    </w:p>
    <w:p w14:paraId="4B6979B8" w14:textId="77777777" w:rsidR="009A5F9A" w:rsidRDefault="009A5F9A" w:rsidP="009A5F9A">
      <w:pPr>
        <w:pStyle w:val="Heading1"/>
      </w:pPr>
    </w:p>
    <w:p w14:paraId="4B6979B9" w14:textId="77777777" w:rsidR="009A5F9A" w:rsidRDefault="009A5F9A" w:rsidP="009A5F9A">
      <w:pPr>
        <w:pStyle w:val="Heading1"/>
      </w:pPr>
      <w:r>
        <w:t>A.</w:t>
      </w:r>
      <w:r>
        <w:tab/>
        <w:t>JUSTIFICATION</w:t>
      </w:r>
    </w:p>
    <w:p w14:paraId="4B6979BA" w14:textId="77777777" w:rsidR="009A5F9A" w:rsidRDefault="009A5F9A" w:rsidP="009A5F9A">
      <w:pPr>
        <w:rPr>
          <w:rFonts w:ascii="Arial" w:hAnsi="Arial"/>
          <w:b/>
          <w:sz w:val="24"/>
        </w:rPr>
      </w:pPr>
    </w:p>
    <w:p w14:paraId="4B6979BB" w14:textId="77777777" w:rsidR="009A5F9A" w:rsidRDefault="009A5F9A" w:rsidP="009A5F9A">
      <w:pPr>
        <w:rPr>
          <w:rFonts w:ascii="Arial" w:hAnsi="Arial"/>
          <w:b/>
          <w:sz w:val="24"/>
        </w:rPr>
      </w:pPr>
      <w:r w:rsidRPr="00175BDF">
        <w:rPr>
          <w:rFonts w:ascii="Arial" w:hAnsi="Arial"/>
          <w:b/>
          <w:sz w:val="24"/>
        </w:rPr>
        <w:t>1.</w:t>
      </w:r>
      <w:r w:rsidRPr="00175BDF">
        <w:rPr>
          <w:rFonts w:ascii="Arial" w:hAnsi="Arial"/>
          <w:b/>
          <w:sz w:val="24"/>
        </w:rPr>
        <w:tab/>
        <w:t>Necessity of Information Collection</w:t>
      </w:r>
    </w:p>
    <w:p w14:paraId="4B6979BC" w14:textId="77777777" w:rsidR="009A5F9A" w:rsidRDefault="009A5F9A" w:rsidP="009A5F9A">
      <w:pPr>
        <w:jc w:val="both"/>
        <w:rPr>
          <w:rFonts w:ascii="Arial" w:hAnsi="Arial"/>
          <w:sz w:val="24"/>
        </w:rPr>
      </w:pPr>
    </w:p>
    <w:p w14:paraId="15706AEA" w14:textId="6D915FF3" w:rsidR="004B77ED" w:rsidRDefault="004B77ED" w:rsidP="004B77ED">
      <w:pPr>
        <w:pStyle w:val="BodyText2"/>
      </w:pPr>
      <w:r>
        <w:t xml:space="preserve">The Leahy-Smith America Invents Act (AIA) was enacted into law on September 16, 2011. </w:t>
      </w:r>
      <w:r w:rsidRPr="00251411">
        <w:rPr>
          <w:i/>
        </w:rPr>
        <w:t>See</w:t>
      </w:r>
      <w:r>
        <w:t xml:space="preserve"> Pub. L. 112-29, 125 Stat. 283 (2011). Section 3 of the AIA, </w:t>
      </w:r>
      <w:r w:rsidRPr="000B09C2">
        <w:rPr>
          <w:i/>
        </w:rPr>
        <w:t>inter alia</w:t>
      </w:r>
      <w:r>
        <w:t>, amended 35 U.S.C. 102 and 103 consistent with the objectives of the AIA, including the conversion of the United States patent system from a “first to invent” system to a “first inventor to file” system. The changes in section 3 of the AIA went into effect on March 16, 2013, but apply only to certain applications filed on or after March 16, 2013.</w:t>
      </w:r>
    </w:p>
    <w:p w14:paraId="14C243F0" w14:textId="77777777" w:rsidR="004B77ED" w:rsidRDefault="004B77ED" w:rsidP="004B77ED">
      <w:pPr>
        <w:pStyle w:val="BodyText2"/>
      </w:pPr>
    </w:p>
    <w:p w14:paraId="7BB5191D" w14:textId="3300C3D0" w:rsidR="004B77ED" w:rsidRDefault="004B77ED" w:rsidP="004B77ED">
      <w:pPr>
        <w:pStyle w:val="BodyText2"/>
      </w:pPr>
      <w:r>
        <w:t>37 CFR 1.55(</w:t>
      </w:r>
      <w:r w:rsidR="00C63991">
        <w:t>k</w:t>
      </w:r>
      <w:r>
        <w:t xml:space="preserve">), 1.78(a)(6) and 1.78(d)(6) require information needed to assist the USPTO in determining whether an application is subject to 35 U.S.C. 102 and 103 as amended by the AIA or 35 U.S.C. 102 and 103 in effect on March 15, 2013. 37 CFR 1.110 requires information needed to </w:t>
      </w:r>
      <w:r w:rsidRPr="00155F97">
        <w:t>identify the inventor</w:t>
      </w:r>
      <w:r w:rsidR="00AA5496">
        <w:t>ship</w:t>
      </w:r>
      <w:r w:rsidRPr="00155F97">
        <w:t xml:space="preserve"> and ownership</w:t>
      </w:r>
      <w:r w:rsidR="00AA5496">
        <w:t>,</w:t>
      </w:r>
      <w:r w:rsidRPr="00155F97">
        <w:t xml:space="preserve"> </w:t>
      </w:r>
      <w:r w:rsidR="00AA5496">
        <w:t xml:space="preserve">or obligation to assign ownership, </w:t>
      </w:r>
      <w:r w:rsidRPr="00155F97">
        <w:t>of each claimed invention</w:t>
      </w:r>
      <w:r w:rsidR="00FF2309">
        <w:t xml:space="preserve"> on its effective filing date (as defined in </w:t>
      </w:r>
      <w:r w:rsidR="00FF2309" w:rsidRPr="00FF2309">
        <w:t>§</w:t>
      </w:r>
      <w:r w:rsidR="00FF2309">
        <w:t xml:space="preserve"> 1.109) or on its date of invention, as applicable, </w:t>
      </w:r>
      <w:r w:rsidRPr="00155F97">
        <w:t xml:space="preserve">in an application or patent </w:t>
      </w:r>
      <w:r w:rsidR="00AA5496">
        <w:t xml:space="preserve">naming one or more joint </w:t>
      </w:r>
      <w:r w:rsidRPr="00155F97">
        <w:t>inventor</w:t>
      </w:r>
      <w:r w:rsidR="00AA5496">
        <w:t>s</w:t>
      </w:r>
      <w:r w:rsidRPr="00155F97">
        <w:t>, when necessary for purposes of a USPTO proceeding</w:t>
      </w:r>
      <w:r>
        <w:t xml:space="preserve">. 37 CFR 1.130, 1.131, and 1.132 provide for the submission of affidavits or declarations needed (i) to </w:t>
      </w:r>
      <w:r w:rsidRPr="00155F97">
        <w:rPr>
          <w:bCs/>
        </w:rPr>
        <w:t>show that a disclosure was by the inventor or joint inventor, or was by a party who obtained the subject matter from the inventor or a joint inventor</w:t>
      </w:r>
      <w:r>
        <w:rPr>
          <w:bCs/>
        </w:rPr>
        <w:t xml:space="preserve"> (1.130)</w:t>
      </w:r>
      <w:r w:rsidRPr="00155F97">
        <w:rPr>
          <w:bCs/>
        </w:rPr>
        <w:t xml:space="preserve">, </w:t>
      </w:r>
      <w:r>
        <w:rPr>
          <w:bCs/>
        </w:rPr>
        <w:t xml:space="preserve">(ii) to show that </w:t>
      </w:r>
      <w:r w:rsidRPr="00155F97">
        <w:rPr>
          <w:bCs/>
        </w:rPr>
        <w:t>there was a prior public disclosure by the inventor or a joint inventor, or by a party who obtained the subject matter from the inventor or a joint inventor</w:t>
      </w:r>
      <w:r>
        <w:rPr>
          <w:bCs/>
        </w:rPr>
        <w:t xml:space="preserve"> (1.130), (iii) to establish prior invention or to disqualify a commonly owned patent or published application as prior art (1.131), or (iv) to submit evidence to traverse a rejection or objection on a basis not otherwise provided for (1.132).</w:t>
      </w:r>
    </w:p>
    <w:p w14:paraId="484D17D9" w14:textId="77777777" w:rsidR="009F20FC" w:rsidRDefault="009F20FC" w:rsidP="009A5F9A">
      <w:pPr>
        <w:pStyle w:val="BodyText2"/>
      </w:pPr>
    </w:p>
    <w:p w14:paraId="4B6979C1" w14:textId="1FDFF0FA" w:rsidR="009A5F9A" w:rsidRDefault="009A5F9A" w:rsidP="009A5F9A">
      <w:pPr>
        <w:pStyle w:val="BodyText2"/>
      </w:pPr>
      <w:r>
        <w:t>The information in this collection can be submitted electronically through EFS-Web, the USPTO’s web-based electronic filing system, as well as on paper. The USPTO is therefore accounting for both electronic and paper submissions in this collection.</w:t>
      </w:r>
    </w:p>
    <w:p w14:paraId="4B6979C2" w14:textId="77777777" w:rsidR="009A5F9A" w:rsidRDefault="009A5F9A" w:rsidP="009A5F9A">
      <w:pPr>
        <w:pStyle w:val="BodyText2"/>
      </w:pPr>
    </w:p>
    <w:p w14:paraId="4B6979C3" w14:textId="77777777" w:rsidR="009A5F9A" w:rsidRPr="00EA49EB" w:rsidRDefault="009A5F9A" w:rsidP="009A5F9A">
      <w:pPr>
        <w:jc w:val="both"/>
        <w:rPr>
          <w:rFonts w:ascii="Arial" w:hAnsi="Arial" w:cs="Arial"/>
          <w:sz w:val="24"/>
          <w:szCs w:val="24"/>
        </w:rPr>
      </w:pPr>
      <w:r>
        <w:rPr>
          <w:rFonts w:ascii="Arial" w:hAnsi="Arial" w:cs="Arial"/>
          <w:sz w:val="24"/>
          <w:szCs w:val="24"/>
        </w:rPr>
        <w:t>Table 1 provides the statutes and regulations authorizing the USPTO to collect the information:</w:t>
      </w:r>
    </w:p>
    <w:p w14:paraId="4B6979C4" w14:textId="77777777" w:rsidR="009A5F9A" w:rsidRDefault="009A5F9A" w:rsidP="009A5F9A">
      <w:pPr>
        <w:jc w:val="both"/>
        <w:rPr>
          <w:rFonts w:ascii="Arial" w:hAnsi="Arial"/>
          <w:sz w:val="24"/>
        </w:rPr>
      </w:pPr>
    </w:p>
    <w:p w14:paraId="4B6979C5" w14:textId="77777777" w:rsidR="009A5F9A" w:rsidRDefault="009A5F9A" w:rsidP="009A5F9A">
      <w:pPr>
        <w:pStyle w:val="BodyText"/>
        <w:rPr>
          <w:sz w:val="18"/>
        </w:rPr>
      </w:pPr>
      <w:r w:rsidRPr="009F77FB">
        <w:rPr>
          <w:sz w:val="18"/>
        </w:rPr>
        <w:t xml:space="preserve">Table 1:  </w:t>
      </w:r>
      <w:r w:rsidRPr="009F77FB">
        <w:t>Information Requirements for Matters Related to First Inventor to File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0"/>
        <w:gridCol w:w="2040"/>
        <w:gridCol w:w="2160"/>
      </w:tblGrid>
      <w:tr w:rsidR="009A5F9A" w14:paraId="4B6979CD" w14:textId="77777777" w:rsidTr="00B80737">
        <w:trPr>
          <w:cantSplit/>
          <w:trHeight w:val="287"/>
          <w:tblHeader/>
        </w:trPr>
        <w:tc>
          <w:tcPr>
            <w:tcW w:w="5160" w:type="dxa"/>
          </w:tcPr>
          <w:p w14:paraId="4B6979C6" w14:textId="77777777" w:rsidR="009A5F9A" w:rsidRDefault="009A5F9A" w:rsidP="00B80737">
            <w:pPr>
              <w:tabs>
                <w:tab w:val="left" w:pos="720"/>
              </w:tabs>
              <w:jc w:val="center"/>
              <w:rPr>
                <w:rFonts w:ascii="Arial" w:hAnsi="Arial"/>
                <w:b/>
                <w:sz w:val="16"/>
              </w:rPr>
            </w:pPr>
          </w:p>
          <w:p w14:paraId="4B6979C7" w14:textId="77777777" w:rsidR="009A5F9A" w:rsidRDefault="009A5F9A" w:rsidP="00B80737">
            <w:pPr>
              <w:jc w:val="center"/>
              <w:rPr>
                <w:rFonts w:ascii="Arial" w:hAnsi="Arial"/>
                <w:b/>
                <w:sz w:val="16"/>
              </w:rPr>
            </w:pPr>
            <w:r>
              <w:rPr>
                <w:rFonts w:ascii="Arial" w:hAnsi="Arial"/>
                <w:b/>
                <w:sz w:val="16"/>
              </w:rPr>
              <w:t>Requirement</w:t>
            </w:r>
          </w:p>
        </w:tc>
        <w:tc>
          <w:tcPr>
            <w:tcW w:w="2040" w:type="dxa"/>
          </w:tcPr>
          <w:p w14:paraId="4B6979C8" w14:textId="77777777" w:rsidR="009A5F9A" w:rsidRDefault="009A5F9A" w:rsidP="00B80737">
            <w:pPr>
              <w:tabs>
                <w:tab w:val="left" w:pos="720"/>
              </w:tabs>
              <w:jc w:val="center"/>
              <w:rPr>
                <w:rFonts w:ascii="Arial" w:hAnsi="Arial"/>
                <w:b/>
                <w:sz w:val="16"/>
              </w:rPr>
            </w:pPr>
          </w:p>
          <w:p w14:paraId="4B6979C9" w14:textId="77777777" w:rsidR="009A5F9A" w:rsidRDefault="009A5F9A" w:rsidP="00B80737">
            <w:pPr>
              <w:jc w:val="center"/>
              <w:rPr>
                <w:rFonts w:ascii="Arial" w:hAnsi="Arial"/>
                <w:b/>
                <w:sz w:val="16"/>
              </w:rPr>
            </w:pPr>
            <w:r>
              <w:rPr>
                <w:rFonts w:ascii="Arial" w:hAnsi="Arial"/>
                <w:b/>
                <w:sz w:val="16"/>
              </w:rPr>
              <w:t>Statute</w:t>
            </w:r>
          </w:p>
        </w:tc>
        <w:tc>
          <w:tcPr>
            <w:tcW w:w="2160" w:type="dxa"/>
          </w:tcPr>
          <w:p w14:paraId="4B6979CA" w14:textId="77777777" w:rsidR="009A5F9A" w:rsidRDefault="009A5F9A" w:rsidP="00B80737">
            <w:pPr>
              <w:tabs>
                <w:tab w:val="left" w:pos="720"/>
              </w:tabs>
              <w:jc w:val="center"/>
              <w:rPr>
                <w:rFonts w:ascii="Arial" w:hAnsi="Arial"/>
                <w:b/>
                <w:sz w:val="16"/>
              </w:rPr>
            </w:pPr>
          </w:p>
          <w:p w14:paraId="4B6979CB" w14:textId="77777777" w:rsidR="009A5F9A" w:rsidRDefault="009A5F9A" w:rsidP="00B80737">
            <w:pPr>
              <w:jc w:val="center"/>
              <w:rPr>
                <w:rFonts w:ascii="Arial" w:hAnsi="Arial"/>
                <w:b/>
                <w:sz w:val="16"/>
              </w:rPr>
            </w:pPr>
            <w:r>
              <w:rPr>
                <w:rFonts w:ascii="Arial" w:hAnsi="Arial"/>
                <w:b/>
                <w:sz w:val="16"/>
              </w:rPr>
              <w:t>Rule</w:t>
            </w:r>
          </w:p>
          <w:p w14:paraId="4B6979CC" w14:textId="77777777" w:rsidR="009A5F9A" w:rsidRDefault="009A5F9A" w:rsidP="00B80737">
            <w:pPr>
              <w:jc w:val="center"/>
              <w:rPr>
                <w:rFonts w:ascii="Arial" w:hAnsi="Arial"/>
                <w:b/>
                <w:sz w:val="16"/>
              </w:rPr>
            </w:pPr>
          </w:p>
        </w:tc>
      </w:tr>
      <w:tr w:rsidR="009A5F9A" w14:paraId="4B6979D4" w14:textId="77777777" w:rsidTr="00B80737">
        <w:trPr>
          <w:cantSplit/>
        </w:trPr>
        <w:tc>
          <w:tcPr>
            <w:tcW w:w="5160" w:type="dxa"/>
          </w:tcPr>
          <w:p w14:paraId="4B6979CE" w14:textId="77777777" w:rsidR="009A5F9A" w:rsidRPr="00C50A80" w:rsidRDefault="009A5F9A" w:rsidP="00B80737">
            <w:pPr>
              <w:pStyle w:val="BodyText2"/>
              <w:jc w:val="left"/>
              <w:rPr>
                <w:sz w:val="16"/>
                <w:szCs w:val="24"/>
              </w:rPr>
            </w:pPr>
          </w:p>
          <w:p w14:paraId="4B6979CF" w14:textId="4A29D20D" w:rsidR="009A5F9A" w:rsidRPr="00C50A80" w:rsidRDefault="009A5F9A" w:rsidP="004B77ED">
            <w:pPr>
              <w:pStyle w:val="BodyText2"/>
              <w:jc w:val="left"/>
              <w:rPr>
                <w:sz w:val="16"/>
                <w:szCs w:val="24"/>
              </w:rPr>
            </w:pPr>
            <w:r>
              <w:rPr>
                <w:sz w:val="16"/>
                <w:szCs w:val="24"/>
              </w:rPr>
              <w:t>Submissions Under 37 CFR 1.55(</w:t>
            </w:r>
            <w:r w:rsidR="00C63991">
              <w:rPr>
                <w:sz w:val="16"/>
                <w:szCs w:val="24"/>
              </w:rPr>
              <w:t>k</w:t>
            </w:r>
            <w:r>
              <w:rPr>
                <w:sz w:val="16"/>
                <w:szCs w:val="24"/>
              </w:rPr>
              <w:t xml:space="preserve">) </w:t>
            </w:r>
          </w:p>
        </w:tc>
        <w:tc>
          <w:tcPr>
            <w:tcW w:w="2040" w:type="dxa"/>
          </w:tcPr>
          <w:p w14:paraId="4B6979D0" w14:textId="77777777" w:rsidR="009A5F9A" w:rsidRPr="00C50A80" w:rsidRDefault="009A5F9A" w:rsidP="00B80737">
            <w:pPr>
              <w:jc w:val="center"/>
              <w:rPr>
                <w:rFonts w:ascii="Arial" w:hAnsi="Arial"/>
                <w:sz w:val="16"/>
              </w:rPr>
            </w:pPr>
          </w:p>
          <w:p w14:paraId="4B6979D1" w14:textId="2092C57A" w:rsidR="009A5F9A" w:rsidRPr="00C50A80" w:rsidRDefault="009A5F9A" w:rsidP="00B80737">
            <w:pPr>
              <w:jc w:val="center"/>
              <w:rPr>
                <w:rFonts w:ascii="Arial" w:hAnsi="Arial"/>
                <w:sz w:val="16"/>
              </w:rPr>
            </w:pPr>
            <w:r w:rsidRPr="00C50A80">
              <w:rPr>
                <w:rFonts w:ascii="Arial" w:hAnsi="Arial"/>
                <w:sz w:val="16"/>
              </w:rPr>
              <w:t>35 U.S.C. §</w:t>
            </w:r>
            <w:r w:rsidR="004B77ED" w:rsidRPr="00C50A80">
              <w:rPr>
                <w:rFonts w:ascii="Arial" w:hAnsi="Arial"/>
                <w:sz w:val="16"/>
              </w:rPr>
              <w:t>§</w:t>
            </w:r>
            <w:r>
              <w:rPr>
                <w:rFonts w:ascii="Arial" w:hAnsi="Arial"/>
                <w:sz w:val="16"/>
              </w:rPr>
              <w:t xml:space="preserve"> 2(b)(2)</w:t>
            </w:r>
            <w:r w:rsidRPr="00C50A80">
              <w:rPr>
                <w:rFonts w:ascii="Arial" w:hAnsi="Arial"/>
                <w:sz w:val="16"/>
              </w:rPr>
              <w:t xml:space="preserve"> </w:t>
            </w:r>
            <w:r w:rsidR="004B77ED">
              <w:rPr>
                <w:rFonts w:ascii="Arial" w:hAnsi="Arial"/>
                <w:sz w:val="16"/>
              </w:rPr>
              <w:t>and 119</w:t>
            </w:r>
          </w:p>
        </w:tc>
        <w:tc>
          <w:tcPr>
            <w:tcW w:w="2160" w:type="dxa"/>
          </w:tcPr>
          <w:p w14:paraId="4B6979D2" w14:textId="77777777" w:rsidR="009A5F9A" w:rsidRPr="00C50A80" w:rsidRDefault="009A5F9A" w:rsidP="00B80737">
            <w:pPr>
              <w:jc w:val="center"/>
              <w:rPr>
                <w:rFonts w:ascii="Arial" w:hAnsi="Arial"/>
                <w:sz w:val="16"/>
              </w:rPr>
            </w:pPr>
          </w:p>
          <w:p w14:paraId="4B6979D3" w14:textId="416C124A" w:rsidR="009A5F9A" w:rsidRPr="00C50A80" w:rsidRDefault="009A5F9A" w:rsidP="00C63991">
            <w:pPr>
              <w:jc w:val="center"/>
              <w:rPr>
                <w:rFonts w:ascii="Arial" w:hAnsi="Arial"/>
                <w:sz w:val="16"/>
              </w:rPr>
            </w:pPr>
            <w:r w:rsidRPr="00C50A80">
              <w:rPr>
                <w:rFonts w:ascii="Arial" w:hAnsi="Arial"/>
                <w:sz w:val="16"/>
              </w:rPr>
              <w:t xml:space="preserve">37 CFR </w:t>
            </w:r>
            <w:r>
              <w:rPr>
                <w:rFonts w:ascii="Arial" w:hAnsi="Arial"/>
                <w:sz w:val="16"/>
              </w:rPr>
              <w:t>1.55(</w:t>
            </w:r>
            <w:r w:rsidR="00C63991">
              <w:rPr>
                <w:rFonts w:ascii="Arial" w:hAnsi="Arial"/>
                <w:sz w:val="16"/>
              </w:rPr>
              <w:t>k</w:t>
            </w:r>
            <w:r>
              <w:rPr>
                <w:rFonts w:ascii="Arial" w:hAnsi="Arial"/>
                <w:sz w:val="16"/>
              </w:rPr>
              <w:t>)</w:t>
            </w:r>
          </w:p>
        </w:tc>
      </w:tr>
      <w:tr w:rsidR="009A5F9A" w14:paraId="4B6979DB" w14:textId="77777777" w:rsidTr="00B80737">
        <w:trPr>
          <w:cantSplit/>
          <w:trHeight w:val="386"/>
        </w:trPr>
        <w:tc>
          <w:tcPr>
            <w:tcW w:w="5160" w:type="dxa"/>
          </w:tcPr>
          <w:p w14:paraId="4B6979D5" w14:textId="77777777" w:rsidR="009A5F9A" w:rsidRDefault="009A5F9A" w:rsidP="00B80737">
            <w:pPr>
              <w:pStyle w:val="BodyText2"/>
              <w:jc w:val="left"/>
              <w:rPr>
                <w:sz w:val="16"/>
                <w:szCs w:val="24"/>
              </w:rPr>
            </w:pPr>
          </w:p>
          <w:p w14:paraId="4B6979D6" w14:textId="6A068B5B" w:rsidR="009A5F9A" w:rsidRPr="00C50A80" w:rsidRDefault="009A5F9A" w:rsidP="004B77ED">
            <w:pPr>
              <w:pStyle w:val="BodyText2"/>
              <w:jc w:val="left"/>
              <w:rPr>
                <w:sz w:val="16"/>
                <w:szCs w:val="24"/>
              </w:rPr>
            </w:pPr>
            <w:r>
              <w:rPr>
                <w:sz w:val="16"/>
                <w:szCs w:val="24"/>
              </w:rPr>
              <w:t>Submissions Under 37 CFR 1.78(a)(</w:t>
            </w:r>
            <w:r w:rsidR="004B77ED">
              <w:rPr>
                <w:sz w:val="16"/>
                <w:szCs w:val="24"/>
              </w:rPr>
              <w:t>6</w:t>
            </w:r>
            <w:r>
              <w:rPr>
                <w:sz w:val="16"/>
                <w:szCs w:val="24"/>
              </w:rPr>
              <w:t xml:space="preserve">) </w:t>
            </w:r>
          </w:p>
        </w:tc>
        <w:tc>
          <w:tcPr>
            <w:tcW w:w="2040" w:type="dxa"/>
          </w:tcPr>
          <w:p w14:paraId="4B6979D7" w14:textId="77777777" w:rsidR="009A5F9A" w:rsidRDefault="009A5F9A" w:rsidP="00B80737">
            <w:pPr>
              <w:jc w:val="center"/>
              <w:rPr>
                <w:rFonts w:ascii="Arial" w:hAnsi="Arial"/>
                <w:sz w:val="16"/>
              </w:rPr>
            </w:pPr>
          </w:p>
          <w:p w14:paraId="4B6979D8" w14:textId="797E92B7" w:rsidR="009A5F9A" w:rsidRDefault="009A5F9A" w:rsidP="00B80737">
            <w:pPr>
              <w:jc w:val="center"/>
            </w:pPr>
            <w:r w:rsidRPr="006D6E50">
              <w:rPr>
                <w:rFonts w:ascii="Arial" w:hAnsi="Arial"/>
                <w:sz w:val="16"/>
              </w:rPr>
              <w:t>35 U.S.C. §</w:t>
            </w:r>
            <w:r w:rsidR="004B77ED" w:rsidRPr="00C50A80">
              <w:rPr>
                <w:rFonts w:ascii="Arial" w:hAnsi="Arial"/>
                <w:sz w:val="16"/>
              </w:rPr>
              <w:t>§</w:t>
            </w:r>
            <w:r>
              <w:rPr>
                <w:rFonts w:ascii="Arial" w:hAnsi="Arial"/>
                <w:sz w:val="16"/>
              </w:rPr>
              <w:t xml:space="preserve"> </w:t>
            </w:r>
            <w:r w:rsidRPr="006D6E50">
              <w:rPr>
                <w:rFonts w:ascii="Arial" w:hAnsi="Arial"/>
                <w:sz w:val="16"/>
              </w:rPr>
              <w:t>2(b)(2)</w:t>
            </w:r>
            <w:r w:rsidR="004B77ED">
              <w:rPr>
                <w:rFonts w:ascii="Arial" w:hAnsi="Arial"/>
                <w:sz w:val="16"/>
              </w:rPr>
              <w:t xml:space="preserve"> and 120</w:t>
            </w:r>
          </w:p>
        </w:tc>
        <w:tc>
          <w:tcPr>
            <w:tcW w:w="2160" w:type="dxa"/>
          </w:tcPr>
          <w:p w14:paraId="4B6979D9" w14:textId="77777777" w:rsidR="009A5F9A" w:rsidRDefault="009A5F9A" w:rsidP="00B80737">
            <w:pPr>
              <w:jc w:val="center"/>
              <w:rPr>
                <w:rFonts w:ascii="Arial" w:hAnsi="Arial"/>
                <w:sz w:val="16"/>
              </w:rPr>
            </w:pPr>
          </w:p>
          <w:p w14:paraId="4B6979DA" w14:textId="181D002C" w:rsidR="009A5F9A" w:rsidRPr="00C50A80" w:rsidRDefault="009A5F9A" w:rsidP="004B77ED">
            <w:pPr>
              <w:jc w:val="center"/>
              <w:rPr>
                <w:rFonts w:ascii="Arial" w:hAnsi="Arial"/>
                <w:sz w:val="16"/>
              </w:rPr>
            </w:pPr>
            <w:r>
              <w:rPr>
                <w:rFonts w:ascii="Arial" w:hAnsi="Arial"/>
                <w:sz w:val="16"/>
              </w:rPr>
              <w:t>37 CFR 1.78(a)(</w:t>
            </w:r>
            <w:r w:rsidR="004B77ED">
              <w:rPr>
                <w:rFonts w:ascii="Arial" w:hAnsi="Arial"/>
                <w:sz w:val="16"/>
              </w:rPr>
              <w:t>6</w:t>
            </w:r>
            <w:r>
              <w:rPr>
                <w:rFonts w:ascii="Arial" w:hAnsi="Arial"/>
                <w:sz w:val="16"/>
              </w:rPr>
              <w:t>)</w:t>
            </w:r>
          </w:p>
        </w:tc>
      </w:tr>
      <w:tr w:rsidR="009A5F9A" w14:paraId="4B6979E2" w14:textId="77777777" w:rsidTr="00B80737">
        <w:trPr>
          <w:cantSplit/>
        </w:trPr>
        <w:tc>
          <w:tcPr>
            <w:tcW w:w="5160" w:type="dxa"/>
          </w:tcPr>
          <w:p w14:paraId="4B6979DC" w14:textId="77777777" w:rsidR="009A5F9A" w:rsidRDefault="009A5F9A" w:rsidP="00B80737">
            <w:pPr>
              <w:pStyle w:val="BodyText2"/>
              <w:jc w:val="left"/>
              <w:rPr>
                <w:sz w:val="16"/>
                <w:szCs w:val="24"/>
              </w:rPr>
            </w:pPr>
          </w:p>
          <w:p w14:paraId="4B6979DD" w14:textId="26D6B63B" w:rsidR="009A5F9A" w:rsidRPr="00C50A80" w:rsidRDefault="009A5F9A" w:rsidP="00B80737">
            <w:pPr>
              <w:pStyle w:val="BodyText2"/>
              <w:jc w:val="left"/>
              <w:rPr>
                <w:sz w:val="16"/>
                <w:szCs w:val="24"/>
              </w:rPr>
            </w:pPr>
            <w:r>
              <w:rPr>
                <w:sz w:val="16"/>
                <w:szCs w:val="24"/>
              </w:rPr>
              <w:t>Submissions Under 37 CFR 1.78(</w:t>
            </w:r>
            <w:r w:rsidR="004B77ED">
              <w:rPr>
                <w:sz w:val="16"/>
                <w:szCs w:val="24"/>
              </w:rPr>
              <w:t>d</w:t>
            </w:r>
            <w:r>
              <w:rPr>
                <w:sz w:val="16"/>
                <w:szCs w:val="24"/>
              </w:rPr>
              <w:t>)(</w:t>
            </w:r>
            <w:r w:rsidR="004B77ED">
              <w:rPr>
                <w:sz w:val="16"/>
                <w:szCs w:val="24"/>
              </w:rPr>
              <w:t>6</w:t>
            </w:r>
            <w:r>
              <w:rPr>
                <w:sz w:val="16"/>
                <w:szCs w:val="24"/>
              </w:rPr>
              <w:t xml:space="preserve">) </w:t>
            </w:r>
          </w:p>
        </w:tc>
        <w:tc>
          <w:tcPr>
            <w:tcW w:w="2040" w:type="dxa"/>
          </w:tcPr>
          <w:p w14:paraId="4B6979DE" w14:textId="77777777" w:rsidR="009A5F9A" w:rsidRDefault="009A5F9A" w:rsidP="00B80737">
            <w:pPr>
              <w:jc w:val="center"/>
              <w:rPr>
                <w:rFonts w:ascii="Arial" w:hAnsi="Arial"/>
                <w:sz w:val="16"/>
              </w:rPr>
            </w:pPr>
          </w:p>
          <w:p w14:paraId="4B6979DF" w14:textId="025A836B" w:rsidR="009A5F9A" w:rsidRDefault="009A5F9A" w:rsidP="00B80737">
            <w:pPr>
              <w:jc w:val="center"/>
            </w:pPr>
            <w:r w:rsidRPr="006D6E50">
              <w:rPr>
                <w:rFonts w:ascii="Arial" w:hAnsi="Arial"/>
                <w:sz w:val="16"/>
              </w:rPr>
              <w:t>35 U.S.C. §</w:t>
            </w:r>
            <w:r w:rsidR="004B77ED" w:rsidRPr="00C50A80">
              <w:rPr>
                <w:rFonts w:ascii="Arial" w:hAnsi="Arial"/>
                <w:sz w:val="16"/>
              </w:rPr>
              <w:t>§</w:t>
            </w:r>
            <w:r>
              <w:rPr>
                <w:rFonts w:ascii="Arial" w:hAnsi="Arial"/>
                <w:sz w:val="16"/>
              </w:rPr>
              <w:t xml:space="preserve"> </w:t>
            </w:r>
            <w:r w:rsidRPr="006D6E50">
              <w:rPr>
                <w:rFonts w:ascii="Arial" w:hAnsi="Arial"/>
                <w:sz w:val="16"/>
              </w:rPr>
              <w:t>2(b)(2)</w:t>
            </w:r>
            <w:r w:rsidR="004B77ED">
              <w:rPr>
                <w:rFonts w:ascii="Arial" w:hAnsi="Arial"/>
                <w:sz w:val="16"/>
              </w:rPr>
              <w:t xml:space="preserve"> and 120</w:t>
            </w:r>
          </w:p>
        </w:tc>
        <w:tc>
          <w:tcPr>
            <w:tcW w:w="2160" w:type="dxa"/>
          </w:tcPr>
          <w:p w14:paraId="4B6979E0" w14:textId="77777777" w:rsidR="009A5F9A" w:rsidRDefault="009A5F9A" w:rsidP="00B80737">
            <w:pPr>
              <w:jc w:val="center"/>
              <w:rPr>
                <w:rFonts w:ascii="Arial" w:hAnsi="Arial"/>
                <w:sz w:val="16"/>
              </w:rPr>
            </w:pPr>
          </w:p>
          <w:p w14:paraId="4B6979E1" w14:textId="72E77380" w:rsidR="009A5F9A" w:rsidRPr="00C50A80" w:rsidRDefault="009A5F9A" w:rsidP="00B80737">
            <w:pPr>
              <w:jc w:val="center"/>
              <w:rPr>
                <w:rFonts w:ascii="Arial" w:hAnsi="Arial"/>
                <w:sz w:val="16"/>
              </w:rPr>
            </w:pPr>
            <w:r>
              <w:rPr>
                <w:rFonts w:ascii="Arial" w:hAnsi="Arial"/>
                <w:sz w:val="16"/>
              </w:rPr>
              <w:t>37 CFR 1.78(</w:t>
            </w:r>
            <w:r w:rsidR="004B77ED">
              <w:rPr>
                <w:rFonts w:ascii="Arial" w:hAnsi="Arial"/>
                <w:sz w:val="16"/>
              </w:rPr>
              <w:t>d</w:t>
            </w:r>
            <w:r>
              <w:rPr>
                <w:rFonts w:ascii="Arial" w:hAnsi="Arial"/>
                <w:sz w:val="16"/>
              </w:rPr>
              <w:t>)(</w:t>
            </w:r>
            <w:r w:rsidR="004B77ED">
              <w:rPr>
                <w:rFonts w:ascii="Arial" w:hAnsi="Arial"/>
                <w:sz w:val="16"/>
              </w:rPr>
              <w:t>6</w:t>
            </w:r>
            <w:r>
              <w:rPr>
                <w:rFonts w:ascii="Arial" w:hAnsi="Arial"/>
                <w:sz w:val="16"/>
              </w:rPr>
              <w:t>)</w:t>
            </w:r>
          </w:p>
        </w:tc>
      </w:tr>
      <w:tr w:rsidR="009A5F9A" w14:paraId="4B6979E9" w14:textId="77777777" w:rsidTr="00B80737">
        <w:trPr>
          <w:cantSplit/>
        </w:trPr>
        <w:tc>
          <w:tcPr>
            <w:tcW w:w="5160" w:type="dxa"/>
          </w:tcPr>
          <w:p w14:paraId="4B6979E3" w14:textId="77777777" w:rsidR="009A5F9A" w:rsidRDefault="009A5F9A" w:rsidP="00B80737">
            <w:pPr>
              <w:pStyle w:val="BodyText2"/>
              <w:jc w:val="left"/>
              <w:rPr>
                <w:sz w:val="16"/>
                <w:szCs w:val="24"/>
              </w:rPr>
            </w:pPr>
          </w:p>
          <w:p w14:paraId="4B6979E4" w14:textId="77777777" w:rsidR="009A5F9A" w:rsidRPr="00C50A80" w:rsidRDefault="009A5F9A" w:rsidP="00B80737">
            <w:pPr>
              <w:pStyle w:val="BodyText2"/>
              <w:jc w:val="left"/>
              <w:rPr>
                <w:sz w:val="16"/>
                <w:szCs w:val="24"/>
              </w:rPr>
            </w:pPr>
            <w:r>
              <w:rPr>
                <w:sz w:val="16"/>
                <w:szCs w:val="24"/>
              </w:rPr>
              <w:t xml:space="preserve">Identification of Inventorship and Ownership of the Subject Matter of Individual Claims Under 37 CFR 1.110 </w:t>
            </w:r>
          </w:p>
        </w:tc>
        <w:tc>
          <w:tcPr>
            <w:tcW w:w="2040" w:type="dxa"/>
          </w:tcPr>
          <w:p w14:paraId="4B6979E5" w14:textId="77777777" w:rsidR="009A5F9A" w:rsidRDefault="009A5F9A" w:rsidP="00B80737">
            <w:pPr>
              <w:jc w:val="center"/>
              <w:rPr>
                <w:rFonts w:ascii="Arial" w:hAnsi="Arial"/>
                <w:sz w:val="16"/>
              </w:rPr>
            </w:pPr>
          </w:p>
          <w:p w14:paraId="4B6979E6" w14:textId="77777777" w:rsidR="009A5F9A" w:rsidRDefault="009A5F9A" w:rsidP="00B80737">
            <w:pPr>
              <w:jc w:val="center"/>
            </w:pPr>
            <w:r w:rsidRPr="006D6E50">
              <w:rPr>
                <w:rFonts w:ascii="Arial" w:hAnsi="Arial"/>
                <w:sz w:val="16"/>
              </w:rPr>
              <w:t>35 U.S.C. §§</w:t>
            </w:r>
            <w:r>
              <w:rPr>
                <w:rFonts w:ascii="Arial" w:hAnsi="Arial"/>
                <w:sz w:val="16"/>
              </w:rPr>
              <w:t xml:space="preserve"> </w:t>
            </w:r>
            <w:r w:rsidRPr="006D6E50">
              <w:rPr>
                <w:rFonts w:ascii="Arial" w:hAnsi="Arial"/>
                <w:sz w:val="16"/>
              </w:rPr>
              <w:t>2(b)(2)</w:t>
            </w:r>
            <w:r>
              <w:rPr>
                <w:rFonts w:ascii="Arial" w:hAnsi="Arial"/>
                <w:sz w:val="16"/>
              </w:rPr>
              <w:t>, 102, and 103</w:t>
            </w:r>
          </w:p>
        </w:tc>
        <w:tc>
          <w:tcPr>
            <w:tcW w:w="2160" w:type="dxa"/>
          </w:tcPr>
          <w:p w14:paraId="4B6979E7" w14:textId="77777777" w:rsidR="009A5F9A" w:rsidRDefault="009A5F9A" w:rsidP="00B80737">
            <w:pPr>
              <w:jc w:val="center"/>
              <w:rPr>
                <w:rFonts w:ascii="Arial" w:hAnsi="Arial"/>
                <w:sz w:val="16"/>
              </w:rPr>
            </w:pPr>
          </w:p>
          <w:p w14:paraId="4B6979E8" w14:textId="77777777" w:rsidR="009A5F9A" w:rsidRPr="00C50A80" w:rsidRDefault="009A5F9A" w:rsidP="00B80737">
            <w:pPr>
              <w:jc w:val="center"/>
              <w:rPr>
                <w:rFonts w:ascii="Arial" w:hAnsi="Arial"/>
                <w:sz w:val="16"/>
              </w:rPr>
            </w:pPr>
            <w:r>
              <w:rPr>
                <w:rFonts w:ascii="Arial" w:hAnsi="Arial"/>
                <w:sz w:val="16"/>
              </w:rPr>
              <w:t>37 CFR 1.110</w:t>
            </w:r>
          </w:p>
        </w:tc>
      </w:tr>
      <w:tr w:rsidR="009A5F9A" w14:paraId="4B6979F0" w14:textId="77777777" w:rsidTr="00B80737">
        <w:trPr>
          <w:cantSplit/>
        </w:trPr>
        <w:tc>
          <w:tcPr>
            <w:tcW w:w="5160" w:type="dxa"/>
          </w:tcPr>
          <w:p w14:paraId="4B6979EA" w14:textId="77777777" w:rsidR="009A5F9A" w:rsidRDefault="009A5F9A" w:rsidP="00B80737">
            <w:pPr>
              <w:pStyle w:val="BodyText2"/>
              <w:jc w:val="left"/>
              <w:rPr>
                <w:sz w:val="16"/>
                <w:szCs w:val="24"/>
              </w:rPr>
            </w:pPr>
          </w:p>
          <w:p w14:paraId="4B6979EB" w14:textId="77777777" w:rsidR="009A5F9A" w:rsidRPr="00C50A80" w:rsidRDefault="009A5F9A" w:rsidP="00B80737">
            <w:pPr>
              <w:pStyle w:val="BodyText2"/>
              <w:jc w:val="left"/>
              <w:rPr>
                <w:sz w:val="16"/>
                <w:szCs w:val="24"/>
              </w:rPr>
            </w:pPr>
            <w:r>
              <w:rPr>
                <w:sz w:val="16"/>
                <w:szCs w:val="24"/>
              </w:rPr>
              <w:t xml:space="preserve">Rule 1.130, 1.131, and 1.132 Affidavits or Declarations </w:t>
            </w:r>
          </w:p>
        </w:tc>
        <w:tc>
          <w:tcPr>
            <w:tcW w:w="2040" w:type="dxa"/>
          </w:tcPr>
          <w:p w14:paraId="4B6979EC" w14:textId="77777777" w:rsidR="009A5F9A" w:rsidRDefault="009A5F9A" w:rsidP="00B80737">
            <w:pPr>
              <w:jc w:val="center"/>
              <w:rPr>
                <w:rFonts w:ascii="Arial" w:hAnsi="Arial"/>
                <w:sz w:val="16"/>
              </w:rPr>
            </w:pPr>
          </w:p>
          <w:p w14:paraId="4B6979ED" w14:textId="77777777" w:rsidR="009A5F9A" w:rsidRDefault="009A5F9A" w:rsidP="00B80737">
            <w:pPr>
              <w:jc w:val="center"/>
            </w:pPr>
            <w:r w:rsidRPr="006D6E50">
              <w:rPr>
                <w:rFonts w:ascii="Arial" w:hAnsi="Arial"/>
                <w:sz w:val="16"/>
              </w:rPr>
              <w:t>35 U.S.C. §§</w:t>
            </w:r>
            <w:r>
              <w:rPr>
                <w:rFonts w:ascii="Arial" w:hAnsi="Arial"/>
                <w:sz w:val="16"/>
              </w:rPr>
              <w:t xml:space="preserve"> </w:t>
            </w:r>
            <w:r w:rsidRPr="006D6E50">
              <w:rPr>
                <w:rFonts w:ascii="Arial" w:hAnsi="Arial"/>
                <w:sz w:val="16"/>
              </w:rPr>
              <w:t>2(b)(2)</w:t>
            </w:r>
            <w:r>
              <w:rPr>
                <w:rFonts w:ascii="Arial" w:hAnsi="Arial"/>
                <w:sz w:val="16"/>
              </w:rPr>
              <w:t>, 102, and 103</w:t>
            </w:r>
          </w:p>
        </w:tc>
        <w:tc>
          <w:tcPr>
            <w:tcW w:w="2160" w:type="dxa"/>
          </w:tcPr>
          <w:p w14:paraId="4B6979EE" w14:textId="77777777" w:rsidR="009A5F9A" w:rsidRDefault="009A5F9A" w:rsidP="00B80737">
            <w:pPr>
              <w:jc w:val="center"/>
              <w:rPr>
                <w:rFonts w:ascii="Arial" w:hAnsi="Arial"/>
                <w:sz w:val="16"/>
              </w:rPr>
            </w:pPr>
          </w:p>
          <w:p w14:paraId="4B6979EF" w14:textId="77777777" w:rsidR="009A5F9A" w:rsidRPr="00C50A80" w:rsidRDefault="009A5F9A" w:rsidP="00B80737">
            <w:pPr>
              <w:jc w:val="center"/>
              <w:rPr>
                <w:rFonts w:ascii="Arial" w:hAnsi="Arial"/>
                <w:sz w:val="16"/>
              </w:rPr>
            </w:pPr>
            <w:r>
              <w:rPr>
                <w:rFonts w:ascii="Arial" w:hAnsi="Arial"/>
                <w:sz w:val="16"/>
              </w:rPr>
              <w:t>37 CFR 1.130, 1.131, and 1.132</w:t>
            </w:r>
          </w:p>
        </w:tc>
      </w:tr>
    </w:tbl>
    <w:p w14:paraId="4B6979F1" w14:textId="77777777" w:rsidR="009A5F9A" w:rsidRDefault="009A5F9A" w:rsidP="009A5F9A">
      <w:pPr>
        <w:tabs>
          <w:tab w:val="left" w:pos="720"/>
        </w:tabs>
        <w:jc w:val="both"/>
        <w:rPr>
          <w:rFonts w:ascii="Arial" w:hAnsi="Arial"/>
          <w:b/>
          <w:sz w:val="24"/>
        </w:rPr>
      </w:pPr>
    </w:p>
    <w:p w14:paraId="4B6979F2" w14:textId="77777777" w:rsidR="009A5F9A" w:rsidRDefault="009A5F9A" w:rsidP="009A5F9A">
      <w:pPr>
        <w:tabs>
          <w:tab w:val="left" w:pos="720"/>
        </w:tabs>
        <w:jc w:val="both"/>
        <w:rPr>
          <w:rFonts w:ascii="Arial" w:hAnsi="Arial"/>
          <w:b/>
          <w:sz w:val="24"/>
        </w:rPr>
      </w:pPr>
      <w:r w:rsidRPr="00B31326">
        <w:rPr>
          <w:rFonts w:ascii="Arial" w:hAnsi="Arial"/>
          <w:b/>
          <w:sz w:val="24"/>
        </w:rPr>
        <w:t>2.</w:t>
      </w:r>
      <w:r w:rsidRPr="00B31326">
        <w:rPr>
          <w:rFonts w:ascii="Arial" w:hAnsi="Arial"/>
          <w:b/>
          <w:sz w:val="24"/>
        </w:rPr>
        <w:tab/>
        <w:t>Needs and Uses</w:t>
      </w:r>
    </w:p>
    <w:p w14:paraId="4B6979F3" w14:textId="77777777" w:rsidR="009A5F9A" w:rsidRDefault="009A5F9A" w:rsidP="009A5F9A">
      <w:pPr>
        <w:tabs>
          <w:tab w:val="left" w:pos="720"/>
        </w:tabs>
        <w:jc w:val="both"/>
        <w:rPr>
          <w:rFonts w:ascii="Arial" w:hAnsi="Arial"/>
          <w:sz w:val="24"/>
        </w:rPr>
      </w:pPr>
    </w:p>
    <w:p w14:paraId="4B6979F9" w14:textId="71DA6E4B" w:rsidR="009A5F9A" w:rsidRDefault="00ED01C1" w:rsidP="009A5F9A">
      <w:pPr>
        <w:tabs>
          <w:tab w:val="left" w:pos="720"/>
        </w:tabs>
        <w:jc w:val="both"/>
        <w:rPr>
          <w:rFonts w:ascii="Arial" w:hAnsi="Arial"/>
          <w:sz w:val="24"/>
        </w:rPr>
      </w:pPr>
      <w:r w:rsidRPr="00ED01C1">
        <w:rPr>
          <w:rFonts w:ascii="Arial" w:hAnsi="Arial"/>
          <w:sz w:val="24"/>
        </w:rPr>
        <w:t>The information collected, maintained, and used in this collection is based on OMB and USP</w:t>
      </w:r>
      <w:r w:rsidR="004B77ED">
        <w:rPr>
          <w:rFonts w:ascii="Arial" w:hAnsi="Arial"/>
          <w:sz w:val="24"/>
        </w:rPr>
        <w:t xml:space="preserve">TO guidelines. </w:t>
      </w:r>
      <w:r w:rsidRPr="00ED01C1">
        <w:rPr>
          <w:rFonts w:ascii="Arial" w:hAnsi="Arial"/>
          <w:sz w:val="24"/>
        </w:rPr>
        <w:t>This includes the basic information quality standards established in the Paperwork Reduction Act (44 U.S.C. Chapter 35), in OMB Circular A-130, and in the OMB information quality guidelines.</w:t>
      </w:r>
    </w:p>
    <w:p w14:paraId="2FB2302E" w14:textId="77777777" w:rsidR="004B77ED" w:rsidRDefault="004B77ED" w:rsidP="009A5F9A">
      <w:pPr>
        <w:tabs>
          <w:tab w:val="left" w:pos="720"/>
        </w:tabs>
        <w:jc w:val="both"/>
        <w:rPr>
          <w:rFonts w:ascii="Arial" w:hAnsi="Arial"/>
          <w:sz w:val="24"/>
        </w:rPr>
      </w:pPr>
    </w:p>
    <w:p w14:paraId="4B6979FA" w14:textId="77777777" w:rsidR="009A5F9A" w:rsidRDefault="009A5F9A" w:rsidP="009A5F9A">
      <w:pPr>
        <w:pStyle w:val="BodyText2"/>
        <w:tabs>
          <w:tab w:val="left" w:pos="720"/>
        </w:tabs>
      </w:pPr>
      <w:r>
        <w:t>Table 2 outlines how this collection of information is used by the public and the USPTO:</w:t>
      </w:r>
    </w:p>
    <w:p w14:paraId="4B6979FB" w14:textId="77777777" w:rsidR="009A5F9A" w:rsidRDefault="009A5F9A" w:rsidP="009A5F9A">
      <w:pPr>
        <w:pStyle w:val="BodyText"/>
      </w:pPr>
    </w:p>
    <w:p w14:paraId="4B6979FC" w14:textId="77777777" w:rsidR="009A5F9A" w:rsidRDefault="009A5F9A" w:rsidP="009A5F9A">
      <w:pPr>
        <w:pStyle w:val="BodyText"/>
      </w:pPr>
      <w:r>
        <w:t>Table 2:  Needs and Uses for Matters Related to First Inventor to File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350"/>
        <w:gridCol w:w="4968"/>
      </w:tblGrid>
      <w:tr w:rsidR="009A5F9A" w14:paraId="4B697A04" w14:textId="77777777" w:rsidTr="00B80737">
        <w:trPr>
          <w:cantSplit/>
          <w:trHeight w:val="278"/>
          <w:tblHeader/>
        </w:trPr>
        <w:tc>
          <w:tcPr>
            <w:tcW w:w="3150" w:type="dxa"/>
          </w:tcPr>
          <w:p w14:paraId="4B6979FD" w14:textId="77777777" w:rsidR="009A5F9A" w:rsidRDefault="009A5F9A" w:rsidP="00B80737">
            <w:pPr>
              <w:tabs>
                <w:tab w:val="left" w:pos="720"/>
              </w:tabs>
              <w:jc w:val="center"/>
              <w:rPr>
                <w:rFonts w:ascii="Arial" w:hAnsi="Arial"/>
                <w:b/>
                <w:sz w:val="16"/>
              </w:rPr>
            </w:pPr>
          </w:p>
          <w:p w14:paraId="4B6979FE" w14:textId="77777777" w:rsidR="009A5F9A" w:rsidRDefault="009A5F9A" w:rsidP="00B80737">
            <w:pPr>
              <w:tabs>
                <w:tab w:val="left" w:pos="720"/>
              </w:tabs>
              <w:jc w:val="center"/>
              <w:rPr>
                <w:rFonts w:ascii="Arial" w:hAnsi="Arial"/>
                <w:b/>
                <w:sz w:val="16"/>
              </w:rPr>
            </w:pPr>
            <w:r>
              <w:rPr>
                <w:rFonts w:ascii="Arial" w:hAnsi="Arial"/>
                <w:b/>
                <w:sz w:val="16"/>
              </w:rPr>
              <w:t>Form and Function</w:t>
            </w:r>
          </w:p>
        </w:tc>
        <w:tc>
          <w:tcPr>
            <w:tcW w:w="1350" w:type="dxa"/>
          </w:tcPr>
          <w:p w14:paraId="4B6979FF" w14:textId="77777777" w:rsidR="009A5F9A" w:rsidRDefault="009A5F9A" w:rsidP="00B80737">
            <w:pPr>
              <w:tabs>
                <w:tab w:val="left" w:pos="720"/>
              </w:tabs>
              <w:jc w:val="center"/>
              <w:rPr>
                <w:rFonts w:ascii="Arial" w:hAnsi="Arial"/>
                <w:b/>
                <w:sz w:val="16"/>
              </w:rPr>
            </w:pPr>
          </w:p>
          <w:p w14:paraId="4B697A00" w14:textId="77777777" w:rsidR="009A5F9A" w:rsidRDefault="009A5F9A" w:rsidP="00B80737">
            <w:pPr>
              <w:pStyle w:val="Heading7"/>
              <w:tabs>
                <w:tab w:val="left" w:pos="720"/>
              </w:tabs>
            </w:pPr>
            <w:r>
              <w:t>Form #</w:t>
            </w:r>
          </w:p>
        </w:tc>
        <w:tc>
          <w:tcPr>
            <w:tcW w:w="4968" w:type="dxa"/>
          </w:tcPr>
          <w:p w14:paraId="4B697A01" w14:textId="77777777" w:rsidR="009A5F9A" w:rsidRDefault="009A5F9A" w:rsidP="00B80737">
            <w:pPr>
              <w:tabs>
                <w:tab w:val="left" w:pos="720"/>
              </w:tabs>
              <w:jc w:val="center"/>
              <w:rPr>
                <w:rFonts w:ascii="Arial" w:hAnsi="Arial"/>
                <w:b/>
                <w:sz w:val="16"/>
              </w:rPr>
            </w:pPr>
          </w:p>
          <w:p w14:paraId="4B697A02" w14:textId="77777777" w:rsidR="009A5F9A" w:rsidRDefault="009A5F9A" w:rsidP="00B80737">
            <w:pPr>
              <w:tabs>
                <w:tab w:val="left" w:pos="720"/>
              </w:tabs>
              <w:jc w:val="center"/>
              <w:rPr>
                <w:rFonts w:ascii="Arial" w:hAnsi="Arial"/>
                <w:b/>
                <w:sz w:val="16"/>
              </w:rPr>
            </w:pPr>
            <w:r>
              <w:rPr>
                <w:rFonts w:ascii="Arial" w:hAnsi="Arial"/>
                <w:b/>
                <w:sz w:val="16"/>
              </w:rPr>
              <w:t>Needs and Uses</w:t>
            </w:r>
          </w:p>
          <w:p w14:paraId="4B697A03" w14:textId="77777777" w:rsidR="009A5F9A" w:rsidRDefault="009A5F9A" w:rsidP="00B80737">
            <w:pPr>
              <w:tabs>
                <w:tab w:val="left" w:pos="720"/>
              </w:tabs>
              <w:jc w:val="center"/>
              <w:rPr>
                <w:rFonts w:ascii="Arial" w:hAnsi="Arial"/>
                <w:b/>
                <w:sz w:val="16"/>
              </w:rPr>
            </w:pPr>
          </w:p>
        </w:tc>
      </w:tr>
      <w:tr w:rsidR="009A5F9A" w14:paraId="4B697A0D" w14:textId="77777777" w:rsidTr="00B80737">
        <w:trPr>
          <w:cantSplit/>
        </w:trPr>
        <w:tc>
          <w:tcPr>
            <w:tcW w:w="3150" w:type="dxa"/>
          </w:tcPr>
          <w:p w14:paraId="4B697A05" w14:textId="77777777" w:rsidR="009A5F9A" w:rsidRPr="00C50A80" w:rsidRDefault="009A5F9A" w:rsidP="00B80737">
            <w:pPr>
              <w:tabs>
                <w:tab w:val="left" w:pos="720"/>
              </w:tabs>
              <w:rPr>
                <w:rFonts w:ascii="Arial" w:hAnsi="Arial"/>
                <w:sz w:val="16"/>
                <w:szCs w:val="24"/>
              </w:rPr>
            </w:pPr>
          </w:p>
          <w:p w14:paraId="4B697A06" w14:textId="63C632FF" w:rsidR="009A5F9A" w:rsidRPr="00C50A80" w:rsidRDefault="009A5F9A" w:rsidP="003C42F6">
            <w:pPr>
              <w:tabs>
                <w:tab w:val="left" w:pos="720"/>
              </w:tabs>
              <w:rPr>
                <w:rFonts w:ascii="Arial" w:hAnsi="Arial"/>
                <w:sz w:val="16"/>
                <w:szCs w:val="24"/>
              </w:rPr>
            </w:pPr>
            <w:r>
              <w:rPr>
                <w:rFonts w:ascii="Arial" w:hAnsi="Arial"/>
                <w:sz w:val="16"/>
                <w:szCs w:val="24"/>
              </w:rPr>
              <w:t>Submissions Under 37 CFR 1.55(</w:t>
            </w:r>
            <w:r w:rsidR="0056130F">
              <w:rPr>
                <w:rFonts w:ascii="Arial" w:hAnsi="Arial"/>
                <w:sz w:val="16"/>
                <w:szCs w:val="24"/>
              </w:rPr>
              <w:t>k</w:t>
            </w:r>
            <w:r>
              <w:rPr>
                <w:rFonts w:ascii="Arial" w:hAnsi="Arial"/>
                <w:sz w:val="16"/>
                <w:szCs w:val="24"/>
              </w:rPr>
              <w:t xml:space="preserve">) </w:t>
            </w:r>
          </w:p>
        </w:tc>
        <w:tc>
          <w:tcPr>
            <w:tcW w:w="1350" w:type="dxa"/>
          </w:tcPr>
          <w:p w14:paraId="4B697A07" w14:textId="77777777" w:rsidR="009A5F9A" w:rsidRPr="00C50A80" w:rsidRDefault="009A5F9A" w:rsidP="00B80737">
            <w:pPr>
              <w:tabs>
                <w:tab w:val="left" w:pos="720"/>
              </w:tabs>
              <w:rPr>
                <w:rFonts w:ascii="Arial" w:hAnsi="Arial"/>
                <w:sz w:val="16"/>
              </w:rPr>
            </w:pPr>
          </w:p>
          <w:p w14:paraId="4B697A08" w14:textId="77777777" w:rsidR="009A5F9A" w:rsidRPr="00C50A80" w:rsidRDefault="009A5F9A" w:rsidP="00B80737">
            <w:pPr>
              <w:tabs>
                <w:tab w:val="left" w:pos="720"/>
              </w:tabs>
              <w:jc w:val="center"/>
              <w:rPr>
                <w:rFonts w:ascii="Arial" w:hAnsi="Arial"/>
                <w:sz w:val="16"/>
              </w:rPr>
            </w:pPr>
            <w:r>
              <w:rPr>
                <w:rFonts w:ascii="Arial" w:hAnsi="Arial"/>
                <w:sz w:val="16"/>
              </w:rPr>
              <w:t>No Form</w:t>
            </w:r>
          </w:p>
        </w:tc>
        <w:tc>
          <w:tcPr>
            <w:tcW w:w="4968" w:type="dxa"/>
          </w:tcPr>
          <w:p w14:paraId="4B697A09" w14:textId="77777777" w:rsidR="009A5F9A" w:rsidRPr="00C50A80" w:rsidRDefault="009A5F9A" w:rsidP="00B80737">
            <w:pPr>
              <w:tabs>
                <w:tab w:val="left" w:pos="720"/>
              </w:tabs>
              <w:rPr>
                <w:rFonts w:ascii="Arial" w:hAnsi="Arial" w:cs="Arial"/>
                <w:sz w:val="16"/>
              </w:rPr>
            </w:pPr>
          </w:p>
          <w:p w14:paraId="4B697A0A" w14:textId="459F554D" w:rsidR="009A5F9A" w:rsidRDefault="009A5F9A" w:rsidP="00B80737">
            <w:pPr>
              <w:numPr>
                <w:ilvl w:val="0"/>
                <w:numId w:val="1"/>
              </w:numPr>
              <w:tabs>
                <w:tab w:val="left" w:pos="162"/>
              </w:tabs>
              <w:ind w:left="162" w:hanging="180"/>
              <w:rPr>
                <w:rFonts w:ascii="Arial" w:hAnsi="Arial" w:cs="Arial"/>
                <w:sz w:val="16"/>
              </w:rPr>
            </w:pPr>
            <w:r>
              <w:rPr>
                <w:rFonts w:ascii="Arial" w:hAnsi="Arial" w:cs="Arial"/>
                <w:sz w:val="16"/>
              </w:rPr>
              <w:t xml:space="preserve">Used by patent applicants to provide a statement if a nonprovisional application filed on or after March 16, 2013, </w:t>
            </w:r>
            <w:r w:rsidR="0056130F">
              <w:rPr>
                <w:rFonts w:ascii="Arial" w:hAnsi="Arial" w:cs="Arial"/>
                <w:sz w:val="16"/>
              </w:rPr>
              <w:t xml:space="preserve">other than a nonprovisional international design application, </w:t>
            </w:r>
            <w:r>
              <w:rPr>
                <w:rFonts w:ascii="Arial" w:hAnsi="Arial" w:cs="Arial"/>
                <w:sz w:val="16"/>
              </w:rPr>
              <w:t xml:space="preserve">claims </w:t>
            </w:r>
            <w:r w:rsidR="0056130F">
              <w:rPr>
                <w:rFonts w:ascii="Arial" w:hAnsi="Arial" w:cs="Arial"/>
                <w:sz w:val="16"/>
              </w:rPr>
              <w:t xml:space="preserve">priority to </w:t>
            </w:r>
            <w:r>
              <w:rPr>
                <w:rFonts w:ascii="Arial" w:hAnsi="Arial" w:cs="Arial"/>
                <w:sz w:val="16"/>
              </w:rPr>
              <w:t xml:space="preserve">a foreign application filed prior to March 16, 2013, and also contains, or contained at any time, a claim to a claimed invention that as an effective filing date </w:t>
            </w:r>
            <w:r w:rsidR="0056130F">
              <w:rPr>
                <w:rFonts w:ascii="Arial" w:hAnsi="Arial" w:cs="Arial"/>
                <w:sz w:val="16"/>
              </w:rPr>
              <w:t xml:space="preserve">as defined in </w:t>
            </w:r>
            <w:r w:rsidR="0056130F" w:rsidRPr="00C50A80">
              <w:rPr>
                <w:rFonts w:ascii="Arial" w:hAnsi="Arial"/>
                <w:sz w:val="16"/>
              </w:rPr>
              <w:t>§</w:t>
            </w:r>
            <w:r w:rsidR="0056130F">
              <w:rPr>
                <w:rFonts w:ascii="Arial" w:hAnsi="Arial"/>
                <w:sz w:val="16"/>
              </w:rPr>
              <w:t xml:space="preserve"> 1.109 that is </w:t>
            </w:r>
            <w:r>
              <w:rPr>
                <w:rFonts w:ascii="Arial" w:hAnsi="Arial" w:cs="Arial"/>
                <w:sz w:val="16"/>
              </w:rPr>
              <w:t>on or after March 16, 2013.</w:t>
            </w:r>
          </w:p>
          <w:p w14:paraId="4B697A0C" w14:textId="49075066" w:rsidR="009A5F9A" w:rsidRPr="00C50A80" w:rsidRDefault="009A5F9A" w:rsidP="00EB32F2">
            <w:pPr>
              <w:numPr>
                <w:ilvl w:val="0"/>
                <w:numId w:val="1"/>
              </w:numPr>
              <w:tabs>
                <w:tab w:val="left" w:pos="162"/>
              </w:tabs>
              <w:ind w:left="162" w:hanging="180"/>
              <w:rPr>
                <w:rFonts w:ascii="Arial" w:hAnsi="Arial" w:cs="Arial"/>
                <w:sz w:val="16"/>
              </w:rPr>
            </w:pPr>
            <w:r w:rsidRPr="00C50A80">
              <w:rPr>
                <w:rFonts w:ascii="Arial" w:hAnsi="Arial" w:cs="Arial"/>
                <w:sz w:val="16"/>
                <w:szCs w:val="24"/>
              </w:rPr>
              <w:t>Used by the</w:t>
            </w:r>
            <w:r>
              <w:rPr>
                <w:rFonts w:ascii="Arial" w:hAnsi="Arial" w:cs="Arial"/>
                <w:sz w:val="16"/>
                <w:szCs w:val="24"/>
              </w:rPr>
              <w:t xml:space="preserve"> USPTO to readily determine whether the nonprovisional application is subject to the changes to </w:t>
            </w:r>
            <w:r w:rsidRPr="006D6E50">
              <w:rPr>
                <w:rFonts w:ascii="Arial" w:hAnsi="Arial"/>
                <w:sz w:val="16"/>
              </w:rPr>
              <w:t>35 U.S.C. §§</w:t>
            </w:r>
            <w:r>
              <w:rPr>
                <w:rFonts w:ascii="Arial" w:hAnsi="Arial"/>
                <w:sz w:val="16"/>
              </w:rPr>
              <w:t xml:space="preserve"> 102 and 103 in the </w:t>
            </w:r>
            <w:r w:rsidR="00EB32F2">
              <w:rPr>
                <w:rFonts w:ascii="Arial" w:hAnsi="Arial"/>
                <w:sz w:val="16"/>
              </w:rPr>
              <w:t>AIA</w:t>
            </w:r>
            <w:r>
              <w:rPr>
                <w:rFonts w:ascii="Arial" w:hAnsi="Arial"/>
                <w:sz w:val="16"/>
              </w:rPr>
              <w:t>.</w:t>
            </w:r>
          </w:p>
        </w:tc>
      </w:tr>
      <w:tr w:rsidR="009A5F9A" w14:paraId="4B697A16" w14:textId="77777777" w:rsidTr="00B80737">
        <w:trPr>
          <w:cantSplit/>
        </w:trPr>
        <w:tc>
          <w:tcPr>
            <w:tcW w:w="3150" w:type="dxa"/>
          </w:tcPr>
          <w:p w14:paraId="4B697A0E" w14:textId="77777777" w:rsidR="009A5F9A" w:rsidRDefault="009A5F9A" w:rsidP="00B80737">
            <w:pPr>
              <w:tabs>
                <w:tab w:val="left" w:pos="720"/>
              </w:tabs>
              <w:rPr>
                <w:rFonts w:ascii="Arial" w:hAnsi="Arial"/>
                <w:sz w:val="16"/>
                <w:szCs w:val="24"/>
              </w:rPr>
            </w:pPr>
          </w:p>
          <w:p w14:paraId="4B697A0F" w14:textId="38A44075" w:rsidR="009A5F9A" w:rsidRPr="00C50A80" w:rsidRDefault="009A5F9A" w:rsidP="00EB32F2">
            <w:pPr>
              <w:tabs>
                <w:tab w:val="left" w:pos="720"/>
              </w:tabs>
              <w:rPr>
                <w:rFonts w:ascii="Arial" w:hAnsi="Arial"/>
                <w:sz w:val="16"/>
                <w:szCs w:val="24"/>
              </w:rPr>
            </w:pPr>
            <w:r>
              <w:rPr>
                <w:rFonts w:ascii="Arial" w:hAnsi="Arial"/>
                <w:sz w:val="16"/>
                <w:szCs w:val="24"/>
              </w:rPr>
              <w:t>Submissions Under  37 CFR 1.78(a)(</w:t>
            </w:r>
            <w:r w:rsidR="003C42F6">
              <w:rPr>
                <w:rFonts w:ascii="Arial" w:hAnsi="Arial"/>
                <w:sz w:val="16"/>
                <w:szCs w:val="24"/>
              </w:rPr>
              <w:t>6</w:t>
            </w:r>
            <w:r>
              <w:rPr>
                <w:rFonts w:ascii="Arial" w:hAnsi="Arial"/>
                <w:sz w:val="16"/>
                <w:szCs w:val="24"/>
              </w:rPr>
              <w:t xml:space="preserve">) </w:t>
            </w:r>
          </w:p>
        </w:tc>
        <w:tc>
          <w:tcPr>
            <w:tcW w:w="1350" w:type="dxa"/>
          </w:tcPr>
          <w:p w14:paraId="4B697A10" w14:textId="77777777" w:rsidR="009A5F9A" w:rsidRDefault="009A5F9A" w:rsidP="00B80737">
            <w:pPr>
              <w:tabs>
                <w:tab w:val="left" w:pos="720"/>
              </w:tabs>
              <w:rPr>
                <w:rFonts w:ascii="Arial" w:hAnsi="Arial"/>
                <w:sz w:val="16"/>
              </w:rPr>
            </w:pPr>
          </w:p>
          <w:p w14:paraId="4B697A11" w14:textId="77777777" w:rsidR="009A5F9A" w:rsidRPr="00C50A80" w:rsidRDefault="009A5F9A" w:rsidP="00B80737">
            <w:pPr>
              <w:tabs>
                <w:tab w:val="left" w:pos="720"/>
              </w:tabs>
              <w:jc w:val="center"/>
              <w:rPr>
                <w:rFonts w:ascii="Arial" w:hAnsi="Arial"/>
                <w:sz w:val="16"/>
              </w:rPr>
            </w:pPr>
            <w:r>
              <w:rPr>
                <w:rFonts w:ascii="Arial" w:hAnsi="Arial"/>
                <w:sz w:val="16"/>
              </w:rPr>
              <w:t>No Form</w:t>
            </w:r>
          </w:p>
        </w:tc>
        <w:tc>
          <w:tcPr>
            <w:tcW w:w="4968" w:type="dxa"/>
          </w:tcPr>
          <w:p w14:paraId="4B697A12" w14:textId="77777777" w:rsidR="009A5F9A" w:rsidRDefault="009A5F9A" w:rsidP="00B80737">
            <w:pPr>
              <w:tabs>
                <w:tab w:val="left" w:pos="720"/>
              </w:tabs>
              <w:rPr>
                <w:rFonts w:ascii="Arial" w:hAnsi="Arial" w:cs="Arial"/>
                <w:sz w:val="16"/>
              </w:rPr>
            </w:pPr>
          </w:p>
          <w:p w14:paraId="4B697A13" w14:textId="49796999" w:rsidR="009A5F9A" w:rsidRDefault="009A5F9A" w:rsidP="00B80737">
            <w:pPr>
              <w:numPr>
                <w:ilvl w:val="0"/>
                <w:numId w:val="1"/>
              </w:numPr>
              <w:tabs>
                <w:tab w:val="left" w:pos="162"/>
              </w:tabs>
              <w:ind w:left="162" w:hanging="180"/>
              <w:rPr>
                <w:rFonts w:ascii="Arial" w:hAnsi="Arial" w:cs="Arial"/>
                <w:sz w:val="16"/>
              </w:rPr>
            </w:pPr>
            <w:r>
              <w:rPr>
                <w:rFonts w:ascii="Arial" w:hAnsi="Arial" w:cs="Arial"/>
                <w:sz w:val="16"/>
              </w:rPr>
              <w:t xml:space="preserve">Used by patent applicants to provide a statement if a nonprovisional application filed on or after March 16, 2013, claims the benefit of the filing date of a provisional application filed prior to March 16, 2013, and also contains, or contained at any time, a claim to a claimed invention that has an effective filing date </w:t>
            </w:r>
            <w:r w:rsidR="002A39E3">
              <w:rPr>
                <w:rFonts w:ascii="Arial" w:hAnsi="Arial" w:cs="Arial"/>
                <w:sz w:val="16"/>
              </w:rPr>
              <w:t xml:space="preserve">as defined in </w:t>
            </w:r>
            <w:r w:rsidR="002A39E3" w:rsidRPr="00C50A80">
              <w:rPr>
                <w:rFonts w:ascii="Arial" w:hAnsi="Arial"/>
                <w:sz w:val="16"/>
              </w:rPr>
              <w:t>§</w:t>
            </w:r>
            <w:r w:rsidR="002A39E3">
              <w:rPr>
                <w:rFonts w:ascii="Arial" w:hAnsi="Arial"/>
                <w:sz w:val="16"/>
              </w:rPr>
              <w:t xml:space="preserve"> 1.109 that is </w:t>
            </w:r>
            <w:r>
              <w:rPr>
                <w:rFonts w:ascii="Arial" w:hAnsi="Arial" w:cs="Arial"/>
                <w:sz w:val="16"/>
              </w:rPr>
              <w:t>on or after March 16, 2013.</w:t>
            </w:r>
          </w:p>
          <w:p w14:paraId="4B697A15" w14:textId="3CD8D6C6" w:rsidR="009A5F9A" w:rsidRPr="00C50A80" w:rsidRDefault="009A5F9A" w:rsidP="00F9090E">
            <w:pPr>
              <w:numPr>
                <w:ilvl w:val="0"/>
                <w:numId w:val="1"/>
              </w:numPr>
              <w:tabs>
                <w:tab w:val="left" w:pos="162"/>
              </w:tabs>
              <w:ind w:left="162" w:hanging="180"/>
              <w:rPr>
                <w:rFonts w:ascii="Arial" w:hAnsi="Arial" w:cs="Arial"/>
                <w:sz w:val="16"/>
              </w:rPr>
            </w:pPr>
            <w:r w:rsidRPr="00C50A80">
              <w:rPr>
                <w:rFonts w:ascii="Arial" w:hAnsi="Arial" w:cs="Arial"/>
                <w:sz w:val="16"/>
                <w:szCs w:val="24"/>
              </w:rPr>
              <w:t>Used by the</w:t>
            </w:r>
            <w:r>
              <w:rPr>
                <w:rFonts w:ascii="Arial" w:hAnsi="Arial" w:cs="Arial"/>
                <w:sz w:val="16"/>
                <w:szCs w:val="24"/>
              </w:rPr>
              <w:t xml:space="preserve"> USPTO to readily determine whether the nonprovisional application is subject to the changes to </w:t>
            </w:r>
            <w:r w:rsidRPr="006D6E50">
              <w:rPr>
                <w:rFonts w:ascii="Arial" w:hAnsi="Arial"/>
                <w:sz w:val="16"/>
              </w:rPr>
              <w:t>35 U.S.C. §§</w:t>
            </w:r>
            <w:r>
              <w:rPr>
                <w:rFonts w:ascii="Arial" w:hAnsi="Arial"/>
                <w:sz w:val="16"/>
              </w:rPr>
              <w:t xml:space="preserve"> 102 and 103 in the </w:t>
            </w:r>
            <w:r w:rsidR="002A39E3">
              <w:rPr>
                <w:rFonts w:ascii="Arial" w:hAnsi="Arial"/>
                <w:sz w:val="16"/>
              </w:rPr>
              <w:t>AIA</w:t>
            </w:r>
            <w:r>
              <w:rPr>
                <w:rFonts w:ascii="Arial" w:hAnsi="Arial"/>
                <w:sz w:val="16"/>
              </w:rPr>
              <w:t>.</w:t>
            </w:r>
          </w:p>
        </w:tc>
      </w:tr>
      <w:tr w:rsidR="009A5F9A" w14:paraId="4B697A1F" w14:textId="77777777" w:rsidTr="00B80737">
        <w:trPr>
          <w:cantSplit/>
        </w:trPr>
        <w:tc>
          <w:tcPr>
            <w:tcW w:w="3150" w:type="dxa"/>
          </w:tcPr>
          <w:p w14:paraId="4B697A17" w14:textId="77777777" w:rsidR="009A5F9A" w:rsidRDefault="009A5F9A" w:rsidP="00B80737">
            <w:pPr>
              <w:tabs>
                <w:tab w:val="left" w:pos="720"/>
              </w:tabs>
              <w:rPr>
                <w:rFonts w:ascii="Arial" w:hAnsi="Arial"/>
                <w:sz w:val="16"/>
                <w:szCs w:val="24"/>
              </w:rPr>
            </w:pPr>
          </w:p>
          <w:p w14:paraId="4B697A18" w14:textId="4FB56CF2" w:rsidR="009A5F9A" w:rsidRPr="00C50A80" w:rsidRDefault="009A5F9A" w:rsidP="00EB32F2">
            <w:pPr>
              <w:tabs>
                <w:tab w:val="left" w:pos="720"/>
              </w:tabs>
              <w:rPr>
                <w:rFonts w:ascii="Arial" w:hAnsi="Arial"/>
                <w:sz w:val="16"/>
                <w:szCs w:val="24"/>
              </w:rPr>
            </w:pPr>
            <w:r>
              <w:rPr>
                <w:rFonts w:ascii="Arial" w:hAnsi="Arial"/>
                <w:sz w:val="16"/>
                <w:szCs w:val="24"/>
              </w:rPr>
              <w:t>Submissions Under 37 CFR 1.78(</w:t>
            </w:r>
            <w:r w:rsidR="003C42F6">
              <w:rPr>
                <w:rFonts w:ascii="Arial" w:hAnsi="Arial"/>
                <w:sz w:val="16"/>
                <w:szCs w:val="24"/>
              </w:rPr>
              <w:t>d</w:t>
            </w:r>
            <w:r>
              <w:rPr>
                <w:rFonts w:ascii="Arial" w:hAnsi="Arial"/>
                <w:sz w:val="16"/>
                <w:szCs w:val="24"/>
              </w:rPr>
              <w:t>)(</w:t>
            </w:r>
            <w:r w:rsidR="003C42F6">
              <w:rPr>
                <w:rFonts w:ascii="Arial" w:hAnsi="Arial"/>
                <w:sz w:val="16"/>
                <w:szCs w:val="24"/>
              </w:rPr>
              <w:t>6</w:t>
            </w:r>
            <w:r>
              <w:rPr>
                <w:rFonts w:ascii="Arial" w:hAnsi="Arial"/>
                <w:sz w:val="16"/>
                <w:szCs w:val="24"/>
              </w:rPr>
              <w:t xml:space="preserve">) </w:t>
            </w:r>
          </w:p>
        </w:tc>
        <w:tc>
          <w:tcPr>
            <w:tcW w:w="1350" w:type="dxa"/>
          </w:tcPr>
          <w:p w14:paraId="4B697A19" w14:textId="77777777" w:rsidR="009A5F9A" w:rsidRDefault="009A5F9A" w:rsidP="00B80737">
            <w:pPr>
              <w:tabs>
                <w:tab w:val="left" w:pos="720"/>
              </w:tabs>
              <w:jc w:val="center"/>
              <w:rPr>
                <w:rFonts w:ascii="Arial" w:hAnsi="Arial"/>
                <w:sz w:val="16"/>
              </w:rPr>
            </w:pPr>
          </w:p>
          <w:p w14:paraId="4B697A1A" w14:textId="77777777" w:rsidR="009A5F9A" w:rsidRPr="00C50A80" w:rsidRDefault="009A5F9A" w:rsidP="00B80737">
            <w:pPr>
              <w:tabs>
                <w:tab w:val="left" w:pos="720"/>
              </w:tabs>
              <w:jc w:val="center"/>
              <w:rPr>
                <w:rFonts w:ascii="Arial" w:hAnsi="Arial"/>
                <w:sz w:val="16"/>
              </w:rPr>
            </w:pPr>
            <w:r>
              <w:rPr>
                <w:rFonts w:ascii="Arial" w:hAnsi="Arial"/>
                <w:sz w:val="16"/>
              </w:rPr>
              <w:t>No Form</w:t>
            </w:r>
          </w:p>
        </w:tc>
        <w:tc>
          <w:tcPr>
            <w:tcW w:w="4968" w:type="dxa"/>
          </w:tcPr>
          <w:p w14:paraId="4B697A1B" w14:textId="77777777" w:rsidR="009A5F9A" w:rsidRDefault="009A5F9A" w:rsidP="00B80737">
            <w:pPr>
              <w:tabs>
                <w:tab w:val="left" w:pos="720"/>
              </w:tabs>
              <w:rPr>
                <w:rFonts w:ascii="Arial" w:hAnsi="Arial" w:cs="Arial"/>
                <w:sz w:val="16"/>
              </w:rPr>
            </w:pPr>
          </w:p>
          <w:p w14:paraId="4B697A1C" w14:textId="53CF606E" w:rsidR="009A5F9A" w:rsidRDefault="009A5F9A" w:rsidP="00B80737">
            <w:pPr>
              <w:numPr>
                <w:ilvl w:val="0"/>
                <w:numId w:val="1"/>
              </w:numPr>
              <w:tabs>
                <w:tab w:val="left" w:pos="162"/>
              </w:tabs>
              <w:ind w:left="162" w:hanging="180"/>
              <w:rPr>
                <w:rFonts w:ascii="Arial" w:hAnsi="Arial" w:cs="Arial"/>
                <w:sz w:val="16"/>
              </w:rPr>
            </w:pPr>
            <w:r>
              <w:rPr>
                <w:rFonts w:ascii="Arial" w:hAnsi="Arial" w:cs="Arial"/>
                <w:sz w:val="16"/>
              </w:rPr>
              <w:t xml:space="preserve">Used by patent applicants to provide a statement if a nonprovisional application filed on or after March 16, 2013, </w:t>
            </w:r>
            <w:r w:rsidR="002A39E3">
              <w:rPr>
                <w:rFonts w:ascii="Arial" w:hAnsi="Arial" w:cs="Arial"/>
                <w:sz w:val="16"/>
              </w:rPr>
              <w:t xml:space="preserve">other than a nonprovisional international design application, </w:t>
            </w:r>
            <w:r>
              <w:rPr>
                <w:rFonts w:ascii="Arial" w:hAnsi="Arial" w:cs="Arial"/>
                <w:sz w:val="16"/>
              </w:rPr>
              <w:t xml:space="preserve">claims the benefit of the filing date of a nonprovisional application </w:t>
            </w:r>
            <w:r w:rsidR="002A39E3">
              <w:rPr>
                <w:rFonts w:ascii="Arial" w:hAnsi="Arial" w:cs="Arial"/>
                <w:sz w:val="16"/>
              </w:rPr>
              <w:t xml:space="preserve">or an international application designating the United States </w:t>
            </w:r>
            <w:r>
              <w:rPr>
                <w:rFonts w:ascii="Arial" w:hAnsi="Arial" w:cs="Arial"/>
                <w:sz w:val="16"/>
              </w:rPr>
              <w:t xml:space="preserve">filed prior to March 16, 2013, and also contains, or contained at any time, a claim to a claimed invention that has an effective filing date </w:t>
            </w:r>
            <w:r w:rsidR="002A39E3">
              <w:rPr>
                <w:rFonts w:ascii="Arial" w:hAnsi="Arial" w:cs="Arial"/>
                <w:sz w:val="16"/>
              </w:rPr>
              <w:t xml:space="preserve">as defined in </w:t>
            </w:r>
            <w:r w:rsidR="002A39E3" w:rsidRPr="00C50A80">
              <w:rPr>
                <w:rFonts w:ascii="Arial" w:hAnsi="Arial"/>
                <w:sz w:val="16"/>
              </w:rPr>
              <w:t>§</w:t>
            </w:r>
            <w:r w:rsidR="002A39E3">
              <w:rPr>
                <w:rFonts w:ascii="Arial" w:hAnsi="Arial"/>
                <w:sz w:val="16"/>
              </w:rPr>
              <w:t xml:space="preserve"> 1.109 that is </w:t>
            </w:r>
            <w:r>
              <w:rPr>
                <w:rFonts w:ascii="Arial" w:hAnsi="Arial" w:cs="Arial"/>
                <w:sz w:val="16"/>
              </w:rPr>
              <w:t>on or after March 16, 2013.</w:t>
            </w:r>
          </w:p>
          <w:p w14:paraId="4B697A1E" w14:textId="4FE7FB73" w:rsidR="009A5F9A" w:rsidRPr="00C50A80" w:rsidRDefault="009A5F9A" w:rsidP="00F9090E">
            <w:pPr>
              <w:numPr>
                <w:ilvl w:val="0"/>
                <w:numId w:val="1"/>
              </w:numPr>
              <w:tabs>
                <w:tab w:val="left" w:pos="162"/>
              </w:tabs>
              <w:ind w:left="162" w:hanging="180"/>
              <w:rPr>
                <w:rFonts w:ascii="Arial" w:hAnsi="Arial" w:cs="Arial"/>
                <w:sz w:val="16"/>
              </w:rPr>
            </w:pPr>
            <w:r w:rsidRPr="00C50A80">
              <w:rPr>
                <w:rFonts w:ascii="Arial" w:hAnsi="Arial" w:cs="Arial"/>
                <w:sz w:val="16"/>
                <w:szCs w:val="24"/>
              </w:rPr>
              <w:t>Used by the</w:t>
            </w:r>
            <w:r>
              <w:rPr>
                <w:rFonts w:ascii="Arial" w:hAnsi="Arial" w:cs="Arial"/>
                <w:sz w:val="16"/>
                <w:szCs w:val="24"/>
              </w:rPr>
              <w:t xml:space="preserve"> USPTO to readily determine whether the nonprovisional application filed on or after March 16, 2013, is subject to the changes to </w:t>
            </w:r>
            <w:r w:rsidRPr="006D6E50">
              <w:rPr>
                <w:rFonts w:ascii="Arial" w:hAnsi="Arial"/>
                <w:sz w:val="16"/>
              </w:rPr>
              <w:t>35 U.S.C. §§</w:t>
            </w:r>
            <w:r>
              <w:rPr>
                <w:rFonts w:ascii="Arial" w:hAnsi="Arial"/>
                <w:sz w:val="16"/>
              </w:rPr>
              <w:t xml:space="preserve"> 102 and 103 in the </w:t>
            </w:r>
            <w:r w:rsidR="002A39E3">
              <w:rPr>
                <w:rFonts w:ascii="Arial" w:hAnsi="Arial"/>
                <w:sz w:val="16"/>
              </w:rPr>
              <w:t>AIA</w:t>
            </w:r>
            <w:r>
              <w:rPr>
                <w:rFonts w:ascii="Arial" w:hAnsi="Arial"/>
                <w:sz w:val="16"/>
              </w:rPr>
              <w:t>.</w:t>
            </w:r>
          </w:p>
        </w:tc>
      </w:tr>
      <w:tr w:rsidR="009A5F9A" w14:paraId="4B697A27" w14:textId="77777777" w:rsidTr="00B80737">
        <w:trPr>
          <w:cantSplit/>
        </w:trPr>
        <w:tc>
          <w:tcPr>
            <w:tcW w:w="3150" w:type="dxa"/>
          </w:tcPr>
          <w:p w14:paraId="4B697A20" w14:textId="77777777" w:rsidR="009A5F9A" w:rsidRDefault="009A5F9A" w:rsidP="00B80737">
            <w:pPr>
              <w:tabs>
                <w:tab w:val="left" w:pos="720"/>
              </w:tabs>
              <w:rPr>
                <w:rFonts w:ascii="Arial" w:hAnsi="Arial"/>
                <w:sz w:val="16"/>
                <w:szCs w:val="24"/>
              </w:rPr>
            </w:pPr>
          </w:p>
          <w:p w14:paraId="4B697A21" w14:textId="77777777" w:rsidR="009A5F9A" w:rsidRPr="00C50A80" w:rsidRDefault="009A5F9A" w:rsidP="00B80737">
            <w:pPr>
              <w:tabs>
                <w:tab w:val="left" w:pos="720"/>
              </w:tabs>
              <w:rPr>
                <w:rFonts w:ascii="Arial" w:hAnsi="Arial"/>
                <w:sz w:val="16"/>
                <w:szCs w:val="24"/>
              </w:rPr>
            </w:pPr>
            <w:r>
              <w:rPr>
                <w:rFonts w:ascii="Arial" w:hAnsi="Arial"/>
                <w:sz w:val="16"/>
                <w:szCs w:val="24"/>
              </w:rPr>
              <w:t xml:space="preserve">Identification of Inventorship and Ownership of the Subject Matter of Individual Claims Under 37 CFR 1.110 </w:t>
            </w:r>
          </w:p>
        </w:tc>
        <w:tc>
          <w:tcPr>
            <w:tcW w:w="1350" w:type="dxa"/>
          </w:tcPr>
          <w:p w14:paraId="4B697A22" w14:textId="77777777" w:rsidR="009A5F9A" w:rsidRDefault="009A5F9A" w:rsidP="00B80737">
            <w:pPr>
              <w:tabs>
                <w:tab w:val="left" w:pos="720"/>
              </w:tabs>
              <w:jc w:val="center"/>
              <w:rPr>
                <w:rFonts w:ascii="Arial" w:hAnsi="Arial"/>
                <w:sz w:val="16"/>
              </w:rPr>
            </w:pPr>
          </w:p>
          <w:p w14:paraId="4B697A23" w14:textId="77777777" w:rsidR="009A5F9A" w:rsidRPr="00C50A80" w:rsidRDefault="009A5F9A" w:rsidP="00B80737">
            <w:pPr>
              <w:tabs>
                <w:tab w:val="left" w:pos="720"/>
              </w:tabs>
              <w:jc w:val="center"/>
              <w:rPr>
                <w:rFonts w:ascii="Arial" w:hAnsi="Arial"/>
                <w:sz w:val="16"/>
              </w:rPr>
            </w:pPr>
            <w:r>
              <w:rPr>
                <w:rFonts w:ascii="Arial" w:hAnsi="Arial"/>
                <w:sz w:val="16"/>
              </w:rPr>
              <w:t>No Form</w:t>
            </w:r>
          </w:p>
        </w:tc>
        <w:tc>
          <w:tcPr>
            <w:tcW w:w="4968" w:type="dxa"/>
          </w:tcPr>
          <w:p w14:paraId="4B697A24" w14:textId="77777777" w:rsidR="009A5F9A" w:rsidRDefault="009A5F9A" w:rsidP="00B80737">
            <w:pPr>
              <w:tabs>
                <w:tab w:val="left" w:pos="720"/>
              </w:tabs>
              <w:rPr>
                <w:rFonts w:ascii="Arial" w:hAnsi="Arial" w:cs="Arial"/>
                <w:sz w:val="16"/>
              </w:rPr>
            </w:pPr>
          </w:p>
          <w:p w14:paraId="4B697A25" w14:textId="602D609F" w:rsidR="009A5F9A" w:rsidRDefault="009A5F9A" w:rsidP="00B80737">
            <w:pPr>
              <w:numPr>
                <w:ilvl w:val="0"/>
                <w:numId w:val="1"/>
              </w:numPr>
              <w:tabs>
                <w:tab w:val="left" w:pos="162"/>
              </w:tabs>
              <w:ind w:left="162" w:hanging="180"/>
              <w:rPr>
                <w:rFonts w:ascii="Arial" w:hAnsi="Arial" w:cs="Arial"/>
                <w:sz w:val="16"/>
              </w:rPr>
            </w:pPr>
            <w:r>
              <w:rPr>
                <w:rFonts w:ascii="Arial" w:hAnsi="Arial" w:cs="Arial"/>
                <w:sz w:val="16"/>
              </w:rPr>
              <w:t>Used by patent applicants and patent owners to identify the inventor</w:t>
            </w:r>
            <w:r w:rsidR="001A3BAE">
              <w:rPr>
                <w:rFonts w:ascii="Arial" w:hAnsi="Arial" w:cs="Arial"/>
                <w:sz w:val="16"/>
              </w:rPr>
              <w:t>ship</w:t>
            </w:r>
            <w:r>
              <w:rPr>
                <w:rFonts w:ascii="Arial" w:hAnsi="Arial" w:cs="Arial"/>
                <w:sz w:val="16"/>
              </w:rPr>
              <w:t xml:space="preserve"> and ownership </w:t>
            </w:r>
            <w:r w:rsidR="001A3BAE">
              <w:rPr>
                <w:rFonts w:ascii="Arial" w:hAnsi="Arial" w:cs="Arial"/>
                <w:sz w:val="16"/>
              </w:rPr>
              <w:t xml:space="preserve">or obligation to assign ownership, </w:t>
            </w:r>
            <w:r>
              <w:rPr>
                <w:rFonts w:ascii="Arial" w:hAnsi="Arial" w:cs="Arial"/>
                <w:sz w:val="16"/>
              </w:rPr>
              <w:t xml:space="preserve">of each claimed invention </w:t>
            </w:r>
            <w:r w:rsidR="001A3BAE">
              <w:rPr>
                <w:rFonts w:ascii="Arial" w:hAnsi="Arial" w:cs="Arial"/>
                <w:sz w:val="16"/>
              </w:rPr>
              <w:t xml:space="preserve">on its effective filing date (as defined in </w:t>
            </w:r>
            <w:r w:rsidR="001A3BAE" w:rsidRPr="00C50A80">
              <w:rPr>
                <w:rFonts w:ascii="Arial" w:hAnsi="Arial"/>
                <w:sz w:val="16"/>
              </w:rPr>
              <w:t>§</w:t>
            </w:r>
            <w:r w:rsidR="001A3BAE">
              <w:rPr>
                <w:rFonts w:ascii="Arial" w:hAnsi="Arial"/>
                <w:sz w:val="16"/>
              </w:rPr>
              <w:t xml:space="preserve"> 1.109) or on its date of invention, as applicable, </w:t>
            </w:r>
            <w:r>
              <w:rPr>
                <w:rFonts w:ascii="Arial" w:hAnsi="Arial" w:cs="Arial"/>
                <w:sz w:val="16"/>
              </w:rPr>
              <w:t>when necessary for purposes of a USPTO proceeding.</w:t>
            </w:r>
          </w:p>
          <w:p w14:paraId="48E7251B" w14:textId="6687658E" w:rsidR="001A3BAE" w:rsidRPr="00C50A80" w:rsidRDefault="001A3BAE" w:rsidP="00B80737">
            <w:pPr>
              <w:numPr>
                <w:ilvl w:val="0"/>
                <w:numId w:val="1"/>
              </w:numPr>
              <w:tabs>
                <w:tab w:val="left" w:pos="162"/>
              </w:tabs>
              <w:ind w:left="162" w:hanging="180"/>
              <w:rPr>
                <w:rFonts w:ascii="Arial" w:hAnsi="Arial" w:cs="Arial"/>
                <w:sz w:val="16"/>
              </w:rPr>
            </w:pPr>
            <w:r>
              <w:rPr>
                <w:rFonts w:ascii="Arial" w:hAnsi="Arial" w:cs="Arial"/>
                <w:sz w:val="16"/>
              </w:rPr>
              <w:t>Used by patent applicants and patent owners to identify the invention dates of the subject matter of each claim when necessary for purposes of a USPTO proceeding.</w:t>
            </w:r>
          </w:p>
          <w:p w14:paraId="4B697A26" w14:textId="47E08FB3" w:rsidR="009A5F9A" w:rsidRPr="00C50A80" w:rsidRDefault="009A5F9A" w:rsidP="00B80737">
            <w:pPr>
              <w:numPr>
                <w:ilvl w:val="0"/>
                <w:numId w:val="1"/>
              </w:numPr>
              <w:tabs>
                <w:tab w:val="left" w:pos="162"/>
              </w:tabs>
              <w:ind w:left="162" w:hanging="162"/>
              <w:rPr>
                <w:rFonts w:ascii="Arial" w:hAnsi="Arial" w:cs="Arial"/>
                <w:sz w:val="16"/>
              </w:rPr>
            </w:pPr>
            <w:r w:rsidRPr="00C50A80">
              <w:rPr>
                <w:rFonts w:ascii="Arial" w:hAnsi="Arial" w:cs="Arial"/>
                <w:sz w:val="16"/>
                <w:szCs w:val="24"/>
              </w:rPr>
              <w:t>Used by the</w:t>
            </w:r>
            <w:r>
              <w:rPr>
                <w:rFonts w:ascii="Arial" w:hAnsi="Arial" w:cs="Arial"/>
                <w:sz w:val="16"/>
                <w:szCs w:val="24"/>
              </w:rPr>
              <w:t xml:space="preserve"> USPTO when it is necessary to determine whether a U.S. patent or U.S. patent application publication resulting from another nonprovisional application qualifies as prior art under </w:t>
            </w:r>
            <w:r w:rsidRPr="006D6E50">
              <w:rPr>
                <w:rFonts w:ascii="Arial" w:hAnsi="Arial"/>
                <w:sz w:val="16"/>
              </w:rPr>
              <w:t>35 U.S.C. §</w:t>
            </w:r>
            <w:r>
              <w:rPr>
                <w:rFonts w:ascii="Arial" w:hAnsi="Arial"/>
                <w:sz w:val="16"/>
              </w:rPr>
              <w:t xml:space="preserve"> 102(a)(2) </w:t>
            </w:r>
            <w:r w:rsidR="009B588A">
              <w:rPr>
                <w:rFonts w:ascii="Arial" w:hAnsi="Arial"/>
                <w:sz w:val="16"/>
              </w:rPr>
              <w:t xml:space="preserve">or pre-AIA </w:t>
            </w:r>
            <w:r w:rsidR="009B588A" w:rsidRPr="006D6E50">
              <w:rPr>
                <w:rFonts w:ascii="Arial" w:hAnsi="Arial"/>
                <w:sz w:val="16"/>
              </w:rPr>
              <w:t>35 U.S.C. §</w:t>
            </w:r>
            <w:r w:rsidR="009B588A">
              <w:rPr>
                <w:rFonts w:ascii="Arial" w:hAnsi="Arial"/>
                <w:sz w:val="16"/>
              </w:rPr>
              <w:t xml:space="preserve"> 102(e).</w:t>
            </w:r>
          </w:p>
        </w:tc>
      </w:tr>
      <w:tr w:rsidR="009A5F9A" w14:paraId="4B697A31" w14:textId="77777777" w:rsidTr="00B80737">
        <w:trPr>
          <w:cantSplit/>
        </w:trPr>
        <w:tc>
          <w:tcPr>
            <w:tcW w:w="3150" w:type="dxa"/>
          </w:tcPr>
          <w:p w14:paraId="4B697A28" w14:textId="77777777" w:rsidR="009A5F9A" w:rsidRDefault="009A5F9A" w:rsidP="00B80737">
            <w:pPr>
              <w:tabs>
                <w:tab w:val="left" w:pos="720"/>
              </w:tabs>
              <w:rPr>
                <w:rFonts w:ascii="Arial" w:hAnsi="Arial"/>
                <w:sz w:val="16"/>
                <w:szCs w:val="24"/>
              </w:rPr>
            </w:pPr>
          </w:p>
          <w:p w14:paraId="4B697A29" w14:textId="77777777" w:rsidR="009A5F9A" w:rsidRPr="00C50A80" w:rsidRDefault="009A5F9A" w:rsidP="00B80737">
            <w:pPr>
              <w:tabs>
                <w:tab w:val="left" w:pos="720"/>
              </w:tabs>
              <w:rPr>
                <w:rFonts w:ascii="Arial" w:hAnsi="Arial"/>
                <w:sz w:val="16"/>
                <w:szCs w:val="24"/>
              </w:rPr>
            </w:pPr>
            <w:r>
              <w:rPr>
                <w:rFonts w:ascii="Arial" w:hAnsi="Arial"/>
                <w:sz w:val="16"/>
                <w:szCs w:val="24"/>
              </w:rPr>
              <w:t xml:space="preserve">Rule 1.130, 1.131, and 1.132 Affidavits or Declarations </w:t>
            </w:r>
          </w:p>
        </w:tc>
        <w:tc>
          <w:tcPr>
            <w:tcW w:w="1350" w:type="dxa"/>
          </w:tcPr>
          <w:p w14:paraId="4B697A2A" w14:textId="77777777" w:rsidR="009A5F9A" w:rsidRDefault="009A5F9A" w:rsidP="00B80737">
            <w:pPr>
              <w:tabs>
                <w:tab w:val="left" w:pos="720"/>
              </w:tabs>
              <w:jc w:val="center"/>
              <w:rPr>
                <w:rFonts w:ascii="Arial" w:hAnsi="Arial"/>
                <w:sz w:val="16"/>
              </w:rPr>
            </w:pPr>
          </w:p>
          <w:p w14:paraId="4B697A2B" w14:textId="77777777" w:rsidR="009A5F9A" w:rsidRPr="00C50A80" w:rsidRDefault="009A5F9A" w:rsidP="00B80737">
            <w:pPr>
              <w:tabs>
                <w:tab w:val="left" w:pos="720"/>
              </w:tabs>
              <w:jc w:val="center"/>
              <w:rPr>
                <w:rFonts w:ascii="Arial" w:hAnsi="Arial"/>
                <w:sz w:val="16"/>
              </w:rPr>
            </w:pPr>
            <w:r>
              <w:rPr>
                <w:rFonts w:ascii="Arial" w:hAnsi="Arial"/>
                <w:sz w:val="16"/>
              </w:rPr>
              <w:t>No Form</w:t>
            </w:r>
          </w:p>
        </w:tc>
        <w:tc>
          <w:tcPr>
            <w:tcW w:w="4968" w:type="dxa"/>
          </w:tcPr>
          <w:p w14:paraId="4B697A2C" w14:textId="77777777" w:rsidR="009A5F9A" w:rsidRDefault="009A5F9A" w:rsidP="00B80737">
            <w:pPr>
              <w:tabs>
                <w:tab w:val="left" w:pos="720"/>
              </w:tabs>
              <w:rPr>
                <w:rFonts w:ascii="Arial" w:hAnsi="Arial" w:cs="Arial"/>
                <w:sz w:val="16"/>
              </w:rPr>
            </w:pPr>
          </w:p>
          <w:p w14:paraId="4B697A2D" w14:textId="454801BA" w:rsidR="009A5F9A" w:rsidRDefault="009A5F9A" w:rsidP="00B80737">
            <w:pPr>
              <w:numPr>
                <w:ilvl w:val="0"/>
                <w:numId w:val="1"/>
              </w:numPr>
              <w:tabs>
                <w:tab w:val="left" w:pos="162"/>
              </w:tabs>
              <w:ind w:left="162" w:hanging="180"/>
              <w:rPr>
                <w:rFonts w:ascii="Arial" w:hAnsi="Arial" w:cs="Arial"/>
                <w:sz w:val="16"/>
              </w:rPr>
            </w:pPr>
            <w:r>
              <w:rPr>
                <w:rFonts w:ascii="Arial" w:hAnsi="Arial" w:cs="Arial"/>
                <w:sz w:val="16"/>
              </w:rPr>
              <w:t xml:space="preserve">Used by patent applicants and patent owners to show that a disclosure was by the inventor or joint inventor, or was by </w:t>
            </w:r>
            <w:r w:rsidR="009B588A">
              <w:rPr>
                <w:rFonts w:ascii="Arial" w:hAnsi="Arial" w:cs="Arial"/>
                <w:sz w:val="16"/>
              </w:rPr>
              <w:t xml:space="preserve">another </w:t>
            </w:r>
            <w:r>
              <w:rPr>
                <w:rFonts w:ascii="Arial" w:hAnsi="Arial" w:cs="Arial"/>
                <w:sz w:val="16"/>
              </w:rPr>
              <w:t xml:space="preserve">who obtained the subject matter from the inventor or a joint inventor, or that there was a prior public disclosure by the inventor or a joint inventor, or by </w:t>
            </w:r>
            <w:r w:rsidR="009B588A">
              <w:rPr>
                <w:rFonts w:ascii="Arial" w:hAnsi="Arial" w:cs="Arial"/>
                <w:sz w:val="16"/>
              </w:rPr>
              <w:t xml:space="preserve">another </w:t>
            </w:r>
            <w:r>
              <w:rPr>
                <w:rFonts w:ascii="Arial" w:hAnsi="Arial" w:cs="Arial"/>
                <w:sz w:val="16"/>
              </w:rPr>
              <w:t>who obtained the subject matter from the inventor or a joint inventor.</w:t>
            </w:r>
          </w:p>
          <w:p w14:paraId="4B697A2E" w14:textId="77777777" w:rsidR="009A5F9A" w:rsidRDefault="009A5F9A" w:rsidP="00B80737">
            <w:pPr>
              <w:numPr>
                <w:ilvl w:val="0"/>
                <w:numId w:val="1"/>
              </w:numPr>
              <w:tabs>
                <w:tab w:val="left" w:pos="162"/>
              </w:tabs>
              <w:ind w:left="162" w:hanging="180"/>
              <w:rPr>
                <w:rFonts w:ascii="Arial" w:hAnsi="Arial" w:cs="Arial"/>
                <w:sz w:val="16"/>
              </w:rPr>
            </w:pPr>
            <w:r>
              <w:rPr>
                <w:rFonts w:ascii="Arial" w:hAnsi="Arial" w:cs="Arial"/>
                <w:sz w:val="16"/>
              </w:rPr>
              <w:t>Used by patent applicants and patent owners to submit evidence by way of an oath or declaration to traverse a rejection or objection on a basis not otherwise provided for, when any claim of an application or a patent under reexamination is rejected or objected to.</w:t>
            </w:r>
          </w:p>
          <w:p w14:paraId="4B697A2F" w14:textId="300C83D4" w:rsidR="009A5F9A" w:rsidRDefault="009A5F9A" w:rsidP="00B80737">
            <w:pPr>
              <w:numPr>
                <w:ilvl w:val="0"/>
                <w:numId w:val="1"/>
              </w:numPr>
              <w:tabs>
                <w:tab w:val="left" w:pos="162"/>
              </w:tabs>
              <w:ind w:left="162" w:hanging="180"/>
              <w:rPr>
                <w:rFonts w:ascii="Arial" w:hAnsi="Arial" w:cs="Arial"/>
                <w:sz w:val="16"/>
              </w:rPr>
            </w:pPr>
            <w:r>
              <w:rPr>
                <w:rFonts w:ascii="Arial" w:hAnsi="Arial" w:cs="Arial"/>
                <w:sz w:val="16"/>
              </w:rPr>
              <w:t xml:space="preserve">Used by the USPTO to determine whether the disclosure qualifies as prior art under 35 U.S.C. </w:t>
            </w:r>
            <w:r w:rsidRPr="006D6E50">
              <w:rPr>
                <w:rFonts w:ascii="Arial" w:hAnsi="Arial"/>
                <w:sz w:val="16"/>
              </w:rPr>
              <w:t>§</w:t>
            </w:r>
            <w:r w:rsidR="009B588A">
              <w:rPr>
                <w:rFonts w:ascii="Arial" w:hAnsi="Arial"/>
                <w:sz w:val="16"/>
              </w:rPr>
              <w:t xml:space="preserve"> 102(a)(1) or (a)(2).</w:t>
            </w:r>
          </w:p>
          <w:p w14:paraId="4B697A30" w14:textId="096FAF5A" w:rsidR="009A5F9A" w:rsidRPr="00C50A80" w:rsidRDefault="009A5F9A" w:rsidP="00B80737">
            <w:pPr>
              <w:numPr>
                <w:ilvl w:val="0"/>
                <w:numId w:val="1"/>
              </w:numPr>
              <w:tabs>
                <w:tab w:val="left" w:pos="162"/>
              </w:tabs>
              <w:ind w:left="162" w:hanging="162"/>
              <w:rPr>
                <w:rFonts w:ascii="Arial" w:hAnsi="Arial" w:cs="Arial"/>
                <w:sz w:val="16"/>
              </w:rPr>
            </w:pPr>
            <w:r>
              <w:rPr>
                <w:rFonts w:ascii="Arial" w:hAnsi="Arial"/>
                <w:sz w:val="16"/>
              </w:rPr>
              <w:t>Used by the USPTO to determine whether to maintain a rejection or objection of a claim of an application o</w:t>
            </w:r>
            <w:r w:rsidR="009B588A">
              <w:rPr>
                <w:rFonts w:ascii="Arial" w:hAnsi="Arial"/>
                <w:sz w:val="16"/>
              </w:rPr>
              <w:t>r a patent under reexamination.</w:t>
            </w:r>
          </w:p>
        </w:tc>
      </w:tr>
    </w:tbl>
    <w:p w14:paraId="4B697A32" w14:textId="77777777" w:rsidR="009A5F9A" w:rsidRDefault="009A5F9A" w:rsidP="009A5F9A">
      <w:pPr>
        <w:tabs>
          <w:tab w:val="left" w:pos="720"/>
        </w:tabs>
        <w:jc w:val="both"/>
        <w:rPr>
          <w:rFonts w:ascii="Arial" w:hAnsi="Arial"/>
          <w:sz w:val="24"/>
        </w:rPr>
      </w:pPr>
    </w:p>
    <w:p w14:paraId="4B697A33" w14:textId="77777777" w:rsidR="009A5F9A" w:rsidRDefault="009A5F9A" w:rsidP="009A5F9A">
      <w:pPr>
        <w:tabs>
          <w:tab w:val="left" w:pos="720"/>
        </w:tabs>
        <w:jc w:val="both"/>
        <w:rPr>
          <w:rFonts w:ascii="Arial" w:hAnsi="Arial"/>
          <w:b/>
          <w:sz w:val="24"/>
        </w:rPr>
      </w:pPr>
      <w:r w:rsidRPr="00735EA6">
        <w:rPr>
          <w:rFonts w:ascii="Arial" w:hAnsi="Arial"/>
          <w:b/>
          <w:sz w:val="24"/>
        </w:rPr>
        <w:t>3.</w:t>
      </w:r>
      <w:r w:rsidRPr="00735EA6">
        <w:rPr>
          <w:rFonts w:ascii="Arial" w:hAnsi="Arial"/>
          <w:b/>
          <w:sz w:val="24"/>
        </w:rPr>
        <w:tab/>
        <w:t>Use of Information Technology</w:t>
      </w:r>
    </w:p>
    <w:p w14:paraId="4B697A34" w14:textId="77777777" w:rsidR="009A5F9A" w:rsidRDefault="009A5F9A" w:rsidP="009A5F9A">
      <w:pPr>
        <w:tabs>
          <w:tab w:val="left" w:pos="720"/>
        </w:tabs>
        <w:jc w:val="both"/>
        <w:rPr>
          <w:rFonts w:ascii="Arial" w:hAnsi="Arial" w:cs="Arial"/>
          <w:sz w:val="24"/>
          <w:szCs w:val="24"/>
        </w:rPr>
      </w:pPr>
    </w:p>
    <w:p w14:paraId="4B697A35" w14:textId="77777777" w:rsidR="009A5F9A" w:rsidRDefault="009A5F9A" w:rsidP="009A5F9A">
      <w:pPr>
        <w:tabs>
          <w:tab w:val="left" w:pos="720"/>
        </w:tabs>
        <w:jc w:val="both"/>
        <w:rPr>
          <w:rFonts w:ascii="Arial" w:hAnsi="Arial" w:cs="Arial"/>
          <w:sz w:val="24"/>
          <w:szCs w:val="24"/>
        </w:rPr>
      </w:pPr>
      <w:r>
        <w:rPr>
          <w:rFonts w:ascii="Arial" w:hAnsi="Arial" w:cs="Arial"/>
          <w:sz w:val="24"/>
          <w:szCs w:val="24"/>
        </w:rPr>
        <w:t>The items in this collection may be submitted online using EFS-Web, the USPTO’s Web-based electronic filing system.</w:t>
      </w:r>
    </w:p>
    <w:p w14:paraId="4B697A36" w14:textId="77777777" w:rsidR="009A5F9A" w:rsidRDefault="009A5F9A" w:rsidP="009A5F9A">
      <w:pPr>
        <w:tabs>
          <w:tab w:val="left" w:pos="720"/>
        </w:tabs>
        <w:jc w:val="both"/>
        <w:rPr>
          <w:rFonts w:ascii="Arial" w:hAnsi="Arial" w:cs="Arial"/>
          <w:sz w:val="24"/>
          <w:szCs w:val="24"/>
        </w:rPr>
      </w:pPr>
    </w:p>
    <w:p w14:paraId="4B697A37" w14:textId="1B3F9C54" w:rsidR="009A5F9A" w:rsidRDefault="009A5F9A" w:rsidP="009A5F9A">
      <w:pPr>
        <w:tabs>
          <w:tab w:val="left" w:pos="720"/>
        </w:tabs>
        <w:jc w:val="both"/>
        <w:rPr>
          <w:rFonts w:ascii="Arial" w:hAnsi="Arial" w:cs="Arial"/>
          <w:sz w:val="24"/>
          <w:szCs w:val="24"/>
        </w:rPr>
      </w:pPr>
      <w:r>
        <w:rPr>
          <w:rFonts w:ascii="Arial" w:hAnsi="Arial" w:cs="Arial"/>
          <w:sz w:val="24"/>
          <w:szCs w:val="24"/>
        </w:rPr>
        <w:t>EFS-Web allows customers to file patent applications and associated documents electronically through their standard Web browser without downloading special software, changing their document preparation tools, or altering their workflow processes. Typically, the customer will prepare the documents as standard PDF files and then upload them to the USPTO servers usin</w:t>
      </w:r>
      <w:r w:rsidR="002A39E3">
        <w:rPr>
          <w:rFonts w:ascii="Arial" w:hAnsi="Arial" w:cs="Arial"/>
          <w:sz w:val="24"/>
          <w:szCs w:val="24"/>
        </w:rPr>
        <w:t>g the secure EFS-Web interface.</w:t>
      </w:r>
      <w:r>
        <w:rPr>
          <w:rFonts w:ascii="Arial" w:hAnsi="Arial" w:cs="Arial"/>
          <w:sz w:val="24"/>
          <w:szCs w:val="24"/>
        </w:rPr>
        <w:t xml:space="preserve"> EFS-Web offers many benefits to filers, including immediate notification that a submission has been received by the USPTO, automated processing of requests, and avoidance of postage or other paper delivery costs.</w:t>
      </w:r>
    </w:p>
    <w:p w14:paraId="4B697A38" w14:textId="77777777" w:rsidR="009A5F9A" w:rsidRDefault="009A5F9A" w:rsidP="009A5F9A">
      <w:pPr>
        <w:tabs>
          <w:tab w:val="left" w:pos="720"/>
        </w:tabs>
        <w:jc w:val="both"/>
        <w:rPr>
          <w:rFonts w:ascii="Arial" w:hAnsi="Arial" w:cs="Arial"/>
          <w:sz w:val="24"/>
          <w:szCs w:val="24"/>
        </w:rPr>
      </w:pPr>
    </w:p>
    <w:p w14:paraId="4B697A39" w14:textId="77777777" w:rsidR="009A5F9A" w:rsidRDefault="009A5F9A" w:rsidP="009A5F9A">
      <w:pPr>
        <w:keepNext/>
        <w:keepLines/>
        <w:tabs>
          <w:tab w:val="left" w:pos="720"/>
        </w:tabs>
        <w:jc w:val="both"/>
        <w:rPr>
          <w:rFonts w:ascii="Arial" w:hAnsi="Arial"/>
          <w:sz w:val="24"/>
        </w:rPr>
      </w:pPr>
      <w:r w:rsidRPr="002B7F13">
        <w:rPr>
          <w:rFonts w:ascii="Arial" w:hAnsi="Arial"/>
          <w:b/>
          <w:sz w:val="24"/>
        </w:rPr>
        <w:t>4.</w:t>
      </w:r>
      <w:r w:rsidRPr="002B7F13">
        <w:rPr>
          <w:rFonts w:ascii="Arial" w:hAnsi="Arial"/>
          <w:b/>
          <w:sz w:val="24"/>
        </w:rPr>
        <w:tab/>
        <w:t>Efforts to Identify Duplication</w:t>
      </w:r>
    </w:p>
    <w:p w14:paraId="4B697A3A" w14:textId="77777777" w:rsidR="009A5F9A" w:rsidRDefault="009A5F9A" w:rsidP="009A5F9A">
      <w:pPr>
        <w:keepNext/>
        <w:keepLines/>
        <w:tabs>
          <w:tab w:val="left" w:pos="720"/>
        </w:tabs>
        <w:jc w:val="both"/>
        <w:rPr>
          <w:rFonts w:ascii="Arial" w:hAnsi="Arial"/>
          <w:sz w:val="24"/>
        </w:rPr>
      </w:pPr>
    </w:p>
    <w:p w14:paraId="4B697A3B" w14:textId="399A8C14" w:rsidR="009A5F9A" w:rsidRDefault="009A5F9A" w:rsidP="009A5F9A">
      <w:pPr>
        <w:pStyle w:val="BodyText2"/>
        <w:keepNext/>
        <w:keepLines/>
        <w:tabs>
          <w:tab w:val="left" w:pos="720"/>
        </w:tabs>
      </w:pPr>
      <w:r>
        <w:t xml:space="preserve">The </w:t>
      </w:r>
      <w:r w:rsidR="002A39E3">
        <w:t xml:space="preserve">USPTO has determined that the </w:t>
      </w:r>
      <w:r>
        <w:t xml:space="preserve">information </w:t>
      </w:r>
      <w:r w:rsidR="002A39E3">
        <w:t xml:space="preserve">covered by this collection </w:t>
      </w:r>
      <w:r>
        <w:rPr>
          <w:rFonts w:cs="Arial"/>
          <w:szCs w:val="24"/>
        </w:rPr>
        <w:t>is not collected elsewhere and does not resu</w:t>
      </w:r>
      <w:r w:rsidR="002A39E3">
        <w:rPr>
          <w:rFonts w:cs="Arial"/>
          <w:szCs w:val="24"/>
        </w:rPr>
        <w:t>lt in a duplication of effort.</w:t>
      </w:r>
    </w:p>
    <w:p w14:paraId="4B697A3C" w14:textId="77777777" w:rsidR="009A5F9A" w:rsidRDefault="009A5F9A" w:rsidP="009A5F9A">
      <w:pPr>
        <w:tabs>
          <w:tab w:val="left" w:pos="720"/>
        </w:tabs>
        <w:jc w:val="both"/>
        <w:rPr>
          <w:rFonts w:ascii="Arial" w:hAnsi="Arial"/>
          <w:sz w:val="24"/>
        </w:rPr>
      </w:pPr>
    </w:p>
    <w:p w14:paraId="4B697A3D" w14:textId="77777777" w:rsidR="009A5F9A" w:rsidRDefault="009A5F9A" w:rsidP="009A5F9A">
      <w:pPr>
        <w:jc w:val="both"/>
        <w:rPr>
          <w:rFonts w:ascii="Arial" w:hAnsi="Arial"/>
          <w:b/>
          <w:sz w:val="24"/>
        </w:rPr>
      </w:pPr>
      <w:r w:rsidRPr="00B872E4">
        <w:rPr>
          <w:rFonts w:ascii="Arial" w:hAnsi="Arial"/>
          <w:b/>
          <w:sz w:val="24"/>
        </w:rPr>
        <w:t>5.</w:t>
      </w:r>
      <w:r w:rsidRPr="00B872E4">
        <w:rPr>
          <w:rFonts w:ascii="Arial" w:hAnsi="Arial"/>
          <w:b/>
          <w:sz w:val="24"/>
        </w:rPr>
        <w:tab/>
        <w:t>Minimizing the Burden to Small Entities</w:t>
      </w:r>
    </w:p>
    <w:p w14:paraId="4B697A3E" w14:textId="77777777" w:rsidR="009A5F9A" w:rsidRDefault="009A5F9A" w:rsidP="009A5F9A">
      <w:pPr>
        <w:jc w:val="both"/>
        <w:rPr>
          <w:rFonts w:ascii="Arial" w:hAnsi="Arial"/>
          <w:sz w:val="24"/>
        </w:rPr>
      </w:pPr>
    </w:p>
    <w:p w14:paraId="4B697A3F" w14:textId="236D83AF" w:rsidR="009A5F9A" w:rsidRDefault="009A5F9A" w:rsidP="009A5F9A">
      <w:pPr>
        <w:jc w:val="both"/>
        <w:rPr>
          <w:rFonts w:ascii="Arial" w:hAnsi="Arial"/>
          <w:sz w:val="24"/>
        </w:rPr>
      </w:pPr>
      <w:r>
        <w:rPr>
          <w:rFonts w:ascii="Arial" w:hAnsi="Arial"/>
          <w:sz w:val="24"/>
        </w:rPr>
        <w:t xml:space="preserve">This collection of information will not impose a significant economic impact on a substantial number of small entities. The same information will be required from every </w:t>
      </w:r>
      <w:r>
        <w:rPr>
          <w:rFonts w:ascii="Arial" w:hAnsi="Arial"/>
          <w:sz w:val="24"/>
        </w:rPr>
        <w:lastRenderedPageBreak/>
        <w:t>member of the public in the applicable situation and will not be available from any other source. In addition, there are no filing fees associated wit</w:t>
      </w:r>
      <w:r w:rsidR="009C1C39">
        <w:rPr>
          <w:rFonts w:ascii="Arial" w:hAnsi="Arial"/>
          <w:sz w:val="24"/>
        </w:rPr>
        <w:t>h this information collection.</w:t>
      </w:r>
    </w:p>
    <w:p w14:paraId="4B697A40" w14:textId="77777777" w:rsidR="009A5F9A" w:rsidRDefault="009A5F9A" w:rsidP="009A5F9A">
      <w:pPr>
        <w:jc w:val="both"/>
        <w:rPr>
          <w:rFonts w:ascii="Arial" w:hAnsi="Arial"/>
          <w:sz w:val="24"/>
        </w:rPr>
      </w:pPr>
    </w:p>
    <w:p w14:paraId="4B697A41" w14:textId="77777777" w:rsidR="009A5F9A" w:rsidRDefault="009A5F9A" w:rsidP="009A5F9A">
      <w:pPr>
        <w:jc w:val="both"/>
        <w:rPr>
          <w:rFonts w:ascii="Arial" w:hAnsi="Arial"/>
          <w:b/>
          <w:sz w:val="24"/>
        </w:rPr>
      </w:pPr>
      <w:r w:rsidRPr="00EE2A4F">
        <w:rPr>
          <w:rFonts w:ascii="Arial" w:hAnsi="Arial"/>
          <w:b/>
          <w:sz w:val="24"/>
        </w:rPr>
        <w:t>6.</w:t>
      </w:r>
      <w:r w:rsidRPr="00EE2A4F">
        <w:rPr>
          <w:rFonts w:ascii="Arial" w:hAnsi="Arial"/>
          <w:b/>
          <w:sz w:val="24"/>
        </w:rPr>
        <w:tab/>
        <w:t>Consequences of Less Frequent Collection</w:t>
      </w:r>
    </w:p>
    <w:p w14:paraId="4B697A42" w14:textId="77777777" w:rsidR="009A5F9A" w:rsidRDefault="009A5F9A" w:rsidP="009A5F9A">
      <w:pPr>
        <w:jc w:val="both"/>
        <w:rPr>
          <w:rFonts w:ascii="Arial" w:hAnsi="Arial"/>
          <w:sz w:val="24"/>
        </w:rPr>
      </w:pPr>
    </w:p>
    <w:p w14:paraId="4B697A43" w14:textId="7B91076B" w:rsidR="009A5F9A" w:rsidRDefault="009A5F9A" w:rsidP="009A5F9A">
      <w:pPr>
        <w:jc w:val="both"/>
      </w:pPr>
      <w:r>
        <w:rPr>
          <w:rFonts w:ascii="Arial" w:hAnsi="Arial"/>
          <w:sz w:val="24"/>
        </w:rPr>
        <w:t>Less frequent collection of submissions under 37 CFR 1.55(</w:t>
      </w:r>
      <w:r w:rsidR="002E6501">
        <w:rPr>
          <w:rFonts w:ascii="Arial" w:hAnsi="Arial"/>
          <w:sz w:val="24"/>
        </w:rPr>
        <w:t>k</w:t>
      </w:r>
      <w:r>
        <w:rPr>
          <w:rFonts w:ascii="Arial" w:hAnsi="Arial"/>
          <w:sz w:val="24"/>
        </w:rPr>
        <w:t>), 1.78(a)(</w:t>
      </w:r>
      <w:r w:rsidR="002E6501">
        <w:rPr>
          <w:rFonts w:ascii="Arial" w:hAnsi="Arial"/>
          <w:sz w:val="24"/>
        </w:rPr>
        <w:t>6</w:t>
      </w:r>
      <w:r>
        <w:rPr>
          <w:rFonts w:ascii="Arial" w:hAnsi="Arial"/>
          <w:sz w:val="24"/>
        </w:rPr>
        <w:t>), and 1.78(</w:t>
      </w:r>
      <w:r w:rsidR="002E6501">
        <w:rPr>
          <w:rFonts w:ascii="Arial" w:hAnsi="Arial"/>
          <w:sz w:val="24"/>
        </w:rPr>
        <w:t>d</w:t>
      </w:r>
      <w:r>
        <w:rPr>
          <w:rFonts w:ascii="Arial" w:hAnsi="Arial"/>
          <w:sz w:val="24"/>
        </w:rPr>
        <w:t>)(</w:t>
      </w:r>
      <w:r w:rsidR="002E6501">
        <w:rPr>
          <w:rFonts w:ascii="Arial" w:hAnsi="Arial"/>
          <w:sz w:val="24"/>
        </w:rPr>
        <w:t>6</w:t>
      </w:r>
      <w:r>
        <w:rPr>
          <w:rFonts w:ascii="Arial" w:hAnsi="Arial"/>
          <w:sz w:val="24"/>
        </w:rPr>
        <w:t xml:space="preserve">) would cause examination costs to significantly increase. Less frequent collection of identifications of inventorship and ownership </w:t>
      </w:r>
      <w:r w:rsidR="002E6501">
        <w:rPr>
          <w:rFonts w:ascii="Arial" w:hAnsi="Arial"/>
          <w:sz w:val="24"/>
        </w:rPr>
        <w:t>or obligation to assign ownership,</w:t>
      </w:r>
      <w:r>
        <w:rPr>
          <w:rFonts w:ascii="Arial" w:hAnsi="Arial"/>
          <w:sz w:val="24"/>
        </w:rPr>
        <w:t xml:space="preserve"> and </w:t>
      </w:r>
      <w:r w:rsidR="002E6501">
        <w:rPr>
          <w:rFonts w:ascii="Arial" w:hAnsi="Arial"/>
          <w:sz w:val="24"/>
        </w:rPr>
        <w:t xml:space="preserve">less frequent collection of </w:t>
      </w:r>
      <w:r>
        <w:rPr>
          <w:rFonts w:ascii="Arial" w:hAnsi="Arial"/>
          <w:sz w:val="24"/>
        </w:rPr>
        <w:t xml:space="preserve">37 CFR 1.130, 1.131, and 1.132 affidavits or declarations would impact the USPTO’s duty under </w:t>
      </w:r>
      <w:r w:rsidRPr="007C2153">
        <w:rPr>
          <w:rFonts w:ascii="Arial" w:hAnsi="Arial" w:cs="Arial"/>
          <w:sz w:val="24"/>
          <w:szCs w:val="24"/>
        </w:rPr>
        <w:t xml:space="preserve">35 U.S.C. §§ </w:t>
      </w:r>
      <w:r>
        <w:rPr>
          <w:rFonts w:ascii="Arial" w:hAnsi="Arial" w:cs="Arial"/>
          <w:sz w:val="24"/>
          <w:szCs w:val="24"/>
        </w:rPr>
        <w:t>131 and 151 to issue a patent where “it appears that the applicant is entitled to a patent under the law.” Thus, the information in this collection could not be collected less frequently.</w:t>
      </w:r>
    </w:p>
    <w:p w14:paraId="4B697A44" w14:textId="3B6AB7F3" w:rsidR="009A5F9A" w:rsidRDefault="009A5F9A" w:rsidP="009A5F9A">
      <w:pPr>
        <w:jc w:val="both"/>
        <w:rPr>
          <w:rFonts w:ascii="Arial" w:hAnsi="Arial"/>
          <w:sz w:val="24"/>
        </w:rPr>
      </w:pPr>
    </w:p>
    <w:p w14:paraId="4B697A45" w14:textId="77777777" w:rsidR="009A5F9A" w:rsidRDefault="009A5F9A" w:rsidP="009A5F9A">
      <w:pPr>
        <w:jc w:val="both"/>
        <w:rPr>
          <w:rFonts w:ascii="Arial" w:hAnsi="Arial"/>
          <w:b/>
          <w:sz w:val="24"/>
        </w:rPr>
      </w:pPr>
      <w:r w:rsidRPr="00EE2A4F">
        <w:rPr>
          <w:rFonts w:ascii="Arial" w:hAnsi="Arial"/>
          <w:b/>
          <w:sz w:val="24"/>
        </w:rPr>
        <w:t>7.</w:t>
      </w:r>
      <w:r w:rsidRPr="00EE2A4F">
        <w:rPr>
          <w:rFonts w:ascii="Arial" w:hAnsi="Arial"/>
          <w:b/>
          <w:sz w:val="24"/>
        </w:rPr>
        <w:tab/>
        <w:t>Special Circumstances in the Conduct of Information Collection</w:t>
      </w:r>
    </w:p>
    <w:p w14:paraId="4B697A46" w14:textId="77777777" w:rsidR="009A5F9A" w:rsidRDefault="009A5F9A" w:rsidP="009A5F9A">
      <w:pPr>
        <w:jc w:val="both"/>
        <w:rPr>
          <w:rFonts w:ascii="Arial" w:hAnsi="Arial"/>
          <w:sz w:val="24"/>
        </w:rPr>
      </w:pPr>
    </w:p>
    <w:p w14:paraId="4B697A47" w14:textId="77777777" w:rsidR="009A5F9A" w:rsidRDefault="009A5F9A" w:rsidP="009A5F9A">
      <w:pPr>
        <w:jc w:val="both"/>
        <w:rPr>
          <w:rFonts w:ascii="Arial" w:hAnsi="Arial"/>
          <w:sz w:val="24"/>
        </w:rPr>
      </w:pPr>
      <w:r>
        <w:rPr>
          <w:rFonts w:ascii="Arial" w:hAnsi="Arial"/>
          <w:sz w:val="24"/>
        </w:rPr>
        <w:t>There are no special circumstances associated with this collection of information.</w:t>
      </w:r>
    </w:p>
    <w:p w14:paraId="4B697A48" w14:textId="77777777" w:rsidR="009A5F9A" w:rsidRDefault="009A5F9A" w:rsidP="009A5F9A">
      <w:pPr>
        <w:jc w:val="both"/>
        <w:rPr>
          <w:rFonts w:ascii="Arial" w:hAnsi="Arial"/>
          <w:sz w:val="24"/>
        </w:rPr>
      </w:pPr>
    </w:p>
    <w:p w14:paraId="4B697A49" w14:textId="77777777" w:rsidR="009A5F9A" w:rsidRDefault="009A5F9A" w:rsidP="009A5F9A">
      <w:pPr>
        <w:jc w:val="both"/>
        <w:rPr>
          <w:rFonts w:ascii="Arial" w:hAnsi="Arial"/>
          <w:b/>
          <w:sz w:val="24"/>
        </w:rPr>
      </w:pPr>
      <w:r w:rsidRPr="00FA7992">
        <w:rPr>
          <w:rFonts w:ascii="Arial" w:hAnsi="Arial"/>
          <w:b/>
          <w:sz w:val="24"/>
        </w:rPr>
        <w:t>8.</w:t>
      </w:r>
      <w:r w:rsidRPr="00FA7992">
        <w:rPr>
          <w:rFonts w:ascii="Arial" w:hAnsi="Arial"/>
          <w:b/>
          <w:sz w:val="24"/>
        </w:rPr>
        <w:tab/>
        <w:t>Consultation Outside the Agency</w:t>
      </w:r>
    </w:p>
    <w:p w14:paraId="4B697A4A" w14:textId="77777777" w:rsidR="009A5F9A" w:rsidRDefault="009A5F9A" w:rsidP="009A5F9A">
      <w:pPr>
        <w:jc w:val="both"/>
        <w:rPr>
          <w:rFonts w:ascii="Arial" w:hAnsi="Arial"/>
          <w:sz w:val="24"/>
        </w:rPr>
      </w:pPr>
    </w:p>
    <w:p w14:paraId="4B697A4B" w14:textId="081FAD10" w:rsidR="009A5F9A" w:rsidRDefault="009A5F9A" w:rsidP="009A5F9A">
      <w:pPr>
        <w:jc w:val="both"/>
        <w:rPr>
          <w:rFonts w:ascii="Arial" w:hAnsi="Arial" w:cs="Arial"/>
          <w:sz w:val="24"/>
          <w:szCs w:val="24"/>
        </w:rPr>
      </w:pPr>
      <w:bookmarkStart w:id="0" w:name="OLE_LINK2"/>
      <w:r>
        <w:rPr>
          <w:rFonts w:ascii="Arial" w:hAnsi="Arial"/>
          <w:sz w:val="24"/>
        </w:rPr>
        <w:t xml:space="preserve">The </w:t>
      </w:r>
      <w:r w:rsidR="002B3C3B">
        <w:rPr>
          <w:rFonts w:ascii="Arial" w:hAnsi="Arial"/>
          <w:sz w:val="24"/>
        </w:rPr>
        <w:t xml:space="preserve">60-Day Notice was published in the </w:t>
      </w:r>
      <w:r w:rsidR="002B3C3B">
        <w:rPr>
          <w:rFonts w:ascii="Arial" w:hAnsi="Arial"/>
          <w:i/>
          <w:sz w:val="24"/>
        </w:rPr>
        <w:t>Federal Register</w:t>
      </w:r>
      <w:r w:rsidR="009F20FC">
        <w:rPr>
          <w:rFonts w:ascii="Arial" w:hAnsi="Arial"/>
          <w:i/>
          <w:sz w:val="24"/>
        </w:rPr>
        <w:t xml:space="preserve"> </w:t>
      </w:r>
      <w:r w:rsidR="002B3C3B">
        <w:rPr>
          <w:rFonts w:ascii="Arial" w:hAnsi="Arial" w:cs="Arial"/>
          <w:sz w:val="24"/>
          <w:szCs w:val="24"/>
        </w:rPr>
        <w:t>on</w:t>
      </w:r>
      <w:r w:rsidR="009F20FC">
        <w:rPr>
          <w:rFonts w:ascii="Arial" w:hAnsi="Arial" w:cs="Arial"/>
          <w:sz w:val="24"/>
          <w:szCs w:val="24"/>
        </w:rPr>
        <w:t xml:space="preserve"> </w:t>
      </w:r>
      <w:r w:rsidR="008C363B">
        <w:rPr>
          <w:rFonts w:ascii="Arial" w:hAnsi="Arial" w:cs="Arial"/>
          <w:sz w:val="24"/>
          <w:szCs w:val="24"/>
        </w:rPr>
        <w:t>June 9, 2015</w:t>
      </w:r>
      <w:r w:rsidR="00775D1E">
        <w:rPr>
          <w:rFonts w:ascii="Arial" w:hAnsi="Arial" w:cs="Arial"/>
          <w:sz w:val="24"/>
          <w:szCs w:val="24"/>
        </w:rPr>
        <w:t xml:space="preserve"> (</w:t>
      </w:r>
      <w:r w:rsidR="008C363B">
        <w:rPr>
          <w:rFonts w:ascii="Arial" w:hAnsi="Arial" w:cs="Arial"/>
          <w:sz w:val="24"/>
          <w:szCs w:val="24"/>
        </w:rPr>
        <w:t>80 Fed. Reg. 32539</w:t>
      </w:r>
      <w:r w:rsidR="00775D1E">
        <w:rPr>
          <w:rFonts w:ascii="Arial" w:hAnsi="Arial" w:cs="Arial"/>
          <w:sz w:val="24"/>
          <w:szCs w:val="24"/>
        </w:rPr>
        <w:t>)</w:t>
      </w:r>
      <w:r w:rsidR="002B3C3B">
        <w:rPr>
          <w:rFonts w:ascii="Arial" w:hAnsi="Arial" w:cs="Arial"/>
          <w:sz w:val="24"/>
          <w:szCs w:val="24"/>
        </w:rPr>
        <w:t>. The comment period ended August 10, 2015. No public comments were received.</w:t>
      </w:r>
    </w:p>
    <w:p w14:paraId="4B697A4E" w14:textId="77777777" w:rsidR="009A5F9A" w:rsidRPr="006F16E8" w:rsidRDefault="009A5F9A" w:rsidP="009A5F9A">
      <w:pPr>
        <w:jc w:val="both"/>
        <w:rPr>
          <w:rFonts w:ascii="Arial" w:hAnsi="Arial"/>
          <w:sz w:val="24"/>
        </w:rPr>
      </w:pPr>
    </w:p>
    <w:p w14:paraId="4B697A50" w14:textId="09104FF9" w:rsidR="009A5F9A" w:rsidRDefault="00ED01C1" w:rsidP="009A5F9A">
      <w:pPr>
        <w:jc w:val="both"/>
        <w:rPr>
          <w:rFonts w:ascii="Arial" w:hAnsi="Arial"/>
          <w:sz w:val="24"/>
        </w:rPr>
      </w:pPr>
      <w:r w:rsidRPr="00ED01C1">
        <w:rPr>
          <w:rFonts w:ascii="Arial" w:hAnsi="Arial"/>
          <w:sz w:val="24"/>
        </w:rPr>
        <w:t>The USPTO has long-standing relationships with groups from whom patent application data is collected, such as the American Intellectual Property Law Association (AIPLA), as well as patent bar associations, inventor groups, and users of our public facilities. Views expressed by these groups are considered in developing proposals for information collection requirements and during the renewal of an information collection. No views have been expressed regarding the present renewal.</w:t>
      </w:r>
    </w:p>
    <w:p w14:paraId="7979067B" w14:textId="77777777" w:rsidR="009F20FC" w:rsidRDefault="009F20FC" w:rsidP="009A5F9A">
      <w:pPr>
        <w:jc w:val="both"/>
        <w:rPr>
          <w:rFonts w:ascii="Arial" w:hAnsi="Arial"/>
          <w:sz w:val="24"/>
        </w:rPr>
      </w:pPr>
    </w:p>
    <w:bookmarkEnd w:id="0"/>
    <w:p w14:paraId="4B697A51" w14:textId="77777777" w:rsidR="009A5F9A" w:rsidRDefault="009A5F9A" w:rsidP="009A5F9A">
      <w:pPr>
        <w:jc w:val="both"/>
        <w:rPr>
          <w:rFonts w:ascii="Arial" w:hAnsi="Arial"/>
          <w:b/>
          <w:sz w:val="24"/>
        </w:rPr>
      </w:pPr>
      <w:r w:rsidRPr="00FA7992">
        <w:rPr>
          <w:rFonts w:ascii="Arial" w:hAnsi="Arial"/>
          <w:b/>
          <w:sz w:val="24"/>
        </w:rPr>
        <w:t>9.</w:t>
      </w:r>
      <w:r w:rsidRPr="00FA7992">
        <w:rPr>
          <w:rFonts w:ascii="Arial" w:hAnsi="Arial"/>
          <w:b/>
          <w:sz w:val="24"/>
        </w:rPr>
        <w:tab/>
        <w:t>Payment or Gifts to Respondents</w:t>
      </w:r>
    </w:p>
    <w:p w14:paraId="4B697A52" w14:textId="77777777" w:rsidR="009A5F9A" w:rsidRDefault="009A5F9A" w:rsidP="009A5F9A">
      <w:pPr>
        <w:jc w:val="both"/>
        <w:rPr>
          <w:rFonts w:ascii="Arial" w:hAnsi="Arial"/>
          <w:sz w:val="24"/>
        </w:rPr>
      </w:pPr>
    </w:p>
    <w:p w14:paraId="4B697A53" w14:textId="6582AFCF" w:rsidR="009A5F9A" w:rsidRDefault="009A5F9A" w:rsidP="009A5F9A">
      <w:pPr>
        <w:jc w:val="both"/>
        <w:rPr>
          <w:rFonts w:ascii="Arial" w:hAnsi="Arial"/>
          <w:sz w:val="24"/>
        </w:rPr>
      </w:pPr>
      <w:r>
        <w:rPr>
          <w:rFonts w:ascii="Arial" w:hAnsi="Arial"/>
          <w:sz w:val="24"/>
        </w:rPr>
        <w:t>This information collection does not involve a paym</w:t>
      </w:r>
      <w:r w:rsidR="002E6501">
        <w:rPr>
          <w:rFonts w:ascii="Arial" w:hAnsi="Arial"/>
          <w:sz w:val="24"/>
        </w:rPr>
        <w:t>ent or gift to any respondent.</w:t>
      </w:r>
    </w:p>
    <w:p w14:paraId="4B697A54" w14:textId="77777777" w:rsidR="009A5F9A" w:rsidRDefault="009A5F9A" w:rsidP="009A5F9A">
      <w:pPr>
        <w:jc w:val="both"/>
        <w:rPr>
          <w:rFonts w:ascii="Arial" w:hAnsi="Arial"/>
          <w:sz w:val="24"/>
        </w:rPr>
      </w:pPr>
    </w:p>
    <w:p w14:paraId="4B697A55" w14:textId="77777777" w:rsidR="009A5F9A" w:rsidRDefault="009A5F9A" w:rsidP="009A5F9A">
      <w:pPr>
        <w:jc w:val="both"/>
        <w:rPr>
          <w:rFonts w:ascii="Arial" w:hAnsi="Arial"/>
          <w:b/>
          <w:sz w:val="24"/>
        </w:rPr>
      </w:pPr>
      <w:r w:rsidRPr="00FE2AC3">
        <w:rPr>
          <w:rFonts w:ascii="Arial" w:hAnsi="Arial"/>
          <w:b/>
          <w:sz w:val="24"/>
        </w:rPr>
        <w:t>10.</w:t>
      </w:r>
      <w:r w:rsidRPr="00FE2AC3">
        <w:rPr>
          <w:rFonts w:ascii="Arial" w:hAnsi="Arial"/>
          <w:b/>
          <w:sz w:val="24"/>
        </w:rPr>
        <w:tab/>
        <w:t>Assurance of Confidentiality</w:t>
      </w:r>
    </w:p>
    <w:p w14:paraId="4B697A56" w14:textId="77777777" w:rsidR="009A5F9A" w:rsidRDefault="009A5F9A" w:rsidP="009A5F9A">
      <w:pPr>
        <w:jc w:val="both"/>
        <w:rPr>
          <w:rFonts w:ascii="Arial" w:hAnsi="Arial"/>
          <w:sz w:val="24"/>
        </w:rPr>
      </w:pPr>
    </w:p>
    <w:p w14:paraId="4B697A57" w14:textId="409590E3" w:rsidR="009A5F9A" w:rsidRDefault="009A5F9A" w:rsidP="009A5F9A">
      <w:pPr>
        <w:jc w:val="both"/>
        <w:rPr>
          <w:rFonts w:ascii="Arial" w:hAnsi="Arial"/>
          <w:sz w:val="24"/>
        </w:rPr>
      </w:pPr>
      <w:r>
        <w:rPr>
          <w:rFonts w:ascii="Arial" w:hAnsi="Arial"/>
          <w:sz w:val="24"/>
        </w:rPr>
        <w:t>Confidentiality of patent applications is governed by statute (35 U.S.C. § 122) and reg</w:t>
      </w:r>
      <w:r w:rsidR="002E6501">
        <w:rPr>
          <w:rFonts w:ascii="Arial" w:hAnsi="Arial"/>
          <w:sz w:val="24"/>
        </w:rPr>
        <w:t>ulation (37 CFR 1.11 and 1.14).</w:t>
      </w:r>
      <w:r>
        <w:rPr>
          <w:rFonts w:ascii="Arial" w:hAnsi="Arial"/>
          <w:sz w:val="24"/>
        </w:rPr>
        <w:t xml:space="preserve"> Upon publication of an application or issuance of a patent, the entire patent application file is made available to the public (subject to provisions for providing only a redacted copy of the file contents). Therefore, the information collected by this collection will necessarily be available to the public when it is filed in a published application or issued patent, or, if it is filed in an application that has yet to publish or issue as a patent, when the application publishes or issues as a patent.</w:t>
      </w:r>
    </w:p>
    <w:p w14:paraId="4B697A58" w14:textId="77777777" w:rsidR="009A5F9A" w:rsidRDefault="009A5F9A" w:rsidP="009A5F9A">
      <w:pPr>
        <w:jc w:val="both"/>
        <w:rPr>
          <w:rFonts w:ascii="Arial" w:hAnsi="Arial"/>
          <w:sz w:val="24"/>
        </w:rPr>
      </w:pPr>
    </w:p>
    <w:p w14:paraId="4B697A59" w14:textId="77777777" w:rsidR="009A5F9A" w:rsidRDefault="009A5F9A" w:rsidP="009A5F9A">
      <w:pPr>
        <w:keepNext/>
        <w:keepLines/>
        <w:jc w:val="both"/>
        <w:rPr>
          <w:rFonts w:ascii="Arial" w:hAnsi="Arial"/>
          <w:b/>
          <w:sz w:val="24"/>
        </w:rPr>
      </w:pPr>
      <w:r w:rsidRPr="00EE0C9F">
        <w:rPr>
          <w:rFonts w:ascii="Arial" w:hAnsi="Arial"/>
          <w:b/>
          <w:sz w:val="24"/>
        </w:rPr>
        <w:lastRenderedPageBreak/>
        <w:t>11.</w:t>
      </w:r>
      <w:r w:rsidRPr="00EE0C9F">
        <w:rPr>
          <w:rFonts w:ascii="Arial" w:hAnsi="Arial"/>
          <w:b/>
          <w:sz w:val="24"/>
        </w:rPr>
        <w:tab/>
        <w:t>Justification for Sensitive Questions</w:t>
      </w:r>
    </w:p>
    <w:p w14:paraId="4B697A5A" w14:textId="77777777" w:rsidR="009A5F9A" w:rsidRDefault="009A5F9A" w:rsidP="009A5F9A">
      <w:pPr>
        <w:keepNext/>
        <w:keepLines/>
        <w:jc w:val="both"/>
        <w:rPr>
          <w:rFonts w:ascii="Arial" w:hAnsi="Arial"/>
          <w:sz w:val="24"/>
        </w:rPr>
      </w:pPr>
    </w:p>
    <w:p w14:paraId="4B697A5B" w14:textId="77777777" w:rsidR="009A5F9A" w:rsidRDefault="009A5F9A" w:rsidP="009A5F9A">
      <w:pPr>
        <w:pStyle w:val="BodyText2"/>
        <w:keepNext/>
        <w:keepLines/>
      </w:pPr>
      <w:r>
        <w:t>None of the required information is considered to be sensitive.</w:t>
      </w:r>
    </w:p>
    <w:p w14:paraId="4B697A5C" w14:textId="77777777" w:rsidR="009A5F9A" w:rsidRDefault="009A5F9A" w:rsidP="009A5F9A">
      <w:pPr>
        <w:jc w:val="both"/>
        <w:rPr>
          <w:rFonts w:ascii="Arial" w:hAnsi="Arial"/>
          <w:sz w:val="24"/>
        </w:rPr>
      </w:pPr>
    </w:p>
    <w:p w14:paraId="4B697A5D" w14:textId="77777777" w:rsidR="009A5F9A" w:rsidRDefault="009A5F9A" w:rsidP="009A5F9A">
      <w:pPr>
        <w:jc w:val="both"/>
        <w:rPr>
          <w:rFonts w:ascii="Arial" w:hAnsi="Arial"/>
          <w:b/>
          <w:sz w:val="24"/>
        </w:rPr>
      </w:pPr>
      <w:r w:rsidRPr="00F7269B">
        <w:rPr>
          <w:rFonts w:ascii="Arial" w:hAnsi="Arial"/>
          <w:b/>
          <w:sz w:val="24"/>
        </w:rPr>
        <w:t>12.</w:t>
      </w:r>
      <w:r w:rsidRPr="00F7269B">
        <w:rPr>
          <w:rFonts w:ascii="Arial" w:hAnsi="Arial"/>
          <w:b/>
          <w:sz w:val="24"/>
        </w:rPr>
        <w:tab/>
        <w:t>Estimate of Hour and Cost Burden to Respondents</w:t>
      </w:r>
    </w:p>
    <w:p w14:paraId="4B697A5E" w14:textId="77777777" w:rsidR="009A5F9A" w:rsidRDefault="009A5F9A" w:rsidP="009A5F9A">
      <w:pPr>
        <w:jc w:val="both"/>
        <w:rPr>
          <w:rFonts w:ascii="Arial" w:hAnsi="Arial"/>
          <w:sz w:val="24"/>
        </w:rPr>
      </w:pPr>
    </w:p>
    <w:p w14:paraId="4B697A5F" w14:textId="2E79249E" w:rsidR="009A5F9A" w:rsidRDefault="00B80737" w:rsidP="009A5F9A">
      <w:pPr>
        <w:pStyle w:val="BodyText2"/>
      </w:pPr>
      <w:r>
        <w:t>Table 3</w:t>
      </w:r>
      <w:r w:rsidR="009A5F9A">
        <w:t xml:space="preserve"> calculates the burden hours and costs of this information collection to the public, based on the following factors:</w:t>
      </w:r>
    </w:p>
    <w:p w14:paraId="4B697A60" w14:textId="77777777" w:rsidR="009A5F9A" w:rsidRDefault="009A5F9A" w:rsidP="009A5F9A">
      <w:pPr>
        <w:jc w:val="both"/>
        <w:rPr>
          <w:rFonts w:ascii="Arial" w:hAnsi="Arial"/>
        </w:rPr>
      </w:pPr>
    </w:p>
    <w:p w14:paraId="4B697A61" w14:textId="77777777" w:rsidR="009A5F9A" w:rsidRDefault="009A5F9A" w:rsidP="009A5F9A">
      <w:pPr>
        <w:numPr>
          <w:ilvl w:val="0"/>
          <w:numId w:val="2"/>
        </w:numPr>
        <w:tabs>
          <w:tab w:val="clear" w:pos="360"/>
          <w:tab w:val="num" w:pos="720"/>
        </w:tabs>
        <w:ind w:left="720" w:hanging="720"/>
        <w:jc w:val="both"/>
        <w:rPr>
          <w:rFonts w:ascii="Arial" w:hAnsi="Arial"/>
          <w:b/>
          <w:sz w:val="22"/>
        </w:rPr>
      </w:pPr>
      <w:r>
        <w:rPr>
          <w:rFonts w:ascii="Arial" w:hAnsi="Arial"/>
          <w:b/>
          <w:sz w:val="22"/>
        </w:rPr>
        <w:t>Respondent Calculation Factors</w:t>
      </w:r>
    </w:p>
    <w:p w14:paraId="4B697A62" w14:textId="7F67FD97" w:rsidR="009A5F9A" w:rsidRDefault="009A5F9A" w:rsidP="009A5F9A">
      <w:pPr>
        <w:pStyle w:val="BodyTextIndent"/>
        <w:rPr>
          <w:sz w:val="22"/>
        </w:rPr>
      </w:pPr>
      <w:r>
        <w:rPr>
          <w:sz w:val="22"/>
        </w:rPr>
        <w:t xml:space="preserve">The USPTO estimates that it will receive a total of approximately </w:t>
      </w:r>
      <w:r w:rsidR="00B80737">
        <w:rPr>
          <w:sz w:val="22"/>
        </w:rPr>
        <w:t>50,150</w:t>
      </w:r>
      <w:r>
        <w:rPr>
          <w:sz w:val="22"/>
        </w:rPr>
        <w:t xml:space="preserve"> responses per year for this collection, of which approximately </w:t>
      </w:r>
      <w:r w:rsidR="00B80737">
        <w:rPr>
          <w:sz w:val="22"/>
        </w:rPr>
        <w:t>12,538</w:t>
      </w:r>
      <w:r>
        <w:rPr>
          <w:sz w:val="22"/>
        </w:rPr>
        <w:t xml:space="preserve"> will be filed by small entities. The USPTO estimates that approximately </w:t>
      </w:r>
      <w:r w:rsidR="00B80737">
        <w:rPr>
          <w:sz w:val="22"/>
        </w:rPr>
        <w:t>48,646</w:t>
      </w:r>
      <w:r>
        <w:rPr>
          <w:sz w:val="22"/>
        </w:rPr>
        <w:t xml:space="preserve"> of the responses for this collection will be submitted electronically.</w:t>
      </w:r>
    </w:p>
    <w:p w14:paraId="4B697A63" w14:textId="77777777" w:rsidR="009A5F9A" w:rsidRDefault="009A5F9A" w:rsidP="009A5F9A">
      <w:pPr>
        <w:pStyle w:val="BodyTextIndent"/>
        <w:rPr>
          <w:sz w:val="22"/>
        </w:rPr>
      </w:pPr>
    </w:p>
    <w:p w14:paraId="4B697A64" w14:textId="0BE142D5" w:rsidR="009A5F9A" w:rsidRDefault="009A5F9A" w:rsidP="009A5F9A">
      <w:pPr>
        <w:pStyle w:val="BodyTextIndent"/>
        <w:rPr>
          <w:sz w:val="22"/>
        </w:rPr>
      </w:pPr>
      <w:r>
        <w:rPr>
          <w:sz w:val="22"/>
        </w:rPr>
        <w:t>These estimates are based on the Agency’s long-standing institutional knowledge of and experience with the type of informa</w:t>
      </w:r>
      <w:r w:rsidR="00A5073B">
        <w:rPr>
          <w:sz w:val="22"/>
        </w:rPr>
        <w:t>tion collected by these items.</w:t>
      </w:r>
    </w:p>
    <w:p w14:paraId="4B697A65" w14:textId="77777777" w:rsidR="009A5F9A" w:rsidRDefault="009A5F9A" w:rsidP="009A5F9A">
      <w:pPr>
        <w:jc w:val="both"/>
        <w:rPr>
          <w:rFonts w:ascii="Arial" w:hAnsi="Arial"/>
          <w:b/>
          <w:sz w:val="22"/>
        </w:rPr>
      </w:pPr>
    </w:p>
    <w:p w14:paraId="4B697A66" w14:textId="77777777" w:rsidR="009A5F9A" w:rsidRDefault="009A5F9A" w:rsidP="009A5F9A">
      <w:pPr>
        <w:numPr>
          <w:ilvl w:val="0"/>
          <w:numId w:val="4"/>
        </w:numPr>
        <w:tabs>
          <w:tab w:val="clear" w:pos="360"/>
        </w:tabs>
        <w:ind w:left="0" w:firstLine="0"/>
        <w:jc w:val="both"/>
        <w:rPr>
          <w:rFonts w:ascii="Arial" w:hAnsi="Arial"/>
          <w:b/>
          <w:sz w:val="22"/>
        </w:rPr>
      </w:pPr>
      <w:r>
        <w:rPr>
          <w:rFonts w:ascii="Arial" w:hAnsi="Arial"/>
          <w:b/>
          <w:sz w:val="22"/>
        </w:rPr>
        <w:t>Burden Hour Calculation Factors</w:t>
      </w:r>
    </w:p>
    <w:p w14:paraId="4B697A67" w14:textId="04D9BAF9" w:rsidR="009A5F9A" w:rsidRDefault="009A5F9A" w:rsidP="009A5F9A">
      <w:pPr>
        <w:pStyle w:val="BodyTextIndent2"/>
      </w:pPr>
      <w:r>
        <w:t xml:space="preserve">The USPTO estimates that the responses in this collection will take the public </w:t>
      </w:r>
      <w:r w:rsidR="008E3160">
        <w:t xml:space="preserve">between </w:t>
      </w:r>
      <w:r>
        <w:t xml:space="preserve">2 </w:t>
      </w:r>
      <w:r w:rsidR="008E3160">
        <w:t xml:space="preserve">and </w:t>
      </w:r>
      <w:r>
        <w:t>10 hours to complete. This includes the time to gather the necessary information, create the document, and submit the completed request to the USPTO. Specifically, the USPTO estimates that: (1) preparing an affidavit or declaration under 37 CFR 1.130, 1.131, or 1.132 will require, on average, 10 hours; (2) identifying under 37 CFR 1.55(</w:t>
      </w:r>
      <w:r w:rsidR="00A5073B">
        <w:t>k</w:t>
      </w:r>
      <w:r>
        <w:t>), 1.78(a)(</w:t>
      </w:r>
      <w:r w:rsidR="00A5073B">
        <w:t>6</w:t>
      </w:r>
      <w:r>
        <w:t>), or 1.78(</w:t>
      </w:r>
      <w:r w:rsidR="00A5073B">
        <w:t>d</w:t>
      </w:r>
      <w:r>
        <w:t>)(</w:t>
      </w:r>
      <w:r w:rsidR="00A5073B">
        <w:t>6</w:t>
      </w:r>
      <w:r>
        <w:t xml:space="preserve">) whether there is any claim or subject matter not disclosed in the prior foreign, provisional, or nonprovisional application will require, on average, 2 hours; and (3) identifying under 37 CFR 1.110 inventorship and ownership </w:t>
      </w:r>
      <w:r w:rsidR="00A5073B">
        <w:t xml:space="preserve">or obligation to assign ownership </w:t>
      </w:r>
      <w:r>
        <w:t xml:space="preserve">of the subject matter of claims will require, on average, 2 hours. The USPTO calculates that, on balance, it takes the same amount of time to gather the necessary information, create the document, and submit it to the USPTO, whether the applicant submits the information in </w:t>
      </w:r>
      <w:r w:rsidR="00A5073B">
        <w:t>paper form or electronically.</w:t>
      </w:r>
    </w:p>
    <w:p w14:paraId="4B697A68" w14:textId="77777777" w:rsidR="009A5F9A" w:rsidRDefault="009A5F9A" w:rsidP="009A5F9A">
      <w:pPr>
        <w:pStyle w:val="BodyTextIndent2"/>
      </w:pPr>
    </w:p>
    <w:p w14:paraId="4B697A69" w14:textId="77777777" w:rsidR="009A5F9A" w:rsidRDefault="009A5F9A" w:rsidP="009A5F9A">
      <w:pPr>
        <w:pStyle w:val="BodyTextIndent2"/>
      </w:pPr>
      <w:r>
        <w:t>These estimates are based on the Agency’s long-standing institutional knowledge of and experience with the type of information collected and the length of time necessary to complete responses containing similar or like information.</w:t>
      </w:r>
    </w:p>
    <w:p w14:paraId="4B697A6A" w14:textId="77777777" w:rsidR="009A5F9A" w:rsidRDefault="009A5F9A" w:rsidP="009A5F9A">
      <w:pPr>
        <w:pStyle w:val="BodyTextIndent2"/>
      </w:pPr>
    </w:p>
    <w:p w14:paraId="4B697A6B" w14:textId="77777777" w:rsidR="009A5F9A" w:rsidRDefault="009A5F9A" w:rsidP="009A5F9A">
      <w:pPr>
        <w:numPr>
          <w:ilvl w:val="0"/>
          <w:numId w:val="3"/>
        </w:numPr>
        <w:ind w:hanging="720"/>
        <w:jc w:val="both"/>
        <w:rPr>
          <w:rFonts w:ascii="Arial" w:hAnsi="Arial"/>
          <w:sz w:val="22"/>
        </w:rPr>
      </w:pPr>
      <w:r>
        <w:rPr>
          <w:rFonts w:ascii="Arial" w:hAnsi="Arial"/>
          <w:b/>
          <w:sz w:val="22"/>
        </w:rPr>
        <w:t>Cost Burden Calculation Factors</w:t>
      </w:r>
    </w:p>
    <w:p w14:paraId="4B697A6C" w14:textId="5F8609F8" w:rsidR="009A5F9A" w:rsidRPr="0052655F" w:rsidRDefault="009A5F9A" w:rsidP="009A5F9A">
      <w:pPr>
        <w:pStyle w:val="BodyTextIndent"/>
        <w:rPr>
          <w:b/>
          <w:sz w:val="22"/>
          <w:szCs w:val="22"/>
          <w:highlight w:val="yellow"/>
        </w:rPr>
      </w:pPr>
      <w:r w:rsidRPr="00B77C9C">
        <w:rPr>
          <w:sz w:val="22"/>
          <w:szCs w:val="22"/>
        </w:rPr>
        <w:t>The USPTO</w:t>
      </w:r>
      <w:r>
        <w:rPr>
          <w:sz w:val="22"/>
          <w:szCs w:val="22"/>
        </w:rPr>
        <w:t xml:space="preserve"> uses a professional rate of $</w:t>
      </w:r>
      <w:r w:rsidR="00A5073B">
        <w:rPr>
          <w:sz w:val="22"/>
          <w:szCs w:val="22"/>
        </w:rPr>
        <w:t xml:space="preserve">410 </w:t>
      </w:r>
      <w:r>
        <w:rPr>
          <w:sz w:val="22"/>
          <w:szCs w:val="22"/>
        </w:rPr>
        <w:t xml:space="preserve">per hour for respondent cost burden calculations, which is the mean rate for attorneys in private firms as shown in the </w:t>
      </w:r>
      <w:r w:rsidRPr="00B77C9C">
        <w:rPr>
          <w:i/>
          <w:sz w:val="22"/>
          <w:szCs w:val="22"/>
        </w:rPr>
        <w:t>201</w:t>
      </w:r>
      <w:r w:rsidR="00A5073B">
        <w:rPr>
          <w:i/>
          <w:sz w:val="22"/>
          <w:szCs w:val="22"/>
        </w:rPr>
        <w:t>5</w:t>
      </w:r>
      <w:r w:rsidRPr="00B77C9C">
        <w:rPr>
          <w:i/>
          <w:sz w:val="22"/>
          <w:szCs w:val="22"/>
        </w:rPr>
        <w:t xml:space="preserve"> Report of the Economic Survey</w:t>
      </w:r>
      <w:r w:rsidRPr="00B77C9C">
        <w:rPr>
          <w:sz w:val="22"/>
          <w:szCs w:val="22"/>
        </w:rPr>
        <w:t xml:space="preserve">, published by the Committee on Economics of Legal Practice of the American Intellectual Property Law Association (AIPLA). </w:t>
      </w:r>
      <w:r w:rsidRPr="0052655F">
        <w:rPr>
          <w:sz w:val="22"/>
          <w:szCs w:val="22"/>
        </w:rPr>
        <w:t>Based on the Agency’s long-standing institutional knowledge of and experience with the type of information collected, the Agency believes $</w:t>
      </w:r>
      <w:r w:rsidR="00A5073B">
        <w:rPr>
          <w:sz w:val="22"/>
          <w:szCs w:val="22"/>
        </w:rPr>
        <w:t xml:space="preserve">410 </w:t>
      </w:r>
      <w:r w:rsidRPr="0052655F">
        <w:rPr>
          <w:sz w:val="22"/>
          <w:szCs w:val="22"/>
        </w:rPr>
        <w:t>is an accurate estimate of the cost per hour to collect this information.</w:t>
      </w:r>
    </w:p>
    <w:p w14:paraId="4B697A6D" w14:textId="77777777" w:rsidR="009A5F9A" w:rsidRDefault="009A5F9A" w:rsidP="009A5F9A">
      <w:pPr>
        <w:pStyle w:val="BodyTextIndent"/>
        <w:rPr>
          <w:sz w:val="22"/>
          <w:highlight w:val="yellow"/>
        </w:rPr>
      </w:pPr>
    </w:p>
    <w:p w14:paraId="4B697A6E" w14:textId="5608D910" w:rsidR="009A5F9A" w:rsidRDefault="00B80737" w:rsidP="009A5F9A">
      <w:pPr>
        <w:pStyle w:val="BodyText"/>
      </w:pPr>
      <w:r>
        <w:t>Table 3</w:t>
      </w:r>
      <w:r w:rsidR="009A5F9A">
        <w:t>:  Burden Hour/Burden Cost to Respondents for Matters Related to First Inventor to File</w:t>
      </w:r>
    </w:p>
    <w:tbl>
      <w:tblPr>
        <w:tblStyle w:val="TableGrid"/>
        <w:tblW w:w="5000" w:type="pct"/>
        <w:tblCellMar>
          <w:top w:w="115" w:type="dxa"/>
          <w:left w:w="115" w:type="dxa"/>
          <w:bottom w:w="115" w:type="dxa"/>
          <w:right w:w="115" w:type="dxa"/>
        </w:tblCellMar>
        <w:tblLook w:val="04A0" w:firstRow="1" w:lastRow="0" w:firstColumn="1" w:lastColumn="0" w:noHBand="0" w:noVBand="1"/>
      </w:tblPr>
      <w:tblGrid>
        <w:gridCol w:w="835"/>
        <w:gridCol w:w="2790"/>
        <w:gridCol w:w="1350"/>
        <w:gridCol w:w="1084"/>
        <w:gridCol w:w="1290"/>
        <w:gridCol w:w="809"/>
        <w:gridCol w:w="1432"/>
      </w:tblGrid>
      <w:tr w:rsidR="00BD3E6B" w:rsidRPr="00B80737" w14:paraId="09BA7E97" w14:textId="62933C8A" w:rsidTr="006133AB">
        <w:trPr>
          <w:cantSplit/>
          <w:tblHeader/>
        </w:trPr>
        <w:tc>
          <w:tcPr>
            <w:tcW w:w="420" w:type="pct"/>
            <w:vAlign w:val="center"/>
          </w:tcPr>
          <w:p w14:paraId="46E310DD" w14:textId="77777777" w:rsidR="00B80737" w:rsidRPr="00B80737" w:rsidRDefault="00B80737" w:rsidP="007571CE">
            <w:pPr>
              <w:spacing w:after="120"/>
              <w:contextualSpacing/>
              <w:jc w:val="center"/>
              <w:rPr>
                <w:rFonts w:ascii="Arial" w:hAnsi="Arial" w:cs="Arial"/>
                <w:b/>
                <w:bCs/>
                <w:sz w:val="16"/>
                <w:szCs w:val="16"/>
              </w:rPr>
            </w:pPr>
            <w:r w:rsidRPr="00B80737">
              <w:rPr>
                <w:rFonts w:ascii="Arial" w:hAnsi="Arial" w:cs="Arial"/>
                <w:b/>
                <w:bCs/>
                <w:sz w:val="16"/>
                <w:szCs w:val="16"/>
              </w:rPr>
              <w:lastRenderedPageBreak/>
              <w:t>IC Number</w:t>
            </w:r>
          </w:p>
        </w:tc>
        <w:tc>
          <w:tcPr>
            <w:tcW w:w="1401" w:type="pct"/>
            <w:vAlign w:val="center"/>
          </w:tcPr>
          <w:p w14:paraId="100AC043" w14:textId="77777777" w:rsidR="00B80737" w:rsidRPr="00B80737" w:rsidRDefault="00B80737" w:rsidP="007571CE">
            <w:pPr>
              <w:spacing w:after="120"/>
              <w:contextualSpacing/>
              <w:jc w:val="center"/>
              <w:rPr>
                <w:rFonts w:ascii="Arial" w:hAnsi="Arial" w:cs="Arial"/>
                <w:b/>
                <w:bCs/>
                <w:sz w:val="16"/>
                <w:szCs w:val="16"/>
              </w:rPr>
            </w:pPr>
            <w:r w:rsidRPr="00B80737">
              <w:rPr>
                <w:rFonts w:ascii="Arial" w:hAnsi="Arial" w:cs="Arial"/>
                <w:b/>
                <w:bCs/>
                <w:sz w:val="16"/>
                <w:szCs w:val="16"/>
              </w:rPr>
              <w:t>Information Collection Instrument</w:t>
            </w:r>
          </w:p>
        </w:tc>
        <w:tc>
          <w:tcPr>
            <w:tcW w:w="686" w:type="pct"/>
            <w:vAlign w:val="center"/>
          </w:tcPr>
          <w:p w14:paraId="077E72E1" w14:textId="13E3D869" w:rsidR="00B80737" w:rsidRPr="00B80737" w:rsidRDefault="00B80737" w:rsidP="007571CE">
            <w:pPr>
              <w:spacing w:after="120"/>
              <w:contextualSpacing/>
              <w:jc w:val="center"/>
              <w:rPr>
                <w:rFonts w:ascii="Arial" w:hAnsi="Arial" w:cs="Arial"/>
                <w:b/>
                <w:bCs/>
                <w:sz w:val="16"/>
                <w:szCs w:val="16"/>
              </w:rPr>
            </w:pPr>
            <w:r w:rsidRPr="00B80737">
              <w:rPr>
                <w:rFonts w:ascii="Arial" w:hAnsi="Arial" w:cs="Arial"/>
                <w:b/>
                <w:bCs/>
                <w:sz w:val="16"/>
                <w:szCs w:val="16"/>
              </w:rPr>
              <w:t>Estimated time for response (</w:t>
            </w:r>
            <w:r w:rsidR="008E3160">
              <w:rPr>
                <w:rFonts w:ascii="Arial" w:hAnsi="Arial" w:cs="Arial"/>
                <w:b/>
                <w:bCs/>
                <w:sz w:val="16"/>
                <w:szCs w:val="16"/>
              </w:rPr>
              <w:t>hours</w:t>
            </w:r>
            <w:r w:rsidRPr="00B80737">
              <w:rPr>
                <w:rFonts w:ascii="Arial" w:hAnsi="Arial" w:cs="Arial"/>
                <w:b/>
                <w:bCs/>
                <w:sz w:val="16"/>
                <w:szCs w:val="16"/>
              </w:rPr>
              <w:t>)</w:t>
            </w:r>
          </w:p>
          <w:p w14:paraId="1909DF7B" w14:textId="77777777" w:rsidR="00B80737" w:rsidRPr="00B80737" w:rsidRDefault="00B80737" w:rsidP="007571CE">
            <w:pPr>
              <w:spacing w:after="120"/>
              <w:contextualSpacing/>
              <w:jc w:val="center"/>
              <w:rPr>
                <w:rFonts w:ascii="Arial" w:hAnsi="Arial" w:cs="Arial"/>
                <w:b/>
                <w:bCs/>
                <w:sz w:val="16"/>
                <w:szCs w:val="16"/>
              </w:rPr>
            </w:pPr>
            <w:r w:rsidRPr="00B80737">
              <w:rPr>
                <w:rFonts w:ascii="Arial" w:hAnsi="Arial" w:cs="Arial"/>
                <w:b/>
                <w:bCs/>
                <w:sz w:val="16"/>
                <w:szCs w:val="16"/>
              </w:rPr>
              <w:t>(a)</w:t>
            </w:r>
          </w:p>
        </w:tc>
        <w:tc>
          <w:tcPr>
            <w:tcW w:w="569" w:type="pct"/>
            <w:vAlign w:val="center"/>
          </w:tcPr>
          <w:p w14:paraId="2ACF3EF0" w14:textId="77777777" w:rsidR="00B80737" w:rsidRPr="00B80737" w:rsidRDefault="00B80737" w:rsidP="007571CE">
            <w:pPr>
              <w:spacing w:after="120"/>
              <w:contextualSpacing/>
              <w:jc w:val="center"/>
              <w:rPr>
                <w:rFonts w:ascii="Arial" w:hAnsi="Arial" w:cs="Arial"/>
                <w:b/>
                <w:bCs/>
                <w:sz w:val="16"/>
                <w:szCs w:val="16"/>
              </w:rPr>
            </w:pPr>
            <w:r w:rsidRPr="00B80737">
              <w:rPr>
                <w:rFonts w:ascii="Arial" w:hAnsi="Arial" w:cs="Arial"/>
                <w:b/>
                <w:bCs/>
                <w:sz w:val="16"/>
                <w:szCs w:val="16"/>
              </w:rPr>
              <w:t>Estimated Annual Responses</w:t>
            </w:r>
          </w:p>
          <w:p w14:paraId="6BAE3B13" w14:textId="77777777" w:rsidR="00B80737" w:rsidRPr="00B80737" w:rsidRDefault="00B80737" w:rsidP="007571CE">
            <w:pPr>
              <w:spacing w:after="120"/>
              <w:contextualSpacing/>
              <w:jc w:val="center"/>
              <w:rPr>
                <w:rFonts w:ascii="Arial" w:hAnsi="Arial" w:cs="Arial"/>
                <w:b/>
                <w:bCs/>
                <w:sz w:val="16"/>
                <w:szCs w:val="16"/>
              </w:rPr>
            </w:pPr>
            <w:r w:rsidRPr="00B80737">
              <w:rPr>
                <w:rFonts w:ascii="Arial" w:hAnsi="Arial" w:cs="Arial"/>
                <w:b/>
                <w:bCs/>
                <w:sz w:val="16"/>
                <w:szCs w:val="16"/>
              </w:rPr>
              <w:t>(b)</w:t>
            </w:r>
          </w:p>
        </w:tc>
        <w:tc>
          <w:tcPr>
            <w:tcW w:w="788" w:type="pct"/>
            <w:vAlign w:val="center"/>
          </w:tcPr>
          <w:p w14:paraId="161D4975" w14:textId="77777777" w:rsidR="00B80737" w:rsidRDefault="00B80737" w:rsidP="007571CE">
            <w:pPr>
              <w:spacing w:after="120"/>
              <w:contextualSpacing/>
              <w:jc w:val="center"/>
              <w:rPr>
                <w:rFonts w:ascii="Arial" w:hAnsi="Arial" w:cs="Arial"/>
                <w:b/>
                <w:bCs/>
                <w:sz w:val="16"/>
                <w:szCs w:val="16"/>
              </w:rPr>
            </w:pPr>
            <w:r w:rsidRPr="00B80737">
              <w:rPr>
                <w:rFonts w:ascii="Arial" w:hAnsi="Arial" w:cs="Arial"/>
                <w:b/>
                <w:bCs/>
                <w:sz w:val="16"/>
                <w:szCs w:val="16"/>
              </w:rPr>
              <w:t>Estimated annual burden hours</w:t>
            </w:r>
          </w:p>
          <w:p w14:paraId="1BDC6178" w14:textId="77777777" w:rsidR="008E3160" w:rsidRPr="00B80737" w:rsidRDefault="008E3160" w:rsidP="007571CE">
            <w:pPr>
              <w:spacing w:after="120"/>
              <w:contextualSpacing/>
              <w:jc w:val="center"/>
              <w:rPr>
                <w:rFonts w:ascii="Arial" w:hAnsi="Arial" w:cs="Arial"/>
                <w:b/>
                <w:bCs/>
                <w:sz w:val="16"/>
                <w:szCs w:val="16"/>
              </w:rPr>
            </w:pPr>
          </w:p>
          <w:p w14:paraId="7C97C339" w14:textId="26F1F57C" w:rsidR="00B80737" w:rsidRPr="00B80737" w:rsidRDefault="00B80737" w:rsidP="007571CE">
            <w:pPr>
              <w:spacing w:after="120"/>
              <w:contextualSpacing/>
              <w:jc w:val="center"/>
              <w:rPr>
                <w:rFonts w:ascii="Arial" w:hAnsi="Arial" w:cs="Arial"/>
                <w:b/>
                <w:bCs/>
                <w:sz w:val="16"/>
                <w:szCs w:val="16"/>
              </w:rPr>
            </w:pPr>
            <w:r w:rsidRPr="00B80737">
              <w:rPr>
                <w:rFonts w:ascii="Arial" w:hAnsi="Arial" w:cs="Arial"/>
                <w:b/>
                <w:bCs/>
                <w:sz w:val="16"/>
                <w:szCs w:val="16"/>
              </w:rPr>
              <w:t>(a) x (b) = (c)</w:t>
            </w:r>
          </w:p>
        </w:tc>
        <w:tc>
          <w:tcPr>
            <w:tcW w:w="394" w:type="pct"/>
            <w:vAlign w:val="center"/>
          </w:tcPr>
          <w:p w14:paraId="65296AF9" w14:textId="74512E96" w:rsidR="00B80737" w:rsidRPr="00B80737" w:rsidRDefault="00B80737" w:rsidP="007571CE">
            <w:pPr>
              <w:spacing w:after="120"/>
              <w:contextualSpacing/>
              <w:jc w:val="center"/>
              <w:rPr>
                <w:rFonts w:ascii="Arial" w:hAnsi="Arial" w:cs="Arial"/>
                <w:b/>
                <w:bCs/>
                <w:sz w:val="16"/>
                <w:szCs w:val="16"/>
              </w:rPr>
            </w:pPr>
            <w:r w:rsidRPr="00B80737">
              <w:rPr>
                <w:rFonts w:ascii="Arial" w:hAnsi="Arial" w:cs="Arial"/>
                <w:b/>
                <w:bCs/>
                <w:sz w:val="16"/>
                <w:szCs w:val="16"/>
              </w:rPr>
              <w:t>Rate</w:t>
            </w:r>
          </w:p>
          <w:p w14:paraId="2DAF7926" w14:textId="77777777" w:rsidR="00B80737" w:rsidRDefault="00B80737" w:rsidP="007571CE">
            <w:pPr>
              <w:spacing w:after="120"/>
              <w:contextualSpacing/>
              <w:jc w:val="center"/>
              <w:rPr>
                <w:rFonts w:ascii="Arial" w:hAnsi="Arial" w:cs="Arial"/>
                <w:b/>
                <w:bCs/>
                <w:sz w:val="16"/>
                <w:szCs w:val="16"/>
              </w:rPr>
            </w:pPr>
            <w:r w:rsidRPr="00B80737">
              <w:rPr>
                <w:rFonts w:ascii="Arial" w:hAnsi="Arial" w:cs="Arial"/>
                <w:b/>
                <w:bCs/>
                <w:sz w:val="16"/>
                <w:szCs w:val="16"/>
              </w:rPr>
              <w:t>($/hr)</w:t>
            </w:r>
          </w:p>
          <w:p w14:paraId="3FC76020" w14:textId="77777777" w:rsidR="007571CE" w:rsidRDefault="007571CE" w:rsidP="007571CE">
            <w:pPr>
              <w:spacing w:after="120"/>
              <w:contextualSpacing/>
              <w:jc w:val="center"/>
              <w:rPr>
                <w:rFonts w:ascii="Arial" w:hAnsi="Arial" w:cs="Arial"/>
                <w:b/>
                <w:bCs/>
                <w:sz w:val="16"/>
                <w:szCs w:val="16"/>
              </w:rPr>
            </w:pPr>
          </w:p>
          <w:p w14:paraId="00F9C9AC" w14:textId="03558C1C" w:rsidR="007571CE" w:rsidRPr="00B80737" w:rsidRDefault="007571CE" w:rsidP="007571CE">
            <w:pPr>
              <w:spacing w:after="120"/>
              <w:contextualSpacing/>
              <w:jc w:val="center"/>
              <w:rPr>
                <w:rFonts w:ascii="Arial" w:hAnsi="Arial" w:cs="Arial"/>
                <w:b/>
                <w:bCs/>
                <w:sz w:val="16"/>
                <w:szCs w:val="16"/>
              </w:rPr>
            </w:pPr>
            <w:r>
              <w:rPr>
                <w:rFonts w:ascii="Arial" w:hAnsi="Arial" w:cs="Arial"/>
                <w:b/>
                <w:bCs/>
                <w:sz w:val="16"/>
                <w:szCs w:val="16"/>
              </w:rPr>
              <w:t>(d)</w:t>
            </w:r>
          </w:p>
        </w:tc>
        <w:tc>
          <w:tcPr>
            <w:tcW w:w="742" w:type="pct"/>
            <w:vAlign w:val="center"/>
          </w:tcPr>
          <w:p w14:paraId="2CE7093A" w14:textId="77777777" w:rsidR="00B80737" w:rsidRDefault="007571CE" w:rsidP="007571CE">
            <w:pPr>
              <w:spacing w:after="120"/>
              <w:contextualSpacing/>
              <w:jc w:val="center"/>
              <w:rPr>
                <w:rFonts w:ascii="Arial" w:hAnsi="Arial" w:cs="Arial"/>
                <w:b/>
                <w:bCs/>
                <w:sz w:val="16"/>
                <w:szCs w:val="16"/>
              </w:rPr>
            </w:pPr>
            <w:r>
              <w:rPr>
                <w:rFonts w:ascii="Arial" w:hAnsi="Arial" w:cs="Arial"/>
                <w:b/>
                <w:bCs/>
                <w:sz w:val="16"/>
                <w:szCs w:val="16"/>
              </w:rPr>
              <w:t>Total Cost/yr ($)</w:t>
            </w:r>
          </w:p>
          <w:p w14:paraId="03ECB91C" w14:textId="77777777" w:rsidR="007571CE" w:rsidRDefault="007571CE" w:rsidP="007571CE">
            <w:pPr>
              <w:spacing w:after="120"/>
              <w:contextualSpacing/>
              <w:jc w:val="center"/>
              <w:rPr>
                <w:rFonts w:ascii="Arial" w:hAnsi="Arial" w:cs="Arial"/>
                <w:b/>
                <w:bCs/>
                <w:sz w:val="16"/>
                <w:szCs w:val="16"/>
              </w:rPr>
            </w:pPr>
          </w:p>
          <w:p w14:paraId="7093F0F0" w14:textId="77777777" w:rsidR="008E3160" w:rsidRDefault="008E3160" w:rsidP="007571CE">
            <w:pPr>
              <w:spacing w:after="120"/>
              <w:contextualSpacing/>
              <w:jc w:val="center"/>
              <w:rPr>
                <w:rFonts w:ascii="Arial" w:hAnsi="Arial" w:cs="Arial"/>
                <w:b/>
                <w:bCs/>
                <w:sz w:val="16"/>
                <w:szCs w:val="16"/>
              </w:rPr>
            </w:pPr>
          </w:p>
          <w:p w14:paraId="458657B8" w14:textId="7F493FD8" w:rsidR="007571CE" w:rsidRPr="00B80737" w:rsidRDefault="007571CE" w:rsidP="007571CE">
            <w:pPr>
              <w:spacing w:after="120"/>
              <w:contextualSpacing/>
              <w:jc w:val="center"/>
              <w:rPr>
                <w:rFonts w:ascii="Arial" w:hAnsi="Arial" w:cs="Arial"/>
                <w:b/>
                <w:bCs/>
                <w:sz w:val="16"/>
                <w:szCs w:val="16"/>
              </w:rPr>
            </w:pPr>
            <w:r>
              <w:rPr>
                <w:rFonts w:ascii="Arial" w:hAnsi="Arial" w:cs="Arial"/>
                <w:b/>
                <w:bCs/>
                <w:sz w:val="16"/>
                <w:szCs w:val="16"/>
              </w:rPr>
              <w:t>(c) x (d) = (e)</w:t>
            </w:r>
          </w:p>
        </w:tc>
      </w:tr>
      <w:tr w:rsidR="00BD3E6B" w:rsidRPr="00B80737" w14:paraId="075A3EC7" w14:textId="4DE002A9" w:rsidTr="006133AB">
        <w:trPr>
          <w:cantSplit/>
        </w:trPr>
        <w:tc>
          <w:tcPr>
            <w:tcW w:w="420" w:type="pct"/>
            <w:vAlign w:val="center"/>
          </w:tcPr>
          <w:p w14:paraId="529715B0" w14:textId="3659CA37" w:rsidR="007571CE" w:rsidRPr="00B80737" w:rsidRDefault="007571CE" w:rsidP="00B80737">
            <w:pPr>
              <w:spacing w:after="120"/>
              <w:contextualSpacing/>
              <w:jc w:val="center"/>
              <w:rPr>
                <w:rFonts w:ascii="Arial" w:hAnsi="Arial" w:cs="Arial"/>
                <w:b/>
                <w:bCs/>
                <w:sz w:val="16"/>
                <w:szCs w:val="16"/>
              </w:rPr>
            </w:pPr>
            <w:r w:rsidRPr="00B80737">
              <w:rPr>
                <w:rFonts w:ascii="Arial" w:hAnsi="Arial" w:cs="Arial"/>
                <w:b/>
                <w:bCs/>
                <w:sz w:val="16"/>
                <w:szCs w:val="16"/>
              </w:rPr>
              <w:t>1</w:t>
            </w:r>
          </w:p>
        </w:tc>
        <w:tc>
          <w:tcPr>
            <w:tcW w:w="1401" w:type="pct"/>
            <w:vAlign w:val="center"/>
          </w:tcPr>
          <w:p w14:paraId="0927D413" w14:textId="77777777" w:rsidR="007571CE" w:rsidRPr="00B80737" w:rsidRDefault="007571CE" w:rsidP="00B80737">
            <w:pPr>
              <w:spacing w:after="120"/>
              <w:ind w:left="2880" w:hanging="2880"/>
              <w:contextualSpacing/>
              <w:rPr>
                <w:rFonts w:ascii="Arial" w:hAnsi="Arial" w:cs="Arial"/>
                <w:bCs/>
                <w:sz w:val="16"/>
                <w:szCs w:val="24"/>
              </w:rPr>
            </w:pPr>
            <w:r w:rsidRPr="00B80737">
              <w:rPr>
                <w:rFonts w:ascii="Arial" w:hAnsi="Arial" w:cs="Arial"/>
                <w:bCs/>
                <w:sz w:val="16"/>
                <w:szCs w:val="24"/>
              </w:rPr>
              <w:t xml:space="preserve">Electronic Submissions Under 37 </w:t>
            </w:r>
          </w:p>
          <w:p w14:paraId="57FF9180" w14:textId="34395F43" w:rsidR="007571CE" w:rsidRPr="00B80737" w:rsidRDefault="007571CE" w:rsidP="00A5073B">
            <w:pPr>
              <w:spacing w:after="120"/>
              <w:ind w:left="2880" w:hanging="2880"/>
              <w:contextualSpacing/>
              <w:rPr>
                <w:rFonts w:ascii="Arial" w:hAnsi="Arial" w:cs="Arial"/>
                <w:bCs/>
                <w:sz w:val="16"/>
                <w:szCs w:val="16"/>
              </w:rPr>
            </w:pPr>
            <w:r w:rsidRPr="00B80737">
              <w:rPr>
                <w:rFonts w:ascii="Arial" w:hAnsi="Arial" w:cs="Arial"/>
                <w:bCs/>
                <w:sz w:val="16"/>
                <w:szCs w:val="24"/>
              </w:rPr>
              <w:t>CFR 1.55(</w:t>
            </w:r>
            <w:r w:rsidR="00A5073B">
              <w:rPr>
                <w:rFonts w:ascii="Arial" w:hAnsi="Arial" w:cs="Arial"/>
                <w:bCs/>
                <w:sz w:val="16"/>
                <w:szCs w:val="24"/>
              </w:rPr>
              <w:t>k</w:t>
            </w:r>
            <w:r w:rsidRPr="00B80737">
              <w:rPr>
                <w:rFonts w:ascii="Arial" w:hAnsi="Arial" w:cs="Arial"/>
                <w:bCs/>
                <w:sz w:val="16"/>
                <w:szCs w:val="24"/>
              </w:rPr>
              <w:t>)</w:t>
            </w:r>
          </w:p>
        </w:tc>
        <w:tc>
          <w:tcPr>
            <w:tcW w:w="686" w:type="pct"/>
            <w:vAlign w:val="center"/>
          </w:tcPr>
          <w:p w14:paraId="027DC8F9" w14:textId="2B635883" w:rsidR="007571CE" w:rsidRPr="00B80737" w:rsidRDefault="008E3160" w:rsidP="00B80737">
            <w:pPr>
              <w:spacing w:after="120"/>
              <w:contextualSpacing/>
              <w:jc w:val="right"/>
              <w:rPr>
                <w:rFonts w:ascii="Arial" w:hAnsi="Arial" w:cs="Arial"/>
                <w:bCs/>
                <w:sz w:val="16"/>
                <w:szCs w:val="16"/>
              </w:rPr>
            </w:pPr>
            <w:r>
              <w:rPr>
                <w:rFonts w:ascii="Arial" w:hAnsi="Arial" w:cs="Arial"/>
                <w:bCs/>
                <w:sz w:val="16"/>
                <w:szCs w:val="16"/>
              </w:rPr>
              <w:t>2</w:t>
            </w:r>
          </w:p>
        </w:tc>
        <w:tc>
          <w:tcPr>
            <w:tcW w:w="569" w:type="pct"/>
            <w:vAlign w:val="center"/>
          </w:tcPr>
          <w:p w14:paraId="2E93BA65" w14:textId="77777777" w:rsidR="007571CE" w:rsidRPr="00B80737" w:rsidRDefault="007571CE" w:rsidP="00B80737">
            <w:pPr>
              <w:spacing w:after="120"/>
              <w:contextualSpacing/>
              <w:jc w:val="right"/>
              <w:rPr>
                <w:rFonts w:ascii="Arial" w:hAnsi="Arial" w:cs="Arial"/>
                <w:bCs/>
                <w:sz w:val="16"/>
                <w:szCs w:val="16"/>
              </w:rPr>
            </w:pPr>
            <w:r w:rsidRPr="00B80737">
              <w:rPr>
                <w:rFonts w:ascii="Arial" w:hAnsi="Arial" w:cs="Arial"/>
                <w:bCs/>
                <w:sz w:val="16"/>
                <w:szCs w:val="16"/>
              </w:rPr>
              <w:t>9,700</w:t>
            </w:r>
          </w:p>
        </w:tc>
        <w:tc>
          <w:tcPr>
            <w:tcW w:w="788" w:type="pct"/>
            <w:vAlign w:val="center"/>
          </w:tcPr>
          <w:p w14:paraId="74628889" w14:textId="77777777" w:rsidR="007571CE" w:rsidRPr="00B80737" w:rsidRDefault="007571CE" w:rsidP="00B80737">
            <w:pPr>
              <w:spacing w:after="120"/>
              <w:contextualSpacing/>
              <w:jc w:val="right"/>
              <w:rPr>
                <w:rFonts w:ascii="Arial" w:hAnsi="Arial" w:cs="Arial"/>
                <w:bCs/>
                <w:sz w:val="16"/>
                <w:szCs w:val="16"/>
              </w:rPr>
            </w:pPr>
            <w:r w:rsidRPr="00B80737">
              <w:rPr>
                <w:rFonts w:ascii="Arial" w:hAnsi="Arial" w:cs="Arial"/>
                <w:bCs/>
                <w:sz w:val="16"/>
                <w:szCs w:val="16"/>
              </w:rPr>
              <w:t>19,400</w:t>
            </w:r>
          </w:p>
        </w:tc>
        <w:tc>
          <w:tcPr>
            <w:tcW w:w="394" w:type="pct"/>
            <w:vAlign w:val="center"/>
          </w:tcPr>
          <w:p w14:paraId="031CEA6E" w14:textId="74311A21" w:rsidR="007571CE" w:rsidRPr="00B80737" w:rsidRDefault="007571CE" w:rsidP="000A0C28">
            <w:pPr>
              <w:spacing w:after="120"/>
              <w:contextualSpacing/>
              <w:jc w:val="right"/>
              <w:rPr>
                <w:rFonts w:ascii="Arial" w:hAnsi="Arial" w:cs="Arial"/>
                <w:bCs/>
                <w:sz w:val="16"/>
                <w:szCs w:val="16"/>
              </w:rPr>
            </w:pPr>
            <w:r w:rsidRPr="00B80737">
              <w:rPr>
                <w:rFonts w:ascii="Arial" w:hAnsi="Arial" w:cs="Arial"/>
                <w:bCs/>
                <w:sz w:val="16"/>
                <w:szCs w:val="16"/>
              </w:rPr>
              <w:t>$</w:t>
            </w:r>
            <w:r w:rsidR="000A0C28">
              <w:rPr>
                <w:rFonts w:ascii="Arial" w:hAnsi="Arial" w:cs="Arial"/>
                <w:bCs/>
                <w:sz w:val="16"/>
                <w:szCs w:val="16"/>
              </w:rPr>
              <w:t>410.00</w:t>
            </w:r>
          </w:p>
        </w:tc>
        <w:tc>
          <w:tcPr>
            <w:tcW w:w="742" w:type="pct"/>
            <w:vAlign w:val="center"/>
          </w:tcPr>
          <w:p w14:paraId="25D2FEEA" w14:textId="07301890" w:rsidR="007571CE" w:rsidRPr="00B80737" w:rsidRDefault="007571CE" w:rsidP="00BD3E6B">
            <w:pPr>
              <w:spacing w:after="120"/>
              <w:contextualSpacing/>
              <w:jc w:val="right"/>
              <w:rPr>
                <w:rFonts w:ascii="Arial" w:hAnsi="Arial" w:cs="Arial"/>
                <w:bCs/>
                <w:sz w:val="16"/>
                <w:szCs w:val="16"/>
              </w:rPr>
            </w:pPr>
            <w:r>
              <w:rPr>
                <w:rFonts w:ascii="Arial" w:hAnsi="Arial" w:cs="Arial"/>
                <w:color w:val="000000"/>
                <w:sz w:val="16"/>
                <w:szCs w:val="16"/>
              </w:rPr>
              <w:t>$7,</w:t>
            </w:r>
            <w:r w:rsidR="00BD3E6B">
              <w:rPr>
                <w:rFonts w:ascii="Arial" w:hAnsi="Arial" w:cs="Arial"/>
                <w:color w:val="000000"/>
                <w:sz w:val="16"/>
                <w:szCs w:val="16"/>
              </w:rPr>
              <w:t>954,000</w:t>
            </w:r>
            <w:r>
              <w:rPr>
                <w:rFonts w:ascii="Arial" w:hAnsi="Arial" w:cs="Arial"/>
                <w:color w:val="000000"/>
                <w:sz w:val="16"/>
                <w:szCs w:val="16"/>
              </w:rPr>
              <w:t>.00</w:t>
            </w:r>
          </w:p>
        </w:tc>
      </w:tr>
      <w:tr w:rsidR="00BD3E6B" w:rsidRPr="00B80737" w14:paraId="6E8DBEEA" w14:textId="2A8A119A" w:rsidTr="006133AB">
        <w:trPr>
          <w:cantSplit/>
        </w:trPr>
        <w:tc>
          <w:tcPr>
            <w:tcW w:w="420" w:type="pct"/>
            <w:vAlign w:val="center"/>
          </w:tcPr>
          <w:p w14:paraId="2C271058" w14:textId="77777777" w:rsidR="007571CE" w:rsidRPr="00B80737" w:rsidRDefault="007571CE" w:rsidP="00B80737">
            <w:pPr>
              <w:spacing w:after="120"/>
              <w:contextualSpacing/>
              <w:jc w:val="center"/>
              <w:rPr>
                <w:rFonts w:ascii="Arial" w:hAnsi="Arial" w:cs="Arial"/>
                <w:b/>
                <w:bCs/>
                <w:sz w:val="16"/>
                <w:szCs w:val="16"/>
              </w:rPr>
            </w:pPr>
            <w:r w:rsidRPr="00B80737">
              <w:rPr>
                <w:rFonts w:ascii="Arial" w:hAnsi="Arial" w:cs="Arial"/>
                <w:b/>
                <w:bCs/>
                <w:sz w:val="16"/>
                <w:szCs w:val="16"/>
              </w:rPr>
              <w:t>1</w:t>
            </w:r>
          </w:p>
        </w:tc>
        <w:tc>
          <w:tcPr>
            <w:tcW w:w="1401" w:type="pct"/>
            <w:vAlign w:val="center"/>
          </w:tcPr>
          <w:p w14:paraId="71AAC557" w14:textId="180863F6" w:rsidR="007571CE" w:rsidRPr="00B80737" w:rsidRDefault="007571CE" w:rsidP="00A5073B">
            <w:pPr>
              <w:spacing w:after="120"/>
              <w:contextualSpacing/>
              <w:rPr>
                <w:rFonts w:ascii="Arial" w:hAnsi="Arial" w:cs="Arial"/>
                <w:bCs/>
                <w:sz w:val="16"/>
                <w:szCs w:val="16"/>
              </w:rPr>
            </w:pPr>
            <w:r w:rsidRPr="00B80737">
              <w:rPr>
                <w:rFonts w:ascii="Arial" w:hAnsi="Arial" w:cs="Arial"/>
                <w:bCs/>
                <w:sz w:val="16"/>
                <w:szCs w:val="24"/>
              </w:rPr>
              <w:t>Submissions Under 37 CFR 1.55(</w:t>
            </w:r>
            <w:r w:rsidR="00A5073B">
              <w:rPr>
                <w:rFonts w:ascii="Arial" w:hAnsi="Arial" w:cs="Arial"/>
                <w:bCs/>
                <w:sz w:val="16"/>
                <w:szCs w:val="24"/>
              </w:rPr>
              <w:t>k</w:t>
            </w:r>
            <w:r w:rsidRPr="00B80737">
              <w:rPr>
                <w:rFonts w:ascii="Arial" w:hAnsi="Arial" w:cs="Arial"/>
                <w:bCs/>
                <w:sz w:val="16"/>
                <w:szCs w:val="24"/>
              </w:rPr>
              <w:t>)</w:t>
            </w:r>
          </w:p>
        </w:tc>
        <w:tc>
          <w:tcPr>
            <w:tcW w:w="686" w:type="pct"/>
            <w:vAlign w:val="center"/>
          </w:tcPr>
          <w:p w14:paraId="3F619334" w14:textId="1D47517D" w:rsidR="007571CE" w:rsidRPr="00B80737" w:rsidRDefault="008E3160" w:rsidP="00B80737">
            <w:pPr>
              <w:spacing w:after="120"/>
              <w:contextualSpacing/>
              <w:jc w:val="right"/>
              <w:rPr>
                <w:rFonts w:ascii="Arial" w:hAnsi="Arial" w:cs="Arial"/>
                <w:bCs/>
                <w:sz w:val="16"/>
                <w:szCs w:val="16"/>
              </w:rPr>
            </w:pPr>
            <w:r>
              <w:rPr>
                <w:rFonts w:ascii="Arial" w:hAnsi="Arial" w:cs="Arial"/>
                <w:bCs/>
                <w:sz w:val="16"/>
                <w:szCs w:val="16"/>
              </w:rPr>
              <w:t>2</w:t>
            </w:r>
          </w:p>
        </w:tc>
        <w:tc>
          <w:tcPr>
            <w:tcW w:w="569" w:type="pct"/>
            <w:vAlign w:val="center"/>
          </w:tcPr>
          <w:p w14:paraId="1D59060A" w14:textId="77777777" w:rsidR="007571CE" w:rsidRPr="00B80737" w:rsidRDefault="007571CE" w:rsidP="00B80737">
            <w:pPr>
              <w:spacing w:after="120"/>
              <w:contextualSpacing/>
              <w:jc w:val="right"/>
              <w:rPr>
                <w:rFonts w:ascii="Arial" w:hAnsi="Arial" w:cs="Arial"/>
                <w:bCs/>
                <w:sz w:val="16"/>
                <w:szCs w:val="16"/>
              </w:rPr>
            </w:pPr>
            <w:r w:rsidRPr="00B80737">
              <w:rPr>
                <w:rFonts w:ascii="Arial" w:hAnsi="Arial" w:cs="Arial"/>
                <w:bCs/>
                <w:sz w:val="16"/>
                <w:szCs w:val="16"/>
              </w:rPr>
              <w:t>300</w:t>
            </w:r>
          </w:p>
        </w:tc>
        <w:tc>
          <w:tcPr>
            <w:tcW w:w="788" w:type="pct"/>
            <w:vAlign w:val="center"/>
          </w:tcPr>
          <w:p w14:paraId="7B49606E" w14:textId="77777777" w:rsidR="007571CE" w:rsidRPr="00B80737" w:rsidRDefault="007571CE" w:rsidP="00B80737">
            <w:pPr>
              <w:spacing w:after="120"/>
              <w:contextualSpacing/>
              <w:jc w:val="right"/>
              <w:rPr>
                <w:rFonts w:ascii="Arial" w:hAnsi="Arial" w:cs="Arial"/>
                <w:bCs/>
                <w:sz w:val="16"/>
                <w:szCs w:val="16"/>
              </w:rPr>
            </w:pPr>
            <w:r w:rsidRPr="00B80737">
              <w:rPr>
                <w:rFonts w:ascii="Arial" w:hAnsi="Arial" w:cs="Arial"/>
                <w:bCs/>
                <w:sz w:val="16"/>
                <w:szCs w:val="16"/>
              </w:rPr>
              <w:t>600</w:t>
            </w:r>
          </w:p>
        </w:tc>
        <w:tc>
          <w:tcPr>
            <w:tcW w:w="394" w:type="pct"/>
            <w:vAlign w:val="center"/>
          </w:tcPr>
          <w:p w14:paraId="49056202" w14:textId="1AC44B78" w:rsidR="007571CE" w:rsidRPr="00B80737" w:rsidRDefault="007571CE" w:rsidP="00B80737">
            <w:pPr>
              <w:spacing w:after="120"/>
              <w:contextualSpacing/>
              <w:jc w:val="right"/>
              <w:rPr>
                <w:rFonts w:ascii="Arial" w:hAnsi="Arial" w:cs="Arial"/>
                <w:bCs/>
                <w:sz w:val="16"/>
                <w:szCs w:val="16"/>
              </w:rPr>
            </w:pPr>
            <w:r w:rsidRPr="00B80737">
              <w:rPr>
                <w:rFonts w:ascii="Arial" w:hAnsi="Arial" w:cs="Arial"/>
                <w:bCs/>
                <w:sz w:val="16"/>
                <w:szCs w:val="16"/>
              </w:rPr>
              <w:t>$</w:t>
            </w:r>
            <w:r w:rsidR="000A0C28" w:rsidRPr="000A0C28">
              <w:rPr>
                <w:rFonts w:ascii="Arial" w:hAnsi="Arial" w:cs="Arial"/>
                <w:bCs/>
                <w:sz w:val="16"/>
                <w:szCs w:val="16"/>
              </w:rPr>
              <w:t>410.00</w:t>
            </w:r>
          </w:p>
        </w:tc>
        <w:tc>
          <w:tcPr>
            <w:tcW w:w="742" w:type="pct"/>
            <w:vAlign w:val="center"/>
          </w:tcPr>
          <w:p w14:paraId="0DD21C70" w14:textId="0E2CC538" w:rsidR="007571CE" w:rsidRPr="00B80737" w:rsidRDefault="007571CE" w:rsidP="00BD3E6B">
            <w:pPr>
              <w:spacing w:after="120"/>
              <w:contextualSpacing/>
              <w:jc w:val="right"/>
              <w:rPr>
                <w:rFonts w:ascii="Arial" w:hAnsi="Arial" w:cs="Arial"/>
                <w:bCs/>
                <w:sz w:val="16"/>
                <w:szCs w:val="16"/>
              </w:rPr>
            </w:pPr>
            <w:r>
              <w:rPr>
                <w:rFonts w:ascii="Arial" w:hAnsi="Arial" w:cs="Arial"/>
                <w:color w:val="000000"/>
                <w:sz w:val="16"/>
                <w:szCs w:val="16"/>
              </w:rPr>
              <w:t>$</w:t>
            </w:r>
            <w:r w:rsidR="00BD3E6B">
              <w:rPr>
                <w:rFonts w:ascii="Arial" w:hAnsi="Arial" w:cs="Arial"/>
                <w:color w:val="000000"/>
                <w:sz w:val="16"/>
                <w:szCs w:val="16"/>
              </w:rPr>
              <w:t>246</w:t>
            </w:r>
            <w:r>
              <w:rPr>
                <w:rFonts w:ascii="Arial" w:hAnsi="Arial" w:cs="Arial"/>
                <w:color w:val="000000"/>
                <w:sz w:val="16"/>
                <w:szCs w:val="16"/>
              </w:rPr>
              <w:t>,</w:t>
            </w:r>
            <w:r w:rsidR="00BD3E6B">
              <w:rPr>
                <w:rFonts w:ascii="Arial" w:hAnsi="Arial" w:cs="Arial"/>
                <w:color w:val="000000"/>
                <w:sz w:val="16"/>
                <w:szCs w:val="16"/>
              </w:rPr>
              <w:t>000</w:t>
            </w:r>
            <w:r>
              <w:rPr>
                <w:rFonts w:ascii="Arial" w:hAnsi="Arial" w:cs="Arial"/>
                <w:color w:val="000000"/>
                <w:sz w:val="16"/>
                <w:szCs w:val="16"/>
              </w:rPr>
              <w:t>.00</w:t>
            </w:r>
          </w:p>
        </w:tc>
      </w:tr>
      <w:tr w:rsidR="00BD3E6B" w:rsidRPr="00B80737" w14:paraId="266B45E2" w14:textId="50999FD8" w:rsidTr="006133AB">
        <w:trPr>
          <w:cantSplit/>
        </w:trPr>
        <w:tc>
          <w:tcPr>
            <w:tcW w:w="420" w:type="pct"/>
            <w:vAlign w:val="center"/>
          </w:tcPr>
          <w:p w14:paraId="4EE20F31" w14:textId="77777777" w:rsidR="007571CE" w:rsidRPr="00B80737" w:rsidRDefault="007571CE" w:rsidP="00B80737">
            <w:pPr>
              <w:spacing w:after="120"/>
              <w:contextualSpacing/>
              <w:jc w:val="center"/>
              <w:rPr>
                <w:rFonts w:ascii="Arial" w:hAnsi="Arial" w:cs="Arial"/>
                <w:b/>
                <w:bCs/>
                <w:sz w:val="16"/>
                <w:szCs w:val="16"/>
              </w:rPr>
            </w:pPr>
            <w:r w:rsidRPr="00B80737">
              <w:rPr>
                <w:rFonts w:ascii="Arial" w:hAnsi="Arial" w:cs="Arial"/>
                <w:b/>
                <w:bCs/>
                <w:sz w:val="16"/>
                <w:szCs w:val="16"/>
              </w:rPr>
              <w:t>2</w:t>
            </w:r>
          </w:p>
        </w:tc>
        <w:tc>
          <w:tcPr>
            <w:tcW w:w="1401" w:type="pct"/>
            <w:vAlign w:val="center"/>
          </w:tcPr>
          <w:p w14:paraId="516DB220" w14:textId="77777777" w:rsidR="007571CE" w:rsidRPr="00B80737" w:rsidRDefault="007571CE" w:rsidP="00B80737">
            <w:pPr>
              <w:spacing w:after="120"/>
              <w:contextualSpacing/>
              <w:rPr>
                <w:rFonts w:ascii="Arial" w:hAnsi="Arial" w:cs="Arial"/>
                <w:bCs/>
                <w:sz w:val="16"/>
                <w:szCs w:val="16"/>
              </w:rPr>
            </w:pPr>
            <w:r w:rsidRPr="00B80737">
              <w:rPr>
                <w:rFonts w:ascii="Arial" w:hAnsi="Arial" w:cs="Arial"/>
                <w:bCs/>
                <w:sz w:val="16"/>
                <w:szCs w:val="24"/>
              </w:rPr>
              <w:t>Electronic Submissions Under 37 CFR 1.78(a)(6)</w:t>
            </w:r>
          </w:p>
        </w:tc>
        <w:tc>
          <w:tcPr>
            <w:tcW w:w="686" w:type="pct"/>
            <w:vAlign w:val="center"/>
          </w:tcPr>
          <w:p w14:paraId="785761F8" w14:textId="540DEF37" w:rsidR="007571CE" w:rsidRPr="00B80737" w:rsidRDefault="008E3160" w:rsidP="00B80737">
            <w:pPr>
              <w:spacing w:after="120"/>
              <w:contextualSpacing/>
              <w:jc w:val="right"/>
              <w:rPr>
                <w:rFonts w:ascii="Arial" w:hAnsi="Arial" w:cs="Arial"/>
                <w:bCs/>
                <w:sz w:val="16"/>
                <w:szCs w:val="16"/>
              </w:rPr>
            </w:pPr>
            <w:r>
              <w:rPr>
                <w:rFonts w:ascii="Arial" w:hAnsi="Arial" w:cs="Arial"/>
                <w:bCs/>
                <w:sz w:val="16"/>
                <w:szCs w:val="16"/>
              </w:rPr>
              <w:t>2</w:t>
            </w:r>
          </w:p>
        </w:tc>
        <w:tc>
          <w:tcPr>
            <w:tcW w:w="569" w:type="pct"/>
            <w:vAlign w:val="center"/>
          </w:tcPr>
          <w:p w14:paraId="4B5659F5" w14:textId="77777777" w:rsidR="007571CE" w:rsidRPr="00B80737" w:rsidRDefault="007571CE" w:rsidP="00B80737">
            <w:pPr>
              <w:spacing w:after="120"/>
              <w:contextualSpacing/>
              <w:jc w:val="right"/>
              <w:rPr>
                <w:rFonts w:ascii="Arial" w:hAnsi="Arial" w:cs="Arial"/>
                <w:bCs/>
                <w:sz w:val="16"/>
                <w:szCs w:val="16"/>
              </w:rPr>
            </w:pPr>
            <w:r w:rsidRPr="00B80737">
              <w:rPr>
                <w:rFonts w:ascii="Arial" w:hAnsi="Arial" w:cs="Arial"/>
                <w:bCs/>
                <w:sz w:val="16"/>
                <w:szCs w:val="16"/>
              </w:rPr>
              <w:t>7,760</w:t>
            </w:r>
          </w:p>
        </w:tc>
        <w:tc>
          <w:tcPr>
            <w:tcW w:w="788" w:type="pct"/>
            <w:vAlign w:val="center"/>
          </w:tcPr>
          <w:p w14:paraId="4AC5F760" w14:textId="77777777" w:rsidR="007571CE" w:rsidRPr="00B80737" w:rsidRDefault="007571CE" w:rsidP="00B80737">
            <w:pPr>
              <w:spacing w:after="120"/>
              <w:contextualSpacing/>
              <w:jc w:val="right"/>
              <w:rPr>
                <w:rFonts w:ascii="Arial" w:hAnsi="Arial" w:cs="Arial"/>
                <w:bCs/>
                <w:sz w:val="16"/>
                <w:szCs w:val="16"/>
              </w:rPr>
            </w:pPr>
            <w:r w:rsidRPr="00B80737">
              <w:rPr>
                <w:rFonts w:ascii="Arial" w:hAnsi="Arial" w:cs="Arial"/>
                <w:bCs/>
                <w:sz w:val="16"/>
                <w:szCs w:val="16"/>
              </w:rPr>
              <w:t>15,520</w:t>
            </w:r>
          </w:p>
        </w:tc>
        <w:tc>
          <w:tcPr>
            <w:tcW w:w="394" w:type="pct"/>
            <w:vAlign w:val="center"/>
          </w:tcPr>
          <w:p w14:paraId="27B002E1" w14:textId="778FE839" w:rsidR="007571CE" w:rsidRPr="00B80737" w:rsidRDefault="007571CE" w:rsidP="00B80737">
            <w:pPr>
              <w:spacing w:after="120"/>
              <w:contextualSpacing/>
              <w:jc w:val="right"/>
              <w:rPr>
                <w:rFonts w:ascii="Arial" w:hAnsi="Arial" w:cs="Arial"/>
                <w:bCs/>
                <w:sz w:val="16"/>
                <w:szCs w:val="16"/>
              </w:rPr>
            </w:pPr>
            <w:r w:rsidRPr="00B80737">
              <w:rPr>
                <w:rFonts w:ascii="Arial" w:hAnsi="Arial" w:cs="Arial"/>
                <w:bCs/>
                <w:sz w:val="16"/>
                <w:szCs w:val="16"/>
              </w:rPr>
              <w:t>$</w:t>
            </w:r>
            <w:r w:rsidR="000A0C28" w:rsidRPr="000A0C28">
              <w:rPr>
                <w:rFonts w:ascii="Arial" w:hAnsi="Arial" w:cs="Arial"/>
                <w:bCs/>
                <w:sz w:val="16"/>
                <w:szCs w:val="16"/>
              </w:rPr>
              <w:t>410.00</w:t>
            </w:r>
          </w:p>
        </w:tc>
        <w:tc>
          <w:tcPr>
            <w:tcW w:w="742" w:type="pct"/>
            <w:vAlign w:val="center"/>
          </w:tcPr>
          <w:p w14:paraId="30961349" w14:textId="3717B65B" w:rsidR="007571CE" w:rsidRPr="00B80737" w:rsidRDefault="007571CE" w:rsidP="00BD3E6B">
            <w:pPr>
              <w:spacing w:after="120"/>
              <w:contextualSpacing/>
              <w:jc w:val="right"/>
              <w:rPr>
                <w:rFonts w:ascii="Arial" w:hAnsi="Arial" w:cs="Arial"/>
                <w:bCs/>
                <w:sz w:val="16"/>
                <w:szCs w:val="16"/>
              </w:rPr>
            </w:pPr>
            <w:r>
              <w:rPr>
                <w:rFonts w:ascii="Arial" w:hAnsi="Arial" w:cs="Arial"/>
                <w:color w:val="000000"/>
                <w:sz w:val="16"/>
                <w:szCs w:val="16"/>
              </w:rPr>
              <w:t>$</w:t>
            </w:r>
            <w:r w:rsidR="00BD3E6B">
              <w:rPr>
                <w:rFonts w:ascii="Arial" w:hAnsi="Arial" w:cs="Arial"/>
                <w:color w:val="000000"/>
                <w:sz w:val="16"/>
                <w:szCs w:val="16"/>
              </w:rPr>
              <w:t>6,363,200</w:t>
            </w:r>
            <w:r>
              <w:rPr>
                <w:rFonts w:ascii="Arial" w:hAnsi="Arial" w:cs="Arial"/>
                <w:color w:val="000000"/>
                <w:sz w:val="16"/>
                <w:szCs w:val="16"/>
              </w:rPr>
              <w:t>.00</w:t>
            </w:r>
          </w:p>
        </w:tc>
      </w:tr>
      <w:tr w:rsidR="00BD3E6B" w:rsidRPr="00B80737" w14:paraId="5E9036C6" w14:textId="086EADFE" w:rsidTr="006133AB">
        <w:trPr>
          <w:cantSplit/>
        </w:trPr>
        <w:tc>
          <w:tcPr>
            <w:tcW w:w="420" w:type="pct"/>
            <w:vAlign w:val="center"/>
          </w:tcPr>
          <w:p w14:paraId="7C64C843" w14:textId="77777777" w:rsidR="007571CE" w:rsidRPr="00B80737" w:rsidRDefault="007571CE" w:rsidP="00B80737">
            <w:pPr>
              <w:spacing w:after="120"/>
              <w:ind w:left="2160" w:hanging="2160"/>
              <w:contextualSpacing/>
              <w:jc w:val="center"/>
              <w:rPr>
                <w:rFonts w:ascii="Arial" w:hAnsi="Arial" w:cs="Arial"/>
                <w:b/>
                <w:bCs/>
                <w:sz w:val="16"/>
                <w:szCs w:val="16"/>
              </w:rPr>
            </w:pPr>
            <w:r w:rsidRPr="00B80737">
              <w:rPr>
                <w:rFonts w:ascii="Arial" w:hAnsi="Arial" w:cs="Arial"/>
                <w:b/>
                <w:bCs/>
                <w:sz w:val="16"/>
                <w:szCs w:val="16"/>
              </w:rPr>
              <w:t>2</w:t>
            </w:r>
          </w:p>
        </w:tc>
        <w:tc>
          <w:tcPr>
            <w:tcW w:w="1401" w:type="pct"/>
            <w:vAlign w:val="center"/>
          </w:tcPr>
          <w:p w14:paraId="4163B863" w14:textId="77777777" w:rsidR="007571CE" w:rsidRPr="00B80737" w:rsidRDefault="007571CE" w:rsidP="00B80737">
            <w:pPr>
              <w:spacing w:after="120"/>
              <w:ind w:left="2160" w:hanging="2160"/>
              <w:contextualSpacing/>
              <w:rPr>
                <w:rFonts w:ascii="Arial" w:hAnsi="Arial" w:cs="Arial"/>
                <w:bCs/>
                <w:sz w:val="16"/>
                <w:szCs w:val="24"/>
              </w:rPr>
            </w:pPr>
            <w:r w:rsidRPr="00B80737">
              <w:rPr>
                <w:rFonts w:ascii="Arial" w:hAnsi="Arial" w:cs="Arial"/>
                <w:bCs/>
                <w:sz w:val="16"/>
                <w:szCs w:val="24"/>
              </w:rPr>
              <w:t xml:space="preserve">Submissions Under 37 CFR </w:t>
            </w:r>
          </w:p>
          <w:p w14:paraId="29A58628" w14:textId="77777777" w:rsidR="007571CE" w:rsidRPr="00B80737" w:rsidRDefault="007571CE" w:rsidP="00B80737">
            <w:pPr>
              <w:spacing w:after="120"/>
              <w:ind w:left="2160" w:hanging="2160"/>
              <w:contextualSpacing/>
              <w:rPr>
                <w:rFonts w:ascii="Arial" w:hAnsi="Arial" w:cs="Arial"/>
                <w:bCs/>
                <w:sz w:val="16"/>
                <w:szCs w:val="24"/>
              </w:rPr>
            </w:pPr>
            <w:r w:rsidRPr="00B80737">
              <w:rPr>
                <w:rFonts w:ascii="Arial" w:hAnsi="Arial" w:cs="Arial"/>
                <w:bCs/>
                <w:sz w:val="16"/>
                <w:szCs w:val="24"/>
              </w:rPr>
              <w:t>1.78(a)(6)</w:t>
            </w:r>
          </w:p>
        </w:tc>
        <w:tc>
          <w:tcPr>
            <w:tcW w:w="686" w:type="pct"/>
            <w:vAlign w:val="center"/>
          </w:tcPr>
          <w:p w14:paraId="4E187E5A" w14:textId="359F03C6" w:rsidR="007571CE" w:rsidRPr="00B80737" w:rsidRDefault="008E3160" w:rsidP="00B80737">
            <w:pPr>
              <w:spacing w:after="120"/>
              <w:contextualSpacing/>
              <w:jc w:val="right"/>
              <w:rPr>
                <w:rFonts w:ascii="Arial" w:hAnsi="Arial" w:cs="Arial"/>
                <w:bCs/>
                <w:sz w:val="16"/>
                <w:szCs w:val="16"/>
              </w:rPr>
            </w:pPr>
            <w:r>
              <w:rPr>
                <w:rFonts w:ascii="Arial" w:hAnsi="Arial" w:cs="Arial"/>
                <w:bCs/>
                <w:sz w:val="16"/>
                <w:szCs w:val="16"/>
              </w:rPr>
              <w:t>2</w:t>
            </w:r>
          </w:p>
        </w:tc>
        <w:tc>
          <w:tcPr>
            <w:tcW w:w="569" w:type="pct"/>
            <w:vAlign w:val="center"/>
          </w:tcPr>
          <w:p w14:paraId="1CB42A06" w14:textId="77777777" w:rsidR="007571CE" w:rsidRPr="00B80737" w:rsidRDefault="007571CE" w:rsidP="00B80737">
            <w:pPr>
              <w:spacing w:after="120"/>
              <w:contextualSpacing/>
              <w:jc w:val="right"/>
              <w:rPr>
                <w:rFonts w:ascii="Arial" w:hAnsi="Arial" w:cs="Arial"/>
                <w:bCs/>
                <w:sz w:val="16"/>
                <w:szCs w:val="16"/>
              </w:rPr>
            </w:pPr>
            <w:r w:rsidRPr="00B80737">
              <w:rPr>
                <w:rFonts w:ascii="Arial" w:hAnsi="Arial" w:cs="Arial"/>
                <w:bCs/>
                <w:sz w:val="16"/>
                <w:szCs w:val="16"/>
              </w:rPr>
              <w:t>240</w:t>
            </w:r>
          </w:p>
        </w:tc>
        <w:tc>
          <w:tcPr>
            <w:tcW w:w="788" w:type="pct"/>
            <w:vAlign w:val="center"/>
          </w:tcPr>
          <w:p w14:paraId="46BCEE2A" w14:textId="77777777" w:rsidR="007571CE" w:rsidRPr="00B80737" w:rsidRDefault="007571CE" w:rsidP="00B80737">
            <w:pPr>
              <w:spacing w:after="120"/>
              <w:contextualSpacing/>
              <w:jc w:val="right"/>
              <w:rPr>
                <w:rFonts w:ascii="Arial" w:hAnsi="Arial" w:cs="Arial"/>
                <w:bCs/>
                <w:sz w:val="16"/>
                <w:szCs w:val="16"/>
              </w:rPr>
            </w:pPr>
            <w:r w:rsidRPr="00B80737">
              <w:rPr>
                <w:rFonts w:ascii="Arial" w:hAnsi="Arial" w:cs="Arial"/>
                <w:bCs/>
                <w:sz w:val="16"/>
                <w:szCs w:val="16"/>
              </w:rPr>
              <w:t>480</w:t>
            </w:r>
          </w:p>
        </w:tc>
        <w:tc>
          <w:tcPr>
            <w:tcW w:w="394" w:type="pct"/>
            <w:vAlign w:val="center"/>
          </w:tcPr>
          <w:p w14:paraId="59098DC2" w14:textId="66CCC44C" w:rsidR="007571CE" w:rsidRPr="00B80737" w:rsidRDefault="007571CE" w:rsidP="00B80737">
            <w:pPr>
              <w:spacing w:after="120"/>
              <w:contextualSpacing/>
              <w:jc w:val="right"/>
              <w:rPr>
                <w:rFonts w:ascii="Arial" w:hAnsi="Arial" w:cs="Arial"/>
                <w:bCs/>
                <w:sz w:val="16"/>
                <w:szCs w:val="16"/>
              </w:rPr>
            </w:pPr>
            <w:r w:rsidRPr="00B80737">
              <w:rPr>
                <w:rFonts w:ascii="Arial" w:hAnsi="Arial" w:cs="Arial"/>
                <w:bCs/>
                <w:sz w:val="16"/>
                <w:szCs w:val="16"/>
              </w:rPr>
              <w:t>$</w:t>
            </w:r>
            <w:r w:rsidR="000A0C28" w:rsidRPr="000A0C28">
              <w:rPr>
                <w:rFonts w:ascii="Arial" w:hAnsi="Arial" w:cs="Arial"/>
                <w:bCs/>
                <w:sz w:val="16"/>
                <w:szCs w:val="16"/>
              </w:rPr>
              <w:t>410.00</w:t>
            </w:r>
          </w:p>
        </w:tc>
        <w:tc>
          <w:tcPr>
            <w:tcW w:w="742" w:type="pct"/>
            <w:vAlign w:val="center"/>
          </w:tcPr>
          <w:p w14:paraId="19158DEB" w14:textId="5DE6F15F" w:rsidR="007571CE" w:rsidRPr="00B80737" w:rsidRDefault="007571CE" w:rsidP="00BD3E6B">
            <w:pPr>
              <w:spacing w:after="120"/>
              <w:contextualSpacing/>
              <w:jc w:val="right"/>
              <w:rPr>
                <w:rFonts w:ascii="Arial" w:hAnsi="Arial" w:cs="Arial"/>
                <w:bCs/>
                <w:sz w:val="16"/>
                <w:szCs w:val="16"/>
              </w:rPr>
            </w:pPr>
            <w:r>
              <w:rPr>
                <w:rFonts w:ascii="Arial" w:hAnsi="Arial" w:cs="Arial"/>
                <w:color w:val="000000"/>
                <w:sz w:val="16"/>
                <w:szCs w:val="16"/>
              </w:rPr>
              <w:t>$</w:t>
            </w:r>
            <w:r w:rsidR="00BD3E6B">
              <w:rPr>
                <w:rFonts w:ascii="Arial" w:hAnsi="Arial" w:cs="Arial"/>
                <w:color w:val="000000"/>
                <w:sz w:val="16"/>
                <w:szCs w:val="16"/>
              </w:rPr>
              <w:t>196,800</w:t>
            </w:r>
            <w:r>
              <w:rPr>
                <w:rFonts w:ascii="Arial" w:hAnsi="Arial" w:cs="Arial"/>
                <w:color w:val="000000"/>
                <w:sz w:val="16"/>
                <w:szCs w:val="16"/>
              </w:rPr>
              <w:t>.00</w:t>
            </w:r>
          </w:p>
        </w:tc>
      </w:tr>
      <w:tr w:rsidR="00BD3E6B" w:rsidRPr="00B80737" w14:paraId="0A0B9F23" w14:textId="6AF21D07" w:rsidTr="006133AB">
        <w:trPr>
          <w:cantSplit/>
        </w:trPr>
        <w:tc>
          <w:tcPr>
            <w:tcW w:w="420" w:type="pct"/>
            <w:vAlign w:val="center"/>
          </w:tcPr>
          <w:p w14:paraId="5D9227F7" w14:textId="77777777" w:rsidR="007571CE" w:rsidRPr="00B80737" w:rsidRDefault="007571CE" w:rsidP="00B80737">
            <w:pPr>
              <w:spacing w:after="120"/>
              <w:contextualSpacing/>
              <w:jc w:val="center"/>
              <w:rPr>
                <w:rFonts w:ascii="Arial" w:hAnsi="Arial" w:cs="Arial"/>
                <w:b/>
                <w:bCs/>
                <w:sz w:val="16"/>
                <w:szCs w:val="16"/>
              </w:rPr>
            </w:pPr>
            <w:r w:rsidRPr="00B80737">
              <w:rPr>
                <w:rFonts w:ascii="Arial" w:hAnsi="Arial" w:cs="Arial"/>
                <w:b/>
                <w:bCs/>
                <w:sz w:val="16"/>
                <w:szCs w:val="16"/>
              </w:rPr>
              <w:t>3</w:t>
            </w:r>
          </w:p>
        </w:tc>
        <w:tc>
          <w:tcPr>
            <w:tcW w:w="1401" w:type="pct"/>
            <w:vAlign w:val="center"/>
          </w:tcPr>
          <w:p w14:paraId="4B1406FF" w14:textId="77777777" w:rsidR="007571CE" w:rsidRPr="00B80737" w:rsidRDefault="007571CE" w:rsidP="00B80737">
            <w:pPr>
              <w:spacing w:after="120"/>
              <w:contextualSpacing/>
              <w:rPr>
                <w:rFonts w:ascii="Arial" w:hAnsi="Arial" w:cs="Arial"/>
                <w:bCs/>
                <w:sz w:val="16"/>
                <w:szCs w:val="16"/>
              </w:rPr>
            </w:pPr>
            <w:r w:rsidRPr="00B80737">
              <w:rPr>
                <w:rFonts w:ascii="Arial" w:hAnsi="Arial" w:cs="Arial"/>
                <w:bCs/>
                <w:sz w:val="16"/>
                <w:szCs w:val="24"/>
              </w:rPr>
              <w:t>Electronic Submissions Under 37 CFR 1.78(d)(6)</w:t>
            </w:r>
          </w:p>
        </w:tc>
        <w:tc>
          <w:tcPr>
            <w:tcW w:w="686" w:type="pct"/>
            <w:vAlign w:val="center"/>
          </w:tcPr>
          <w:p w14:paraId="5A5D3D6D" w14:textId="013DB35A" w:rsidR="007571CE" w:rsidRPr="00B80737" w:rsidRDefault="008E3160" w:rsidP="00B80737">
            <w:pPr>
              <w:contextualSpacing/>
              <w:jc w:val="right"/>
              <w:rPr>
                <w:rFonts w:ascii="Arial" w:hAnsi="Arial" w:cs="Arial"/>
                <w:bCs/>
                <w:sz w:val="16"/>
                <w:szCs w:val="16"/>
              </w:rPr>
            </w:pPr>
            <w:r>
              <w:rPr>
                <w:rFonts w:ascii="Arial" w:hAnsi="Arial" w:cs="Arial"/>
                <w:bCs/>
                <w:sz w:val="16"/>
                <w:szCs w:val="16"/>
              </w:rPr>
              <w:t>2</w:t>
            </w:r>
          </w:p>
        </w:tc>
        <w:tc>
          <w:tcPr>
            <w:tcW w:w="569" w:type="pct"/>
            <w:vAlign w:val="center"/>
          </w:tcPr>
          <w:p w14:paraId="460A61CD" w14:textId="77777777" w:rsidR="007571CE" w:rsidRPr="00B80737" w:rsidRDefault="007571CE" w:rsidP="00B80737">
            <w:pPr>
              <w:contextualSpacing/>
              <w:jc w:val="right"/>
              <w:rPr>
                <w:rFonts w:ascii="Arial" w:hAnsi="Arial" w:cs="Arial"/>
                <w:bCs/>
                <w:sz w:val="16"/>
                <w:szCs w:val="16"/>
              </w:rPr>
            </w:pPr>
            <w:r w:rsidRPr="00B80737">
              <w:rPr>
                <w:rFonts w:ascii="Arial" w:hAnsi="Arial" w:cs="Arial"/>
                <w:bCs/>
                <w:sz w:val="16"/>
                <w:szCs w:val="16"/>
              </w:rPr>
              <w:t>1,940</w:t>
            </w:r>
          </w:p>
        </w:tc>
        <w:tc>
          <w:tcPr>
            <w:tcW w:w="788" w:type="pct"/>
            <w:vAlign w:val="center"/>
          </w:tcPr>
          <w:p w14:paraId="1756E232" w14:textId="77777777" w:rsidR="007571CE" w:rsidRPr="00B80737" w:rsidRDefault="007571CE" w:rsidP="00B80737">
            <w:pPr>
              <w:contextualSpacing/>
              <w:jc w:val="right"/>
              <w:rPr>
                <w:rFonts w:ascii="Arial" w:hAnsi="Arial" w:cs="Arial"/>
                <w:bCs/>
                <w:sz w:val="16"/>
                <w:szCs w:val="16"/>
              </w:rPr>
            </w:pPr>
            <w:r w:rsidRPr="00B80737">
              <w:rPr>
                <w:rFonts w:ascii="Arial" w:hAnsi="Arial" w:cs="Arial"/>
                <w:bCs/>
                <w:sz w:val="16"/>
                <w:szCs w:val="16"/>
              </w:rPr>
              <w:t>3,880</w:t>
            </w:r>
          </w:p>
        </w:tc>
        <w:tc>
          <w:tcPr>
            <w:tcW w:w="394" w:type="pct"/>
            <w:vAlign w:val="center"/>
          </w:tcPr>
          <w:p w14:paraId="7B306124" w14:textId="58937F89" w:rsidR="007571CE" w:rsidRPr="00B80737" w:rsidRDefault="007571CE" w:rsidP="00B80737">
            <w:pPr>
              <w:contextualSpacing/>
              <w:jc w:val="right"/>
              <w:rPr>
                <w:rFonts w:ascii="Arial" w:hAnsi="Arial" w:cs="Arial"/>
                <w:bCs/>
                <w:sz w:val="16"/>
                <w:szCs w:val="16"/>
              </w:rPr>
            </w:pPr>
            <w:r w:rsidRPr="00B80737">
              <w:rPr>
                <w:rFonts w:ascii="Arial" w:hAnsi="Arial" w:cs="Arial"/>
                <w:bCs/>
                <w:sz w:val="16"/>
                <w:szCs w:val="16"/>
              </w:rPr>
              <w:t>$</w:t>
            </w:r>
            <w:r w:rsidR="000A0C28" w:rsidRPr="000A0C28">
              <w:rPr>
                <w:rFonts w:ascii="Arial" w:hAnsi="Arial" w:cs="Arial"/>
                <w:bCs/>
                <w:sz w:val="16"/>
                <w:szCs w:val="16"/>
              </w:rPr>
              <w:t>410.00</w:t>
            </w:r>
          </w:p>
        </w:tc>
        <w:tc>
          <w:tcPr>
            <w:tcW w:w="742" w:type="pct"/>
            <w:vAlign w:val="center"/>
          </w:tcPr>
          <w:p w14:paraId="65507945" w14:textId="5F73531B" w:rsidR="007571CE" w:rsidRPr="00B80737" w:rsidRDefault="007571CE" w:rsidP="00BD3E6B">
            <w:pPr>
              <w:contextualSpacing/>
              <w:jc w:val="right"/>
              <w:rPr>
                <w:rFonts w:ascii="Arial" w:hAnsi="Arial" w:cs="Arial"/>
                <w:bCs/>
                <w:sz w:val="16"/>
                <w:szCs w:val="16"/>
              </w:rPr>
            </w:pPr>
            <w:r>
              <w:rPr>
                <w:rFonts w:ascii="Arial" w:hAnsi="Arial" w:cs="Arial"/>
                <w:color w:val="000000"/>
                <w:sz w:val="16"/>
                <w:szCs w:val="16"/>
              </w:rPr>
              <w:t>$1,5</w:t>
            </w:r>
            <w:r w:rsidR="00BD3E6B">
              <w:rPr>
                <w:rFonts w:ascii="Arial" w:hAnsi="Arial" w:cs="Arial"/>
                <w:color w:val="000000"/>
                <w:sz w:val="16"/>
                <w:szCs w:val="16"/>
              </w:rPr>
              <w:t>90,800</w:t>
            </w:r>
            <w:r>
              <w:rPr>
                <w:rFonts w:ascii="Arial" w:hAnsi="Arial" w:cs="Arial"/>
                <w:color w:val="000000"/>
                <w:sz w:val="16"/>
                <w:szCs w:val="16"/>
              </w:rPr>
              <w:t>.00</w:t>
            </w:r>
          </w:p>
        </w:tc>
      </w:tr>
      <w:tr w:rsidR="00BD3E6B" w:rsidRPr="00B80737" w14:paraId="1A7B16B3" w14:textId="5B494347" w:rsidTr="006133AB">
        <w:trPr>
          <w:cantSplit/>
        </w:trPr>
        <w:tc>
          <w:tcPr>
            <w:tcW w:w="420" w:type="pct"/>
            <w:vAlign w:val="center"/>
          </w:tcPr>
          <w:p w14:paraId="7AE4BB55" w14:textId="77777777" w:rsidR="007571CE" w:rsidRPr="00B80737" w:rsidRDefault="007571CE" w:rsidP="00B80737">
            <w:pPr>
              <w:spacing w:after="120"/>
              <w:contextualSpacing/>
              <w:jc w:val="center"/>
              <w:rPr>
                <w:rFonts w:ascii="Arial" w:hAnsi="Arial" w:cs="Arial"/>
                <w:b/>
                <w:bCs/>
                <w:sz w:val="16"/>
                <w:szCs w:val="16"/>
              </w:rPr>
            </w:pPr>
            <w:r w:rsidRPr="00B80737">
              <w:rPr>
                <w:rFonts w:ascii="Arial" w:hAnsi="Arial" w:cs="Arial"/>
                <w:b/>
                <w:bCs/>
                <w:sz w:val="16"/>
                <w:szCs w:val="16"/>
              </w:rPr>
              <w:t>3</w:t>
            </w:r>
          </w:p>
        </w:tc>
        <w:tc>
          <w:tcPr>
            <w:tcW w:w="1401" w:type="pct"/>
            <w:vAlign w:val="center"/>
          </w:tcPr>
          <w:p w14:paraId="33F39FDE" w14:textId="77777777" w:rsidR="007571CE" w:rsidRPr="00B80737" w:rsidRDefault="007571CE" w:rsidP="00B80737">
            <w:pPr>
              <w:spacing w:after="120"/>
              <w:contextualSpacing/>
              <w:rPr>
                <w:rFonts w:ascii="Arial" w:hAnsi="Arial" w:cs="Arial"/>
                <w:bCs/>
                <w:sz w:val="16"/>
                <w:szCs w:val="16"/>
              </w:rPr>
            </w:pPr>
            <w:r w:rsidRPr="00B80737">
              <w:rPr>
                <w:rFonts w:ascii="Arial" w:hAnsi="Arial" w:cs="Arial"/>
                <w:bCs/>
                <w:sz w:val="16"/>
                <w:szCs w:val="24"/>
              </w:rPr>
              <w:t>Submissions Under 37 CFR 1.78(d)(6)</w:t>
            </w:r>
          </w:p>
        </w:tc>
        <w:tc>
          <w:tcPr>
            <w:tcW w:w="686" w:type="pct"/>
            <w:vAlign w:val="center"/>
          </w:tcPr>
          <w:p w14:paraId="2448E862" w14:textId="37163539" w:rsidR="007571CE" w:rsidRPr="00B80737" w:rsidRDefault="008E3160" w:rsidP="00B80737">
            <w:pPr>
              <w:contextualSpacing/>
              <w:jc w:val="right"/>
              <w:rPr>
                <w:rFonts w:ascii="Arial" w:hAnsi="Arial" w:cs="Arial"/>
                <w:bCs/>
                <w:sz w:val="16"/>
                <w:szCs w:val="16"/>
              </w:rPr>
            </w:pPr>
            <w:r>
              <w:rPr>
                <w:rFonts w:ascii="Arial" w:hAnsi="Arial" w:cs="Arial"/>
                <w:bCs/>
                <w:sz w:val="16"/>
                <w:szCs w:val="16"/>
              </w:rPr>
              <w:t>2</w:t>
            </w:r>
          </w:p>
        </w:tc>
        <w:tc>
          <w:tcPr>
            <w:tcW w:w="569" w:type="pct"/>
            <w:vAlign w:val="center"/>
          </w:tcPr>
          <w:p w14:paraId="1C07BE30" w14:textId="77777777" w:rsidR="007571CE" w:rsidRPr="00B80737" w:rsidRDefault="007571CE" w:rsidP="00B80737">
            <w:pPr>
              <w:contextualSpacing/>
              <w:jc w:val="right"/>
              <w:rPr>
                <w:rFonts w:ascii="Arial" w:hAnsi="Arial" w:cs="Arial"/>
                <w:bCs/>
                <w:sz w:val="16"/>
                <w:szCs w:val="16"/>
              </w:rPr>
            </w:pPr>
            <w:r w:rsidRPr="00B80737">
              <w:rPr>
                <w:rFonts w:ascii="Arial" w:hAnsi="Arial" w:cs="Arial"/>
                <w:bCs/>
                <w:sz w:val="16"/>
                <w:szCs w:val="16"/>
              </w:rPr>
              <w:t>60</w:t>
            </w:r>
          </w:p>
        </w:tc>
        <w:tc>
          <w:tcPr>
            <w:tcW w:w="788" w:type="pct"/>
            <w:vAlign w:val="center"/>
          </w:tcPr>
          <w:p w14:paraId="7017EEF5" w14:textId="77777777" w:rsidR="007571CE" w:rsidRPr="00B80737" w:rsidRDefault="007571CE" w:rsidP="00B80737">
            <w:pPr>
              <w:contextualSpacing/>
              <w:jc w:val="right"/>
              <w:rPr>
                <w:rFonts w:ascii="Arial" w:hAnsi="Arial" w:cs="Arial"/>
                <w:bCs/>
                <w:sz w:val="16"/>
                <w:szCs w:val="16"/>
              </w:rPr>
            </w:pPr>
            <w:r w:rsidRPr="00B80737">
              <w:rPr>
                <w:rFonts w:ascii="Arial" w:hAnsi="Arial" w:cs="Arial"/>
                <w:bCs/>
                <w:sz w:val="16"/>
                <w:szCs w:val="16"/>
              </w:rPr>
              <w:t>120</w:t>
            </w:r>
          </w:p>
        </w:tc>
        <w:tc>
          <w:tcPr>
            <w:tcW w:w="394" w:type="pct"/>
            <w:vAlign w:val="center"/>
          </w:tcPr>
          <w:p w14:paraId="61371DB2" w14:textId="2D908223" w:rsidR="007571CE" w:rsidRPr="00B80737" w:rsidRDefault="007571CE" w:rsidP="00B80737">
            <w:pPr>
              <w:contextualSpacing/>
              <w:jc w:val="right"/>
              <w:rPr>
                <w:rFonts w:ascii="Arial" w:hAnsi="Arial" w:cs="Arial"/>
                <w:bCs/>
                <w:sz w:val="16"/>
                <w:szCs w:val="16"/>
              </w:rPr>
            </w:pPr>
            <w:r w:rsidRPr="00B80737">
              <w:rPr>
                <w:rFonts w:ascii="Arial" w:hAnsi="Arial" w:cs="Arial"/>
                <w:bCs/>
                <w:sz w:val="16"/>
                <w:szCs w:val="16"/>
              </w:rPr>
              <w:t>$</w:t>
            </w:r>
            <w:r w:rsidR="000A0C28" w:rsidRPr="000A0C28">
              <w:rPr>
                <w:rFonts w:ascii="Arial" w:hAnsi="Arial" w:cs="Arial"/>
                <w:bCs/>
                <w:sz w:val="16"/>
                <w:szCs w:val="16"/>
              </w:rPr>
              <w:t>410.00</w:t>
            </w:r>
          </w:p>
        </w:tc>
        <w:tc>
          <w:tcPr>
            <w:tcW w:w="742" w:type="pct"/>
            <w:vAlign w:val="center"/>
          </w:tcPr>
          <w:p w14:paraId="24A6D442" w14:textId="57AE80FC" w:rsidR="007571CE" w:rsidRPr="00B80737" w:rsidRDefault="007571CE" w:rsidP="00BD3E6B">
            <w:pPr>
              <w:contextualSpacing/>
              <w:jc w:val="right"/>
              <w:rPr>
                <w:rFonts w:ascii="Arial" w:hAnsi="Arial" w:cs="Arial"/>
                <w:bCs/>
                <w:sz w:val="16"/>
                <w:szCs w:val="16"/>
              </w:rPr>
            </w:pPr>
            <w:r>
              <w:rPr>
                <w:rFonts w:ascii="Arial" w:hAnsi="Arial" w:cs="Arial"/>
                <w:color w:val="000000"/>
                <w:sz w:val="16"/>
                <w:szCs w:val="16"/>
              </w:rPr>
              <w:t>$</w:t>
            </w:r>
            <w:r w:rsidR="00BD3E6B">
              <w:rPr>
                <w:rFonts w:ascii="Arial" w:hAnsi="Arial" w:cs="Arial"/>
                <w:color w:val="000000"/>
                <w:sz w:val="16"/>
                <w:szCs w:val="16"/>
              </w:rPr>
              <w:t>49,200</w:t>
            </w:r>
            <w:r>
              <w:rPr>
                <w:rFonts w:ascii="Arial" w:hAnsi="Arial" w:cs="Arial"/>
                <w:color w:val="000000"/>
                <w:sz w:val="16"/>
                <w:szCs w:val="16"/>
              </w:rPr>
              <w:t>.00</w:t>
            </w:r>
          </w:p>
        </w:tc>
      </w:tr>
      <w:tr w:rsidR="00BD3E6B" w:rsidRPr="00B80737" w14:paraId="191F422E" w14:textId="2F29BD2C" w:rsidTr="006133AB">
        <w:trPr>
          <w:cantSplit/>
        </w:trPr>
        <w:tc>
          <w:tcPr>
            <w:tcW w:w="420" w:type="pct"/>
            <w:vAlign w:val="center"/>
          </w:tcPr>
          <w:p w14:paraId="7F228D1E" w14:textId="77777777" w:rsidR="007571CE" w:rsidRPr="00B80737" w:rsidRDefault="007571CE" w:rsidP="00B80737">
            <w:pPr>
              <w:spacing w:after="120"/>
              <w:contextualSpacing/>
              <w:jc w:val="center"/>
              <w:rPr>
                <w:rFonts w:ascii="Arial" w:hAnsi="Arial" w:cs="Arial"/>
                <w:b/>
                <w:bCs/>
                <w:sz w:val="16"/>
                <w:szCs w:val="16"/>
              </w:rPr>
            </w:pPr>
            <w:r w:rsidRPr="00B80737">
              <w:rPr>
                <w:rFonts w:ascii="Arial" w:hAnsi="Arial" w:cs="Arial"/>
                <w:b/>
                <w:bCs/>
                <w:sz w:val="16"/>
                <w:szCs w:val="16"/>
              </w:rPr>
              <w:t>4</w:t>
            </w:r>
          </w:p>
        </w:tc>
        <w:tc>
          <w:tcPr>
            <w:tcW w:w="1401" w:type="pct"/>
            <w:vAlign w:val="center"/>
          </w:tcPr>
          <w:p w14:paraId="6B8CABA9" w14:textId="77777777" w:rsidR="007571CE" w:rsidRPr="00B80737" w:rsidRDefault="007571CE" w:rsidP="00B80737">
            <w:pPr>
              <w:spacing w:after="120"/>
              <w:contextualSpacing/>
              <w:rPr>
                <w:rFonts w:ascii="Arial" w:hAnsi="Arial" w:cs="Arial"/>
                <w:bCs/>
                <w:sz w:val="16"/>
                <w:szCs w:val="24"/>
              </w:rPr>
            </w:pPr>
            <w:r w:rsidRPr="00B80737">
              <w:rPr>
                <w:rFonts w:ascii="Arial" w:hAnsi="Arial" w:cs="Arial"/>
                <w:bCs/>
                <w:sz w:val="16"/>
                <w:szCs w:val="24"/>
              </w:rPr>
              <w:t>Electronic Identification of Inventorship and Ownership of the Subject Matter of Individual Claims under 37 CFR 1.110</w:t>
            </w:r>
          </w:p>
        </w:tc>
        <w:tc>
          <w:tcPr>
            <w:tcW w:w="686" w:type="pct"/>
            <w:vAlign w:val="center"/>
          </w:tcPr>
          <w:p w14:paraId="0EA264AA" w14:textId="6A04A805" w:rsidR="007571CE" w:rsidRPr="00B80737" w:rsidRDefault="008E3160" w:rsidP="00B80737">
            <w:pPr>
              <w:contextualSpacing/>
              <w:jc w:val="right"/>
              <w:rPr>
                <w:rFonts w:ascii="Arial" w:hAnsi="Arial" w:cs="Arial"/>
                <w:bCs/>
                <w:sz w:val="16"/>
                <w:szCs w:val="16"/>
              </w:rPr>
            </w:pPr>
            <w:r>
              <w:rPr>
                <w:rFonts w:ascii="Arial" w:hAnsi="Arial" w:cs="Arial"/>
                <w:bCs/>
                <w:sz w:val="16"/>
                <w:szCs w:val="16"/>
              </w:rPr>
              <w:t>2</w:t>
            </w:r>
          </w:p>
        </w:tc>
        <w:tc>
          <w:tcPr>
            <w:tcW w:w="569" w:type="pct"/>
            <w:vAlign w:val="center"/>
          </w:tcPr>
          <w:p w14:paraId="06FC8163" w14:textId="77777777" w:rsidR="007571CE" w:rsidRPr="00B80737" w:rsidRDefault="007571CE" w:rsidP="00B80737">
            <w:pPr>
              <w:contextualSpacing/>
              <w:jc w:val="right"/>
              <w:rPr>
                <w:rFonts w:ascii="Arial" w:hAnsi="Arial" w:cs="Arial"/>
                <w:bCs/>
                <w:sz w:val="16"/>
                <w:szCs w:val="16"/>
              </w:rPr>
            </w:pPr>
            <w:r w:rsidRPr="00B80737">
              <w:rPr>
                <w:rFonts w:ascii="Arial" w:hAnsi="Arial" w:cs="Arial"/>
                <w:bCs/>
                <w:sz w:val="16"/>
                <w:szCs w:val="16"/>
              </w:rPr>
              <w:t>146</w:t>
            </w:r>
          </w:p>
        </w:tc>
        <w:tc>
          <w:tcPr>
            <w:tcW w:w="788" w:type="pct"/>
            <w:vAlign w:val="center"/>
          </w:tcPr>
          <w:p w14:paraId="1FFC6C36" w14:textId="77777777" w:rsidR="007571CE" w:rsidRPr="00B80737" w:rsidRDefault="007571CE" w:rsidP="00B80737">
            <w:pPr>
              <w:contextualSpacing/>
              <w:jc w:val="right"/>
              <w:rPr>
                <w:rFonts w:ascii="Arial" w:hAnsi="Arial" w:cs="Arial"/>
                <w:bCs/>
                <w:sz w:val="16"/>
                <w:szCs w:val="16"/>
              </w:rPr>
            </w:pPr>
            <w:r w:rsidRPr="00B80737">
              <w:rPr>
                <w:rFonts w:ascii="Arial" w:hAnsi="Arial" w:cs="Arial"/>
                <w:bCs/>
                <w:sz w:val="16"/>
                <w:szCs w:val="16"/>
              </w:rPr>
              <w:t>292</w:t>
            </w:r>
          </w:p>
        </w:tc>
        <w:tc>
          <w:tcPr>
            <w:tcW w:w="394" w:type="pct"/>
            <w:vAlign w:val="center"/>
          </w:tcPr>
          <w:p w14:paraId="31D024C4" w14:textId="1BDD4A9D" w:rsidR="007571CE" w:rsidRPr="00B80737" w:rsidRDefault="007571CE" w:rsidP="00B80737">
            <w:pPr>
              <w:contextualSpacing/>
              <w:jc w:val="right"/>
              <w:rPr>
                <w:rFonts w:ascii="Arial" w:hAnsi="Arial" w:cs="Arial"/>
                <w:bCs/>
                <w:sz w:val="16"/>
                <w:szCs w:val="16"/>
              </w:rPr>
            </w:pPr>
            <w:r w:rsidRPr="00B80737">
              <w:rPr>
                <w:rFonts w:ascii="Arial" w:hAnsi="Arial" w:cs="Arial"/>
                <w:bCs/>
                <w:sz w:val="16"/>
                <w:szCs w:val="16"/>
              </w:rPr>
              <w:t>$</w:t>
            </w:r>
            <w:r w:rsidR="000A0C28" w:rsidRPr="000A0C28">
              <w:rPr>
                <w:rFonts w:ascii="Arial" w:hAnsi="Arial" w:cs="Arial"/>
                <w:bCs/>
                <w:sz w:val="16"/>
                <w:szCs w:val="16"/>
              </w:rPr>
              <w:t>410.00</w:t>
            </w:r>
          </w:p>
        </w:tc>
        <w:tc>
          <w:tcPr>
            <w:tcW w:w="742" w:type="pct"/>
            <w:vAlign w:val="center"/>
          </w:tcPr>
          <w:p w14:paraId="6F4B089D" w14:textId="3B356067" w:rsidR="007571CE" w:rsidRPr="00B80737" w:rsidRDefault="007571CE" w:rsidP="00BD3E6B">
            <w:pPr>
              <w:contextualSpacing/>
              <w:jc w:val="right"/>
              <w:rPr>
                <w:rFonts w:ascii="Arial" w:hAnsi="Arial" w:cs="Arial"/>
                <w:bCs/>
                <w:sz w:val="16"/>
                <w:szCs w:val="16"/>
              </w:rPr>
            </w:pPr>
            <w:r>
              <w:rPr>
                <w:rFonts w:ascii="Arial" w:hAnsi="Arial" w:cs="Arial"/>
                <w:color w:val="000000"/>
                <w:sz w:val="16"/>
                <w:szCs w:val="16"/>
              </w:rPr>
              <w:t>$</w:t>
            </w:r>
            <w:r w:rsidR="00BD3E6B">
              <w:rPr>
                <w:rFonts w:ascii="Arial" w:hAnsi="Arial" w:cs="Arial"/>
                <w:color w:val="000000"/>
                <w:sz w:val="16"/>
                <w:szCs w:val="16"/>
              </w:rPr>
              <w:t>119,720</w:t>
            </w:r>
            <w:r>
              <w:rPr>
                <w:rFonts w:ascii="Arial" w:hAnsi="Arial" w:cs="Arial"/>
                <w:color w:val="000000"/>
                <w:sz w:val="16"/>
                <w:szCs w:val="16"/>
              </w:rPr>
              <w:t>.00</w:t>
            </w:r>
          </w:p>
        </w:tc>
      </w:tr>
      <w:tr w:rsidR="00BD3E6B" w:rsidRPr="00B80737" w14:paraId="3373C63E" w14:textId="2C9661C0" w:rsidTr="006133AB">
        <w:trPr>
          <w:cantSplit/>
        </w:trPr>
        <w:tc>
          <w:tcPr>
            <w:tcW w:w="420" w:type="pct"/>
            <w:vAlign w:val="center"/>
          </w:tcPr>
          <w:p w14:paraId="5F3AA36B" w14:textId="77777777" w:rsidR="007571CE" w:rsidRPr="00B80737" w:rsidRDefault="007571CE" w:rsidP="00B80737">
            <w:pPr>
              <w:spacing w:after="120"/>
              <w:contextualSpacing/>
              <w:jc w:val="center"/>
              <w:rPr>
                <w:rFonts w:ascii="Arial" w:hAnsi="Arial" w:cs="Arial"/>
                <w:b/>
                <w:bCs/>
                <w:sz w:val="16"/>
                <w:szCs w:val="16"/>
              </w:rPr>
            </w:pPr>
            <w:r w:rsidRPr="00B80737">
              <w:rPr>
                <w:rFonts w:ascii="Arial" w:hAnsi="Arial" w:cs="Arial"/>
                <w:b/>
                <w:bCs/>
                <w:sz w:val="16"/>
                <w:szCs w:val="16"/>
              </w:rPr>
              <w:t>4</w:t>
            </w:r>
          </w:p>
        </w:tc>
        <w:tc>
          <w:tcPr>
            <w:tcW w:w="1401" w:type="pct"/>
            <w:vAlign w:val="center"/>
          </w:tcPr>
          <w:p w14:paraId="679C2F5D" w14:textId="77777777" w:rsidR="007571CE" w:rsidRPr="00B80737" w:rsidRDefault="007571CE" w:rsidP="00B80737">
            <w:pPr>
              <w:spacing w:after="120"/>
              <w:contextualSpacing/>
              <w:rPr>
                <w:rFonts w:ascii="Arial" w:hAnsi="Arial" w:cs="Arial"/>
                <w:bCs/>
                <w:sz w:val="16"/>
                <w:szCs w:val="24"/>
              </w:rPr>
            </w:pPr>
            <w:r w:rsidRPr="00B80737">
              <w:rPr>
                <w:rFonts w:ascii="Arial" w:hAnsi="Arial" w:cs="Arial"/>
                <w:bCs/>
                <w:sz w:val="16"/>
                <w:szCs w:val="24"/>
              </w:rPr>
              <w:t>Identification of Inventorship and Ownership of the Subject Matter of Individual Claims under 37 CFR 1.110</w:t>
            </w:r>
          </w:p>
        </w:tc>
        <w:tc>
          <w:tcPr>
            <w:tcW w:w="686" w:type="pct"/>
            <w:vAlign w:val="center"/>
          </w:tcPr>
          <w:p w14:paraId="6DD1E769" w14:textId="4FAEA4BA" w:rsidR="007571CE" w:rsidRPr="00B80737" w:rsidRDefault="008E3160" w:rsidP="00B80737">
            <w:pPr>
              <w:contextualSpacing/>
              <w:jc w:val="right"/>
              <w:rPr>
                <w:rFonts w:ascii="Arial" w:hAnsi="Arial" w:cs="Arial"/>
                <w:bCs/>
                <w:sz w:val="16"/>
                <w:szCs w:val="16"/>
              </w:rPr>
            </w:pPr>
            <w:r>
              <w:rPr>
                <w:rFonts w:ascii="Arial" w:hAnsi="Arial" w:cs="Arial"/>
                <w:bCs/>
                <w:sz w:val="16"/>
                <w:szCs w:val="16"/>
              </w:rPr>
              <w:t>2</w:t>
            </w:r>
          </w:p>
        </w:tc>
        <w:tc>
          <w:tcPr>
            <w:tcW w:w="569" w:type="pct"/>
            <w:vAlign w:val="center"/>
          </w:tcPr>
          <w:p w14:paraId="28A7A52D" w14:textId="77777777" w:rsidR="007571CE" w:rsidRPr="00B80737" w:rsidRDefault="007571CE" w:rsidP="00B80737">
            <w:pPr>
              <w:contextualSpacing/>
              <w:jc w:val="right"/>
              <w:rPr>
                <w:rFonts w:ascii="Arial" w:hAnsi="Arial" w:cs="Arial"/>
                <w:bCs/>
                <w:sz w:val="16"/>
                <w:szCs w:val="16"/>
              </w:rPr>
            </w:pPr>
            <w:r w:rsidRPr="00B80737">
              <w:rPr>
                <w:rFonts w:ascii="Arial" w:hAnsi="Arial" w:cs="Arial"/>
                <w:bCs/>
                <w:sz w:val="16"/>
                <w:szCs w:val="16"/>
              </w:rPr>
              <w:t>4</w:t>
            </w:r>
          </w:p>
        </w:tc>
        <w:tc>
          <w:tcPr>
            <w:tcW w:w="788" w:type="pct"/>
            <w:vAlign w:val="center"/>
          </w:tcPr>
          <w:p w14:paraId="427876E8" w14:textId="77777777" w:rsidR="007571CE" w:rsidRPr="00B80737" w:rsidRDefault="007571CE" w:rsidP="00B80737">
            <w:pPr>
              <w:contextualSpacing/>
              <w:jc w:val="right"/>
              <w:rPr>
                <w:rFonts w:ascii="Arial" w:hAnsi="Arial" w:cs="Arial"/>
                <w:bCs/>
                <w:sz w:val="16"/>
                <w:szCs w:val="16"/>
              </w:rPr>
            </w:pPr>
            <w:r w:rsidRPr="00B80737">
              <w:rPr>
                <w:rFonts w:ascii="Arial" w:hAnsi="Arial" w:cs="Arial"/>
                <w:bCs/>
                <w:sz w:val="16"/>
                <w:szCs w:val="16"/>
              </w:rPr>
              <w:t>8</w:t>
            </w:r>
          </w:p>
        </w:tc>
        <w:tc>
          <w:tcPr>
            <w:tcW w:w="394" w:type="pct"/>
            <w:vAlign w:val="center"/>
          </w:tcPr>
          <w:p w14:paraId="227667AB" w14:textId="138430F8" w:rsidR="007571CE" w:rsidRPr="00B80737" w:rsidRDefault="007571CE" w:rsidP="00B80737">
            <w:pPr>
              <w:contextualSpacing/>
              <w:jc w:val="right"/>
              <w:rPr>
                <w:rFonts w:ascii="Arial" w:hAnsi="Arial" w:cs="Arial"/>
                <w:bCs/>
                <w:sz w:val="16"/>
                <w:szCs w:val="16"/>
              </w:rPr>
            </w:pPr>
            <w:r w:rsidRPr="00B80737">
              <w:rPr>
                <w:rFonts w:ascii="Arial" w:hAnsi="Arial" w:cs="Arial"/>
                <w:bCs/>
                <w:sz w:val="16"/>
                <w:szCs w:val="16"/>
              </w:rPr>
              <w:t>$</w:t>
            </w:r>
            <w:r w:rsidR="000A0C28" w:rsidRPr="000A0C28">
              <w:rPr>
                <w:rFonts w:ascii="Arial" w:hAnsi="Arial" w:cs="Arial"/>
                <w:bCs/>
                <w:sz w:val="16"/>
                <w:szCs w:val="16"/>
              </w:rPr>
              <w:t>410.00</w:t>
            </w:r>
          </w:p>
        </w:tc>
        <w:tc>
          <w:tcPr>
            <w:tcW w:w="742" w:type="pct"/>
            <w:vAlign w:val="center"/>
          </w:tcPr>
          <w:p w14:paraId="2030E030" w14:textId="5551BF8B" w:rsidR="007571CE" w:rsidRPr="00B80737" w:rsidRDefault="007571CE" w:rsidP="00BD3E6B">
            <w:pPr>
              <w:contextualSpacing/>
              <w:jc w:val="right"/>
              <w:rPr>
                <w:rFonts w:ascii="Arial" w:hAnsi="Arial" w:cs="Arial"/>
                <w:bCs/>
                <w:sz w:val="16"/>
                <w:szCs w:val="16"/>
              </w:rPr>
            </w:pPr>
            <w:r>
              <w:rPr>
                <w:rFonts w:ascii="Arial" w:hAnsi="Arial" w:cs="Arial"/>
                <w:color w:val="000000"/>
                <w:sz w:val="16"/>
                <w:szCs w:val="16"/>
              </w:rPr>
              <w:t>$</w:t>
            </w:r>
            <w:r w:rsidR="00BD3E6B">
              <w:rPr>
                <w:rFonts w:ascii="Arial" w:hAnsi="Arial" w:cs="Arial"/>
                <w:color w:val="000000"/>
                <w:sz w:val="16"/>
                <w:szCs w:val="16"/>
              </w:rPr>
              <w:t>3,280</w:t>
            </w:r>
            <w:r>
              <w:rPr>
                <w:rFonts w:ascii="Arial" w:hAnsi="Arial" w:cs="Arial"/>
                <w:color w:val="000000"/>
                <w:sz w:val="16"/>
                <w:szCs w:val="16"/>
              </w:rPr>
              <w:t>.00</w:t>
            </w:r>
          </w:p>
        </w:tc>
      </w:tr>
      <w:tr w:rsidR="00BD3E6B" w:rsidRPr="00B80737" w14:paraId="069FC47C" w14:textId="0E155853" w:rsidTr="006133AB">
        <w:trPr>
          <w:cantSplit/>
        </w:trPr>
        <w:tc>
          <w:tcPr>
            <w:tcW w:w="420" w:type="pct"/>
            <w:vAlign w:val="center"/>
          </w:tcPr>
          <w:p w14:paraId="7B88F80F" w14:textId="77777777" w:rsidR="007571CE" w:rsidRPr="00B80737" w:rsidRDefault="007571CE" w:rsidP="00B80737">
            <w:pPr>
              <w:spacing w:after="120"/>
              <w:contextualSpacing/>
              <w:jc w:val="center"/>
              <w:rPr>
                <w:rFonts w:ascii="Arial" w:hAnsi="Arial" w:cs="Arial"/>
                <w:b/>
                <w:bCs/>
                <w:sz w:val="16"/>
                <w:szCs w:val="16"/>
              </w:rPr>
            </w:pPr>
            <w:r w:rsidRPr="00B80737">
              <w:rPr>
                <w:rFonts w:ascii="Arial" w:hAnsi="Arial" w:cs="Arial"/>
                <w:b/>
                <w:bCs/>
                <w:sz w:val="16"/>
                <w:szCs w:val="16"/>
              </w:rPr>
              <w:t>5</w:t>
            </w:r>
          </w:p>
        </w:tc>
        <w:tc>
          <w:tcPr>
            <w:tcW w:w="1401" w:type="pct"/>
            <w:vAlign w:val="center"/>
          </w:tcPr>
          <w:p w14:paraId="50A158DA" w14:textId="77777777" w:rsidR="007571CE" w:rsidRPr="00B80737" w:rsidRDefault="007571CE" w:rsidP="00B80737">
            <w:pPr>
              <w:spacing w:after="120"/>
              <w:contextualSpacing/>
              <w:rPr>
                <w:rFonts w:ascii="Arial" w:hAnsi="Arial" w:cs="Arial"/>
                <w:bCs/>
                <w:sz w:val="16"/>
                <w:szCs w:val="24"/>
              </w:rPr>
            </w:pPr>
            <w:r w:rsidRPr="00B80737">
              <w:rPr>
                <w:rFonts w:ascii="Arial" w:hAnsi="Arial" w:cs="Arial"/>
                <w:bCs/>
                <w:sz w:val="16"/>
                <w:szCs w:val="24"/>
              </w:rPr>
              <w:t>Electronic Rule 1.130, 1.131, and 1.132 Affidavits or Declarations</w:t>
            </w:r>
          </w:p>
        </w:tc>
        <w:tc>
          <w:tcPr>
            <w:tcW w:w="686" w:type="pct"/>
            <w:vAlign w:val="center"/>
          </w:tcPr>
          <w:p w14:paraId="58DA7158" w14:textId="79F25666" w:rsidR="007571CE" w:rsidRPr="00B80737" w:rsidRDefault="008E3160" w:rsidP="00B80737">
            <w:pPr>
              <w:contextualSpacing/>
              <w:jc w:val="right"/>
              <w:rPr>
                <w:rFonts w:ascii="Arial" w:hAnsi="Arial" w:cs="Arial"/>
                <w:bCs/>
                <w:sz w:val="16"/>
                <w:szCs w:val="16"/>
              </w:rPr>
            </w:pPr>
            <w:r>
              <w:rPr>
                <w:rFonts w:ascii="Arial" w:hAnsi="Arial" w:cs="Arial"/>
                <w:bCs/>
                <w:sz w:val="16"/>
                <w:szCs w:val="16"/>
              </w:rPr>
              <w:t>10</w:t>
            </w:r>
          </w:p>
        </w:tc>
        <w:tc>
          <w:tcPr>
            <w:tcW w:w="569" w:type="pct"/>
            <w:vAlign w:val="center"/>
          </w:tcPr>
          <w:p w14:paraId="4F3B281E" w14:textId="77777777" w:rsidR="007571CE" w:rsidRPr="00B80737" w:rsidRDefault="007571CE" w:rsidP="00B80737">
            <w:pPr>
              <w:contextualSpacing/>
              <w:jc w:val="right"/>
              <w:rPr>
                <w:rFonts w:ascii="Arial" w:hAnsi="Arial" w:cs="Arial"/>
                <w:bCs/>
                <w:sz w:val="16"/>
                <w:szCs w:val="16"/>
              </w:rPr>
            </w:pPr>
            <w:r w:rsidRPr="00B80737">
              <w:rPr>
                <w:rFonts w:ascii="Arial" w:hAnsi="Arial" w:cs="Arial"/>
                <w:bCs/>
                <w:sz w:val="16"/>
                <w:szCs w:val="16"/>
              </w:rPr>
              <w:t>29,100</w:t>
            </w:r>
          </w:p>
        </w:tc>
        <w:tc>
          <w:tcPr>
            <w:tcW w:w="788" w:type="pct"/>
            <w:vAlign w:val="center"/>
          </w:tcPr>
          <w:p w14:paraId="2B7ED700" w14:textId="77777777" w:rsidR="007571CE" w:rsidRPr="00B80737" w:rsidRDefault="007571CE" w:rsidP="00B80737">
            <w:pPr>
              <w:contextualSpacing/>
              <w:jc w:val="right"/>
              <w:rPr>
                <w:rFonts w:ascii="Arial" w:hAnsi="Arial" w:cs="Arial"/>
                <w:bCs/>
                <w:sz w:val="16"/>
                <w:szCs w:val="16"/>
              </w:rPr>
            </w:pPr>
            <w:r w:rsidRPr="00B80737">
              <w:rPr>
                <w:rFonts w:ascii="Arial" w:hAnsi="Arial" w:cs="Arial"/>
                <w:bCs/>
                <w:sz w:val="16"/>
                <w:szCs w:val="16"/>
              </w:rPr>
              <w:t>291,000</w:t>
            </w:r>
          </w:p>
        </w:tc>
        <w:tc>
          <w:tcPr>
            <w:tcW w:w="394" w:type="pct"/>
            <w:vAlign w:val="center"/>
          </w:tcPr>
          <w:p w14:paraId="3C0AD525" w14:textId="51575BF4" w:rsidR="007571CE" w:rsidRPr="00B80737" w:rsidRDefault="007571CE" w:rsidP="00B80737">
            <w:pPr>
              <w:contextualSpacing/>
              <w:jc w:val="right"/>
              <w:rPr>
                <w:rFonts w:ascii="Arial" w:hAnsi="Arial" w:cs="Arial"/>
                <w:bCs/>
                <w:sz w:val="16"/>
                <w:szCs w:val="16"/>
              </w:rPr>
            </w:pPr>
            <w:r w:rsidRPr="00B80737">
              <w:rPr>
                <w:rFonts w:ascii="Arial" w:hAnsi="Arial" w:cs="Arial"/>
                <w:bCs/>
                <w:sz w:val="16"/>
                <w:szCs w:val="16"/>
              </w:rPr>
              <w:t>$</w:t>
            </w:r>
            <w:r w:rsidR="000A0C28" w:rsidRPr="000A0C28">
              <w:rPr>
                <w:rFonts w:ascii="Arial" w:hAnsi="Arial" w:cs="Arial"/>
                <w:bCs/>
                <w:sz w:val="16"/>
                <w:szCs w:val="16"/>
              </w:rPr>
              <w:t>410.00</w:t>
            </w:r>
          </w:p>
        </w:tc>
        <w:tc>
          <w:tcPr>
            <w:tcW w:w="742" w:type="pct"/>
            <w:vAlign w:val="center"/>
          </w:tcPr>
          <w:p w14:paraId="63EA152F" w14:textId="1A5D45A7" w:rsidR="007571CE" w:rsidRPr="00B80737" w:rsidRDefault="007571CE" w:rsidP="00BD3E6B">
            <w:pPr>
              <w:contextualSpacing/>
              <w:jc w:val="right"/>
              <w:rPr>
                <w:rFonts w:ascii="Arial" w:hAnsi="Arial" w:cs="Arial"/>
                <w:bCs/>
                <w:sz w:val="16"/>
                <w:szCs w:val="16"/>
              </w:rPr>
            </w:pPr>
            <w:r>
              <w:rPr>
                <w:rFonts w:ascii="Arial" w:hAnsi="Arial" w:cs="Arial"/>
                <w:color w:val="000000"/>
                <w:sz w:val="16"/>
                <w:szCs w:val="16"/>
              </w:rPr>
              <w:t>$</w:t>
            </w:r>
            <w:r w:rsidR="00BD3E6B">
              <w:rPr>
                <w:rFonts w:ascii="Arial" w:hAnsi="Arial" w:cs="Arial"/>
                <w:color w:val="000000"/>
                <w:sz w:val="16"/>
                <w:szCs w:val="16"/>
              </w:rPr>
              <w:t>119,310,000</w:t>
            </w:r>
            <w:r>
              <w:rPr>
                <w:rFonts w:ascii="Arial" w:hAnsi="Arial" w:cs="Arial"/>
                <w:color w:val="000000"/>
                <w:sz w:val="16"/>
                <w:szCs w:val="16"/>
              </w:rPr>
              <w:t>.00</w:t>
            </w:r>
          </w:p>
        </w:tc>
      </w:tr>
      <w:tr w:rsidR="00BD3E6B" w:rsidRPr="00B80737" w14:paraId="4625AC8F" w14:textId="263B8C49" w:rsidTr="006133AB">
        <w:trPr>
          <w:cantSplit/>
        </w:trPr>
        <w:tc>
          <w:tcPr>
            <w:tcW w:w="420" w:type="pct"/>
            <w:vAlign w:val="center"/>
          </w:tcPr>
          <w:p w14:paraId="3A418CEF" w14:textId="77777777" w:rsidR="007571CE" w:rsidRPr="00B80737" w:rsidRDefault="007571CE" w:rsidP="00B80737">
            <w:pPr>
              <w:spacing w:after="120"/>
              <w:contextualSpacing/>
              <w:jc w:val="center"/>
              <w:rPr>
                <w:rFonts w:ascii="Arial" w:hAnsi="Arial" w:cs="Arial"/>
                <w:b/>
                <w:bCs/>
                <w:sz w:val="16"/>
                <w:szCs w:val="16"/>
              </w:rPr>
            </w:pPr>
            <w:r w:rsidRPr="00B80737">
              <w:rPr>
                <w:rFonts w:ascii="Arial" w:hAnsi="Arial" w:cs="Arial"/>
                <w:b/>
                <w:bCs/>
                <w:sz w:val="16"/>
                <w:szCs w:val="16"/>
              </w:rPr>
              <w:t>5</w:t>
            </w:r>
          </w:p>
        </w:tc>
        <w:tc>
          <w:tcPr>
            <w:tcW w:w="1401" w:type="pct"/>
            <w:vAlign w:val="center"/>
          </w:tcPr>
          <w:p w14:paraId="7FC87607" w14:textId="77777777" w:rsidR="007571CE" w:rsidRPr="00B80737" w:rsidRDefault="007571CE" w:rsidP="00B80737">
            <w:pPr>
              <w:spacing w:after="120"/>
              <w:contextualSpacing/>
              <w:rPr>
                <w:rFonts w:ascii="Arial" w:hAnsi="Arial" w:cs="Arial"/>
                <w:bCs/>
                <w:sz w:val="16"/>
                <w:szCs w:val="24"/>
              </w:rPr>
            </w:pPr>
          </w:p>
          <w:p w14:paraId="4864D624" w14:textId="77777777" w:rsidR="007571CE" w:rsidRPr="00B80737" w:rsidRDefault="007571CE" w:rsidP="00B80737">
            <w:pPr>
              <w:spacing w:after="120"/>
              <w:contextualSpacing/>
              <w:rPr>
                <w:rFonts w:ascii="Arial" w:hAnsi="Arial" w:cs="Arial"/>
                <w:bCs/>
                <w:sz w:val="16"/>
                <w:szCs w:val="24"/>
              </w:rPr>
            </w:pPr>
            <w:r w:rsidRPr="00B80737">
              <w:rPr>
                <w:rFonts w:ascii="Arial" w:hAnsi="Arial" w:cs="Arial"/>
                <w:bCs/>
                <w:sz w:val="16"/>
                <w:szCs w:val="24"/>
              </w:rPr>
              <w:t>Rule 1.130, 1.131, and 1.132 Affidavits or Declarations</w:t>
            </w:r>
          </w:p>
        </w:tc>
        <w:tc>
          <w:tcPr>
            <w:tcW w:w="686" w:type="pct"/>
            <w:vAlign w:val="center"/>
          </w:tcPr>
          <w:p w14:paraId="5F77F69F" w14:textId="60E9774C" w:rsidR="007571CE" w:rsidRPr="00B80737" w:rsidRDefault="008E3160" w:rsidP="00B80737">
            <w:pPr>
              <w:contextualSpacing/>
              <w:jc w:val="right"/>
              <w:rPr>
                <w:rFonts w:ascii="Arial" w:hAnsi="Arial" w:cs="Arial"/>
                <w:bCs/>
                <w:sz w:val="16"/>
                <w:szCs w:val="16"/>
              </w:rPr>
            </w:pPr>
            <w:r>
              <w:rPr>
                <w:rFonts w:ascii="Arial" w:hAnsi="Arial" w:cs="Arial"/>
                <w:bCs/>
                <w:sz w:val="16"/>
                <w:szCs w:val="16"/>
              </w:rPr>
              <w:t>10</w:t>
            </w:r>
          </w:p>
        </w:tc>
        <w:tc>
          <w:tcPr>
            <w:tcW w:w="569" w:type="pct"/>
            <w:vAlign w:val="center"/>
          </w:tcPr>
          <w:p w14:paraId="183D1FE9" w14:textId="77777777" w:rsidR="007571CE" w:rsidRPr="00B80737" w:rsidRDefault="007571CE" w:rsidP="00B80737">
            <w:pPr>
              <w:contextualSpacing/>
              <w:jc w:val="right"/>
              <w:rPr>
                <w:rFonts w:ascii="Arial" w:hAnsi="Arial" w:cs="Arial"/>
                <w:bCs/>
                <w:sz w:val="16"/>
                <w:szCs w:val="16"/>
              </w:rPr>
            </w:pPr>
            <w:r w:rsidRPr="00B80737">
              <w:rPr>
                <w:rFonts w:ascii="Arial" w:hAnsi="Arial" w:cs="Arial"/>
                <w:bCs/>
                <w:sz w:val="16"/>
                <w:szCs w:val="16"/>
              </w:rPr>
              <w:t>900</w:t>
            </w:r>
          </w:p>
        </w:tc>
        <w:tc>
          <w:tcPr>
            <w:tcW w:w="788" w:type="pct"/>
            <w:vAlign w:val="center"/>
          </w:tcPr>
          <w:p w14:paraId="7BFDE191" w14:textId="77777777" w:rsidR="007571CE" w:rsidRPr="00B80737" w:rsidRDefault="007571CE" w:rsidP="00B80737">
            <w:pPr>
              <w:contextualSpacing/>
              <w:jc w:val="right"/>
              <w:rPr>
                <w:rFonts w:ascii="Arial" w:hAnsi="Arial" w:cs="Arial"/>
                <w:bCs/>
                <w:sz w:val="16"/>
                <w:szCs w:val="16"/>
              </w:rPr>
            </w:pPr>
            <w:r w:rsidRPr="00B80737">
              <w:rPr>
                <w:rFonts w:ascii="Arial" w:hAnsi="Arial" w:cs="Arial"/>
                <w:bCs/>
                <w:sz w:val="16"/>
                <w:szCs w:val="16"/>
              </w:rPr>
              <w:t>9,000</w:t>
            </w:r>
          </w:p>
        </w:tc>
        <w:tc>
          <w:tcPr>
            <w:tcW w:w="394" w:type="pct"/>
            <w:vAlign w:val="center"/>
          </w:tcPr>
          <w:p w14:paraId="55C37328" w14:textId="1F6F92E2" w:rsidR="007571CE" w:rsidRPr="00B80737" w:rsidRDefault="007571CE" w:rsidP="00B80737">
            <w:pPr>
              <w:contextualSpacing/>
              <w:jc w:val="right"/>
              <w:rPr>
                <w:rFonts w:ascii="Arial" w:hAnsi="Arial" w:cs="Arial"/>
                <w:bCs/>
                <w:sz w:val="16"/>
                <w:szCs w:val="16"/>
              </w:rPr>
            </w:pPr>
            <w:r w:rsidRPr="00B80737">
              <w:rPr>
                <w:rFonts w:ascii="Arial" w:hAnsi="Arial" w:cs="Arial"/>
                <w:bCs/>
                <w:sz w:val="16"/>
                <w:szCs w:val="16"/>
              </w:rPr>
              <w:t>$</w:t>
            </w:r>
            <w:r w:rsidR="000A0C28" w:rsidRPr="000A0C28">
              <w:rPr>
                <w:rFonts w:ascii="Arial" w:hAnsi="Arial" w:cs="Arial"/>
                <w:bCs/>
                <w:sz w:val="16"/>
                <w:szCs w:val="16"/>
              </w:rPr>
              <w:t>410.00</w:t>
            </w:r>
          </w:p>
        </w:tc>
        <w:tc>
          <w:tcPr>
            <w:tcW w:w="742" w:type="pct"/>
            <w:vAlign w:val="center"/>
          </w:tcPr>
          <w:p w14:paraId="558188B0" w14:textId="0D955821" w:rsidR="007571CE" w:rsidRPr="00B80737" w:rsidRDefault="007571CE" w:rsidP="00BD3E6B">
            <w:pPr>
              <w:contextualSpacing/>
              <w:jc w:val="right"/>
              <w:rPr>
                <w:rFonts w:ascii="Arial" w:hAnsi="Arial" w:cs="Arial"/>
                <w:bCs/>
                <w:sz w:val="16"/>
                <w:szCs w:val="16"/>
              </w:rPr>
            </w:pPr>
            <w:r>
              <w:rPr>
                <w:rFonts w:ascii="Arial" w:hAnsi="Arial" w:cs="Arial"/>
                <w:color w:val="000000"/>
                <w:sz w:val="16"/>
                <w:szCs w:val="16"/>
              </w:rPr>
              <w:t>$</w:t>
            </w:r>
            <w:r w:rsidR="00BD3E6B">
              <w:rPr>
                <w:rFonts w:ascii="Arial" w:hAnsi="Arial" w:cs="Arial"/>
                <w:color w:val="000000"/>
                <w:sz w:val="16"/>
                <w:szCs w:val="16"/>
              </w:rPr>
              <w:t>3,690,000</w:t>
            </w:r>
            <w:r>
              <w:rPr>
                <w:rFonts w:ascii="Arial" w:hAnsi="Arial" w:cs="Arial"/>
                <w:color w:val="000000"/>
                <w:sz w:val="16"/>
                <w:szCs w:val="16"/>
              </w:rPr>
              <w:t>.00</w:t>
            </w:r>
          </w:p>
        </w:tc>
      </w:tr>
      <w:tr w:rsidR="00BD3E6B" w:rsidRPr="00B80737" w14:paraId="387B73AA" w14:textId="65659C4E" w:rsidTr="006133AB">
        <w:trPr>
          <w:cantSplit/>
        </w:trPr>
        <w:tc>
          <w:tcPr>
            <w:tcW w:w="420" w:type="pct"/>
            <w:vAlign w:val="center"/>
          </w:tcPr>
          <w:p w14:paraId="2E59BA6C" w14:textId="77777777" w:rsidR="00B80737" w:rsidRPr="00B80737" w:rsidRDefault="00B80737" w:rsidP="007571CE">
            <w:pPr>
              <w:spacing w:after="120"/>
              <w:contextualSpacing/>
              <w:jc w:val="center"/>
              <w:rPr>
                <w:rFonts w:ascii="Arial" w:hAnsi="Arial" w:cs="Arial"/>
                <w:bCs/>
                <w:sz w:val="16"/>
                <w:szCs w:val="16"/>
              </w:rPr>
            </w:pPr>
            <w:r w:rsidRPr="00B80737">
              <w:rPr>
                <w:rFonts w:ascii="Arial" w:hAnsi="Arial" w:cs="Arial"/>
                <w:b/>
                <w:bCs/>
                <w:sz w:val="16"/>
                <w:szCs w:val="16"/>
              </w:rPr>
              <w:t>Total</w:t>
            </w:r>
          </w:p>
        </w:tc>
        <w:tc>
          <w:tcPr>
            <w:tcW w:w="1401" w:type="pct"/>
            <w:vAlign w:val="center"/>
          </w:tcPr>
          <w:p w14:paraId="43519E38" w14:textId="77777777" w:rsidR="00B80737" w:rsidRPr="00B80737" w:rsidRDefault="00B80737" w:rsidP="00B80737">
            <w:pPr>
              <w:spacing w:after="120"/>
              <w:contextualSpacing/>
              <w:rPr>
                <w:rFonts w:ascii="Arial" w:hAnsi="Arial" w:cs="Arial"/>
                <w:b/>
                <w:bCs/>
                <w:sz w:val="16"/>
                <w:szCs w:val="16"/>
              </w:rPr>
            </w:pPr>
            <w:r w:rsidRPr="00B80737">
              <w:rPr>
                <w:rFonts w:ascii="Arial" w:hAnsi="Arial" w:cs="Arial"/>
                <w:b/>
                <w:bCs/>
                <w:sz w:val="16"/>
                <w:szCs w:val="16"/>
              </w:rPr>
              <w:t>…………………………………………</w:t>
            </w:r>
          </w:p>
        </w:tc>
        <w:tc>
          <w:tcPr>
            <w:tcW w:w="686" w:type="pct"/>
            <w:vAlign w:val="center"/>
          </w:tcPr>
          <w:p w14:paraId="2D2FB425" w14:textId="77777777" w:rsidR="00B80737" w:rsidRPr="00B80737" w:rsidRDefault="00B80737" w:rsidP="00B80737">
            <w:pPr>
              <w:contextualSpacing/>
              <w:jc w:val="right"/>
              <w:rPr>
                <w:rFonts w:ascii="Arial" w:hAnsi="Arial" w:cs="Arial"/>
                <w:b/>
                <w:bCs/>
                <w:sz w:val="16"/>
                <w:szCs w:val="16"/>
              </w:rPr>
            </w:pPr>
            <w:r w:rsidRPr="00B80737">
              <w:rPr>
                <w:rFonts w:ascii="Arial" w:hAnsi="Arial" w:cs="Arial"/>
                <w:b/>
                <w:bCs/>
                <w:sz w:val="16"/>
                <w:szCs w:val="16"/>
              </w:rPr>
              <w:t>…………………</w:t>
            </w:r>
          </w:p>
        </w:tc>
        <w:tc>
          <w:tcPr>
            <w:tcW w:w="569" w:type="pct"/>
            <w:vAlign w:val="center"/>
          </w:tcPr>
          <w:p w14:paraId="1A1EB534" w14:textId="77777777" w:rsidR="00B80737" w:rsidRPr="00B80737" w:rsidRDefault="00B80737" w:rsidP="00B80737">
            <w:pPr>
              <w:contextualSpacing/>
              <w:jc w:val="right"/>
              <w:rPr>
                <w:rFonts w:ascii="Arial" w:hAnsi="Arial" w:cs="Arial"/>
                <w:bCs/>
                <w:sz w:val="16"/>
                <w:szCs w:val="16"/>
              </w:rPr>
            </w:pPr>
            <w:r w:rsidRPr="00B80737">
              <w:rPr>
                <w:rFonts w:ascii="Arial" w:hAnsi="Arial" w:cs="Arial"/>
                <w:b/>
                <w:bCs/>
                <w:sz w:val="16"/>
                <w:szCs w:val="24"/>
              </w:rPr>
              <w:t>50,150</w:t>
            </w:r>
          </w:p>
        </w:tc>
        <w:tc>
          <w:tcPr>
            <w:tcW w:w="788" w:type="pct"/>
            <w:vAlign w:val="center"/>
          </w:tcPr>
          <w:p w14:paraId="271A437D" w14:textId="77777777" w:rsidR="00B80737" w:rsidRPr="00B80737" w:rsidRDefault="00B80737" w:rsidP="00B80737">
            <w:pPr>
              <w:contextualSpacing/>
              <w:jc w:val="right"/>
              <w:rPr>
                <w:rFonts w:ascii="Arial" w:hAnsi="Arial" w:cs="Arial"/>
                <w:bCs/>
                <w:sz w:val="16"/>
                <w:szCs w:val="16"/>
              </w:rPr>
            </w:pPr>
            <w:r w:rsidRPr="00B80737">
              <w:rPr>
                <w:rFonts w:ascii="Arial" w:hAnsi="Arial" w:cs="Arial"/>
                <w:b/>
                <w:bCs/>
                <w:sz w:val="16"/>
                <w:szCs w:val="24"/>
              </w:rPr>
              <w:t>340,300</w:t>
            </w:r>
          </w:p>
        </w:tc>
        <w:tc>
          <w:tcPr>
            <w:tcW w:w="394" w:type="pct"/>
            <w:vAlign w:val="center"/>
          </w:tcPr>
          <w:p w14:paraId="359BE3B5" w14:textId="71BC31B2" w:rsidR="00B80737" w:rsidRPr="00B80737" w:rsidRDefault="007571CE" w:rsidP="00B80737">
            <w:pPr>
              <w:contextualSpacing/>
              <w:jc w:val="right"/>
              <w:rPr>
                <w:rFonts w:ascii="Arial" w:hAnsi="Arial" w:cs="Arial"/>
                <w:b/>
                <w:bCs/>
                <w:sz w:val="16"/>
                <w:szCs w:val="24"/>
              </w:rPr>
            </w:pPr>
            <w:r>
              <w:rPr>
                <w:rFonts w:ascii="Arial" w:hAnsi="Arial" w:cs="Arial"/>
                <w:b/>
                <w:bCs/>
                <w:sz w:val="16"/>
                <w:szCs w:val="24"/>
              </w:rPr>
              <w:t>………..</w:t>
            </w:r>
          </w:p>
        </w:tc>
        <w:tc>
          <w:tcPr>
            <w:tcW w:w="742" w:type="pct"/>
          </w:tcPr>
          <w:p w14:paraId="062A4A69" w14:textId="1662A984" w:rsidR="00B80737" w:rsidRPr="00B80737" w:rsidRDefault="007571CE" w:rsidP="000A0C28">
            <w:pPr>
              <w:contextualSpacing/>
              <w:jc w:val="right"/>
              <w:rPr>
                <w:rFonts w:ascii="Arial" w:hAnsi="Arial" w:cs="Arial"/>
                <w:b/>
                <w:bCs/>
                <w:sz w:val="16"/>
                <w:szCs w:val="24"/>
              </w:rPr>
            </w:pPr>
            <w:r w:rsidRPr="007571CE">
              <w:rPr>
                <w:rFonts w:ascii="Arial" w:hAnsi="Arial" w:cs="Arial"/>
                <w:b/>
                <w:bCs/>
                <w:sz w:val="16"/>
                <w:szCs w:val="24"/>
              </w:rPr>
              <w:t>$13</w:t>
            </w:r>
            <w:r w:rsidR="000A0C28">
              <w:rPr>
                <w:rFonts w:ascii="Arial" w:hAnsi="Arial" w:cs="Arial"/>
                <w:b/>
                <w:bCs/>
                <w:sz w:val="16"/>
                <w:szCs w:val="24"/>
              </w:rPr>
              <w:t>9,523,000</w:t>
            </w:r>
          </w:p>
        </w:tc>
      </w:tr>
    </w:tbl>
    <w:p w14:paraId="4B697B16" w14:textId="77777777" w:rsidR="009A5F9A" w:rsidRDefault="009A5F9A" w:rsidP="009A5F9A">
      <w:pPr>
        <w:rPr>
          <w:rFonts w:ascii="Arial" w:hAnsi="Arial"/>
          <w:b/>
          <w:sz w:val="24"/>
          <w:highlight w:val="yellow"/>
        </w:rPr>
      </w:pPr>
    </w:p>
    <w:p w14:paraId="4B697B18" w14:textId="77777777" w:rsidR="009A5F9A" w:rsidRDefault="009A5F9A" w:rsidP="009A5F9A">
      <w:pPr>
        <w:jc w:val="both"/>
        <w:rPr>
          <w:rFonts w:ascii="Arial" w:hAnsi="Arial"/>
          <w:sz w:val="24"/>
        </w:rPr>
      </w:pPr>
    </w:p>
    <w:p w14:paraId="4B697B46" w14:textId="77777777" w:rsidR="009A5F9A" w:rsidRDefault="009A5F9A" w:rsidP="009A5F9A">
      <w:pPr>
        <w:rPr>
          <w:rFonts w:ascii="Arial" w:hAnsi="Arial"/>
          <w:b/>
          <w:sz w:val="24"/>
        </w:rPr>
      </w:pPr>
      <w:r w:rsidRPr="000F7F3D">
        <w:rPr>
          <w:rFonts w:ascii="Arial" w:hAnsi="Arial"/>
          <w:b/>
          <w:sz w:val="24"/>
        </w:rPr>
        <w:t>13.</w:t>
      </w:r>
      <w:r w:rsidRPr="000F7F3D">
        <w:rPr>
          <w:rFonts w:ascii="Arial" w:hAnsi="Arial"/>
          <w:b/>
          <w:sz w:val="24"/>
        </w:rPr>
        <w:tab/>
        <w:t>Total Annualized Cost Burden</w:t>
      </w:r>
    </w:p>
    <w:p w14:paraId="4B697B47" w14:textId="77777777" w:rsidR="009A5F9A" w:rsidRDefault="009A5F9A" w:rsidP="009A5F9A">
      <w:pPr>
        <w:rPr>
          <w:rFonts w:ascii="Arial" w:hAnsi="Arial"/>
          <w:sz w:val="24"/>
        </w:rPr>
      </w:pPr>
    </w:p>
    <w:p w14:paraId="4B697B48" w14:textId="08A8FA0A" w:rsidR="009A5F9A" w:rsidRDefault="009A5F9A" w:rsidP="009A5F9A">
      <w:pPr>
        <w:pStyle w:val="BodyText2"/>
      </w:pPr>
      <w:r w:rsidRPr="00F158E6">
        <w:t>There are postage costs associated with</w:t>
      </w:r>
      <w:r>
        <w:t xml:space="preserve"> the items in this collection. Specifically, customers may incur postage costs when submitting the information in this collection to the USPTO by mail through the United States Postal Service. The USPTO estimates that these submissions will be sent by priority mail and that they will weigh no more than one pound. The USPTO estimates that the average priority postage cost for a one-pound submission will be $</w:t>
      </w:r>
      <w:r w:rsidR="007A1F35">
        <w:t>5.</w:t>
      </w:r>
      <w:r w:rsidR="008E3160">
        <w:t xml:space="preserve">75 </w:t>
      </w:r>
      <w:r>
        <w:t xml:space="preserve">and that approximately </w:t>
      </w:r>
      <w:r w:rsidR="007571CE">
        <w:t>1,474</w:t>
      </w:r>
      <w:r>
        <w:t xml:space="preserve"> will be mailed to the USPTO.</w:t>
      </w:r>
    </w:p>
    <w:p w14:paraId="4B697B49" w14:textId="77777777" w:rsidR="009A5F9A" w:rsidRDefault="009A5F9A" w:rsidP="009A5F9A">
      <w:pPr>
        <w:pStyle w:val="BodyText2"/>
      </w:pPr>
    </w:p>
    <w:p w14:paraId="4B697B4A" w14:textId="25F1ACDA" w:rsidR="009A5F9A" w:rsidRDefault="009A5F9A" w:rsidP="009A5F9A">
      <w:pPr>
        <w:pStyle w:val="BodyText2"/>
      </w:pPr>
      <w:r>
        <w:t>The USPTO estimates that the total annualized (non-hour) cost burden for this collect</w:t>
      </w:r>
      <w:r w:rsidR="00F636F8">
        <w:t xml:space="preserve">ion is due to postage costs of </w:t>
      </w:r>
      <w:r w:rsidR="007A1F35" w:rsidRPr="007A1F35">
        <w:t>$</w:t>
      </w:r>
      <w:r w:rsidR="007571CE">
        <w:t>8,475.50</w:t>
      </w:r>
      <w:r w:rsidR="007A1F35">
        <w:t xml:space="preserve"> </w:t>
      </w:r>
      <w:r>
        <w:t xml:space="preserve">per year.  </w:t>
      </w:r>
    </w:p>
    <w:p w14:paraId="4B697B4B" w14:textId="77777777" w:rsidR="009A5F9A" w:rsidRDefault="009A5F9A" w:rsidP="009A5F9A">
      <w:pPr>
        <w:pStyle w:val="BodyText2"/>
      </w:pPr>
    </w:p>
    <w:p w14:paraId="4B697B4C" w14:textId="2B70CF79" w:rsidR="009A5F9A" w:rsidRDefault="007571CE" w:rsidP="009A5F9A">
      <w:pPr>
        <w:pStyle w:val="BodyText2"/>
      </w:pPr>
      <w:r>
        <w:t>Table 4</w:t>
      </w:r>
      <w:r w:rsidR="009A5F9A">
        <w:t xml:space="preserve"> shows the postage costs for this collection.</w:t>
      </w:r>
    </w:p>
    <w:p w14:paraId="4B697B4D" w14:textId="77777777" w:rsidR="009A5F9A" w:rsidRDefault="009A5F9A" w:rsidP="009A5F9A">
      <w:pPr>
        <w:pStyle w:val="BodyText2"/>
      </w:pPr>
    </w:p>
    <w:p w14:paraId="4B697B4E" w14:textId="6170982C" w:rsidR="009A5F9A" w:rsidRDefault="007571CE" w:rsidP="009A5F9A">
      <w:pPr>
        <w:pStyle w:val="BodyText2"/>
        <w:rPr>
          <w:b/>
          <w:sz w:val="20"/>
        </w:rPr>
      </w:pPr>
      <w:r>
        <w:rPr>
          <w:b/>
          <w:sz w:val="20"/>
        </w:rPr>
        <w:t>Table 4</w:t>
      </w:r>
      <w:r w:rsidR="009A5F9A">
        <w:rPr>
          <w:b/>
          <w:sz w:val="20"/>
        </w:rPr>
        <w:t>:  Postage Costs for Respondents for Matters Related to First Inventor to File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3690"/>
        <w:gridCol w:w="1620"/>
        <w:gridCol w:w="1440"/>
        <w:gridCol w:w="1440"/>
      </w:tblGrid>
      <w:tr w:rsidR="008E3160" w:rsidRPr="00D40577" w14:paraId="4B697B57" w14:textId="77777777" w:rsidTr="006133AB">
        <w:tc>
          <w:tcPr>
            <w:tcW w:w="1170" w:type="dxa"/>
            <w:vAlign w:val="center"/>
          </w:tcPr>
          <w:p w14:paraId="67166F92" w14:textId="67485015" w:rsidR="008E3160" w:rsidRPr="00BA4B25" w:rsidDel="008E3160" w:rsidRDefault="008E3160" w:rsidP="008E3160">
            <w:pPr>
              <w:pStyle w:val="BodyText2"/>
              <w:spacing w:before="60" w:after="60"/>
              <w:jc w:val="center"/>
              <w:rPr>
                <w:b/>
                <w:sz w:val="16"/>
                <w:szCs w:val="16"/>
              </w:rPr>
            </w:pPr>
            <w:r w:rsidRPr="00BA4B25">
              <w:rPr>
                <w:b/>
                <w:sz w:val="16"/>
                <w:szCs w:val="16"/>
              </w:rPr>
              <w:t>IC Number</w:t>
            </w:r>
          </w:p>
        </w:tc>
        <w:tc>
          <w:tcPr>
            <w:tcW w:w="3690" w:type="dxa"/>
            <w:shd w:val="clear" w:color="auto" w:fill="auto"/>
            <w:vAlign w:val="center"/>
          </w:tcPr>
          <w:p w14:paraId="4B697B50" w14:textId="77777777" w:rsidR="008E3160" w:rsidRPr="00D40577" w:rsidRDefault="008E3160" w:rsidP="006133AB">
            <w:pPr>
              <w:pStyle w:val="BodyText2"/>
              <w:spacing w:before="60" w:after="60"/>
              <w:jc w:val="center"/>
              <w:rPr>
                <w:b/>
                <w:sz w:val="16"/>
                <w:szCs w:val="16"/>
              </w:rPr>
            </w:pPr>
            <w:r w:rsidRPr="00D40577">
              <w:rPr>
                <w:b/>
                <w:sz w:val="16"/>
                <w:szCs w:val="16"/>
              </w:rPr>
              <w:t>Item</w:t>
            </w:r>
          </w:p>
        </w:tc>
        <w:tc>
          <w:tcPr>
            <w:tcW w:w="1620" w:type="dxa"/>
            <w:shd w:val="clear" w:color="auto" w:fill="auto"/>
            <w:vAlign w:val="center"/>
          </w:tcPr>
          <w:p w14:paraId="4B697B52" w14:textId="77777777" w:rsidR="008E3160" w:rsidRPr="00D40577" w:rsidRDefault="008E3160" w:rsidP="006133AB">
            <w:pPr>
              <w:pStyle w:val="BodyText2"/>
              <w:spacing w:before="60" w:after="60"/>
              <w:jc w:val="center"/>
              <w:rPr>
                <w:b/>
                <w:sz w:val="16"/>
                <w:szCs w:val="16"/>
              </w:rPr>
            </w:pPr>
            <w:r w:rsidRPr="00D40577">
              <w:rPr>
                <w:b/>
                <w:sz w:val="16"/>
                <w:szCs w:val="16"/>
              </w:rPr>
              <w:t>Estimated Annual Mailed Responses</w:t>
            </w:r>
          </w:p>
        </w:tc>
        <w:tc>
          <w:tcPr>
            <w:tcW w:w="1440" w:type="dxa"/>
            <w:shd w:val="clear" w:color="auto" w:fill="auto"/>
            <w:vAlign w:val="center"/>
          </w:tcPr>
          <w:p w14:paraId="4B697B54" w14:textId="77777777" w:rsidR="008E3160" w:rsidRPr="00D40577" w:rsidRDefault="008E3160" w:rsidP="006133AB">
            <w:pPr>
              <w:pStyle w:val="BodyText2"/>
              <w:spacing w:before="60" w:after="60"/>
              <w:jc w:val="center"/>
              <w:rPr>
                <w:b/>
                <w:sz w:val="16"/>
                <w:szCs w:val="16"/>
              </w:rPr>
            </w:pPr>
            <w:r w:rsidRPr="00D40577">
              <w:rPr>
                <w:b/>
                <w:sz w:val="16"/>
                <w:szCs w:val="16"/>
              </w:rPr>
              <w:t>Estimated Postage Amount</w:t>
            </w:r>
          </w:p>
        </w:tc>
        <w:tc>
          <w:tcPr>
            <w:tcW w:w="1440" w:type="dxa"/>
            <w:shd w:val="clear" w:color="auto" w:fill="auto"/>
            <w:vAlign w:val="center"/>
          </w:tcPr>
          <w:p w14:paraId="4B697B56" w14:textId="77777777" w:rsidR="008E3160" w:rsidRPr="00D40577" w:rsidRDefault="008E3160" w:rsidP="006133AB">
            <w:pPr>
              <w:pStyle w:val="BodyText2"/>
              <w:spacing w:before="60" w:after="60"/>
              <w:jc w:val="center"/>
              <w:rPr>
                <w:b/>
                <w:sz w:val="16"/>
                <w:szCs w:val="16"/>
              </w:rPr>
            </w:pPr>
            <w:r w:rsidRPr="00D40577">
              <w:rPr>
                <w:b/>
                <w:sz w:val="16"/>
                <w:szCs w:val="16"/>
              </w:rPr>
              <w:t>Estimated Annual Postage Costs</w:t>
            </w:r>
          </w:p>
        </w:tc>
      </w:tr>
      <w:tr w:rsidR="008E3160" w:rsidRPr="00D40577" w14:paraId="4B697B60" w14:textId="77777777" w:rsidTr="006133AB">
        <w:tc>
          <w:tcPr>
            <w:tcW w:w="1170" w:type="dxa"/>
            <w:vAlign w:val="center"/>
          </w:tcPr>
          <w:p w14:paraId="726AE637" w14:textId="5C3525F2" w:rsidR="008E3160" w:rsidRPr="006133AB" w:rsidRDefault="008E3160" w:rsidP="006133AB">
            <w:pPr>
              <w:pStyle w:val="BodyText2"/>
              <w:spacing w:before="60" w:after="60"/>
              <w:jc w:val="center"/>
              <w:rPr>
                <w:b/>
                <w:sz w:val="16"/>
                <w:szCs w:val="16"/>
              </w:rPr>
            </w:pPr>
            <w:r>
              <w:rPr>
                <w:b/>
                <w:sz w:val="16"/>
                <w:szCs w:val="16"/>
              </w:rPr>
              <w:t>1</w:t>
            </w:r>
          </w:p>
        </w:tc>
        <w:tc>
          <w:tcPr>
            <w:tcW w:w="3690" w:type="dxa"/>
            <w:shd w:val="clear" w:color="auto" w:fill="auto"/>
            <w:vAlign w:val="center"/>
          </w:tcPr>
          <w:p w14:paraId="4B697B59" w14:textId="14EF86F2" w:rsidR="008E3160" w:rsidRPr="00D40577" w:rsidRDefault="008E3160" w:rsidP="006133AB">
            <w:pPr>
              <w:spacing w:before="60" w:after="60"/>
              <w:jc w:val="both"/>
            </w:pPr>
            <w:r>
              <w:rPr>
                <w:rFonts w:ascii="Arial" w:hAnsi="Arial" w:cs="Arial"/>
                <w:color w:val="000000"/>
                <w:sz w:val="16"/>
                <w:szCs w:val="16"/>
              </w:rPr>
              <w:t>Submissions Under 37 CFR1.55 (</w:t>
            </w:r>
            <w:r w:rsidR="00A5073B">
              <w:rPr>
                <w:rFonts w:ascii="Arial" w:hAnsi="Arial" w:cs="Arial"/>
                <w:color w:val="000000"/>
                <w:sz w:val="16"/>
                <w:szCs w:val="16"/>
              </w:rPr>
              <w:t>k</w:t>
            </w:r>
            <w:r>
              <w:rPr>
                <w:rFonts w:ascii="Arial" w:hAnsi="Arial" w:cs="Arial"/>
                <w:color w:val="000000"/>
                <w:sz w:val="16"/>
                <w:szCs w:val="16"/>
              </w:rPr>
              <w:t xml:space="preserve">) </w:t>
            </w:r>
          </w:p>
        </w:tc>
        <w:tc>
          <w:tcPr>
            <w:tcW w:w="1620" w:type="dxa"/>
            <w:shd w:val="clear" w:color="auto" w:fill="auto"/>
            <w:vAlign w:val="center"/>
          </w:tcPr>
          <w:p w14:paraId="4B697B5B" w14:textId="78545340" w:rsidR="008E3160" w:rsidRPr="00D40577" w:rsidRDefault="008E3160" w:rsidP="006133AB">
            <w:pPr>
              <w:pStyle w:val="BodyText2"/>
              <w:spacing w:before="60" w:after="60"/>
              <w:jc w:val="right"/>
              <w:rPr>
                <w:sz w:val="16"/>
                <w:szCs w:val="16"/>
              </w:rPr>
            </w:pPr>
            <w:r>
              <w:rPr>
                <w:sz w:val="16"/>
                <w:szCs w:val="16"/>
              </w:rPr>
              <w:t>294</w:t>
            </w:r>
          </w:p>
        </w:tc>
        <w:tc>
          <w:tcPr>
            <w:tcW w:w="1440" w:type="dxa"/>
            <w:shd w:val="clear" w:color="auto" w:fill="auto"/>
            <w:vAlign w:val="center"/>
          </w:tcPr>
          <w:p w14:paraId="4B697B5D" w14:textId="4E82E342" w:rsidR="008E3160" w:rsidRPr="00D40577" w:rsidRDefault="008E3160" w:rsidP="006133AB">
            <w:pPr>
              <w:pStyle w:val="BodyText2"/>
              <w:spacing w:before="60" w:after="60"/>
              <w:jc w:val="right"/>
              <w:rPr>
                <w:sz w:val="16"/>
                <w:szCs w:val="16"/>
              </w:rPr>
            </w:pPr>
            <w:r>
              <w:rPr>
                <w:sz w:val="16"/>
                <w:szCs w:val="16"/>
              </w:rPr>
              <w:t>$5.75</w:t>
            </w:r>
          </w:p>
        </w:tc>
        <w:tc>
          <w:tcPr>
            <w:tcW w:w="1440" w:type="dxa"/>
            <w:shd w:val="clear" w:color="auto" w:fill="auto"/>
            <w:vAlign w:val="center"/>
          </w:tcPr>
          <w:p w14:paraId="4B697B5F" w14:textId="2666026C" w:rsidR="008E3160" w:rsidRPr="00D40577" w:rsidRDefault="008E3160" w:rsidP="006133AB">
            <w:pPr>
              <w:pStyle w:val="BodyText2"/>
              <w:spacing w:before="60" w:after="60"/>
              <w:jc w:val="right"/>
              <w:rPr>
                <w:sz w:val="16"/>
                <w:szCs w:val="16"/>
              </w:rPr>
            </w:pPr>
            <w:r>
              <w:rPr>
                <w:sz w:val="16"/>
                <w:szCs w:val="16"/>
              </w:rPr>
              <w:t>$1,690.50</w:t>
            </w:r>
          </w:p>
        </w:tc>
      </w:tr>
      <w:tr w:rsidR="008E3160" w:rsidRPr="00D40577" w14:paraId="4B697B69" w14:textId="77777777" w:rsidTr="006133AB">
        <w:tc>
          <w:tcPr>
            <w:tcW w:w="1170" w:type="dxa"/>
            <w:vAlign w:val="center"/>
          </w:tcPr>
          <w:p w14:paraId="72439545" w14:textId="7DFD9977" w:rsidR="008E3160" w:rsidRPr="006133AB" w:rsidRDefault="008E3160" w:rsidP="006133AB">
            <w:pPr>
              <w:pStyle w:val="BodyText2"/>
              <w:spacing w:before="60" w:after="60"/>
              <w:jc w:val="center"/>
              <w:rPr>
                <w:b/>
                <w:sz w:val="16"/>
                <w:szCs w:val="16"/>
              </w:rPr>
            </w:pPr>
            <w:r>
              <w:rPr>
                <w:b/>
                <w:sz w:val="16"/>
                <w:szCs w:val="16"/>
              </w:rPr>
              <w:t>2</w:t>
            </w:r>
          </w:p>
        </w:tc>
        <w:tc>
          <w:tcPr>
            <w:tcW w:w="3690" w:type="dxa"/>
            <w:shd w:val="clear" w:color="auto" w:fill="auto"/>
            <w:vAlign w:val="center"/>
          </w:tcPr>
          <w:p w14:paraId="21283FC4" w14:textId="77777777" w:rsidR="008E3160" w:rsidRPr="007571CE" w:rsidRDefault="008E3160" w:rsidP="006133AB">
            <w:pPr>
              <w:pStyle w:val="BodyText2"/>
              <w:spacing w:before="60" w:after="60"/>
              <w:rPr>
                <w:bCs/>
                <w:sz w:val="16"/>
                <w:szCs w:val="16"/>
              </w:rPr>
            </w:pPr>
            <w:r w:rsidRPr="007571CE">
              <w:rPr>
                <w:bCs/>
                <w:sz w:val="16"/>
                <w:szCs w:val="16"/>
              </w:rPr>
              <w:t xml:space="preserve">Submissions Under 37 CFR </w:t>
            </w:r>
          </w:p>
          <w:p w14:paraId="4B697B62" w14:textId="2022FE5F" w:rsidR="008E3160" w:rsidRPr="00D40577" w:rsidRDefault="008E3160" w:rsidP="006133AB">
            <w:pPr>
              <w:pStyle w:val="BodyText2"/>
              <w:spacing w:before="60" w:after="60"/>
              <w:rPr>
                <w:sz w:val="16"/>
                <w:szCs w:val="16"/>
              </w:rPr>
            </w:pPr>
            <w:r w:rsidRPr="007571CE">
              <w:rPr>
                <w:bCs/>
                <w:sz w:val="16"/>
                <w:szCs w:val="16"/>
              </w:rPr>
              <w:t>1.78(a)(6)</w:t>
            </w:r>
          </w:p>
        </w:tc>
        <w:tc>
          <w:tcPr>
            <w:tcW w:w="1620" w:type="dxa"/>
            <w:shd w:val="clear" w:color="auto" w:fill="auto"/>
            <w:vAlign w:val="center"/>
          </w:tcPr>
          <w:p w14:paraId="4B697B64" w14:textId="76362E81" w:rsidR="008E3160" w:rsidRPr="00D40577" w:rsidRDefault="008E3160" w:rsidP="006133AB">
            <w:pPr>
              <w:pStyle w:val="BodyText2"/>
              <w:spacing w:before="60" w:after="60"/>
              <w:jc w:val="right"/>
              <w:rPr>
                <w:sz w:val="16"/>
                <w:szCs w:val="16"/>
              </w:rPr>
            </w:pPr>
            <w:r>
              <w:rPr>
                <w:sz w:val="16"/>
                <w:szCs w:val="16"/>
              </w:rPr>
              <w:t>235</w:t>
            </w:r>
          </w:p>
        </w:tc>
        <w:tc>
          <w:tcPr>
            <w:tcW w:w="1440" w:type="dxa"/>
            <w:shd w:val="clear" w:color="auto" w:fill="auto"/>
            <w:vAlign w:val="center"/>
          </w:tcPr>
          <w:p w14:paraId="4B697B66" w14:textId="7802CEA2" w:rsidR="008E3160" w:rsidRPr="00D40577" w:rsidRDefault="008E3160" w:rsidP="006133AB">
            <w:pPr>
              <w:pStyle w:val="BodyText2"/>
              <w:spacing w:before="60" w:after="60"/>
              <w:jc w:val="right"/>
              <w:rPr>
                <w:sz w:val="16"/>
                <w:szCs w:val="16"/>
              </w:rPr>
            </w:pPr>
            <w:r>
              <w:rPr>
                <w:sz w:val="16"/>
                <w:szCs w:val="16"/>
              </w:rPr>
              <w:t>$5.75</w:t>
            </w:r>
          </w:p>
        </w:tc>
        <w:tc>
          <w:tcPr>
            <w:tcW w:w="1440" w:type="dxa"/>
            <w:shd w:val="clear" w:color="auto" w:fill="auto"/>
            <w:vAlign w:val="center"/>
          </w:tcPr>
          <w:p w14:paraId="4B697B68" w14:textId="31F4A197" w:rsidR="008E3160" w:rsidRPr="00D40577" w:rsidRDefault="008E3160" w:rsidP="006133AB">
            <w:pPr>
              <w:pStyle w:val="BodyText2"/>
              <w:spacing w:before="60" w:after="60"/>
              <w:jc w:val="right"/>
              <w:rPr>
                <w:sz w:val="16"/>
                <w:szCs w:val="16"/>
              </w:rPr>
            </w:pPr>
            <w:r>
              <w:rPr>
                <w:sz w:val="16"/>
                <w:szCs w:val="16"/>
              </w:rPr>
              <w:t>$1,351.25</w:t>
            </w:r>
          </w:p>
        </w:tc>
      </w:tr>
      <w:tr w:rsidR="008E3160" w:rsidRPr="00D40577" w14:paraId="4B697B72" w14:textId="77777777" w:rsidTr="006133AB">
        <w:tc>
          <w:tcPr>
            <w:tcW w:w="1170" w:type="dxa"/>
            <w:vAlign w:val="center"/>
          </w:tcPr>
          <w:p w14:paraId="2F6A6DF4" w14:textId="04F5614C" w:rsidR="008E3160" w:rsidRPr="006133AB" w:rsidRDefault="008E3160" w:rsidP="006133AB">
            <w:pPr>
              <w:pStyle w:val="BodyText2"/>
              <w:spacing w:before="60" w:after="60"/>
              <w:jc w:val="center"/>
              <w:rPr>
                <w:b/>
                <w:sz w:val="16"/>
                <w:szCs w:val="16"/>
              </w:rPr>
            </w:pPr>
            <w:r>
              <w:rPr>
                <w:b/>
                <w:sz w:val="16"/>
                <w:szCs w:val="16"/>
              </w:rPr>
              <w:t>3</w:t>
            </w:r>
          </w:p>
        </w:tc>
        <w:tc>
          <w:tcPr>
            <w:tcW w:w="3690" w:type="dxa"/>
            <w:shd w:val="clear" w:color="auto" w:fill="auto"/>
            <w:vAlign w:val="center"/>
          </w:tcPr>
          <w:p w14:paraId="4B697B6B" w14:textId="15E166E2" w:rsidR="008E3160" w:rsidRPr="00D40577" w:rsidRDefault="008E3160" w:rsidP="006133AB">
            <w:pPr>
              <w:pStyle w:val="BodyText2"/>
              <w:spacing w:before="60" w:after="60"/>
              <w:rPr>
                <w:sz w:val="16"/>
                <w:szCs w:val="16"/>
              </w:rPr>
            </w:pPr>
            <w:r w:rsidRPr="007571CE">
              <w:rPr>
                <w:bCs/>
                <w:sz w:val="16"/>
                <w:szCs w:val="16"/>
              </w:rPr>
              <w:t>Submissions Under 37 CFR 1.78(d)(6)</w:t>
            </w:r>
          </w:p>
        </w:tc>
        <w:tc>
          <w:tcPr>
            <w:tcW w:w="1620" w:type="dxa"/>
            <w:shd w:val="clear" w:color="auto" w:fill="auto"/>
            <w:vAlign w:val="center"/>
          </w:tcPr>
          <w:p w14:paraId="4B697B6D" w14:textId="634B8FBF" w:rsidR="008E3160" w:rsidRPr="00D40577" w:rsidRDefault="008E3160" w:rsidP="006133AB">
            <w:pPr>
              <w:pStyle w:val="BodyText2"/>
              <w:spacing w:before="60" w:after="60"/>
              <w:jc w:val="right"/>
              <w:rPr>
                <w:sz w:val="16"/>
                <w:szCs w:val="16"/>
              </w:rPr>
            </w:pPr>
            <w:r>
              <w:rPr>
                <w:sz w:val="16"/>
                <w:szCs w:val="16"/>
              </w:rPr>
              <w:t>59</w:t>
            </w:r>
          </w:p>
        </w:tc>
        <w:tc>
          <w:tcPr>
            <w:tcW w:w="1440" w:type="dxa"/>
            <w:shd w:val="clear" w:color="auto" w:fill="auto"/>
            <w:vAlign w:val="center"/>
          </w:tcPr>
          <w:p w14:paraId="4B697B6F" w14:textId="7FE602F6" w:rsidR="008E3160" w:rsidRPr="00D40577" w:rsidRDefault="008E3160" w:rsidP="006133AB">
            <w:pPr>
              <w:pStyle w:val="BodyText2"/>
              <w:spacing w:before="60" w:after="60"/>
              <w:jc w:val="right"/>
              <w:rPr>
                <w:sz w:val="16"/>
                <w:szCs w:val="16"/>
              </w:rPr>
            </w:pPr>
            <w:r>
              <w:rPr>
                <w:sz w:val="16"/>
                <w:szCs w:val="16"/>
              </w:rPr>
              <w:t>$5.75</w:t>
            </w:r>
          </w:p>
        </w:tc>
        <w:tc>
          <w:tcPr>
            <w:tcW w:w="1440" w:type="dxa"/>
            <w:shd w:val="clear" w:color="auto" w:fill="auto"/>
            <w:vAlign w:val="center"/>
          </w:tcPr>
          <w:p w14:paraId="4B697B71" w14:textId="2F04CE9A" w:rsidR="008E3160" w:rsidRPr="00D40577" w:rsidRDefault="008E3160" w:rsidP="006133AB">
            <w:pPr>
              <w:pStyle w:val="BodyText2"/>
              <w:spacing w:before="60" w:after="60"/>
              <w:jc w:val="right"/>
              <w:rPr>
                <w:sz w:val="16"/>
                <w:szCs w:val="16"/>
              </w:rPr>
            </w:pPr>
            <w:r>
              <w:rPr>
                <w:sz w:val="16"/>
                <w:szCs w:val="16"/>
              </w:rPr>
              <w:t>$339.25</w:t>
            </w:r>
          </w:p>
        </w:tc>
      </w:tr>
      <w:tr w:rsidR="008E3160" w:rsidRPr="00D40577" w14:paraId="4B697B7B" w14:textId="77777777" w:rsidTr="006133AB">
        <w:tc>
          <w:tcPr>
            <w:tcW w:w="1170" w:type="dxa"/>
            <w:vAlign w:val="center"/>
          </w:tcPr>
          <w:p w14:paraId="6D3FAC3F" w14:textId="54A245D9" w:rsidR="008E3160" w:rsidRPr="006133AB" w:rsidRDefault="008E3160" w:rsidP="006133AB">
            <w:pPr>
              <w:pStyle w:val="BodyText2"/>
              <w:spacing w:before="60" w:after="60"/>
              <w:jc w:val="center"/>
              <w:rPr>
                <w:b/>
                <w:sz w:val="16"/>
                <w:szCs w:val="16"/>
              </w:rPr>
            </w:pPr>
            <w:r>
              <w:rPr>
                <w:b/>
                <w:sz w:val="16"/>
                <w:szCs w:val="16"/>
              </w:rPr>
              <w:t>4</w:t>
            </w:r>
          </w:p>
        </w:tc>
        <w:tc>
          <w:tcPr>
            <w:tcW w:w="3690" w:type="dxa"/>
            <w:shd w:val="clear" w:color="auto" w:fill="auto"/>
            <w:vAlign w:val="center"/>
          </w:tcPr>
          <w:p w14:paraId="4B697B74" w14:textId="139E1FF0" w:rsidR="008E3160" w:rsidRPr="00D40577" w:rsidRDefault="008E3160" w:rsidP="006133AB">
            <w:pPr>
              <w:pStyle w:val="BodyText2"/>
              <w:spacing w:before="60" w:after="60"/>
              <w:rPr>
                <w:sz w:val="16"/>
                <w:szCs w:val="16"/>
              </w:rPr>
            </w:pPr>
            <w:r w:rsidRPr="007571CE">
              <w:rPr>
                <w:bCs/>
                <w:sz w:val="16"/>
                <w:szCs w:val="16"/>
              </w:rPr>
              <w:t>Identification of Inventorship and Ownership of the Subject Matter of Individual Claims under 37 CFR 1.110</w:t>
            </w:r>
          </w:p>
        </w:tc>
        <w:tc>
          <w:tcPr>
            <w:tcW w:w="1620" w:type="dxa"/>
            <w:shd w:val="clear" w:color="auto" w:fill="auto"/>
            <w:vAlign w:val="center"/>
          </w:tcPr>
          <w:p w14:paraId="4B697B76" w14:textId="16582151" w:rsidR="008E3160" w:rsidRPr="00D40577" w:rsidRDefault="008E3160" w:rsidP="006133AB">
            <w:pPr>
              <w:pStyle w:val="BodyText2"/>
              <w:spacing w:before="60" w:after="60"/>
              <w:jc w:val="right"/>
              <w:rPr>
                <w:sz w:val="16"/>
                <w:szCs w:val="16"/>
              </w:rPr>
            </w:pPr>
            <w:r>
              <w:rPr>
                <w:sz w:val="16"/>
                <w:szCs w:val="16"/>
              </w:rPr>
              <w:t>4</w:t>
            </w:r>
          </w:p>
        </w:tc>
        <w:tc>
          <w:tcPr>
            <w:tcW w:w="1440" w:type="dxa"/>
            <w:shd w:val="clear" w:color="auto" w:fill="auto"/>
            <w:vAlign w:val="center"/>
          </w:tcPr>
          <w:p w14:paraId="4B697B78" w14:textId="1DBA9B5F" w:rsidR="008E3160" w:rsidRPr="00D40577" w:rsidRDefault="008E3160" w:rsidP="006133AB">
            <w:pPr>
              <w:pStyle w:val="BodyText2"/>
              <w:spacing w:before="60" w:after="60"/>
              <w:jc w:val="right"/>
              <w:rPr>
                <w:sz w:val="16"/>
                <w:szCs w:val="16"/>
              </w:rPr>
            </w:pPr>
            <w:r>
              <w:rPr>
                <w:sz w:val="16"/>
                <w:szCs w:val="16"/>
              </w:rPr>
              <w:t>$5.75</w:t>
            </w:r>
          </w:p>
        </w:tc>
        <w:tc>
          <w:tcPr>
            <w:tcW w:w="1440" w:type="dxa"/>
            <w:shd w:val="clear" w:color="auto" w:fill="auto"/>
            <w:vAlign w:val="center"/>
          </w:tcPr>
          <w:p w14:paraId="4B697B7A" w14:textId="75AC22E7" w:rsidR="008E3160" w:rsidRPr="00D40577" w:rsidRDefault="008E3160" w:rsidP="006133AB">
            <w:pPr>
              <w:pStyle w:val="BodyText2"/>
              <w:spacing w:before="60" w:after="60"/>
              <w:jc w:val="right"/>
              <w:rPr>
                <w:sz w:val="16"/>
                <w:szCs w:val="16"/>
              </w:rPr>
            </w:pPr>
            <w:r>
              <w:rPr>
                <w:sz w:val="16"/>
                <w:szCs w:val="16"/>
              </w:rPr>
              <w:t>$23.00</w:t>
            </w:r>
          </w:p>
        </w:tc>
      </w:tr>
      <w:tr w:rsidR="008E3160" w:rsidRPr="00D40577" w14:paraId="4B697B84" w14:textId="77777777" w:rsidTr="006133AB">
        <w:tc>
          <w:tcPr>
            <w:tcW w:w="1170" w:type="dxa"/>
            <w:vAlign w:val="center"/>
          </w:tcPr>
          <w:p w14:paraId="63874212" w14:textId="705E7A3C" w:rsidR="008E3160" w:rsidRPr="006133AB" w:rsidRDefault="008E3160" w:rsidP="006133AB">
            <w:pPr>
              <w:pStyle w:val="BodyText2"/>
              <w:spacing w:before="60" w:after="60"/>
              <w:jc w:val="center"/>
              <w:rPr>
                <w:b/>
                <w:sz w:val="16"/>
                <w:szCs w:val="16"/>
              </w:rPr>
            </w:pPr>
            <w:r>
              <w:rPr>
                <w:b/>
                <w:sz w:val="16"/>
                <w:szCs w:val="16"/>
              </w:rPr>
              <w:t>5</w:t>
            </w:r>
          </w:p>
        </w:tc>
        <w:tc>
          <w:tcPr>
            <w:tcW w:w="3690" w:type="dxa"/>
            <w:shd w:val="clear" w:color="auto" w:fill="auto"/>
            <w:vAlign w:val="center"/>
          </w:tcPr>
          <w:p w14:paraId="4B697B7D" w14:textId="77777777" w:rsidR="008E3160" w:rsidRPr="00D40577" w:rsidRDefault="008E3160" w:rsidP="006133AB">
            <w:pPr>
              <w:pStyle w:val="BodyText2"/>
              <w:spacing w:before="60" w:after="60"/>
              <w:rPr>
                <w:sz w:val="16"/>
                <w:szCs w:val="16"/>
              </w:rPr>
            </w:pPr>
            <w:r w:rsidRPr="00D40577">
              <w:rPr>
                <w:sz w:val="16"/>
                <w:szCs w:val="16"/>
              </w:rPr>
              <w:t>Rule 1.130, 1.131, and 1.132 Affidavits or Declarations</w:t>
            </w:r>
          </w:p>
        </w:tc>
        <w:tc>
          <w:tcPr>
            <w:tcW w:w="1620" w:type="dxa"/>
            <w:shd w:val="clear" w:color="auto" w:fill="auto"/>
            <w:vAlign w:val="center"/>
          </w:tcPr>
          <w:p w14:paraId="4B697B7F" w14:textId="5D51790C" w:rsidR="008E3160" w:rsidRPr="00D40577" w:rsidRDefault="008E3160" w:rsidP="006133AB">
            <w:pPr>
              <w:pStyle w:val="BodyText2"/>
              <w:spacing w:before="60" w:after="60"/>
              <w:jc w:val="right"/>
              <w:rPr>
                <w:sz w:val="16"/>
                <w:szCs w:val="16"/>
              </w:rPr>
            </w:pPr>
            <w:r>
              <w:rPr>
                <w:sz w:val="16"/>
                <w:szCs w:val="16"/>
              </w:rPr>
              <w:t>882</w:t>
            </w:r>
          </w:p>
        </w:tc>
        <w:tc>
          <w:tcPr>
            <w:tcW w:w="1440" w:type="dxa"/>
            <w:shd w:val="clear" w:color="auto" w:fill="auto"/>
            <w:vAlign w:val="center"/>
          </w:tcPr>
          <w:p w14:paraId="4B697B81" w14:textId="3459E23B" w:rsidR="008E3160" w:rsidRPr="00D40577" w:rsidRDefault="008E3160" w:rsidP="006133AB">
            <w:pPr>
              <w:pStyle w:val="BodyText2"/>
              <w:spacing w:before="60" w:after="60"/>
              <w:jc w:val="right"/>
              <w:rPr>
                <w:sz w:val="16"/>
                <w:szCs w:val="16"/>
              </w:rPr>
            </w:pPr>
            <w:r>
              <w:rPr>
                <w:sz w:val="16"/>
                <w:szCs w:val="16"/>
              </w:rPr>
              <w:t>$5.75</w:t>
            </w:r>
          </w:p>
        </w:tc>
        <w:tc>
          <w:tcPr>
            <w:tcW w:w="1440" w:type="dxa"/>
            <w:shd w:val="clear" w:color="auto" w:fill="auto"/>
            <w:vAlign w:val="center"/>
          </w:tcPr>
          <w:p w14:paraId="4B697B83" w14:textId="6426AE2D" w:rsidR="008E3160" w:rsidRPr="00D40577" w:rsidRDefault="008E3160" w:rsidP="006133AB">
            <w:pPr>
              <w:pStyle w:val="BodyText2"/>
              <w:spacing w:before="60" w:after="60"/>
              <w:jc w:val="right"/>
              <w:rPr>
                <w:sz w:val="16"/>
                <w:szCs w:val="16"/>
              </w:rPr>
            </w:pPr>
            <w:r>
              <w:rPr>
                <w:sz w:val="16"/>
                <w:szCs w:val="16"/>
              </w:rPr>
              <w:t>$5,071.50</w:t>
            </w:r>
          </w:p>
        </w:tc>
      </w:tr>
      <w:tr w:rsidR="008E3160" w:rsidRPr="00D40577" w14:paraId="4B697B8D" w14:textId="77777777" w:rsidTr="006133AB">
        <w:tc>
          <w:tcPr>
            <w:tcW w:w="1170" w:type="dxa"/>
            <w:vAlign w:val="center"/>
          </w:tcPr>
          <w:p w14:paraId="7E7B9D23" w14:textId="77777777" w:rsidR="008E3160" w:rsidRPr="008E3160" w:rsidRDefault="008E3160" w:rsidP="006133AB">
            <w:pPr>
              <w:pStyle w:val="BodyText2"/>
              <w:spacing w:before="60" w:after="60"/>
              <w:jc w:val="center"/>
              <w:rPr>
                <w:b/>
                <w:sz w:val="16"/>
                <w:szCs w:val="16"/>
              </w:rPr>
            </w:pPr>
          </w:p>
        </w:tc>
        <w:tc>
          <w:tcPr>
            <w:tcW w:w="3690" w:type="dxa"/>
            <w:shd w:val="clear" w:color="auto" w:fill="auto"/>
            <w:vAlign w:val="center"/>
          </w:tcPr>
          <w:p w14:paraId="4B697B86" w14:textId="77777777" w:rsidR="008E3160" w:rsidRPr="00D40577" w:rsidRDefault="008E3160" w:rsidP="006133AB">
            <w:pPr>
              <w:pStyle w:val="BodyText2"/>
              <w:spacing w:before="60" w:after="60"/>
              <w:rPr>
                <w:b/>
                <w:sz w:val="16"/>
                <w:szCs w:val="16"/>
              </w:rPr>
            </w:pPr>
            <w:r w:rsidRPr="00D40577">
              <w:rPr>
                <w:b/>
                <w:sz w:val="16"/>
                <w:szCs w:val="16"/>
              </w:rPr>
              <w:t>Totals</w:t>
            </w:r>
          </w:p>
        </w:tc>
        <w:tc>
          <w:tcPr>
            <w:tcW w:w="1620" w:type="dxa"/>
            <w:shd w:val="clear" w:color="auto" w:fill="auto"/>
            <w:vAlign w:val="center"/>
          </w:tcPr>
          <w:p w14:paraId="4B697B88" w14:textId="1E828F6A" w:rsidR="008E3160" w:rsidRPr="00D40577" w:rsidRDefault="008E3160" w:rsidP="006133AB">
            <w:pPr>
              <w:pStyle w:val="BodyText2"/>
              <w:spacing w:before="60" w:after="60"/>
              <w:jc w:val="right"/>
              <w:rPr>
                <w:b/>
                <w:sz w:val="16"/>
                <w:szCs w:val="16"/>
              </w:rPr>
            </w:pPr>
            <w:r>
              <w:rPr>
                <w:b/>
                <w:sz w:val="16"/>
                <w:szCs w:val="16"/>
              </w:rPr>
              <w:fldChar w:fldCharType="begin"/>
            </w:r>
            <w:r>
              <w:rPr>
                <w:b/>
                <w:sz w:val="16"/>
                <w:szCs w:val="16"/>
              </w:rPr>
              <w:instrText xml:space="preserve"> =SUM(ABOVE) </w:instrText>
            </w:r>
            <w:r>
              <w:rPr>
                <w:b/>
                <w:sz w:val="16"/>
                <w:szCs w:val="16"/>
              </w:rPr>
              <w:fldChar w:fldCharType="separate"/>
            </w:r>
            <w:r>
              <w:rPr>
                <w:b/>
                <w:noProof/>
                <w:sz w:val="16"/>
                <w:szCs w:val="16"/>
              </w:rPr>
              <w:t>1,474</w:t>
            </w:r>
            <w:r>
              <w:rPr>
                <w:b/>
                <w:sz w:val="16"/>
                <w:szCs w:val="16"/>
              </w:rPr>
              <w:fldChar w:fldCharType="end"/>
            </w:r>
          </w:p>
        </w:tc>
        <w:tc>
          <w:tcPr>
            <w:tcW w:w="1440" w:type="dxa"/>
            <w:shd w:val="clear" w:color="auto" w:fill="auto"/>
            <w:vAlign w:val="center"/>
          </w:tcPr>
          <w:p w14:paraId="4B697B8A" w14:textId="11C49B45" w:rsidR="008E3160" w:rsidRPr="00D40577" w:rsidRDefault="008E3160" w:rsidP="006133AB">
            <w:pPr>
              <w:pStyle w:val="BodyText2"/>
              <w:spacing w:before="60" w:after="60"/>
              <w:jc w:val="right"/>
              <w:rPr>
                <w:b/>
                <w:sz w:val="16"/>
                <w:szCs w:val="16"/>
              </w:rPr>
            </w:pPr>
            <w:r>
              <w:rPr>
                <w:b/>
                <w:sz w:val="16"/>
                <w:szCs w:val="16"/>
              </w:rPr>
              <w:t>----------------------</w:t>
            </w:r>
          </w:p>
        </w:tc>
        <w:tc>
          <w:tcPr>
            <w:tcW w:w="1440" w:type="dxa"/>
            <w:shd w:val="clear" w:color="auto" w:fill="auto"/>
            <w:vAlign w:val="center"/>
          </w:tcPr>
          <w:p w14:paraId="4B697B8C" w14:textId="12083A2C" w:rsidR="008E3160" w:rsidRPr="00D40577" w:rsidRDefault="008E3160" w:rsidP="006133AB">
            <w:pPr>
              <w:pStyle w:val="BodyText2"/>
              <w:spacing w:before="60" w:after="60"/>
              <w:jc w:val="right"/>
              <w:rPr>
                <w:b/>
                <w:sz w:val="16"/>
                <w:szCs w:val="16"/>
              </w:rPr>
            </w:pPr>
            <w:r>
              <w:rPr>
                <w:b/>
                <w:sz w:val="16"/>
                <w:szCs w:val="16"/>
              </w:rPr>
              <w:fldChar w:fldCharType="begin"/>
            </w:r>
            <w:r>
              <w:rPr>
                <w:b/>
                <w:sz w:val="16"/>
                <w:szCs w:val="16"/>
              </w:rPr>
              <w:instrText xml:space="preserve"> =SUM(ABOVE) </w:instrText>
            </w:r>
            <w:r>
              <w:rPr>
                <w:b/>
                <w:sz w:val="16"/>
                <w:szCs w:val="16"/>
              </w:rPr>
              <w:fldChar w:fldCharType="separate"/>
            </w:r>
            <w:r>
              <w:rPr>
                <w:b/>
                <w:noProof/>
                <w:sz w:val="16"/>
                <w:szCs w:val="16"/>
              </w:rPr>
              <w:t>$8,475.50</w:t>
            </w:r>
            <w:r>
              <w:rPr>
                <w:b/>
                <w:sz w:val="16"/>
                <w:szCs w:val="16"/>
              </w:rPr>
              <w:fldChar w:fldCharType="end"/>
            </w:r>
          </w:p>
        </w:tc>
      </w:tr>
    </w:tbl>
    <w:p w14:paraId="4B697B8E" w14:textId="77777777" w:rsidR="009A5F9A" w:rsidRPr="003F4AC6" w:rsidRDefault="009A5F9A" w:rsidP="009A5F9A">
      <w:pPr>
        <w:pStyle w:val="BodyText2"/>
        <w:rPr>
          <w:b/>
          <w:sz w:val="20"/>
        </w:rPr>
      </w:pPr>
    </w:p>
    <w:p w14:paraId="4B697BBE" w14:textId="77777777" w:rsidR="009A5F9A" w:rsidRDefault="009A5F9A" w:rsidP="009A5F9A">
      <w:pPr>
        <w:jc w:val="both"/>
        <w:rPr>
          <w:rFonts w:ascii="Arial" w:hAnsi="Arial"/>
          <w:sz w:val="24"/>
        </w:rPr>
      </w:pPr>
      <w:r w:rsidRPr="00FC0BFD">
        <w:rPr>
          <w:rFonts w:ascii="Arial" w:hAnsi="Arial"/>
          <w:b/>
          <w:sz w:val="24"/>
        </w:rPr>
        <w:t>14.</w:t>
      </w:r>
      <w:r w:rsidRPr="00FC0BFD">
        <w:rPr>
          <w:rFonts w:ascii="Arial" w:hAnsi="Arial"/>
          <w:b/>
          <w:sz w:val="24"/>
        </w:rPr>
        <w:tab/>
      </w:r>
      <w:r w:rsidRPr="009F20FC">
        <w:rPr>
          <w:rFonts w:ascii="Arial" w:hAnsi="Arial"/>
          <w:b/>
          <w:sz w:val="24"/>
        </w:rPr>
        <w:t>Annual Cost to the Federal Government</w:t>
      </w:r>
    </w:p>
    <w:p w14:paraId="4B697BBF" w14:textId="77777777" w:rsidR="009A5F9A" w:rsidRDefault="009A5F9A" w:rsidP="009A5F9A">
      <w:pPr>
        <w:jc w:val="both"/>
        <w:rPr>
          <w:rFonts w:ascii="Arial" w:hAnsi="Arial"/>
          <w:sz w:val="24"/>
        </w:rPr>
      </w:pPr>
    </w:p>
    <w:p w14:paraId="4B697BC0" w14:textId="6F00059C" w:rsidR="009A5F9A" w:rsidRDefault="009A5F9A" w:rsidP="009A5F9A">
      <w:pPr>
        <w:pStyle w:val="BodyTextIndent2"/>
        <w:ind w:left="0"/>
        <w:rPr>
          <w:sz w:val="24"/>
        </w:rPr>
      </w:pPr>
      <w:r>
        <w:rPr>
          <w:sz w:val="24"/>
        </w:rPr>
        <w:t>The USPTO estimates that it takes a GS-7, step 1 employee approximately 15 minutes (0.25 hours) on average to process the submissions under 37 CFR 1.55(</w:t>
      </w:r>
      <w:r w:rsidR="00A5073B">
        <w:rPr>
          <w:sz w:val="24"/>
        </w:rPr>
        <w:t>k</w:t>
      </w:r>
      <w:r>
        <w:rPr>
          <w:sz w:val="24"/>
        </w:rPr>
        <w:t>), 1.78(a)(</w:t>
      </w:r>
      <w:r w:rsidR="00A5073B">
        <w:rPr>
          <w:sz w:val="24"/>
        </w:rPr>
        <w:t>6</w:t>
      </w:r>
      <w:r>
        <w:rPr>
          <w:sz w:val="24"/>
        </w:rPr>
        <w:t>), and 1.78(</w:t>
      </w:r>
      <w:r w:rsidR="00A5073B">
        <w:rPr>
          <w:sz w:val="24"/>
        </w:rPr>
        <w:t>d</w:t>
      </w:r>
      <w:r>
        <w:rPr>
          <w:sz w:val="24"/>
        </w:rPr>
        <w:t>)(</w:t>
      </w:r>
      <w:r w:rsidR="00A5073B">
        <w:rPr>
          <w:sz w:val="24"/>
        </w:rPr>
        <w:t>6</w:t>
      </w:r>
      <w:r>
        <w:rPr>
          <w:sz w:val="24"/>
        </w:rPr>
        <w:t xml:space="preserve">), and the identification of inventorship and ownership </w:t>
      </w:r>
      <w:r w:rsidR="00A5073B">
        <w:rPr>
          <w:sz w:val="24"/>
        </w:rPr>
        <w:t xml:space="preserve">or obligation to assign ownership </w:t>
      </w:r>
      <w:r>
        <w:rPr>
          <w:sz w:val="24"/>
        </w:rPr>
        <w:t>of the subject matter of individual claims under 37 CFR 1.110. The USPTO estimates that it will take approximately 30 minutes (.50 hours) on average to process the rule 1.130, 1.131, and 1.13</w:t>
      </w:r>
      <w:r w:rsidR="00A5073B">
        <w:rPr>
          <w:sz w:val="24"/>
        </w:rPr>
        <w:t>2 affidavits or declarations.</w:t>
      </w:r>
    </w:p>
    <w:p w14:paraId="4B697BC1" w14:textId="77777777" w:rsidR="009A5F9A" w:rsidRDefault="009A5F9A" w:rsidP="009A5F9A">
      <w:pPr>
        <w:pStyle w:val="BodyTextIndent2"/>
        <w:ind w:left="0"/>
        <w:rPr>
          <w:sz w:val="24"/>
        </w:rPr>
      </w:pPr>
    </w:p>
    <w:p w14:paraId="4B697BC2" w14:textId="1D67140F" w:rsidR="009A5F9A" w:rsidRDefault="009A5F9A" w:rsidP="009A5F9A">
      <w:pPr>
        <w:pStyle w:val="BodyTextIndent2"/>
        <w:ind w:left="0"/>
        <w:rPr>
          <w:sz w:val="24"/>
        </w:rPr>
      </w:pPr>
      <w:r>
        <w:rPr>
          <w:sz w:val="24"/>
        </w:rPr>
        <w:t xml:space="preserve">The hourly rate for a </w:t>
      </w:r>
      <w:r w:rsidRPr="00904F4E">
        <w:rPr>
          <w:sz w:val="24"/>
        </w:rPr>
        <w:t xml:space="preserve">GS-7, step </w:t>
      </w:r>
      <w:r>
        <w:rPr>
          <w:sz w:val="24"/>
        </w:rPr>
        <w:t xml:space="preserve">1, employee is currently </w:t>
      </w:r>
      <w:r w:rsidRPr="00904F4E">
        <w:rPr>
          <w:sz w:val="24"/>
        </w:rPr>
        <w:t>$20.</w:t>
      </w:r>
      <w:r w:rsidR="00D47753">
        <w:rPr>
          <w:sz w:val="24"/>
        </w:rPr>
        <w:t>63</w:t>
      </w:r>
      <w:r>
        <w:rPr>
          <w:sz w:val="24"/>
        </w:rPr>
        <w:t xml:space="preserve"> according to the U.S. Office of Personnel Management’s (OPM’s) wage chart, including locality pay for the Washington, DC area. When 30% is added to account for a fully loaded hourly rate (benefits and overhead), the rate per hour for a GS-7, step 1, is </w:t>
      </w:r>
      <w:r w:rsidRPr="00904F4E">
        <w:rPr>
          <w:sz w:val="24"/>
        </w:rPr>
        <w:t>$26.</w:t>
      </w:r>
      <w:r w:rsidR="00BE0AF3">
        <w:rPr>
          <w:sz w:val="24"/>
        </w:rPr>
        <w:t>82</w:t>
      </w:r>
      <w:r w:rsidRPr="00904F4E">
        <w:rPr>
          <w:sz w:val="24"/>
        </w:rPr>
        <w:t xml:space="preserve"> ($20.</w:t>
      </w:r>
      <w:r w:rsidR="00D47753">
        <w:rPr>
          <w:sz w:val="24"/>
        </w:rPr>
        <w:t>63</w:t>
      </w:r>
      <w:r w:rsidRPr="00904F4E">
        <w:rPr>
          <w:sz w:val="24"/>
        </w:rPr>
        <w:t xml:space="preserve"> + $6.</w:t>
      </w:r>
      <w:r w:rsidR="00D47753">
        <w:rPr>
          <w:sz w:val="24"/>
        </w:rPr>
        <w:t>19</w:t>
      </w:r>
      <w:r w:rsidRPr="00904F4E">
        <w:rPr>
          <w:sz w:val="24"/>
        </w:rPr>
        <w:t>).</w:t>
      </w:r>
    </w:p>
    <w:p w14:paraId="4B697BC3" w14:textId="77777777" w:rsidR="009A5F9A" w:rsidRDefault="009A5F9A" w:rsidP="009A5F9A">
      <w:pPr>
        <w:pStyle w:val="BodyTextIndent2"/>
        <w:ind w:left="0"/>
        <w:rPr>
          <w:sz w:val="24"/>
        </w:rPr>
      </w:pPr>
    </w:p>
    <w:p w14:paraId="4B697BC4" w14:textId="77777777" w:rsidR="009A5F9A" w:rsidRDefault="009A5F9A" w:rsidP="009A5F9A">
      <w:pPr>
        <w:pStyle w:val="BodyTextIndent2"/>
        <w:ind w:left="0"/>
        <w:rPr>
          <w:sz w:val="24"/>
        </w:rPr>
      </w:pPr>
      <w:r>
        <w:rPr>
          <w:sz w:val="24"/>
        </w:rPr>
        <w:t>Estimates are based upon agency long-standing institutional knowledge of and experience with processing the type of information collected and the length of time necessary to process similar or like information.</w:t>
      </w:r>
    </w:p>
    <w:p w14:paraId="4B697BC5" w14:textId="77777777" w:rsidR="009A5F9A" w:rsidRDefault="009A5F9A" w:rsidP="009A5F9A">
      <w:pPr>
        <w:pStyle w:val="BodyTextIndent2"/>
        <w:ind w:left="0"/>
        <w:rPr>
          <w:sz w:val="24"/>
        </w:rPr>
      </w:pPr>
    </w:p>
    <w:p w14:paraId="4B697BC6" w14:textId="77777777" w:rsidR="009A5F9A" w:rsidRDefault="009A5F9A" w:rsidP="009A5F9A">
      <w:pPr>
        <w:jc w:val="both"/>
        <w:rPr>
          <w:rFonts w:ascii="Arial" w:hAnsi="Arial"/>
          <w:sz w:val="24"/>
        </w:rPr>
      </w:pPr>
      <w:r>
        <w:rPr>
          <w:rFonts w:ascii="Arial" w:hAnsi="Arial"/>
          <w:sz w:val="24"/>
        </w:rPr>
        <w:t>Table 5 calculates the burden hours and costs to the Federal Government for processing the items in this information collection:</w:t>
      </w:r>
    </w:p>
    <w:p w14:paraId="4B697BC7" w14:textId="77777777" w:rsidR="009A5F9A" w:rsidRDefault="009A5F9A" w:rsidP="009A5F9A">
      <w:pPr>
        <w:pStyle w:val="a"/>
        <w:tabs>
          <w:tab w:val="left" w:pos="-1440"/>
        </w:tabs>
        <w:ind w:left="0" w:firstLine="0"/>
        <w:jc w:val="both"/>
        <w:rPr>
          <w:rFonts w:ascii="Arial" w:hAnsi="Arial" w:cs="Arial"/>
          <w:lang w:val="en-GB"/>
        </w:rPr>
      </w:pPr>
    </w:p>
    <w:p w14:paraId="4B697BC8" w14:textId="77777777" w:rsidR="009A5F9A" w:rsidRDefault="009A5F9A" w:rsidP="009A5F9A">
      <w:pPr>
        <w:pStyle w:val="BodyText"/>
      </w:pPr>
      <w:r w:rsidRPr="009F20FC">
        <w:t xml:space="preserve">Table 6:  Burden Hour/Burden Cost to the Federal Government for </w:t>
      </w:r>
      <w:r w:rsidRPr="009F20FC">
        <w:rPr>
          <w:rFonts w:cs="Arial"/>
        </w:rPr>
        <w:t>Post Patent Public Submissions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
        <w:gridCol w:w="2783"/>
        <w:gridCol w:w="1389"/>
        <w:gridCol w:w="1071"/>
        <w:gridCol w:w="1214"/>
        <w:gridCol w:w="954"/>
        <w:gridCol w:w="1300"/>
      </w:tblGrid>
      <w:tr w:rsidR="00BA4B25" w14:paraId="4B697BE0" w14:textId="77777777" w:rsidTr="00704963">
        <w:trPr>
          <w:cantSplit/>
        </w:trPr>
        <w:tc>
          <w:tcPr>
            <w:tcW w:w="452" w:type="pct"/>
            <w:vAlign w:val="center"/>
          </w:tcPr>
          <w:p w14:paraId="5676117E" w14:textId="5C0EE9FF" w:rsidR="00BA4B25" w:rsidRDefault="00BA4B25" w:rsidP="00B80737">
            <w:pPr>
              <w:jc w:val="center"/>
              <w:rPr>
                <w:rFonts w:ascii="Arial" w:hAnsi="Arial"/>
                <w:b/>
                <w:sz w:val="16"/>
              </w:rPr>
            </w:pPr>
            <w:r>
              <w:rPr>
                <w:rFonts w:ascii="Arial" w:hAnsi="Arial"/>
                <w:b/>
                <w:sz w:val="16"/>
              </w:rPr>
              <w:t>IC Number</w:t>
            </w:r>
          </w:p>
        </w:tc>
        <w:tc>
          <w:tcPr>
            <w:tcW w:w="1453" w:type="pct"/>
            <w:vAlign w:val="center"/>
          </w:tcPr>
          <w:p w14:paraId="4B697BCA" w14:textId="77777777" w:rsidR="00BA4B25" w:rsidRDefault="00BA4B25" w:rsidP="00B80737">
            <w:pPr>
              <w:jc w:val="center"/>
              <w:rPr>
                <w:rFonts w:ascii="Arial" w:hAnsi="Arial"/>
                <w:b/>
                <w:sz w:val="16"/>
              </w:rPr>
            </w:pPr>
            <w:r>
              <w:rPr>
                <w:rFonts w:ascii="Arial" w:hAnsi="Arial"/>
                <w:b/>
                <w:sz w:val="16"/>
              </w:rPr>
              <w:t>Item</w:t>
            </w:r>
          </w:p>
        </w:tc>
        <w:tc>
          <w:tcPr>
            <w:tcW w:w="725" w:type="pct"/>
            <w:vAlign w:val="center"/>
          </w:tcPr>
          <w:p w14:paraId="4D9A354D" w14:textId="77777777" w:rsidR="00BA4B25" w:rsidRPr="00B80737" w:rsidRDefault="00BA4B25" w:rsidP="002B3C3B">
            <w:pPr>
              <w:spacing w:after="120"/>
              <w:contextualSpacing/>
              <w:jc w:val="center"/>
              <w:rPr>
                <w:rFonts w:ascii="Arial" w:hAnsi="Arial" w:cs="Arial"/>
                <w:b/>
                <w:bCs/>
                <w:sz w:val="16"/>
                <w:szCs w:val="16"/>
              </w:rPr>
            </w:pPr>
            <w:r w:rsidRPr="00B80737">
              <w:rPr>
                <w:rFonts w:ascii="Arial" w:hAnsi="Arial" w:cs="Arial"/>
                <w:b/>
                <w:bCs/>
                <w:sz w:val="16"/>
                <w:szCs w:val="16"/>
              </w:rPr>
              <w:t>Estimated time for response (</w:t>
            </w:r>
            <w:r>
              <w:rPr>
                <w:rFonts w:ascii="Arial" w:hAnsi="Arial" w:cs="Arial"/>
                <w:b/>
                <w:bCs/>
                <w:sz w:val="16"/>
                <w:szCs w:val="16"/>
              </w:rPr>
              <w:t>hours</w:t>
            </w:r>
            <w:r w:rsidRPr="00B80737">
              <w:rPr>
                <w:rFonts w:ascii="Arial" w:hAnsi="Arial" w:cs="Arial"/>
                <w:b/>
                <w:bCs/>
                <w:sz w:val="16"/>
                <w:szCs w:val="16"/>
              </w:rPr>
              <w:t>)</w:t>
            </w:r>
          </w:p>
          <w:p w14:paraId="4B697BCD" w14:textId="3DA79B79" w:rsidR="00BA4B25" w:rsidRDefault="00BA4B25" w:rsidP="00B80737">
            <w:pPr>
              <w:jc w:val="center"/>
              <w:rPr>
                <w:rFonts w:ascii="Arial" w:hAnsi="Arial"/>
                <w:b/>
                <w:sz w:val="16"/>
              </w:rPr>
            </w:pPr>
            <w:r w:rsidRPr="00B80737">
              <w:rPr>
                <w:rFonts w:ascii="Arial" w:hAnsi="Arial" w:cs="Arial"/>
                <w:b/>
                <w:bCs/>
                <w:sz w:val="16"/>
                <w:szCs w:val="16"/>
              </w:rPr>
              <w:t>(a)</w:t>
            </w:r>
          </w:p>
        </w:tc>
        <w:tc>
          <w:tcPr>
            <w:tcW w:w="559" w:type="pct"/>
            <w:vAlign w:val="center"/>
          </w:tcPr>
          <w:p w14:paraId="045945D7" w14:textId="77777777" w:rsidR="00BA4B25" w:rsidRPr="00B80737" w:rsidRDefault="00BA4B25" w:rsidP="002B3C3B">
            <w:pPr>
              <w:spacing w:after="120"/>
              <w:contextualSpacing/>
              <w:jc w:val="center"/>
              <w:rPr>
                <w:rFonts w:ascii="Arial" w:hAnsi="Arial" w:cs="Arial"/>
                <w:b/>
                <w:bCs/>
                <w:sz w:val="16"/>
                <w:szCs w:val="16"/>
              </w:rPr>
            </w:pPr>
            <w:r w:rsidRPr="00B80737">
              <w:rPr>
                <w:rFonts w:ascii="Arial" w:hAnsi="Arial" w:cs="Arial"/>
                <w:b/>
                <w:bCs/>
                <w:sz w:val="16"/>
                <w:szCs w:val="16"/>
              </w:rPr>
              <w:t>Estimated Annual Responses</w:t>
            </w:r>
          </w:p>
          <w:p w14:paraId="4B697BD1" w14:textId="75BDBBB8" w:rsidR="00BA4B25" w:rsidRDefault="00BA4B25" w:rsidP="00B80737">
            <w:pPr>
              <w:jc w:val="center"/>
              <w:rPr>
                <w:rFonts w:ascii="Arial" w:hAnsi="Arial"/>
                <w:b/>
                <w:sz w:val="16"/>
              </w:rPr>
            </w:pPr>
            <w:r w:rsidRPr="00B80737">
              <w:rPr>
                <w:rFonts w:ascii="Arial" w:hAnsi="Arial" w:cs="Arial"/>
                <w:b/>
                <w:bCs/>
                <w:sz w:val="16"/>
                <w:szCs w:val="16"/>
              </w:rPr>
              <w:t>(b)</w:t>
            </w:r>
          </w:p>
        </w:tc>
        <w:tc>
          <w:tcPr>
            <w:tcW w:w="634" w:type="pct"/>
            <w:vAlign w:val="center"/>
          </w:tcPr>
          <w:p w14:paraId="787FCF00" w14:textId="77777777" w:rsidR="00BA4B25" w:rsidRDefault="00BA4B25" w:rsidP="002B3C3B">
            <w:pPr>
              <w:spacing w:after="120"/>
              <w:contextualSpacing/>
              <w:jc w:val="center"/>
              <w:rPr>
                <w:rFonts w:ascii="Arial" w:hAnsi="Arial" w:cs="Arial"/>
                <w:b/>
                <w:bCs/>
                <w:sz w:val="16"/>
                <w:szCs w:val="16"/>
              </w:rPr>
            </w:pPr>
            <w:r w:rsidRPr="00B80737">
              <w:rPr>
                <w:rFonts w:ascii="Arial" w:hAnsi="Arial" w:cs="Arial"/>
                <w:b/>
                <w:bCs/>
                <w:sz w:val="16"/>
                <w:szCs w:val="16"/>
              </w:rPr>
              <w:t>Estimated annual burden hours</w:t>
            </w:r>
          </w:p>
          <w:p w14:paraId="4B697BD6" w14:textId="59F2C16C" w:rsidR="00BA4B25" w:rsidRDefault="00BA4B25" w:rsidP="00B80737">
            <w:pPr>
              <w:jc w:val="center"/>
              <w:rPr>
                <w:rFonts w:ascii="Arial" w:hAnsi="Arial"/>
                <w:b/>
                <w:sz w:val="16"/>
              </w:rPr>
            </w:pPr>
            <w:r w:rsidRPr="00B80737">
              <w:rPr>
                <w:rFonts w:ascii="Arial" w:hAnsi="Arial" w:cs="Arial"/>
                <w:b/>
                <w:bCs/>
                <w:sz w:val="16"/>
                <w:szCs w:val="16"/>
              </w:rPr>
              <w:t>(a) x (b) = (c)</w:t>
            </w:r>
          </w:p>
        </w:tc>
        <w:tc>
          <w:tcPr>
            <w:tcW w:w="498" w:type="pct"/>
            <w:vAlign w:val="center"/>
          </w:tcPr>
          <w:p w14:paraId="4263156D" w14:textId="77777777" w:rsidR="00BA4B25" w:rsidRPr="00B80737" w:rsidRDefault="00BA4B25" w:rsidP="002B3C3B">
            <w:pPr>
              <w:spacing w:after="120"/>
              <w:contextualSpacing/>
              <w:jc w:val="center"/>
              <w:rPr>
                <w:rFonts w:ascii="Arial" w:hAnsi="Arial" w:cs="Arial"/>
                <w:b/>
                <w:bCs/>
                <w:sz w:val="16"/>
                <w:szCs w:val="16"/>
              </w:rPr>
            </w:pPr>
            <w:r w:rsidRPr="00B80737">
              <w:rPr>
                <w:rFonts w:ascii="Arial" w:hAnsi="Arial" w:cs="Arial"/>
                <w:b/>
                <w:bCs/>
                <w:sz w:val="16"/>
                <w:szCs w:val="16"/>
              </w:rPr>
              <w:t>Rate</w:t>
            </w:r>
          </w:p>
          <w:p w14:paraId="6E39C1C0" w14:textId="77777777" w:rsidR="00BA4B25" w:rsidRDefault="00BA4B25" w:rsidP="002B3C3B">
            <w:pPr>
              <w:spacing w:after="120"/>
              <w:contextualSpacing/>
              <w:jc w:val="center"/>
              <w:rPr>
                <w:rFonts w:ascii="Arial" w:hAnsi="Arial" w:cs="Arial"/>
                <w:b/>
                <w:bCs/>
                <w:sz w:val="16"/>
                <w:szCs w:val="16"/>
              </w:rPr>
            </w:pPr>
            <w:r w:rsidRPr="00B80737">
              <w:rPr>
                <w:rFonts w:ascii="Arial" w:hAnsi="Arial" w:cs="Arial"/>
                <w:b/>
                <w:bCs/>
                <w:sz w:val="16"/>
                <w:szCs w:val="16"/>
              </w:rPr>
              <w:t>($/hr)</w:t>
            </w:r>
          </w:p>
          <w:p w14:paraId="38CAC3B5" w14:textId="77777777" w:rsidR="00BA4B25" w:rsidRDefault="00BA4B25" w:rsidP="002B3C3B">
            <w:pPr>
              <w:spacing w:after="120"/>
              <w:contextualSpacing/>
              <w:jc w:val="center"/>
              <w:rPr>
                <w:rFonts w:ascii="Arial" w:hAnsi="Arial" w:cs="Arial"/>
                <w:b/>
                <w:bCs/>
                <w:sz w:val="16"/>
                <w:szCs w:val="16"/>
              </w:rPr>
            </w:pPr>
          </w:p>
          <w:p w14:paraId="4B697BDA" w14:textId="67546CCA" w:rsidR="00BA4B25" w:rsidRDefault="00BA4B25" w:rsidP="00B80737">
            <w:pPr>
              <w:jc w:val="center"/>
              <w:rPr>
                <w:rFonts w:ascii="Arial" w:hAnsi="Arial"/>
                <w:b/>
                <w:sz w:val="16"/>
              </w:rPr>
            </w:pPr>
            <w:r>
              <w:rPr>
                <w:rFonts w:ascii="Arial" w:hAnsi="Arial" w:cs="Arial"/>
                <w:b/>
                <w:bCs/>
                <w:sz w:val="16"/>
                <w:szCs w:val="16"/>
              </w:rPr>
              <w:t>(d)</w:t>
            </w:r>
          </w:p>
        </w:tc>
        <w:tc>
          <w:tcPr>
            <w:tcW w:w="679" w:type="pct"/>
            <w:vAlign w:val="center"/>
          </w:tcPr>
          <w:p w14:paraId="2EC2681B" w14:textId="77777777" w:rsidR="00BA4B25" w:rsidRDefault="00BA4B25" w:rsidP="002B3C3B">
            <w:pPr>
              <w:spacing w:after="120"/>
              <w:contextualSpacing/>
              <w:jc w:val="center"/>
              <w:rPr>
                <w:rFonts w:ascii="Arial" w:hAnsi="Arial" w:cs="Arial"/>
                <w:b/>
                <w:bCs/>
                <w:sz w:val="16"/>
                <w:szCs w:val="16"/>
              </w:rPr>
            </w:pPr>
            <w:r>
              <w:rPr>
                <w:rFonts w:ascii="Arial" w:hAnsi="Arial" w:cs="Arial"/>
                <w:b/>
                <w:bCs/>
                <w:sz w:val="16"/>
                <w:szCs w:val="16"/>
              </w:rPr>
              <w:t>Total Cost/yr ($)</w:t>
            </w:r>
          </w:p>
          <w:p w14:paraId="45820432" w14:textId="77777777" w:rsidR="00BA4B25" w:rsidRDefault="00BA4B25" w:rsidP="002B3C3B">
            <w:pPr>
              <w:spacing w:after="120"/>
              <w:contextualSpacing/>
              <w:jc w:val="center"/>
              <w:rPr>
                <w:rFonts w:ascii="Arial" w:hAnsi="Arial" w:cs="Arial"/>
                <w:b/>
                <w:bCs/>
                <w:sz w:val="16"/>
                <w:szCs w:val="16"/>
              </w:rPr>
            </w:pPr>
          </w:p>
          <w:p w14:paraId="4B697BDF" w14:textId="2697F9D9" w:rsidR="00BA4B25" w:rsidRDefault="00BA4B25" w:rsidP="00B80737">
            <w:pPr>
              <w:jc w:val="center"/>
              <w:rPr>
                <w:rFonts w:ascii="Arial" w:hAnsi="Arial"/>
                <w:b/>
                <w:sz w:val="16"/>
              </w:rPr>
            </w:pPr>
            <w:r>
              <w:rPr>
                <w:rFonts w:ascii="Arial" w:hAnsi="Arial" w:cs="Arial"/>
                <w:b/>
                <w:bCs/>
                <w:sz w:val="16"/>
                <w:szCs w:val="16"/>
              </w:rPr>
              <w:t>(c) x (d) = (e)</w:t>
            </w:r>
          </w:p>
        </w:tc>
      </w:tr>
      <w:tr w:rsidR="00704963" w14:paraId="4B697BED" w14:textId="77777777" w:rsidTr="00704963">
        <w:trPr>
          <w:cantSplit/>
        </w:trPr>
        <w:tc>
          <w:tcPr>
            <w:tcW w:w="452" w:type="pct"/>
            <w:vAlign w:val="center"/>
          </w:tcPr>
          <w:p w14:paraId="6AE69B97" w14:textId="3F048BCF" w:rsidR="00704963" w:rsidRPr="006133AB" w:rsidRDefault="00704963" w:rsidP="006133AB">
            <w:pPr>
              <w:jc w:val="center"/>
              <w:rPr>
                <w:rFonts w:ascii="Arial" w:hAnsi="Arial"/>
                <w:b/>
                <w:sz w:val="16"/>
              </w:rPr>
            </w:pPr>
            <w:r w:rsidRPr="006133AB">
              <w:rPr>
                <w:rFonts w:ascii="Arial" w:hAnsi="Arial"/>
                <w:b/>
                <w:sz w:val="16"/>
              </w:rPr>
              <w:t>1</w:t>
            </w:r>
          </w:p>
        </w:tc>
        <w:tc>
          <w:tcPr>
            <w:tcW w:w="1453" w:type="pct"/>
            <w:vAlign w:val="center"/>
          </w:tcPr>
          <w:p w14:paraId="3C33D992" w14:textId="77777777" w:rsidR="00704963" w:rsidRPr="00B80737" w:rsidRDefault="00704963" w:rsidP="004B77ED">
            <w:pPr>
              <w:spacing w:after="120"/>
              <w:ind w:left="2880" w:hanging="2880"/>
              <w:contextualSpacing/>
              <w:rPr>
                <w:rFonts w:ascii="Arial" w:hAnsi="Arial" w:cs="Arial"/>
                <w:bCs/>
                <w:sz w:val="16"/>
                <w:szCs w:val="24"/>
              </w:rPr>
            </w:pPr>
            <w:r w:rsidRPr="00B80737">
              <w:rPr>
                <w:rFonts w:ascii="Arial" w:hAnsi="Arial" w:cs="Arial"/>
                <w:bCs/>
                <w:sz w:val="16"/>
                <w:szCs w:val="24"/>
              </w:rPr>
              <w:t xml:space="preserve">Electronic Submissions Under 37 </w:t>
            </w:r>
          </w:p>
          <w:p w14:paraId="4B697BE2" w14:textId="6EE43518" w:rsidR="00704963" w:rsidRPr="00AC4AE3" w:rsidRDefault="00704963" w:rsidP="00A5073B">
            <w:pPr>
              <w:rPr>
                <w:rFonts w:ascii="Arial" w:hAnsi="Arial"/>
                <w:sz w:val="16"/>
              </w:rPr>
            </w:pPr>
            <w:r w:rsidRPr="00B80737">
              <w:rPr>
                <w:rFonts w:ascii="Arial" w:hAnsi="Arial" w:cs="Arial"/>
                <w:bCs/>
                <w:sz w:val="16"/>
                <w:szCs w:val="24"/>
              </w:rPr>
              <w:t>CFR 1.55(</w:t>
            </w:r>
            <w:r w:rsidR="00A5073B">
              <w:rPr>
                <w:rFonts w:ascii="Arial" w:hAnsi="Arial" w:cs="Arial"/>
                <w:bCs/>
                <w:sz w:val="16"/>
                <w:szCs w:val="24"/>
              </w:rPr>
              <w:t>k</w:t>
            </w:r>
            <w:r w:rsidRPr="00B80737">
              <w:rPr>
                <w:rFonts w:ascii="Arial" w:hAnsi="Arial" w:cs="Arial"/>
                <w:bCs/>
                <w:sz w:val="16"/>
                <w:szCs w:val="24"/>
              </w:rPr>
              <w:t>)</w:t>
            </w:r>
          </w:p>
        </w:tc>
        <w:tc>
          <w:tcPr>
            <w:tcW w:w="725" w:type="pct"/>
            <w:vAlign w:val="center"/>
          </w:tcPr>
          <w:p w14:paraId="4B697BE4" w14:textId="77777777" w:rsidR="00704963" w:rsidRPr="00AC4AE3" w:rsidRDefault="00704963" w:rsidP="00B80737">
            <w:pPr>
              <w:jc w:val="right"/>
              <w:rPr>
                <w:rFonts w:ascii="Arial" w:hAnsi="Arial"/>
                <w:sz w:val="16"/>
              </w:rPr>
            </w:pPr>
            <w:r>
              <w:rPr>
                <w:rFonts w:ascii="Arial" w:hAnsi="Arial"/>
                <w:sz w:val="16"/>
              </w:rPr>
              <w:t>0.25</w:t>
            </w:r>
          </w:p>
        </w:tc>
        <w:tc>
          <w:tcPr>
            <w:tcW w:w="559" w:type="pct"/>
            <w:vAlign w:val="center"/>
          </w:tcPr>
          <w:p w14:paraId="4B697BE6" w14:textId="7E1B73BF" w:rsidR="00704963" w:rsidRPr="00AC4AE3" w:rsidRDefault="00704963" w:rsidP="00B80737">
            <w:pPr>
              <w:jc w:val="right"/>
              <w:rPr>
                <w:rFonts w:ascii="Arial" w:hAnsi="Arial"/>
                <w:sz w:val="16"/>
              </w:rPr>
            </w:pPr>
            <w:r w:rsidRPr="00B80737">
              <w:rPr>
                <w:rFonts w:ascii="Arial" w:hAnsi="Arial" w:cs="Arial"/>
                <w:bCs/>
                <w:sz w:val="16"/>
                <w:szCs w:val="16"/>
              </w:rPr>
              <w:t>9,700</w:t>
            </w:r>
          </w:p>
        </w:tc>
        <w:tc>
          <w:tcPr>
            <w:tcW w:w="634" w:type="pct"/>
            <w:vAlign w:val="center"/>
          </w:tcPr>
          <w:p w14:paraId="4B697BE8" w14:textId="76D12BAF" w:rsidR="00704963" w:rsidRPr="00AC4AE3" w:rsidRDefault="00704963" w:rsidP="00B80737">
            <w:pPr>
              <w:jc w:val="right"/>
              <w:rPr>
                <w:rFonts w:ascii="Arial" w:hAnsi="Arial"/>
                <w:sz w:val="16"/>
              </w:rPr>
            </w:pPr>
            <w:r>
              <w:rPr>
                <w:rFonts w:ascii="Arial" w:hAnsi="Arial"/>
                <w:sz w:val="16"/>
              </w:rPr>
              <w:t>2,425</w:t>
            </w:r>
          </w:p>
        </w:tc>
        <w:tc>
          <w:tcPr>
            <w:tcW w:w="498" w:type="pct"/>
            <w:vAlign w:val="center"/>
          </w:tcPr>
          <w:p w14:paraId="4B697BEA" w14:textId="77777777" w:rsidR="00704963" w:rsidRPr="00AC4AE3" w:rsidRDefault="00704963" w:rsidP="00BE0AF3">
            <w:pPr>
              <w:jc w:val="right"/>
              <w:rPr>
                <w:rFonts w:ascii="Arial" w:hAnsi="Arial"/>
                <w:sz w:val="16"/>
              </w:rPr>
            </w:pPr>
            <w:r>
              <w:rPr>
                <w:rFonts w:ascii="Arial" w:hAnsi="Arial"/>
                <w:sz w:val="16"/>
              </w:rPr>
              <w:t>$26.82</w:t>
            </w:r>
          </w:p>
        </w:tc>
        <w:tc>
          <w:tcPr>
            <w:tcW w:w="679" w:type="pct"/>
            <w:vAlign w:val="center"/>
          </w:tcPr>
          <w:p w14:paraId="4B697BEC" w14:textId="6781B095" w:rsidR="00704963" w:rsidRPr="00AC4AE3" w:rsidRDefault="00704963" w:rsidP="00704963">
            <w:pPr>
              <w:jc w:val="right"/>
              <w:rPr>
                <w:rFonts w:ascii="Arial" w:hAnsi="Arial"/>
                <w:sz w:val="16"/>
              </w:rPr>
            </w:pPr>
            <w:r>
              <w:rPr>
                <w:rFonts w:ascii="Arial" w:hAnsi="Arial"/>
                <w:sz w:val="16"/>
              </w:rPr>
              <w:t>$65,038.50</w:t>
            </w:r>
          </w:p>
        </w:tc>
      </w:tr>
      <w:tr w:rsidR="00704963" w14:paraId="4B697BFA" w14:textId="77777777" w:rsidTr="00704963">
        <w:trPr>
          <w:cantSplit/>
        </w:trPr>
        <w:tc>
          <w:tcPr>
            <w:tcW w:w="452" w:type="pct"/>
            <w:vAlign w:val="center"/>
          </w:tcPr>
          <w:p w14:paraId="108E58DD" w14:textId="2C7467C5" w:rsidR="00704963" w:rsidRPr="006133AB" w:rsidRDefault="00704963" w:rsidP="006133AB">
            <w:pPr>
              <w:jc w:val="center"/>
              <w:rPr>
                <w:rFonts w:ascii="Arial" w:hAnsi="Arial"/>
                <w:b/>
                <w:sz w:val="16"/>
              </w:rPr>
            </w:pPr>
            <w:r w:rsidRPr="006133AB">
              <w:rPr>
                <w:rFonts w:ascii="Arial" w:hAnsi="Arial"/>
                <w:b/>
                <w:sz w:val="16"/>
              </w:rPr>
              <w:t>1</w:t>
            </w:r>
          </w:p>
        </w:tc>
        <w:tc>
          <w:tcPr>
            <w:tcW w:w="1453" w:type="pct"/>
            <w:vAlign w:val="center"/>
          </w:tcPr>
          <w:p w14:paraId="4B697BEF" w14:textId="43D5CA7C" w:rsidR="00704963" w:rsidRPr="00AC4AE3" w:rsidRDefault="00704963" w:rsidP="00A5073B">
            <w:pPr>
              <w:rPr>
                <w:rFonts w:ascii="Arial" w:hAnsi="Arial"/>
                <w:sz w:val="16"/>
              </w:rPr>
            </w:pPr>
            <w:r w:rsidRPr="00B80737">
              <w:rPr>
                <w:rFonts w:ascii="Arial" w:hAnsi="Arial" w:cs="Arial"/>
                <w:bCs/>
                <w:sz w:val="16"/>
                <w:szCs w:val="24"/>
              </w:rPr>
              <w:t>Submissions Under 37 CFR 1.55(</w:t>
            </w:r>
            <w:r w:rsidR="00A5073B">
              <w:rPr>
                <w:rFonts w:ascii="Arial" w:hAnsi="Arial" w:cs="Arial"/>
                <w:bCs/>
                <w:sz w:val="16"/>
                <w:szCs w:val="24"/>
              </w:rPr>
              <w:t>k</w:t>
            </w:r>
            <w:r w:rsidRPr="00B80737">
              <w:rPr>
                <w:rFonts w:ascii="Arial" w:hAnsi="Arial" w:cs="Arial"/>
                <w:bCs/>
                <w:sz w:val="16"/>
                <w:szCs w:val="24"/>
              </w:rPr>
              <w:t>)</w:t>
            </w:r>
          </w:p>
        </w:tc>
        <w:tc>
          <w:tcPr>
            <w:tcW w:w="725" w:type="pct"/>
            <w:vAlign w:val="center"/>
          </w:tcPr>
          <w:p w14:paraId="4B697BF1" w14:textId="77777777" w:rsidR="00704963" w:rsidRPr="00AC4AE3" w:rsidRDefault="00704963" w:rsidP="00B80737">
            <w:pPr>
              <w:jc w:val="right"/>
              <w:rPr>
                <w:rFonts w:ascii="Arial" w:hAnsi="Arial"/>
                <w:sz w:val="16"/>
              </w:rPr>
            </w:pPr>
            <w:r>
              <w:rPr>
                <w:rFonts w:ascii="Arial" w:hAnsi="Arial"/>
                <w:sz w:val="16"/>
              </w:rPr>
              <w:t>0.25</w:t>
            </w:r>
          </w:p>
        </w:tc>
        <w:tc>
          <w:tcPr>
            <w:tcW w:w="559" w:type="pct"/>
            <w:vAlign w:val="center"/>
          </w:tcPr>
          <w:p w14:paraId="4B697BF3" w14:textId="3B5C0016" w:rsidR="00704963" w:rsidRPr="00AC4AE3" w:rsidRDefault="00704963" w:rsidP="00B80737">
            <w:pPr>
              <w:jc w:val="right"/>
              <w:rPr>
                <w:rFonts w:ascii="Arial" w:hAnsi="Arial"/>
                <w:sz w:val="16"/>
              </w:rPr>
            </w:pPr>
            <w:r w:rsidRPr="00B80737">
              <w:rPr>
                <w:rFonts w:ascii="Arial" w:hAnsi="Arial" w:cs="Arial"/>
                <w:bCs/>
                <w:sz w:val="16"/>
                <w:szCs w:val="16"/>
              </w:rPr>
              <w:t>300</w:t>
            </w:r>
          </w:p>
        </w:tc>
        <w:tc>
          <w:tcPr>
            <w:tcW w:w="634" w:type="pct"/>
            <w:vAlign w:val="center"/>
          </w:tcPr>
          <w:p w14:paraId="4B697BF5" w14:textId="1405BCA2" w:rsidR="00704963" w:rsidRDefault="00704963" w:rsidP="00B80737">
            <w:pPr>
              <w:jc w:val="right"/>
              <w:rPr>
                <w:rFonts w:ascii="Arial" w:hAnsi="Arial"/>
                <w:sz w:val="16"/>
              </w:rPr>
            </w:pPr>
            <w:r>
              <w:rPr>
                <w:rFonts w:ascii="Arial" w:hAnsi="Arial"/>
                <w:sz w:val="16"/>
              </w:rPr>
              <w:t>75</w:t>
            </w:r>
          </w:p>
        </w:tc>
        <w:tc>
          <w:tcPr>
            <w:tcW w:w="498" w:type="pct"/>
            <w:vAlign w:val="center"/>
          </w:tcPr>
          <w:p w14:paraId="4B697BF7" w14:textId="77777777" w:rsidR="00704963" w:rsidRPr="00AC4AE3" w:rsidRDefault="00704963" w:rsidP="00B80737">
            <w:pPr>
              <w:jc w:val="right"/>
              <w:rPr>
                <w:rFonts w:ascii="Arial" w:hAnsi="Arial"/>
                <w:sz w:val="16"/>
              </w:rPr>
            </w:pPr>
            <w:r>
              <w:rPr>
                <w:rFonts w:ascii="Arial" w:hAnsi="Arial"/>
                <w:sz w:val="16"/>
              </w:rPr>
              <w:t>$26.82</w:t>
            </w:r>
          </w:p>
        </w:tc>
        <w:tc>
          <w:tcPr>
            <w:tcW w:w="679" w:type="pct"/>
            <w:vAlign w:val="center"/>
          </w:tcPr>
          <w:p w14:paraId="4B697BF9" w14:textId="047B987C" w:rsidR="00704963" w:rsidRPr="00AC4AE3" w:rsidRDefault="00704963" w:rsidP="00704963">
            <w:pPr>
              <w:jc w:val="right"/>
              <w:rPr>
                <w:rFonts w:ascii="Arial" w:hAnsi="Arial"/>
                <w:sz w:val="16"/>
              </w:rPr>
            </w:pPr>
            <w:r>
              <w:rPr>
                <w:rFonts w:ascii="Arial" w:hAnsi="Arial"/>
                <w:sz w:val="16"/>
              </w:rPr>
              <w:t>$2,011.50</w:t>
            </w:r>
          </w:p>
        </w:tc>
      </w:tr>
      <w:tr w:rsidR="00704963" w14:paraId="4B697C07" w14:textId="77777777" w:rsidTr="00704963">
        <w:trPr>
          <w:cantSplit/>
        </w:trPr>
        <w:tc>
          <w:tcPr>
            <w:tcW w:w="452" w:type="pct"/>
            <w:vAlign w:val="center"/>
          </w:tcPr>
          <w:p w14:paraId="08369C81" w14:textId="08BDCA7C" w:rsidR="00704963" w:rsidRPr="006133AB" w:rsidRDefault="00704963" w:rsidP="006133AB">
            <w:pPr>
              <w:jc w:val="center"/>
              <w:rPr>
                <w:rFonts w:ascii="Arial" w:hAnsi="Arial"/>
                <w:b/>
                <w:sz w:val="16"/>
              </w:rPr>
            </w:pPr>
            <w:r w:rsidRPr="006133AB">
              <w:rPr>
                <w:rFonts w:ascii="Arial" w:hAnsi="Arial"/>
                <w:b/>
                <w:sz w:val="16"/>
              </w:rPr>
              <w:t>2</w:t>
            </w:r>
          </w:p>
        </w:tc>
        <w:tc>
          <w:tcPr>
            <w:tcW w:w="1453" w:type="pct"/>
            <w:vAlign w:val="center"/>
          </w:tcPr>
          <w:p w14:paraId="4B697BFC" w14:textId="168050A1" w:rsidR="00704963" w:rsidRDefault="00704963" w:rsidP="00B80737">
            <w:pPr>
              <w:rPr>
                <w:rFonts w:ascii="Arial" w:hAnsi="Arial"/>
                <w:sz w:val="16"/>
              </w:rPr>
            </w:pPr>
            <w:r w:rsidRPr="00B80737">
              <w:rPr>
                <w:rFonts w:ascii="Arial" w:hAnsi="Arial" w:cs="Arial"/>
                <w:bCs/>
                <w:sz w:val="16"/>
                <w:szCs w:val="24"/>
              </w:rPr>
              <w:t>Electronic Submissions Under 37 CFR 1.78(a)(6)</w:t>
            </w:r>
          </w:p>
        </w:tc>
        <w:tc>
          <w:tcPr>
            <w:tcW w:w="725" w:type="pct"/>
            <w:vAlign w:val="center"/>
          </w:tcPr>
          <w:p w14:paraId="4B697BFE" w14:textId="77777777" w:rsidR="00704963" w:rsidRDefault="00704963" w:rsidP="00B80737">
            <w:pPr>
              <w:jc w:val="right"/>
              <w:rPr>
                <w:rFonts w:ascii="Arial" w:hAnsi="Arial"/>
                <w:sz w:val="16"/>
              </w:rPr>
            </w:pPr>
            <w:r>
              <w:rPr>
                <w:rFonts w:ascii="Arial" w:hAnsi="Arial"/>
                <w:sz w:val="16"/>
              </w:rPr>
              <w:t>0.25</w:t>
            </w:r>
          </w:p>
        </w:tc>
        <w:tc>
          <w:tcPr>
            <w:tcW w:w="559" w:type="pct"/>
            <w:vAlign w:val="center"/>
          </w:tcPr>
          <w:p w14:paraId="4B697C00" w14:textId="5B48BF1F" w:rsidR="00704963" w:rsidRDefault="00704963" w:rsidP="00B80737">
            <w:pPr>
              <w:jc w:val="right"/>
              <w:rPr>
                <w:rFonts w:ascii="Arial" w:hAnsi="Arial"/>
                <w:sz w:val="16"/>
              </w:rPr>
            </w:pPr>
            <w:r w:rsidRPr="00B80737">
              <w:rPr>
                <w:rFonts w:ascii="Arial" w:hAnsi="Arial" w:cs="Arial"/>
                <w:bCs/>
                <w:sz w:val="16"/>
                <w:szCs w:val="16"/>
              </w:rPr>
              <w:t>7,760</w:t>
            </w:r>
          </w:p>
        </w:tc>
        <w:tc>
          <w:tcPr>
            <w:tcW w:w="634" w:type="pct"/>
            <w:vAlign w:val="center"/>
          </w:tcPr>
          <w:p w14:paraId="4B697C02" w14:textId="67EC7972" w:rsidR="00704963" w:rsidRDefault="00704963" w:rsidP="00704963">
            <w:pPr>
              <w:jc w:val="right"/>
              <w:rPr>
                <w:rFonts w:ascii="Arial" w:hAnsi="Arial"/>
                <w:sz w:val="16"/>
              </w:rPr>
            </w:pPr>
            <w:r>
              <w:rPr>
                <w:rFonts w:ascii="Arial" w:hAnsi="Arial"/>
                <w:sz w:val="16"/>
              </w:rPr>
              <w:t>1,930</w:t>
            </w:r>
          </w:p>
        </w:tc>
        <w:tc>
          <w:tcPr>
            <w:tcW w:w="498" w:type="pct"/>
            <w:vAlign w:val="center"/>
          </w:tcPr>
          <w:p w14:paraId="4B697C04" w14:textId="77777777" w:rsidR="00704963" w:rsidRDefault="00704963" w:rsidP="00B80737">
            <w:pPr>
              <w:jc w:val="right"/>
              <w:rPr>
                <w:rFonts w:ascii="Arial" w:hAnsi="Arial"/>
                <w:sz w:val="16"/>
              </w:rPr>
            </w:pPr>
            <w:r>
              <w:rPr>
                <w:rFonts w:ascii="Arial" w:hAnsi="Arial"/>
                <w:sz w:val="16"/>
              </w:rPr>
              <w:t>$26.82</w:t>
            </w:r>
          </w:p>
        </w:tc>
        <w:tc>
          <w:tcPr>
            <w:tcW w:w="679" w:type="pct"/>
            <w:vAlign w:val="center"/>
          </w:tcPr>
          <w:p w14:paraId="4B697C06" w14:textId="45343494" w:rsidR="00704963" w:rsidRDefault="00704963" w:rsidP="00704963">
            <w:pPr>
              <w:jc w:val="right"/>
              <w:rPr>
                <w:rFonts w:ascii="Arial" w:hAnsi="Arial"/>
                <w:sz w:val="16"/>
              </w:rPr>
            </w:pPr>
            <w:r>
              <w:rPr>
                <w:rFonts w:ascii="Arial" w:hAnsi="Arial"/>
                <w:sz w:val="16"/>
              </w:rPr>
              <w:t>$51,762.60</w:t>
            </w:r>
          </w:p>
        </w:tc>
      </w:tr>
      <w:tr w:rsidR="00704963" w14:paraId="4B697C14" w14:textId="77777777" w:rsidTr="00704963">
        <w:trPr>
          <w:cantSplit/>
        </w:trPr>
        <w:tc>
          <w:tcPr>
            <w:tcW w:w="452" w:type="pct"/>
            <w:vAlign w:val="center"/>
          </w:tcPr>
          <w:p w14:paraId="601B9237" w14:textId="2A2AA961" w:rsidR="00704963" w:rsidRPr="006133AB" w:rsidRDefault="00704963" w:rsidP="006133AB">
            <w:pPr>
              <w:jc w:val="center"/>
              <w:rPr>
                <w:rFonts w:ascii="Arial" w:hAnsi="Arial"/>
                <w:b/>
                <w:sz w:val="16"/>
              </w:rPr>
            </w:pPr>
            <w:r w:rsidRPr="006133AB">
              <w:rPr>
                <w:rFonts w:ascii="Arial" w:hAnsi="Arial"/>
                <w:b/>
                <w:sz w:val="16"/>
              </w:rPr>
              <w:t>2</w:t>
            </w:r>
          </w:p>
        </w:tc>
        <w:tc>
          <w:tcPr>
            <w:tcW w:w="1453" w:type="pct"/>
            <w:vAlign w:val="center"/>
          </w:tcPr>
          <w:p w14:paraId="04BBEC05" w14:textId="77777777" w:rsidR="00704963" w:rsidRPr="00B80737" w:rsidRDefault="00704963" w:rsidP="004B77ED">
            <w:pPr>
              <w:spacing w:after="120"/>
              <w:ind w:left="2160" w:hanging="2160"/>
              <w:contextualSpacing/>
              <w:rPr>
                <w:rFonts w:ascii="Arial" w:hAnsi="Arial" w:cs="Arial"/>
                <w:bCs/>
                <w:sz w:val="16"/>
                <w:szCs w:val="24"/>
              </w:rPr>
            </w:pPr>
            <w:r w:rsidRPr="00B80737">
              <w:rPr>
                <w:rFonts w:ascii="Arial" w:hAnsi="Arial" w:cs="Arial"/>
                <w:bCs/>
                <w:sz w:val="16"/>
                <w:szCs w:val="24"/>
              </w:rPr>
              <w:t xml:space="preserve">Submissions Under 37 CFR </w:t>
            </w:r>
          </w:p>
          <w:p w14:paraId="4B697C09" w14:textId="385A227B" w:rsidR="00704963" w:rsidRDefault="00704963" w:rsidP="00B80737">
            <w:pPr>
              <w:rPr>
                <w:rFonts w:ascii="Arial" w:hAnsi="Arial"/>
                <w:sz w:val="16"/>
              </w:rPr>
            </w:pPr>
            <w:r w:rsidRPr="00B80737">
              <w:rPr>
                <w:rFonts w:ascii="Arial" w:hAnsi="Arial" w:cs="Arial"/>
                <w:bCs/>
                <w:sz w:val="16"/>
                <w:szCs w:val="24"/>
              </w:rPr>
              <w:t>1.78(a)(6)</w:t>
            </w:r>
          </w:p>
        </w:tc>
        <w:tc>
          <w:tcPr>
            <w:tcW w:w="725" w:type="pct"/>
            <w:vAlign w:val="center"/>
          </w:tcPr>
          <w:p w14:paraId="4B697C0B" w14:textId="77777777" w:rsidR="00704963" w:rsidRDefault="00704963" w:rsidP="00B80737">
            <w:pPr>
              <w:jc w:val="right"/>
              <w:rPr>
                <w:rFonts w:ascii="Arial" w:hAnsi="Arial"/>
                <w:sz w:val="16"/>
              </w:rPr>
            </w:pPr>
            <w:r>
              <w:rPr>
                <w:rFonts w:ascii="Arial" w:hAnsi="Arial"/>
                <w:sz w:val="16"/>
              </w:rPr>
              <w:t>0.25</w:t>
            </w:r>
          </w:p>
        </w:tc>
        <w:tc>
          <w:tcPr>
            <w:tcW w:w="559" w:type="pct"/>
            <w:vAlign w:val="center"/>
          </w:tcPr>
          <w:p w14:paraId="4B697C0D" w14:textId="6C5E05FE" w:rsidR="00704963" w:rsidRDefault="00704963" w:rsidP="00B80737">
            <w:pPr>
              <w:jc w:val="right"/>
              <w:rPr>
                <w:rFonts w:ascii="Arial" w:hAnsi="Arial"/>
                <w:sz w:val="16"/>
              </w:rPr>
            </w:pPr>
            <w:r w:rsidRPr="00B80737">
              <w:rPr>
                <w:rFonts w:ascii="Arial" w:hAnsi="Arial" w:cs="Arial"/>
                <w:bCs/>
                <w:sz w:val="16"/>
                <w:szCs w:val="16"/>
              </w:rPr>
              <w:t>240</w:t>
            </w:r>
          </w:p>
        </w:tc>
        <w:tc>
          <w:tcPr>
            <w:tcW w:w="634" w:type="pct"/>
            <w:vAlign w:val="center"/>
          </w:tcPr>
          <w:p w14:paraId="4B697C0F" w14:textId="0FB65F53" w:rsidR="00704963" w:rsidRDefault="00096A09" w:rsidP="00B80737">
            <w:pPr>
              <w:jc w:val="right"/>
              <w:rPr>
                <w:rFonts w:ascii="Arial" w:hAnsi="Arial"/>
                <w:sz w:val="16"/>
              </w:rPr>
            </w:pPr>
            <w:r>
              <w:rPr>
                <w:rFonts w:ascii="Arial" w:hAnsi="Arial"/>
                <w:sz w:val="16"/>
              </w:rPr>
              <w:t>60</w:t>
            </w:r>
          </w:p>
        </w:tc>
        <w:tc>
          <w:tcPr>
            <w:tcW w:w="498" w:type="pct"/>
            <w:vAlign w:val="center"/>
          </w:tcPr>
          <w:p w14:paraId="4B697C11" w14:textId="77777777" w:rsidR="00704963" w:rsidRDefault="00704963" w:rsidP="00B80737">
            <w:pPr>
              <w:jc w:val="right"/>
              <w:rPr>
                <w:rFonts w:ascii="Arial" w:hAnsi="Arial"/>
                <w:sz w:val="16"/>
              </w:rPr>
            </w:pPr>
            <w:r>
              <w:rPr>
                <w:rFonts w:ascii="Arial" w:hAnsi="Arial"/>
                <w:sz w:val="16"/>
              </w:rPr>
              <w:t>$26.82</w:t>
            </w:r>
          </w:p>
        </w:tc>
        <w:tc>
          <w:tcPr>
            <w:tcW w:w="679" w:type="pct"/>
            <w:vAlign w:val="center"/>
          </w:tcPr>
          <w:p w14:paraId="4B697C13" w14:textId="77777777" w:rsidR="00704963" w:rsidRDefault="00704963" w:rsidP="00BE0AF3">
            <w:pPr>
              <w:jc w:val="right"/>
              <w:rPr>
                <w:rFonts w:ascii="Arial" w:hAnsi="Arial"/>
                <w:sz w:val="16"/>
              </w:rPr>
            </w:pPr>
            <w:r>
              <w:rPr>
                <w:rFonts w:ascii="Arial" w:hAnsi="Arial"/>
                <w:sz w:val="16"/>
              </w:rPr>
              <w:t>$26,766.00</w:t>
            </w:r>
          </w:p>
        </w:tc>
      </w:tr>
      <w:tr w:rsidR="00704963" w14:paraId="4B697C21" w14:textId="77777777" w:rsidTr="00704963">
        <w:trPr>
          <w:cantSplit/>
        </w:trPr>
        <w:tc>
          <w:tcPr>
            <w:tcW w:w="452" w:type="pct"/>
            <w:vAlign w:val="center"/>
          </w:tcPr>
          <w:p w14:paraId="527B5DC7" w14:textId="4B25AA6C" w:rsidR="00704963" w:rsidRPr="006133AB" w:rsidRDefault="00704963" w:rsidP="006133AB">
            <w:pPr>
              <w:jc w:val="center"/>
              <w:rPr>
                <w:rFonts w:ascii="Arial" w:hAnsi="Arial"/>
                <w:b/>
                <w:sz w:val="16"/>
              </w:rPr>
            </w:pPr>
            <w:r w:rsidRPr="006133AB">
              <w:rPr>
                <w:rFonts w:ascii="Arial" w:hAnsi="Arial"/>
                <w:b/>
                <w:sz w:val="16"/>
              </w:rPr>
              <w:lastRenderedPageBreak/>
              <w:t>3</w:t>
            </w:r>
          </w:p>
        </w:tc>
        <w:tc>
          <w:tcPr>
            <w:tcW w:w="1453" w:type="pct"/>
            <w:vAlign w:val="center"/>
          </w:tcPr>
          <w:p w14:paraId="4B697C16" w14:textId="407A5275" w:rsidR="00704963" w:rsidRDefault="00704963" w:rsidP="00B80737">
            <w:pPr>
              <w:rPr>
                <w:rFonts w:ascii="Arial" w:hAnsi="Arial"/>
                <w:sz w:val="16"/>
              </w:rPr>
            </w:pPr>
            <w:r w:rsidRPr="00B80737">
              <w:rPr>
                <w:rFonts w:ascii="Arial" w:hAnsi="Arial" w:cs="Arial"/>
                <w:bCs/>
                <w:sz w:val="16"/>
                <w:szCs w:val="24"/>
              </w:rPr>
              <w:t>Electronic Submissions Under 37 CFR 1.78(d)(6)</w:t>
            </w:r>
          </w:p>
        </w:tc>
        <w:tc>
          <w:tcPr>
            <w:tcW w:w="725" w:type="pct"/>
            <w:vAlign w:val="center"/>
          </w:tcPr>
          <w:p w14:paraId="4B697C18" w14:textId="77777777" w:rsidR="00704963" w:rsidRDefault="00704963" w:rsidP="00B80737">
            <w:pPr>
              <w:jc w:val="right"/>
              <w:rPr>
                <w:rFonts w:ascii="Arial" w:hAnsi="Arial"/>
                <w:sz w:val="16"/>
              </w:rPr>
            </w:pPr>
            <w:r>
              <w:rPr>
                <w:rFonts w:ascii="Arial" w:hAnsi="Arial"/>
                <w:sz w:val="16"/>
              </w:rPr>
              <w:t>0.25</w:t>
            </w:r>
          </w:p>
        </w:tc>
        <w:tc>
          <w:tcPr>
            <w:tcW w:w="559" w:type="pct"/>
            <w:vAlign w:val="center"/>
          </w:tcPr>
          <w:p w14:paraId="4B697C1A" w14:textId="4A1EE79F" w:rsidR="00704963" w:rsidRDefault="00704963" w:rsidP="00B80737">
            <w:pPr>
              <w:jc w:val="right"/>
              <w:rPr>
                <w:rFonts w:ascii="Arial" w:hAnsi="Arial"/>
                <w:sz w:val="16"/>
              </w:rPr>
            </w:pPr>
            <w:r w:rsidRPr="00B80737">
              <w:rPr>
                <w:rFonts w:ascii="Arial" w:hAnsi="Arial" w:cs="Arial"/>
                <w:bCs/>
                <w:sz w:val="16"/>
                <w:szCs w:val="16"/>
              </w:rPr>
              <w:t>1,940</w:t>
            </w:r>
          </w:p>
        </w:tc>
        <w:tc>
          <w:tcPr>
            <w:tcW w:w="634" w:type="pct"/>
            <w:vAlign w:val="center"/>
          </w:tcPr>
          <w:p w14:paraId="4B697C1C" w14:textId="09C0C0AE" w:rsidR="00704963" w:rsidRDefault="00096A09" w:rsidP="00B80737">
            <w:pPr>
              <w:jc w:val="right"/>
              <w:rPr>
                <w:rFonts w:ascii="Arial" w:hAnsi="Arial"/>
                <w:sz w:val="16"/>
              </w:rPr>
            </w:pPr>
            <w:r>
              <w:rPr>
                <w:rFonts w:ascii="Arial" w:hAnsi="Arial"/>
                <w:sz w:val="16"/>
              </w:rPr>
              <w:t>485</w:t>
            </w:r>
          </w:p>
        </w:tc>
        <w:tc>
          <w:tcPr>
            <w:tcW w:w="498" w:type="pct"/>
            <w:vAlign w:val="center"/>
          </w:tcPr>
          <w:p w14:paraId="4B697C1E" w14:textId="77777777" w:rsidR="00704963" w:rsidRDefault="00704963" w:rsidP="00B80737">
            <w:pPr>
              <w:jc w:val="right"/>
              <w:rPr>
                <w:rFonts w:ascii="Arial" w:hAnsi="Arial"/>
                <w:sz w:val="16"/>
              </w:rPr>
            </w:pPr>
            <w:r>
              <w:rPr>
                <w:rFonts w:ascii="Arial" w:hAnsi="Arial"/>
                <w:sz w:val="16"/>
              </w:rPr>
              <w:t>$26.82</w:t>
            </w:r>
          </w:p>
        </w:tc>
        <w:tc>
          <w:tcPr>
            <w:tcW w:w="679" w:type="pct"/>
            <w:vAlign w:val="center"/>
          </w:tcPr>
          <w:p w14:paraId="4B697C20" w14:textId="721F03EE" w:rsidR="00704963" w:rsidRDefault="00704963" w:rsidP="00096A09">
            <w:pPr>
              <w:jc w:val="right"/>
              <w:rPr>
                <w:rFonts w:ascii="Arial" w:hAnsi="Arial"/>
                <w:sz w:val="16"/>
              </w:rPr>
            </w:pPr>
            <w:r>
              <w:rPr>
                <w:rFonts w:ascii="Arial" w:hAnsi="Arial"/>
                <w:sz w:val="16"/>
              </w:rPr>
              <w:t>$</w:t>
            </w:r>
            <w:r w:rsidR="00096A09">
              <w:rPr>
                <w:rFonts w:ascii="Arial" w:hAnsi="Arial"/>
                <w:sz w:val="16"/>
              </w:rPr>
              <w:t>1,609.20</w:t>
            </w:r>
          </w:p>
        </w:tc>
      </w:tr>
      <w:tr w:rsidR="00704963" w14:paraId="4B697C2E" w14:textId="77777777" w:rsidTr="00704963">
        <w:trPr>
          <w:cantSplit/>
        </w:trPr>
        <w:tc>
          <w:tcPr>
            <w:tcW w:w="452" w:type="pct"/>
            <w:vAlign w:val="center"/>
          </w:tcPr>
          <w:p w14:paraId="0AB3331A" w14:textId="7F07BFFB" w:rsidR="00704963" w:rsidRPr="006133AB" w:rsidRDefault="00704963" w:rsidP="006133AB">
            <w:pPr>
              <w:jc w:val="center"/>
              <w:rPr>
                <w:rFonts w:ascii="Arial" w:hAnsi="Arial"/>
                <w:b/>
                <w:sz w:val="16"/>
              </w:rPr>
            </w:pPr>
            <w:r w:rsidRPr="006133AB">
              <w:rPr>
                <w:rFonts w:ascii="Arial" w:hAnsi="Arial"/>
                <w:b/>
                <w:sz w:val="16"/>
              </w:rPr>
              <w:t>3</w:t>
            </w:r>
          </w:p>
        </w:tc>
        <w:tc>
          <w:tcPr>
            <w:tcW w:w="1453" w:type="pct"/>
            <w:vAlign w:val="center"/>
          </w:tcPr>
          <w:p w14:paraId="4B697C23" w14:textId="146C3BD5" w:rsidR="00704963" w:rsidRDefault="00704963" w:rsidP="00B80737">
            <w:pPr>
              <w:rPr>
                <w:rFonts w:ascii="Arial" w:hAnsi="Arial"/>
                <w:sz w:val="16"/>
              </w:rPr>
            </w:pPr>
            <w:r w:rsidRPr="00B80737">
              <w:rPr>
                <w:rFonts w:ascii="Arial" w:hAnsi="Arial" w:cs="Arial"/>
                <w:bCs/>
                <w:sz w:val="16"/>
                <w:szCs w:val="24"/>
              </w:rPr>
              <w:t>Submissions Under 37 CFR 1.78(d)(6)</w:t>
            </w:r>
          </w:p>
        </w:tc>
        <w:tc>
          <w:tcPr>
            <w:tcW w:w="725" w:type="pct"/>
            <w:vAlign w:val="center"/>
          </w:tcPr>
          <w:p w14:paraId="4B697C25" w14:textId="77777777" w:rsidR="00704963" w:rsidRDefault="00704963" w:rsidP="00B80737">
            <w:pPr>
              <w:jc w:val="right"/>
              <w:rPr>
                <w:rFonts w:ascii="Arial" w:hAnsi="Arial"/>
                <w:sz w:val="16"/>
              </w:rPr>
            </w:pPr>
            <w:r>
              <w:rPr>
                <w:rFonts w:ascii="Arial" w:hAnsi="Arial"/>
                <w:sz w:val="16"/>
              </w:rPr>
              <w:t>0.25</w:t>
            </w:r>
          </w:p>
        </w:tc>
        <w:tc>
          <w:tcPr>
            <w:tcW w:w="559" w:type="pct"/>
            <w:vAlign w:val="center"/>
          </w:tcPr>
          <w:p w14:paraId="4B697C27" w14:textId="448022CA" w:rsidR="00704963" w:rsidRDefault="00704963" w:rsidP="00B80737">
            <w:pPr>
              <w:jc w:val="right"/>
              <w:rPr>
                <w:rFonts w:ascii="Arial" w:hAnsi="Arial"/>
                <w:sz w:val="16"/>
              </w:rPr>
            </w:pPr>
            <w:r w:rsidRPr="00B80737">
              <w:rPr>
                <w:rFonts w:ascii="Arial" w:hAnsi="Arial" w:cs="Arial"/>
                <w:bCs/>
                <w:sz w:val="16"/>
                <w:szCs w:val="16"/>
              </w:rPr>
              <w:t>60</w:t>
            </w:r>
          </w:p>
        </w:tc>
        <w:tc>
          <w:tcPr>
            <w:tcW w:w="634" w:type="pct"/>
            <w:vAlign w:val="center"/>
          </w:tcPr>
          <w:p w14:paraId="4B697C29" w14:textId="0B725DB9" w:rsidR="00704963" w:rsidRDefault="00704963" w:rsidP="00B80737">
            <w:pPr>
              <w:jc w:val="right"/>
              <w:rPr>
                <w:rFonts w:ascii="Arial" w:hAnsi="Arial"/>
                <w:sz w:val="16"/>
              </w:rPr>
            </w:pPr>
            <w:r>
              <w:rPr>
                <w:rFonts w:ascii="Arial" w:hAnsi="Arial"/>
                <w:sz w:val="16"/>
              </w:rPr>
              <w:t>36.5</w:t>
            </w:r>
          </w:p>
        </w:tc>
        <w:tc>
          <w:tcPr>
            <w:tcW w:w="498" w:type="pct"/>
            <w:vAlign w:val="center"/>
          </w:tcPr>
          <w:p w14:paraId="4B697C2B" w14:textId="77777777" w:rsidR="00704963" w:rsidRDefault="00704963" w:rsidP="00B80737">
            <w:pPr>
              <w:jc w:val="right"/>
              <w:rPr>
                <w:rFonts w:ascii="Arial" w:hAnsi="Arial"/>
                <w:sz w:val="16"/>
              </w:rPr>
            </w:pPr>
            <w:r>
              <w:rPr>
                <w:rFonts w:ascii="Arial" w:hAnsi="Arial"/>
                <w:sz w:val="16"/>
              </w:rPr>
              <w:t>$26.82</w:t>
            </w:r>
          </w:p>
        </w:tc>
        <w:tc>
          <w:tcPr>
            <w:tcW w:w="679" w:type="pct"/>
            <w:vAlign w:val="center"/>
          </w:tcPr>
          <w:p w14:paraId="4B697C2D" w14:textId="71A06880" w:rsidR="00704963" w:rsidRDefault="00704963" w:rsidP="00096A09">
            <w:pPr>
              <w:jc w:val="right"/>
              <w:rPr>
                <w:rFonts w:ascii="Arial" w:hAnsi="Arial"/>
                <w:sz w:val="16"/>
              </w:rPr>
            </w:pPr>
            <w:r>
              <w:rPr>
                <w:rFonts w:ascii="Arial" w:hAnsi="Arial"/>
                <w:sz w:val="16"/>
              </w:rPr>
              <w:t>$</w:t>
            </w:r>
            <w:r w:rsidR="00096A09">
              <w:rPr>
                <w:rFonts w:ascii="Arial" w:hAnsi="Arial"/>
                <w:sz w:val="16"/>
              </w:rPr>
              <w:t>978.93</w:t>
            </w:r>
          </w:p>
        </w:tc>
      </w:tr>
      <w:tr w:rsidR="00704963" w14:paraId="4B697C3B" w14:textId="77777777" w:rsidTr="00704963">
        <w:trPr>
          <w:cantSplit/>
        </w:trPr>
        <w:tc>
          <w:tcPr>
            <w:tcW w:w="452" w:type="pct"/>
            <w:vAlign w:val="center"/>
          </w:tcPr>
          <w:p w14:paraId="27CB0AC7" w14:textId="675CFCB6" w:rsidR="00704963" w:rsidRPr="006133AB" w:rsidRDefault="00704963" w:rsidP="006133AB">
            <w:pPr>
              <w:jc w:val="center"/>
              <w:rPr>
                <w:rFonts w:ascii="Arial" w:hAnsi="Arial"/>
                <w:b/>
                <w:sz w:val="16"/>
              </w:rPr>
            </w:pPr>
            <w:r w:rsidRPr="006133AB">
              <w:rPr>
                <w:rFonts w:ascii="Arial" w:hAnsi="Arial"/>
                <w:b/>
                <w:sz w:val="16"/>
              </w:rPr>
              <w:t>4</w:t>
            </w:r>
          </w:p>
        </w:tc>
        <w:tc>
          <w:tcPr>
            <w:tcW w:w="1453" w:type="pct"/>
            <w:vAlign w:val="center"/>
          </w:tcPr>
          <w:p w14:paraId="4B697C30" w14:textId="12293C29" w:rsidR="00704963" w:rsidRDefault="00704963" w:rsidP="00B80737">
            <w:pPr>
              <w:rPr>
                <w:rFonts w:ascii="Arial" w:hAnsi="Arial"/>
                <w:sz w:val="16"/>
              </w:rPr>
            </w:pPr>
            <w:r w:rsidRPr="00B80737">
              <w:rPr>
                <w:rFonts w:ascii="Arial" w:hAnsi="Arial" w:cs="Arial"/>
                <w:bCs/>
                <w:sz w:val="16"/>
                <w:szCs w:val="24"/>
              </w:rPr>
              <w:t>Electronic Identification of Inventorship and Ownership of the Subject Matter of Individual Claims under 37 CFR 1.110</w:t>
            </w:r>
          </w:p>
        </w:tc>
        <w:tc>
          <w:tcPr>
            <w:tcW w:w="725" w:type="pct"/>
            <w:vAlign w:val="center"/>
          </w:tcPr>
          <w:p w14:paraId="4B697C32" w14:textId="77777777" w:rsidR="00704963" w:rsidRDefault="00704963" w:rsidP="00B80737">
            <w:pPr>
              <w:jc w:val="right"/>
              <w:rPr>
                <w:rFonts w:ascii="Arial" w:hAnsi="Arial"/>
                <w:sz w:val="16"/>
              </w:rPr>
            </w:pPr>
            <w:r>
              <w:rPr>
                <w:rFonts w:ascii="Arial" w:hAnsi="Arial"/>
                <w:sz w:val="16"/>
              </w:rPr>
              <w:t>0.25</w:t>
            </w:r>
          </w:p>
        </w:tc>
        <w:tc>
          <w:tcPr>
            <w:tcW w:w="559" w:type="pct"/>
            <w:vAlign w:val="center"/>
          </w:tcPr>
          <w:p w14:paraId="4B697C34" w14:textId="21B1FE80" w:rsidR="00704963" w:rsidRDefault="00704963" w:rsidP="00B80737">
            <w:pPr>
              <w:jc w:val="right"/>
              <w:rPr>
                <w:rFonts w:ascii="Arial" w:hAnsi="Arial"/>
                <w:sz w:val="16"/>
              </w:rPr>
            </w:pPr>
            <w:r w:rsidRPr="00B80737">
              <w:rPr>
                <w:rFonts w:ascii="Arial" w:hAnsi="Arial" w:cs="Arial"/>
                <w:bCs/>
                <w:sz w:val="16"/>
                <w:szCs w:val="16"/>
              </w:rPr>
              <w:t>146</w:t>
            </w:r>
          </w:p>
        </w:tc>
        <w:tc>
          <w:tcPr>
            <w:tcW w:w="634" w:type="pct"/>
            <w:vAlign w:val="center"/>
          </w:tcPr>
          <w:p w14:paraId="4B697C36" w14:textId="3D8242B9" w:rsidR="00704963" w:rsidRDefault="00704963" w:rsidP="00B80737">
            <w:pPr>
              <w:jc w:val="right"/>
              <w:rPr>
                <w:rFonts w:ascii="Arial" w:hAnsi="Arial"/>
                <w:sz w:val="16"/>
              </w:rPr>
            </w:pPr>
            <w:r>
              <w:rPr>
                <w:rFonts w:ascii="Arial" w:hAnsi="Arial"/>
                <w:sz w:val="16"/>
              </w:rPr>
              <w:t>36.5</w:t>
            </w:r>
          </w:p>
        </w:tc>
        <w:tc>
          <w:tcPr>
            <w:tcW w:w="498" w:type="pct"/>
            <w:vAlign w:val="center"/>
          </w:tcPr>
          <w:p w14:paraId="4B697C38" w14:textId="77777777" w:rsidR="00704963" w:rsidRDefault="00704963" w:rsidP="00B80737">
            <w:pPr>
              <w:jc w:val="right"/>
              <w:rPr>
                <w:rFonts w:ascii="Arial" w:hAnsi="Arial"/>
                <w:sz w:val="16"/>
              </w:rPr>
            </w:pPr>
            <w:r>
              <w:rPr>
                <w:rFonts w:ascii="Arial" w:hAnsi="Arial"/>
                <w:sz w:val="16"/>
              </w:rPr>
              <w:t>$26.82</w:t>
            </w:r>
          </w:p>
        </w:tc>
        <w:tc>
          <w:tcPr>
            <w:tcW w:w="679" w:type="pct"/>
            <w:vAlign w:val="center"/>
          </w:tcPr>
          <w:p w14:paraId="4B697C3A" w14:textId="77777777" w:rsidR="00704963" w:rsidRDefault="00704963" w:rsidP="00BE0AF3">
            <w:pPr>
              <w:jc w:val="right"/>
              <w:rPr>
                <w:rFonts w:ascii="Arial" w:hAnsi="Arial"/>
                <w:sz w:val="16"/>
              </w:rPr>
            </w:pPr>
            <w:r>
              <w:rPr>
                <w:rFonts w:ascii="Arial" w:hAnsi="Arial"/>
                <w:sz w:val="16"/>
              </w:rPr>
              <w:t>$939.00</w:t>
            </w:r>
          </w:p>
        </w:tc>
      </w:tr>
      <w:tr w:rsidR="00704963" w14:paraId="4B697C48" w14:textId="77777777" w:rsidTr="00704963">
        <w:trPr>
          <w:cantSplit/>
        </w:trPr>
        <w:tc>
          <w:tcPr>
            <w:tcW w:w="452" w:type="pct"/>
            <w:vAlign w:val="center"/>
          </w:tcPr>
          <w:p w14:paraId="67E4B72C" w14:textId="7557CE1F" w:rsidR="00704963" w:rsidRPr="006133AB" w:rsidRDefault="00704963" w:rsidP="006133AB">
            <w:pPr>
              <w:jc w:val="center"/>
              <w:rPr>
                <w:rFonts w:ascii="Arial" w:hAnsi="Arial"/>
                <w:b/>
                <w:sz w:val="16"/>
              </w:rPr>
            </w:pPr>
            <w:r w:rsidRPr="006133AB">
              <w:rPr>
                <w:rFonts w:ascii="Arial" w:hAnsi="Arial"/>
                <w:b/>
                <w:sz w:val="16"/>
              </w:rPr>
              <w:t>4</w:t>
            </w:r>
          </w:p>
        </w:tc>
        <w:tc>
          <w:tcPr>
            <w:tcW w:w="1453" w:type="pct"/>
            <w:vAlign w:val="center"/>
          </w:tcPr>
          <w:p w14:paraId="4B697C3D" w14:textId="36AF4B2A" w:rsidR="00704963" w:rsidRDefault="00704963" w:rsidP="00B80737">
            <w:pPr>
              <w:rPr>
                <w:rFonts w:ascii="Arial" w:hAnsi="Arial"/>
                <w:sz w:val="16"/>
              </w:rPr>
            </w:pPr>
            <w:r w:rsidRPr="00B80737">
              <w:rPr>
                <w:rFonts w:ascii="Arial" w:hAnsi="Arial" w:cs="Arial"/>
                <w:bCs/>
                <w:sz w:val="16"/>
                <w:szCs w:val="24"/>
              </w:rPr>
              <w:t>Identification of Inventorship and Ownership of the Subject Matter of Individual Claims under 37 CFR 1.110</w:t>
            </w:r>
          </w:p>
        </w:tc>
        <w:tc>
          <w:tcPr>
            <w:tcW w:w="725" w:type="pct"/>
            <w:vAlign w:val="center"/>
          </w:tcPr>
          <w:p w14:paraId="4B697C3F" w14:textId="77777777" w:rsidR="00704963" w:rsidRDefault="00704963" w:rsidP="00B80737">
            <w:pPr>
              <w:jc w:val="right"/>
              <w:rPr>
                <w:rFonts w:ascii="Arial" w:hAnsi="Arial"/>
                <w:sz w:val="16"/>
              </w:rPr>
            </w:pPr>
            <w:r>
              <w:rPr>
                <w:rFonts w:ascii="Arial" w:hAnsi="Arial"/>
                <w:sz w:val="16"/>
              </w:rPr>
              <w:t>0.25</w:t>
            </w:r>
          </w:p>
        </w:tc>
        <w:tc>
          <w:tcPr>
            <w:tcW w:w="559" w:type="pct"/>
            <w:vAlign w:val="center"/>
          </w:tcPr>
          <w:p w14:paraId="4B697C41" w14:textId="1233F653" w:rsidR="00704963" w:rsidRDefault="00704963" w:rsidP="00B80737">
            <w:pPr>
              <w:jc w:val="right"/>
              <w:rPr>
                <w:rFonts w:ascii="Arial" w:hAnsi="Arial"/>
                <w:sz w:val="16"/>
              </w:rPr>
            </w:pPr>
            <w:r w:rsidRPr="00B80737">
              <w:rPr>
                <w:rFonts w:ascii="Arial" w:hAnsi="Arial" w:cs="Arial"/>
                <w:bCs/>
                <w:sz w:val="16"/>
                <w:szCs w:val="16"/>
              </w:rPr>
              <w:t>4</w:t>
            </w:r>
          </w:p>
        </w:tc>
        <w:tc>
          <w:tcPr>
            <w:tcW w:w="634" w:type="pct"/>
            <w:vAlign w:val="center"/>
          </w:tcPr>
          <w:p w14:paraId="4B697C43" w14:textId="2F1FDF41" w:rsidR="00704963" w:rsidRDefault="00704963" w:rsidP="00B80737">
            <w:pPr>
              <w:jc w:val="right"/>
              <w:rPr>
                <w:rFonts w:ascii="Arial" w:hAnsi="Arial"/>
                <w:sz w:val="16"/>
              </w:rPr>
            </w:pPr>
            <w:r>
              <w:rPr>
                <w:rFonts w:ascii="Arial" w:hAnsi="Arial"/>
                <w:sz w:val="16"/>
              </w:rPr>
              <w:t>1</w:t>
            </w:r>
          </w:p>
        </w:tc>
        <w:tc>
          <w:tcPr>
            <w:tcW w:w="498" w:type="pct"/>
            <w:vAlign w:val="center"/>
          </w:tcPr>
          <w:p w14:paraId="4B697C45" w14:textId="77777777" w:rsidR="00704963" w:rsidRDefault="00704963" w:rsidP="00B80737">
            <w:pPr>
              <w:jc w:val="right"/>
              <w:rPr>
                <w:rFonts w:ascii="Arial" w:hAnsi="Arial"/>
                <w:sz w:val="16"/>
              </w:rPr>
            </w:pPr>
            <w:r>
              <w:rPr>
                <w:rFonts w:ascii="Arial" w:hAnsi="Arial"/>
                <w:sz w:val="16"/>
              </w:rPr>
              <w:t>$26.82</w:t>
            </w:r>
          </w:p>
        </w:tc>
        <w:tc>
          <w:tcPr>
            <w:tcW w:w="679" w:type="pct"/>
            <w:vAlign w:val="center"/>
          </w:tcPr>
          <w:p w14:paraId="4B697C47" w14:textId="79603DCF" w:rsidR="00704963" w:rsidRDefault="00704963" w:rsidP="00096A09">
            <w:pPr>
              <w:jc w:val="right"/>
              <w:rPr>
                <w:rFonts w:ascii="Arial" w:hAnsi="Arial"/>
                <w:sz w:val="16"/>
              </w:rPr>
            </w:pPr>
            <w:r>
              <w:rPr>
                <w:rFonts w:ascii="Arial" w:hAnsi="Arial"/>
                <w:sz w:val="16"/>
              </w:rPr>
              <w:t>$</w:t>
            </w:r>
            <w:r w:rsidR="00096A09">
              <w:rPr>
                <w:rFonts w:ascii="Arial" w:hAnsi="Arial"/>
                <w:sz w:val="16"/>
              </w:rPr>
              <w:t>26.82</w:t>
            </w:r>
          </w:p>
        </w:tc>
      </w:tr>
      <w:tr w:rsidR="00704963" w14:paraId="4B697C55" w14:textId="77777777" w:rsidTr="00704963">
        <w:trPr>
          <w:cantSplit/>
        </w:trPr>
        <w:tc>
          <w:tcPr>
            <w:tcW w:w="452" w:type="pct"/>
            <w:vAlign w:val="center"/>
          </w:tcPr>
          <w:p w14:paraId="4BF03DF8" w14:textId="448B6CB4" w:rsidR="00704963" w:rsidRPr="006133AB" w:rsidRDefault="00704963" w:rsidP="006133AB">
            <w:pPr>
              <w:jc w:val="center"/>
              <w:rPr>
                <w:rFonts w:ascii="Arial" w:hAnsi="Arial"/>
                <w:b/>
                <w:sz w:val="16"/>
              </w:rPr>
            </w:pPr>
            <w:r w:rsidRPr="006133AB">
              <w:rPr>
                <w:rFonts w:ascii="Arial" w:hAnsi="Arial"/>
                <w:b/>
                <w:sz w:val="16"/>
              </w:rPr>
              <w:t>5</w:t>
            </w:r>
          </w:p>
        </w:tc>
        <w:tc>
          <w:tcPr>
            <w:tcW w:w="1453" w:type="pct"/>
            <w:vAlign w:val="center"/>
          </w:tcPr>
          <w:p w14:paraId="4B697C4A" w14:textId="16C06D8D" w:rsidR="00704963" w:rsidRDefault="00704963" w:rsidP="00B80737">
            <w:pPr>
              <w:rPr>
                <w:rFonts w:ascii="Arial" w:hAnsi="Arial"/>
                <w:sz w:val="16"/>
              </w:rPr>
            </w:pPr>
            <w:r w:rsidRPr="00B80737">
              <w:rPr>
                <w:rFonts w:ascii="Arial" w:hAnsi="Arial" w:cs="Arial"/>
                <w:bCs/>
                <w:sz w:val="16"/>
                <w:szCs w:val="24"/>
              </w:rPr>
              <w:t>Electronic Rule 1.130, 1.131, and 1.132 Affidavits or Declarations</w:t>
            </w:r>
          </w:p>
        </w:tc>
        <w:tc>
          <w:tcPr>
            <w:tcW w:w="725" w:type="pct"/>
            <w:vAlign w:val="center"/>
          </w:tcPr>
          <w:p w14:paraId="4B697C4C" w14:textId="77777777" w:rsidR="00704963" w:rsidRDefault="00704963" w:rsidP="00B80737">
            <w:pPr>
              <w:jc w:val="right"/>
              <w:rPr>
                <w:rFonts w:ascii="Arial" w:hAnsi="Arial"/>
                <w:sz w:val="16"/>
              </w:rPr>
            </w:pPr>
            <w:r>
              <w:rPr>
                <w:rFonts w:ascii="Arial" w:hAnsi="Arial"/>
                <w:sz w:val="16"/>
              </w:rPr>
              <w:t>0.50</w:t>
            </w:r>
          </w:p>
        </w:tc>
        <w:tc>
          <w:tcPr>
            <w:tcW w:w="559" w:type="pct"/>
            <w:vAlign w:val="center"/>
          </w:tcPr>
          <w:p w14:paraId="4B697C4E" w14:textId="5FDA2F8C" w:rsidR="00704963" w:rsidRDefault="00704963" w:rsidP="00B80737">
            <w:pPr>
              <w:jc w:val="right"/>
              <w:rPr>
                <w:rFonts w:ascii="Arial" w:hAnsi="Arial"/>
                <w:sz w:val="16"/>
              </w:rPr>
            </w:pPr>
            <w:r w:rsidRPr="00B80737">
              <w:rPr>
                <w:rFonts w:ascii="Arial" w:hAnsi="Arial" w:cs="Arial"/>
                <w:bCs/>
                <w:sz w:val="16"/>
                <w:szCs w:val="16"/>
              </w:rPr>
              <w:t>29,100</w:t>
            </w:r>
          </w:p>
        </w:tc>
        <w:tc>
          <w:tcPr>
            <w:tcW w:w="634" w:type="pct"/>
            <w:vAlign w:val="center"/>
          </w:tcPr>
          <w:p w14:paraId="4B697C50" w14:textId="31EDEDC6" w:rsidR="00704963" w:rsidRDefault="00704963" w:rsidP="00B80737">
            <w:pPr>
              <w:jc w:val="right"/>
              <w:rPr>
                <w:rFonts w:ascii="Arial" w:hAnsi="Arial"/>
                <w:sz w:val="16"/>
              </w:rPr>
            </w:pPr>
            <w:r>
              <w:rPr>
                <w:rFonts w:ascii="Arial" w:hAnsi="Arial"/>
                <w:sz w:val="16"/>
              </w:rPr>
              <w:t>14,550</w:t>
            </w:r>
          </w:p>
        </w:tc>
        <w:tc>
          <w:tcPr>
            <w:tcW w:w="498" w:type="pct"/>
            <w:vAlign w:val="center"/>
          </w:tcPr>
          <w:p w14:paraId="4B697C52" w14:textId="77777777" w:rsidR="00704963" w:rsidRDefault="00704963" w:rsidP="00B80737">
            <w:pPr>
              <w:jc w:val="right"/>
              <w:rPr>
                <w:rFonts w:ascii="Arial" w:hAnsi="Arial"/>
                <w:sz w:val="16"/>
              </w:rPr>
            </w:pPr>
            <w:r>
              <w:rPr>
                <w:rFonts w:ascii="Arial" w:hAnsi="Arial"/>
                <w:sz w:val="16"/>
              </w:rPr>
              <w:t>$26.82</w:t>
            </w:r>
          </w:p>
        </w:tc>
        <w:tc>
          <w:tcPr>
            <w:tcW w:w="679" w:type="pct"/>
            <w:vAlign w:val="center"/>
          </w:tcPr>
          <w:p w14:paraId="4B697C54" w14:textId="5D62EEC1" w:rsidR="00704963" w:rsidRDefault="00704963" w:rsidP="00096A09">
            <w:pPr>
              <w:jc w:val="right"/>
              <w:rPr>
                <w:rFonts w:ascii="Arial" w:hAnsi="Arial"/>
                <w:sz w:val="16"/>
              </w:rPr>
            </w:pPr>
            <w:r>
              <w:rPr>
                <w:rFonts w:ascii="Arial" w:hAnsi="Arial"/>
                <w:sz w:val="16"/>
              </w:rPr>
              <w:t>$</w:t>
            </w:r>
            <w:r w:rsidR="00096A09">
              <w:rPr>
                <w:rFonts w:ascii="Arial" w:hAnsi="Arial"/>
                <w:sz w:val="16"/>
              </w:rPr>
              <w:t>390,231.00</w:t>
            </w:r>
          </w:p>
        </w:tc>
      </w:tr>
      <w:tr w:rsidR="00704963" w14:paraId="4B697C62" w14:textId="77777777" w:rsidTr="00704963">
        <w:trPr>
          <w:cantSplit/>
        </w:trPr>
        <w:tc>
          <w:tcPr>
            <w:tcW w:w="452" w:type="pct"/>
            <w:vAlign w:val="center"/>
          </w:tcPr>
          <w:p w14:paraId="68D57A3A" w14:textId="33D60F88" w:rsidR="00704963" w:rsidRPr="006133AB" w:rsidRDefault="00704963" w:rsidP="006133AB">
            <w:pPr>
              <w:jc w:val="center"/>
              <w:rPr>
                <w:rFonts w:ascii="Arial" w:hAnsi="Arial"/>
                <w:b/>
                <w:sz w:val="16"/>
              </w:rPr>
            </w:pPr>
            <w:r w:rsidRPr="006133AB">
              <w:rPr>
                <w:rFonts w:ascii="Arial" w:hAnsi="Arial"/>
                <w:b/>
                <w:sz w:val="16"/>
              </w:rPr>
              <w:t>5</w:t>
            </w:r>
          </w:p>
        </w:tc>
        <w:tc>
          <w:tcPr>
            <w:tcW w:w="1453" w:type="pct"/>
            <w:vAlign w:val="center"/>
          </w:tcPr>
          <w:p w14:paraId="3E276A4D" w14:textId="77777777" w:rsidR="00704963" w:rsidRPr="00B80737" w:rsidRDefault="00704963" w:rsidP="004B77ED">
            <w:pPr>
              <w:spacing w:after="120"/>
              <w:contextualSpacing/>
              <w:rPr>
                <w:rFonts w:ascii="Arial" w:hAnsi="Arial" w:cs="Arial"/>
                <w:bCs/>
                <w:sz w:val="16"/>
                <w:szCs w:val="24"/>
              </w:rPr>
            </w:pPr>
          </w:p>
          <w:p w14:paraId="4B697C57" w14:textId="0925E105" w:rsidR="00704963" w:rsidRDefault="00704963" w:rsidP="00B80737">
            <w:pPr>
              <w:rPr>
                <w:rFonts w:ascii="Arial" w:hAnsi="Arial"/>
                <w:sz w:val="16"/>
              </w:rPr>
            </w:pPr>
            <w:r w:rsidRPr="00B80737">
              <w:rPr>
                <w:rFonts w:ascii="Arial" w:hAnsi="Arial" w:cs="Arial"/>
                <w:bCs/>
                <w:sz w:val="16"/>
                <w:szCs w:val="24"/>
              </w:rPr>
              <w:t>Rule 1.130, 1.131, and 1.132 Affidavits or Declarations</w:t>
            </w:r>
          </w:p>
        </w:tc>
        <w:tc>
          <w:tcPr>
            <w:tcW w:w="725" w:type="pct"/>
            <w:vAlign w:val="center"/>
          </w:tcPr>
          <w:p w14:paraId="4B697C59" w14:textId="77777777" w:rsidR="00704963" w:rsidRDefault="00704963" w:rsidP="00B80737">
            <w:pPr>
              <w:jc w:val="right"/>
              <w:rPr>
                <w:rFonts w:ascii="Arial" w:hAnsi="Arial"/>
                <w:sz w:val="16"/>
              </w:rPr>
            </w:pPr>
            <w:r>
              <w:rPr>
                <w:rFonts w:ascii="Arial" w:hAnsi="Arial"/>
                <w:sz w:val="16"/>
              </w:rPr>
              <w:t>0.50</w:t>
            </w:r>
          </w:p>
        </w:tc>
        <w:tc>
          <w:tcPr>
            <w:tcW w:w="559" w:type="pct"/>
            <w:vAlign w:val="center"/>
          </w:tcPr>
          <w:p w14:paraId="4B697C5B" w14:textId="65B77B01" w:rsidR="00704963" w:rsidRDefault="00704963" w:rsidP="00B80737">
            <w:pPr>
              <w:jc w:val="right"/>
              <w:rPr>
                <w:rFonts w:ascii="Arial" w:hAnsi="Arial"/>
                <w:sz w:val="16"/>
              </w:rPr>
            </w:pPr>
            <w:r w:rsidRPr="00B80737">
              <w:rPr>
                <w:rFonts w:ascii="Arial" w:hAnsi="Arial" w:cs="Arial"/>
                <w:bCs/>
                <w:sz w:val="16"/>
                <w:szCs w:val="16"/>
              </w:rPr>
              <w:t>900</w:t>
            </w:r>
          </w:p>
        </w:tc>
        <w:tc>
          <w:tcPr>
            <w:tcW w:w="634" w:type="pct"/>
            <w:vAlign w:val="center"/>
          </w:tcPr>
          <w:p w14:paraId="4B697C5D" w14:textId="7930F114" w:rsidR="00704963" w:rsidRDefault="00704963" w:rsidP="00B80737">
            <w:pPr>
              <w:jc w:val="right"/>
              <w:rPr>
                <w:rFonts w:ascii="Arial" w:hAnsi="Arial"/>
                <w:sz w:val="16"/>
              </w:rPr>
            </w:pPr>
            <w:r>
              <w:rPr>
                <w:rFonts w:ascii="Arial" w:hAnsi="Arial"/>
                <w:sz w:val="16"/>
              </w:rPr>
              <w:t>450</w:t>
            </w:r>
          </w:p>
        </w:tc>
        <w:tc>
          <w:tcPr>
            <w:tcW w:w="498" w:type="pct"/>
            <w:vAlign w:val="center"/>
          </w:tcPr>
          <w:p w14:paraId="4B697C5F" w14:textId="77777777" w:rsidR="00704963" w:rsidRDefault="00704963" w:rsidP="00B80737">
            <w:pPr>
              <w:jc w:val="right"/>
              <w:rPr>
                <w:rFonts w:ascii="Arial" w:hAnsi="Arial"/>
                <w:sz w:val="16"/>
              </w:rPr>
            </w:pPr>
            <w:r>
              <w:rPr>
                <w:rFonts w:ascii="Arial" w:hAnsi="Arial"/>
                <w:sz w:val="16"/>
              </w:rPr>
              <w:t>$26.82</w:t>
            </w:r>
          </w:p>
        </w:tc>
        <w:tc>
          <w:tcPr>
            <w:tcW w:w="679" w:type="pct"/>
            <w:vAlign w:val="center"/>
          </w:tcPr>
          <w:p w14:paraId="4B697C61" w14:textId="2C89BB69" w:rsidR="00704963" w:rsidRDefault="00704963" w:rsidP="00096A09">
            <w:pPr>
              <w:jc w:val="right"/>
              <w:rPr>
                <w:rFonts w:ascii="Arial" w:hAnsi="Arial"/>
                <w:sz w:val="16"/>
              </w:rPr>
            </w:pPr>
            <w:r>
              <w:rPr>
                <w:rFonts w:ascii="Arial" w:hAnsi="Arial"/>
                <w:sz w:val="16"/>
              </w:rPr>
              <w:t>$</w:t>
            </w:r>
            <w:r w:rsidR="00096A09">
              <w:rPr>
                <w:rFonts w:ascii="Arial" w:hAnsi="Arial"/>
                <w:sz w:val="16"/>
              </w:rPr>
              <w:t>12,069.00</w:t>
            </w:r>
          </w:p>
        </w:tc>
      </w:tr>
      <w:tr w:rsidR="00704963" w14:paraId="4B697C6F" w14:textId="77777777" w:rsidTr="00704963">
        <w:trPr>
          <w:cantSplit/>
          <w:trHeight w:val="377"/>
        </w:trPr>
        <w:tc>
          <w:tcPr>
            <w:tcW w:w="452" w:type="pct"/>
            <w:vAlign w:val="center"/>
          </w:tcPr>
          <w:p w14:paraId="17BA2AF6" w14:textId="77777777" w:rsidR="00704963" w:rsidRDefault="00704963" w:rsidP="00B80737">
            <w:pPr>
              <w:rPr>
                <w:rFonts w:ascii="Arial" w:hAnsi="Arial"/>
                <w:b/>
                <w:sz w:val="16"/>
              </w:rPr>
            </w:pPr>
          </w:p>
        </w:tc>
        <w:tc>
          <w:tcPr>
            <w:tcW w:w="1453" w:type="pct"/>
            <w:vAlign w:val="center"/>
          </w:tcPr>
          <w:p w14:paraId="4B697C64" w14:textId="77777777" w:rsidR="00704963" w:rsidRDefault="00704963" w:rsidP="00B80737">
            <w:pPr>
              <w:pStyle w:val="Heading9"/>
            </w:pPr>
            <w:r>
              <w:t>Total</w:t>
            </w:r>
          </w:p>
        </w:tc>
        <w:tc>
          <w:tcPr>
            <w:tcW w:w="725" w:type="pct"/>
            <w:vAlign w:val="center"/>
          </w:tcPr>
          <w:p w14:paraId="4B697C66" w14:textId="77777777" w:rsidR="00704963" w:rsidRDefault="00704963" w:rsidP="00B80737">
            <w:pPr>
              <w:jc w:val="center"/>
              <w:rPr>
                <w:rFonts w:ascii="Arial" w:hAnsi="Arial"/>
                <w:b/>
                <w:sz w:val="16"/>
              </w:rPr>
            </w:pPr>
            <w:r>
              <w:rPr>
                <w:rFonts w:ascii="Arial" w:hAnsi="Arial"/>
                <w:b/>
                <w:sz w:val="16"/>
              </w:rPr>
              <w:t>-  -  -  -  -</w:t>
            </w:r>
          </w:p>
        </w:tc>
        <w:tc>
          <w:tcPr>
            <w:tcW w:w="559" w:type="pct"/>
            <w:vAlign w:val="center"/>
          </w:tcPr>
          <w:p w14:paraId="4B697C68" w14:textId="7946BA89" w:rsidR="00704963" w:rsidRDefault="00704963" w:rsidP="00B80737">
            <w:pPr>
              <w:jc w:val="right"/>
              <w:rPr>
                <w:rFonts w:ascii="Arial" w:hAnsi="Arial"/>
                <w:b/>
                <w:sz w:val="16"/>
              </w:rPr>
            </w:pPr>
            <w:r w:rsidRPr="00B80737">
              <w:rPr>
                <w:rFonts w:ascii="Arial" w:hAnsi="Arial" w:cs="Arial"/>
                <w:b/>
                <w:bCs/>
                <w:sz w:val="16"/>
                <w:szCs w:val="24"/>
              </w:rPr>
              <w:t>50,150</w:t>
            </w:r>
          </w:p>
        </w:tc>
        <w:tc>
          <w:tcPr>
            <w:tcW w:w="634" w:type="pct"/>
            <w:vAlign w:val="center"/>
          </w:tcPr>
          <w:p w14:paraId="4B697C6A" w14:textId="77777777" w:rsidR="00704963" w:rsidRDefault="00704963" w:rsidP="00B80737">
            <w:pPr>
              <w:jc w:val="right"/>
              <w:rPr>
                <w:rFonts w:ascii="Arial" w:hAnsi="Arial"/>
                <w:b/>
                <w:sz w:val="16"/>
              </w:rPr>
            </w:pPr>
            <w:r>
              <w:rPr>
                <w:rFonts w:ascii="Arial" w:hAnsi="Arial"/>
                <w:b/>
                <w:sz w:val="16"/>
              </w:rPr>
              <w:fldChar w:fldCharType="begin"/>
            </w:r>
            <w:r>
              <w:rPr>
                <w:rFonts w:ascii="Arial" w:hAnsi="Arial"/>
                <w:b/>
                <w:sz w:val="16"/>
              </w:rPr>
              <w:instrText xml:space="preserve"> =SUM(ABOVE) </w:instrText>
            </w:r>
            <w:r>
              <w:rPr>
                <w:rFonts w:ascii="Arial" w:hAnsi="Arial"/>
                <w:b/>
                <w:sz w:val="16"/>
              </w:rPr>
              <w:fldChar w:fldCharType="separate"/>
            </w:r>
            <w:r>
              <w:rPr>
                <w:rFonts w:ascii="Arial" w:hAnsi="Arial"/>
                <w:b/>
                <w:noProof/>
                <w:sz w:val="16"/>
              </w:rPr>
              <w:t>59,789</w:t>
            </w:r>
            <w:r>
              <w:rPr>
                <w:rFonts w:ascii="Arial" w:hAnsi="Arial"/>
                <w:b/>
                <w:sz w:val="16"/>
              </w:rPr>
              <w:fldChar w:fldCharType="end"/>
            </w:r>
          </w:p>
        </w:tc>
        <w:tc>
          <w:tcPr>
            <w:tcW w:w="498" w:type="pct"/>
            <w:vAlign w:val="center"/>
          </w:tcPr>
          <w:p w14:paraId="4B697C6C" w14:textId="77777777" w:rsidR="00704963" w:rsidRDefault="00704963" w:rsidP="00B80737">
            <w:pPr>
              <w:jc w:val="right"/>
              <w:rPr>
                <w:rFonts w:ascii="Arial" w:hAnsi="Arial"/>
                <w:b/>
                <w:sz w:val="16"/>
              </w:rPr>
            </w:pPr>
            <w:r>
              <w:rPr>
                <w:rFonts w:ascii="Arial" w:hAnsi="Arial"/>
                <w:b/>
                <w:sz w:val="16"/>
              </w:rPr>
              <w:t>-  -  -  -  -</w:t>
            </w:r>
          </w:p>
        </w:tc>
        <w:tc>
          <w:tcPr>
            <w:tcW w:w="679" w:type="pct"/>
            <w:vAlign w:val="center"/>
          </w:tcPr>
          <w:p w14:paraId="15CD02D8" w14:textId="77777777" w:rsidR="00453BE1" w:rsidRDefault="00453BE1" w:rsidP="00096A09">
            <w:pPr>
              <w:jc w:val="right"/>
              <w:rPr>
                <w:rFonts w:asciiTheme="minorHAnsi" w:eastAsiaTheme="minorHAnsi" w:hAnsiTheme="minorHAnsi" w:cstheme="minorBidi"/>
                <w:sz w:val="22"/>
                <w:szCs w:val="22"/>
              </w:rPr>
            </w:pPr>
            <w:r>
              <w:fldChar w:fldCharType="begin"/>
            </w:r>
            <w:r>
              <w:instrText xml:space="preserve"> LINK Excel.Sheet.12 "https://usptogov.sharepoint.com/sites/eb3dced9/Information%20Collection/0651-0071%20Matters%20Related%20to%20First%20Inventor%20to%20File/2015%20renewal/0071%20Burden%20Calculator%202015%20Final.xlsx" "Government Cost!R32C9" \a \f 4 \h </w:instrText>
            </w:r>
            <w:r>
              <w:fldChar w:fldCharType="separate"/>
            </w:r>
          </w:p>
          <w:p w14:paraId="50E3D59B" w14:textId="77777777" w:rsidR="00453BE1" w:rsidRPr="00185DA0" w:rsidRDefault="00453BE1" w:rsidP="00F9090E">
            <w:pPr>
              <w:jc w:val="right"/>
              <w:rPr>
                <w:rFonts w:ascii="Arial" w:hAnsi="Arial" w:cs="Arial"/>
                <w:b/>
                <w:bCs/>
                <w:color w:val="000000"/>
                <w:sz w:val="16"/>
                <w:szCs w:val="16"/>
              </w:rPr>
            </w:pPr>
            <w:r w:rsidRPr="00185DA0">
              <w:rPr>
                <w:rFonts w:ascii="Arial" w:hAnsi="Arial" w:cs="Arial"/>
                <w:b/>
                <w:bCs/>
                <w:color w:val="000000"/>
                <w:sz w:val="16"/>
                <w:szCs w:val="16"/>
              </w:rPr>
              <w:t>$537,419.16</w:t>
            </w:r>
          </w:p>
          <w:p w14:paraId="4B697C6E" w14:textId="7CDF40BD" w:rsidR="00704963" w:rsidRDefault="00453BE1" w:rsidP="00453BE1">
            <w:pPr>
              <w:jc w:val="right"/>
              <w:rPr>
                <w:rFonts w:ascii="Arial" w:hAnsi="Arial"/>
                <w:b/>
                <w:sz w:val="16"/>
              </w:rPr>
            </w:pPr>
            <w:r>
              <w:rPr>
                <w:rFonts w:ascii="Arial" w:hAnsi="Arial"/>
                <w:b/>
                <w:sz w:val="16"/>
              </w:rPr>
              <w:fldChar w:fldCharType="end"/>
            </w:r>
          </w:p>
        </w:tc>
      </w:tr>
    </w:tbl>
    <w:p w14:paraId="4B697C70" w14:textId="77777777" w:rsidR="009A5F9A" w:rsidRDefault="009A5F9A" w:rsidP="009A5F9A">
      <w:pPr>
        <w:jc w:val="both"/>
        <w:rPr>
          <w:rFonts w:ascii="Arial" w:hAnsi="Arial"/>
          <w:sz w:val="24"/>
        </w:rPr>
      </w:pPr>
    </w:p>
    <w:p w14:paraId="4B697C71" w14:textId="77777777" w:rsidR="009A5F9A" w:rsidRDefault="009A5F9A" w:rsidP="009A5F9A">
      <w:pPr>
        <w:jc w:val="both"/>
        <w:rPr>
          <w:rFonts w:ascii="Arial" w:hAnsi="Arial"/>
          <w:b/>
          <w:sz w:val="24"/>
        </w:rPr>
      </w:pPr>
      <w:r w:rsidRPr="00251411">
        <w:rPr>
          <w:rFonts w:ascii="Arial" w:hAnsi="Arial"/>
          <w:b/>
          <w:sz w:val="24"/>
        </w:rPr>
        <w:t>15.</w:t>
      </w:r>
      <w:r w:rsidRPr="00251411">
        <w:rPr>
          <w:rFonts w:ascii="Arial" w:hAnsi="Arial"/>
          <w:b/>
          <w:sz w:val="24"/>
        </w:rPr>
        <w:tab/>
        <w:t>Reason for Change in Burden</w:t>
      </w:r>
    </w:p>
    <w:p w14:paraId="1D6B8D5F" w14:textId="77777777" w:rsidR="00F05B32" w:rsidRDefault="00F05B32" w:rsidP="009A5F9A">
      <w:pPr>
        <w:jc w:val="both"/>
        <w:rPr>
          <w:rFonts w:ascii="Arial" w:hAnsi="Arial"/>
          <w:sz w:val="24"/>
        </w:rPr>
      </w:pPr>
    </w:p>
    <w:p w14:paraId="421B2504" w14:textId="2667EA70" w:rsidR="00F05B32" w:rsidRPr="00894DD8" w:rsidRDefault="00F05B32" w:rsidP="009A5F9A">
      <w:pPr>
        <w:jc w:val="both"/>
        <w:rPr>
          <w:rFonts w:ascii="Arial" w:hAnsi="Arial"/>
          <w:sz w:val="24"/>
          <w:u w:val="single"/>
        </w:rPr>
      </w:pPr>
      <w:r w:rsidRPr="00894DD8">
        <w:rPr>
          <w:rFonts w:ascii="Arial" w:hAnsi="Arial"/>
          <w:sz w:val="24"/>
          <w:u w:val="single"/>
        </w:rPr>
        <w:t>Summary of Changes in Annual Burden</w:t>
      </w:r>
    </w:p>
    <w:p w14:paraId="4B697C72" w14:textId="77777777" w:rsidR="009A5F9A" w:rsidRPr="00894DD8" w:rsidRDefault="009A5F9A" w:rsidP="009A5F9A">
      <w:pPr>
        <w:jc w:val="both"/>
        <w:rPr>
          <w:rFonts w:ascii="Arial" w:hAnsi="Arial"/>
          <w:sz w:val="24"/>
        </w:rPr>
      </w:pPr>
    </w:p>
    <w:p w14:paraId="3287AA42" w14:textId="40CDB1DE" w:rsidR="00F05B32" w:rsidRPr="00894DD8" w:rsidRDefault="00F05B32" w:rsidP="00F05B32">
      <w:pPr>
        <w:jc w:val="both"/>
        <w:rPr>
          <w:rFonts w:ascii="Arial" w:hAnsi="Arial"/>
          <w:sz w:val="24"/>
        </w:rPr>
      </w:pPr>
      <w:r w:rsidRPr="00894DD8">
        <w:rPr>
          <w:rFonts w:ascii="Arial" w:hAnsi="Arial"/>
          <w:sz w:val="24"/>
        </w:rPr>
        <w:t xml:space="preserve">For this renewal, the USPTO estimates that the total annual responses will be </w:t>
      </w:r>
      <w:r w:rsidR="00894DD8" w:rsidRPr="00894DD8">
        <w:rPr>
          <w:rFonts w:ascii="Arial" w:hAnsi="Arial"/>
          <w:sz w:val="24"/>
        </w:rPr>
        <w:t>50,150</w:t>
      </w:r>
      <w:r w:rsidRPr="00894DD8">
        <w:rPr>
          <w:rFonts w:ascii="Arial" w:hAnsi="Arial"/>
          <w:sz w:val="24"/>
        </w:rPr>
        <w:t xml:space="preserve"> and that the total annual burden hours will be </w:t>
      </w:r>
      <w:r w:rsidR="00894DD8" w:rsidRPr="00894DD8">
        <w:rPr>
          <w:rFonts w:ascii="Arial" w:hAnsi="Arial"/>
          <w:sz w:val="24"/>
        </w:rPr>
        <w:t>340,300</w:t>
      </w:r>
      <w:r w:rsidRPr="00894DD8">
        <w:rPr>
          <w:rFonts w:ascii="Arial" w:hAnsi="Arial"/>
          <w:sz w:val="24"/>
        </w:rPr>
        <w:t xml:space="preserve">. These numbers </w:t>
      </w:r>
      <w:r w:rsidR="00894DD8" w:rsidRPr="00894DD8">
        <w:rPr>
          <w:rFonts w:ascii="Arial" w:hAnsi="Arial"/>
          <w:sz w:val="24"/>
        </w:rPr>
        <w:t>represent</w:t>
      </w:r>
      <w:r w:rsidRPr="00894DD8">
        <w:rPr>
          <w:rFonts w:ascii="Arial" w:hAnsi="Arial"/>
          <w:sz w:val="24"/>
        </w:rPr>
        <w:t xml:space="preserve"> a decrease of </w:t>
      </w:r>
      <w:r w:rsidR="00894DD8">
        <w:rPr>
          <w:rFonts w:ascii="Arial" w:hAnsi="Arial"/>
          <w:sz w:val="24"/>
        </w:rPr>
        <w:t>139,000</w:t>
      </w:r>
      <w:r w:rsidRPr="00894DD8">
        <w:rPr>
          <w:rFonts w:ascii="Arial" w:hAnsi="Arial"/>
          <w:sz w:val="24"/>
        </w:rPr>
        <w:t xml:space="preserve"> responses and </w:t>
      </w:r>
      <w:r w:rsidR="00894DD8">
        <w:rPr>
          <w:rFonts w:ascii="Arial" w:hAnsi="Arial"/>
          <w:sz w:val="24"/>
        </w:rPr>
        <w:t>438,000</w:t>
      </w:r>
      <w:r w:rsidRPr="00894DD8">
        <w:rPr>
          <w:rFonts w:ascii="Arial" w:hAnsi="Arial"/>
          <w:sz w:val="24"/>
        </w:rPr>
        <w:t xml:space="preserve"> burden hours from the previously approved burden. </w:t>
      </w:r>
    </w:p>
    <w:p w14:paraId="199B727B" w14:textId="77777777" w:rsidR="00F05B32" w:rsidRPr="00F05B32" w:rsidRDefault="00F05B32" w:rsidP="00F05B32">
      <w:pPr>
        <w:jc w:val="both"/>
        <w:rPr>
          <w:rFonts w:ascii="Arial" w:hAnsi="Arial"/>
          <w:sz w:val="24"/>
          <w:highlight w:val="yellow"/>
        </w:rPr>
      </w:pPr>
    </w:p>
    <w:p w14:paraId="7B839D9D" w14:textId="300469E9" w:rsidR="00F05B32" w:rsidRPr="008A442C" w:rsidRDefault="00F05B32" w:rsidP="00F05B32">
      <w:pPr>
        <w:jc w:val="both"/>
        <w:rPr>
          <w:rFonts w:ascii="Arial" w:hAnsi="Arial"/>
          <w:sz w:val="24"/>
        </w:rPr>
      </w:pPr>
      <w:r w:rsidRPr="008A442C">
        <w:rPr>
          <w:rFonts w:ascii="Arial" w:hAnsi="Arial"/>
          <w:sz w:val="24"/>
        </w:rPr>
        <w:t xml:space="preserve">The currently-approved </w:t>
      </w:r>
      <w:r w:rsidR="00BA4B25">
        <w:rPr>
          <w:rFonts w:ascii="Arial" w:hAnsi="Arial"/>
          <w:sz w:val="24"/>
        </w:rPr>
        <w:t xml:space="preserve">annual </w:t>
      </w:r>
      <w:r w:rsidRPr="008A442C">
        <w:rPr>
          <w:rFonts w:ascii="Arial" w:hAnsi="Arial"/>
          <w:sz w:val="24"/>
        </w:rPr>
        <w:t>(non-hour) cost burden for this collection is $</w:t>
      </w:r>
      <w:r w:rsidR="008A442C" w:rsidRPr="008A442C">
        <w:rPr>
          <w:rFonts w:ascii="Arial" w:hAnsi="Arial"/>
          <w:sz w:val="24"/>
        </w:rPr>
        <w:t>65,539</w:t>
      </w:r>
      <w:r w:rsidRPr="008A442C">
        <w:rPr>
          <w:rFonts w:ascii="Arial" w:hAnsi="Arial"/>
          <w:sz w:val="24"/>
        </w:rPr>
        <w:t>. This renewal estimates that burden will decrease by $</w:t>
      </w:r>
      <w:r w:rsidR="008A442C" w:rsidRPr="008A442C">
        <w:rPr>
          <w:rFonts w:ascii="Arial" w:hAnsi="Arial"/>
          <w:sz w:val="24"/>
        </w:rPr>
        <w:t>57,063.50</w:t>
      </w:r>
      <w:r w:rsidRPr="008A442C">
        <w:rPr>
          <w:rFonts w:ascii="Arial" w:hAnsi="Arial"/>
          <w:sz w:val="24"/>
        </w:rPr>
        <w:t>, dropping the non-hour cost burden to $</w:t>
      </w:r>
      <w:r w:rsidR="008A442C" w:rsidRPr="008A442C">
        <w:rPr>
          <w:rFonts w:ascii="Arial" w:hAnsi="Arial"/>
          <w:sz w:val="24"/>
        </w:rPr>
        <w:t>8,475.50</w:t>
      </w:r>
      <w:r w:rsidRPr="008A442C">
        <w:rPr>
          <w:rFonts w:ascii="Arial" w:hAnsi="Arial"/>
          <w:sz w:val="24"/>
        </w:rPr>
        <w:t>.</w:t>
      </w:r>
    </w:p>
    <w:p w14:paraId="03429470" w14:textId="77777777" w:rsidR="00F05B32" w:rsidRPr="00F05B32" w:rsidRDefault="00F05B32" w:rsidP="00F05B32">
      <w:pPr>
        <w:jc w:val="both"/>
        <w:rPr>
          <w:rFonts w:ascii="Arial" w:hAnsi="Arial"/>
          <w:sz w:val="24"/>
          <w:highlight w:val="yellow"/>
        </w:rPr>
      </w:pPr>
    </w:p>
    <w:p w14:paraId="2C453EAB" w14:textId="50E4CC1E" w:rsidR="00F05B32" w:rsidRDefault="00F05B32" w:rsidP="00F05B32">
      <w:pPr>
        <w:jc w:val="both"/>
        <w:rPr>
          <w:rFonts w:ascii="Arial" w:hAnsi="Arial"/>
          <w:sz w:val="24"/>
        </w:rPr>
      </w:pPr>
      <w:r w:rsidRPr="008A442C">
        <w:rPr>
          <w:rFonts w:ascii="Arial" w:hAnsi="Arial"/>
          <w:sz w:val="24"/>
        </w:rPr>
        <w:t>The cost to the Federal Government for this renewal is estimated to decline to $</w:t>
      </w:r>
      <w:bookmarkStart w:id="1" w:name="_GoBack"/>
      <w:r w:rsidR="00002178" w:rsidRPr="00002178">
        <w:rPr>
          <w:rFonts w:ascii="Arial" w:hAnsi="Arial"/>
          <w:sz w:val="24"/>
        </w:rPr>
        <w:t>537,419.16</w:t>
      </w:r>
      <w:r w:rsidR="00002178">
        <w:rPr>
          <w:rFonts w:ascii="Arial" w:hAnsi="Arial"/>
          <w:sz w:val="24"/>
        </w:rPr>
        <w:t xml:space="preserve"> </w:t>
      </w:r>
      <w:bookmarkEnd w:id="1"/>
      <w:r w:rsidRPr="008A442C">
        <w:rPr>
          <w:rFonts w:ascii="Arial" w:hAnsi="Arial"/>
          <w:sz w:val="24"/>
        </w:rPr>
        <w:t xml:space="preserve">due to the decrease in the number of responses, despite the increased GS rates used for 2015. </w:t>
      </w:r>
    </w:p>
    <w:p w14:paraId="09DBD8EA" w14:textId="77777777" w:rsidR="0060754C" w:rsidRDefault="0060754C" w:rsidP="00F05B32">
      <w:pPr>
        <w:jc w:val="both"/>
        <w:rPr>
          <w:rFonts w:ascii="Arial" w:hAnsi="Arial"/>
          <w:sz w:val="24"/>
        </w:rPr>
      </w:pPr>
    </w:p>
    <w:p w14:paraId="47FF2333" w14:textId="77777777" w:rsidR="0060754C" w:rsidRDefault="0060754C" w:rsidP="00607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u w:val="single"/>
        </w:rPr>
      </w:pPr>
      <w:r>
        <w:rPr>
          <w:rFonts w:ascii="Arial" w:hAnsi="Arial" w:cs="Arial"/>
          <w:sz w:val="24"/>
          <w:u w:val="single"/>
        </w:rPr>
        <w:t>Changes since the 60-Day Notice Publication</w:t>
      </w:r>
    </w:p>
    <w:p w14:paraId="21F6391D" w14:textId="77777777" w:rsidR="0060754C" w:rsidRDefault="0060754C" w:rsidP="00607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u w:val="single"/>
        </w:rPr>
      </w:pPr>
    </w:p>
    <w:p w14:paraId="7DF9E25A" w14:textId="77777777" w:rsidR="0060754C" w:rsidRPr="008A1B7F" w:rsidRDefault="0060754C" w:rsidP="00607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vertAlign w:val="subscript"/>
        </w:rPr>
      </w:pPr>
      <w:r>
        <w:rPr>
          <w:rFonts w:ascii="Arial" w:hAnsi="Arial" w:cs="Arial"/>
          <w:sz w:val="24"/>
        </w:rPr>
        <w:t xml:space="preserve">When the 60-day notice for this renewal published on June 19, 2015, it used the 2013 AIPLA Report of the Economic Survey to arrive at the hourly rates for the agents and practitioners who would be completing items in this information collection. Since that time, AIPLA released the 2015 Report of the Economic Survey, which increased the hourly rates for both of those two groups. As such, the new hourly rates have been integrated into this document where applicable and the hourly cost burden has been adjusted accordingly. </w:t>
      </w:r>
    </w:p>
    <w:p w14:paraId="521D4579" w14:textId="77777777" w:rsidR="0060754C" w:rsidRPr="008A442C" w:rsidRDefault="0060754C" w:rsidP="00F05B32">
      <w:pPr>
        <w:jc w:val="both"/>
        <w:rPr>
          <w:rFonts w:ascii="Arial" w:hAnsi="Arial"/>
          <w:sz w:val="24"/>
        </w:rPr>
      </w:pPr>
    </w:p>
    <w:p w14:paraId="4C68C10A" w14:textId="77777777" w:rsidR="00F05B32" w:rsidRPr="008A442C" w:rsidRDefault="00F05B32" w:rsidP="00F05B32">
      <w:pPr>
        <w:jc w:val="both"/>
        <w:rPr>
          <w:rFonts w:ascii="Arial" w:hAnsi="Arial"/>
          <w:sz w:val="24"/>
          <w:u w:val="single"/>
        </w:rPr>
      </w:pPr>
      <w:r w:rsidRPr="008A442C">
        <w:rPr>
          <w:rFonts w:ascii="Arial" w:hAnsi="Arial"/>
          <w:sz w:val="24"/>
          <w:u w:val="single"/>
        </w:rPr>
        <w:t>Changes in Responses and Respondent Burden Hours</w:t>
      </w:r>
    </w:p>
    <w:p w14:paraId="69C280A9" w14:textId="77777777" w:rsidR="00F05B32" w:rsidRPr="008A442C" w:rsidRDefault="00F05B32" w:rsidP="00F05B32">
      <w:pPr>
        <w:jc w:val="both"/>
        <w:rPr>
          <w:rFonts w:ascii="Arial" w:hAnsi="Arial"/>
          <w:sz w:val="24"/>
        </w:rPr>
      </w:pPr>
    </w:p>
    <w:p w14:paraId="65CEC00A" w14:textId="34EE418C" w:rsidR="00F05B32" w:rsidRPr="008A442C" w:rsidRDefault="00F05B32" w:rsidP="00F05B32">
      <w:pPr>
        <w:jc w:val="both"/>
        <w:rPr>
          <w:rFonts w:ascii="Arial" w:hAnsi="Arial"/>
          <w:sz w:val="24"/>
        </w:rPr>
      </w:pPr>
      <w:r w:rsidRPr="008A442C">
        <w:rPr>
          <w:rFonts w:ascii="Arial" w:hAnsi="Arial"/>
          <w:sz w:val="24"/>
        </w:rPr>
        <w:t xml:space="preserve">With this renewal, a total of </w:t>
      </w:r>
      <w:r w:rsidR="008A442C">
        <w:rPr>
          <w:rFonts w:ascii="Arial" w:hAnsi="Arial"/>
          <w:sz w:val="24"/>
        </w:rPr>
        <w:t>438,000</w:t>
      </w:r>
      <w:r w:rsidRPr="008A442C">
        <w:rPr>
          <w:rFonts w:ascii="Arial" w:hAnsi="Arial"/>
          <w:sz w:val="24"/>
        </w:rPr>
        <w:t xml:space="preserve"> burden hours have been removed from this collection. This decreases the total number of burden hours associated with this </w:t>
      </w:r>
      <w:r w:rsidRPr="008A442C">
        <w:rPr>
          <w:rFonts w:ascii="Arial" w:hAnsi="Arial"/>
          <w:sz w:val="24"/>
        </w:rPr>
        <w:lastRenderedPageBreak/>
        <w:t xml:space="preserve">collection from </w:t>
      </w:r>
      <w:r w:rsidR="008A442C">
        <w:rPr>
          <w:rFonts w:ascii="Arial" w:hAnsi="Arial"/>
          <w:sz w:val="24"/>
        </w:rPr>
        <w:t>778,300</w:t>
      </w:r>
      <w:r w:rsidRPr="008A442C">
        <w:rPr>
          <w:rFonts w:ascii="Arial" w:hAnsi="Arial"/>
          <w:sz w:val="24"/>
        </w:rPr>
        <w:t xml:space="preserve"> to </w:t>
      </w:r>
      <w:r w:rsidR="008A442C" w:rsidRPr="008A442C">
        <w:rPr>
          <w:rFonts w:ascii="Arial" w:hAnsi="Arial"/>
          <w:sz w:val="24"/>
        </w:rPr>
        <w:t>340,300</w:t>
      </w:r>
      <w:r w:rsidRPr="008A442C">
        <w:rPr>
          <w:rFonts w:ascii="Arial" w:hAnsi="Arial"/>
          <w:sz w:val="24"/>
        </w:rPr>
        <w:t>. This decrease is the result of an administrative adjustment, as follows:</w:t>
      </w:r>
    </w:p>
    <w:p w14:paraId="47AA2802" w14:textId="77777777" w:rsidR="00F05B32" w:rsidRPr="008A442C" w:rsidRDefault="00F05B32" w:rsidP="00F05B32">
      <w:pPr>
        <w:jc w:val="both"/>
        <w:rPr>
          <w:rFonts w:ascii="Arial" w:hAnsi="Arial"/>
          <w:sz w:val="24"/>
        </w:rPr>
      </w:pPr>
    </w:p>
    <w:p w14:paraId="65CDAF8A" w14:textId="599C6130" w:rsidR="00F05B32" w:rsidRPr="008A442C" w:rsidRDefault="00894DD8" w:rsidP="00F05B32">
      <w:pPr>
        <w:jc w:val="both"/>
        <w:rPr>
          <w:rFonts w:ascii="Arial" w:hAnsi="Arial"/>
          <w:sz w:val="24"/>
        </w:rPr>
      </w:pPr>
      <w:r w:rsidRPr="008A442C">
        <w:rPr>
          <w:rFonts w:ascii="Arial" w:hAnsi="Arial"/>
          <w:sz w:val="24"/>
        </w:rPr>
        <w:t xml:space="preserve">• </w:t>
      </w:r>
      <w:r w:rsidR="00F05B32" w:rsidRPr="008A442C">
        <w:rPr>
          <w:rFonts w:ascii="Arial" w:hAnsi="Arial"/>
          <w:b/>
          <w:sz w:val="24"/>
        </w:rPr>
        <w:t xml:space="preserve">Decrease of </w:t>
      </w:r>
      <w:r w:rsidR="008A442C" w:rsidRPr="008A442C">
        <w:rPr>
          <w:rFonts w:ascii="Arial" w:hAnsi="Arial"/>
          <w:b/>
          <w:sz w:val="24"/>
        </w:rPr>
        <w:t>139,000</w:t>
      </w:r>
      <w:r w:rsidR="00F05B32" w:rsidRPr="008A442C">
        <w:rPr>
          <w:rFonts w:ascii="Arial" w:hAnsi="Arial"/>
          <w:b/>
          <w:sz w:val="24"/>
        </w:rPr>
        <w:t xml:space="preserve"> Responses</w:t>
      </w:r>
      <w:r w:rsidR="00F05B32" w:rsidRPr="008A442C">
        <w:rPr>
          <w:rFonts w:ascii="Arial" w:hAnsi="Arial"/>
          <w:sz w:val="24"/>
        </w:rPr>
        <w:t xml:space="preserve">. The USPTO estimates that the total number of responses received for the items in this information collection will decrease by </w:t>
      </w:r>
      <w:r w:rsidR="008A442C" w:rsidRPr="008A442C">
        <w:rPr>
          <w:rFonts w:ascii="Arial" w:hAnsi="Arial"/>
          <w:sz w:val="24"/>
        </w:rPr>
        <w:t>139,000</w:t>
      </w:r>
      <w:r w:rsidR="00F05B32" w:rsidRPr="008A442C">
        <w:rPr>
          <w:rFonts w:ascii="Arial" w:hAnsi="Arial"/>
          <w:sz w:val="24"/>
        </w:rPr>
        <w:t xml:space="preserve">, from </w:t>
      </w:r>
      <w:r w:rsidR="008A442C">
        <w:rPr>
          <w:rFonts w:ascii="Arial" w:hAnsi="Arial"/>
          <w:sz w:val="24"/>
        </w:rPr>
        <w:t xml:space="preserve">189,150 </w:t>
      </w:r>
      <w:r w:rsidR="00F05B32" w:rsidRPr="008A442C">
        <w:rPr>
          <w:rFonts w:ascii="Arial" w:hAnsi="Arial"/>
          <w:sz w:val="24"/>
        </w:rPr>
        <w:t xml:space="preserve">to </w:t>
      </w:r>
      <w:r w:rsidR="008A442C" w:rsidRPr="008A442C">
        <w:rPr>
          <w:rFonts w:ascii="Arial" w:hAnsi="Arial"/>
          <w:sz w:val="24"/>
        </w:rPr>
        <w:t>50,150</w:t>
      </w:r>
      <w:r w:rsidR="00F05B32" w:rsidRPr="008A442C">
        <w:rPr>
          <w:rFonts w:ascii="Arial" w:hAnsi="Arial"/>
          <w:sz w:val="24"/>
        </w:rPr>
        <w:t xml:space="preserve">. This decrease in responses also led to the corresponding decrease in burden hours described above. </w:t>
      </w:r>
    </w:p>
    <w:p w14:paraId="1ED420AB" w14:textId="77777777" w:rsidR="00F05B32" w:rsidRPr="00F05B32" w:rsidRDefault="00F05B32" w:rsidP="00F05B32">
      <w:pPr>
        <w:jc w:val="both"/>
        <w:rPr>
          <w:rFonts w:ascii="Arial" w:hAnsi="Arial"/>
          <w:sz w:val="24"/>
          <w:highlight w:val="yellow"/>
        </w:rPr>
      </w:pPr>
    </w:p>
    <w:p w14:paraId="4AF60A4D" w14:textId="77777777" w:rsidR="00F05B32" w:rsidRPr="008A442C" w:rsidRDefault="00F05B32" w:rsidP="00F05B32">
      <w:pPr>
        <w:jc w:val="both"/>
        <w:rPr>
          <w:rFonts w:ascii="Arial" w:hAnsi="Arial"/>
          <w:sz w:val="24"/>
          <w:u w:val="single"/>
        </w:rPr>
      </w:pPr>
      <w:r w:rsidRPr="008A442C">
        <w:rPr>
          <w:rFonts w:ascii="Arial" w:hAnsi="Arial"/>
          <w:sz w:val="24"/>
          <w:u w:val="single"/>
        </w:rPr>
        <w:t>Changes in Respondent Cost Burden</w:t>
      </w:r>
    </w:p>
    <w:p w14:paraId="074719E1" w14:textId="09B6FE8C" w:rsidR="00F05B32" w:rsidRPr="00F05B32" w:rsidRDefault="00F05B32" w:rsidP="00F05B32">
      <w:pPr>
        <w:jc w:val="both"/>
        <w:rPr>
          <w:rFonts w:ascii="Arial" w:hAnsi="Arial"/>
          <w:sz w:val="24"/>
          <w:highlight w:val="yellow"/>
        </w:rPr>
      </w:pPr>
    </w:p>
    <w:p w14:paraId="4DB87307" w14:textId="43CBFB06" w:rsidR="00F05B32" w:rsidRPr="008A442C" w:rsidRDefault="00F05B32" w:rsidP="00F05B32">
      <w:pPr>
        <w:jc w:val="both"/>
        <w:rPr>
          <w:rFonts w:ascii="Arial" w:hAnsi="Arial"/>
          <w:sz w:val="24"/>
        </w:rPr>
      </w:pPr>
      <w:r w:rsidRPr="008A442C">
        <w:rPr>
          <w:rFonts w:ascii="Arial" w:hAnsi="Arial"/>
          <w:sz w:val="24"/>
        </w:rPr>
        <w:t>For this renewal, the USPTO estimates that the total respondent cost burden will decrease by $</w:t>
      </w:r>
      <w:r w:rsidR="0060754C">
        <w:rPr>
          <w:rFonts w:ascii="Arial" w:hAnsi="Arial"/>
          <w:sz w:val="24"/>
        </w:rPr>
        <w:t>149,226,300.00</w:t>
      </w:r>
      <w:r w:rsidR="007E29D0">
        <w:rPr>
          <w:rFonts w:ascii="Arial" w:hAnsi="Arial"/>
          <w:sz w:val="24"/>
        </w:rPr>
        <w:t>,</w:t>
      </w:r>
      <w:r w:rsidRPr="008A442C">
        <w:rPr>
          <w:rFonts w:ascii="Arial" w:hAnsi="Arial"/>
          <w:sz w:val="24"/>
        </w:rPr>
        <w:t xml:space="preserve"> from </w:t>
      </w:r>
      <w:r w:rsidR="008A442C" w:rsidRPr="008A442C">
        <w:rPr>
          <w:rFonts w:ascii="Arial" w:hAnsi="Arial"/>
          <w:sz w:val="24"/>
        </w:rPr>
        <w:t>$288,749,300.00</w:t>
      </w:r>
      <w:r w:rsidRPr="008A442C">
        <w:rPr>
          <w:rFonts w:ascii="Arial" w:hAnsi="Arial"/>
          <w:sz w:val="24"/>
        </w:rPr>
        <w:t xml:space="preserve"> to </w:t>
      </w:r>
      <w:r w:rsidR="008A442C" w:rsidRPr="008A442C">
        <w:rPr>
          <w:rFonts w:ascii="Arial" w:hAnsi="Arial"/>
          <w:sz w:val="24"/>
        </w:rPr>
        <w:t>$</w:t>
      </w:r>
      <w:r w:rsidR="0060754C" w:rsidRPr="0060754C">
        <w:rPr>
          <w:rFonts w:ascii="Arial" w:hAnsi="Arial"/>
          <w:sz w:val="24"/>
        </w:rPr>
        <w:t>139,523,000</w:t>
      </w:r>
      <w:r w:rsidR="0060754C">
        <w:rPr>
          <w:rFonts w:ascii="Arial" w:hAnsi="Arial"/>
          <w:sz w:val="24"/>
        </w:rPr>
        <w:t xml:space="preserve">.00, despite an increase in </w:t>
      </w:r>
      <w:r w:rsidR="00BD3E6B">
        <w:rPr>
          <w:rFonts w:ascii="Arial" w:hAnsi="Arial"/>
          <w:sz w:val="24"/>
        </w:rPr>
        <w:t>the hourly rate</w:t>
      </w:r>
      <w:r w:rsidR="0060754C">
        <w:rPr>
          <w:rFonts w:ascii="Arial" w:hAnsi="Arial"/>
          <w:sz w:val="24"/>
        </w:rPr>
        <w:t xml:space="preserve"> for respondents</w:t>
      </w:r>
      <w:r w:rsidRPr="008A442C">
        <w:rPr>
          <w:rFonts w:ascii="Arial" w:hAnsi="Arial"/>
          <w:sz w:val="24"/>
        </w:rPr>
        <w:t xml:space="preserve">. This overall decrease is due to the following: </w:t>
      </w:r>
    </w:p>
    <w:p w14:paraId="3821A66A" w14:textId="77777777" w:rsidR="00F05B32" w:rsidRPr="008A442C" w:rsidRDefault="00F05B32" w:rsidP="00F05B32">
      <w:pPr>
        <w:jc w:val="both"/>
        <w:rPr>
          <w:rFonts w:ascii="Arial" w:hAnsi="Arial"/>
          <w:sz w:val="24"/>
        </w:rPr>
      </w:pPr>
    </w:p>
    <w:p w14:paraId="7DFA064C" w14:textId="50F3051C" w:rsidR="00F05B32" w:rsidRPr="008A442C" w:rsidRDefault="00F05B32" w:rsidP="00F05B32">
      <w:pPr>
        <w:jc w:val="both"/>
        <w:rPr>
          <w:rFonts w:ascii="Arial" w:hAnsi="Arial"/>
          <w:sz w:val="24"/>
        </w:rPr>
      </w:pPr>
      <w:r w:rsidRPr="008A442C">
        <w:rPr>
          <w:rFonts w:ascii="Arial" w:hAnsi="Arial"/>
          <w:sz w:val="24"/>
        </w:rPr>
        <w:t xml:space="preserve">• </w:t>
      </w:r>
      <w:r w:rsidRPr="008A442C">
        <w:rPr>
          <w:rFonts w:ascii="Arial" w:hAnsi="Arial"/>
          <w:b/>
          <w:sz w:val="24"/>
        </w:rPr>
        <w:t xml:space="preserve">Decrease of </w:t>
      </w:r>
      <w:r w:rsidR="008A442C" w:rsidRPr="008A442C">
        <w:rPr>
          <w:rFonts w:ascii="Arial" w:hAnsi="Arial"/>
          <w:b/>
          <w:sz w:val="24"/>
        </w:rPr>
        <w:t>139,000</w:t>
      </w:r>
      <w:r w:rsidRPr="008A442C">
        <w:rPr>
          <w:rFonts w:ascii="Arial" w:hAnsi="Arial"/>
          <w:b/>
          <w:sz w:val="24"/>
        </w:rPr>
        <w:t xml:space="preserve"> Responses:</w:t>
      </w:r>
      <w:r w:rsidRPr="008A442C">
        <w:rPr>
          <w:rFonts w:ascii="Arial" w:hAnsi="Arial"/>
          <w:sz w:val="24"/>
        </w:rPr>
        <w:t xml:space="preserve"> The decrease of </w:t>
      </w:r>
      <w:r w:rsidR="008A442C" w:rsidRPr="008A442C">
        <w:rPr>
          <w:rFonts w:ascii="Arial" w:hAnsi="Arial"/>
          <w:sz w:val="24"/>
        </w:rPr>
        <w:t>139,000</w:t>
      </w:r>
      <w:r w:rsidRPr="008A442C">
        <w:rPr>
          <w:rFonts w:ascii="Arial" w:hAnsi="Arial"/>
          <w:sz w:val="24"/>
        </w:rPr>
        <w:t xml:space="preserve"> responses to this collection—which in turn led to a decrease in the number of respondent burden hours from which respondent cost burden is derived—contributed to the decrease in the respondent cost burden. </w:t>
      </w:r>
    </w:p>
    <w:p w14:paraId="25670C77" w14:textId="77777777" w:rsidR="00F05B32" w:rsidRPr="008A442C" w:rsidRDefault="00F05B32" w:rsidP="00F05B32">
      <w:pPr>
        <w:jc w:val="both"/>
        <w:rPr>
          <w:rFonts w:ascii="Arial" w:hAnsi="Arial"/>
          <w:sz w:val="24"/>
        </w:rPr>
      </w:pPr>
    </w:p>
    <w:p w14:paraId="7D56024D" w14:textId="77777777" w:rsidR="00F05B32" w:rsidRPr="008A442C" w:rsidRDefault="00F05B32" w:rsidP="00F05B32">
      <w:pPr>
        <w:jc w:val="both"/>
        <w:rPr>
          <w:rFonts w:ascii="Arial" w:hAnsi="Arial"/>
          <w:sz w:val="24"/>
          <w:u w:val="single"/>
        </w:rPr>
      </w:pPr>
      <w:r w:rsidRPr="008A442C">
        <w:rPr>
          <w:rFonts w:ascii="Arial" w:hAnsi="Arial"/>
          <w:sz w:val="24"/>
          <w:u w:val="single"/>
        </w:rPr>
        <w:t>Changes in Annual (non-hour) Cost Burden</w:t>
      </w:r>
    </w:p>
    <w:p w14:paraId="67A33257" w14:textId="77777777" w:rsidR="00F05B32" w:rsidRPr="00F05B32" w:rsidRDefault="00F05B32" w:rsidP="00F05B32">
      <w:pPr>
        <w:jc w:val="both"/>
        <w:rPr>
          <w:rFonts w:ascii="Arial" w:hAnsi="Arial"/>
          <w:sz w:val="24"/>
          <w:highlight w:val="yellow"/>
        </w:rPr>
      </w:pPr>
    </w:p>
    <w:p w14:paraId="7ACF22DF" w14:textId="55C69946" w:rsidR="00F05B32" w:rsidRPr="006A6784" w:rsidRDefault="00F05B32" w:rsidP="00F05B32">
      <w:pPr>
        <w:jc w:val="both"/>
        <w:rPr>
          <w:rFonts w:ascii="Arial" w:hAnsi="Arial"/>
          <w:sz w:val="24"/>
        </w:rPr>
      </w:pPr>
      <w:r w:rsidRPr="006A6784">
        <w:rPr>
          <w:rFonts w:ascii="Arial" w:hAnsi="Arial"/>
          <w:sz w:val="24"/>
        </w:rPr>
        <w:t>For this renewal, the USPTO estimates that the total annual (no</w:t>
      </w:r>
      <w:r w:rsidR="008A442C" w:rsidRPr="006A6784">
        <w:rPr>
          <w:rFonts w:ascii="Arial" w:hAnsi="Arial"/>
          <w:sz w:val="24"/>
        </w:rPr>
        <w:t>n-hour) costs will decrease by $57,063.50</w:t>
      </w:r>
      <w:r w:rsidR="006A6784" w:rsidRPr="006A6784">
        <w:rPr>
          <w:rFonts w:ascii="Arial" w:hAnsi="Arial"/>
          <w:sz w:val="24"/>
        </w:rPr>
        <w:t xml:space="preserve">, from $65,539 </w:t>
      </w:r>
      <w:r w:rsidRPr="006A6784">
        <w:rPr>
          <w:rFonts w:ascii="Arial" w:hAnsi="Arial"/>
          <w:sz w:val="24"/>
        </w:rPr>
        <w:t xml:space="preserve">to </w:t>
      </w:r>
      <w:r w:rsidR="008A442C" w:rsidRPr="006A6784">
        <w:rPr>
          <w:rFonts w:ascii="Arial" w:hAnsi="Arial"/>
          <w:sz w:val="24"/>
        </w:rPr>
        <w:t>$8,475.50</w:t>
      </w:r>
      <w:r w:rsidRPr="006A6784">
        <w:rPr>
          <w:rFonts w:ascii="Arial" w:hAnsi="Arial"/>
          <w:sz w:val="24"/>
        </w:rPr>
        <w:t>. This overall decrease is due to the following:</w:t>
      </w:r>
    </w:p>
    <w:p w14:paraId="7779BB18" w14:textId="77777777" w:rsidR="00F05B32" w:rsidRPr="00F05B32" w:rsidRDefault="00F05B32" w:rsidP="00F05B32">
      <w:pPr>
        <w:jc w:val="both"/>
        <w:rPr>
          <w:rFonts w:ascii="Arial" w:hAnsi="Arial"/>
          <w:sz w:val="24"/>
          <w:highlight w:val="yellow"/>
        </w:rPr>
      </w:pPr>
    </w:p>
    <w:p w14:paraId="140B921D" w14:textId="195DFB05" w:rsidR="00F05B32" w:rsidRPr="00F05B32" w:rsidRDefault="00F05B32" w:rsidP="00F05B32">
      <w:pPr>
        <w:jc w:val="both"/>
        <w:rPr>
          <w:rFonts w:ascii="Arial" w:hAnsi="Arial"/>
          <w:sz w:val="24"/>
          <w:highlight w:val="yellow"/>
        </w:rPr>
      </w:pPr>
      <w:r w:rsidRPr="006A6784">
        <w:rPr>
          <w:rFonts w:ascii="Arial" w:hAnsi="Arial"/>
          <w:sz w:val="24"/>
        </w:rPr>
        <w:t xml:space="preserve">• </w:t>
      </w:r>
      <w:r w:rsidRPr="006A6784">
        <w:rPr>
          <w:rFonts w:ascii="Arial" w:hAnsi="Arial"/>
          <w:b/>
          <w:sz w:val="24"/>
        </w:rPr>
        <w:t xml:space="preserve">Decrease of </w:t>
      </w:r>
      <w:r w:rsidR="006A6784" w:rsidRPr="006A6784">
        <w:rPr>
          <w:rFonts w:ascii="Arial" w:hAnsi="Arial"/>
          <w:b/>
          <w:sz w:val="24"/>
        </w:rPr>
        <w:t>11,766</w:t>
      </w:r>
      <w:r w:rsidRPr="006A6784">
        <w:rPr>
          <w:rFonts w:ascii="Arial" w:hAnsi="Arial"/>
          <w:b/>
          <w:sz w:val="24"/>
        </w:rPr>
        <w:t xml:space="preserve"> Responses Requiring Postage:</w:t>
      </w:r>
      <w:r w:rsidRPr="006A6784">
        <w:rPr>
          <w:rFonts w:ascii="Arial" w:hAnsi="Arial"/>
          <w:sz w:val="24"/>
        </w:rPr>
        <w:t xml:space="preserve"> The currently approved version of this collection lists </w:t>
      </w:r>
      <w:r w:rsidR="006A6784" w:rsidRPr="006A6784">
        <w:rPr>
          <w:rFonts w:ascii="Arial" w:hAnsi="Arial"/>
          <w:sz w:val="24"/>
        </w:rPr>
        <w:t xml:space="preserve">13,240 </w:t>
      </w:r>
      <w:r w:rsidRPr="006A6784">
        <w:rPr>
          <w:rFonts w:ascii="Arial" w:hAnsi="Arial"/>
          <w:sz w:val="24"/>
        </w:rPr>
        <w:t xml:space="preserve">responses as requiring postage. For this proposed renewal, the number of responses requiring postage is estimated to decrease by </w:t>
      </w:r>
      <w:r w:rsidR="006A6784" w:rsidRPr="006A6784">
        <w:rPr>
          <w:rFonts w:ascii="Arial" w:hAnsi="Arial"/>
          <w:sz w:val="24"/>
        </w:rPr>
        <w:t>11,766</w:t>
      </w:r>
      <w:r w:rsidRPr="006A6784">
        <w:rPr>
          <w:rFonts w:ascii="Arial" w:hAnsi="Arial"/>
          <w:sz w:val="24"/>
        </w:rPr>
        <w:t xml:space="preserve">, from </w:t>
      </w:r>
      <w:r w:rsidR="006A6784" w:rsidRPr="006A6784">
        <w:rPr>
          <w:rFonts w:ascii="Arial" w:hAnsi="Arial"/>
          <w:sz w:val="24"/>
        </w:rPr>
        <w:t xml:space="preserve">13,240 </w:t>
      </w:r>
      <w:r w:rsidRPr="006A6784">
        <w:rPr>
          <w:rFonts w:ascii="Arial" w:hAnsi="Arial"/>
          <w:sz w:val="24"/>
        </w:rPr>
        <w:t xml:space="preserve">to </w:t>
      </w:r>
      <w:r w:rsidR="006A6784" w:rsidRPr="006A6784">
        <w:rPr>
          <w:rFonts w:ascii="Arial" w:hAnsi="Arial"/>
          <w:sz w:val="24"/>
        </w:rPr>
        <w:t>1,474</w:t>
      </w:r>
      <w:r w:rsidRPr="006A6784">
        <w:rPr>
          <w:rFonts w:ascii="Arial" w:hAnsi="Arial"/>
          <w:sz w:val="24"/>
        </w:rPr>
        <w:t xml:space="preserve">. </w:t>
      </w:r>
    </w:p>
    <w:p w14:paraId="1AF128E5" w14:textId="77777777" w:rsidR="00F05B32" w:rsidRPr="00F05B32" w:rsidRDefault="00F05B32" w:rsidP="00F05B32">
      <w:pPr>
        <w:jc w:val="both"/>
        <w:rPr>
          <w:rFonts w:ascii="Arial" w:hAnsi="Arial"/>
          <w:sz w:val="24"/>
          <w:highlight w:val="yellow"/>
        </w:rPr>
      </w:pPr>
    </w:p>
    <w:p w14:paraId="30BAA22C" w14:textId="09E47F1F" w:rsidR="00F05B32" w:rsidRPr="006A6784" w:rsidRDefault="00F05B32" w:rsidP="00F05B32">
      <w:pPr>
        <w:jc w:val="both"/>
        <w:rPr>
          <w:rFonts w:ascii="Arial" w:hAnsi="Arial"/>
          <w:sz w:val="24"/>
        </w:rPr>
      </w:pPr>
      <w:r w:rsidRPr="006A6784">
        <w:rPr>
          <w:rFonts w:ascii="Arial" w:hAnsi="Arial"/>
          <w:sz w:val="24"/>
        </w:rPr>
        <w:t xml:space="preserve">• </w:t>
      </w:r>
      <w:r w:rsidRPr="006A6784">
        <w:rPr>
          <w:rFonts w:ascii="Arial" w:hAnsi="Arial"/>
          <w:b/>
          <w:sz w:val="24"/>
        </w:rPr>
        <w:t>Increase in Postage Costs:</w:t>
      </w:r>
      <w:r w:rsidRPr="006A6784">
        <w:rPr>
          <w:rFonts w:ascii="Arial" w:hAnsi="Arial"/>
          <w:sz w:val="24"/>
        </w:rPr>
        <w:t xml:space="preserve"> For this collection, the USPTO is usin</w:t>
      </w:r>
      <w:r w:rsidR="006A6784" w:rsidRPr="006A6784">
        <w:rPr>
          <w:rFonts w:ascii="Arial" w:hAnsi="Arial"/>
          <w:sz w:val="24"/>
        </w:rPr>
        <w:t>g the more recent postage rate</w:t>
      </w:r>
      <w:r w:rsidRPr="006A6784">
        <w:rPr>
          <w:rFonts w:ascii="Arial" w:hAnsi="Arial"/>
          <w:sz w:val="24"/>
        </w:rPr>
        <w:t xml:space="preserve"> of $5.75 for mailed su</w:t>
      </w:r>
      <w:r w:rsidR="006A6784" w:rsidRPr="006A6784">
        <w:rPr>
          <w:rFonts w:ascii="Arial" w:hAnsi="Arial"/>
          <w:sz w:val="24"/>
        </w:rPr>
        <w:t>bmissions, in place of the rate-</w:t>
      </w:r>
      <w:r w:rsidRPr="006A6784">
        <w:rPr>
          <w:rFonts w:ascii="Arial" w:hAnsi="Arial"/>
          <w:sz w:val="24"/>
        </w:rPr>
        <w:t xml:space="preserve"> $5.</w:t>
      </w:r>
      <w:r w:rsidR="006A6784" w:rsidRPr="006A6784">
        <w:rPr>
          <w:rFonts w:ascii="Arial" w:hAnsi="Arial"/>
          <w:sz w:val="24"/>
        </w:rPr>
        <w:t>2</w:t>
      </w:r>
      <w:r w:rsidRPr="006A6784">
        <w:rPr>
          <w:rFonts w:ascii="Arial" w:hAnsi="Arial"/>
          <w:sz w:val="24"/>
        </w:rPr>
        <w:t xml:space="preserve">5—that were used in the previous authorization for the comparable mailed submissions. </w:t>
      </w:r>
    </w:p>
    <w:p w14:paraId="02EC48AE" w14:textId="77777777" w:rsidR="00F05B32" w:rsidRPr="00F05B32" w:rsidRDefault="00F05B32" w:rsidP="00F05B32">
      <w:pPr>
        <w:jc w:val="both"/>
        <w:rPr>
          <w:rFonts w:ascii="Arial" w:hAnsi="Arial"/>
          <w:sz w:val="24"/>
          <w:highlight w:val="yellow"/>
        </w:rPr>
      </w:pPr>
    </w:p>
    <w:p w14:paraId="3DACF4C2" w14:textId="77777777" w:rsidR="00F05B32" w:rsidRPr="006A6784" w:rsidRDefault="00F05B32" w:rsidP="00F05B32">
      <w:pPr>
        <w:jc w:val="both"/>
        <w:rPr>
          <w:rFonts w:ascii="Arial" w:hAnsi="Arial"/>
          <w:sz w:val="24"/>
          <w:u w:val="single"/>
        </w:rPr>
      </w:pPr>
      <w:r w:rsidRPr="006A6784">
        <w:rPr>
          <w:rFonts w:ascii="Arial" w:hAnsi="Arial"/>
          <w:sz w:val="24"/>
          <w:u w:val="single"/>
        </w:rPr>
        <w:t>Changes in Federal Government Burden</w:t>
      </w:r>
    </w:p>
    <w:p w14:paraId="2F367D23" w14:textId="77777777" w:rsidR="00F05B32" w:rsidRPr="00096A09" w:rsidRDefault="00F05B32" w:rsidP="00F05B32">
      <w:pPr>
        <w:jc w:val="both"/>
        <w:rPr>
          <w:rFonts w:ascii="Arial" w:hAnsi="Arial"/>
          <w:sz w:val="24"/>
        </w:rPr>
      </w:pPr>
    </w:p>
    <w:p w14:paraId="586B7D35" w14:textId="0DD7D86B" w:rsidR="00F05B32" w:rsidRPr="00096A09" w:rsidRDefault="00F05B32" w:rsidP="00F05B32">
      <w:pPr>
        <w:jc w:val="both"/>
        <w:rPr>
          <w:rFonts w:ascii="Arial" w:hAnsi="Arial"/>
          <w:sz w:val="24"/>
        </w:rPr>
      </w:pPr>
      <w:r w:rsidRPr="00096A09">
        <w:rPr>
          <w:rFonts w:ascii="Arial" w:hAnsi="Arial"/>
          <w:sz w:val="24"/>
        </w:rPr>
        <w:t>For this renewal, the USPTO estimate that the annual burden to the Feder</w:t>
      </w:r>
      <w:r w:rsidR="00096A09" w:rsidRPr="00096A09">
        <w:rPr>
          <w:rFonts w:ascii="Arial" w:hAnsi="Arial"/>
          <w:sz w:val="24"/>
        </w:rPr>
        <w:t xml:space="preserve">al Government will decrease to </w:t>
      </w:r>
      <w:r w:rsidR="00453BE1" w:rsidRPr="00453BE1">
        <w:rPr>
          <w:rFonts w:ascii="Arial" w:hAnsi="Arial"/>
          <w:sz w:val="24"/>
        </w:rPr>
        <w:t>$537,419.16</w:t>
      </w:r>
      <w:r w:rsidR="00453BE1">
        <w:rPr>
          <w:rFonts w:ascii="Arial" w:hAnsi="Arial"/>
          <w:sz w:val="24"/>
        </w:rPr>
        <w:t>,</w:t>
      </w:r>
      <w:r w:rsidR="009F0CC2">
        <w:rPr>
          <w:rFonts w:ascii="Arial" w:hAnsi="Arial"/>
          <w:sz w:val="24"/>
        </w:rPr>
        <w:t xml:space="preserve"> a drop of $1,034,433.84. This will occur</w:t>
      </w:r>
      <w:r w:rsidR="00453BE1">
        <w:rPr>
          <w:rFonts w:ascii="Arial" w:hAnsi="Arial"/>
          <w:sz w:val="24"/>
        </w:rPr>
        <w:t xml:space="preserve"> despite an increase in GS Rates</w:t>
      </w:r>
      <w:r w:rsidRPr="00096A09">
        <w:rPr>
          <w:rFonts w:ascii="Arial" w:hAnsi="Arial"/>
          <w:sz w:val="24"/>
        </w:rPr>
        <w:t xml:space="preserve">. This overall decrease is due to the following: </w:t>
      </w:r>
    </w:p>
    <w:p w14:paraId="2EAF3DC3" w14:textId="77777777" w:rsidR="00F05B32" w:rsidRPr="00F05B32" w:rsidRDefault="00F05B32" w:rsidP="00F05B32">
      <w:pPr>
        <w:jc w:val="both"/>
        <w:rPr>
          <w:rFonts w:ascii="Arial" w:hAnsi="Arial"/>
          <w:sz w:val="24"/>
          <w:highlight w:val="yellow"/>
        </w:rPr>
      </w:pPr>
    </w:p>
    <w:p w14:paraId="13E11DB6" w14:textId="0F7153B9" w:rsidR="00F05B32" w:rsidRPr="006A6784" w:rsidRDefault="00F05B32" w:rsidP="00F05B32">
      <w:pPr>
        <w:jc w:val="both"/>
        <w:rPr>
          <w:rFonts w:ascii="Arial" w:hAnsi="Arial"/>
          <w:sz w:val="24"/>
        </w:rPr>
      </w:pPr>
      <w:r w:rsidRPr="006A6784">
        <w:rPr>
          <w:rFonts w:ascii="Arial" w:hAnsi="Arial"/>
          <w:sz w:val="24"/>
        </w:rPr>
        <w:t xml:space="preserve">• </w:t>
      </w:r>
      <w:r w:rsidRPr="006A6784">
        <w:rPr>
          <w:rFonts w:ascii="Arial" w:hAnsi="Arial"/>
          <w:b/>
          <w:sz w:val="24"/>
        </w:rPr>
        <w:t xml:space="preserve">Decrease of </w:t>
      </w:r>
      <w:r w:rsidR="006A6784" w:rsidRPr="006A6784">
        <w:rPr>
          <w:rFonts w:ascii="Arial" w:hAnsi="Arial"/>
          <w:b/>
          <w:sz w:val="24"/>
        </w:rPr>
        <w:t>139,000</w:t>
      </w:r>
      <w:r w:rsidRPr="006A6784">
        <w:rPr>
          <w:rFonts w:ascii="Arial" w:hAnsi="Arial"/>
          <w:b/>
          <w:sz w:val="24"/>
        </w:rPr>
        <w:t xml:space="preserve"> Responses:</w:t>
      </w:r>
      <w:r w:rsidRPr="006A6784">
        <w:rPr>
          <w:rFonts w:ascii="Arial" w:hAnsi="Arial"/>
          <w:sz w:val="24"/>
        </w:rPr>
        <w:t xml:space="preserve"> As with the respondent cost burden, the decrease of </w:t>
      </w:r>
      <w:r w:rsidR="006A6784" w:rsidRPr="006A6784">
        <w:rPr>
          <w:rFonts w:ascii="Arial" w:hAnsi="Arial"/>
          <w:sz w:val="24"/>
        </w:rPr>
        <w:t xml:space="preserve">139,000 </w:t>
      </w:r>
      <w:r w:rsidRPr="006A6784">
        <w:rPr>
          <w:rFonts w:ascii="Arial" w:hAnsi="Arial"/>
          <w:sz w:val="24"/>
        </w:rPr>
        <w:t xml:space="preserve">responses to this collection—responses that would have been handled and processed by members of the Federal Government—contributed to the decrease in the Federal Government cost burden. </w:t>
      </w:r>
    </w:p>
    <w:p w14:paraId="3E3D879D" w14:textId="77777777" w:rsidR="00F05B32" w:rsidRPr="00F05B32" w:rsidRDefault="00F05B32" w:rsidP="00F05B32">
      <w:pPr>
        <w:jc w:val="both"/>
        <w:rPr>
          <w:rFonts w:ascii="Arial" w:hAnsi="Arial"/>
          <w:sz w:val="24"/>
          <w:highlight w:val="yellow"/>
        </w:rPr>
      </w:pPr>
    </w:p>
    <w:p w14:paraId="4B697C77" w14:textId="7C85E6C9" w:rsidR="009A5F9A" w:rsidRPr="00B95D77" w:rsidRDefault="00F05B32" w:rsidP="00F05B32">
      <w:pPr>
        <w:jc w:val="both"/>
        <w:rPr>
          <w:rFonts w:ascii="Arial" w:hAnsi="Arial"/>
          <w:b/>
          <w:sz w:val="24"/>
        </w:rPr>
      </w:pPr>
      <w:r w:rsidRPr="009F20FC">
        <w:rPr>
          <w:rFonts w:ascii="Arial" w:hAnsi="Arial"/>
          <w:sz w:val="24"/>
        </w:rPr>
        <w:lastRenderedPageBreak/>
        <w:t xml:space="preserve">• </w:t>
      </w:r>
      <w:r w:rsidRPr="009F20FC">
        <w:rPr>
          <w:rFonts w:ascii="Arial" w:hAnsi="Arial"/>
          <w:b/>
          <w:sz w:val="24"/>
        </w:rPr>
        <w:t>Increase in GS Rates:</w:t>
      </w:r>
      <w:r w:rsidRPr="009F20FC">
        <w:rPr>
          <w:rFonts w:ascii="Arial" w:hAnsi="Arial"/>
          <w:sz w:val="24"/>
        </w:rPr>
        <w:t xml:space="preserve"> For this collection, the USPTO is using the 2015 GS Rate table (with locality pay for the Washington, D.C. area) to calculate the work done by Federal employees. The 2012 submission valued an ho</w:t>
      </w:r>
      <w:r w:rsidR="00096A09" w:rsidRPr="009F20FC">
        <w:rPr>
          <w:rFonts w:ascii="Arial" w:hAnsi="Arial"/>
          <w:sz w:val="24"/>
        </w:rPr>
        <w:t>ur of work from a GS-7,</w:t>
      </w:r>
      <w:r w:rsidRPr="009F20FC">
        <w:rPr>
          <w:rFonts w:ascii="Arial" w:hAnsi="Arial"/>
          <w:sz w:val="24"/>
        </w:rPr>
        <w:t xml:space="preserve"> step 1, at $26.29 ($20.22 base hourly with an additional 30 percent added for benefits/overtime compensation)</w:t>
      </w:r>
      <w:r w:rsidR="00096A09" w:rsidRPr="009F20FC">
        <w:rPr>
          <w:rFonts w:ascii="Arial" w:hAnsi="Arial"/>
          <w:sz w:val="24"/>
        </w:rPr>
        <w:t xml:space="preserve">. </w:t>
      </w:r>
      <w:r w:rsidRPr="009F20FC">
        <w:rPr>
          <w:rFonts w:ascii="Arial" w:hAnsi="Arial"/>
          <w:sz w:val="24"/>
        </w:rPr>
        <w:t xml:space="preserve">This submission, however, values </w:t>
      </w:r>
      <w:r w:rsidR="00096A09" w:rsidRPr="009F20FC">
        <w:rPr>
          <w:rFonts w:ascii="Arial" w:hAnsi="Arial"/>
          <w:sz w:val="24"/>
        </w:rPr>
        <w:t>that</w:t>
      </w:r>
      <w:r w:rsidRPr="009F20FC">
        <w:rPr>
          <w:rFonts w:ascii="Arial" w:hAnsi="Arial"/>
          <w:sz w:val="24"/>
        </w:rPr>
        <w:t xml:space="preserve"> same posi</w:t>
      </w:r>
      <w:r w:rsidR="00096A09" w:rsidRPr="009F20FC">
        <w:rPr>
          <w:rFonts w:ascii="Arial" w:hAnsi="Arial"/>
          <w:sz w:val="24"/>
        </w:rPr>
        <w:t>tion</w:t>
      </w:r>
      <w:r w:rsidRPr="009F20FC">
        <w:rPr>
          <w:rFonts w:ascii="Arial" w:hAnsi="Arial"/>
          <w:sz w:val="24"/>
        </w:rPr>
        <w:t xml:space="preserve"> at $26.82 ($20.63 base hourly with the 30 percent benefits/overtime compensation). Despite </w:t>
      </w:r>
      <w:r w:rsidR="00096A09" w:rsidRPr="009F20FC">
        <w:rPr>
          <w:rFonts w:ascii="Arial" w:hAnsi="Arial"/>
          <w:sz w:val="24"/>
        </w:rPr>
        <w:t>this increase</w:t>
      </w:r>
      <w:r w:rsidRPr="009F20FC">
        <w:rPr>
          <w:rFonts w:ascii="Arial" w:hAnsi="Arial"/>
          <w:sz w:val="24"/>
        </w:rPr>
        <w:t xml:space="preserve">, the total federal cost burden declined to </w:t>
      </w:r>
      <w:r w:rsidR="00453BE1" w:rsidRPr="00453BE1">
        <w:rPr>
          <w:rFonts w:ascii="Arial" w:hAnsi="Arial"/>
          <w:sz w:val="24"/>
        </w:rPr>
        <w:t>$537,419.16</w:t>
      </w:r>
      <w:r w:rsidRPr="009F20FC">
        <w:rPr>
          <w:rFonts w:ascii="Arial" w:hAnsi="Arial"/>
          <w:sz w:val="24"/>
        </w:rPr>
        <w:t>, primarily due to a decrease in the number of responses described above.</w:t>
      </w:r>
    </w:p>
    <w:p w14:paraId="4B697C78" w14:textId="77777777" w:rsidR="009A5F9A" w:rsidRDefault="009A5F9A" w:rsidP="009A5F9A">
      <w:pPr>
        <w:jc w:val="both"/>
        <w:rPr>
          <w:rFonts w:ascii="Arial" w:hAnsi="Arial"/>
          <w:sz w:val="24"/>
        </w:rPr>
      </w:pPr>
    </w:p>
    <w:p w14:paraId="4B697C79" w14:textId="77777777" w:rsidR="009A5F9A" w:rsidRDefault="009A5F9A" w:rsidP="009A5F9A">
      <w:pPr>
        <w:jc w:val="both"/>
        <w:rPr>
          <w:rFonts w:ascii="Arial" w:hAnsi="Arial"/>
          <w:sz w:val="24"/>
        </w:rPr>
      </w:pPr>
      <w:r w:rsidRPr="000322A2">
        <w:rPr>
          <w:rFonts w:ascii="Arial" w:hAnsi="Arial"/>
          <w:b/>
          <w:sz w:val="24"/>
        </w:rPr>
        <w:t>16.</w:t>
      </w:r>
      <w:r w:rsidRPr="000322A2">
        <w:rPr>
          <w:rFonts w:ascii="Arial" w:hAnsi="Arial"/>
          <w:b/>
          <w:sz w:val="24"/>
        </w:rPr>
        <w:tab/>
        <w:t>Project Schedule</w:t>
      </w:r>
    </w:p>
    <w:p w14:paraId="4B697C7A" w14:textId="77777777" w:rsidR="009A5F9A" w:rsidRDefault="009A5F9A" w:rsidP="009A5F9A">
      <w:pPr>
        <w:jc w:val="both"/>
        <w:rPr>
          <w:rFonts w:ascii="Arial" w:hAnsi="Arial"/>
          <w:sz w:val="24"/>
        </w:rPr>
      </w:pPr>
    </w:p>
    <w:p w14:paraId="4B697C7B" w14:textId="2F58CF40" w:rsidR="009A5F9A" w:rsidRDefault="009A5F9A" w:rsidP="009A5F9A">
      <w:pPr>
        <w:pStyle w:val="BodyText2"/>
      </w:pPr>
      <w:r>
        <w:t xml:space="preserve">There is no plan to publish this information for statistical use. No special publication of the items discussed in this justification statement is planned.  </w:t>
      </w:r>
    </w:p>
    <w:p w14:paraId="4B697C7C" w14:textId="77777777" w:rsidR="009A5F9A" w:rsidRDefault="009A5F9A" w:rsidP="009A5F9A">
      <w:pPr>
        <w:jc w:val="both"/>
        <w:rPr>
          <w:rFonts w:ascii="Arial" w:hAnsi="Arial"/>
          <w:sz w:val="24"/>
        </w:rPr>
      </w:pPr>
    </w:p>
    <w:p w14:paraId="4B697C7D" w14:textId="77777777" w:rsidR="009A5F9A" w:rsidRDefault="009A5F9A" w:rsidP="009A5F9A">
      <w:pPr>
        <w:keepNext/>
        <w:keepLines/>
        <w:jc w:val="both"/>
        <w:rPr>
          <w:rFonts w:ascii="Arial" w:hAnsi="Arial"/>
          <w:b/>
          <w:sz w:val="24"/>
        </w:rPr>
      </w:pPr>
      <w:r w:rsidRPr="000322A2">
        <w:rPr>
          <w:rFonts w:ascii="Arial" w:hAnsi="Arial"/>
          <w:b/>
          <w:sz w:val="24"/>
        </w:rPr>
        <w:t>17.</w:t>
      </w:r>
      <w:r w:rsidRPr="000322A2">
        <w:rPr>
          <w:rFonts w:ascii="Arial" w:hAnsi="Arial"/>
          <w:b/>
          <w:sz w:val="24"/>
        </w:rPr>
        <w:tab/>
        <w:t>Display of Expiration Date of OMB Approval</w:t>
      </w:r>
    </w:p>
    <w:p w14:paraId="4B697C7E" w14:textId="77777777" w:rsidR="009A5F9A" w:rsidRDefault="009A5F9A" w:rsidP="009A5F9A">
      <w:pPr>
        <w:keepNext/>
        <w:keepLines/>
        <w:jc w:val="both"/>
        <w:rPr>
          <w:rFonts w:ascii="Arial" w:hAnsi="Arial"/>
          <w:sz w:val="24"/>
        </w:rPr>
      </w:pPr>
    </w:p>
    <w:p w14:paraId="4B697C7F" w14:textId="7D13A6C8" w:rsidR="009A5F9A" w:rsidRDefault="009A5F9A" w:rsidP="009A5F9A">
      <w:pPr>
        <w:keepNext/>
        <w:keepLines/>
        <w:jc w:val="both"/>
        <w:rPr>
          <w:rFonts w:ascii="Arial" w:hAnsi="Arial"/>
          <w:sz w:val="24"/>
        </w:rPr>
      </w:pPr>
      <w:r>
        <w:rPr>
          <w:rFonts w:ascii="Arial" w:hAnsi="Arial"/>
          <w:sz w:val="24"/>
        </w:rPr>
        <w:t xml:space="preserve">There are no forms in this information collection. Therefore, the display of the OMB Control Number and the expiration date is not applicable.  </w:t>
      </w:r>
    </w:p>
    <w:p w14:paraId="4B697C80" w14:textId="77777777" w:rsidR="009A5F9A" w:rsidRDefault="009A5F9A" w:rsidP="009A5F9A">
      <w:pPr>
        <w:jc w:val="both"/>
        <w:rPr>
          <w:rFonts w:ascii="Arial" w:hAnsi="Arial"/>
          <w:sz w:val="24"/>
        </w:rPr>
      </w:pPr>
    </w:p>
    <w:p w14:paraId="4B697C81" w14:textId="77777777" w:rsidR="009A5F9A" w:rsidRDefault="009A5F9A" w:rsidP="009A5F9A">
      <w:pPr>
        <w:jc w:val="both"/>
        <w:rPr>
          <w:rFonts w:ascii="Arial" w:hAnsi="Arial"/>
          <w:b/>
          <w:sz w:val="24"/>
        </w:rPr>
      </w:pPr>
      <w:r w:rsidRPr="000322A2">
        <w:rPr>
          <w:rFonts w:ascii="Arial" w:hAnsi="Arial"/>
          <w:b/>
          <w:sz w:val="24"/>
        </w:rPr>
        <w:t>18.</w:t>
      </w:r>
      <w:r w:rsidRPr="000322A2">
        <w:rPr>
          <w:rFonts w:ascii="Arial" w:hAnsi="Arial"/>
          <w:b/>
          <w:sz w:val="24"/>
        </w:rPr>
        <w:tab/>
        <w:t>Exception to the Certificate Statement</w:t>
      </w:r>
    </w:p>
    <w:p w14:paraId="4B697C82" w14:textId="77777777" w:rsidR="009A5F9A" w:rsidRDefault="009A5F9A" w:rsidP="009A5F9A">
      <w:pPr>
        <w:jc w:val="both"/>
        <w:rPr>
          <w:rFonts w:ascii="Arial" w:hAnsi="Arial"/>
          <w:sz w:val="24"/>
        </w:rPr>
      </w:pPr>
    </w:p>
    <w:p w14:paraId="4B697C83" w14:textId="77777777" w:rsidR="009A5F9A" w:rsidRDefault="009A5F9A" w:rsidP="009A5F9A">
      <w:pPr>
        <w:jc w:val="both"/>
        <w:rPr>
          <w:rFonts w:ascii="Arial" w:hAnsi="Arial"/>
          <w:sz w:val="24"/>
        </w:rPr>
      </w:pPr>
      <w:r>
        <w:rPr>
          <w:rFonts w:ascii="Arial" w:hAnsi="Arial"/>
          <w:sz w:val="24"/>
        </w:rPr>
        <w:t>This collection of information does not include any exceptions to the certificate statement.</w:t>
      </w:r>
    </w:p>
    <w:p w14:paraId="4B697C84" w14:textId="77777777" w:rsidR="009A5F9A" w:rsidRDefault="009A5F9A" w:rsidP="009A5F9A">
      <w:pPr>
        <w:jc w:val="both"/>
        <w:rPr>
          <w:rFonts w:ascii="Arial" w:hAnsi="Arial"/>
          <w:sz w:val="24"/>
        </w:rPr>
      </w:pPr>
    </w:p>
    <w:p w14:paraId="4B697C85" w14:textId="77777777" w:rsidR="009A5F9A" w:rsidRDefault="009A5F9A" w:rsidP="009A5F9A">
      <w:pPr>
        <w:pStyle w:val="Heading1"/>
        <w:tabs>
          <w:tab w:val="clear" w:pos="720"/>
        </w:tabs>
      </w:pPr>
      <w:r w:rsidRPr="000322A2">
        <w:t>B.</w:t>
      </w:r>
      <w:r w:rsidRPr="000322A2">
        <w:tab/>
        <w:t>COLLECTIONS OF INFORMATION EMPLOYING STATISTICAL METHODS</w:t>
      </w:r>
    </w:p>
    <w:p w14:paraId="4B697C86" w14:textId="77777777" w:rsidR="009A5F9A" w:rsidRDefault="009A5F9A" w:rsidP="009A5F9A">
      <w:pPr>
        <w:jc w:val="both"/>
        <w:rPr>
          <w:rFonts w:ascii="Arial" w:hAnsi="Arial"/>
          <w:sz w:val="24"/>
        </w:rPr>
      </w:pPr>
    </w:p>
    <w:p w14:paraId="4B697C87" w14:textId="77777777" w:rsidR="009A5F9A" w:rsidRDefault="009A5F9A" w:rsidP="009A5F9A">
      <w:pPr>
        <w:jc w:val="both"/>
        <w:rPr>
          <w:rFonts w:ascii="Arial" w:hAnsi="Arial"/>
          <w:sz w:val="22"/>
          <w:szCs w:val="22"/>
        </w:rPr>
      </w:pPr>
      <w:r>
        <w:rPr>
          <w:rFonts w:ascii="Arial" w:hAnsi="Arial"/>
          <w:sz w:val="24"/>
        </w:rPr>
        <w:t>This collection of information does not employ statistical methods.</w:t>
      </w:r>
    </w:p>
    <w:p w14:paraId="4B697C88" w14:textId="77777777" w:rsidR="00D843A0" w:rsidRDefault="00D843A0"/>
    <w:sectPr w:rsidR="00D843A0">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0980A" w14:textId="77777777" w:rsidR="0021005B" w:rsidRDefault="0021005B">
      <w:r>
        <w:separator/>
      </w:r>
    </w:p>
  </w:endnote>
  <w:endnote w:type="continuationSeparator" w:id="0">
    <w:p w14:paraId="6DF21BF8" w14:textId="77777777" w:rsidR="0021005B" w:rsidRDefault="0021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97C89" w14:textId="77777777" w:rsidR="00A95871" w:rsidRDefault="00A958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B697C8A" w14:textId="77777777" w:rsidR="00A95871" w:rsidRDefault="00A95871">
    <w:pPr>
      <w:pStyle w:val="Footer"/>
    </w:pPr>
  </w:p>
  <w:p w14:paraId="1895836C" w14:textId="77777777" w:rsidR="00A95871" w:rsidRDefault="00A958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97C8B" w14:textId="77777777" w:rsidR="00A95871" w:rsidRDefault="00A958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4905">
      <w:rPr>
        <w:rStyle w:val="PageNumber"/>
        <w:noProof/>
      </w:rPr>
      <w:t>9</w:t>
    </w:r>
    <w:r>
      <w:rPr>
        <w:rStyle w:val="PageNumber"/>
      </w:rPr>
      <w:fldChar w:fldCharType="end"/>
    </w:r>
  </w:p>
  <w:p w14:paraId="4B697C8C" w14:textId="77777777" w:rsidR="00A95871" w:rsidRDefault="00A95871">
    <w:pPr>
      <w:pStyle w:val="Footer"/>
    </w:pPr>
  </w:p>
  <w:p w14:paraId="0A901CE3" w14:textId="77777777" w:rsidR="00A95871" w:rsidRDefault="00A958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ECBF7" w14:textId="77777777" w:rsidR="0021005B" w:rsidRDefault="0021005B">
      <w:r>
        <w:separator/>
      </w:r>
    </w:p>
  </w:footnote>
  <w:footnote w:type="continuationSeparator" w:id="0">
    <w:p w14:paraId="26F68A11" w14:textId="77777777" w:rsidR="0021005B" w:rsidRDefault="00210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C4BD4"/>
    <w:multiLevelType w:val="singleLevel"/>
    <w:tmpl w:val="04090001"/>
    <w:lvl w:ilvl="0">
      <w:start w:val="1"/>
      <w:numFmt w:val="bullet"/>
      <w:lvlText w:val=""/>
      <w:lvlJc w:val="left"/>
      <w:pPr>
        <w:ind w:left="720" w:hanging="360"/>
      </w:pPr>
      <w:rPr>
        <w:rFonts w:ascii="Symbol" w:hAnsi="Symbol" w:hint="default"/>
      </w:rPr>
    </w:lvl>
  </w:abstractNum>
  <w:abstractNum w:abstractNumId="1">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F9A"/>
    <w:rsid w:val="00002178"/>
    <w:rsid w:val="00084EB7"/>
    <w:rsid w:val="00096A09"/>
    <w:rsid w:val="000A0C28"/>
    <w:rsid w:val="001A3BAE"/>
    <w:rsid w:val="0021005B"/>
    <w:rsid w:val="002A39E3"/>
    <w:rsid w:val="002B3C3B"/>
    <w:rsid w:val="002C05CA"/>
    <w:rsid w:val="002C210C"/>
    <w:rsid w:val="002E6501"/>
    <w:rsid w:val="003C42F6"/>
    <w:rsid w:val="00400F58"/>
    <w:rsid w:val="00453BE1"/>
    <w:rsid w:val="004B77ED"/>
    <w:rsid w:val="004C718C"/>
    <w:rsid w:val="0053205E"/>
    <w:rsid w:val="0056130F"/>
    <w:rsid w:val="005A13D0"/>
    <w:rsid w:val="005C3AA3"/>
    <w:rsid w:val="005E20EA"/>
    <w:rsid w:val="0060754C"/>
    <w:rsid w:val="006133AB"/>
    <w:rsid w:val="006A6784"/>
    <w:rsid w:val="00704963"/>
    <w:rsid w:val="0072460F"/>
    <w:rsid w:val="007571CE"/>
    <w:rsid w:val="00775D1E"/>
    <w:rsid w:val="007A1F35"/>
    <w:rsid w:val="007D75CB"/>
    <w:rsid w:val="007E29D0"/>
    <w:rsid w:val="00894DD8"/>
    <w:rsid w:val="008A442C"/>
    <w:rsid w:val="008C363B"/>
    <w:rsid w:val="008E3160"/>
    <w:rsid w:val="009A5F9A"/>
    <w:rsid w:val="009B588A"/>
    <w:rsid w:val="009C1C39"/>
    <w:rsid w:val="009F0CC2"/>
    <w:rsid w:val="009F20FC"/>
    <w:rsid w:val="00A033CE"/>
    <w:rsid w:val="00A5073B"/>
    <w:rsid w:val="00A95871"/>
    <w:rsid w:val="00AA5496"/>
    <w:rsid w:val="00AC0042"/>
    <w:rsid w:val="00AE499D"/>
    <w:rsid w:val="00B80737"/>
    <w:rsid w:val="00BA4B25"/>
    <w:rsid w:val="00BD3E6B"/>
    <w:rsid w:val="00BE0AF3"/>
    <w:rsid w:val="00C05FB5"/>
    <w:rsid w:val="00C63991"/>
    <w:rsid w:val="00D47753"/>
    <w:rsid w:val="00D673CF"/>
    <w:rsid w:val="00D843A0"/>
    <w:rsid w:val="00DC4905"/>
    <w:rsid w:val="00EB32F2"/>
    <w:rsid w:val="00ED01C1"/>
    <w:rsid w:val="00F05B32"/>
    <w:rsid w:val="00F636F8"/>
    <w:rsid w:val="00F9090E"/>
    <w:rsid w:val="00FC2E06"/>
    <w:rsid w:val="00FF2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F9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A5F9A"/>
    <w:pPr>
      <w:keepNext/>
      <w:tabs>
        <w:tab w:val="left" w:pos="720"/>
      </w:tabs>
      <w:jc w:val="both"/>
      <w:outlineLvl w:val="0"/>
    </w:pPr>
    <w:rPr>
      <w:rFonts w:ascii="Arial" w:hAnsi="Arial"/>
      <w:b/>
      <w:sz w:val="24"/>
    </w:rPr>
  </w:style>
  <w:style w:type="paragraph" w:styleId="Heading7">
    <w:name w:val="heading 7"/>
    <w:basedOn w:val="Normal"/>
    <w:next w:val="Normal"/>
    <w:link w:val="Heading7Char"/>
    <w:qFormat/>
    <w:rsid w:val="009A5F9A"/>
    <w:pPr>
      <w:keepNext/>
      <w:jc w:val="center"/>
      <w:outlineLvl w:val="6"/>
    </w:pPr>
    <w:rPr>
      <w:rFonts w:ascii="Arial" w:hAnsi="Arial"/>
      <w:b/>
      <w:sz w:val="16"/>
    </w:rPr>
  </w:style>
  <w:style w:type="paragraph" w:styleId="Heading9">
    <w:name w:val="heading 9"/>
    <w:basedOn w:val="Normal"/>
    <w:next w:val="Normal"/>
    <w:link w:val="Heading9Char"/>
    <w:qFormat/>
    <w:rsid w:val="009A5F9A"/>
    <w:pPr>
      <w:keepNext/>
      <w:outlineLvl w:val="8"/>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5F9A"/>
    <w:rPr>
      <w:rFonts w:ascii="Arial" w:eastAsia="Times New Roman" w:hAnsi="Arial" w:cs="Times New Roman"/>
      <w:b/>
      <w:sz w:val="24"/>
      <w:szCs w:val="20"/>
    </w:rPr>
  </w:style>
  <w:style w:type="character" w:customStyle="1" w:styleId="Heading7Char">
    <w:name w:val="Heading 7 Char"/>
    <w:basedOn w:val="DefaultParagraphFont"/>
    <w:link w:val="Heading7"/>
    <w:rsid w:val="009A5F9A"/>
    <w:rPr>
      <w:rFonts w:ascii="Arial" w:eastAsia="Times New Roman" w:hAnsi="Arial" w:cs="Times New Roman"/>
      <w:b/>
      <w:sz w:val="16"/>
      <w:szCs w:val="20"/>
    </w:rPr>
  </w:style>
  <w:style w:type="character" w:customStyle="1" w:styleId="Heading9Char">
    <w:name w:val="Heading 9 Char"/>
    <w:basedOn w:val="DefaultParagraphFont"/>
    <w:link w:val="Heading9"/>
    <w:rsid w:val="009A5F9A"/>
    <w:rPr>
      <w:rFonts w:ascii="Arial" w:eastAsia="Times New Roman" w:hAnsi="Arial" w:cs="Times New Roman"/>
      <w:b/>
      <w:sz w:val="16"/>
      <w:szCs w:val="20"/>
    </w:rPr>
  </w:style>
  <w:style w:type="paragraph" w:styleId="Title">
    <w:name w:val="Title"/>
    <w:basedOn w:val="Normal"/>
    <w:link w:val="TitleChar"/>
    <w:qFormat/>
    <w:rsid w:val="009A5F9A"/>
    <w:pPr>
      <w:jc w:val="center"/>
    </w:pPr>
    <w:rPr>
      <w:rFonts w:ascii="Arial" w:hAnsi="Arial"/>
      <w:b/>
      <w:sz w:val="24"/>
    </w:rPr>
  </w:style>
  <w:style w:type="character" w:customStyle="1" w:styleId="TitleChar">
    <w:name w:val="Title Char"/>
    <w:basedOn w:val="DefaultParagraphFont"/>
    <w:link w:val="Title"/>
    <w:rsid w:val="009A5F9A"/>
    <w:rPr>
      <w:rFonts w:ascii="Arial" w:eastAsia="Times New Roman" w:hAnsi="Arial" w:cs="Times New Roman"/>
      <w:b/>
      <w:sz w:val="24"/>
      <w:szCs w:val="20"/>
    </w:rPr>
  </w:style>
  <w:style w:type="paragraph" w:styleId="BodyText">
    <w:name w:val="Body Text"/>
    <w:basedOn w:val="Normal"/>
    <w:link w:val="BodyTextChar"/>
    <w:rsid w:val="009A5F9A"/>
    <w:pPr>
      <w:jc w:val="both"/>
    </w:pPr>
    <w:rPr>
      <w:rFonts w:ascii="Arial" w:hAnsi="Arial"/>
      <w:b/>
    </w:rPr>
  </w:style>
  <w:style w:type="character" w:customStyle="1" w:styleId="BodyTextChar">
    <w:name w:val="Body Text Char"/>
    <w:basedOn w:val="DefaultParagraphFont"/>
    <w:link w:val="BodyText"/>
    <w:rsid w:val="009A5F9A"/>
    <w:rPr>
      <w:rFonts w:ascii="Arial" w:eastAsia="Times New Roman" w:hAnsi="Arial" w:cs="Times New Roman"/>
      <w:b/>
      <w:sz w:val="20"/>
      <w:szCs w:val="20"/>
    </w:rPr>
  </w:style>
  <w:style w:type="paragraph" w:styleId="Footer">
    <w:name w:val="footer"/>
    <w:basedOn w:val="Normal"/>
    <w:link w:val="FooterChar"/>
    <w:rsid w:val="009A5F9A"/>
    <w:pPr>
      <w:tabs>
        <w:tab w:val="center" w:pos="4320"/>
        <w:tab w:val="right" w:pos="8640"/>
      </w:tabs>
    </w:pPr>
  </w:style>
  <w:style w:type="character" w:customStyle="1" w:styleId="FooterChar">
    <w:name w:val="Footer Char"/>
    <w:basedOn w:val="DefaultParagraphFont"/>
    <w:link w:val="Footer"/>
    <w:rsid w:val="009A5F9A"/>
    <w:rPr>
      <w:rFonts w:ascii="Times New Roman" w:eastAsia="Times New Roman" w:hAnsi="Times New Roman" w:cs="Times New Roman"/>
      <w:sz w:val="20"/>
      <w:szCs w:val="20"/>
    </w:rPr>
  </w:style>
  <w:style w:type="character" w:styleId="PageNumber">
    <w:name w:val="page number"/>
    <w:basedOn w:val="DefaultParagraphFont"/>
    <w:rsid w:val="009A5F9A"/>
  </w:style>
  <w:style w:type="paragraph" w:styleId="BodyText2">
    <w:name w:val="Body Text 2"/>
    <w:basedOn w:val="Normal"/>
    <w:link w:val="BodyText2Char"/>
    <w:rsid w:val="009A5F9A"/>
    <w:pPr>
      <w:jc w:val="both"/>
    </w:pPr>
    <w:rPr>
      <w:rFonts w:ascii="Arial" w:hAnsi="Arial"/>
      <w:sz w:val="24"/>
    </w:rPr>
  </w:style>
  <w:style w:type="character" w:customStyle="1" w:styleId="BodyText2Char">
    <w:name w:val="Body Text 2 Char"/>
    <w:basedOn w:val="DefaultParagraphFont"/>
    <w:link w:val="BodyText2"/>
    <w:rsid w:val="009A5F9A"/>
    <w:rPr>
      <w:rFonts w:ascii="Arial" w:eastAsia="Times New Roman" w:hAnsi="Arial" w:cs="Times New Roman"/>
      <w:sz w:val="24"/>
      <w:szCs w:val="20"/>
    </w:rPr>
  </w:style>
  <w:style w:type="paragraph" w:styleId="BodyTextIndent">
    <w:name w:val="Body Text Indent"/>
    <w:basedOn w:val="Normal"/>
    <w:link w:val="BodyTextIndentChar"/>
    <w:rsid w:val="009A5F9A"/>
    <w:pPr>
      <w:ind w:left="720"/>
      <w:jc w:val="both"/>
    </w:pPr>
    <w:rPr>
      <w:rFonts w:ascii="Arial" w:hAnsi="Arial"/>
      <w:sz w:val="24"/>
    </w:rPr>
  </w:style>
  <w:style w:type="character" w:customStyle="1" w:styleId="BodyTextIndentChar">
    <w:name w:val="Body Text Indent Char"/>
    <w:basedOn w:val="DefaultParagraphFont"/>
    <w:link w:val="BodyTextIndent"/>
    <w:rsid w:val="009A5F9A"/>
    <w:rPr>
      <w:rFonts w:ascii="Arial" w:eastAsia="Times New Roman" w:hAnsi="Arial" w:cs="Times New Roman"/>
      <w:sz w:val="24"/>
      <w:szCs w:val="20"/>
    </w:rPr>
  </w:style>
  <w:style w:type="paragraph" w:styleId="BodyTextIndent2">
    <w:name w:val="Body Text Indent 2"/>
    <w:basedOn w:val="Normal"/>
    <w:link w:val="BodyTextIndent2Char"/>
    <w:rsid w:val="009A5F9A"/>
    <w:pPr>
      <w:ind w:left="720"/>
      <w:jc w:val="both"/>
    </w:pPr>
    <w:rPr>
      <w:rFonts w:ascii="Arial" w:hAnsi="Arial"/>
      <w:sz w:val="22"/>
    </w:rPr>
  </w:style>
  <w:style w:type="character" w:customStyle="1" w:styleId="BodyTextIndent2Char">
    <w:name w:val="Body Text Indent 2 Char"/>
    <w:basedOn w:val="DefaultParagraphFont"/>
    <w:link w:val="BodyTextIndent2"/>
    <w:rsid w:val="009A5F9A"/>
    <w:rPr>
      <w:rFonts w:ascii="Arial" w:eastAsia="Times New Roman" w:hAnsi="Arial" w:cs="Times New Roman"/>
      <w:szCs w:val="20"/>
    </w:rPr>
  </w:style>
  <w:style w:type="paragraph" w:customStyle="1" w:styleId="a">
    <w:name w:val="_"/>
    <w:basedOn w:val="Normal"/>
    <w:rsid w:val="009A5F9A"/>
    <w:pPr>
      <w:widowControl w:val="0"/>
      <w:ind w:left="720" w:hanging="720"/>
    </w:pPr>
    <w:rPr>
      <w:snapToGrid w:val="0"/>
      <w:sz w:val="24"/>
    </w:rPr>
  </w:style>
  <w:style w:type="character" w:styleId="Hyperlink">
    <w:name w:val="Hyperlink"/>
    <w:rsid w:val="009A5F9A"/>
    <w:rPr>
      <w:color w:val="0000FF"/>
      <w:u w:val="single"/>
    </w:rPr>
  </w:style>
  <w:style w:type="table" w:styleId="TableGrid">
    <w:name w:val="Table Grid"/>
    <w:basedOn w:val="TableNormal"/>
    <w:uiPriority w:val="59"/>
    <w:rsid w:val="00B80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01C1"/>
    <w:rPr>
      <w:sz w:val="16"/>
      <w:szCs w:val="16"/>
    </w:rPr>
  </w:style>
  <w:style w:type="paragraph" w:styleId="CommentText">
    <w:name w:val="annotation text"/>
    <w:basedOn w:val="Normal"/>
    <w:link w:val="CommentTextChar"/>
    <w:uiPriority w:val="99"/>
    <w:semiHidden/>
    <w:unhideWhenUsed/>
    <w:rsid w:val="00ED01C1"/>
  </w:style>
  <w:style w:type="character" w:customStyle="1" w:styleId="CommentTextChar">
    <w:name w:val="Comment Text Char"/>
    <w:basedOn w:val="DefaultParagraphFont"/>
    <w:link w:val="CommentText"/>
    <w:uiPriority w:val="99"/>
    <w:semiHidden/>
    <w:rsid w:val="00ED01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01C1"/>
    <w:rPr>
      <w:b/>
      <w:bCs/>
    </w:rPr>
  </w:style>
  <w:style w:type="character" w:customStyle="1" w:styleId="CommentSubjectChar">
    <w:name w:val="Comment Subject Char"/>
    <w:basedOn w:val="CommentTextChar"/>
    <w:link w:val="CommentSubject"/>
    <w:uiPriority w:val="99"/>
    <w:semiHidden/>
    <w:rsid w:val="00ED01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D01C1"/>
    <w:rPr>
      <w:rFonts w:ascii="Tahoma" w:hAnsi="Tahoma" w:cs="Tahoma"/>
      <w:sz w:val="16"/>
      <w:szCs w:val="16"/>
    </w:rPr>
  </w:style>
  <w:style w:type="character" w:customStyle="1" w:styleId="BalloonTextChar">
    <w:name w:val="Balloon Text Char"/>
    <w:basedOn w:val="DefaultParagraphFont"/>
    <w:link w:val="BalloonText"/>
    <w:uiPriority w:val="99"/>
    <w:semiHidden/>
    <w:rsid w:val="00ED01C1"/>
    <w:rPr>
      <w:rFonts w:ascii="Tahoma" w:eastAsia="Times New Roman" w:hAnsi="Tahoma" w:cs="Tahoma"/>
      <w:sz w:val="16"/>
      <w:szCs w:val="16"/>
    </w:rPr>
  </w:style>
  <w:style w:type="paragraph" w:styleId="Revision">
    <w:name w:val="Revision"/>
    <w:hidden/>
    <w:uiPriority w:val="99"/>
    <w:semiHidden/>
    <w:rsid w:val="00BA4B25"/>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F9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A5F9A"/>
    <w:pPr>
      <w:keepNext/>
      <w:tabs>
        <w:tab w:val="left" w:pos="720"/>
      </w:tabs>
      <w:jc w:val="both"/>
      <w:outlineLvl w:val="0"/>
    </w:pPr>
    <w:rPr>
      <w:rFonts w:ascii="Arial" w:hAnsi="Arial"/>
      <w:b/>
      <w:sz w:val="24"/>
    </w:rPr>
  </w:style>
  <w:style w:type="paragraph" w:styleId="Heading7">
    <w:name w:val="heading 7"/>
    <w:basedOn w:val="Normal"/>
    <w:next w:val="Normal"/>
    <w:link w:val="Heading7Char"/>
    <w:qFormat/>
    <w:rsid w:val="009A5F9A"/>
    <w:pPr>
      <w:keepNext/>
      <w:jc w:val="center"/>
      <w:outlineLvl w:val="6"/>
    </w:pPr>
    <w:rPr>
      <w:rFonts w:ascii="Arial" w:hAnsi="Arial"/>
      <w:b/>
      <w:sz w:val="16"/>
    </w:rPr>
  </w:style>
  <w:style w:type="paragraph" w:styleId="Heading9">
    <w:name w:val="heading 9"/>
    <w:basedOn w:val="Normal"/>
    <w:next w:val="Normal"/>
    <w:link w:val="Heading9Char"/>
    <w:qFormat/>
    <w:rsid w:val="009A5F9A"/>
    <w:pPr>
      <w:keepNext/>
      <w:outlineLvl w:val="8"/>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5F9A"/>
    <w:rPr>
      <w:rFonts w:ascii="Arial" w:eastAsia="Times New Roman" w:hAnsi="Arial" w:cs="Times New Roman"/>
      <w:b/>
      <w:sz w:val="24"/>
      <w:szCs w:val="20"/>
    </w:rPr>
  </w:style>
  <w:style w:type="character" w:customStyle="1" w:styleId="Heading7Char">
    <w:name w:val="Heading 7 Char"/>
    <w:basedOn w:val="DefaultParagraphFont"/>
    <w:link w:val="Heading7"/>
    <w:rsid w:val="009A5F9A"/>
    <w:rPr>
      <w:rFonts w:ascii="Arial" w:eastAsia="Times New Roman" w:hAnsi="Arial" w:cs="Times New Roman"/>
      <w:b/>
      <w:sz w:val="16"/>
      <w:szCs w:val="20"/>
    </w:rPr>
  </w:style>
  <w:style w:type="character" w:customStyle="1" w:styleId="Heading9Char">
    <w:name w:val="Heading 9 Char"/>
    <w:basedOn w:val="DefaultParagraphFont"/>
    <w:link w:val="Heading9"/>
    <w:rsid w:val="009A5F9A"/>
    <w:rPr>
      <w:rFonts w:ascii="Arial" w:eastAsia="Times New Roman" w:hAnsi="Arial" w:cs="Times New Roman"/>
      <w:b/>
      <w:sz w:val="16"/>
      <w:szCs w:val="20"/>
    </w:rPr>
  </w:style>
  <w:style w:type="paragraph" w:styleId="Title">
    <w:name w:val="Title"/>
    <w:basedOn w:val="Normal"/>
    <w:link w:val="TitleChar"/>
    <w:qFormat/>
    <w:rsid w:val="009A5F9A"/>
    <w:pPr>
      <w:jc w:val="center"/>
    </w:pPr>
    <w:rPr>
      <w:rFonts w:ascii="Arial" w:hAnsi="Arial"/>
      <w:b/>
      <w:sz w:val="24"/>
    </w:rPr>
  </w:style>
  <w:style w:type="character" w:customStyle="1" w:styleId="TitleChar">
    <w:name w:val="Title Char"/>
    <w:basedOn w:val="DefaultParagraphFont"/>
    <w:link w:val="Title"/>
    <w:rsid w:val="009A5F9A"/>
    <w:rPr>
      <w:rFonts w:ascii="Arial" w:eastAsia="Times New Roman" w:hAnsi="Arial" w:cs="Times New Roman"/>
      <w:b/>
      <w:sz w:val="24"/>
      <w:szCs w:val="20"/>
    </w:rPr>
  </w:style>
  <w:style w:type="paragraph" w:styleId="BodyText">
    <w:name w:val="Body Text"/>
    <w:basedOn w:val="Normal"/>
    <w:link w:val="BodyTextChar"/>
    <w:rsid w:val="009A5F9A"/>
    <w:pPr>
      <w:jc w:val="both"/>
    </w:pPr>
    <w:rPr>
      <w:rFonts w:ascii="Arial" w:hAnsi="Arial"/>
      <w:b/>
    </w:rPr>
  </w:style>
  <w:style w:type="character" w:customStyle="1" w:styleId="BodyTextChar">
    <w:name w:val="Body Text Char"/>
    <w:basedOn w:val="DefaultParagraphFont"/>
    <w:link w:val="BodyText"/>
    <w:rsid w:val="009A5F9A"/>
    <w:rPr>
      <w:rFonts w:ascii="Arial" w:eastAsia="Times New Roman" w:hAnsi="Arial" w:cs="Times New Roman"/>
      <w:b/>
      <w:sz w:val="20"/>
      <w:szCs w:val="20"/>
    </w:rPr>
  </w:style>
  <w:style w:type="paragraph" w:styleId="Footer">
    <w:name w:val="footer"/>
    <w:basedOn w:val="Normal"/>
    <w:link w:val="FooterChar"/>
    <w:rsid w:val="009A5F9A"/>
    <w:pPr>
      <w:tabs>
        <w:tab w:val="center" w:pos="4320"/>
        <w:tab w:val="right" w:pos="8640"/>
      </w:tabs>
    </w:pPr>
  </w:style>
  <w:style w:type="character" w:customStyle="1" w:styleId="FooterChar">
    <w:name w:val="Footer Char"/>
    <w:basedOn w:val="DefaultParagraphFont"/>
    <w:link w:val="Footer"/>
    <w:rsid w:val="009A5F9A"/>
    <w:rPr>
      <w:rFonts w:ascii="Times New Roman" w:eastAsia="Times New Roman" w:hAnsi="Times New Roman" w:cs="Times New Roman"/>
      <w:sz w:val="20"/>
      <w:szCs w:val="20"/>
    </w:rPr>
  </w:style>
  <w:style w:type="character" w:styleId="PageNumber">
    <w:name w:val="page number"/>
    <w:basedOn w:val="DefaultParagraphFont"/>
    <w:rsid w:val="009A5F9A"/>
  </w:style>
  <w:style w:type="paragraph" w:styleId="BodyText2">
    <w:name w:val="Body Text 2"/>
    <w:basedOn w:val="Normal"/>
    <w:link w:val="BodyText2Char"/>
    <w:rsid w:val="009A5F9A"/>
    <w:pPr>
      <w:jc w:val="both"/>
    </w:pPr>
    <w:rPr>
      <w:rFonts w:ascii="Arial" w:hAnsi="Arial"/>
      <w:sz w:val="24"/>
    </w:rPr>
  </w:style>
  <w:style w:type="character" w:customStyle="1" w:styleId="BodyText2Char">
    <w:name w:val="Body Text 2 Char"/>
    <w:basedOn w:val="DefaultParagraphFont"/>
    <w:link w:val="BodyText2"/>
    <w:rsid w:val="009A5F9A"/>
    <w:rPr>
      <w:rFonts w:ascii="Arial" w:eastAsia="Times New Roman" w:hAnsi="Arial" w:cs="Times New Roman"/>
      <w:sz w:val="24"/>
      <w:szCs w:val="20"/>
    </w:rPr>
  </w:style>
  <w:style w:type="paragraph" w:styleId="BodyTextIndent">
    <w:name w:val="Body Text Indent"/>
    <w:basedOn w:val="Normal"/>
    <w:link w:val="BodyTextIndentChar"/>
    <w:rsid w:val="009A5F9A"/>
    <w:pPr>
      <w:ind w:left="720"/>
      <w:jc w:val="both"/>
    </w:pPr>
    <w:rPr>
      <w:rFonts w:ascii="Arial" w:hAnsi="Arial"/>
      <w:sz w:val="24"/>
    </w:rPr>
  </w:style>
  <w:style w:type="character" w:customStyle="1" w:styleId="BodyTextIndentChar">
    <w:name w:val="Body Text Indent Char"/>
    <w:basedOn w:val="DefaultParagraphFont"/>
    <w:link w:val="BodyTextIndent"/>
    <w:rsid w:val="009A5F9A"/>
    <w:rPr>
      <w:rFonts w:ascii="Arial" w:eastAsia="Times New Roman" w:hAnsi="Arial" w:cs="Times New Roman"/>
      <w:sz w:val="24"/>
      <w:szCs w:val="20"/>
    </w:rPr>
  </w:style>
  <w:style w:type="paragraph" w:styleId="BodyTextIndent2">
    <w:name w:val="Body Text Indent 2"/>
    <w:basedOn w:val="Normal"/>
    <w:link w:val="BodyTextIndent2Char"/>
    <w:rsid w:val="009A5F9A"/>
    <w:pPr>
      <w:ind w:left="720"/>
      <w:jc w:val="both"/>
    </w:pPr>
    <w:rPr>
      <w:rFonts w:ascii="Arial" w:hAnsi="Arial"/>
      <w:sz w:val="22"/>
    </w:rPr>
  </w:style>
  <w:style w:type="character" w:customStyle="1" w:styleId="BodyTextIndent2Char">
    <w:name w:val="Body Text Indent 2 Char"/>
    <w:basedOn w:val="DefaultParagraphFont"/>
    <w:link w:val="BodyTextIndent2"/>
    <w:rsid w:val="009A5F9A"/>
    <w:rPr>
      <w:rFonts w:ascii="Arial" w:eastAsia="Times New Roman" w:hAnsi="Arial" w:cs="Times New Roman"/>
      <w:szCs w:val="20"/>
    </w:rPr>
  </w:style>
  <w:style w:type="paragraph" w:customStyle="1" w:styleId="a">
    <w:name w:val="_"/>
    <w:basedOn w:val="Normal"/>
    <w:rsid w:val="009A5F9A"/>
    <w:pPr>
      <w:widowControl w:val="0"/>
      <w:ind w:left="720" w:hanging="720"/>
    </w:pPr>
    <w:rPr>
      <w:snapToGrid w:val="0"/>
      <w:sz w:val="24"/>
    </w:rPr>
  </w:style>
  <w:style w:type="character" w:styleId="Hyperlink">
    <w:name w:val="Hyperlink"/>
    <w:rsid w:val="009A5F9A"/>
    <w:rPr>
      <w:color w:val="0000FF"/>
      <w:u w:val="single"/>
    </w:rPr>
  </w:style>
  <w:style w:type="table" w:styleId="TableGrid">
    <w:name w:val="Table Grid"/>
    <w:basedOn w:val="TableNormal"/>
    <w:uiPriority w:val="59"/>
    <w:rsid w:val="00B80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01C1"/>
    <w:rPr>
      <w:sz w:val="16"/>
      <w:szCs w:val="16"/>
    </w:rPr>
  </w:style>
  <w:style w:type="paragraph" w:styleId="CommentText">
    <w:name w:val="annotation text"/>
    <w:basedOn w:val="Normal"/>
    <w:link w:val="CommentTextChar"/>
    <w:uiPriority w:val="99"/>
    <w:semiHidden/>
    <w:unhideWhenUsed/>
    <w:rsid w:val="00ED01C1"/>
  </w:style>
  <w:style w:type="character" w:customStyle="1" w:styleId="CommentTextChar">
    <w:name w:val="Comment Text Char"/>
    <w:basedOn w:val="DefaultParagraphFont"/>
    <w:link w:val="CommentText"/>
    <w:uiPriority w:val="99"/>
    <w:semiHidden/>
    <w:rsid w:val="00ED01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01C1"/>
    <w:rPr>
      <w:b/>
      <w:bCs/>
    </w:rPr>
  </w:style>
  <w:style w:type="character" w:customStyle="1" w:styleId="CommentSubjectChar">
    <w:name w:val="Comment Subject Char"/>
    <w:basedOn w:val="CommentTextChar"/>
    <w:link w:val="CommentSubject"/>
    <w:uiPriority w:val="99"/>
    <w:semiHidden/>
    <w:rsid w:val="00ED01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D01C1"/>
    <w:rPr>
      <w:rFonts w:ascii="Tahoma" w:hAnsi="Tahoma" w:cs="Tahoma"/>
      <w:sz w:val="16"/>
      <w:szCs w:val="16"/>
    </w:rPr>
  </w:style>
  <w:style w:type="character" w:customStyle="1" w:styleId="BalloonTextChar">
    <w:name w:val="Balloon Text Char"/>
    <w:basedOn w:val="DefaultParagraphFont"/>
    <w:link w:val="BalloonText"/>
    <w:uiPriority w:val="99"/>
    <w:semiHidden/>
    <w:rsid w:val="00ED01C1"/>
    <w:rPr>
      <w:rFonts w:ascii="Tahoma" w:eastAsia="Times New Roman" w:hAnsi="Tahoma" w:cs="Tahoma"/>
      <w:sz w:val="16"/>
      <w:szCs w:val="16"/>
    </w:rPr>
  </w:style>
  <w:style w:type="paragraph" w:styleId="Revision">
    <w:name w:val="Revision"/>
    <w:hidden/>
    <w:uiPriority w:val="99"/>
    <w:semiHidden/>
    <w:rsid w:val="00BA4B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35815">
      <w:bodyDiv w:val="1"/>
      <w:marLeft w:val="0"/>
      <w:marRight w:val="0"/>
      <w:marTop w:val="0"/>
      <w:marBottom w:val="0"/>
      <w:divBdr>
        <w:top w:val="none" w:sz="0" w:space="0" w:color="auto"/>
        <w:left w:val="none" w:sz="0" w:space="0" w:color="auto"/>
        <w:bottom w:val="none" w:sz="0" w:space="0" w:color="auto"/>
        <w:right w:val="none" w:sz="0" w:space="0" w:color="auto"/>
      </w:divBdr>
    </w:div>
    <w:div w:id="333192565">
      <w:bodyDiv w:val="1"/>
      <w:marLeft w:val="0"/>
      <w:marRight w:val="0"/>
      <w:marTop w:val="0"/>
      <w:marBottom w:val="0"/>
      <w:divBdr>
        <w:top w:val="none" w:sz="0" w:space="0" w:color="auto"/>
        <w:left w:val="none" w:sz="0" w:space="0" w:color="auto"/>
        <w:bottom w:val="none" w:sz="0" w:space="0" w:color="auto"/>
        <w:right w:val="none" w:sz="0" w:space="0" w:color="auto"/>
      </w:divBdr>
    </w:div>
    <w:div w:id="364672320">
      <w:bodyDiv w:val="1"/>
      <w:marLeft w:val="0"/>
      <w:marRight w:val="0"/>
      <w:marTop w:val="0"/>
      <w:marBottom w:val="0"/>
      <w:divBdr>
        <w:top w:val="none" w:sz="0" w:space="0" w:color="auto"/>
        <w:left w:val="none" w:sz="0" w:space="0" w:color="auto"/>
        <w:bottom w:val="none" w:sz="0" w:space="0" w:color="auto"/>
        <w:right w:val="none" w:sz="0" w:space="0" w:color="auto"/>
      </w:divBdr>
    </w:div>
    <w:div w:id="1219975400">
      <w:bodyDiv w:val="1"/>
      <w:marLeft w:val="0"/>
      <w:marRight w:val="0"/>
      <w:marTop w:val="0"/>
      <w:marBottom w:val="0"/>
      <w:divBdr>
        <w:top w:val="none" w:sz="0" w:space="0" w:color="auto"/>
        <w:left w:val="none" w:sz="0" w:space="0" w:color="auto"/>
        <w:bottom w:val="none" w:sz="0" w:space="0" w:color="auto"/>
        <w:right w:val="none" w:sz="0" w:space="0" w:color="auto"/>
      </w:divBdr>
    </w:div>
    <w:div w:id="1266763283">
      <w:bodyDiv w:val="1"/>
      <w:marLeft w:val="0"/>
      <w:marRight w:val="0"/>
      <w:marTop w:val="0"/>
      <w:marBottom w:val="0"/>
      <w:divBdr>
        <w:top w:val="none" w:sz="0" w:space="0" w:color="auto"/>
        <w:left w:val="none" w:sz="0" w:space="0" w:color="auto"/>
        <w:bottom w:val="none" w:sz="0" w:space="0" w:color="auto"/>
        <w:right w:val="none" w:sz="0" w:space="0" w:color="auto"/>
      </w:divBdr>
    </w:div>
    <w:div w:id="1322194324">
      <w:bodyDiv w:val="1"/>
      <w:marLeft w:val="0"/>
      <w:marRight w:val="0"/>
      <w:marTop w:val="0"/>
      <w:marBottom w:val="0"/>
      <w:divBdr>
        <w:top w:val="none" w:sz="0" w:space="0" w:color="auto"/>
        <w:left w:val="none" w:sz="0" w:space="0" w:color="auto"/>
        <w:bottom w:val="none" w:sz="0" w:space="0" w:color="auto"/>
        <w:right w:val="none" w:sz="0" w:space="0" w:color="auto"/>
      </w:divBdr>
    </w:div>
    <w:div w:id="1339429608">
      <w:bodyDiv w:val="1"/>
      <w:marLeft w:val="0"/>
      <w:marRight w:val="0"/>
      <w:marTop w:val="0"/>
      <w:marBottom w:val="0"/>
      <w:divBdr>
        <w:top w:val="none" w:sz="0" w:space="0" w:color="auto"/>
        <w:left w:val="none" w:sz="0" w:space="0" w:color="auto"/>
        <w:bottom w:val="none" w:sz="0" w:space="0" w:color="auto"/>
        <w:right w:val="none" w:sz="0" w:space="0" w:color="auto"/>
      </w:divBdr>
    </w:div>
    <w:div w:id="14618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51" ma:contentTypeDescription="Create a new document." ma:contentTypeScope="" ma:versionID="a9271e72e4ef7eed337bf4a86aae5ba9">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315df0cef31942a031a03629446099c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ma:readOnly="false">
      <xsd:simpleType>
        <xsd:restriction base="dms:Choice">
          <xsd:enumeration value="Renewal"/>
          <xsd:enumeration value="Regular"/>
          <xsd:enumeration value="Rule Making"/>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hidden="true" ma:internalName="Year" ma:readOnly="false">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internalName="Offic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internalName="Business_x0020_Unit">
      <xsd:simpleType>
        <xsd:restriction base="dms:Text">
          <xsd:maxLength value="255"/>
        </xsd:restriction>
      </xsd:simpleType>
    </xsd:element>
    <xsd:element name="Expiration_x0020_Date0" ma:index="18" nillable="true" ma:displayName="Expiration Date" ma:format="DateOnly" ma:internalName="Expiration_x0020_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Yes</Approved_x0020_by_x0020_Business_x0020_Area>
    <Year xmlns="E85DE8A9-5CD3-41FE-A1A0-70BC17107555">2015</Year>
    <Collection_x0020_Number xmlns="E85DE8A9-5CD3-41FE-A1A0-70BC17107555">0651-0071</Collection_x0020_Number>
    <Office xmlns="e85de8a9-5cd3-41fe-a1a0-70bc17107555" xsi:nil="true"/>
    <Business_x0020_Unit xmlns="e85de8a9-5cd3-41fe-a1a0-70bc17107555" xsi:nil="true"/>
    <Expiration_x0020_Date0 xmlns="e85de8a9-5cd3-41fe-a1a0-70bc17107555" xsi:nil="true"/>
  </documentManagement>
</p:properties>
</file>

<file path=customXml/itemProps1.xml><?xml version="1.0" encoding="utf-8"?>
<ds:datastoreItem xmlns:ds="http://schemas.openxmlformats.org/officeDocument/2006/customXml" ds:itemID="{695A2810-C6BE-4F4B-A5A4-497A2008A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47272-EED5-4D11-830D-4D565C2D2E9B}">
  <ds:schemaRefs>
    <ds:schemaRef ds:uri="http://schemas.microsoft.com/sharepoint/v3/contenttype/forms"/>
  </ds:schemaRefs>
</ds:datastoreItem>
</file>

<file path=customXml/itemProps3.xml><?xml version="1.0" encoding="utf-8"?>
<ds:datastoreItem xmlns:ds="http://schemas.openxmlformats.org/officeDocument/2006/customXml" ds:itemID="{34E0BD9E-D68A-4447-AFB0-CA2DFB97A4E0}">
  <ds:schemaRefs>
    <ds:schemaRef ds:uri="E85DE8A9-5CD3-41FE-A1A0-70BC17107555"/>
    <ds:schemaRef ds:uri="http://purl.org/dc/terms/"/>
    <ds:schemaRef ds:uri="http://schemas.microsoft.com/office/2006/documentManagement/types"/>
    <ds:schemaRef ds:uri="http://purl.org/dc/elements/1.1/"/>
    <ds:schemaRef ds:uri="e85de8a9-5cd3-41fe-a1a0-70bc17107555"/>
    <ds:schemaRef ds:uri="http://purl.org/dc/dcmitype/"/>
    <ds:schemaRef ds:uri="http://schemas.microsoft.com/office/infopath/2007/PartnerControls"/>
    <ds:schemaRef ds:uri="http://schemas.openxmlformats.org/package/2006/metadata/core-properties"/>
    <ds:schemaRef ds:uri="http://www.w3.org/XML/1998/namespace"/>
    <ds:schemaRef ds:uri="5dfc53cf-7c17-4489-98ab-5f87c96333b9"/>
    <ds:schemaRef ds:uri="5DFC53CF-7C17-4489-98AB-5F87C96333B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3578</Words>
  <Characters>20396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Patent and Trademark Office</Company>
  <LinksUpToDate>false</LinksUpToDate>
  <CharactersWithSpaces>23927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USPTO</dc:creator>
  <cp:lastModifiedBy>Hall, Drew (AMBIT)</cp:lastModifiedBy>
  <cp:revision>2</cp:revision>
  <dcterms:created xsi:type="dcterms:W3CDTF">2015-09-18T19:00:00Z</dcterms:created>
  <dcterms:modified xsi:type="dcterms:W3CDTF">2015-09-18T19:00:00Z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