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3D923683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3A5294">
        <w:rPr>
          <w:sz w:val="28"/>
        </w:rPr>
        <w:t>0651-0080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08EC8575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1243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833E99">
        <w:t xml:space="preserve">USPTO </w:t>
      </w:r>
      <w:r w:rsidR="00F71110">
        <w:t xml:space="preserve">Patents Recruitment </w:t>
      </w:r>
      <w:r w:rsidR="00E80001">
        <w:t xml:space="preserve">Winter </w:t>
      </w:r>
      <w:r w:rsidR="00833E99">
        <w:t>Outreach Events</w:t>
      </w:r>
    </w:p>
    <w:p w14:paraId="69BB519F" w14:textId="77777777" w:rsidR="00794475" w:rsidRDefault="00794475"/>
    <w:p w14:paraId="3267F1B9" w14:textId="72DFA5E7" w:rsidR="00833E99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04748B">
        <w:t xml:space="preserve">The </w:t>
      </w:r>
      <w:r w:rsidR="00833E99">
        <w:t xml:space="preserve">purpose of this ongoing, nationwide outreach program is to build awareness of </w:t>
      </w:r>
      <w:r w:rsidR="00680CA9">
        <w:t xml:space="preserve">available job opportunities, </w:t>
      </w:r>
      <w:r w:rsidR="00764B08">
        <w:t xml:space="preserve">to </w:t>
      </w:r>
      <w:r w:rsidR="00680CA9">
        <w:t xml:space="preserve">shape positive </w:t>
      </w:r>
      <w:r w:rsidR="00833E99">
        <w:t>perceptions about USPTO as a top employer of choice</w:t>
      </w:r>
      <w:r w:rsidR="00764B08">
        <w:t>, and</w:t>
      </w:r>
      <w:r w:rsidR="00680CA9">
        <w:t xml:space="preserve"> </w:t>
      </w:r>
      <w:r w:rsidR="00764B08">
        <w:t xml:space="preserve">to </w:t>
      </w:r>
      <w:r w:rsidR="00680CA9">
        <w:t>convert event attendees into applicants</w:t>
      </w:r>
      <w:r w:rsidR="00833E99">
        <w:t xml:space="preserve">.  </w:t>
      </w:r>
    </w:p>
    <w:p w14:paraId="59B60F32" w14:textId="77777777" w:rsidR="00F86C09" w:rsidRDefault="00F86C09"/>
    <w:p w14:paraId="544289DF" w14:textId="7FD0006E" w:rsidR="00C91705" w:rsidRPr="00C91705" w:rsidRDefault="00C91705" w:rsidP="00C91705">
      <w:r>
        <w:t>T</w:t>
      </w:r>
      <w:r w:rsidRPr="00C91705">
        <w:t xml:space="preserve">he Office of Human Resources’ (OHR) Marketing and Communications team has developed a general survey to: </w:t>
      </w:r>
    </w:p>
    <w:p w14:paraId="17B003C9" w14:textId="77777777" w:rsidR="00C91705" w:rsidRPr="00C91705" w:rsidRDefault="00C91705" w:rsidP="00C91705">
      <w:pPr>
        <w:numPr>
          <w:ilvl w:val="0"/>
          <w:numId w:val="21"/>
        </w:numPr>
      </w:pPr>
      <w:r w:rsidRPr="00C91705">
        <w:t xml:space="preserve">determine the quality of information provided at recruitment events, </w:t>
      </w:r>
    </w:p>
    <w:p w14:paraId="568DEC57" w14:textId="77777777" w:rsidR="00C91705" w:rsidRPr="00C91705" w:rsidRDefault="00C91705" w:rsidP="00C91705">
      <w:pPr>
        <w:numPr>
          <w:ilvl w:val="0"/>
          <w:numId w:val="21"/>
        </w:numPr>
      </w:pPr>
      <w:r w:rsidRPr="00C91705">
        <w:t xml:space="preserve">gauge the level of interest and likelihood to apply to open vacancies, and </w:t>
      </w:r>
    </w:p>
    <w:p w14:paraId="4A3565C7" w14:textId="57320BA7" w:rsidR="00C91705" w:rsidRDefault="00C91705" w:rsidP="00C91705">
      <w:pPr>
        <w:numPr>
          <w:ilvl w:val="0"/>
          <w:numId w:val="21"/>
        </w:numPr>
      </w:pPr>
      <w:r w:rsidRPr="00C91705">
        <w:t>determine the likelihood of attendees participating in and/or recommending USPTO events in the future.</w:t>
      </w:r>
    </w:p>
    <w:p w14:paraId="583794B6" w14:textId="12A6F4F7" w:rsidR="00764B08" w:rsidRDefault="002E1E01">
      <w:r>
        <w:br/>
      </w:r>
      <w:r w:rsidR="00C91705">
        <w:t>R</w:t>
      </w:r>
      <w:r>
        <w:t>ecruitment events vary by type and location</w:t>
      </w:r>
      <w:r w:rsidR="00C91705">
        <w:t>, and therfore</w:t>
      </w:r>
      <w:r>
        <w:t xml:space="preserve"> questions in the General survey</w:t>
      </w:r>
      <w:r w:rsidR="00C91705">
        <w:t xml:space="preserve"> will</w:t>
      </w:r>
      <w:r>
        <w:t xml:space="preserve"> be high level, while answer options will be more specific to help the OHR Marketing team correctly filter and analyze event responses according to outreach plans. </w:t>
      </w:r>
    </w:p>
    <w:p w14:paraId="74C89A9D" w14:textId="77777777" w:rsidR="00E80001" w:rsidRDefault="00E80001"/>
    <w:p w14:paraId="4EE07351" w14:textId="668F0083" w:rsidR="00E80001" w:rsidRDefault="00E80001">
      <w:r>
        <w:t xml:space="preserve">This particular survey is targeted at attendees at recent winter/spring outreach events that occurred in 2016.  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68B0EF92" w:rsidR="00794475" w:rsidRPr="00A74CEB" w:rsidRDefault="00F71110">
      <w:r>
        <w:t xml:space="preserve">Respondents will be </w:t>
      </w:r>
      <w:r w:rsidR="00EB5506">
        <w:t>limited</w:t>
      </w:r>
      <w:r>
        <w:t xml:space="preserve"> to </w:t>
      </w:r>
      <w:r w:rsidR="00344FD4">
        <w:t xml:space="preserve">attendees of the </w:t>
      </w:r>
      <w:r w:rsidR="00764B08">
        <w:t>events</w:t>
      </w:r>
      <w:r w:rsidR="00344FD4">
        <w:t xml:space="preserve"> </w:t>
      </w:r>
      <w:r w:rsidR="00EB5506">
        <w:t xml:space="preserve">who are interested in USPTO careers, </w:t>
      </w:r>
      <w:r w:rsidR="00891C39">
        <w:t>partnership with USPTO to host future recruitment events, and or those who simply want to</w:t>
      </w:r>
      <w:r w:rsidR="00EB5506">
        <w:t xml:space="preserve"> seek</w:t>
      </w:r>
      <w:r w:rsidR="00891C39">
        <w:t xml:space="preserve"> more detailed information</w:t>
      </w:r>
      <w:r w:rsidR="00EB5506">
        <w:t xml:space="preserve"> about the Agency.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2B2C5661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021A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3AF32858" w:rsidR="00A74CEB" w:rsidRPr="000A1A93" w:rsidRDefault="00A74CEB" w:rsidP="00A74CEB">
      <w:pPr>
        <w:rPr>
          <w:u w:val="single"/>
        </w:rPr>
      </w:pPr>
      <w:r w:rsidRPr="000A1A93">
        <w:lastRenderedPageBreak/>
        <w:t xml:space="preserve">Business Unit: </w:t>
      </w:r>
      <w:r w:rsidR="00B92CD3" w:rsidRPr="00B92CD3">
        <w:rPr>
          <w:u w:val="single"/>
        </w:rPr>
        <w:t xml:space="preserve">    </w:t>
      </w:r>
      <w:r w:rsidR="006504AC">
        <w:rPr>
          <w:u w:val="single"/>
        </w:rPr>
        <w:t>/</w:t>
      </w:r>
      <w:r w:rsidR="001B199E" w:rsidRPr="00B92CD3">
        <w:rPr>
          <w:u w:val="single"/>
        </w:rPr>
        <w:t>OHR</w:t>
      </w:r>
      <w:r w:rsidR="00BF46EA" w:rsidRPr="00B92CD3">
        <w:rPr>
          <w:u w:val="single"/>
        </w:rPr>
        <w:t xml:space="preserve">  </w:t>
      </w:r>
      <w:r w:rsidR="001B199E" w:rsidRPr="00B92CD3">
        <w:rPr>
          <w:u w:val="single"/>
        </w:rPr>
        <w:t>Sharon C. Grevious</w:t>
      </w:r>
      <w:r w:rsidR="006504AC">
        <w:rPr>
          <w:u w:val="single"/>
        </w:rPr>
        <w:t>/</w:t>
      </w:r>
      <w:r w:rsidR="001B199E" w:rsidRPr="00B92CD3">
        <w:rPr>
          <w:u w:val="single"/>
        </w:rPr>
        <w:t xml:space="preserve">, Marketing and Communication Advisor 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5575B217" w14:textId="118DBEA3" w:rsidR="00A74CEB" w:rsidRPr="000A1A93" w:rsidRDefault="00A74CEB" w:rsidP="00A74CEB">
      <w:r>
        <w:t>OCIO</w:t>
      </w:r>
      <w:r w:rsidRPr="000A1A93">
        <w:t>:__________________________________</w:t>
      </w:r>
    </w:p>
    <w:p w14:paraId="1F3E05EF" w14:textId="77777777" w:rsidR="00A74CEB" w:rsidRPr="000A1A93" w:rsidRDefault="00A74CEB" w:rsidP="00A74CEB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3D49B9D3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021A5">
        <w:t>x</w:t>
      </w:r>
      <w:r>
        <w:t xml:space="preserve">]  No </w:t>
      </w:r>
    </w:p>
    <w:p w14:paraId="69BB51C6" w14:textId="542CE21C" w:rsidR="00794475" w:rsidRDefault="00794475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</w:t>
      </w:r>
      <w:r w:rsidR="00934F54">
        <w:t>ivacy Act of 1974?   [  ] Yes [</w:t>
      </w:r>
      <w:r w:rsidR="003021A5">
        <w:t>x</w:t>
      </w:r>
      <w:r>
        <w:t xml:space="preserve">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D5F91A9" w14:textId="77777777" w:rsidR="006504AC" w:rsidRDefault="006504AC" w:rsidP="006504AC">
      <w:pPr>
        <w:pStyle w:val="ListParagraph"/>
        <w:ind w:left="360"/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A91406E" w14:textId="77777777" w:rsidR="0004748B" w:rsidRDefault="00794475">
      <w:r>
        <w:t>Is an incentive (e.g., money or reimbursement of expenses, token of appreciation) provided to participants?  [  ] Yes [</w:t>
      </w:r>
      <w:r w:rsidR="003021A5">
        <w:t>x</w:t>
      </w:r>
      <w:r>
        <w:t>] No</w:t>
      </w:r>
    </w:p>
    <w:p w14:paraId="69BB51CC" w14:textId="51618923" w:rsidR="00794475" w:rsidRPr="00EB5506" w:rsidRDefault="00794475">
      <w:r>
        <w:t xml:space="preserve">  </w:t>
      </w:r>
    </w:p>
    <w:p w14:paraId="69BB51CF" w14:textId="25D6E101" w:rsidR="00794475" w:rsidRPr="0004748B" w:rsidRDefault="00794475" w:rsidP="0004748B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01E1C7C4" w:rsidR="00794475" w:rsidRPr="00A74CEB" w:rsidRDefault="002E1E01" w:rsidP="00EC29ED">
            <w:r>
              <w:t>Recruitment Event</w:t>
            </w:r>
            <w:r w:rsidR="00674B0B">
              <w:t xml:space="preserve"> </w:t>
            </w:r>
            <w:r>
              <w:t xml:space="preserve">Satisfcation </w:t>
            </w:r>
            <w:r w:rsidR="00674B0B">
              <w:t>Survey</w:t>
            </w:r>
          </w:p>
        </w:tc>
        <w:tc>
          <w:tcPr>
            <w:tcW w:w="1530" w:type="dxa"/>
          </w:tcPr>
          <w:p w14:paraId="69BB51D6" w14:textId="404895FD" w:rsidR="00794475" w:rsidRPr="00A74CEB" w:rsidRDefault="00EB5506" w:rsidP="00843796">
            <w:r>
              <w:t>90</w:t>
            </w:r>
          </w:p>
        </w:tc>
        <w:tc>
          <w:tcPr>
            <w:tcW w:w="1620" w:type="dxa"/>
          </w:tcPr>
          <w:p w14:paraId="69BB51D7" w14:textId="3BAED311" w:rsidR="00281903" w:rsidRPr="00A74CEB" w:rsidRDefault="00EB5506" w:rsidP="002742DA">
            <w:r>
              <w:t>10 mins (.17 hours)</w:t>
            </w:r>
          </w:p>
        </w:tc>
        <w:tc>
          <w:tcPr>
            <w:tcW w:w="1170" w:type="dxa"/>
          </w:tcPr>
          <w:p w14:paraId="69BB51D8" w14:textId="3CE409F1" w:rsidR="00794475" w:rsidRPr="00A74CEB" w:rsidRDefault="00EB5506" w:rsidP="00C24724">
            <w:r>
              <w:t>15 hours</w:t>
            </w:r>
          </w:p>
        </w:tc>
      </w:tr>
      <w:tr w:rsidR="00674B0B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4DB94FAB" w:rsidR="00674B0B" w:rsidRPr="00A74CEB" w:rsidRDefault="00674B0B" w:rsidP="00843796">
            <w:r>
              <w:t>Info Session</w:t>
            </w:r>
            <w:r w:rsidR="002E1E01">
              <w:t xml:space="preserve"> and/or Meet &amp; Greet</w:t>
            </w:r>
          </w:p>
        </w:tc>
        <w:tc>
          <w:tcPr>
            <w:tcW w:w="1530" w:type="dxa"/>
          </w:tcPr>
          <w:p w14:paraId="69BB51DB" w14:textId="749BF954" w:rsidR="00674B0B" w:rsidRPr="00A74CEB" w:rsidRDefault="00674B0B" w:rsidP="00843796">
            <w:r>
              <w:t>90</w:t>
            </w:r>
          </w:p>
        </w:tc>
        <w:tc>
          <w:tcPr>
            <w:tcW w:w="1620" w:type="dxa"/>
          </w:tcPr>
          <w:p w14:paraId="69BB51DC" w14:textId="47C6DF77" w:rsidR="00674B0B" w:rsidRPr="00A74CEB" w:rsidRDefault="00674B0B" w:rsidP="00843796">
            <w:r>
              <w:t>10 mins (.17 hours)</w:t>
            </w:r>
          </w:p>
        </w:tc>
        <w:tc>
          <w:tcPr>
            <w:tcW w:w="1170" w:type="dxa"/>
          </w:tcPr>
          <w:p w14:paraId="69BB51DD" w14:textId="3377AA21" w:rsidR="00674B0B" w:rsidRPr="00A74CEB" w:rsidRDefault="00674B0B" w:rsidP="00843796">
            <w:r>
              <w:t>15 hours</w:t>
            </w:r>
          </w:p>
        </w:tc>
      </w:tr>
      <w:tr w:rsidR="00BF46EA" w:rsidRPr="00A74CEB" w14:paraId="1D0F7FB6" w14:textId="77777777" w:rsidTr="00281903">
        <w:trPr>
          <w:trHeight w:val="274"/>
        </w:trPr>
        <w:tc>
          <w:tcPr>
            <w:tcW w:w="5418" w:type="dxa"/>
          </w:tcPr>
          <w:p w14:paraId="4CEB6E6B" w14:textId="24D1060C" w:rsidR="00BF46EA" w:rsidRDefault="002E1E01" w:rsidP="00843796">
            <w:r>
              <w:t>Recruitment Event</w:t>
            </w:r>
            <w:r w:rsidR="00BF46EA">
              <w:t xml:space="preserve"> Registration</w:t>
            </w:r>
          </w:p>
        </w:tc>
        <w:tc>
          <w:tcPr>
            <w:tcW w:w="1530" w:type="dxa"/>
          </w:tcPr>
          <w:p w14:paraId="7EF7D017" w14:textId="3FC93E65" w:rsidR="00BF46EA" w:rsidRDefault="00BF46EA" w:rsidP="00843796">
            <w:r>
              <w:t>90</w:t>
            </w:r>
          </w:p>
        </w:tc>
        <w:tc>
          <w:tcPr>
            <w:tcW w:w="1620" w:type="dxa"/>
          </w:tcPr>
          <w:p w14:paraId="03F6FEAA" w14:textId="266B8C20" w:rsidR="00BF46EA" w:rsidRDefault="00BF46EA" w:rsidP="00843796">
            <w:r>
              <w:t>5 mins (.08 hours)</w:t>
            </w:r>
          </w:p>
        </w:tc>
        <w:tc>
          <w:tcPr>
            <w:tcW w:w="1170" w:type="dxa"/>
          </w:tcPr>
          <w:p w14:paraId="3594806C" w14:textId="0DE87771" w:rsidR="00BF46EA" w:rsidRDefault="00BF46EA" w:rsidP="00843796">
            <w:r>
              <w:t>7.5 hours</w:t>
            </w:r>
          </w:p>
        </w:tc>
      </w:tr>
      <w:tr w:rsidR="00BF46EA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BF46EA" w:rsidRPr="00A74CEB" w:rsidRDefault="00BF46EA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0F8A69CD" w:rsidR="00BF46EA" w:rsidRPr="00EB5506" w:rsidRDefault="002E1E01" w:rsidP="00C24724">
            <w:pPr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1620" w:type="dxa"/>
          </w:tcPr>
          <w:p w14:paraId="69BB51E1" w14:textId="77777777" w:rsidR="00BF46EA" w:rsidRPr="00A74CEB" w:rsidRDefault="00BF46EA" w:rsidP="00843796"/>
        </w:tc>
        <w:tc>
          <w:tcPr>
            <w:tcW w:w="1170" w:type="dxa"/>
          </w:tcPr>
          <w:p w14:paraId="69BB51E2" w14:textId="4EF8B30D" w:rsidR="00BF46EA" w:rsidRPr="00A74CEB" w:rsidRDefault="002E1E01" w:rsidP="00C24724">
            <w:pPr>
              <w:rPr>
                <w:b/>
              </w:rPr>
            </w:pPr>
            <w:r>
              <w:rPr>
                <w:b/>
              </w:rPr>
              <w:t>37.5</w:t>
            </w:r>
            <w:r w:rsidR="00BF46EA">
              <w:rPr>
                <w:b/>
              </w:rPr>
              <w:t xml:space="preserve"> </w:t>
            </w:r>
            <w:r w:rsidR="00BF46EA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4C0996F1" w:rsidR="00281903" w:rsidRPr="00A74CEB" w:rsidRDefault="00281903" w:rsidP="00F3170F">
      <w:r w:rsidRPr="00A74CEB">
        <w:t xml:space="preserve">The USPTO estimates that </w:t>
      </w:r>
      <w:r w:rsidR="00692DCD">
        <w:t>100</w:t>
      </w:r>
      <w:r w:rsidRPr="00A74CEB">
        <w:t>% of the surveys will be submitted electronically</w:t>
      </w:r>
      <w:r w:rsidR="002E1E01">
        <w:t>.</w:t>
      </w:r>
    </w:p>
    <w:p w14:paraId="69BB51E5" w14:textId="77777777" w:rsidR="00794475" w:rsidRPr="00A74CEB" w:rsidRDefault="00794475" w:rsidP="00F3170F"/>
    <w:p w14:paraId="4CE170D5" w14:textId="19229845" w:rsidR="00692DCD" w:rsidRDefault="00794475"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692DCD">
        <w:t>58.28</w:t>
      </w:r>
      <w:r w:rsidR="003F7636" w:rsidRPr="00A74CEB">
        <w:t xml:space="preserve"> per hour for a GS-</w:t>
      </w:r>
      <w:r w:rsidR="00692DCD">
        <w:t>14</w:t>
      </w:r>
      <w:r w:rsidR="003F7636" w:rsidRPr="00A74CEB">
        <w:t xml:space="preserve"> step </w:t>
      </w:r>
      <w:r w:rsidR="00692DCD">
        <w:t>5</w:t>
      </w:r>
      <w:r w:rsidR="003F7636" w:rsidRPr="00A74CEB">
        <w:t xml:space="preserve"> + </w:t>
      </w:r>
      <w:r w:rsidR="00692DCD">
        <w:t>$17.48</w:t>
      </w:r>
      <w:r w:rsidR="003F7636" w:rsidRPr="00A74CEB">
        <w:t xml:space="preserve"> (30%) * </w:t>
      </w:r>
      <w:r w:rsidR="00182C07">
        <w:t>18</w:t>
      </w:r>
      <w:r w:rsidR="00BF46EA">
        <w:t>.</w:t>
      </w:r>
      <w:r w:rsidR="00182C07">
        <w:t>7</w:t>
      </w:r>
      <w:r w:rsidR="00BF46EA">
        <w:t xml:space="preserve">5 </w:t>
      </w:r>
      <w:r w:rsidR="00692DCD">
        <w:t>hours.</w:t>
      </w:r>
    </w:p>
    <w:p w14:paraId="3FC70E15" w14:textId="05E7D229" w:rsidR="005566BB" w:rsidRPr="00A74CEB" w:rsidRDefault="003F7636">
      <w:pPr>
        <w:rPr>
          <w:b/>
        </w:rPr>
      </w:pPr>
      <w:r w:rsidRPr="00A74CEB">
        <w:t>$</w:t>
      </w:r>
      <w:r w:rsidR="00692DCD">
        <w:t>75.76</w:t>
      </w:r>
      <w:r w:rsidRPr="00A74CEB">
        <w:t xml:space="preserve"> * </w:t>
      </w:r>
      <w:r w:rsidR="00182C07">
        <w:t>18</w:t>
      </w:r>
      <w:r w:rsidR="00BF46EA">
        <w:t>.</w:t>
      </w:r>
      <w:r w:rsidR="00182C07">
        <w:t>7</w:t>
      </w:r>
      <w:r w:rsidR="00BF46EA">
        <w:t>5</w:t>
      </w:r>
      <w:r w:rsidR="00BF46EA" w:rsidRPr="00A74CEB">
        <w:t xml:space="preserve"> </w:t>
      </w:r>
      <w:r w:rsidRPr="00A74CEB">
        <w:t xml:space="preserve">hours = </w:t>
      </w:r>
      <w:r w:rsidRPr="00A74CEB">
        <w:rPr>
          <w:b/>
        </w:rPr>
        <w:t>$</w:t>
      </w:r>
      <w:r w:rsidR="00674B0B">
        <w:rPr>
          <w:b/>
        </w:rPr>
        <w:t>1,</w:t>
      </w:r>
      <w:r w:rsidR="00182C07">
        <w:rPr>
          <w:b/>
        </w:rPr>
        <w:t>420.5</w:t>
      </w:r>
      <w:r w:rsidR="00BF46EA">
        <w:rPr>
          <w:b/>
        </w:rPr>
        <w:t>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0AF0E95A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9B7AE2">
        <w:t>x</w:t>
      </w:r>
      <w:r w:rsidRPr="00A74CEB">
        <w:t>] Yes</w:t>
      </w:r>
      <w:r w:rsidR="00DC4096">
        <w:t xml:space="preserve">  </w:t>
      </w:r>
      <w:r w:rsidRPr="00A74CEB">
        <w:tab/>
        <w:t>[</w:t>
      </w:r>
      <w:r w:rsidR="00DC4096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4" w14:textId="77777777" w:rsidR="00794475" w:rsidRDefault="00794475" w:rsidP="00A403BB">
      <w:pPr>
        <w:rPr>
          <w:b/>
        </w:rPr>
      </w:pPr>
    </w:p>
    <w:p w14:paraId="2DE07CAD" w14:textId="160AF3BE" w:rsidR="00990467" w:rsidRPr="000B1134" w:rsidRDefault="00506F39" w:rsidP="00A403BB">
      <w:r>
        <w:t xml:space="preserve">An </w:t>
      </w:r>
      <w:r w:rsidR="00990467" w:rsidRPr="000B1134">
        <w:t xml:space="preserve">advertising plan </w:t>
      </w:r>
      <w:r w:rsidR="000B1134">
        <w:t>will</w:t>
      </w:r>
      <w:r w:rsidR="00990467" w:rsidRPr="000B1134">
        <w:t xml:space="preserve"> target students and professional engineers within 300 mile radius of </w:t>
      </w:r>
      <w:r w:rsidR="009B7AE2">
        <w:t>the recruitment event</w:t>
      </w:r>
      <w:r w:rsidR="00990467" w:rsidRPr="000B1134">
        <w:t xml:space="preserve"> to build awareness and interest in attend</w:t>
      </w:r>
      <w:r w:rsidR="009B7AE2">
        <w:t>ance</w:t>
      </w:r>
      <w:r w:rsidR="00990467" w:rsidRPr="000B1134">
        <w:t>.</w:t>
      </w:r>
      <w:r w:rsidR="000644EB" w:rsidRPr="000B1134">
        <w:t xml:space="preserve">  </w:t>
      </w:r>
    </w:p>
    <w:p w14:paraId="7BEA9893" w14:textId="77777777" w:rsidR="00990467" w:rsidRPr="000B1134" w:rsidRDefault="00990467" w:rsidP="00A403BB"/>
    <w:p w14:paraId="181BC1E8" w14:textId="5E02B31E" w:rsidR="00990467" w:rsidRPr="009B7AE2" w:rsidRDefault="000B1134" w:rsidP="00A403BB">
      <w:bookmarkStart w:id="0" w:name="_GoBack"/>
      <w:r>
        <w:t>The registration site</w:t>
      </w:r>
      <w:r w:rsidR="00990467" w:rsidRPr="000B1134">
        <w:t xml:space="preserve"> will provide a detailed overview of the event, and require would-be attendees to identify their eligibility to attend by answering questions </w:t>
      </w:r>
      <w:r w:rsidR="000644EB" w:rsidRPr="000B1134">
        <w:t>adapted based on language from previous</w:t>
      </w:r>
      <w:r w:rsidR="00990467" w:rsidRPr="000B1134">
        <w:t xml:space="preserve"> vacancy announcements</w:t>
      </w:r>
      <w:r w:rsidR="000644EB" w:rsidRPr="000B1134">
        <w:t xml:space="preserve"> posted</w:t>
      </w:r>
      <w:r w:rsidR="00990467" w:rsidRPr="000B1134">
        <w:t xml:space="preserve"> on USAJobs.gov</w:t>
      </w:r>
      <w:r w:rsidR="00CE3831">
        <w:t xml:space="preserve">. </w:t>
      </w:r>
      <w:r w:rsidR="009B7AE2" w:rsidRPr="009B7AE2">
        <w:t>Registrants for our recruitment event and those that walk-in and attend on the day of the event(s) will comprise the universe of survey respondents.</w:t>
      </w:r>
    </w:p>
    <w:bookmarkEnd w:id="0"/>
    <w:p w14:paraId="4979C632" w14:textId="77777777" w:rsidR="009B7AE2" w:rsidRPr="00A74CEB" w:rsidRDefault="009B7AE2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58EB32AC" w:rsidR="00794475" w:rsidRDefault="00794475" w:rsidP="001B0AAA">
      <w:pPr>
        <w:ind w:left="720"/>
      </w:pPr>
      <w:r>
        <w:t>[</w:t>
      </w:r>
      <w:r w:rsidR="003021A5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2006BB3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3021A5">
        <w:t>x</w:t>
      </w:r>
      <w:r>
        <w:t>] No</w:t>
      </w:r>
    </w:p>
    <w:sectPr w:rsidR="00794475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5778A" w14:textId="77777777" w:rsidR="00C34653" w:rsidRDefault="00C34653">
      <w:r>
        <w:separator/>
      </w:r>
    </w:p>
  </w:endnote>
  <w:endnote w:type="continuationSeparator" w:id="0">
    <w:p w14:paraId="533A2D41" w14:textId="77777777" w:rsidR="00C34653" w:rsidRDefault="00C3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68D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1C9BA" w14:textId="77777777" w:rsidR="00C34653" w:rsidRDefault="00C34653">
      <w:r>
        <w:separator/>
      </w:r>
    </w:p>
  </w:footnote>
  <w:footnote w:type="continuationSeparator" w:id="0">
    <w:p w14:paraId="4B16D50E" w14:textId="77777777" w:rsidR="00C34653" w:rsidRDefault="00C3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376F7C"/>
    <w:multiLevelType w:val="multilevel"/>
    <w:tmpl w:val="8E9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F3435F"/>
    <w:multiLevelType w:val="hybridMultilevel"/>
    <w:tmpl w:val="994EB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525D69"/>
    <w:multiLevelType w:val="hybridMultilevel"/>
    <w:tmpl w:val="C1D6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2B4"/>
    <w:rsid w:val="00023A57"/>
    <w:rsid w:val="00023DA9"/>
    <w:rsid w:val="00026675"/>
    <w:rsid w:val="0003437B"/>
    <w:rsid w:val="0004627E"/>
    <w:rsid w:val="0004748B"/>
    <w:rsid w:val="00047A64"/>
    <w:rsid w:val="00051B00"/>
    <w:rsid w:val="00052272"/>
    <w:rsid w:val="00052659"/>
    <w:rsid w:val="000644EB"/>
    <w:rsid w:val="00067329"/>
    <w:rsid w:val="0007401C"/>
    <w:rsid w:val="00095DCE"/>
    <w:rsid w:val="000B1134"/>
    <w:rsid w:val="000B2838"/>
    <w:rsid w:val="000D44CA"/>
    <w:rsid w:val="000E200B"/>
    <w:rsid w:val="000F68BE"/>
    <w:rsid w:val="00114AF1"/>
    <w:rsid w:val="0011536B"/>
    <w:rsid w:val="00146EE4"/>
    <w:rsid w:val="0016311C"/>
    <w:rsid w:val="00171CD6"/>
    <w:rsid w:val="00182C07"/>
    <w:rsid w:val="001927A4"/>
    <w:rsid w:val="00194AC6"/>
    <w:rsid w:val="001A23B0"/>
    <w:rsid w:val="001A25CC"/>
    <w:rsid w:val="001B0AAA"/>
    <w:rsid w:val="001B199E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31BB"/>
    <w:rsid w:val="002A49D4"/>
    <w:rsid w:val="002B1A51"/>
    <w:rsid w:val="002B3C95"/>
    <w:rsid w:val="002D0B92"/>
    <w:rsid w:val="002E1E01"/>
    <w:rsid w:val="003021A5"/>
    <w:rsid w:val="00344FD4"/>
    <w:rsid w:val="00355928"/>
    <w:rsid w:val="00355E3E"/>
    <w:rsid w:val="003735A4"/>
    <w:rsid w:val="00376F8D"/>
    <w:rsid w:val="00380F2E"/>
    <w:rsid w:val="0039520A"/>
    <w:rsid w:val="003A5294"/>
    <w:rsid w:val="003B03BB"/>
    <w:rsid w:val="003D1048"/>
    <w:rsid w:val="003D5BBE"/>
    <w:rsid w:val="003E3C61"/>
    <w:rsid w:val="003F1C5B"/>
    <w:rsid w:val="003F7636"/>
    <w:rsid w:val="00403C53"/>
    <w:rsid w:val="004132A1"/>
    <w:rsid w:val="00422AEE"/>
    <w:rsid w:val="004233CA"/>
    <w:rsid w:val="00423C30"/>
    <w:rsid w:val="00432DE0"/>
    <w:rsid w:val="00434E33"/>
    <w:rsid w:val="00441434"/>
    <w:rsid w:val="0045264C"/>
    <w:rsid w:val="00457B66"/>
    <w:rsid w:val="00462A3F"/>
    <w:rsid w:val="004723BF"/>
    <w:rsid w:val="004876EC"/>
    <w:rsid w:val="004A5858"/>
    <w:rsid w:val="004B3F05"/>
    <w:rsid w:val="004D6E14"/>
    <w:rsid w:val="005009B0"/>
    <w:rsid w:val="00500C45"/>
    <w:rsid w:val="00506F39"/>
    <w:rsid w:val="00510697"/>
    <w:rsid w:val="00511E98"/>
    <w:rsid w:val="00535C69"/>
    <w:rsid w:val="0053796A"/>
    <w:rsid w:val="005566BB"/>
    <w:rsid w:val="0055730E"/>
    <w:rsid w:val="0059434A"/>
    <w:rsid w:val="0059761B"/>
    <w:rsid w:val="005A1006"/>
    <w:rsid w:val="005B22BA"/>
    <w:rsid w:val="005E714A"/>
    <w:rsid w:val="00605390"/>
    <w:rsid w:val="006140A0"/>
    <w:rsid w:val="00622A67"/>
    <w:rsid w:val="006250F8"/>
    <w:rsid w:val="00632295"/>
    <w:rsid w:val="00633B51"/>
    <w:rsid w:val="00636621"/>
    <w:rsid w:val="00642B49"/>
    <w:rsid w:val="00645398"/>
    <w:rsid w:val="006504AC"/>
    <w:rsid w:val="00674B0B"/>
    <w:rsid w:val="00680CA9"/>
    <w:rsid w:val="006832D9"/>
    <w:rsid w:val="006857B2"/>
    <w:rsid w:val="00692DCD"/>
    <w:rsid w:val="0069403B"/>
    <w:rsid w:val="006B6D59"/>
    <w:rsid w:val="006C3F14"/>
    <w:rsid w:val="006E4108"/>
    <w:rsid w:val="006F3DDE"/>
    <w:rsid w:val="00704678"/>
    <w:rsid w:val="00714174"/>
    <w:rsid w:val="007340B3"/>
    <w:rsid w:val="007425E7"/>
    <w:rsid w:val="00763DD7"/>
    <w:rsid w:val="00764B08"/>
    <w:rsid w:val="00794475"/>
    <w:rsid w:val="007A46C5"/>
    <w:rsid w:val="007A4B9D"/>
    <w:rsid w:val="007C3A68"/>
    <w:rsid w:val="007E7EBB"/>
    <w:rsid w:val="00800F14"/>
    <w:rsid w:val="00802607"/>
    <w:rsid w:val="008101A5"/>
    <w:rsid w:val="00822664"/>
    <w:rsid w:val="00833E99"/>
    <w:rsid w:val="008362CE"/>
    <w:rsid w:val="008401DF"/>
    <w:rsid w:val="00842D4B"/>
    <w:rsid w:val="00843796"/>
    <w:rsid w:val="00891C39"/>
    <w:rsid w:val="00895229"/>
    <w:rsid w:val="008D3E8E"/>
    <w:rsid w:val="008F0203"/>
    <w:rsid w:val="008F50D4"/>
    <w:rsid w:val="008F67D9"/>
    <w:rsid w:val="008F7CFC"/>
    <w:rsid w:val="009239AA"/>
    <w:rsid w:val="00924D39"/>
    <w:rsid w:val="009276E0"/>
    <w:rsid w:val="00934F54"/>
    <w:rsid w:val="00935ADA"/>
    <w:rsid w:val="00946B6C"/>
    <w:rsid w:val="00955A71"/>
    <w:rsid w:val="009605E2"/>
    <w:rsid w:val="0096108F"/>
    <w:rsid w:val="009746E5"/>
    <w:rsid w:val="00990467"/>
    <w:rsid w:val="0099737C"/>
    <w:rsid w:val="009B6DEB"/>
    <w:rsid w:val="009B7AE2"/>
    <w:rsid w:val="009C13B9"/>
    <w:rsid w:val="009D01A2"/>
    <w:rsid w:val="009E0389"/>
    <w:rsid w:val="009F5923"/>
    <w:rsid w:val="00A37034"/>
    <w:rsid w:val="00A403BB"/>
    <w:rsid w:val="00A552C8"/>
    <w:rsid w:val="00A61DD1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2FA8"/>
    <w:rsid w:val="00B27B20"/>
    <w:rsid w:val="00B74952"/>
    <w:rsid w:val="00B80D76"/>
    <w:rsid w:val="00B80E97"/>
    <w:rsid w:val="00B826EE"/>
    <w:rsid w:val="00B92CD3"/>
    <w:rsid w:val="00BA2105"/>
    <w:rsid w:val="00BA7E06"/>
    <w:rsid w:val="00BB43B5"/>
    <w:rsid w:val="00BB6219"/>
    <w:rsid w:val="00BB6A3D"/>
    <w:rsid w:val="00BD290F"/>
    <w:rsid w:val="00BD6EFA"/>
    <w:rsid w:val="00BF46EA"/>
    <w:rsid w:val="00C04707"/>
    <w:rsid w:val="00C12ADA"/>
    <w:rsid w:val="00C14CC4"/>
    <w:rsid w:val="00C24724"/>
    <w:rsid w:val="00C271CB"/>
    <w:rsid w:val="00C33035"/>
    <w:rsid w:val="00C33C52"/>
    <w:rsid w:val="00C34653"/>
    <w:rsid w:val="00C40D8B"/>
    <w:rsid w:val="00C8407A"/>
    <w:rsid w:val="00C8488C"/>
    <w:rsid w:val="00C86E91"/>
    <w:rsid w:val="00C91705"/>
    <w:rsid w:val="00C92675"/>
    <w:rsid w:val="00C92741"/>
    <w:rsid w:val="00C943E7"/>
    <w:rsid w:val="00CA2650"/>
    <w:rsid w:val="00CB1078"/>
    <w:rsid w:val="00CB45E9"/>
    <w:rsid w:val="00CB78A2"/>
    <w:rsid w:val="00CC3B38"/>
    <w:rsid w:val="00CC6FAF"/>
    <w:rsid w:val="00CD273B"/>
    <w:rsid w:val="00CE3831"/>
    <w:rsid w:val="00CF5DC0"/>
    <w:rsid w:val="00D21723"/>
    <w:rsid w:val="00D24698"/>
    <w:rsid w:val="00D27863"/>
    <w:rsid w:val="00D55D76"/>
    <w:rsid w:val="00D6383F"/>
    <w:rsid w:val="00D868DB"/>
    <w:rsid w:val="00D93E06"/>
    <w:rsid w:val="00DA4151"/>
    <w:rsid w:val="00DB59D0"/>
    <w:rsid w:val="00DC33D3"/>
    <w:rsid w:val="00DC4096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001"/>
    <w:rsid w:val="00E80951"/>
    <w:rsid w:val="00E854FE"/>
    <w:rsid w:val="00E86CC6"/>
    <w:rsid w:val="00EB5506"/>
    <w:rsid w:val="00EB56B3"/>
    <w:rsid w:val="00EC29ED"/>
    <w:rsid w:val="00ED6492"/>
    <w:rsid w:val="00EE00EB"/>
    <w:rsid w:val="00EF2095"/>
    <w:rsid w:val="00F06866"/>
    <w:rsid w:val="00F15956"/>
    <w:rsid w:val="00F22622"/>
    <w:rsid w:val="00F24CFC"/>
    <w:rsid w:val="00F3170F"/>
    <w:rsid w:val="00F46079"/>
    <w:rsid w:val="00F51588"/>
    <w:rsid w:val="00F63FB8"/>
    <w:rsid w:val="00F71110"/>
    <w:rsid w:val="00F84ABC"/>
    <w:rsid w:val="00F86C09"/>
    <w:rsid w:val="00F976B0"/>
    <w:rsid w:val="00FA49D3"/>
    <w:rsid w:val="00FA6DE7"/>
    <w:rsid w:val="00FB6B4F"/>
    <w:rsid w:val="00FC0A8E"/>
    <w:rsid w:val="00FE12A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9046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9904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748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C53"/>
  </w:style>
  <w:style w:type="character" w:styleId="FootnoteReference">
    <w:name w:val="footnote reference"/>
    <w:basedOn w:val="DefaultParagraphFont"/>
    <w:uiPriority w:val="99"/>
    <w:semiHidden/>
    <w:unhideWhenUsed/>
    <w:rsid w:val="00403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28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8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2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Grevious, Sharon</DisplayName>
        <AccountId>250</AccountId>
        <AccountType/>
      </UserInfo>
    </Owner>
    <Approved_x0020_by_x0020_Business_x0020_Area xmlns="E85DE8A9-5CD3-41FE-A1A0-70BC17107555">Yes</Approved_x0020_by_x0020_Business_x0020_Area>
    <Year xmlns="E85DE8A9-5CD3-41FE-A1A0-70BC17107555">2015</Year>
    <Collection_x0020_Number xmlns="E85DE8A9-5CD3-41FE-A1A0-70BC17107555">0651-0080</Collection_x0020_Number>
    <Office xmlns="e85de8a9-5cd3-41fe-a1a0-70bc17107555">Other</Office>
    <Business_x0020_Unit xmlns="e85de8a9-5cd3-41fe-a1a0-70bc17107555" xsi:nil="true"/>
    <Expiration_x0020_Date0 xmlns="e85de8a9-5cd3-41fe-a1a0-70bc17107555" xsi:nil="true"/>
    <ICR_x0020_ID xmlns="e85de8a9-5cd3-41fe-a1a0-70bc17107555" xsi:nil="true"/>
    <Test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83" ma:contentTypeDescription="Create a new document." ma:contentTypeScope="" ma:versionID="5a7c336c5aca0bd3dcf86ded5b471fff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e4600758605137a1fdeaac57b290909d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Test" ma:index="27" nillable="true" ma:displayName="Test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749A8213-B60E-431A-8A5F-29F26F88C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9A54E-5055-488E-B0DC-923887B8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2</cp:revision>
  <cp:lastPrinted>2016-02-23T19:54:00Z</cp:lastPrinted>
  <dcterms:created xsi:type="dcterms:W3CDTF">2016-03-01T17:22:00Z</dcterms:created>
  <dcterms:modified xsi:type="dcterms:W3CDTF">2016-03-01T17:22:00Z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