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4D" w:rsidRPr="00792D0B" w:rsidRDefault="001A344D" w:rsidP="001A344D">
      <w:pPr>
        <w:pStyle w:val="BodyText"/>
        <w:rPr>
          <w:b/>
          <w:bCs/>
          <w:u w:val="single"/>
        </w:rPr>
      </w:pPr>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w:t>
      </w:r>
      <w:r w:rsidR="00266BD9">
        <w:rPr>
          <w:b/>
          <w:bCs/>
          <w:u w:val="single"/>
        </w:rPr>
        <w:t xml:space="preserve"> of Quality Data for the FY 2018</w:t>
      </w:r>
      <w:r w:rsidRPr="00792D0B">
        <w:rPr>
          <w:b/>
          <w:bCs/>
          <w:u w:val="single"/>
        </w:rPr>
        <w:t xml:space="preserve"> IPPS Annual Payment Update  </w:t>
      </w:r>
    </w:p>
    <w:p w:rsidR="001A344D" w:rsidRPr="00792D0B" w:rsidRDefault="001A344D" w:rsidP="001A344D">
      <w:pPr>
        <w:pStyle w:val="BodyText"/>
        <w:jc w:val="left"/>
        <w:rPr>
          <w:u w:val="single"/>
        </w:rPr>
      </w:pPr>
    </w:p>
    <w:p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w:t>
      </w:r>
      <w:r w:rsidR="00C52BF5">
        <w:t xml:space="preserve"> quality reporting programs.  </w:t>
      </w:r>
      <w:r w:rsidRPr="00792D0B">
        <w:t>The Hospital Inpatient Quality Reporting (IQR) program was first established to implement section 50</w:t>
      </w:r>
      <w:r w:rsidR="00B41583" w:rsidRPr="00792D0B">
        <w:t>0</w:t>
      </w:r>
      <w:r w:rsidRPr="00792D0B">
        <w:t>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Pr="00792D0B">
        <w:t>It builds on a voluntary Inpatient Quality Reporting program</w:t>
      </w:r>
      <w:r w:rsidR="00196312">
        <w:t>,</w:t>
      </w:r>
      <w:r w:rsidRPr="00792D0B">
        <w:t xml:space="preserve"> which remains in effect.  The Hospital IQR program</w:t>
      </w:r>
      <w:r w:rsidR="00266BD9">
        <w:t>,</w:t>
      </w:r>
      <w:r w:rsidRPr="00792D0B">
        <w:t xml:space="preserve"> formerly known as the Reporting Hospital Quality Data for Annual Payment Update program, began with </w:t>
      </w:r>
      <w:r w:rsidR="00C52BF5">
        <w:t xml:space="preserve">an initial set of 10 measures. </w:t>
      </w:r>
      <w:r w:rsidRPr="00792D0B">
        <w:t xml:space="preserve"> Section 5001(a) of the Deficit Reduction Act of 2005 (DRA) (Pub. L. 109-171) revised the mechanism used to update the standardized amount for payment for hospital inpatient operating costs.  This is reflected in Sections 1886(b)(3)(B)(viii)(I) and (</w:t>
      </w:r>
      <w:r w:rsidR="00266BD9">
        <w:t xml:space="preserve">II) of the Social Security Act </w:t>
      </w:r>
      <w:r w:rsidRPr="00792D0B">
        <w:t xml:space="preserve">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673F3D" w:rsidRDefault="001A344D" w:rsidP="001A344D">
      <w:r w:rsidRPr="00673F3D">
        <w:t xml:space="preserve">Section 5001(a) of the DRA also expanded the scope of IQR, requiring CMS to add new measures. </w:t>
      </w:r>
      <w:r w:rsidR="007922C9">
        <w:t xml:space="preserve"> </w:t>
      </w:r>
      <w:r w:rsidRPr="00673F3D">
        <w:t>Sections 1886(b</w:t>
      </w:r>
      <w:proofErr w:type="gramStart"/>
      <w:r w:rsidRPr="00673F3D">
        <w:t>)(</w:t>
      </w:r>
      <w:proofErr w:type="gramEnd"/>
      <w:r w:rsidRPr="00673F3D">
        <w:t>3)(B)(viii)(III) through</w:t>
      </w:r>
      <w:r w:rsidR="001140CC">
        <w:t xml:space="preserve"> (V) of the Social Security Act</w:t>
      </w:r>
      <w:r w:rsidRPr="00673F3D">
        <w:t xml:space="preserve"> required CMS to “adopt the baseline set of performance measures as set forth in the November 2005 report by the Institute of Medicine of the National Academy of Sciences</w:t>
      </w:r>
      <w:r w:rsidR="00196312">
        <w:t>,</w:t>
      </w:r>
      <w:r w:rsidRPr="00673F3D">
        <w:t>”  instructed the Secretary to “add other measures that reflect consensus among affected parties</w:t>
      </w:r>
      <w:r w:rsidR="00196312">
        <w:t>,</w:t>
      </w:r>
      <w:r w:rsidRPr="00673F3D">
        <w:t>” and allowed the Secretary to “replace any measures or indi</w:t>
      </w:r>
      <w:r w:rsidR="00C52BF5">
        <w:t>cators in appropriate cases</w:t>
      </w:r>
      <w:r w:rsidR="00196312">
        <w:t>.</w:t>
      </w:r>
      <w:r w:rsidR="00C52BF5">
        <w:t xml:space="preserve">”  </w:t>
      </w:r>
      <w:r w:rsidRPr="00673F3D">
        <w:t>When adding new measures, the law required CMS when “feasible and practical” to select measures put forward by “one or more national consensus building entities</w:t>
      </w:r>
      <w:r w:rsidR="00196312">
        <w:t>.</w:t>
      </w:r>
      <w:r w:rsidRPr="00673F3D">
        <w:t xml:space="preserve">” </w:t>
      </w:r>
    </w:p>
    <w:p w:rsidR="001A344D" w:rsidRPr="00673F3D" w:rsidRDefault="001A344D" w:rsidP="001A344D">
      <w:pPr>
        <w:shd w:val="clear" w:color="auto" w:fill="FFFFFF"/>
      </w:pPr>
    </w:p>
    <w:p w:rsidR="001A344D" w:rsidRPr="00792D0B" w:rsidRDefault="001A344D" w:rsidP="001A344D">
      <w:r w:rsidRPr="00792D0B">
        <w:t>Many provisions of the Affordable Care Act (ACA) drove further additions to these measure sets, and by linking IQR data to value-based purchasing, the ACA increased both the importance of IQR data and the need for a broad range of indicators.  Section 3013 of the ACA modified Section 931 of the Public Health Service Act by requiring</w:t>
      </w:r>
      <w:r w:rsidR="001140CC">
        <w:t xml:space="preserve"> that </w:t>
      </w:r>
      <w:r w:rsidRPr="00792D0B">
        <w:t>CMS “identify, not less often than triennially, gaps where no quality measures exist and existing quality measures that need improvement, updating or expansion</w:t>
      </w:r>
      <w:r w:rsidR="00196312">
        <w:t>.</w:t>
      </w:r>
      <w:r w:rsidRPr="00792D0B">
        <w:t>”  Section 3025 of the ACA amended Section 1886(q)(8)(C)(</w:t>
      </w:r>
      <w:proofErr w:type="spellStart"/>
      <w:r w:rsidRPr="00792D0B">
        <w:t>i</w:t>
      </w:r>
      <w:proofErr w:type="spellEnd"/>
      <w:r w:rsidRPr="00792D0B">
        <w:t xml:space="preserve">)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Default="001A344D" w:rsidP="00266BD9">
      <w:pPr>
        <w:autoSpaceDE w:val="0"/>
        <w:autoSpaceDN w:val="0"/>
        <w:adjustRightInd w:val="0"/>
      </w:pPr>
      <w:r w:rsidRPr="00792D0B">
        <w:t>Section 3001 of the Affordable Care Act of 2010 modified Section 1886(o) of the Social Security Act to mandate CMS’ transition from a passive supplier of health</w:t>
      </w:r>
      <w:r w:rsidR="00196312">
        <w:t xml:space="preserve"> </w:t>
      </w:r>
      <w:r w:rsidRPr="00792D0B">
        <w:t>care to an activ</w:t>
      </w:r>
      <w:r w:rsidR="00C52BF5">
        <w:t xml:space="preserve">e purchaser of quality care.  </w:t>
      </w:r>
      <w:r w:rsidRPr="00792D0B">
        <w:t xml:space="preserve">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w:t>
      </w:r>
      <w:r w:rsidR="00C52BF5">
        <w:t xml:space="preserve"> in the Hospital IQR program.  </w:t>
      </w:r>
      <w:r w:rsidRPr="00792D0B">
        <w:t>Consistent with this legislation, CMS established a Hospital VBP program in 2011</w:t>
      </w:r>
      <w:r w:rsidR="00196312">
        <w:t>,</w:t>
      </w:r>
      <w:r w:rsidRPr="00792D0B">
        <w:t xml:space="preserve"> which qualifies hospitals for monetary </w:t>
      </w:r>
      <w:r w:rsidRPr="00792D0B">
        <w:lastRenderedPageBreak/>
        <w:t xml:space="preserve">incentives based on their performance on a defined set of quality measures reported under the Hospital IQR program.  </w:t>
      </w:r>
    </w:p>
    <w:p w:rsidR="00266BD9" w:rsidRPr="00792D0B" w:rsidRDefault="00266BD9" w:rsidP="00266BD9">
      <w:pPr>
        <w:autoSpaceDE w:val="0"/>
        <w:autoSpaceDN w:val="0"/>
        <w:adjustRightInd w:val="0"/>
      </w:pPr>
    </w:p>
    <w:p w:rsidR="001A344D" w:rsidRPr="000D165B" w:rsidRDefault="000D165B" w:rsidP="001A344D">
      <w:pPr>
        <w:rPr>
          <w:u w:val="single"/>
        </w:rPr>
      </w:pPr>
      <w:r w:rsidRPr="000D165B">
        <w:rPr>
          <w:u w:val="single"/>
        </w:rPr>
        <w:t xml:space="preserve">1. </w:t>
      </w:r>
      <w:r w:rsidR="001A344D" w:rsidRPr="000D165B">
        <w:rPr>
          <w:u w:val="single"/>
        </w:rPr>
        <w:t xml:space="preserve"> New IQR Quality Measure Sets and Measures</w:t>
      </w:r>
    </w:p>
    <w:p w:rsidR="001A344D" w:rsidRPr="00792D0B" w:rsidRDefault="001A344D" w:rsidP="001A344D">
      <w:pPr>
        <w:rPr>
          <w:u w:val="single"/>
        </w:rPr>
      </w:pPr>
    </w:p>
    <w:p w:rsidR="001A344D" w:rsidRPr="00792D0B" w:rsidRDefault="000D165B" w:rsidP="001A344D">
      <w:proofErr w:type="gramStart"/>
      <w:r>
        <w:rPr>
          <w:u w:val="single"/>
        </w:rPr>
        <w:t>a</w:t>
      </w:r>
      <w:r w:rsidR="001A344D" w:rsidRPr="00792D0B">
        <w:rPr>
          <w:u w:val="single"/>
        </w:rPr>
        <w:t xml:space="preserve">. </w:t>
      </w:r>
      <w:r w:rsidR="007922C9">
        <w:rPr>
          <w:u w:val="single"/>
        </w:rPr>
        <w:t xml:space="preserve"> </w:t>
      </w:r>
      <w:r w:rsidR="001A344D" w:rsidRPr="00792D0B">
        <w:rPr>
          <w:u w:val="single"/>
        </w:rPr>
        <w:t>Introduction</w:t>
      </w:r>
      <w:proofErr w:type="gramEnd"/>
      <w:r w:rsidR="00E05C80">
        <w:rPr>
          <w:u w:val="single"/>
        </w:rPr>
        <w:br/>
      </w:r>
    </w:p>
    <w:p w:rsidR="001A344D" w:rsidRPr="00792D0B" w:rsidRDefault="001A344D" w:rsidP="001A344D">
      <w:r w:rsidRPr="00792D0B">
        <w:t>The 201</w:t>
      </w:r>
      <w:r w:rsidR="003E3A27">
        <w:t>8</w:t>
      </w:r>
      <w:r w:rsidRPr="00792D0B">
        <w:t xml:space="preserve"> APU determination will be based on IQR data reported and supporting forms submitted by hospitals between January 201</w:t>
      </w:r>
      <w:r w:rsidR="003E3A27">
        <w:t>6</w:t>
      </w:r>
      <w:r w:rsidRPr="00792D0B">
        <w:t xml:space="preserve"> and </w:t>
      </w:r>
      <w:r w:rsidR="00D03753">
        <w:t>December</w:t>
      </w:r>
      <w:r w:rsidR="00D03753" w:rsidRPr="00792D0B">
        <w:t xml:space="preserve"> </w:t>
      </w:r>
      <w:r w:rsidR="003E3A27">
        <w:t>2016.</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E3A27">
        <w:t xml:space="preserve">ion systems already in place.  </w:t>
      </w:r>
    </w:p>
    <w:p w:rsidR="001A344D" w:rsidRPr="00792D0B" w:rsidRDefault="001A344D" w:rsidP="001A344D"/>
    <w:p w:rsidR="000A5930" w:rsidRPr="003E3A27" w:rsidRDefault="000D165B" w:rsidP="003E3A27">
      <w:pPr>
        <w:rPr>
          <w:u w:val="single"/>
        </w:rPr>
      </w:pPr>
      <w:proofErr w:type="gramStart"/>
      <w:r>
        <w:rPr>
          <w:u w:val="single"/>
        </w:rPr>
        <w:t>b</w:t>
      </w:r>
      <w:r w:rsidR="00D348F6">
        <w:rPr>
          <w:u w:val="single"/>
        </w:rPr>
        <w:t xml:space="preserve">. </w:t>
      </w:r>
      <w:r w:rsidR="007922C9">
        <w:rPr>
          <w:u w:val="single"/>
        </w:rPr>
        <w:t xml:space="preserve"> </w:t>
      </w:r>
      <w:r w:rsidR="00D348F6">
        <w:rPr>
          <w:u w:val="single"/>
        </w:rPr>
        <w:t>New</w:t>
      </w:r>
      <w:proofErr w:type="gramEnd"/>
      <w:r w:rsidR="00D348F6">
        <w:rPr>
          <w:u w:val="single"/>
        </w:rPr>
        <w:t xml:space="preserve"> Measures</w:t>
      </w:r>
      <w:r w:rsidR="00E05C80">
        <w:rPr>
          <w:u w:val="single"/>
        </w:rPr>
        <w:br/>
      </w:r>
    </w:p>
    <w:p w:rsidR="000A5930" w:rsidRPr="003E3A27" w:rsidRDefault="003E3A27" w:rsidP="003E3A27">
      <w:pPr>
        <w:autoSpaceDE w:val="0"/>
        <w:autoSpaceDN w:val="0"/>
        <w:adjustRightInd w:val="0"/>
        <w:rPr>
          <w:bCs/>
        </w:rPr>
      </w:pPr>
      <w:r>
        <w:rPr>
          <w:bCs/>
        </w:rPr>
        <w:t xml:space="preserve">The following measures are being proposed for FY 2018: </w:t>
      </w:r>
      <w:r w:rsidR="001A344D" w:rsidRPr="00792D0B">
        <w:t xml:space="preserve"> </w:t>
      </w:r>
      <w:r w:rsidRPr="003E3A27">
        <w:t>(1) Hospital Survey on Patient Safety Culture (structural); (2) Kidney/UTI Clinical Episode-Based Payment Measure (claims-based); (3) Cellulitis Clinical Episode-Based Payment Measure (claims-based); (4) Gastrointestinal Hemorrhage Clinical Episode-Based Payment Measure (claims-based); (5) Lumbar Spine Fusion/Re-Fusion Clinical Episode-Based Payment Measure (claims-based); (6) Hospital-Level, Risk-Standardized Payment Associated with an Episode-of-Care for Primary Elective THA/TKA (claims-based); (7) Excess Days in Acute Care after Hospitalization for Acute Myocardial Infarction  (claims-based); and (8) Excess Days in Acute Care after Hospitalization for Heart Failure (claims-based)</w:t>
      </w:r>
      <w:r w:rsidR="00351C50">
        <w:t>.</w:t>
      </w:r>
    </w:p>
    <w:p w:rsidR="00516B67" w:rsidRDefault="00516B67" w:rsidP="001A344D">
      <w:pPr>
        <w:autoSpaceDE w:val="0"/>
        <w:autoSpaceDN w:val="0"/>
        <w:adjustRightInd w:val="0"/>
        <w:rPr>
          <w:color w:val="000000"/>
        </w:rPr>
      </w:pPr>
    </w:p>
    <w:p w:rsidR="000A5930" w:rsidRPr="000C6729" w:rsidRDefault="000D165B" w:rsidP="001A344D">
      <w:pPr>
        <w:autoSpaceDE w:val="0"/>
        <w:autoSpaceDN w:val="0"/>
        <w:adjustRightInd w:val="0"/>
        <w:rPr>
          <w:color w:val="000000"/>
          <w:u w:val="single"/>
        </w:rPr>
      </w:pPr>
      <w:proofErr w:type="gramStart"/>
      <w:r>
        <w:rPr>
          <w:color w:val="000000"/>
          <w:u w:val="single"/>
        </w:rPr>
        <w:t>c</w:t>
      </w:r>
      <w:r w:rsidR="006E5F79" w:rsidRPr="000C6729">
        <w:rPr>
          <w:color w:val="000000"/>
          <w:u w:val="single"/>
        </w:rPr>
        <w:t>.  Measures</w:t>
      </w:r>
      <w:proofErr w:type="gramEnd"/>
      <w:r w:rsidR="00516B67" w:rsidRPr="000C6729">
        <w:rPr>
          <w:color w:val="000000"/>
          <w:u w:val="single"/>
        </w:rPr>
        <w:t xml:space="preserve"> Proposed for Removal</w:t>
      </w:r>
    </w:p>
    <w:p w:rsidR="006E5F79" w:rsidRDefault="006E5F79" w:rsidP="001A344D">
      <w:pPr>
        <w:autoSpaceDE w:val="0"/>
        <w:autoSpaceDN w:val="0"/>
        <w:adjustRightInd w:val="0"/>
        <w:rPr>
          <w:color w:val="000000"/>
        </w:rPr>
      </w:pPr>
    </w:p>
    <w:p w:rsidR="00516B67" w:rsidRPr="00351C50" w:rsidRDefault="00351C50" w:rsidP="00351C50">
      <w:pPr>
        <w:autoSpaceDE w:val="0"/>
        <w:autoSpaceDN w:val="0"/>
        <w:adjustRightInd w:val="0"/>
        <w:rPr>
          <w:color w:val="000000"/>
        </w:rPr>
      </w:pPr>
      <w:r>
        <w:rPr>
          <w:color w:val="000000"/>
        </w:rPr>
        <w:t xml:space="preserve">The following measures are being proposed for removal: </w:t>
      </w:r>
      <w:r w:rsidRPr="00351C50">
        <w:rPr>
          <w:color w:val="000000"/>
        </w:rPr>
        <w:t xml:space="preserve">(1) STK-01 Venous Thromboembolism Prophylaxis (NQF #0434); (2) STK-06: </w:t>
      </w:r>
      <w:r w:rsidR="0027334E">
        <w:rPr>
          <w:color w:val="000000"/>
        </w:rPr>
        <w:t>Discharged on Statin Medication</w:t>
      </w:r>
      <w:r w:rsidRPr="00351C50">
        <w:rPr>
          <w:color w:val="000000"/>
        </w:rPr>
        <w:t xml:space="preserve"> (NQF #0439</w:t>
      </w:r>
      <w:r w:rsidR="0027334E">
        <w:rPr>
          <w:color w:val="000000"/>
        </w:rPr>
        <w:t>); (3) STK-08: Stroke Education</w:t>
      </w:r>
      <w:r w:rsidRPr="00351C50">
        <w:rPr>
          <w:color w:val="000000"/>
        </w:rPr>
        <w:t xml:space="preserve"> (NQF endorsement removed); (4) VTE-1: Ven</w:t>
      </w:r>
      <w:r w:rsidR="0027334E">
        <w:rPr>
          <w:color w:val="000000"/>
        </w:rPr>
        <w:t>ous Thromboembolism Prophylaxis</w:t>
      </w:r>
      <w:r w:rsidRPr="00351C50">
        <w:rPr>
          <w:color w:val="000000"/>
        </w:rPr>
        <w:t xml:space="preserve"> (NQF #0371); (5) VTE-2: Intensive Care Unit Ven</w:t>
      </w:r>
      <w:r w:rsidR="0027334E">
        <w:rPr>
          <w:color w:val="000000"/>
        </w:rPr>
        <w:t>ous Thromboembolism Prophylaxis</w:t>
      </w:r>
      <w:r w:rsidRPr="00351C50">
        <w:rPr>
          <w:color w:val="000000"/>
        </w:rPr>
        <w:t xml:space="preserve"> (NQF #0372); (6) VTE-3: Venous Thromboembolism Patients with </w:t>
      </w:r>
      <w:r w:rsidR="0027334E">
        <w:rPr>
          <w:color w:val="000000"/>
        </w:rPr>
        <w:t>Anticoagulation Overlap Therapy</w:t>
      </w:r>
      <w:r w:rsidRPr="00351C50">
        <w:rPr>
          <w:color w:val="000000"/>
        </w:rPr>
        <w:t xml:space="preserve"> (NQF #0373); and (7) AMI-7a </w:t>
      </w:r>
      <w:proofErr w:type="spellStart"/>
      <w:r w:rsidRPr="00351C50">
        <w:rPr>
          <w:color w:val="000000"/>
        </w:rPr>
        <w:t>Fibrinolytic</w:t>
      </w:r>
      <w:proofErr w:type="spellEnd"/>
      <w:r w:rsidRPr="00351C50">
        <w:rPr>
          <w:color w:val="000000"/>
        </w:rPr>
        <w:t xml:space="preserve"> Therapy Received Within</w:t>
      </w:r>
      <w:r w:rsidR="0027334E">
        <w:rPr>
          <w:color w:val="000000"/>
        </w:rPr>
        <w:t xml:space="preserve"> 30 Minutes of Hospital Arrival</w:t>
      </w:r>
      <w:r w:rsidRPr="00351C50">
        <w:rPr>
          <w:color w:val="000000"/>
        </w:rPr>
        <w:t xml:space="preserve"> (N</w:t>
      </w:r>
      <w:r>
        <w:rPr>
          <w:color w:val="000000"/>
        </w:rPr>
        <w:t xml:space="preserve">QF #0164); </w:t>
      </w:r>
      <w:r>
        <w:t xml:space="preserve">(8) </w:t>
      </w:r>
      <w:r w:rsidRPr="00257672">
        <w:t>IMM-1 Pneumo</w:t>
      </w:r>
      <w:r>
        <w:t xml:space="preserve">coccal Immunization (NQF #1653); and (9) </w:t>
      </w:r>
      <w:r w:rsidRPr="00257672">
        <w:t>SCIP-Inf-4 Cardiac Surgery Patients with Controlled Postoper</w:t>
      </w:r>
      <w:r>
        <w:t>ative Blood Glucose (NQF #0300).</w:t>
      </w:r>
    </w:p>
    <w:p w:rsidR="001A344D" w:rsidRDefault="001A344D" w:rsidP="001A344D">
      <w:pPr>
        <w:autoSpaceDE w:val="0"/>
        <w:autoSpaceDN w:val="0"/>
        <w:adjustRightInd w:val="0"/>
        <w:rPr>
          <w:color w:val="000000"/>
        </w:rPr>
      </w:pPr>
    </w:p>
    <w:p w:rsidR="00D348F6" w:rsidRPr="000C6729" w:rsidRDefault="000D165B" w:rsidP="00D348F6">
      <w:pPr>
        <w:rPr>
          <w:u w:val="single"/>
        </w:rPr>
      </w:pPr>
      <w:proofErr w:type="gramStart"/>
      <w:r>
        <w:rPr>
          <w:u w:val="single"/>
        </w:rPr>
        <w:t>d</w:t>
      </w:r>
      <w:r w:rsidR="00D348F6" w:rsidRPr="000C6729">
        <w:rPr>
          <w:u w:val="single"/>
        </w:rPr>
        <w:t xml:space="preserve">. </w:t>
      </w:r>
      <w:r w:rsidR="007922C9">
        <w:rPr>
          <w:u w:val="single"/>
        </w:rPr>
        <w:t xml:space="preserve"> </w:t>
      </w:r>
      <w:r w:rsidR="00D348F6" w:rsidRPr="000C6729">
        <w:rPr>
          <w:u w:val="single"/>
        </w:rPr>
        <w:t>Forms</w:t>
      </w:r>
      <w:proofErr w:type="gramEnd"/>
      <w:r w:rsidR="00D348F6" w:rsidRPr="000C6729">
        <w:rPr>
          <w:u w:val="single"/>
        </w:rPr>
        <w:t xml:space="preserve">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rsidR="00D348F6" w:rsidRPr="00380FB9" w:rsidRDefault="00D348F6" w:rsidP="00D348F6"/>
    <w:p w:rsidR="00D348F6" w:rsidRDefault="00D348F6" w:rsidP="00D348F6">
      <w:pPr>
        <w:autoSpaceDE w:val="0"/>
        <w:autoSpaceDN w:val="0"/>
        <w:adjustRightInd w:val="0"/>
      </w:pPr>
      <w:r>
        <w:t xml:space="preserve">In order to facilitate the Quality Data Reporting Program, several forms are necessary.  These forms include:  </w:t>
      </w:r>
    </w:p>
    <w:p w:rsidR="00D348F6" w:rsidRDefault="00D348F6" w:rsidP="00D348F6">
      <w:pPr>
        <w:autoSpaceDE w:val="0"/>
        <w:autoSpaceDN w:val="0"/>
        <w:adjustRightInd w:val="0"/>
      </w:pPr>
    </w:p>
    <w:p w:rsidR="00D348F6" w:rsidRDefault="00D348F6" w:rsidP="00D348F6">
      <w:pPr>
        <w:autoSpaceDE w:val="0"/>
        <w:autoSpaceDN w:val="0"/>
        <w:adjustRightInd w:val="0"/>
      </w:pPr>
      <w:r>
        <w:t>•</w:t>
      </w:r>
      <w:r>
        <w:tab/>
        <w:t xml:space="preserve">Notice of Participation </w:t>
      </w:r>
    </w:p>
    <w:p w:rsidR="00D348F6" w:rsidRDefault="00D348F6" w:rsidP="00D348F6">
      <w:pPr>
        <w:autoSpaceDE w:val="0"/>
        <w:autoSpaceDN w:val="0"/>
        <w:adjustRightInd w:val="0"/>
      </w:pPr>
      <w:r>
        <w:t>•</w:t>
      </w:r>
      <w:r>
        <w:tab/>
        <w:t>Data Accuracy and Completeness Acknowledgement</w:t>
      </w:r>
    </w:p>
    <w:p w:rsidR="00D348F6" w:rsidRDefault="00D348F6" w:rsidP="00D348F6">
      <w:pPr>
        <w:autoSpaceDE w:val="0"/>
        <w:autoSpaceDN w:val="0"/>
        <w:adjustRightInd w:val="0"/>
      </w:pPr>
      <w:r>
        <w:t>•</w:t>
      </w:r>
      <w:r>
        <w:tab/>
        <w:t xml:space="preserve">Request for Withholding Data </w:t>
      </w:r>
      <w:r w:rsidR="00196312">
        <w:t>f</w:t>
      </w:r>
      <w:r>
        <w:t xml:space="preserve">rom Public Reporting </w:t>
      </w:r>
    </w:p>
    <w:p w:rsidR="00D348F6" w:rsidRDefault="00D348F6" w:rsidP="00D348F6">
      <w:pPr>
        <w:autoSpaceDE w:val="0"/>
        <w:autoSpaceDN w:val="0"/>
        <w:adjustRightInd w:val="0"/>
      </w:pPr>
      <w:r>
        <w:t>•</w:t>
      </w:r>
      <w:r>
        <w:tab/>
      </w:r>
      <w:r>
        <w:rPr>
          <w:color w:val="000000"/>
        </w:rPr>
        <w:t>Measure Exception Form</w:t>
      </w:r>
    </w:p>
    <w:p w:rsidR="00D348F6" w:rsidRDefault="00D348F6" w:rsidP="00D348F6">
      <w:pPr>
        <w:autoSpaceDE w:val="0"/>
        <w:autoSpaceDN w:val="0"/>
        <w:adjustRightInd w:val="0"/>
      </w:pPr>
      <w:r>
        <w:t>•</w:t>
      </w:r>
      <w:r>
        <w:tab/>
        <w:t xml:space="preserve">Reconsideration Request </w:t>
      </w:r>
      <w:r w:rsidR="00196312">
        <w:t>Form</w:t>
      </w:r>
    </w:p>
    <w:p w:rsidR="00D348F6" w:rsidRDefault="00D348F6" w:rsidP="00D348F6">
      <w:pPr>
        <w:autoSpaceDE w:val="0"/>
        <w:autoSpaceDN w:val="0"/>
        <w:adjustRightInd w:val="0"/>
      </w:pPr>
      <w:r>
        <w:lastRenderedPageBreak/>
        <w:t>•</w:t>
      </w:r>
      <w:r>
        <w:tab/>
        <w:t>HVBP Review and Correction</w:t>
      </w:r>
      <w:r w:rsidR="00BB7C9A">
        <w:t>s</w:t>
      </w:r>
      <w:r>
        <w:t xml:space="preserve"> Form</w:t>
      </w:r>
    </w:p>
    <w:p w:rsidR="00D348F6" w:rsidRDefault="00D348F6" w:rsidP="00D348F6">
      <w:pPr>
        <w:autoSpaceDE w:val="0"/>
        <w:autoSpaceDN w:val="0"/>
        <w:adjustRightInd w:val="0"/>
      </w:pPr>
      <w:r>
        <w:t>•</w:t>
      </w:r>
      <w:r>
        <w:tab/>
        <w:t>HVBP Appeals Form</w:t>
      </w:r>
    </w:p>
    <w:p w:rsidR="005B296B" w:rsidRDefault="00D348F6" w:rsidP="007A23DA">
      <w:pPr>
        <w:autoSpaceDE w:val="0"/>
        <w:autoSpaceDN w:val="0"/>
        <w:adjustRightInd w:val="0"/>
      </w:pPr>
      <w:r>
        <w:t>•</w:t>
      </w:r>
      <w:r>
        <w:tab/>
        <w:t xml:space="preserve">Extraordinary Circumstances </w:t>
      </w:r>
      <w:r w:rsidR="00196312">
        <w:t>Extensions/</w:t>
      </w:r>
      <w:r>
        <w:t>Ex</w:t>
      </w:r>
      <w:r w:rsidR="00313705">
        <w:t>emptions</w:t>
      </w:r>
      <w:r>
        <w:t xml:space="preserve"> </w:t>
      </w:r>
      <w:r w:rsidR="00313705">
        <w:t xml:space="preserve">Request </w:t>
      </w:r>
      <w:r>
        <w:t>Form</w:t>
      </w:r>
    </w:p>
    <w:p w:rsidR="005B296B" w:rsidRPr="007A23DA" w:rsidRDefault="005B296B" w:rsidP="007A23DA">
      <w:pPr>
        <w:autoSpaceDE w:val="0"/>
        <w:autoSpaceDN w:val="0"/>
        <w:adjustRightInd w:val="0"/>
      </w:pPr>
      <w:r>
        <w:t>•</w:t>
      </w:r>
      <w:r>
        <w:tab/>
      </w:r>
      <w:r w:rsidRPr="007A23DA">
        <w:t>IQR Validation Review for Reconsideration Request</w:t>
      </w:r>
    </w:p>
    <w:p w:rsidR="005B296B" w:rsidRPr="007A23DA" w:rsidRDefault="005B296B" w:rsidP="007A23DA">
      <w:pPr>
        <w:autoSpaceDE w:val="0"/>
        <w:autoSpaceDN w:val="0"/>
        <w:adjustRightInd w:val="0"/>
      </w:pPr>
      <w:r>
        <w:t>•</w:t>
      </w:r>
      <w:r>
        <w:tab/>
      </w:r>
      <w:r w:rsidRPr="007A23DA">
        <w:t>Validation forms for CLABSI, CAUTI, MRSA, and CDI measures</w:t>
      </w:r>
    </w:p>
    <w:p w:rsidR="005B296B" w:rsidRDefault="005B296B" w:rsidP="00D348F6">
      <w:pPr>
        <w:autoSpaceDE w:val="0"/>
        <w:autoSpaceDN w:val="0"/>
        <w:adjustRightInd w:val="0"/>
      </w:pPr>
    </w:p>
    <w:p w:rsidR="00D348F6" w:rsidRDefault="00D348F6" w:rsidP="00D348F6">
      <w:pPr>
        <w:autoSpaceDE w:val="0"/>
        <w:autoSpaceDN w:val="0"/>
        <w:adjustRightInd w:val="0"/>
      </w:pPr>
    </w:p>
    <w:p w:rsidR="00D348F6" w:rsidRDefault="00D348F6" w:rsidP="00D348F6">
      <w:pPr>
        <w:autoSpaceDE w:val="0"/>
        <w:autoSpaceDN w:val="0"/>
        <w:adjustRightInd w:val="0"/>
      </w:pPr>
      <w:r>
        <w:t xml:space="preserve">Only the Data Accuracy and Completeness Acknowledgment form must be completed by all IQR hospitals each year.  The </w:t>
      </w:r>
      <w:r w:rsidR="00196312">
        <w:t>remainder is</w:t>
      </w:r>
      <w:r>
        <w:t xml:space="preserve"> exceptions, exemptions, or one time only forms</w:t>
      </w:r>
      <w:r w:rsidR="00196312">
        <w:t>,</w:t>
      </w:r>
      <w:r>
        <w:t xml:space="preserve"> and hospitals may not need to complete any of these forms in any given year.  </w:t>
      </w:r>
    </w:p>
    <w:p w:rsidR="00D348F6" w:rsidRDefault="00D348F6" w:rsidP="00D348F6">
      <w:pPr>
        <w:autoSpaceDE w:val="0"/>
        <w:autoSpaceDN w:val="0"/>
        <w:adjustRightInd w:val="0"/>
      </w:pPr>
    </w:p>
    <w:p w:rsidR="00D348F6" w:rsidRDefault="00260DBE" w:rsidP="00D348F6">
      <w:pPr>
        <w:autoSpaceDE w:val="0"/>
        <w:autoSpaceDN w:val="0"/>
        <w:adjustRightInd w:val="0"/>
        <w:rPr>
          <w:color w:val="000000"/>
        </w:rPr>
      </w:pPr>
      <w:r>
        <w:t>The v</w:t>
      </w:r>
      <w:r w:rsidRPr="00601433">
        <w:t>alidation forms for CLABSI, CAUTI, MRSA, and CDI measures</w:t>
      </w:r>
      <w:r>
        <w:t xml:space="preserve"> are being revised </w:t>
      </w:r>
      <w:r w:rsidR="0029003D">
        <w:t xml:space="preserve">with this PRA package </w:t>
      </w:r>
      <w:r>
        <w:t xml:space="preserve">with updated dates.  </w:t>
      </w:r>
      <w:r w:rsidR="00D348F6">
        <w:t xml:space="preserve">Two </w:t>
      </w:r>
      <w:r>
        <w:t>additional</w:t>
      </w:r>
      <w:r w:rsidR="00D348F6">
        <w:t xml:space="preserve"> information collection forms listed above are being re</w:t>
      </w:r>
      <w:r>
        <w:t>vised</w:t>
      </w:r>
      <w:r w:rsidR="00D348F6">
        <w:t xml:space="preserve"> with this PRA package: </w:t>
      </w:r>
      <w:r w:rsidR="00D348F6">
        <w:rPr>
          <w:color w:val="000000"/>
        </w:rPr>
        <w:t xml:space="preserve">(1) Measure Exception Form and (2) Extraordinary Circumstances Extensions/Exemptions Request Form. </w:t>
      </w:r>
    </w:p>
    <w:p w:rsidR="00D348F6" w:rsidRDefault="00D348F6" w:rsidP="00D348F6">
      <w:pPr>
        <w:autoSpaceDE w:val="0"/>
        <w:autoSpaceDN w:val="0"/>
        <w:adjustRightInd w:val="0"/>
        <w:rPr>
          <w:color w:val="000000"/>
        </w:rPr>
      </w:pPr>
    </w:p>
    <w:p w:rsidR="00D348F6" w:rsidRPr="00E05C80" w:rsidRDefault="00D348F6" w:rsidP="00D348F6">
      <w:pPr>
        <w:autoSpaceDE w:val="0"/>
        <w:autoSpaceDN w:val="0"/>
        <w:adjustRightInd w:val="0"/>
        <w:rPr>
          <w:color w:val="000000"/>
        </w:rPr>
      </w:pPr>
      <w:r>
        <w:rPr>
          <w:color w:val="000000"/>
        </w:rPr>
        <w:t xml:space="preserve">The Measure Exception Form is being updated to allow for exceptions to reporting Perinatal Care (PC) and Emergency Department (ED) measures, </w:t>
      </w:r>
      <w:r w:rsidR="00F2142F">
        <w:rPr>
          <w:color w:val="000000"/>
        </w:rPr>
        <w:t>in addition to</w:t>
      </w:r>
      <w:r>
        <w:rPr>
          <w:color w:val="000000"/>
        </w:rPr>
        <w:t xml:space="preserve"> Healthcare</w:t>
      </w:r>
      <w:r w:rsidR="00196312">
        <w:rPr>
          <w:color w:val="000000"/>
        </w:rPr>
        <w:t>-</w:t>
      </w:r>
      <w:r>
        <w:rPr>
          <w:color w:val="000000"/>
        </w:rPr>
        <w:t>Associated Infec</w:t>
      </w:r>
      <w:r w:rsidR="00C52BF5">
        <w:rPr>
          <w:color w:val="000000"/>
        </w:rPr>
        <w:t>tion (HAI) measures</w:t>
      </w:r>
      <w:r w:rsidR="00196312">
        <w:rPr>
          <w:color w:val="000000"/>
        </w:rPr>
        <w:t xml:space="preserve"> and to add the Hospital Value-Based Purchasing and Hospital-Acquired Condition (HAC) Reduction Programs</w:t>
      </w:r>
      <w:r w:rsidR="00C52BF5">
        <w:rPr>
          <w:color w:val="000000"/>
        </w:rPr>
        <w:t xml:space="preserve">. </w:t>
      </w:r>
      <w:r>
        <w:rPr>
          <w:color w:val="000000"/>
        </w:rPr>
        <w:t xml:space="preserve"> The Extraordinary Circumstances Extension</w:t>
      </w:r>
      <w:r w:rsidR="00196312">
        <w:rPr>
          <w:color w:val="000000"/>
        </w:rPr>
        <w:t>s</w:t>
      </w:r>
      <w:r>
        <w:rPr>
          <w:color w:val="000000"/>
        </w:rPr>
        <w:t xml:space="preserve">/Exemptions Request Form is being updated so that it may now be used across the following programs: Hospital Inpatient Quality Reporting (IQR), Inpatient Psychiatric Facility Quality Reporting (IPFQR), PPS-Exempt Cancer Hospital Quality Reporting (PCHQR), HVBP, </w:t>
      </w:r>
      <w:r w:rsidR="00266BD9">
        <w:rPr>
          <w:color w:val="000000"/>
        </w:rPr>
        <w:t>HAC Reduction</w:t>
      </w:r>
      <w:r>
        <w:rPr>
          <w:color w:val="000000"/>
        </w:rPr>
        <w:t>, Hospital Readmission</w:t>
      </w:r>
      <w:r w:rsidR="00196312">
        <w:rPr>
          <w:color w:val="000000"/>
        </w:rPr>
        <w:t>s</w:t>
      </w:r>
      <w:r>
        <w:rPr>
          <w:color w:val="000000"/>
        </w:rPr>
        <w:t xml:space="preserve"> Reduction Program, Hospital Outpatient Quality Reporting (OQR), and Ambulatory Surgical Center Quality Reporting (ASCQR). </w:t>
      </w:r>
    </w:p>
    <w:p w:rsidR="007236A4" w:rsidRPr="00792D0B" w:rsidRDefault="007236A4" w:rsidP="007236A4">
      <w:pPr>
        <w:pStyle w:val="PlainText"/>
        <w:rPr>
          <w:rFonts w:ascii="Times New Roman" w:hAnsi="Times New Roman"/>
          <w:sz w:val="24"/>
          <w:szCs w:val="24"/>
        </w:rPr>
      </w:pPr>
    </w:p>
    <w:p w:rsidR="007236A4" w:rsidRPr="000C6729" w:rsidRDefault="000D165B" w:rsidP="007236A4">
      <w:pPr>
        <w:pStyle w:val="Heading1"/>
        <w:numPr>
          <w:ilvl w:val="0"/>
          <w:numId w:val="0"/>
        </w:numPr>
        <w:rPr>
          <w:u w:val="none"/>
        </w:rPr>
      </w:pPr>
      <w:r>
        <w:rPr>
          <w:u w:val="none"/>
        </w:rPr>
        <w:t>B</w:t>
      </w:r>
      <w:r w:rsidR="007236A4" w:rsidRPr="000C6729">
        <w:rPr>
          <w:u w:val="none"/>
        </w:rPr>
        <w:t>.  Justification</w:t>
      </w:r>
    </w:p>
    <w:p w:rsidR="007236A4" w:rsidRDefault="007236A4" w:rsidP="007236A4">
      <w:pPr>
        <w:pStyle w:val="Heading1"/>
        <w:numPr>
          <w:ilvl w:val="0"/>
          <w:numId w:val="0"/>
        </w:numPr>
      </w:pPr>
    </w:p>
    <w:p w:rsidR="007236A4" w:rsidRPr="00792D0B" w:rsidRDefault="000C6729" w:rsidP="000C6729">
      <w:pPr>
        <w:pStyle w:val="Heading1"/>
        <w:numPr>
          <w:ilvl w:val="0"/>
          <w:numId w:val="0"/>
        </w:numPr>
      </w:pPr>
      <w:r>
        <w:t xml:space="preserve">1.  </w:t>
      </w:r>
      <w:r w:rsidR="0056156B">
        <w:t>Need and Legal Basis</w:t>
      </w:r>
    </w:p>
    <w:p w:rsidR="007236A4" w:rsidRPr="00792D0B" w:rsidRDefault="007236A4" w:rsidP="007236A4">
      <w:pPr>
        <w:ind w:left="1080"/>
        <w:rPr>
          <w:u w:val="single"/>
        </w:rPr>
      </w:pPr>
    </w:p>
    <w:p w:rsidR="007236A4" w:rsidRPr="00792D0B" w:rsidRDefault="007236A4" w:rsidP="007236A4">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w:t>
      </w:r>
      <w:r w:rsidR="009C5D7D">
        <w:t>seven</w:t>
      </w:r>
      <w:r w:rsidRPr="00792D0B">
        <w:t xml:space="preserve"> new claims-based measure</w:t>
      </w:r>
      <w:r>
        <w:t>s</w:t>
      </w:r>
      <w:r w:rsidR="00196312">
        <w:t>,</w:t>
      </w:r>
      <w:r>
        <w:t xml:space="preserve"> </w:t>
      </w:r>
      <w:r w:rsidRPr="00792D0B">
        <w:t xml:space="preserve">every effort has been made to reduce burden by using secondary data.  However, claims-based measures have the disadvantage of not representing patients across all population and payer groups and also are limited in the depth of information available.   </w:t>
      </w:r>
    </w:p>
    <w:p w:rsidR="007236A4" w:rsidRPr="00380FB9" w:rsidRDefault="007236A4" w:rsidP="007236A4"/>
    <w:p w:rsidR="007236A4" w:rsidRDefault="007236A4" w:rsidP="007236A4">
      <w:r w:rsidRPr="00380FB9">
        <w:t>To begin participation in the Hospital IQR, all hospitals must complete a 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9C5D7D">
        <w:t>tals covered under Section 5001</w:t>
      </w:r>
      <w:r w:rsidRPr="00380FB9">
        <w:t>(b) of the Deficit Reduction Act of 2005 must complete a Notice of Participation.</w:t>
      </w:r>
      <w:r>
        <w:t xml:space="preserve"> </w:t>
      </w:r>
      <w:r w:rsidRPr="00380FB9">
        <w:t xml:space="preserve"> The form explains that in order to receive the full market basket update, the hospital</w:t>
      </w:r>
      <w:r w:rsidR="00196312">
        <w:t>s are</w:t>
      </w:r>
      <w:r w:rsidRPr="00380FB9">
        <w:t xml:space="preserve"> agreeing to allow CMS to publish their data for public viewing according to Sections 1886(b)(3)(B)(viii)(I) and (II) of the Social Security Act.  Hospitals</w:t>
      </w:r>
      <w:r w:rsidR="009C5D7D">
        <w:t xml:space="preserve"> not covered under Section 5001</w:t>
      </w:r>
      <w:r w:rsidRPr="00380FB9">
        <w:t xml:space="preserve">(b) of the Deficit Reduction Act </w:t>
      </w:r>
      <w:r w:rsidRPr="00380FB9">
        <w:lastRenderedPageBreak/>
        <w:t xml:space="preserve">of 2005 may also wish to submit data and have their data published for public viewing. </w:t>
      </w:r>
      <w:r>
        <w:t xml:space="preserve"> </w:t>
      </w:r>
      <w:r w:rsidRPr="00380FB9">
        <w:t>In order to accommodate those hospitals, and to allow hospi</w:t>
      </w:r>
      <w:r w:rsidR="009C5D7D">
        <w:t>tals covered under Section 5001</w:t>
      </w:r>
      <w:r w:rsidRPr="00380FB9">
        <w:t>(b) to submit data on measures that may not be required under Sections 1886(b)(3)(B)(viii)(I) and (II) of the Social Security Act</w:t>
      </w:r>
      <w:r w:rsidR="009C5D7D">
        <w:t>,</w:t>
      </w:r>
      <w:r w:rsidRPr="00380FB9">
        <w:t xml:space="preserve"> a separate</w:t>
      </w:r>
      <w:r>
        <w:t xml:space="preserve"> section of the </w:t>
      </w:r>
      <w:r w:rsidRPr="00380FB9">
        <w:t>pledge form has been developed.  This pledge</w:t>
      </w:r>
      <w:r>
        <w:t xml:space="preserve"> 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 </w:t>
      </w:r>
      <w:r w:rsidRPr="00B30999">
        <w:rPr>
          <w:i/>
        </w:rPr>
        <w:t>Hospital Compare</w:t>
      </w:r>
      <w:r w:rsidRPr="00380FB9">
        <w:t xml:space="preserve">. </w:t>
      </w:r>
      <w:r>
        <w:t xml:space="preserve"> </w:t>
      </w:r>
      <w:r w:rsidRPr="00380FB9">
        <w:t>In order to reduce burden, a hospital that indicated its intent to participate will be considered an active Hospital IQR participant until CMS determines a need to pledge again or the hospital submits a withdrawal to CMS.</w:t>
      </w:r>
      <w:r>
        <w:t xml:space="preserve">  </w:t>
      </w:r>
      <w:r w:rsidRPr="00380FB9">
        <w:t xml:space="preserve">Hospitals that no longer </w:t>
      </w:r>
      <w:r>
        <w:t>wish</w:t>
      </w:r>
      <w:r w:rsidRPr="00380FB9">
        <w:t xml:space="preserve"> to participate in the Hospital IQR program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Pledge form discussed above.  </w:t>
      </w:r>
    </w:p>
    <w:p w:rsidR="007236A4" w:rsidRPr="00380FB9" w:rsidRDefault="007236A4" w:rsidP="007236A4"/>
    <w:p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hospitals covered under Section 5001(b) of the Deficit Reduction Act of 2005 must complete a data accuracy and completeness acknowledgment 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acknowledgement that the data a hospital has submitted is complete and accurate</w:t>
      </w:r>
      <w:r>
        <w:t xml:space="preserve"> and is completed annually</w:t>
      </w:r>
      <w:r w:rsidRPr="00380FB9">
        <w:t>.</w:t>
      </w:r>
    </w:p>
    <w:p w:rsidR="007236A4" w:rsidRPr="00380FB9" w:rsidRDefault="007236A4" w:rsidP="007236A4"/>
    <w:p w:rsidR="007236A4" w:rsidRPr="00380FB9" w:rsidRDefault="007236A4" w:rsidP="007236A4">
      <w:r w:rsidRPr="00380FB9">
        <w:t>Hospitals that submit data not required by Sections 1886(b)(3)(B)(viii)(I) and (II) of the Social Security Act may elect to have th</w:t>
      </w:r>
      <w:r w:rsidR="00D82ED7">
        <w:t>ose</w:t>
      </w:r>
      <w:r w:rsidRPr="00380FB9">
        <w:t xml:space="preserve"> data withheld from public reporting by completing the </w:t>
      </w:r>
      <w:r w:rsidRPr="00380FB9">
        <w:rPr>
          <w:bCs/>
        </w:rPr>
        <w:t xml:space="preserve">Request for Withholding Data from Public Reporting form.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for Withholding </w:t>
      </w:r>
      <w:r w:rsidR="000321B0">
        <w:t>F</w:t>
      </w:r>
      <w:r w:rsidRPr="00380FB9">
        <w:t xml:space="preserve">orm indicating the measures the hospital would like to withhold from public reporting for the period. </w:t>
      </w:r>
    </w:p>
    <w:p w:rsidR="007236A4" w:rsidRDefault="007236A4" w:rsidP="007236A4">
      <w:pPr>
        <w:autoSpaceDE w:val="0"/>
        <w:autoSpaceDN w:val="0"/>
        <w:adjustRightInd w:val="0"/>
      </w:pPr>
    </w:p>
    <w:p w:rsidR="007236A4" w:rsidRPr="00380FB9" w:rsidRDefault="007236A4" w:rsidP="007236A4">
      <w:pPr>
        <w:autoSpaceDE w:val="0"/>
        <w:autoSpaceDN w:val="0"/>
        <w:adjustRightInd w:val="0"/>
      </w:pPr>
      <w:r w:rsidRPr="00380FB9">
        <w:t xml:space="preserve">CMS performs a random selection of Inpatient Prospective Payment Systems (IPPS) hospitals on an annual </w:t>
      </w:r>
      <w:r w:rsidR="009C5D7D">
        <w:t xml:space="preserve">basis </w:t>
      </w:r>
      <w:r w:rsidRPr="00380FB9">
        <w:t xml:space="preserve">for validation. </w:t>
      </w:r>
      <w:r w:rsidRPr="009549A8">
        <w:t xml:space="preserve"> </w:t>
      </w:r>
      <w:r>
        <w:t>Each hospital selected for</w:t>
      </w:r>
      <w:r w:rsidRPr="009549A8">
        <w:t xml:space="preserve"> validation is to produce a list of </w:t>
      </w:r>
      <w:r>
        <w:t>patients/lab results associated with the particular HAI being validated.  This process includes v</w:t>
      </w:r>
      <w:r w:rsidRPr="009549A8">
        <w:rPr>
          <w:color w:val="000000" w:themeColor="text1"/>
        </w:rPr>
        <w:t>alidation template</w:t>
      </w:r>
      <w:r>
        <w:rPr>
          <w:color w:val="000000" w:themeColor="text1"/>
        </w:rPr>
        <w:t>s for</w:t>
      </w:r>
      <w:r w:rsidRPr="009549A8">
        <w:rPr>
          <w:color w:val="000000" w:themeColor="text1"/>
        </w:rPr>
        <w:t xml:space="preserve"> CLABSI, CAUTI, MRSA</w:t>
      </w:r>
      <w:r w:rsidR="00D82ED7">
        <w:rPr>
          <w:color w:val="000000" w:themeColor="text1"/>
        </w:rPr>
        <w:t>,</w:t>
      </w:r>
      <w:r w:rsidRPr="009549A8">
        <w:rPr>
          <w:color w:val="000000" w:themeColor="text1"/>
        </w:rPr>
        <w:t xml:space="preserve"> and C</w:t>
      </w:r>
      <w:r>
        <w:rPr>
          <w:color w:val="000000" w:themeColor="text1"/>
        </w:rPr>
        <w:t>DI.</w:t>
      </w:r>
      <w:r w:rsidRPr="009549A8" w:rsidDel="00002418">
        <w:rPr>
          <w:color w:val="000000" w:themeColor="text1"/>
        </w:rPr>
        <w:t xml:space="preserve"> </w:t>
      </w:r>
      <w:r>
        <w:rPr>
          <w:color w:val="000000" w:themeColor="text1"/>
        </w:rPr>
        <w:t xml:space="preserve"> We finalized our proposal to divide the up to 600 hospitals selected for validation into two halves</w:t>
      </w:r>
      <w:r w:rsidR="00D82ED7">
        <w:rPr>
          <w:color w:val="000000" w:themeColor="text1"/>
        </w:rPr>
        <w:t>:</w:t>
      </w:r>
      <w:r>
        <w:rPr>
          <w:color w:val="000000" w:themeColor="text1"/>
        </w:rPr>
        <w:t xml:space="preserve"> approximately 300 would need to produce the CLABSI and CAUTI templates and the other 300 hospitals would need to only produce the MRSA and CDI templates. </w:t>
      </w:r>
    </w:p>
    <w:p w:rsidR="007236A4" w:rsidRPr="00380FB9" w:rsidRDefault="007236A4" w:rsidP="007236A4"/>
    <w:p w:rsidR="007236A4" w:rsidRDefault="007236A4" w:rsidP="007236A4">
      <w:r w:rsidRPr="00380FB9">
        <w:t>Hospitals that do treat the conditions or have treatment locations defined for the Healthcare</w:t>
      </w:r>
      <w:r w:rsidR="00D82ED7">
        <w:t>-</w:t>
      </w:r>
      <w:r w:rsidRPr="00380FB9">
        <w:t xml:space="preserve">Associated Infection/ National Healthcare Safety Network (NHSN)  measures have the option to either complete the enrollment process with NHSN and indicate that they do not have patients </w:t>
      </w:r>
      <w:r w:rsidR="00D82ED7">
        <w:t>who</w:t>
      </w:r>
      <w:r w:rsidR="00D82ED7" w:rsidRPr="00380FB9">
        <w:t xml:space="preserve"> </w:t>
      </w:r>
      <w:r w:rsidRPr="00380FB9">
        <w:t xml:space="preserve">meet the measures requirements or they can submit an Exception Request.  The </w:t>
      </w:r>
      <w:r w:rsidR="008132AC">
        <w:t>E</w:t>
      </w:r>
      <w:r>
        <w:t>xception</w:t>
      </w:r>
      <w:r w:rsidRPr="00380FB9">
        <w:t xml:space="preserve"> </w:t>
      </w:r>
      <w:r w:rsidR="008132AC">
        <w:t>R</w:t>
      </w:r>
      <w:r w:rsidRPr="00380FB9">
        <w:t xml:space="preserve">equest </w:t>
      </w:r>
      <w:r w:rsidR="008132AC">
        <w:t>F</w:t>
      </w:r>
      <w:r w:rsidRPr="00380FB9">
        <w:t>orm will reduce the burden of completing the entire NHSN enrollment process for the hospitals that meet the exception requirement.</w:t>
      </w:r>
    </w:p>
    <w:p w:rsidR="007236A4" w:rsidRPr="00380FB9" w:rsidRDefault="007236A4" w:rsidP="007236A4"/>
    <w:p w:rsidR="007236A4"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the Hospital Quality Reporting Program requirement(s), </w:t>
      </w:r>
      <w:r w:rsidRPr="005A2EEB">
        <w:rPr>
          <w:rFonts w:ascii="Times New Roman" w:hAnsi="Times New Roman" w:cs="Times New Roman"/>
          <w:szCs w:val="24"/>
        </w:rPr>
        <w:t xml:space="preserve">the hospital may submit a request for reconsideration to CMS, by the deadline </w:t>
      </w:r>
      <w:r w:rsidRPr="005A2EEB">
        <w:rPr>
          <w:rFonts w:ascii="Times New Roman" w:hAnsi="Times New Roman" w:cs="Times New Roman"/>
          <w:szCs w:val="24"/>
        </w:rPr>
        <w:lastRenderedPageBreak/>
        <w:t xml:space="preserve">identified on the Annual Payment Update Notification letter.  This form can be found online.  This form </w:t>
      </w:r>
      <w:r>
        <w:rPr>
          <w:rFonts w:ascii="Times New Roman" w:hAnsi="Times New Roman" w:cs="Times New Roman"/>
          <w:szCs w:val="24"/>
        </w:rPr>
        <w:t>was enabled</w:t>
      </w:r>
      <w:r w:rsidRPr="005A2EEB">
        <w:rPr>
          <w:rFonts w:ascii="Times New Roman" w:hAnsi="Times New Roman" w:cs="Times New Roman"/>
          <w:szCs w:val="24"/>
        </w:rPr>
        <w:t xml:space="preserve"> online beginning </w:t>
      </w:r>
      <w:r w:rsidR="00D82ED7">
        <w:rPr>
          <w:rFonts w:ascii="Times New Roman" w:hAnsi="Times New Roman" w:cs="Times New Roman"/>
          <w:szCs w:val="24"/>
        </w:rPr>
        <w:t xml:space="preserve">January </w:t>
      </w:r>
      <w:r w:rsidRPr="005A2EEB">
        <w:rPr>
          <w:rFonts w:ascii="Times New Roman" w:hAnsi="Times New Roman" w:cs="Times New Roman"/>
          <w:szCs w:val="24"/>
        </w:rPr>
        <w:t>1</w:t>
      </w:r>
      <w:r w:rsidR="00D82ED7">
        <w:rPr>
          <w:rFonts w:ascii="Times New Roman" w:hAnsi="Times New Roman" w:cs="Times New Roman"/>
          <w:szCs w:val="24"/>
        </w:rPr>
        <w:t>, 20</w:t>
      </w:r>
      <w:r w:rsidRPr="005A2EEB">
        <w:rPr>
          <w:rFonts w:ascii="Times New Roman" w:hAnsi="Times New Roman" w:cs="Times New Roman"/>
          <w:szCs w:val="24"/>
        </w:rPr>
        <w:t>13</w:t>
      </w:r>
      <w:r>
        <w:rPr>
          <w:rFonts w:ascii="Times New Roman" w:hAnsi="Times New Roman" w:cs="Times New Roman"/>
          <w:szCs w:val="24"/>
        </w:rPr>
        <w:t>.</w:t>
      </w:r>
    </w:p>
    <w:p w:rsidR="007236A4" w:rsidRDefault="007236A4" w:rsidP="007236A4">
      <w:pPr>
        <w:pStyle w:val="SCBodyText"/>
        <w:rPr>
          <w:rFonts w:ascii="Times New Roman" w:hAnsi="Times New Roman" w:cs="Times New Roman"/>
          <w:szCs w:val="24"/>
        </w:rPr>
      </w:pPr>
    </w:p>
    <w:p w:rsidR="007236A4" w:rsidRDefault="007236A4" w:rsidP="007236A4">
      <w:pPr>
        <w:pStyle w:val="SCBodyText"/>
        <w:rPr>
          <w:rFonts w:ascii="Times New Roman" w:hAnsi="Times New Roman" w:cs="Times New Roman"/>
          <w:szCs w:val="24"/>
        </w:rPr>
      </w:pPr>
      <w:r w:rsidRPr="008559A3">
        <w:rPr>
          <w:rFonts w:ascii="Times New Roman" w:hAnsi="Times New Roman" w:cs="Times New Roman"/>
          <w:szCs w:val="24"/>
        </w:rPr>
        <w:t xml:space="preserve">Hospitals may appeal the calculation of their performance assessment with respect to the performance standards, as well as their Total Performance Score (TPS). </w:t>
      </w:r>
      <w:r>
        <w:rPr>
          <w:rFonts w:ascii="Times New Roman" w:hAnsi="Times New Roman" w:cs="Times New Roman"/>
          <w:szCs w:val="24"/>
        </w:rPr>
        <w:t xml:space="preserve"> </w:t>
      </w:r>
      <w:r w:rsidR="008132AC" w:rsidRPr="008559A3">
        <w:rPr>
          <w:rFonts w:ascii="Times New Roman" w:hAnsi="Times New Roman" w:cs="Times New Roman"/>
          <w:szCs w:val="24"/>
        </w:rPr>
        <w:t>Hospitals may review and request recalculation of their hospital’s performance scores on each condition, domain, and Total Performance Score (TPS)</w:t>
      </w:r>
      <w:r w:rsidR="008132AC">
        <w:rPr>
          <w:rFonts w:ascii="Times New Roman" w:hAnsi="Times New Roman" w:cs="Times New Roman"/>
          <w:szCs w:val="24"/>
        </w:rPr>
        <w:t xml:space="preserve"> using the </w:t>
      </w:r>
      <w:r w:rsidR="008132AC" w:rsidRPr="005A2EEB">
        <w:rPr>
          <w:rFonts w:ascii="Times New Roman" w:hAnsi="Times New Roman" w:cs="Times New Roman"/>
          <w:szCs w:val="24"/>
        </w:rPr>
        <w:t>HVBP Review and Correction</w:t>
      </w:r>
      <w:r w:rsidR="00BB7C9A">
        <w:rPr>
          <w:rFonts w:ascii="Times New Roman" w:hAnsi="Times New Roman" w:cs="Times New Roman"/>
          <w:szCs w:val="24"/>
        </w:rPr>
        <w:t>s</w:t>
      </w:r>
      <w:r w:rsidR="008132AC" w:rsidRPr="005A2EEB">
        <w:rPr>
          <w:rFonts w:ascii="Times New Roman" w:hAnsi="Times New Roman" w:cs="Times New Roman"/>
          <w:szCs w:val="24"/>
        </w:rPr>
        <w:t xml:space="preserve"> Form</w:t>
      </w:r>
      <w:r w:rsidR="008132AC" w:rsidRPr="008559A3">
        <w:rPr>
          <w:rFonts w:ascii="Times New Roman" w:hAnsi="Times New Roman" w:cs="Times New Roman"/>
          <w:szCs w:val="24"/>
        </w:rPr>
        <w:t xml:space="preserve"> within 30 calendar days of the posting date of the Value-Based Percentage Payment Summary Report</w:t>
      </w:r>
      <w:r w:rsidR="008132AC">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HVBP Appeals Form</w:t>
      </w:r>
      <w:r>
        <w:rPr>
          <w:rFonts w:ascii="Times New Roman" w:hAnsi="Times New Roman" w:cs="Times New Roman"/>
          <w:szCs w:val="24"/>
        </w:rPr>
        <w:t xml:space="preserve"> </w:t>
      </w:r>
      <w:r w:rsidRPr="008559A3">
        <w:rPr>
          <w:rFonts w:ascii="Times New Roman" w:hAnsi="Times New Roman" w:cs="Times New Roman"/>
          <w:szCs w:val="24"/>
        </w:rPr>
        <w:t>within 30 calendar days of the date of the CMS</w:t>
      </w:r>
      <w:r>
        <w:rPr>
          <w:rFonts w:ascii="Times New Roman" w:hAnsi="Times New Roman" w:cs="Times New Roman"/>
          <w:szCs w:val="24"/>
        </w:rPr>
        <w:t xml:space="preserve"> </w:t>
      </w:r>
      <w:r w:rsidRPr="008559A3">
        <w:rPr>
          <w:rFonts w:ascii="Times New Roman" w:hAnsi="Times New Roman" w:cs="Times New Roman"/>
          <w:szCs w:val="24"/>
        </w:rPr>
        <w:t>receipt of CMS’ review and corrections decision letter.</w:t>
      </w:r>
    </w:p>
    <w:p w:rsidR="007236A4" w:rsidRPr="00380FB9" w:rsidRDefault="007236A4" w:rsidP="007236A4">
      <w:pPr>
        <w:pStyle w:val="SCBodyText"/>
        <w:rPr>
          <w:rFonts w:ascii="Times New Roman" w:hAnsi="Times New Roman" w:cs="Times New Roman"/>
          <w:i/>
          <w:szCs w:val="24"/>
        </w:rPr>
      </w:pPr>
      <w:r>
        <w:rPr>
          <w:rFonts w:ascii="Times New Roman" w:hAnsi="Times New Roman" w:cs="Times New Roman"/>
          <w:szCs w:val="24"/>
        </w:rPr>
        <w:t>All of the above mentioned forms have been submitted previously under OMB control number 0938-1022.</w:t>
      </w:r>
    </w:p>
    <w:p w:rsidR="007236A4" w:rsidRPr="00792D0B" w:rsidRDefault="007236A4" w:rsidP="007236A4">
      <w:pPr>
        <w:autoSpaceDE w:val="0"/>
        <w:autoSpaceDN w:val="0"/>
        <w:adjustRightInd w:val="0"/>
      </w:pPr>
    </w:p>
    <w:p w:rsidR="007236A4" w:rsidRPr="000D165B" w:rsidRDefault="000D165B" w:rsidP="000D165B">
      <w:pPr>
        <w:rPr>
          <w:u w:val="single"/>
        </w:rPr>
      </w:pPr>
      <w:r>
        <w:rPr>
          <w:u w:val="single"/>
        </w:rPr>
        <w:t xml:space="preserve">2.  </w:t>
      </w:r>
      <w:r w:rsidR="007236A4" w:rsidRPr="000D165B">
        <w:rPr>
          <w:u w:val="single"/>
        </w:rPr>
        <w:t>Information Users</w:t>
      </w:r>
    </w:p>
    <w:p w:rsidR="007236A4" w:rsidRPr="00B30999" w:rsidRDefault="007236A4" w:rsidP="007236A4">
      <w:pPr>
        <w:pStyle w:val="ListParagraph"/>
        <w:rPr>
          <w:u w:val="single"/>
        </w:rPr>
      </w:pPr>
    </w:p>
    <w:p w:rsidR="007236A4" w:rsidRPr="00792D0B" w:rsidRDefault="007236A4" w:rsidP="007236A4">
      <w:r w:rsidRPr="00792D0B">
        <w:t>CMS will use the information collected to set payment rates for value-based purchasing.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to provide hospital information to assist them in making decisions about their health care.  CMS conducts focus groups or market testing prior to public</w:t>
      </w:r>
      <w:r>
        <w:t>ly</w:t>
      </w:r>
      <w:r w:rsidRPr="00792D0B">
        <w:t xml:space="preserve"> reporting hospital quality data on the </w:t>
      </w:r>
      <w:r w:rsidRPr="00B30999">
        <w:rPr>
          <w:i/>
        </w:rPr>
        <w:t>Hospital Compare</w:t>
      </w:r>
      <w:r w:rsidRPr="00792D0B">
        <w:t xml:space="preserve"> website.</w:t>
      </w:r>
    </w:p>
    <w:p w:rsidR="007236A4" w:rsidRPr="00792D0B" w:rsidRDefault="007236A4" w:rsidP="007236A4"/>
    <w:p w:rsidR="007236A4" w:rsidRPr="000D165B" w:rsidRDefault="000D165B" w:rsidP="000D165B">
      <w:pPr>
        <w:rPr>
          <w:u w:val="single"/>
        </w:rPr>
      </w:pPr>
      <w:r>
        <w:rPr>
          <w:u w:val="single"/>
        </w:rPr>
        <w:t xml:space="preserve">3.  </w:t>
      </w:r>
      <w:r w:rsidR="007236A4" w:rsidRPr="000D165B">
        <w:rPr>
          <w:u w:val="single"/>
        </w:rPr>
        <w:t>Use of Information Technology</w:t>
      </w:r>
    </w:p>
    <w:p w:rsidR="007236A4" w:rsidRPr="00792D0B" w:rsidRDefault="007236A4" w:rsidP="007236A4">
      <w:pPr>
        <w:pStyle w:val="ListParagraph"/>
        <w:rPr>
          <w:u w:val="single"/>
        </w:rPr>
      </w:pPr>
    </w:p>
    <w:p w:rsidR="007236A4" w:rsidRPr="00792D0B" w:rsidRDefault="007236A4" w:rsidP="007236A4">
      <w:r w:rsidRPr="00792D0B">
        <w:t>To assist hospitals in standardizing data collection initiatives across the industry, CMS continue</w:t>
      </w:r>
      <w:r>
        <w:t>s</w:t>
      </w:r>
      <w:r w:rsidRPr="00792D0B">
        <w:t xml:space="preserve"> to improve </w:t>
      </w:r>
      <w:r>
        <w:t>data collection</w:t>
      </w:r>
      <w:r w:rsidRPr="00792D0B">
        <w:t xml:space="preserve"> tools </w:t>
      </w:r>
      <w:r>
        <w:t xml:space="preserve">in order </w:t>
      </w:r>
      <w:r w:rsidRPr="00792D0B">
        <w:t xml:space="preserve">to make data submission easier for hospitals, as well as increase the utility of the data provided by the hospitals.  </w:t>
      </w:r>
    </w:p>
    <w:p w:rsidR="007236A4" w:rsidRPr="00792D0B" w:rsidRDefault="007236A4" w:rsidP="007236A4"/>
    <w:p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rsidR="007236A4" w:rsidRPr="00792D0B" w:rsidRDefault="007236A4" w:rsidP="007236A4"/>
    <w:p w:rsidR="007236A4" w:rsidRPr="000D165B" w:rsidRDefault="000D165B" w:rsidP="000D165B">
      <w:pPr>
        <w:rPr>
          <w:u w:val="single"/>
        </w:rPr>
      </w:pPr>
      <w:r>
        <w:rPr>
          <w:u w:val="single"/>
        </w:rPr>
        <w:t xml:space="preserve">4.  </w:t>
      </w:r>
      <w:r w:rsidR="007236A4" w:rsidRPr="000D165B">
        <w:rPr>
          <w:u w:val="single"/>
        </w:rPr>
        <w:t xml:space="preserve">Duplication of Similar Information </w:t>
      </w:r>
    </w:p>
    <w:p w:rsidR="007236A4" w:rsidRPr="00B30999" w:rsidRDefault="007236A4" w:rsidP="007236A4">
      <w:pPr>
        <w:pStyle w:val="ListParagraph"/>
        <w:rPr>
          <w:u w:val="single"/>
        </w:rPr>
      </w:pPr>
    </w:p>
    <w:p w:rsidR="007236A4" w:rsidRPr="00792D0B" w:rsidRDefault="007236A4" w:rsidP="007236A4">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w:t>
      </w:r>
      <w:r w:rsidR="000321B0">
        <w:t xml:space="preserve">The Joint Commission </w:t>
      </w:r>
      <w:r w:rsidRPr="00792D0B">
        <w:t>for accreditation</w:t>
      </w:r>
      <w:r w:rsidR="00F2142F">
        <w:t xml:space="preserve">.  As required by statute, CMS </w:t>
      </w:r>
      <w:r w:rsidRPr="00792D0B">
        <w:t xml:space="preserve">maintains a set of quality measures which a hospital must report in order to receive the full annual payment update, and to qualify for payment incentives under VBP.  Except as otherwise noted above, all measures are aligned with </w:t>
      </w:r>
      <w:r w:rsidR="000321B0">
        <w:t>T</w:t>
      </w:r>
      <w:r w:rsidR="00936442">
        <w:t xml:space="preserve">he </w:t>
      </w:r>
      <w:r w:rsidRPr="00792D0B">
        <w:t>J</w:t>
      </w:r>
      <w:r w:rsidR="000321B0">
        <w:t xml:space="preserve">oint </w:t>
      </w:r>
      <w:r w:rsidR="000321B0" w:rsidRPr="00792D0B">
        <w:t>C</w:t>
      </w:r>
      <w:r w:rsidR="000321B0">
        <w:t>ommission</w:t>
      </w:r>
      <w:r w:rsidRPr="00792D0B">
        <w:t xml:space="preserve"> whenever possible.  J</w:t>
      </w:r>
      <w:r w:rsidR="000321B0">
        <w:t>oint-</w:t>
      </w:r>
      <w:r w:rsidR="000321B0">
        <w:lastRenderedPageBreak/>
        <w:t>Commission</w:t>
      </w:r>
      <w:r w:rsidRPr="00792D0B">
        <w:t xml:space="preserve">-accredited hospitals already collect and submit data on all chart-abstracted measures in the expanded set. </w:t>
      </w:r>
    </w:p>
    <w:p w:rsidR="007236A4" w:rsidRPr="00792D0B" w:rsidRDefault="007236A4" w:rsidP="007236A4"/>
    <w:p w:rsidR="007236A4" w:rsidRPr="000D165B" w:rsidRDefault="000D165B" w:rsidP="000D165B">
      <w:pPr>
        <w:rPr>
          <w:u w:val="single"/>
        </w:rPr>
      </w:pPr>
      <w:r>
        <w:rPr>
          <w:u w:val="single"/>
        </w:rPr>
        <w:t xml:space="preserve">5.  </w:t>
      </w:r>
      <w:r w:rsidR="007236A4" w:rsidRPr="000D165B">
        <w:rPr>
          <w:u w:val="single"/>
        </w:rPr>
        <w:t>Small Business</w:t>
      </w:r>
    </w:p>
    <w:p w:rsidR="007236A4" w:rsidRPr="00B30999" w:rsidRDefault="007236A4" w:rsidP="007236A4">
      <w:pPr>
        <w:pStyle w:val="ListParagraph"/>
        <w:rPr>
          <w:u w:val="single"/>
        </w:rPr>
      </w:pPr>
    </w:p>
    <w:p w:rsidR="007236A4" w:rsidRPr="00792D0B" w:rsidRDefault="007236A4" w:rsidP="007236A4">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7236A4" w:rsidRPr="00792D0B" w:rsidRDefault="007236A4" w:rsidP="007236A4"/>
    <w:p w:rsidR="007236A4" w:rsidRPr="000D165B" w:rsidRDefault="000D165B" w:rsidP="000D165B">
      <w:pPr>
        <w:rPr>
          <w:u w:val="single"/>
        </w:rPr>
      </w:pPr>
      <w:r>
        <w:rPr>
          <w:u w:val="single"/>
        </w:rPr>
        <w:t xml:space="preserve">6.  </w:t>
      </w:r>
      <w:r w:rsidR="007236A4" w:rsidRPr="000D165B">
        <w:rPr>
          <w:u w:val="single"/>
        </w:rPr>
        <w:t>Less Frequent Collection</w:t>
      </w:r>
    </w:p>
    <w:p w:rsidR="007236A4" w:rsidRPr="00B30999" w:rsidRDefault="007236A4" w:rsidP="007236A4">
      <w:pPr>
        <w:pStyle w:val="ListParagraph"/>
        <w:rPr>
          <w:u w:val="single"/>
        </w:rPr>
      </w:pPr>
    </w:p>
    <w:p w:rsidR="007236A4" w:rsidRPr="00792D0B" w:rsidRDefault="007236A4" w:rsidP="007236A4">
      <w:r w:rsidRPr="00792D0B">
        <w:t xml:space="preserve">We have designed the collection of quality </w:t>
      </w:r>
      <w:r>
        <w:t>measure</w:t>
      </w:r>
      <w:r w:rsidRPr="00792D0B">
        <w:t xml:space="preserve"> data to be the minimum necessary for data validation and calculation of summary figures to be </w:t>
      </w:r>
      <w:r>
        <w:t xml:space="preserve">used as </w:t>
      </w:r>
      <w:r w:rsidRPr="00792D0B">
        <w:t xml:space="preserve">reliable estimates of hospital performance.   </w:t>
      </w:r>
    </w:p>
    <w:p w:rsidR="007236A4" w:rsidRPr="00792D0B" w:rsidRDefault="007236A4" w:rsidP="007236A4"/>
    <w:p w:rsidR="007236A4" w:rsidRPr="000D165B" w:rsidRDefault="000D165B" w:rsidP="000D165B">
      <w:pPr>
        <w:rPr>
          <w:u w:val="single"/>
        </w:rPr>
      </w:pPr>
      <w:r>
        <w:rPr>
          <w:u w:val="single"/>
        </w:rPr>
        <w:t xml:space="preserve">7.  </w:t>
      </w:r>
      <w:r w:rsidR="007236A4" w:rsidRPr="000D165B">
        <w:rPr>
          <w:u w:val="single"/>
        </w:rPr>
        <w:t>Special Circumstances</w:t>
      </w:r>
    </w:p>
    <w:p w:rsidR="007236A4" w:rsidRPr="00B30999" w:rsidRDefault="007236A4" w:rsidP="007236A4">
      <w:pPr>
        <w:pStyle w:val="ListParagraph"/>
        <w:rPr>
          <w:u w:val="single"/>
        </w:rPr>
      </w:pPr>
    </w:p>
    <w:p w:rsidR="007236A4" w:rsidRPr="00792D0B" w:rsidRDefault="007236A4" w:rsidP="007236A4">
      <w:r w:rsidRPr="00792D0B">
        <w:t xml:space="preserve">Although participation is voluntary on the part of “subsection (d)” hospitals, all eligible hospitals must submit </w:t>
      </w:r>
      <w:r w:rsidR="00936442" w:rsidRPr="00792D0B">
        <w:t>th</w:t>
      </w:r>
      <w:r w:rsidR="00936442">
        <w:t>ese</w:t>
      </w:r>
      <w:r w:rsidR="00936442" w:rsidRPr="00792D0B">
        <w:t xml:space="preserve"> </w:t>
      </w:r>
      <w:r w:rsidRPr="00792D0B">
        <w:t xml:space="preserve">data in order to receive the full market basket update for the given fiscal year.  </w:t>
      </w:r>
    </w:p>
    <w:p w:rsidR="007236A4" w:rsidRPr="00792D0B" w:rsidRDefault="007236A4" w:rsidP="007236A4"/>
    <w:p w:rsidR="007236A4" w:rsidRPr="000D165B" w:rsidRDefault="000D165B" w:rsidP="000D165B">
      <w:pPr>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rsidR="007236A4" w:rsidRPr="00792D0B" w:rsidRDefault="007236A4" w:rsidP="007236A4"/>
    <w:p w:rsidR="007236A4" w:rsidRDefault="007236A4" w:rsidP="007236A4">
      <w:r w:rsidRPr="00792D0B">
        <w:t xml:space="preserve">A </w:t>
      </w:r>
      <w:r>
        <w:t xml:space="preserve">60-day </w:t>
      </w:r>
      <w:r w:rsidRPr="007A23DA">
        <w:rPr>
          <w:i/>
        </w:rPr>
        <w:t>Federal Register</w:t>
      </w:r>
      <w:r w:rsidRPr="00792D0B">
        <w:t xml:space="preserve"> </w:t>
      </w:r>
      <w:r>
        <w:t>n</w:t>
      </w:r>
      <w:r w:rsidRPr="00792D0B">
        <w:t>otice is anticipated to be published on August 1, 201</w:t>
      </w:r>
      <w:r w:rsidR="009C5D7D">
        <w:t>5</w:t>
      </w:r>
      <w:r w:rsidRPr="00792D0B">
        <w:t>.  The FY 201</w:t>
      </w:r>
      <w:r w:rsidR="009C5D7D">
        <w:t>6</w:t>
      </w:r>
      <w:r w:rsidRPr="00792D0B">
        <w:t xml:space="preserve"> IPPS Proposed Rule </w:t>
      </w:r>
      <w:r>
        <w:t xml:space="preserve">will also be published to the </w:t>
      </w:r>
      <w:r w:rsidRPr="007A23DA">
        <w:rPr>
          <w:i/>
        </w:rPr>
        <w:t>Federal Register</w:t>
      </w:r>
      <w:hyperlink r:id="rId8" w:history="1"/>
      <w:r w:rsidRPr="00792D0B">
        <w:t xml:space="preserve">.  Comments are currently being submitted on this notice, and CMS will respond to those comments accordingly.  </w:t>
      </w:r>
    </w:p>
    <w:p w:rsidR="007236A4" w:rsidRPr="00792D0B" w:rsidRDefault="007236A4" w:rsidP="007236A4"/>
    <w:p w:rsidR="007236A4" w:rsidRPr="00792D0B" w:rsidRDefault="007236A4" w:rsidP="007236A4">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7236A4" w:rsidRPr="00792D0B" w:rsidRDefault="007236A4" w:rsidP="007236A4"/>
    <w:p w:rsidR="007236A4" w:rsidRPr="000D165B" w:rsidRDefault="000D165B" w:rsidP="000D165B">
      <w:pPr>
        <w:rPr>
          <w:u w:val="single"/>
        </w:rPr>
      </w:pPr>
      <w:r>
        <w:rPr>
          <w:u w:val="single"/>
        </w:rPr>
        <w:t xml:space="preserve">9.  </w:t>
      </w:r>
      <w:r w:rsidR="007236A4" w:rsidRPr="000D165B">
        <w:rPr>
          <w:u w:val="single"/>
        </w:rPr>
        <w:t>Payment/Gift to Respondent</w:t>
      </w:r>
    </w:p>
    <w:p w:rsidR="007236A4" w:rsidRPr="00B30999" w:rsidRDefault="007236A4" w:rsidP="007236A4">
      <w:pPr>
        <w:pStyle w:val="ListParagraph"/>
        <w:rPr>
          <w:u w:val="single"/>
        </w:rPr>
      </w:pPr>
    </w:p>
    <w:p w:rsidR="007236A4" w:rsidRPr="00792D0B" w:rsidRDefault="007236A4" w:rsidP="007236A4">
      <w:r w:rsidRPr="00792D0B">
        <w:t>Under section 1886(b)(3)(B)(viii) of the Act, as modified by both the MMA and the DRA, hospitals are required to submit th</w:t>
      </w:r>
      <w:r w:rsidR="00936442">
        <w:t>ese</w:t>
      </w:r>
      <w:r w:rsidRPr="00792D0B">
        <w:t xml:space="preserve"> data in order to receive the full market basket update and to qualify for additional VBP incentives under Section 1886(o).  No other payments or gifts will be given to respondents for participation.</w:t>
      </w:r>
    </w:p>
    <w:p w:rsidR="007236A4" w:rsidRPr="00792D0B" w:rsidRDefault="007236A4" w:rsidP="007236A4"/>
    <w:p w:rsidR="007236A4" w:rsidRPr="000D165B" w:rsidRDefault="000D165B" w:rsidP="000D165B">
      <w:pPr>
        <w:rPr>
          <w:u w:val="single"/>
        </w:rPr>
      </w:pPr>
      <w:r>
        <w:rPr>
          <w:u w:val="single"/>
        </w:rPr>
        <w:t xml:space="preserve">10.  </w:t>
      </w:r>
      <w:r w:rsidR="007236A4" w:rsidRPr="000D165B">
        <w:rPr>
          <w:u w:val="single"/>
        </w:rPr>
        <w:t>Confidentiality</w:t>
      </w:r>
    </w:p>
    <w:p w:rsidR="007236A4" w:rsidRPr="00B30999" w:rsidRDefault="007236A4" w:rsidP="007236A4">
      <w:pPr>
        <w:pStyle w:val="ListParagraph"/>
        <w:rPr>
          <w:u w:val="single"/>
        </w:rPr>
      </w:pPr>
    </w:p>
    <w:p w:rsidR="007236A4" w:rsidRPr="00792D0B" w:rsidRDefault="007236A4" w:rsidP="007236A4">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w:t>
      </w:r>
      <w:r w:rsidRPr="00792D0B">
        <w:lastRenderedPageBreak/>
        <w:t xml:space="preserve">transmission of data are considered confidential forms of communication and are HIPAA compliant.  The clinical warehouse also voluntarily meets or exceeds the HIPAA standards. </w:t>
      </w:r>
    </w:p>
    <w:p w:rsidR="007236A4" w:rsidRPr="00792D0B" w:rsidRDefault="007236A4" w:rsidP="007236A4"/>
    <w:p w:rsidR="007236A4" w:rsidRPr="000D165B" w:rsidRDefault="000D165B" w:rsidP="000D165B">
      <w:pPr>
        <w:rPr>
          <w:u w:val="single"/>
        </w:rPr>
      </w:pPr>
      <w:r>
        <w:rPr>
          <w:u w:val="single"/>
        </w:rPr>
        <w:t xml:space="preserve">11.  </w:t>
      </w:r>
      <w:r w:rsidR="007236A4" w:rsidRPr="000D165B">
        <w:rPr>
          <w:u w:val="single"/>
        </w:rPr>
        <w:t>Sensitive Questions</w:t>
      </w:r>
    </w:p>
    <w:p w:rsidR="007236A4" w:rsidRPr="00792D0B" w:rsidRDefault="007236A4" w:rsidP="007236A4">
      <w:pPr>
        <w:rPr>
          <w:u w:val="single"/>
        </w:rPr>
      </w:pPr>
    </w:p>
    <w:p w:rsidR="007236A4" w:rsidRPr="00792D0B" w:rsidRDefault="007236A4" w:rsidP="007236A4">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 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data warehouse after the data </w:t>
      </w:r>
      <w:r w:rsidR="00936442">
        <w:t>are</w:t>
      </w:r>
      <w:r w:rsidR="00936442" w:rsidRPr="00792D0B">
        <w:t xml:space="preserve"> </w:t>
      </w:r>
      <w:r w:rsidRPr="00792D0B">
        <w:t xml:space="preserve">aggregated for release for public reporting will continue to be subject to the strict confidentiality regulations in 42 CFR Part 480.  </w:t>
      </w:r>
    </w:p>
    <w:p w:rsidR="007236A4" w:rsidRPr="00792D0B" w:rsidRDefault="007236A4" w:rsidP="007236A4"/>
    <w:p w:rsidR="007236A4" w:rsidRPr="000D165B" w:rsidRDefault="000D165B" w:rsidP="000D165B">
      <w:pPr>
        <w:rPr>
          <w:u w:val="single"/>
        </w:rPr>
      </w:pPr>
      <w:r>
        <w:rPr>
          <w:u w:val="single"/>
        </w:rPr>
        <w:t xml:space="preserve">12.  </w:t>
      </w:r>
      <w:r w:rsidR="007236A4" w:rsidRPr="000D165B">
        <w:rPr>
          <w:u w:val="single"/>
        </w:rPr>
        <w:t>Burden Estimate (Total Hours &amp; Wages)</w:t>
      </w:r>
    </w:p>
    <w:p w:rsidR="007236A4" w:rsidRPr="00792D0B" w:rsidRDefault="007236A4" w:rsidP="007236A4">
      <w:pPr>
        <w:rPr>
          <w:u w:val="single"/>
        </w:rPr>
      </w:pPr>
    </w:p>
    <w:p w:rsidR="007236A4" w:rsidRPr="00792D0B" w:rsidRDefault="007236A4" w:rsidP="007236A4">
      <w:r w:rsidRPr="00792D0B">
        <w:t xml:space="preserve">Section 5001(a) of the Deficit Reduction Act of 2005 (DRA) (Pub. L. 109-171) </w:t>
      </w:r>
    </w:p>
    <w:p w:rsidR="007236A4" w:rsidRPr="00792D0B" w:rsidRDefault="007236A4" w:rsidP="007236A4">
      <w:proofErr w:type="gramStart"/>
      <w:r w:rsidRPr="00792D0B">
        <w:t>sets</w:t>
      </w:r>
      <w:proofErr w:type="gramEnd"/>
      <w:r w:rsidRPr="00792D0B">
        <w:t xml:space="preserve"> out requirements for the Inpatient Quality Reporting program. </w:t>
      </w:r>
      <w:r>
        <w:t xml:space="preserve"> </w:t>
      </w:r>
      <w:r w:rsidRPr="00792D0B">
        <w:t>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w:t>
      </w:r>
      <w:r w:rsidR="00D348F6">
        <w:t>8</w:t>
      </w:r>
      <w:r w:rsidRPr="00792D0B">
        <w:t>.  This burden estimate includes newly added measures</w:t>
      </w:r>
      <w:r>
        <w:t>,</w:t>
      </w:r>
      <w:r w:rsidRPr="00792D0B">
        <w:t xml:space="preserve"> measure sets for which we are requesting renewal</w:t>
      </w:r>
      <w:r>
        <w:t>, as well as other activities resulting in hospital burden</w:t>
      </w:r>
      <w:r w:rsidRPr="00792D0B">
        <w:t>.  It excludes burden associated with the NHSN and HCAHPS measures, which are submitted under separate OMB numbers.</w:t>
      </w:r>
    </w:p>
    <w:p w:rsidR="007236A4" w:rsidRPr="00792D0B" w:rsidRDefault="007236A4" w:rsidP="007236A4"/>
    <w:p w:rsidR="007236A4" w:rsidRPr="00792D0B" w:rsidRDefault="007236A4" w:rsidP="007236A4">
      <w:r w:rsidRPr="002E1885">
        <w:t xml:space="preserve">We estimate the total burden </w:t>
      </w:r>
      <w:r w:rsidRPr="00F2142F">
        <w:t xml:space="preserve">as being approximately </w:t>
      </w:r>
      <w:r w:rsidR="00031C9A">
        <w:t>7.6</w:t>
      </w:r>
      <w:r w:rsidRPr="00F2142F">
        <w:t xml:space="preserve"> million hours for 3,300 IPPS hospitals and an </w:t>
      </w:r>
      <w:r w:rsidR="00F2142F" w:rsidRPr="00F2142F">
        <w:t>additional 0.4</w:t>
      </w:r>
      <w:r w:rsidRPr="00F2142F">
        <w:t xml:space="preserve"> million hours for another 1,100 non-IPPS hospitals, for a total of approximately </w:t>
      </w:r>
      <w:r w:rsidR="00F2142F" w:rsidRPr="00F2142F">
        <w:t>8 million hours.</w:t>
      </w:r>
      <w:r w:rsidRPr="00F2142F">
        <w:t> </w:t>
      </w:r>
      <w:r w:rsidR="007922C9">
        <w:t xml:space="preserve"> </w:t>
      </w:r>
      <w:r w:rsidRPr="00F2142F">
        <w:t>The average reporting burden per hospital is smaller for non-IPPS hospitals</w:t>
      </w:r>
      <w:r w:rsidRPr="002E1885">
        <w:t xml:space="preserve"> than for IPPS hospitals.  This is most likely because the non-IPPS hospitals submit</w:t>
      </w:r>
      <w:r>
        <w:t xml:space="preserve"> measures voluntarily and therefore may choose to do so for only a subset of the measure sets.  </w:t>
      </w:r>
    </w:p>
    <w:p w:rsidR="007236A4" w:rsidRPr="00792D0B" w:rsidRDefault="007236A4" w:rsidP="007236A4"/>
    <w:p w:rsidR="007236A4" w:rsidRDefault="007236A4" w:rsidP="007236A4">
      <w:pPr>
        <w:rPr>
          <w:rStyle w:val="CommentReference"/>
        </w:rPr>
      </w:pPr>
      <w:r>
        <w:t>T</w:t>
      </w:r>
      <w:r w:rsidRPr="00792D0B">
        <w:t xml:space="preserve">he assumptions </w:t>
      </w:r>
      <w:r>
        <w:t>used</w:t>
      </w:r>
      <w:r w:rsidRPr="00792D0B">
        <w:t xml:space="preserve"> to compute these estimates</w:t>
      </w:r>
      <w:r>
        <w:t xml:space="preserve"> are described here.</w:t>
      </w:r>
      <w:r w:rsidR="007922C9">
        <w:t xml:space="preserve"> </w:t>
      </w:r>
      <w:r w:rsidRPr="00271594">
        <w:t xml:space="preserve"> </w:t>
      </w:r>
      <w:r>
        <w:t xml:space="preserve">All abstraction time estimates for the global (ED/IMM) population sets came directly from </w:t>
      </w:r>
      <w:r w:rsidR="00313705">
        <w:t xml:space="preserve">our Clinical Data Abstraction Contractor (CDAC) </w:t>
      </w:r>
      <w:r>
        <w:t xml:space="preserve">experience.  Numbers of cases per topic area for these measure sets and stroke and VTE, were extrapolated from data submitted to the clinical data warehouse between </w:t>
      </w:r>
      <w:r w:rsidR="00D348F6" w:rsidRPr="00345092">
        <w:t xml:space="preserve">the 3rd quarter in 2013 </w:t>
      </w:r>
      <w:r w:rsidR="00D348F6">
        <w:t>and</w:t>
      </w:r>
      <w:r w:rsidR="00D348F6" w:rsidRPr="00345092">
        <w:t xml:space="preserve"> the 2nd quarter in 2014</w:t>
      </w:r>
      <w:r>
        <w:t xml:space="preserve">.  Volume estimates for the perinatal care and sepsis measures were estimated from data on the number of expected claims per hospital from the National Hospital Discharge Survey 2010.  Abstraction time estimates per record for perinatal care and sepsis were assessed based on complexity and similarity with other measure sets.  The mean times reported by our CDAC are rounded to the nearest </w:t>
      </w:r>
      <w:r w:rsidR="00313705">
        <w:t>five</w:t>
      </w:r>
      <w:r>
        <w:t xml:space="preserve"> minutes and used for all hospitals.  </w:t>
      </w:r>
    </w:p>
    <w:p w:rsidR="007236A4" w:rsidRDefault="007236A4" w:rsidP="007236A4"/>
    <w:p w:rsidR="007236A4" w:rsidRDefault="007236A4" w:rsidP="007236A4">
      <w:r>
        <w:t xml:space="preserve">The total time required per hospital is highly variable.  The time required per record measure set also varies.  The number of records per hospital per measure set depends on the bed size of </w:t>
      </w:r>
      <w:r>
        <w:lastRenderedPageBreak/>
        <w:t xml:space="preserve">the hospital and the patient case mix.  Moreover, the distribution of hospital bed sizes varies by measure set. </w:t>
      </w:r>
    </w:p>
    <w:p w:rsidR="009366CC" w:rsidRDefault="009366CC" w:rsidP="007236A4"/>
    <w:tbl>
      <w:tblPr>
        <w:tblW w:w="9060" w:type="dxa"/>
        <w:tblInd w:w="113" w:type="dxa"/>
        <w:tblLook w:val="04A0" w:firstRow="1" w:lastRow="0" w:firstColumn="1" w:lastColumn="0" w:noHBand="0" w:noVBand="1"/>
      </w:tblPr>
      <w:tblGrid>
        <w:gridCol w:w="2028"/>
        <w:gridCol w:w="1378"/>
        <w:gridCol w:w="1123"/>
        <w:gridCol w:w="1104"/>
        <w:gridCol w:w="1451"/>
        <w:gridCol w:w="1976"/>
      </w:tblGrid>
      <w:tr w:rsidR="009366CC" w:rsidRPr="009366CC" w:rsidTr="00031C9A">
        <w:trPr>
          <w:trHeight w:val="765"/>
        </w:trPr>
        <w:tc>
          <w:tcPr>
            <w:tcW w:w="2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Measure Set</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Estimated time per record (minutes)</w:t>
            </w:r>
          </w:p>
        </w:tc>
        <w:tc>
          <w:tcPr>
            <w:tcW w:w="11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Number reporting quarters per year</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Number of hospitals reporting</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Average number records per hospital per quarter</w:t>
            </w:r>
          </w:p>
        </w:tc>
        <w:tc>
          <w:tcPr>
            <w:tcW w:w="1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xml:space="preserve">Annual  burden  (hours) </w:t>
            </w:r>
            <w:r w:rsidR="00936442">
              <w:rPr>
                <w:color w:val="000000"/>
                <w:sz w:val="22"/>
                <w:szCs w:val="22"/>
              </w:rPr>
              <w:t>a</w:t>
            </w:r>
            <w:r w:rsidRPr="009366CC">
              <w:rPr>
                <w:color w:val="000000"/>
                <w:sz w:val="22"/>
                <w:szCs w:val="22"/>
              </w:rPr>
              <w:t xml:space="preserve">cross </w:t>
            </w:r>
            <w:r w:rsidR="00936442">
              <w:rPr>
                <w:color w:val="000000"/>
                <w:sz w:val="22"/>
                <w:szCs w:val="22"/>
              </w:rPr>
              <w:t>h</w:t>
            </w:r>
            <w:r w:rsidRPr="009366CC">
              <w:rPr>
                <w:color w:val="000000"/>
                <w:sz w:val="22"/>
                <w:szCs w:val="22"/>
              </w:rPr>
              <w:t>ospitals</w:t>
            </w:r>
          </w:p>
        </w:tc>
      </w:tr>
      <w:tr w:rsidR="009366CC" w:rsidRPr="009366CC" w:rsidTr="00031C9A">
        <w:trPr>
          <w:trHeight w:val="315"/>
        </w:trPr>
        <w:tc>
          <w:tcPr>
            <w:tcW w:w="2028"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r>
      <w:tr w:rsidR="009366CC" w:rsidRPr="009366CC" w:rsidTr="00031C9A">
        <w:trPr>
          <w:trHeight w:val="360"/>
        </w:trPr>
        <w:tc>
          <w:tcPr>
            <w:tcW w:w="2028"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9366CC" w:rsidRPr="009366CC" w:rsidRDefault="009366CC" w:rsidP="009366CC">
            <w:pPr>
              <w:rPr>
                <w:color w:val="000000"/>
                <w:sz w:val="22"/>
                <w:szCs w:val="22"/>
              </w:rPr>
            </w:pPr>
          </w:p>
        </w:tc>
      </w:tr>
      <w:tr w:rsidR="009366CC" w:rsidRPr="009366CC" w:rsidTr="00031C9A">
        <w:trPr>
          <w:trHeight w:val="440"/>
        </w:trPr>
        <w:tc>
          <w:tcPr>
            <w:tcW w:w="2028" w:type="dxa"/>
            <w:tcBorders>
              <w:top w:val="nil"/>
              <w:left w:val="single" w:sz="4" w:space="0" w:color="auto"/>
              <w:bottom w:val="single" w:sz="4"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CHART ABSTRACTION</w:t>
            </w:r>
          </w:p>
        </w:tc>
        <w:tc>
          <w:tcPr>
            <w:tcW w:w="1378" w:type="dxa"/>
            <w:tcBorders>
              <w:top w:val="nil"/>
              <w:left w:val="nil"/>
              <w:bottom w:val="single" w:sz="4" w:space="0" w:color="auto"/>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123" w:type="dxa"/>
            <w:tcBorders>
              <w:top w:val="nil"/>
              <w:left w:val="nil"/>
              <w:bottom w:val="single" w:sz="4" w:space="0" w:color="auto"/>
              <w:right w:val="nil"/>
            </w:tcBorders>
            <w:shd w:val="clear" w:color="000000" w:fill="FFFFFF"/>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104" w:type="dxa"/>
            <w:tcBorders>
              <w:top w:val="nil"/>
              <w:left w:val="nil"/>
              <w:bottom w:val="single" w:sz="4" w:space="0" w:color="auto"/>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451" w:type="dxa"/>
            <w:tcBorders>
              <w:top w:val="nil"/>
              <w:left w:val="nil"/>
              <w:bottom w:val="single" w:sz="4" w:space="0" w:color="auto"/>
              <w:right w:val="nil"/>
            </w:tcBorders>
            <w:shd w:val="clear" w:color="000000" w:fill="FFFFFF"/>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976"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r>
      <w:tr w:rsidR="009366CC" w:rsidRPr="009366CC" w:rsidTr="009366CC">
        <w:trPr>
          <w:trHeight w:val="368"/>
        </w:trPr>
        <w:tc>
          <w:tcPr>
            <w:tcW w:w="9060" w:type="dxa"/>
            <w:gridSpan w:val="6"/>
            <w:tcBorders>
              <w:top w:val="single" w:sz="4" w:space="0" w:color="auto"/>
              <w:left w:val="single" w:sz="8"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b/>
                <w:bCs/>
                <w:color w:val="000000"/>
                <w:sz w:val="22"/>
                <w:szCs w:val="22"/>
              </w:rPr>
            </w:pPr>
            <w:r w:rsidRPr="009366CC">
              <w:rPr>
                <w:b/>
                <w:bCs/>
                <w:color w:val="000000"/>
                <w:sz w:val="22"/>
                <w:szCs w:val="22"/>
              </w:rPr>
              <w:t>IPPS Hospitals (3,300)</w:t>
            </w:r>
          </w:p>
        </w:tc>
      </w:tr>
      <w:tr w:rsidR="009366CC" w:rsidRPr="009366CC" w:rsidTr="00031C9A">
        <w:trPr>
          <w:trHeight w:val="197"/>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Heart failure (HF)</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15</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59</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194,205</w:t>
            </w:r>
          </w:p>
        </w:tc>
      </w:tr>
      <w:tr w:rsidR="009366CC" w:rsidRPr="009366CC" w:rsidTr="00031C9A">
        <w:trPr>
          <w:trHeight w:val="30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Pneumonia (PN)</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35</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71</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544,159</w:t>
            </w:r>
          </w:p>
        </w:tc>
      </w:tr>
      <w:tr w:rsidR="009366CC" w:rsidRPr="009366CC" w:rsidTr="00031C9A">
        <w:trPr>
          <w:trHeight w:val="90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Surgical care improvement project (SCIP)</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50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110</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1,213,300</w:t>
            </w:r>
          </w:p>
        </w:tc>
      </w:tr>
      <w:tr w:rsidR="009366CC" w:rsidRPr="009366CC" w:rsidTr="00031C9A">
        <w:trPr>
          <w:trHeight w:val="1200"/>
        </w:trPr>
        <w:tc>
          <w:tcPr>
            <w:tcW w:w="2028" w:type="dxa"/>
            <w:tcBorders>
              <w:top w:val="nil"/>
              <w:left w:val="single" w:sz="8" w:space="0" w:color="auto"/>
              <w:bottom w:val="single" w:sz="4" w:space="0" w:color="auto"/>
              <w:right w:val="nil"/>
            </w:tcBorders>
            <w:shd w:val="clear" w:color="000000" w:fill="FFFFFF"/>
            <w:vAlign w:val="center"/>
            <w:hideMark/>
          </w:tcPr>
          <w:p w:rsidR="00936442" w:rsidRDefault="009366CC" w:rsidP="009366CC">
            <w:pPr>
              <w:rPr>
                <w:color w:val="000000"/>
                <w:sz w:val="22"/>
                <w:szCs w:val="22"/>
              </w:rPr>
            </w:pPr>
            <w:r w:rsidRPr="009366CC">
              <w:rPr>
                <w:color w:val="000000"/>
                <w:sz w:val="22"/>
                <w:szCs w:val="22"/>
              </w:rPr>
              <w:t>Emergency department (ED) throughput/</w:t>
            </w:r>
          </w:p>
          <w:p w:rsidR="009366CC" w:rsidRPr="009366CC" w:rsidRDefault="009366CC" w:rsidP="009366CC">
            <w:pPr>
              <w:rPr>
                <w:color w:val="000000"/>
                <w:sz w:val="22"/>
                <w:szCs w:val="22"/>
              </w:rPr>
            </w:pPr>
            <w:r w:rsidRPr="009366CC">
              <w:rPr>
                <w:color w:val="000000"/>
                <w:sz w:val="22"/>
                <w:szCs w:val="22"/>
              </w:rPr>
              <w:t>Immunizations (IMM)</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35</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260</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1,998,843</w:t>
            </w:r>
          </w:p>
        </w:tc>
      </w:tr>
      <w:tr w:rsidR="009366CC" w:rsidRPr="009366CC" w:rsidTr="00031C9A">
        <w:trPr>
          <w:trHeight w:val="30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Stroke (STK)</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031C9A" w:rsidP="009366CC">
            <w:pPr>
              <w:jc w:val="right"/>
              <w:rPr>
                <w:color w:val="000000"/>
                <w:sz w:val="22"/>
                <w:szCs w:val="22"/>
              </w:rPr>
            </w:pPr>
            <w:r>
              <w:rPr>
                <w:color w:val="000000"/>
                <w:sz w:val="22"/>
                <w:szCs w:val="22"/>
              </w:rPr>
              <w:t>3</w:t>
            </w:r>
            <w:r w:rsidR="009366CC" w:rsidRPr="009C5D7D">
              <w:rPr>
                <w:color w:val="000000"/>
                <w:sz w:val="22"/>
                <w:szCs w:val="22"/>
              </w:rPr>
              <w:t>5</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39</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031C9A" w:rsidP="009366CC">
            <w:pPr>
              <w:jc w:val="right"/>
              <w:rPr>
                <w:color w:val="000000"/>
                <w:sz w:val="22"/>
                <w:szCs w:val="22"/>
              </w:rPr>
            </w:pPr>
            <w:r>
              <w:rPr>
                <w:color w:val="000000"/>
                <w:sz w:val="22"/>
                <w:szCs w:val="22"/>
              </w:rPr>
              <w:t>303,534</w:t>
            </w:r>
          </w:p>
        </w:tc>
      </w:tr>
      <w:tr w:rsidR="009366CC" w:rsidRPr="009366CC" w:rsidTr="00031C9A">
        <w:trPr>
          <w:trHeight w:val="278"/>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Venous thromboembolism (VTE)</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031C9A" w:rsidP="009366CC">
            <w:pPr>
              <w:jc w:val="right"/>
              <w:rPr>
                <w:color w:val="000000"/>
                <w:sz w:val="22"/>
                <w:szCs w:val="22"/>
              </w:rPr>
            </w:pPr>
            <w:r>
              <w:rPr>
                <w:color w:val="000000"/>
                <w:sz w:val="22"/>
                <w:szCs w:val="22"/>
              </w:rPr>
              <w:t>4</w:t>
            </w:r>
            <w:r w:rsidRPr="009C5D7D">
              <w:rPr>
                <w:color w:val="000000"/>
                <w:sz w:val="22"/>
                <w:szCs w:val="22"/>
              </w:rPr>
              <w:t>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198</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031C9A" w:rsidP="009366CC">
            <w:pPr>
              <w:jc w:val="right"/>
              <w:rPr>
                <w:color w:val="000000"/>
                <w:sz w:val="22"/>
                <w:szCs w:val="22"/>
              </w:rPr>
            </w:pPr>
            <w:r>
              <w:rPr>
                <w:color w:val="000000"/>
                <w:sz w:val="22"/>
                <w:szCs w:val="22"/>
              </w:rPr>
              <w:t>1,742,840</w:t>
            </w:r>
          </w:p>
        </w:tc>
      </w:tr>
      <w:tr w:rsidR="009366CC" w:rsidRPr="009366CC" w:rsidTr="00031C9A">
        <w:trPr>
          <w:trHeight w:val="30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Sepsis Measures</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60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100</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1,320,000</w:t>
            </w:r>
          </w:p>
        </w:tc>
      </w:tr>
      <w:tr w:rsidR="009366CC" w:rsidRPr="009366CC" w:rsidTr="00031C9A">
        <w:trPr>
          <w:trHeight w:val="315"/>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Perinatal care (PC)</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3,300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76</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167,200</w:t>
            </w:r>
          </w:p>
        </w:tc>
      </w:tr>
      <w:tr w:rsidR="009366CC" w:rsidRPr="009366CC" w:rsidTr="00031C9A">
        <w:trPr>
          <w:trHeight w:val="115"/>
        </w:trPr>
        <w:tc>
          <w:tcPr>
            <w:tcW w:w="2028" w:type="dxa"/>
            <w:tcBorders>
              <w:top w:val="single" w:sz="8" w:space="0" w:color="auto"/>
              <w:left w:val="single" w:sz="8" w:space="0" w:color="auto"/>
              <w:bottom w:val="single" w:sz="8"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Subtotal IPPS chart-based</w:t>
            </w:r>
          </w:p>
        </w:tc>
        <w:tc>
          <w:tcPr>
            <w:tcW w:w="1378" w:type="dxa"/>
            <w:tcBorders>
              <w:top w:val="nil"/>
              <w:left w:val="nil"/>
              <w:bottom w:val="single" w:sz="8" w:space="0" w:color="auto"/>
              <w:right w:val="nil"/>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 </w:t>
            </w:r>
          </w:p>
        </w:tc>
        <w:tc>
          <w:tcPr>
            <w:tcW w:w="1123" w:type="dxa"/>
            <w:tcBorders>
              <w:top w:val="nil"/>
              <w:left w:val="nil"/>
              <w:bottom w:val="single" w:sz="8" w:space="0" w:color="auto"/>
              <w:right w:val="nil"/>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9366CC" w:rsidRPr="009C5D7D" w:rsidRDefault="009366CC" w:rsidP="009366CC">
            <w:pPr>
              <w:jc w:val="center"/>
              <w:rPr>
                <w:color w:val="000000"/>
                <w:sz w:val="22"/>
                <w:szCs w:val="22"/>
              </w:rPr>
            </w:pPr>
            <w:r w:rsidRPr="009C5D7D">
              <w:rPr>
                <w:color w:val="000000"/>
                <w:sz w:val="22"/>
                <w:szCs w:val="22"/>
              </w:rPr>
              <w:t> </w:t>
            </w:r>
          </w:p>
        </w:tc>
        <w:tc>
          <w:tcPr>
            <w:tcW w:w="1451" w:type="dxa"/>
            <w:tcBorders>
              <w:top w:val="nil"/>
              <w:left w:val="nil"/>
              <w:bottom w:val="single" w:sz="8" w:space="0" w:color="auto"/>
              <w:right w:val="nil"/>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 </w:t>
            </w:r>
          </w:p>
        </w:tc>
        <w:tc>
          <w:tcPr>
            <w:tcW w:w="1976" w:type="dxa"/>
            <w:tcBorders>
              <w:top w:val="nil"/>
              <w:left w:val="nil"/>
              <w:bottom w:val="single" w:sz="8" w:space="0" w:color="auto"/>
              <w:right w:val="single" w:sz="8" w:space="0" w:color="auto"/>
            </w:tcBorders>
            <w:shd w:val="clear" w:color="000000" w:fill="FFFFFF"/>
            <w:noWrap/>
            <w:vAlign w:val="center"/>
            <w:hideMark/>
          </w:tcPr>
          <w:p w:rsidR="009366CC" w:rsidRPr="009C5D7D" w:rsidRDefault="00031C9A" w:rsidP="009366CC">
            <w:pPr>
              <w:jc w:val="right"/>
              <w:rPr>
                <w:color w:val="000000"/>
                <w:sz w:val="22"/>
                <w:szCs w:val="22"/>
              </w:rPr>
            </w:pPr>
            <w:r>
              <w:rPr>
                <w:color w:val="000000"/>
                <w:sz w:val="22"/>
                <w:szCs w:val="22"/>
              </w:rPr>
              <w:t>7,484,081</w:t>
            </w:r>
          </w:p>
        </w:tc>
      </w:tr>
      <w:tr w:rsidR="009366CC" w:rsidRPr="009366CC" w:rsidTr="00031C9A">
        <w:trPr>
          <w:trHeight w:val="315"/>
        </w:trPr>
        <w:tc>
          <w:tcPr>
            <w:tcW w:w="2028" w:type="dxa"/>
            <w:tcBorders>
              <w:top w:val="nil"/>
              <w:left w:val="single" w:sz="8" w:space="0" w:color="auto"/>
              <w:bottom w:val="single" w:sz="8"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 </w:t>
            </w:r>
          </w:p>
        </w:tc>
        <w:tc>
          <w:tcPr>
            <w:tcW w:w="1378" w:type="dxa"/>
            <w:tcBorders>
              <w:top w:val="nil"/>
              <w:left w:val="nil"/>
              <w:bottom w:val="single" w:sz="8" w:space="0" w:color="auto"/>
              <w:right w:val="nil"/>
            </w:tcBorders>
            <w:shd w:val="clear" w:color="000000" w:fill="FFFFFF"/>
            <w:noWrap/>
            <w:vAlign w:val="center"/>
            <w:hideMark/>
          </w:tcPr>
          <w:p w:rsidR="009366CC" w:rsidRPr="009366CC" w:rsidRDefault="009366CC" w:rsidP="009366CC">
            <w:pPr>
              <w:jc w:val="right"/>
              <w:rPr>
                <w:rFonts w:ascii="Calibri" w:hAnsi="Calibri"/>
                <w:color w:val="000000"/>
                <w:sz w:val="22"/>
                <w:szCs w:val="22"/>
              </w:rPr>
            </w:pPr>
            <w:r w:rsidRPr="009366CC">
              <w:rPr>
                <w:rFonts w:ascii="Calibri" w:hAnsi="Calibri"/>
                <w:color w:val="000000"/>
                <w:sz w:val="22"/>
                <w:szCs w:val="22"/>
              </w:rPr>
              <w:t> </w:t>
            </w:r>
          </w:p>
        </w:tc>
        <w:tc>
          <w:tcPr>
            <w:tcW w:w="1123" w:type="dxa"/>
            <w:tcBorders>
              <w:top w:val="nil"/>
              <w:left w:val="nil"/>
              <w:bottom w:val="single" w:sz="8" w:space="0" w:color="auto"/>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451" w:type="dxa"/>
            <w:tcBorders>
              <w:top w:val="nil"/>
              <w:left w:val="nil"/>
              <w:bottom w:val="single" w:sz="8" w:space="0" w:color="auto"/>
              <w:right w:val="nil"/>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 </w:t>
            </w:r>
          </w:p>
        </w:tc>
        <w:tc>
          <w:tcPr>
            <w:tcW w:w="1976" w:type="dxa"/>
            <w:tcBorders>
              <w:top w:val="nil"/>
              <w:left w:val="nil"/>
              <w:bottom w:val="single" w:sz="8" w:space="0" w:color="auto"/>
              <w:right w:val="single" w:sz="8" w:space="0" w:color="auto"/>
            </w:tcBorders>
            <w:shd w:val="clear" w:color="000000" w:fill="FFFFFF"/>
            <w:noWrap/>
            <w:vAlign w:val="center"/>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r>
      <w:tr w:rsidR="009366CC" w:rsidRPr="009366CC" w:rsidTr="009366CC">
        <w:trPr>
          <w:trHeight w:val="300"/>
        </w:trPr>
        <w:tc>
          <w:tcPr>
            <w:tcW w:w="9060" w:type="dxa"/>
            <w:gridSpan w:val="6"/>
            <w:tcBorders>
              <w:top w:val="single" w:sz="8" w:space="0" w:color="auto"/>
              <w:left w:val="single" w:sz="8" w:space="0" w:color="auto"/>
              <w:bottom w:val="single" w:sz="4" w:space="0" w:color="auto"/>
              <w:right w:val="single" w:sz="4" w:space="0" w:color="auto"/>
            </w:tcBorders>
            <w:shd w:val="clear" w:color="000000" w:fill="FFFFFF"/>
            <w:vAlign w:val="center"/>
            <w:hideMark/>
          </w:tcPr>
          <w:p w:rsidR="009366CC" w:rsidRPr="009366CC" w:rsidRDefault="009366CC" w:rsidP="009366CC">
            <w:pPr>
              <w:jc w:val="center"/>
              <w:rPr>
                <w:b/>
                <w:bCs/>
                <w:color w:val="000000"/>
                <w:sz w:val="22"/>
                <w:szCs w:val="22"/>
              </w:rPr>
            </w:pPr>
            <w:r w:rsidRPr="009366CC">
              <w:rPr>
                <w:b/>
                <w:bCs/>
                <w:color w:val="000000"/>
                <w:sz w:val="22"/>
                <w:szCs w:val="22"/>
              </w:rPr>
              <w:t>Non-IPPS Hospitals (1,100)</w:t>
            </w:r>
          </w:p>
        </w:tc>
      </w:tr>
      <w:tr w:rsidR="009366CC" w:rsidRPr="009366CC" w:rsidTr="00031C9A">
        <w:trPr>
          <w:trHeight w:val="615"/>
        </w:trPr>
        <w:tc>
          <w:tcPr>
            <w:tcW w:w="2028" w:type="dxa"/>
            <w:tcBorders>
              <w:top w:val="single" w:sz="8" w:space="0" w:color="auto"/>
              <w:left w:val="single" w:sz="8" w:space="0" w:color="auto"/>
              <w:bottom w:val="single" w:sz="8"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Subtotal Non-IPPS chart-based</w:t>
            </w:r>
          </w:p>
        </w:tc>
        <w:tc>
          <w:tcPr>
            <w:tcW w:w="1378" w:type="dxa"/>
            <w:tcBorders>
              <w:top w:val="single" w:sz="8" w:space="0" w:color="auto"/>
              <w:left w:val="nil"/>
              <w:bottom w:val="single" w:sz="8" w:space="0" w:color="auto"/>
              <w:right w:val="nil"/>
            </w:tcBorders>
            <w:shd w:val="clear" w:color="000000" w:fill="FFFFFF"/>
            <w:noWrap/>
            <w:vAlign w:val="center"/>
            <w:hideMark/>
          </w:tcPr>
          <w:p w:rsidR="009366CC" w:rsidRPr="009366CC" w:rsidRDefault="009366CC" w:rsidP="009366CC">
            <w:pPr>
              <w:jc w:val="right"/>
              <w:rPr>
                <w:rFonts w:ascii="Calibri" w:hAnsi="Calibri"/>
                <w:color w:val="000000"/>
                <w:sz w:val="22"/>
                <w:szCs w:val="22"/>
              </w:rPr>
            </w:pPr>
            <w:r w:rsidRPr="009366CC">
              <w:rPr>
                <w:rFonts w:ascii="Calibri" w:hAnsi="Calibri"/>
                <w:color w:val="000000"/>
                <w:sz w:val="22"/>
                <w:szCs w:val="22"/>
              </w:rPr>
              <w:t> </w:t>
            </w:r>
          </w:p>
        </w:tc>
        <w:tc>
          <w:tcPr>
            <w:tcW w:w="1123" w:type="dxa"/>
            <w:tcBorders>
              <w:top w:val="single" w:sz="8" w:space="0" w:color="auto"/>
              <w:left w:val="nil"/>
              <w:bottom w:val="single" w:sz="8" w:space="0" w:color="auto"/>
              <w:right w:val="nil"/>
            </w:tcBorders>
            <w:shd w:val="clear" w:color="000000" w:fill="FFFFFF"/>
            <w:vAlign w:val="center"/>
            <w:hideMark/>
          </w:tcPr>
          <w:p w:rsidR="009366CC" w:rsidRPr="009366CC" w:rsidRDefault="009366CC" w:rsidP="009366CC">
            <w:pPr>
              <w:jc w:val="center"/>
              <w:rPr>
                <w:color w:val="000000"/>
                <w:sz w:val="22"/>
                <w:szCs w:val="22"/>
                <w:u w:val="single"/>
              </w:rPr>
            </w:pPr>
            <w:r w:rsidRPr="009366CC">
              <w:rPr>
                <w:color w:val="000000"/>
                <w:sz w:val="22"/>
                <w:szCs w:val="22"/>
                <w:u w:val="single"/>
              </w:rPr>
              <w:t> </w:t>
            </w:r>
          </w:p>
        </w:tc>
        <w:tc>
          <w:tcPr>
            <w:tcW w:w="1104" w:type="dxa"/>
            <w:tcBorders>
              <w:top w:val="single" w:sz="8" w:space="0" w:color="auto"/>
              <w:left w:val="nil"/>
              <w:bottom w:val="single" w:sz="8" w:space="0" w:color="auto"/>
              <w:right w:val="nil"/>
            </w:tcBorders>
            <w:shd w:val="clear" w:color="000000" w:fill="FFFFFF"/>
            <w:vAlign w:val="center"/>
            <w:hideMark/>
          </w:tcPr>
          <w:p w:rsidR="009366CC" w:rsidRPr="009366CC" w:rsidRDefault="009366CC" w:rsidP="009366CC">
            <w:pPr>
              <w:jc w:val="center"/>
              <w:rPr>
                <w:color w:val="000000"/>
                <w:sz w:val="22"/>
                <w:szCs w:val="22"/>
                <w:u w:val="single"/>
              </w:rPr>
            </w:pPr>
            <w:r w:rsidRPr="009366CC">
              <w:rPr>
                <w:color w:val="000000"/>
                <w:sz w:val="22"/>
                <w:szCs w:val="22"/>
                <w:u w:val="single"/>
              </w:rPr>
              <w:t> </w:t>
            </w:r>
          </w:p>
        </w:tc>
        <w:tc>
          <w:tcPr>
            <w:tcW w:w="1451" w:type="dxa"/>
            <w:tcBorders>
              <w:top w:val="single" w:sz="8" w:space="0" w:color="auto"/>
              <w:left w:val="nil"/>
              <w:bottom w:val="single" w:sz="8" w:space="0" w:color="auto"/>
              <w:right w:val="nil"/>
            </w:tcBorders>
            <w:shd w:val="clear" w:color="000000" w:fill="FFFFFF"/>
            <w:noWrap/>
            <w:vAlign w:val="center"/>
            <w:hideMark/>
          </w:tcPr>
          <w:p w:rsidR="009366CC" w:rsidRPr="009366CC" w:rsidRDefault="009366CC" w:rsidP="009366CC">
            <w:pPr>
              <w:jc w:val="right"/>
              <w:rPr>
                <w:color w:val="000000"/>
                <w:sz w:val="22"/>
                <w:szCs w:val="22"/>
                <w:u w:val="single"/>
              </w:rPr>
            </w:pPr>
            <w:r w:rsidRPr="009366CC">
              <w:rPr>
                <w:color w:val="000000"/>
                <w:sz w:val="22"/>
                <w:szCs w:val="22"/>
                <w:u w:val="single"/>
              </w:rPr>
              <w:t> </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rsidR="009366CC" w:rsidRPr="009C5D7D" w:rsidRDefault="009366CC" w:rsidP="009366CC">
            <w:pPr>
              <w:jc w:val="right"/>
              <w:rPr>
                <w:color w:val="000000"/>
                <w:sz w:val="22"/>
                <w:szCs w:val="22"/>
              </w:rPr>
            </w:pPr>
            <w:r w:rsidRPr="009C5D7D">
              <w:rPr>
                <w:color w:val="000000"/>
                <w:sz w:val="22"/>
                <w:szCs w:val="22"/>
              </w:rPr>
              <w:t>373,380</w:t>
            </w:r>
          </w:p>
        </w:tc>
      </w:tr>
      <w:tr w:rsidR="009366CC" w:rsidRPr="009366CC" w:rsidTr="00031C9A">
        <w:trPr>
          <w:trHeight w:val="412"/>
        </w:trPr>
        <w:tc>
          <w:tcPr>
            <w:tcW w:w="2028" w:type="dxa"/>
            <w:tcBorders>
              <w:top w:val="nil"/>
              <w:left w:val="single" w:sz="8" w:space="0" w:color="auto"/>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Subtotal IPPS and Non-IPPS chart-based</w:t>
            </w:r>
          </w:p>
        </w:tc>
        <w:tc>
          <w:tcPr>
            <w:tcW w:w="1378"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b/>
                <w:bCs/>
                <w:color w:val="000000"/>
                <w:sz w:val="22"/>
                <w:szCs w:val="22"/>
              </w:rPr>
            </w:pPr>
            <w:r w:rsidRPr="009366CC">
              <w:rPr>
                <w:rFonts w:ascii="Calibri" w:hAnsi="Calibri"/>
                <w:b/>
                <w:bCs/>
                <w:color w:val="000000"/>
                <w:sz w:val="22"/>
                <w:szCs w:val="22"/>
              </w:rPr>
              <w:t> </w:t>
            </w:r>
          </w:p>
        </w:tc>
        <w:tc>
          <w:tcPr>
            <w:tcW w:w="1123" w:type="dxa"/>
            <w:tcBorders>
              <w:top w:val="nil"/>
              <w:left w:val="nil"/>
              <w:bottom w:val="single" w:sz="8" w:space="0" w:color="auto"/>
              <w:right w:val="nil"/>
            </w:tcBorders>
            <w:shd w:val="clear" w:color="000000" w:fill="FFFFFF"/>
            <w:vAlign w:val="center"/>
            <w:hideMark/>
          </w:tcPr>
          <w:p w:rsidR="009366CC" w:rsidRPr="009366CC" w:rsidRDefault="009366CC" w:rsidP="009366CC">
            <w:pPr>
              <w:jc w:val="center"/>
              <w:rPr>
                <w:b/>
                <w:bCs/>
                <w:color w:val="000000"/>
                <w:sz w:val="22"/>
                <w:szCs w:val="22"/>
              </w:rPr>
            </w:pPr>
            <w:r w:rsidRPr="009366CC">
              <w:rPr>
                <w:b/>
                <w:bCs/>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9366CC" w:rsidRPr="009366CC" w:rsidRDefault="009366CC" w:rsidP="009366CC">
            <w:pPr>
              <w:jc w:val="center"/>
              <w:rPr>
                <w:b/>
                <w:bCs/>
                <w:color w:val="000000"/>
                <w:sz w:val="22"/>
                <w:szCs w:val="22"/>
              </w:rPr>
            </w:pPr>
            <w:r w:rsidRPr="009366CC">
              <w:rPr>
                <w:b/>
                <w:bCs/>
                <w:color w:val="000000"/>
                <w:sz w:val="22"/>
                <w:szCs w:val="22"/>
              </w:rPr>
              <w:t> </w:t>
            </w:r>
          </w:p>
        </w:tc>
        <w:tc>
          <w:tcPr>
            <w:tcW w:w="1451"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b/>
                <w:bCs/>
                <w:color w:val="000000"/>
                <w:sz w:val="22"/>
                <w:szCs w:val="22"/>
              </w:rPr>
            </w:pPr>
            <w:r w:rsidRPr="009366CC">
              <w:rPr>
                <w:rFonts w:ascii="Calibri" w:hAnsi="Calibri"/>
                <w:b/>
                <w:bCs/>
                <w:color w:val="000000"/>
                <w:sz w:val="22"/>
                <w:szCs w:val="22"/>
              </w:rPr>
              <w:t> </w:t>
            </w:r>
          </w:p>
        </w:tc>
        <w:tc>
          <w:tcPr>
            <w:tcW w:w="1976" w:type="dxa"/>
            <w:tcBorders>
              <w:top w:val="nil"/>
              <w:left w:val="nil"/>
              <w:bottom w:val="single" w:sz="8" w:space="0" w:color="auto"/>
              <w:right w:val="single" w:sz="8" w:space="0" w:color="auto"/>
            </w:tcBorders>
            <w:shd w:val="clear" w:color="000000" w:fill="FFFFFF"/>
            <w:noWrap/>
            <w:vAlign w:val="center"/>
            <w:hideMark/>
          </w:tcPr>
          <w:p w:rsidR="009366CC" w:rsidRPr="009C5D7D" w:rsidRDefault="00031C9A" w:rsidP="009366CC">
            <w:pPr>
              <w:jc w:val="right"/>
              <w:rPr>
                <w:b/>
                <w:bCs/>
                <w:color w:val="000000"/>
                <w:sz w:val="22"/>
                <w:szCs w:val="22"/>
              </w:rPr>
            </w:pPr>
            <w:r>
              <w:rPr>
                <w:b/>
                <w:bCs/>
                <w:color w:val="000000"/>
                <w:sz w:val="22"/>
                <w:szCs w:val="22"/>
              </w:rPr>
              <w:t>7,857,461</w:t>
            </w:r>
          </w:p>
        </w:tc>
      </w:tr>
      <w:tr w:rsidR="009366CC" w:rsidRPr="009366CC" w:rsidTr="00031C9A">
        <w:trPr>
          <w:trHeight w:val="315"/>
        </w:trPr>
        <w:tc>
          <w:tcPr>
            <w:tcW w:w="2028" w:type="dxa"/>
            <w:tcBorders>
              <w:top w:val="nil"/>
              <w:left w:val="single" w:sz="8" w:space="0" w:color="auto"/>
              <w:bottom w:val="nil"/>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 </w:t>
            </w:r>
          </w:p>
        </w:tc>
        <w:tc>
          <w:tcPr>
            <w:tcW w:w="1378" w:type="dxa"/>
            <w:tcBorders>
              <w:top w:val="nil"/>
              <w:left w:val="nil"/>
              <w:bottom w:val="nil"/>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123" w:type="dxa"/>
            <w:tcBorders>
              <w:top w:val="nil"/>
              <w:left w:val="nil"/>
              <w:bottom w:val="nil"/>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104" w:type="dxa"/>
            <w:tcBorders>
              <w:top w:val="nil"/>
              <w:left w:val="nil"/>
              <w:bottom w:val="nil"/>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451" w:type="dxa"/>
            <w:tcBorders>
              <w:top w:val="nil"/>
              <w:left w:val="nil"/>
              <w:bottom w:val="nil"/>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976" w:type="dxa"/>
            <w:tcBorders>
              <w:top w:val="nil"/>
              <w:left w:val="nil"/>
              <w:bottom w:val="nil"/>
              <w:right w:val="single" w:sz="8"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 </w:t>
            </w:r>
          </w:p>
        </w:tc>
      </w:tr>
      <w:tr w:rsidR="009366CC" w:rsidRPr="009366CC" w:rsidTr="00031C9A">
        <w:trPr>
          <w:trHeight w:val="300"/>
        </w:trPr>
        <w:tc>
          <w:tcPr>
            <w:tcW w:w="2028" w:type="dxa"/>
            <w:tcBorders>
              <w:top w:val="single" w:sz="8" w:space="0" w:color="auto"/>
              <w:left w:val="single" w:sz="8" w:space="0" w:color="auto"/>
              <w:bottom w:val="nil"/>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 </w:t>
            </w:r>
          </w:p>
        </w:tc>
        <w:tc>
          <w:tcPr>
            <w:tcW w:w="1378" w:type="dxa"/>
            <w:vMerge w:val="restart"/>
            <w:tcBorders>
              <w:top w:val="single" w:sz="8" w:space="0" w:color="auto"/>
              <w:left w:val="nil"/>
              <w:bottom w:val="nil"/>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123" w:type="dxa"/>
            <w:vMerge w:val="restart"/>
            <w:tcBorders>
              <w:top w:val="single" w:sz="8" w:space="0" w:color="auto"/>
              <w:left w:val="nil"/>
              <w:bottom w:val="nil"/>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104" w:type="dxa"/>
            <w:vMerge w:val="restart"/>
            <w:tcBorders>
              <w:top w:val="single" w:sz="8" w:space="0" w:color="auto"/>
              <w:left w:val="nil"/>
              <w:bottom w:val="nil"/>
              <w:right w:val="nil"/>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 </w:t>
            </w:r>
          </w:p>
        </w:tc>
        <w:tc>
          <w:tcPr>
            <w:tcW w:w="1451" w:type="dxa"/>
            <w:vMerge w:val="restart"/>
            <w:tcBorders>
              <w:top w:val="single" w:sz="8" w:space="0" w:color="auto"/>
              <w:left w:val="nil"/>
              <w:bottom w:val="nil"/>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976" w:type="dxa"/>
            <w:vMerge w:val="restart"/>
            <w:tcBorders>
              <w:top w:val="single" w:sz="8" w:space="0" w:color="auto"/>
              <w:left w:val="nil"/>
              <w:bottom w:val="nil"/>
              <w:right w:val="single" w:sz="8" w:space="0" w:color="auto"/>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r>
      <w:tr w:rsidR="009366CC" w:rsidRPr="009366CC" w:rsidTr="00031C9A">
        <w:trPr>
          <w:trHeight w:val="570"/>
        </w:trPr>
        <w:tc>
          <w:tcPr>
            <w:tcW w:w="2028" w:type="dxa"/>
            <w:tcBorders>
              <w:top w:val="nil"/>
              <w:left w:val="single" w:sz="8" w:space="0" w:color="auto"/>
              <w:bottom w:val="nil"/>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OTHER ACTIVITIES</w:t>
            </w:r>
          </w:p>
        </w:tc>
        <w:tc>
          <w:tcPr>
            <w:tcW w:w="1378" w:type="dxa"/>
            <w:vMerge/>
            <w:tcBorders>
              <w:top w:val="single" w:sz="8" w:space="0" w:color="auto"/>
              <w:left w:val="nil"/>
              <w:bottom w:val="nil"/>
              <w:right w:val="nil"/>
            </w:tcBorders>
            <w:vAlign w:val="center"/>
            <w:hideMark/>
          </w:tcPr>
          <w:p w:rsidR="009366CC" w:rsidRPr="009366CC" w:rsidRDefault="009366CC" w:rsidP="009366CC">
            <w:pPr>
              <w:rPr>
                <w:rFonts w:ascii="Calibri" w:hAnsi="Calibri"/>
                <w:color w:val="000000"/>
                <w:sz w:val="22"/>
                <w:szCs w:val="22"/>
              </w:rPr>
            </w:pPr>
          </w:p>
        </w:tc>
        <w:tc>
          <w:tcPr>
            <w:tcW w:w="1123" w:type="dxa"/>
            <w:vMerge/>
            <w:tcBorders>
              <w:top w:val="single" w:sz="8" w:space="0" w:color="auto"/>
              <w:left w:val="nil"/>
              <w:bottom w:val="nil"/>
              <w:right w:val="nil"/>
            </w:tcBorders>
            <w:vAlign w:val="center"/>
            <w:hideMark/>
          </w:tcPr>
          <w:p w:rsidR="009366CC" w:rsidRPr="009366CC" w:rsidRDefault="009366CC" w:rsidP="009366CC">
            <w:pPr>
              <w:rPr>
                <w:color w:val="000000"/>
                <w:sz w:val="22"/>
                <w:szCs w:val="22"/>
              </w:rPr>
            </w:pPr>
          </w:p>
        </w:tc>
        <w:tc>
          <w:tcPr>
            <w:tcW w:w="1104" w:type="dxa"/>
            <w:vMerge/>
            <w:tcBorders>
              <w:top w:val="single" w:sz="8" w:space="0" w:color="auto"/>
              <w:left w:val="nil"/>
              <w:bottom w:val="nil"/>
              <w:right w:val="nil"/>
            </w:tcBorders>
            <w:vAlign w:val="center"/>
            <w:hideMark/>
          </w:tcPr>
          <w:p w:rsidR="009366CC" w:rsidRPr="009366CC" w:rsidRDefault="009366CC" w:rsidP="009366CC">
            <w:pPr>
              <w:rPr>
                <w:color w:val="000000"/>
                <w:sz w:val="22"/>
                <w:szCs w:val="22"/>
              </w:rPr>
            </w:pPr>
          </w:p>
        </w:tc>
        <w:tc>
          <w:tcPr>
            <w:tcW w:w="1451" w:type="dxa"/>
            <w:vMerge/>
            <w:tcBorders>
              <w:top w:val="single" w:sz="8" w:space="0" w:color="auto"/>
              <w:left w:val="nil"/>
              <w:bottom w:val="nil"/>
              <w:right w:val="nil"/>
            </w:tcBorders>
            <w:vAlign w:val="center"/>
            <w:hideMark/>
          </w:tcPr>
          <w:p w:rsidR="009366CC" w:rsidRPr="009366CC" w:rsidRDefault="009366CC" w:rsidP="009366CC">
            <w:pPr>
              <w:rPr>
                <w:rFonts w:ascii="Calibri" w:hAnsi="Calibri"/>
                <w:color w:val="000000"/>
                <w:sz w:val="22"/>
                <w:szCs w:val="22"/>
              </w:rPr>
            </w:pPr>
          </w:p>
        </w:tc>
        <w:tc>
          <w:tcPr>
            <w:tcW w:w="1976" w:type="dxa"/>
            <w:vMerge/>
            <w:tcBorders>
              <w:top w:val="single" w:sz="8" w:space="0" w:color="auto"/>
              <w:left w:val="nil"/>
              <w:bottom w:val="nil"/>
              <w:right w:val="single" w:sz="8" w:space="0" w:color="auto"/>
            </w:tcBorders>
            <w:vAlign w:val="center"/>
            <w:hideMark/>
          </w:tcPr>
          <w:p w:rsidR="009366CC" w:rsidRPr="009366CC" w:rsidRDefault="009366CC" w:rsidP="009366CC">
            <w:pPr>
              <w:rPr>
                <w:rFonts w:ascii="Calibri" w:hAnsi="Calibri"/>
                <w:color w:val="000000"/>
                <w:sz w:val="22"/>
                <w:szCs w:val="22"/>
              </w:rPr>
            </w:pPr>
          </w:p>
        </w:tc>
      </w:tr>
      <w:tr w:rsidR="009366CC" w:rsidRPr="009366CC" w:rsidTr="00031C9A">
        <w:trPr>
          <w:trHeight w:val="60"/>
        </w:trPr>
        <w:tc>
          <w:tcPr>
            <w:tcW w:w="2028" w:type="dxa"/>
            <w:tcBorders>
              <w:top w:val="nil"/>
              <w:left w:val="single" w:sz="8" w:space="0" w:color="auto"/>
              <w:bottom w:val="nil"/>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All Hospitals (3,300 IPPS + 1,100 non-IPPS)</w:t>
            </w:r>
          </w:p>
        </w:tc>
        <w:tc>
          <w:tcPr>
            <w:tcW w:w="1378" w:type="dxa"/>
            <w:vMerge/>
            <w:tcBorders>
              <w:top w:val="single" w:sz="8" w:space="0" w:color="auto"/>
              <w:left w:val="nil"/>
              <w:bottom w:val="nil"/>
              <w:right w:val="nil"/>
            </w:tcBorders>
            <w:vAlign w:val="center"/>
            <w:hideMark/>
          </w:tcPr>
          <w:p w:rsidR="009366CC" w:rsidRPr="009366CC" w:rsidRDefault="009366CC" w:rsidP="009366CC">
            <w:pPr>
              <w:rPr>
                <w:rFonts w:ascii="Calibri" w:hAnsi="Calibri"/>
                <w:color w:val="000000"/>
                <w:sz w:val="22"/>
                <w:szCs w:val="22"/>
              </w:rPr>
            </w:pPr>
          </w:p>
        </w:tc>
        <w:tc>
          <w:tcPr>
            <w:tcW w:w="1123" w:type="dxa"/>
            <w:vMerge/>
            <w:tcBorders>
              <w:top w:val="single" w:sz="8" w:space="0" w:color="auto"/>
              <w:left w:val="nil"/>
              <w:bottom w:val="nil"/>
              <w:right w:val="nil"/>
            </w:tcBorders>
            <w:vAlign w:val="center"/>
            <w:hideMark/>
          </w:tcPr>
          <w:p w:rsidR="009366CC" w:rsidRPr="009366CC" w:rsidRDefault="009366CC" w:rsidP="009366CC">
            <w:pPr>
              <w:rPr>
                <w:color w:val="000000"/>
                <w:sz w:val="22"/>
                <w:szCs w:val="22"/>
              </w:rPr>
            </w:pPr>
          </w:p>
        </w:tc>
        <w:tc>
          <w:tcPr>
            <w:tcW w:w="1104" w:type="dxa"/>
            <w:vMerge/>
            <w:tcBorders>
              <w:top w:val="single" w:sz="8" w:space="0" w:color="auto"/>
              <w:left w:val="nil"/>
              <w:bottom w:val="nil"/>
              <w:right w:val="nil"/>
            </w:tcBorders>
            <w:vAlign w:val="center"/>
            <w:hideMark/>
          </w:tcPr>
          <w:p w:rsidR="009366CC" w:rsidRPr="009366CC" w:rsidRDefault="009366CC" w:rsidP="009366CC">
            <w:pPr>
              <w:rPr>
                <w:color w:val="000000"/>
                <w:sz w:val="22"/>
                <w:szCs w:val="22"/>
              </w:rPr>
            </w:pPr>
          </w:p>
        </w:tc>
        <w:tc>
          <w:tcPr>
            <w:tcW w:w="1451" w:type="dxa"/>
            <w:vMerge/>
            <w:tcBorders>
              <w:top w:val="single" w:sz="8" w:space="0" w:color="auto"/>
              <w:left w:val="nil"/>
              <w:bottom w:val="nil"/>
              <w:right w:val="nil"/>
            </w:tcBorders>
            <w:vAlign w:val="center"/>
            <w:hideMark/>
          </w:tcPr>
          <w:p w:rsidR="009366CC" w:rsidRPr="009366CC" w:rsidRDefault="009366CC" w:rsidP="009366CC">
            <w:pPr>
              <w:rPr>
                <w:rFonts w:ascii="Calibri" w:hAnsi="Calibri"/>
                <w:color w:val="000000"/>
                <w:sz w:val="22"/>
                <w:szCs w:val="22"/>
              </w:rPr>
            </w:pPr>
          </w:p>
        </w:tc>
        <w:tc>
          <w:tcPr>
            <w:tcW w:w="1976" w:type="dxa"/>
            <w:vMerge/>
            <w:tcBorders>
              <w:top w:val="single" w:sz="8" w:space="0" w:color="auto"/>
              <w:left w:val="nil"/>
              <w:bottom w:val="nil"/>
              <w:right w:val="single" w:sz="8" w:space="0" w:color="auto"/>
            </w:tcBorders>
            <w:vAlign w:val="center"/>
            <w:hideMark/>
          </w:tcPr>
          <w:p w:rsidR="009366CC" w:rsidRPr="009366CC" w:rsidRDefault="009366CC" w:rsidP="009366CC">
            <w:pPr>
              <w:rPr>
                <w:rFonts w:ascii="Calibri" w:hAnsi="Calibri"/>
                <w:color w:val="000000"/>
                <w:sz w:val="22"/>
                <w:szCs w:val="22"/>
              </w:rPr>
            </w:pPr>
          </w:p>
        </w:tc>
      </w:tr>
      <w:tr w:rsidR="009366CC" w:rsidRPr="009366CC" w:rsidTr="00031C9A">
        <w:trPr>
          <w:trHeight w:val="900"/>
        </w:trPr>
        <w:tc>
          <w:tcPr>
            <w:tcW w:w="2028" w:type="dxa"/>
            <w:tcBorders>
              <w:top w:val="single" w:sz="4" w:space="0" w:color="auto"/>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lastRenderedPageBreak/>
              <w:t>Population and sampling for 8 ongoing measure sets</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15</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4,400</w:t>
            </w:r>
          </w:p>
        </w:tc>
        <w:tc>
          <w:tcPr>
            <w:tcW w:w="1451" w:type="dxa"/>
            <w:tcBorders>
              <w:top w:val="single" w:sz="4" w:space="0" w:color="auto"/>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8</w:t>
            </w:r>
          </w:p>
        </w:tc>
        <w:tc>
          <w:tcPr>
            <w:tcW w:w="1976" w:type="dxa"/>
            <w:tcBorders>
              <w:top w:val="single" w:sz="4" w:space="0" w:color="auto"/>
              <w:left w:val="nil"/>
              <w:bottom w:val="single" w:sz="4" w:space="0" w:color="auto"/>
              <w:right w:val="single" w:sz="4"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35,000</w:t>
            </w:r>
          </w:p>
        </w:tc>
      </w:tr>
      <w:tr w:rsidR="009366CC" w:rsidRPr="009366CC" w:rsidTr="00031C9A">
        <w:trPr>
          <w:trHeight w:val="377"/>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 xml:space="preserve">Review reports for claims-based measure sets </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60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4,400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20,000</w:t>
            </w:r>
          </w:p>
        </w:tc>
      </w:tr>
      <w:tr w:rsidR="009366CC" w:rsidRPr="009366CC" w:rsidTr="00031C9A">
        <w:trPr>
          <w:trHeight w:val="305"/>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HAI Validation Templates (CLABSI, CAUTI)</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1,200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3</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18,000</w:t>
            </w:r>
          </w:p>
        </w:tc>
      </w:tr>
      <w:tr w:rsidR="009366CC" w:rsidRPr="009366CC" w:rsidTr="00031C9A">
        <w:trPr>
          <w:trHeight w:val="422"/>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HAI Validation Templates (MRSA, CDI)</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960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3</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300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14,000</w:t>
            </w:r>
          </w:p>
        </w:tc>
      </w:tr>
      <w:tr w:rsidR="009366CC" w:rsidRPr="009366CC" w:rsidTr="00031C9A">
        <w:trPr>
          <w:trHeight w:val="44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Reporting 16 electronic Clinical Quality Measures</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160</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366CC" w:rsidRDefault="00031C9A" w:rsidP="009366CC">
            <w:pPr>
              <w:jc w:val="center"/>
              <w:rPr>
                <w:color w:val="000000"/>
                <w:sz w:val="22"/>
                <w:szCs w:val="22"/>
              </w:rPr>
            </w:pPr>
            <w:r>
              <w:rPr>
                <w:color w:val="000000"/>
                <w:sz w:val="22"/>
                <w:szCs w:val="22"/>
              </w:rPr>
              <w:t>2</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4400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NA</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366CC" w:rsidRDefault="00031C9A" w:rsidP="009366CC">
            <w:pPr>
              <w:jc w:val="right"/>
              <w:rPr>
                <w:color w:val="000000"/>
                <w:sz w:val="22"/>
                <w:szCs w:val="22"/>
              </w:rPr>
            </w:pPr>
            <w:r>
              <w:rPr>
                <w:color w:val="000000"/>
                <w:sz w:val="22"/>
                <w:szCs w:val="22"/>
              </w:rPr>
              <w:t>23,467</w:t>
            </w:r>
          </w:p>
        </w:tc>
      </w:tr>
      <w:tr w:rsidR="009366CC" w:rsidRPr="009366CC" w:rsidTr="00031C9A">
        <w:trPr>
          <w:trHeight w:val="600"/>
        </w:trPr>
        <w:tc>
          <w:tcPr>
            <w:tcW w:w="2028" w:type="dxa"/>
            <w:tcBorders>
              <w:top w:val="nil"/>
              <w:left w:val="single" w:sz="8" w:space="0" w:color="auto"/>
              <w:bottom w:val="single" w:sz="4" w:space="0" w:color="auto"/>
              <w:right w:val="nil"/>
            </w:tcBorders>
            <w:shd w:val="clear" w:color="000000" w:fill="FFFFFF"/>
            <w:vAlign w:val="center"/>
            <w:hideMark/>
          </w:tcPr>
          <w:p w:rsidR="009366CC" w:rsidRPr="009366CC" w:rsidRDefault="009366CC" w:rsidP="009366CC">
            <w:pPr>
              <w:rPr>
                <w:color w:val="000000"/>
                <w:sz w:val="22"/>
                <w:szCs w:val="22"/>
              </w:rPr>
            </w:pPr>
            <w:r w:rsidRPr="009366CC">
              <w:rPr>
                <w:color w:val="000000"/>
                <w:sz w:val="22"/>
                <w:szCs w:val="22"/>
              </w:rPr>
              <w:t>All other forms and structural measures</w:t>
            </w:r>
          </w:p>
        </w:tc>
        <w:tc>
          <w:tcPr>
            <w:tcW w:w="1378" w:type="dxa"/>
            <w:tcBorders>
              <w:top w:val="nil"/>
              <w:left w:val="single" w:sz="4" w:space="0" w:color="auto"/>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15</w:t>
            </w:r>
          </w:p>
        </w:tc>
        <w:tc>
          <w:tcPr>
            <w:tcW w:w="1123"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1</w:t>
            </w:r>
          </w:p>
        </w:tc>
        <w:tc>
          <w:tcPr>
            <w:tcW w:w="1104" w:type="dxa"/>
            <w:tcBorders>
              <w:top w:val="nil"/>
              <w:left w:val="nil"/>
              <w:bottom w:val="single" w:sz="4" w:space="0" w:color="auto"/>
              <w:right w:val="single" w:sz="4" w:space="0" w:color="auto"/>
            </w:tcBorders>
            <w:shd w:val="clear" w:color="000000" w:fill="FFFFFF"/>
            <w:vAlign w:val="center"/>
            <w:hideMark/>
          </w:tcPr>
          <w:p w:rsidR="009366CC" w:rsidRPr="009366CC" w:rsidRDefault="009366CC" w:rsidP="009366CC">
            <w:pPr>
              <w:jc w:val="center"/>
              <w:rPr>
                <w:color w:val="000000"/>
                <w:sz w:val="22"/>
                <w:szCs w:val="22"/>
              </w:rPr>
            </w:pPr>
            <w:r w:rsidRPr="009366CC">
              <w:rPr>
                <w:color w:val="000000"/>
                <w:sz w:val="22"/>
                <w:szCs w:val="22"/>
              </w:rPr>
              <w:t>4,400</w:t>
            </w:r>
          </w:p>
        </w:tc>
        <w:tc>
          <w:tcPr>
            <w:tcW w:w="1451"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center"/>
              <w:rPr>
                <w:color w:val="000000"/>
                <w:sz w:val="22"/>
                <w:szCs w:val="22"/>
              </w:rPr>
            </w:pPr>
            <w:r w:rsidRPr="009366CC">
              <w:rPr>
                <w:color w:val="000000"/>
                <w:sz w:val="22"/>
                <w:szCs w:val="22"/>
              </w:rPr>
              <w:t>1</w:t>
            </w:r>
          </w:p>
        </w:tc>
        <w:tc>
          <w:tcPr>
            <w:tcW w:w="1976" w:type="dxa"/>
            <w:tcBorders>
              <w:top w:val="nil"/>
              <w:left w:val="nil"/>
              <w:bottom w:val="single" w:sz="4" w:space="0" w:color="auto"/>
              <w:right w:val="single" w:sz="4" w:space="0" w:color="auto"/>
            </w:tcBorders>
            <w:shd w:val="clear" w:color="000000" w:fill="FFFFFF"/>
            <w:noWrap/>
            <w:vAlign w:val="center"/>
            <w:hideMark/>
          </w:tcPr>
          <w:p w:rsidR="009366CC" w:rsidRPr="009366CC" w:rsidRDefault="009366CC" w:rsidP="009366CC">
            <w:pPr>
              <w:jc w:val="right"/>
              <w:rPr>
                <w:color w:val="000000"/>
                <w:sz w:val="22"/>
                <w:szCs w:val="22"/>
              </w:rPr>
            </w:pPr>
            <w:r w:rsidRPr="009366CC">
              <w:rPr>
                <w:color w:val="000000"/>
                <w:sz w:val="22"/>
                <w:szCs w:val="22"/>
              </w:rPr>
              <w:t>1,000</w:t>
            </w:r>
          </w:p>
        </w:tc>
      </w:tr>
      <w:tr w:rsidR="009366CC" w:rsidRPr="009366CC" w:rsidTr="00031C9A">
        <w:trPr>
          <w:trHeight w:val="305"/>
        </w:trPr>
        <w:tc>
          <w:tcPr>
            <w:tcW w:w="2028" w:type="dxa"/>
            <w:tcBorders>
              <w:top w:val="nil"/>
              <w:left w:val="single" w:sz="8" w:space="0" w:color="auto"/>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Subtotal other activities</w:t>
            </w:r>
          </w:p>
        </w:tc>
        <w:tc>
          <w:tcPr>
            <w:tcW w:w="1378"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b/>
                <w:bCs/>
                <w:color w:val="000000"/>
                <w:sz w:val="22"/>
                <w:szCs w:val="22"/>
              </w:rPr>
            </w:pPr>
            <w:r w:rsidRPr="009366CC">
              <w:rPr>
                <w:rFonts w:ascii="Calibri" w:hAnsi="Calibri"/>
                <w:b/>
                <w:bCs/>
                <w:color w:val="000000"/>
                <w:sz w:val="22"/>
                <w:szCs w:val="22"/>
              </w:rPr>
              <w:t> </w:t>
            </w:r>
          </w:p>
        </w:tc>
        <w:tc>
          <w:tcPr>
            <w:tcW w:w="1123" w:type="dxa"/>
            <w:tcBorders>
              <w:top w:val="nil"/>
              <w:left w:val="nil"/>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 </w:t>
            </w:r>
          </w:p>
        </w:tc>
        <w:tc>
          <w:tcPr>
            <w:tcW w:w="1451"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b/>
                <w:bCs/>
                <w:color w:val="000000"/>
                <w:sz w:val="22"/>
                <w:szCs w:val="22"/>
              </w:rPr>
            </w:pPr>
            <w:r w:rsidRPr="009366CC">
              <w:rPr>
                <w:rFonts w:ascii="Calibri" w:hAnsi="Calibri"/>
                <w:b/>
                <w:bCs/>
                <w:color w:val="000000"/>
                <w:sz w:val="22"/>
                <w:szCs w:val="22"/>
              </w:rPr>
              <w:t> </w:t>
            </w:r>
          </w:p>
        </w:tc>
        <w:tc>
          <w:tcPr>
            <w:tcW w:w="1976" w:type="dxa"/>
            <w:tcBorders>
              <w:top w:val="nil"/>
              <w:left w:val="nil"/>
              <w:bottom w:val="single" w:sz="8" w:space="0" w:color="auto"/>
              <w:right w:val="single" w:sz="8" w:space="0" w:color="auto"/>
            </w:tcBorders>
            <w:shd w:val="clear" w:color="000000" w:fill="FFFFFF"/>
            <w:noWrap/>
            <w:vAlign w:val="center"/>
            <w:hideMark/>
          </w:tcPr>
          <w:p w:rsidR="009366CC" w:rsidRPr="009366CC" w:rsidRDefault="00031C9A" w:rsidP="009366CC">
            <w:pPr>
              <w:jc w:val="right"/>
              <w:rPr>
                <w:b/>
                <w:bCs/>
                <w:color w:val="000000"/>
                <w:sz w:val="22"/>
                <w:szCs w:val="22"/>
              </w:rPr>
            </w:pPr>
            <w:r>
              <w:rPr>
                <w:b/>
                <w:bCs/>
                <w:color w:val="000000"/>
                <w:sz w:val="22"/>
                <w:szCs w:val="22"/>
              </w:rPr>
              <w:t>111,467</w:t>
            </w:r>
          </w:p>
        </w:tc>
      </w:tr>
      <w:tr w:rsidR="009366CC" w:rsidRPr="009366CC" w:rsidTr="00031C9A">
        <w:trPr>
          <w:trHeight w:val="315"/>
        </w:trPr>
        <w:tc>
          <w:tcPr>
            <w:tcW w:w="2028" w:type="dxa"/>
            <w:tcBorders>
              <w:top w:val="nil"/>
              <w:left w:val="single" w:sz="8" w:space="0" w:color="auto"/>
              <w:bottom w:val="single" w:sz="8" w:space="0" w:color="auto"/>
              <w:right w:val="nil"/>
            </w:tcBorders>
            <w:shd w:val="clear" w:color="000000" w:fill="FFFFFF"/>
            <w:vAlign w:val="center"/>
            <w:hideMark/>
          </w:tcPr>
          <w:p w:rsidR="009366CC" w:rsidRPr="009366CC" w:rsidRDefault="009366CC" w:rsidP="009366CC">
            <w:pPr>
              <w:rPr>
                <w:b/>
                <w:bCs/>
                <w:color w:val="000000"/>
                <w:sz w:val="22"/>
                <w:szCs w:val="22"/>
                <w:u w:val="single"/>
              </w:rPr>
            </w:pPr>
            <w:r w:rsidRPr="009366CC">
              <w:rPr>
                <w:b/>
                <w:bCs/>
                <w:color w:val="000000"/>
                <w:sz w:val="22"/>
                <w:szCs w:val="22"/>
                <w:u w:val="single"/>
              </w:rPr>
              <w:t>Total</w:t>
            </w:r>
          </w:p>
        </w:tc>
        <w:tc>
          <w:tcPr>
            <w:tcW w:w="1378"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123" w:type="dxa"/>
            <w:tcBorders>
              <w:top w:val="nil"/>
              <w:left w:val="nil"/>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 </w:t>
            </w:r>
          </w:p>
        </w:tc>
        <w:tc>
          <w:tcPr>
            <w:tcW w:w="1104" w:type="dxa"/>
            <w:tcBorders>
              <w:top w:val="nil"/>
              <w:left w:val="nil"/>
              <w:bottom w:val="single" w:sz="8" w:space="0" w:color="auto"/>
              <w:right w:val="nil"/>
            </w:tcBorders>
            <w:shd w:val="clear" w:color="000000" w:fill="FFFFFF"/>
            <w:vAlign w:val="center"/>
            <w:hideMark/>
          </w:tcPr>
          <w:p w:rsidR="009366CC" w:rsidRPr="009366CC" w:rsidRDefault="009366CC" w:rsidP="009366CC">
            <w:pPr>
              <w:rPr>
                <w:b/>
                <w:bCs/>
                <w:color w:val="000000"/>
                <w:sz w:val="22"/>
                <w:szCs w:val="22"/>
              </w:rPr>
            </w:pPr>
            <w:r w:rsidRPr="009366CC">
              <w:rPr>
                <w:b/>
                <w:bCs/>
                <w:color w:val="000000"/>
                <w:sz w:val="22"/>
                <w:szCs w:val="22"/>
              </w:rPr>
              <w:t> </w:t>
            </w:r>
          </w:p>
        </w:tc>
        <w:tc>
          <w:tcPr>
            <w:tcW w:w="1451" w:type="dxa"/>
            <w:tcBorders>
              <w:top w:val="nil"/>
              <w:left w:val="nil"/>
              <w:bottom w:val="single" w:sz="8" w:space="0" w:color="auto"/>
              <w:right w:val="nil"/>
            </w:tcBorders>
            <w:shd w:val="clear" w:color="000000" w:fill="FFFFFF"/>
            <w:noWrap/>
            <w:vAlign w:val="bottom"/>
            <w:hideMark/>
          </w:tcPr>
          <w:p w:rsidR="009366CC" w:rsidRPr="009366CC" w:rsidRDefault="009366CC" w:rsidP="009366CC">
            <w:pPr>
              <w:rPr>
                <w:rFonts w:ascii="Calibri" w:hAnsi="Calibri"/>
                <w:color w:val="000000"/>
                <w:sz w:val="22"/>
                <w:szCs w:val="22"/>
              </w:rPr>
            </w:pPr>
            <w:r w:rsidRPr="009366CC">
              <w:rPr>
                <w:rFonts w:ascii="Calibri" w:hAnsi="Calibri"/>
                <w:color w:val="000000"/>
                <w:sz w:val="22"/>
                <w:szCs w:val="22"/>
              </w:rPr>
              <w:t> </w:t>
            </w:r>
          </w:p>
        </w:tc>
        <w:tc>
          <w:tcPr>
            <w:tcW w:w="1976" w:type="dxa"/>
            <w:tcBorders>
              <w:top w:val="nil"/>
              <w:left w:val="nil"/>
              <w:bottom w:val="single" w:sz="8" w:space="0" w:color="auto"/>
              <w:right w:val="single" w:sz="8" w:space="0" w:color="auto"/>
            </w:tcBorders>
            <w:shd w:val="clear" w:color="000000" w:fill="FFFFFF"/>
            <w:noWrap/>
            <w:vAlign w:val="center"/>
            <w:hideMark/>
          </w:tcPr>
          <w:p w:rsidR="009366CC" w:rsidRPr="009366CC" w:rsidRDefault="00031C9A" w:rsidP="009366CC">
            <w:pPr>
              <w:jc w:val="right"/>
              <w:rPr>
                <w:b/>
                <w:bCs/>
                <w:color w:val="000000"/>
                <w:sz w:val="22"/>
                <w:szCs w:val="22"/>
                <w:u w:val="single"/>
              </w:rPr>
            </w:pPr>
            <w:r>
              <w:rPr>
                <w:b/>
                <w:bCs/>
                <w:color w:val="000000"/>
                <w:sz w:val="22"/>
                <w:szCs w:val="22"/>
                <w:u w:val="single"/>
              </w:rPr>
              <w:t>7,968,928</w:t>
            </w:r>
          </w:p>
        </w:tc>
      </w:tr>
    </w:tbl>
    <w:p w:rsidR="009366CC" w:rsidRDefault="009366CC" w:rsidP="007236A4"/>
    <w:p w:rsidR="007236A4" w:rsidRDefault="007236A4" w:rsidP="007236A4">
      <w:r>
        <w:rPr>
          <w:vanish/>
        </w:rPr>
        <w:cr/>
        <w:t xml:space="preserve"> added measures rethe most recently approved hourly burden under OMB control number burden was ely be more comprehensive to see</w:t>
      </w:r>
    </w:p>
    <w:p w:rsidR="007236A4" w:rsidRDefault="007236A4" w:rsidP="007236A4">
      <w:r>
        <w:t>Time estimates for activities other than abstracting charts, including completion of forms for structural measures, routine reporting of population and sampling numbers for ongoing measures, and set up and reporting of population and sampling for new measures, and review of records were made in consultation with our Hospital IQR Support Contractor</w:t>
      </w:r>
      <w:r w:rsidR="00936442">
        <w:t>,</w:t>
      </w:r>
      <w:r>
        <w:t xml:space="preserve"> which is responsible for routine interface with hospitals and Quality Improvement Organizations regarding the IQR program.  </w:t>
      </w:r>
    </w:p>
    <w:p w:rsidR="007236A4" w:rsidRDefault="007236A4" w:rsidP="007236A4"/>
    <w:p w:rsidR="007236A4" w:rsidRDefault="007236A4" w:rsidP="007236A4">
      <w:r>
        <w:t>An Extraordinary Circumstances Ex</w:t>
      </w:r>
      <w:r w:rsidR="00936442">
        <w:t>tensions/Exemptions Request F</w:t>
      </w:r>
      <w:r>
        <w:t>orm</w:t>
      </w:r>
      <w:r w:rsidR="00936442">
        <w:t>,</w:t>
      </w:r>
      <w:r>
        <w:t xml:space="preserve"> which will be used across </w:t>
      </w:r>
      <w:r w:rsidR="00A15DEF">
        <w:t>eight</w:t>
      </w:r>
      <w:r>
        <w:t xml:space="preserve"> quality reporting programs (listed above) is also included within this PRA package. </w:t>
      </w:r>
      <w:r w:rsidR="007922C9">
        <w:t xml:space="preserve"> </w:t>
      </w:r>
      <w:r>
        <w:t xml:space="preserve">The burden associated with this form is expected to be negligible, as it will not be filled out by hospitals on a regular basis. </w:t>
      </w:r>
      <w:r w:rsidR="007922C9">
        <w:t xml:space="preserve"> </w:t>
      </w:r>
      <w:r>
        <w:t xml:space="preserve">This form is intended to be submitted by participants only in the event of an extraordinary circumstance or disaster.  We believe that aligning this form across </w:t>
      </w:r>
      <w:r w:rsidR="00F2142F">
        <w:t>eight</w:t>
      </w:r>
      <w:r>
        <w:t xml:space="preserve"> quality reporting programs will reduce burden to participants by allowing hospitals to </w:t>
      </w:r>
      <w:r w:rsidRPr="00797195">
        <w:t>apply for an extension for all applicable quality reporting programs at the same time.</w:t>
      </w:r>
    </w:p>
    <w:p w:rsidR="007236A4" w:rsidRDefault="007236A4" w:rsidP="007236A4"/>
    <w:p w:rsidR="007236A4" w:rsidRDefault="007236A4" w:rsidP="007236A4">
      <w:r>
        <w:t xml:space="preserve">To acknowledge that all estimates are approximate, the average numbers of records per hospital per reporting period were rounded to the nearest whole number.  The annual hourly burden estimates per measure set or other activity were rounded to the nearest 100 hours. </w:t>
      </w:r>
    </w:p>
    <w:p w:rsidR="007236A4" w:rsidRDefault="007236A4" w:rsidP="007236A4"/>
    <w:p w:rsidR="007236A4" w:rsidRPr="0022675F" w:rsidRDefault="007236A4" w:rsidP="007236A4">
      <w:r w:rsidRPr="0022675F">
        <w:t xml:space="preserve">We anticipate that the </w:t>
      </w:r>
      <w:r w:rsidRPr="00E76126">
        <w:t xml:space="preserve">approximately </w:t>
      </w:r>
      <w:r w:rsidR="00F2142F" w:rsidRPr="00E76126">
        <w:t>8</w:t>
      </w:r>
      <w:r w:rsidRPr="00E76126">
        <w:t xml:space="preserve"> million hours of labor will be completed by Medical Records and Health Information Technicians.  The labor performed can be accomplished by these staff with a mean hourly wage in general medical and surgical hospitals of </w:t>
      </w:r>
      <w:r w:rsidR="00112929" w:rsidRPr="00F25816">
        <w:t xml:space="preserve">$16.42 per </w:t>
      </w:r>
      <w:r w:rsidR="00112929" w:rsidRPr="00F25816">
        <w:lastRenderedPageBreak/>
        <w:t>hour.</w:t>
      </w:r>
      <w:r w:rsidR="00112929" w:rsidRPr="00F25816">
        <w:rPr>
          <w:rStyle w:val="FootnoteReference"/>
        </w:rPr>
        <w:footnoteReference w:id="1"/>
      </w:r>
      <w:r w:rsidR="00112929">
        <w:t xml:space="preserve"> </w:t>
      </w:r>
      <w:r w:rsidRPr="00E76126">
        <w:t xml:space="preserve"> </w:t>
      </w:r>
      <w:r w:rsidR="00112929" w:rsidRPr="00112929">
        <w:t>Per OMB’s Circular A-76, in calculating direct labor, agencies should not only include salaries and wages, but also “other entitle</w:t>
      </w:r>
      <w:r w:rsidR="00112929">
        <w:t>ments” such as fringe benefits.</w:t>
      </w:r>
      <w:r w:rsidR="00112929" w:rsidRPr="00F25816">
        <w:rPr>
          <w:rStyle w:val="FootnoteReference"/>
        </w:rPr>
        <w:footnoteReference w:id="2"/>
      </w:r>
      <w:r w:rsidR="00112929" w:rsidRPr="00F25816">
        <w:t xml:space="preserve"> </w:t>
      </w:r>
      <w:r w:rsidR="00112929" w:rsidRPr="00112929">
        <w:t xml:space="preserve"> This Circular provides that the civilian position full fringe benefit cost factor is 36.25 percent. </w:t>
      </w:r>
      <w:r w:rsidR="00D00F09">
        <w:t xml:space="preserve"> </w:t>
      </w:r>
      <w:r w:rsidR="00112929" w:rsidRPr="00112929">
        <w:t xml:space="preserve">Therefore, using these assumptions, we </w:t>
      </w:r>
      <w:r w:rsidR="002C3AF3">
        <w:t>estimate</w:t>
      </w:r>
      <w:r w:rsidR="00112929" w:rsidRPr="00112929">
        <w:t xml:space="preserve"> an hourly labor cost of $2</w:t>
      </w:r>
      <w:r w:rsidR="002F2842">
        <w:t>2.37</w:t>
      </w:r>
      <w:bookmarkStart w:id="0" w:name="_GoBack"/>
      <w:bookmarkEnd w:id="0"/>
      <w:r w:rsidR="002F2842">
        <w:t xml:space="preserve"> ($16.42 base salary + $5.95</w:t>
      </w:r>
      <w:r w:rsidR="00112929" w:rsidRPr="00112929">
        <w:t xml:space="preserve"> fringe)</w:t>
      </w:r>
      <w:r w:rsidRPr="00E76126">
        <w:t xml:space="preserve">.  Accordingly, we estimate the total annual burden would be about </w:t>
      </w:r>
      <w:r w:rsidR="002C3AF3">
        <w:t>$1</w:t>
      </w:r>
      <w:r w:rsidR="00C72DBC">
        <w:t>78</w:t>
      </w:r>
      <w:r w:rsidRPr="00E76126">
        <w:t xml:space="preserve"> million.</w:t>
      </w:r>
      <w:r w:rsidRPr="00B30999">
        <w:t xml:space="preserve">  </w:t>
      </w:r>
    </w:p>
    <w:p w:rsidR="007236A4" w:rsidRDefault="007236A4" w:rsidP="007236A4"/>
    <w:p w:rsidR="007236A4" w:rsidRPr="000D165B" w:rsidRDefault="000D165B" w:rsidP="000D165B">
      <w:pPr>
        <w:rPr>
          <w:u w:val="single"/>
        </w:rPr>
      </w:pPr>
      <w:r>
        <w:rPr>
          <w:u w:val="single"/>
        </w:rPr>
        <w:t xml:space="preserve">13.  </w:t>
      </w:r>
      <w:r w:rsidR="007236A4" w:rsidRPr="000D165B">
        <w:rPr>
          <w:u w:val="single"/>
        </w:rPr>
        <w:t>Capital Costs (Maintenance of Capital Costs)</w:t>
      </w:r>
    </w:p>
    <w:p w:rsidR="007236A4" w:rsidRPr="00B30999" w:rsidRDefault="007236A4" w:rsidP="007236A4">
      <w:pPr>
        <w:pStyle w:val="ListParagraph"/>
        <w:rPr>
          <w:u w:val="single"/>
        </w:rPr>
      </w:pPr>
    </w:p>
    <w:p w:rsidR="007236A4" w:rsidRPr="00792D0B" w:rsidRDefault="007236A4" w:rsidP="007236A4">
      <w:r w:rsidRPr="00792D0B">
        <w:t>There are no capital costs</w:t>
      </w:r>
      <w:r>
        <w:t>.</w:t>
      </w:r>
    </w:p>
    <w:p w:rsidR="007236A4" w:rsidRPr="00792D0B" w:rsidRDefault="007236A4" w:rsidP="007236A4"/>
    <w:p w:rsidR="007236A4" w:rsidRPr="000D165B" w:rsidRDefault="000D165B" w:rsidP="000D165B">
      <w:pPr>
        <w:rPr>
          <w:u w:val="single"/>
        </w:rPr>
      </w:pPr>
      <w:r>
        <w:rPr>
          <w:u w:val="single"/>
        </w:rPr>
        <w:t xml:space="preserve">14.  </w:t>
      </w:r>
      <w:r w:rsidR="007236A4" w:rsidRPr="000D165B">
        <w:rPr>
          <w:u w:val="single"/>
        </w:rPr>
        <w:t>Cost to Federal Government</w:t>
      </w:r>
    </w:p>
    <w:p w:rsidR="007236A4" w:rsidRPr="00B30999" w:rsidRDefault="007236A4" w:rsidP="007236A4">
      <w:pPr>
        <w:pStyle w:val="ListParagraph"/>
        <w:rPr>
          <w:u w:val="single"/>
        </w:rPr>
      </w:pPr>
    </w:p>
    <w:p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t xml:space="preserve"> salary is $92,000</w:t>
      </w:r>
      <w:r w:rsidRPr="00BF5EB3">
        <w:t xml:space="preserve"> for an additional cost of $276,000. </w:t>
      </w:r>
      <w:r w:rsidRPr="00B30999">
        <w:t xml:space="preserve"> </w:t>
      </w:r>
    </w:p>
    <w:p w:rsidR="007236A4" w:rsidRPr="00792D0B" w:rsidRDefault="007236A4" w:rsidP="007236A4"/>
    <w:p w:rsidR="007236A4" w:rsidRPr="00792D0B" w:rsidRDefault="007236A4" w:rsidP="007236A4">
      <w:r w:rsidRPr="00792D0B">
        <w:t xml:space="preserve">For the claims-based measures, the cost to the Federal Government is minimal.  CMS plans to use data from the Medicare warehouse (claims data) that </w:t>
      </w:r>
      <w:r w:rsidR="00313705">
        <w:t>are</w:t>
      </w:r>
      <w:r w:rsidRPr="00792D0B">
        <w:t xml:space="preserve"> already being collected for index hospitalizations to calculate the mortality rates</w:t>
      </w:r>
      <w:r w:rsidR="00313705">
        <w:t>;</w:t>
      </w:r>
      <w:r w:rsidRPr="00792D0B">
        <w:t xml:space="preserve"> therefore, no additional data will need to be submitted by hospitals. </w:t>
      </w:r>
    </w:p>
    <w:p w:rsidR="007236A4" w:rsidRPr="00792D0B" w:rsidRDefault="007236A4" w:rsidP="007236A4"/>
    <w:p w:rsidR="007236A4" w:rsidRPr="000D165B" w:rsidRDefault="000D165B" w:rsidP="000D165B">
      <w:pPr>
        <w:rPr>
          <w:u w:val="single"/>
        </w:rPr>
      </w:pPr>
      <w:r>
        <w:rPr>
          <w:u w:val="single"/>
        </w:rPr>
        <w:t xml:space="preserve">15.  </w:t>
      </w:r>
      <w:r w:rsidR="007236A4" w:rsidRPr="000D165B">
        <w:rPr>
          <w:u w:val="single"/>
        </w:rPr>
        <w:t>Program or Burden Changes</w:t>
      </w:r>
    </w:p>
    <w:p w:rsidR="007236A4" w:rsidRPr="00B30999" w:rsidRDefault="007236A4" w:rsidP="007236A4">
      <w:pPr>
        <w:pStyle w:val="ListParagraph"/>
        <w:rPr>
          <w:u w:val="single"/>
        </w:rPr>
      </w:pPr>
    </w:p>
    <w:p w:rsidR="007236A4" w:rsidRPr="00792D0B" w:rsidRDefault="007236A4" w:rsidP="007236A4">
      <w:r w:rsidRPr="009C5D7D">
        <w:t>As shown above, this program has increased the number of measures included in its data collection requirements.  The added</w:t>
      </w:r>
      <w:r>
        <w:t xml:space="preserve"> measures </w:t>
      </w:r>
      <w:r w:rsidRPr="00792D0B">
        <w:t>support adherence to: Section 1886(b)(3)(B)(viii) of the SSA, which required the expansion of the IQR program between FY 2008-2012;  Section 3013 of ACA</w:t>
      </w:r>
      <w:r w:rsidR="00313705">
        <w:t>,</w:t>
      </w:r>
      <w:r w:rsidRPr="00792D0B">
        <w:t xml:space="preserve"> which modified Section 931 of the Public Health Service Act by requiring CMS </w:t>
      </w:r>
      <w:r>
        <w:t xml:space="preserve">to </w:t>
      </w:r>
      <w:r w:rsidRPr="00792D0B">
        <w:t>“identify, not less often than triennially, gaps where no quality measures exist and existing quality measures that need improvement, updating or expansion”; and Section 1886(o) of the SSA</w:t>
      </w:r>
      <w:r w:rsidR="00313705">
        <w:t>,</w:t>
      </w:r>
      <w:r w:rsidRPr="00792D0B">
        <w:t xml:space="preserve"> which requires CMS to use data reported through the IQR for its VBP program.  </w:t>
      </w:r>
    </w:p>
    <w:p w:rsidR="007236A4" w:rsidRPr="00792D0B" w:rsidRDefault="007236A4" w:rsidP="007236A4"/>
    <w:p w:rsidR="007236A4" w:rsidRPr="00792D0B" w:rsidRDefault="007236A4" w:rsidP="007236A4">
      <w:r>
        <w:t>Additionally</w:t>
      </w:r>
      <w:r w:rsidR="00313705">
        <w:t>,</w:t>
      </w:r>
      <w:r>
        <w:t xml:space="preserve"> </w:t>
      </w:r>
      <w:r w:rsidRPr="00792D0B">
        <w:t xml:space="preserve">CMS </w:t>
      </w:r>
      <w:r w:rsidR="00A15DEF">
        <w:t>proposes to reduce</w:t>
      </w:r>
      <w:r w:rsidRPr="00792D0B">
        <w:t xml:space="preserve"> the reporting burden for quality of care information </w:t>
      </w:r>
      <w:r w:rsidR="009C5D7D">
        <w:t xml:space="preserve">collection in the long term </w:t>
      </w:r>
      <w:r w:rsidRPr="00792D0B">
        <w:t xml:space="preserve">by </w:t>
      </w:r>
      <w:r w:rsidR="009C5D7D">
        <w:t>requiring</w:t>
      </w:r>
      <w:r w:rsidRPr="00792D0B">
        <w:t xml:space="preserve"> hospitals to abstract</w:t>
      </w:r>
      <w:r>
        <w:t xml:space="preserve"> some</w:t>
      </w:r>
      <w:r w:rsidRPr="00792D0B">
        <w:t xml:space="preserve"> data directly into electronic systems in lieu of </w:t>
      </w:r>
      <w:r w:rsidR="00E74DDD">
        <w:t>reviewing</w:t>
      </w:r>
      <w:r w:rsidRPr="00792D0B">
        <w:t xml:space="preserve"> paper charts, or to utilize electronic data that they already report to JCO for accreditation.  The long-term vision for the IQR program is to </w:t>
      </w:r>
      <w:r w:rsidR="009C5D7D">
        <w:t>encourage</w:t>
      </w:r>
      <w:r w:rsidRPr="00792D0B">
        <w:t xml:space="preserve"> hospitals to submit data directly from their electronic health records, which we anticipate will reduce burden substantially.  The 2012 Electronic Reporting Pilot (76 FR 74490) is an important step in the transition from paper to electronic reporting.  </w:t>
      </w:r>
    </w:p>
    <w:p w:rsidR="007236A4" w:rsidRPr="00792D0B" w:rsidRDefault="007236A4" w:rsidP="007236A4"/>
    <w:p w:rsidR="007236A4" w:rsidRPr="000D165B" w:rsidRDefault="000D165B" w:rsidP="000D165B">
      <w:pPr>
        <w:rPr>
          <w:u w:val="single"/>
        </w:rPr>
      </w:pPr>
      <w:r>
        <w:rPr>
          <w:u w:val="single"/>
        </w:rPr>
        <w:t xml:space="preserve">16.  </w:t>
      </w:r>
      <w:r w:rsidR="007236A4" w:rsidRPr="000D165B">
        <w:rPr>
          <w:u w:val="single"/>
        </w:rPr>
        <w:t>Publication/Tabulation Dat</w:t>
      </w:r>
      <w:r w:rsidR="00313705">
        <w:rPr>
          <w:u w:val="single"/>
        </w:rPr>
        <w:t>a</w:t>
      </w:r>
    </w:p>
    <w:p w:rsidR="007236A4" w:rsidRPr="00B30999" w:rsidRDefault="007236A4" w:rsidP="007236A4">
      <w:pPr>
        <w:pStyle w:val="ListParagraph"/>
        <w:rPr>
          <w:u w:val="single"/>
        </w:rPr>
      </w:pPr>
    </w:p>
    <w:p w:rsidR="007236A4" w:rsidRPr="00792D0B" w:rsidRDefault="007236A4" w:rsidP="007236A4">
      <w:r w:rsidRPr="00792D0B">
        <w:lastRenderedPageBreak/>
        <w:t>The goal of the data collection is to tabulate and publish hospital</w:t>
      </w:r>
      <w:r w:rsidR="00313705">
        <w:t>-</w:t>
      </w:r>
      <w:r w:rsidRPr="00792D0B">
        <w:t>specific data.  We will continue to display quality information for public viewing as required by the SSA under Section 1886(o</w:t>
      </w:r>
      <w:proofErr w:type="gramStart"/>
      <w:r w:rsidRPr="00792D0B">
        <w:t>)(</w:t>
      </w:r>
      <w:proofErr w:type="gramEnd"/>
      <w:r w:rsidRPr="00792D0B">
        <w:t xml:space="preserve">10). </w:t>
      </w:r>
      <w:r>
        <w:t xml:space="preserve"> </w:t>
      </w:r>
      <w:r w:rsidRPr="00792D0B">
        <w:t xml:space="preserve">IQR 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9" w:history="1">
        <w:r w:rsidRPr="00792D0B">
          <w:rPr>
            <w:rStyle w:val="Hyperlink"/>
          </w:rPr>
          <w:t>www.hospitalcompare.hhs.gov</w:t>
        </w:r>
      </w:hyperlink>
      <w:r w:rsidRPr="00792D0B">
        <w:t xml:space="preserve">.  Hospital quality data on </w:t>
      </w:r>
      <w:r w:rsidRPr="00B30999">
        <w:rPr>
          <w:i/>
        </w:rPr>
        <w:t>Hospital Compare</w:t>
      </w:r>
      <w:r w:rsidRPr="00792D0B">
        <w:t xml:space="preserve"> </w:t>
      </w:r>
      <w:r w:rsidR="00313705">
        <w:t>are</w:t>
      </w:r>
      <w:r w:rsidR="00313705" w:rsidRPr="00792D0B">
        <w:t xml:space="preserve"> </w:t>
      </w:r>
      <w:r w:rsidRPr="00792D0B">
        <w:t xml:space="preserve">updated on a quarterly basis. </w:t>
      </w:r>
    </w:p>
    <w:p w:rsidR="007236A4" w:rsidRPr="00792D0B" w:rsidRDefault="007236A4" w:rsidP="007236A4"/>
    <w:p w:rsidR="007236A4" w:rsidRPr="00B30999" w:rsidRDefault="000D165B" w:rsidP="000D165B">
      <w:r>
        <w:rPr>
          <w:u w:val="single"/>
        </w:rPr>
        <w:t xml:space="preserve">17.  </w:t>
      </w:r>
      <w:r w:rsidR="007236A4" w:rsidRPr="000D165B">
        <w:rPr>
          <w:u w:val="single"/>
        </w:rPr>
        <w:t>Expiration Date</w:t>
      </w:r>
    </w:p>
    <w:p w:rsidR="007236A4" w:rsidRPr="00792D0B" w:rsidRDefault="007236A4" w:rsidP="007236A4">
      <w:pPr>
        <w:pStyle w:val="ListParagraph"/>
      </w:pPr>
    </w:p>
    <w:p w:rsidR="007236A4" w:rsidRPr="00792D0B" w:rsidRDefault="007236A4" w:rsidP="007236A4">
      <w:r w:rsidRPr="00792D0B">
        <w:t>We request an exemption from displaying the expiration date because these tools will be used on a continuous basis by hospitals reporting quality data.</w:t>
      </w:r>
    </w:p>
    <w:p w:rsidR="007236A4" w:rsidRPr="00792D0B" w:rsidRDefault="007236A4" w:rsidP="007236A4"/>
    <w:p w:rsidR="007236A4" w:rsidRPr="000D165B" w:rsidRDefault="000D165B" w:rsidP="000D165B">
      <w:pPr>
        <w:rPr>
          <w:u w:val="single"/>
        </w:rPr>
      </w:pPr>
      <w:r>
        <w:rPr>
          <w:u w:val="single"/>
        </w:rPr>
        <w:t xml:space="preserve">18.  </w:t>
      </w:r>
      <w:r w:rsidR="007236A4" w:rsidRPr="000D165B">
        <w:rPr>
          <w:u w:val="single"/>
        </w:rPr>
        <w:t>Certification Statement</w:t>
      </w:r>
    </w:p>
    <w:p w:rsidR="007236A4" w:rsidRPr="00792D0B" w:rsidRDefault="007236A4" w:rsidP="007236A4">
      <w:r>
        <w:br/>
        <w:t>We are not claiming any exceptions to the Certification for Paperwork Reduction Act Submissions Statement.</w:t>
      </w:r>
    </w:p>
    <w:p w:rsidR="007236A4" w:rsidRPr="00792D0B" w:rsidRDefault="007236A4" w:rsidP="007236A4"/>
    <w:p w:rsidR="007236A4" w:rsidRPr="00792D0B" w:rsidRDefault="007236A4" w:rsidP="007236A4"/>
    <w:p w:rsidR="007236A4" w:rsidRPr="00792D0B" w:rsidRDefault="007236A4" w:rsidP="007236A4"/>
    <w:p w:rsidR="007236A4" w:rsidRPr="00792D0B" w:rsidRDefault="007236A4" w:rsidP="00AB494C">
      <w:pPr>
        <w:autoSpaceDE w:val="0"/>
        <w:autoSpaceDN w:val="0"/>
        <w:adjustRightInd w:val="0"/>
      </w:pPr>
    </w:p>
    <w:sectPr w:rsidR="007236A4" w:rsidRPr="00792D0B" w:rsidSect="00F2142F">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A4" w:rsidRDefault="001A31A4" w:rsidP="00AA6075">
      <w:r>
        <w:separator/>
      </w:r>
    </w:p>
  </w:endnote>
  <w:endnote w:type="continuationSeparator" w:id="0">
    <w:p w:rsidR="001A31A4" w:rsidRDefault="001A31A4"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A4" w:rsidRDefault="001A31A4" w:rsidP="00AA6075">
      <w:r>
        <w:separator/>
      </w:r>
    </w:p>
  </w:footnote>
  <w:footnote w:type="continuationSeparator" w:id="0">
    <w:p w:rsidR="001A31A4" w:rsidRDefault="001A31A4" w:rsidP="00AA6075">
      <w:r>
        <w:continuationSeparator/>
      </w:r>
    </w:p>
  </w:footnote>
  <w:footnote w:id="1">
    <w:p w:rsidR="00112929" w:rsidRPr="00666B72" w:rsidRDefault="00112929" w:rsidP="00112929">
      <w:pPr>
        <w:pStyle w:val="FootnoteText"/>
      </w:pPr>
      <w:r w:rsidRPr="00666B72">
        <w:rPr>
          <w:rStyle w:val="FootnoteReference"/>
        </w:rPr>
        <w:footnoteRef/>
      </w:r>
      <w:r w:rsidRPr="00666B72">
        <w:tab/>
        <w:t>http://www.bls.gov/ooh/healthcare/medical-records-and-health-information-technicians.htm</w:t>
      </w:r>
    </w:p>
  </w:footnote>
  <w:footnote w:id="2">
    <w:p w:rsidR="00112929" w:rsidRDefault="00112929" w:rsidP="00112929">
      <w:pPr>
        <w:pStyle w:val="FootnoteText"/>
      </w:pPr>
      <w:r w:rsidRPr="00666B72">
        <w:rPr>
          <w:rStyle w:val="FootnoteReference"/>
        </w:rPr>
        <w:footnoteRef/>
      </w:r>
      <w:r w:rsidRPr="00666B72">
        <w:tab/>
        <w:t>http://www.whitehouse.gov/omb/circulars_a076_a76_incl_tech_correction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0"/>
    <w:lvlOverride w:ilvl="0">
      <w:startOverride w:val="1"/>
    </w:lvlOverride>
    <w:lvlOverride w:ilvl="1">
      <w:startOverride w:val="8"/>
    </w:lvlOverride>
  </w:num>
  <w:num w:numId="3">
    <w:abstractNumId w:val="17"/>
  </w:num>
  <w:num w:numId="4">
    <w:abstractNumId w:val="13"/>
  </w:num>
  <w:num w:numId="5">
    <w:abstractNumId w:val="3"/>
  </w:num>
  <w:num w:numId="6">
    <w:abstractNumId w:val="19"/>
  </w:num>
  <w:num w:numId="7">
    <w:abstractNumId w:val="9"/>
  </w:num>
  <w:num w:numId="8">
    <w:abstractNumId w:val="2"/>
  </w:num>
  <w:num w:numId="9">
    <w:abstractNumId w:val="18"/>
  </w:num>
  <w:num w:numId="10">
    <w:abstractNumId w:val="15"/>
  </w:num>
  <w:num w:numId="11">
    <w:abstractNumId w:val="12"/>
  </w:num>
  <w:num w:numId="12">
    <w:abstractNumId w:val="6"/>
  </w:num>
  <w:num w:numId="13">
    <w:abstractNumId w:val="7"/>
  </w:num>
  <w:num w:numId="14">
    <w:abstractNumId w:val="5"/>
  </w:num>
  <w:num w:numId="15">
    <w:abstractNumId w:val="4"/>
  </w:num>
  <w:num w:numId="16">
    <w:abstractNumId w:val="0"/>
  </w:num>
  <w:num w:numId="17">
    <w:abstractNumId w:val="11"/>
  </w:num>
  <w:num w:numId="18">
    <w:abstractNumId w:val="8"/>
  </w:num>
  <w:num w:numId="19">
    <w:abstractNumId w:val="16"/>
  </w:num>
  <w:num w:numId="20">
    <w:abstractNumId w:val="14"/>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2418"/>
    <w:rsid w:val="00006079"/>
    <w:rsid w:val="000111C9"/>
    <w:rsid w:val="0001224C"/>
    <w:rsid w:val="00016FE7"/>
    <w:rsid w:val="00030495"/>
    <w:rsid w:val="00031C9A"/>
    <w:rsid w:val="000321B0"/>
    <w:rsid w:val="00037963"/>
    <w:rsid w:val="00040427"/>
    <w:rsid w:val="0006078E"/>
    <w:rsid w:val="000742E2"/>
    <w:rsid w:val="00077FC5"/>
    <w:rsid w:val="00083B5A"/>
    <w:rsid w:val="000859AF"/>
    <w:rsid w:val="00087886"/>
    <w:rsid w:val="000A5930"/>
    <w:rsid w:val="000C6729"/>
    <w:rsid w:val="000D165B"/>
    <w:rsid w:val="000D55C9"/>
    <w:rsid w:val="000E6034"/>
    <w:rsid w:val="000F52C4"/>
    <w:rsid w:val="000F7BCA"/>
    <w:rsid w:val="00112929"/>
    <w:rsid w:val="001140CC"/>
    <w:rsid w:val="00114B62"/>
    <w:rsid w:val="00116557"/>
    <w:rsid w:val="00135FF3"/>
    <w:rsid w:val="001640CD"/>
    <w:rsid w:val="001710A8"/>
    <w:rsid w:val="0018579F"/>
    <w:rsid w:val="00186DCC"/>
    <w:rsid w:val="00191757"/>
    <w:rsid w:val="00193785"/>
    <w:rsid w:val="00196312"/>
    <w:rsid w:val="001A31A4"/>
    <w:rsid w:val="001A344D"/>
    <w:rsid w:val="001D2CDC"/>
    <w:rsid w:val="001D37FE"/>
    <w:rsid w:val="001D3EDC"/>
    <w:rsid w:val="001E09E4"/>
    <w:rsid w:val="0021488A"/>
    <w:rsid w:val="002158F6"/>
    <w:rsid w:val="0021711E"/>
    <w:rsid w:val="002350C8"/>
    <w:rsid w:val="002359B1"/>
    <w:rsid w:val="00245DCF"/>
    <w:rsid w:val="00260DBE"/>
    <w:rsid w:val="00262458"/>
    <w:rsid w:val="00263488"/>
    <w:rsid w:val="00266BD9"/>
    <w:rsid w:val="0027334E"/>
    <w:rsid w:val="002851B7"/>
    <w:rsid w:val="0029003D"/>
    <w:rsid w:val="002C2749"/>
    <w:rsid w:val="002C3AF3"/>
    <w:rsid w:val="002C6B27"/>
    <w:rsid w:val="002C7136"/>
    <w:rsid w:val="002D063C"/>
    <w:rsid w:val="002D08E6"/>
    <w:rsid w:val="002E68F5"/>
    <w:rsid w:val="002F18E4"/>
    <w:rsid w:val="002F2842"/>
    <w:rsid w:val="00301A82"/>
    <w:rsid w:val="00313705"/>
    <w:rsid w:val="00316308"/>
    <w:rsid w:val="00326581"/>
    <w:rsid w:val="00340055"/>
    <w:rsid w:val="00351C50"/>
    <w:rsid w:val="003762CC"/>
    <w:rsid w:val="00380FB9"/>
    <w:rsid w:val="00382B4B"/>
    <w:rsid w:val="00387EDD"/>
    <w:rsid w:val="00392C5D"/>
    <w:rsid w:val="003D1282"/>
    <w:rsid w:val="003D36C3"/>
    <w:rsid w:val="003E3A27"/>
    <w:rsid w:val="003F60B3"/>
    <w:rsid w:val="00441368"/>
    <w:rsid w:val="00444557"/>
    <w:rsid w:val="00456E82"/>
    <w:rsid w:val="00473C78"/>
    <w:rsid w:val="004774CB"/>
    <w:rsid w:val="00481622"/>
    <w:rsid w:val="00482A3A"/>
    <w:rsid w:val="004909CC"/>
    <w:rsid w:val="004939D5"/>
    <w:rsid w:val="004B3EE5"/>
    <w:rsid w:val="004F0891"/>
    <w:rsid w:val="00512BD2"/>
    <w:rsid w:val="00513919"/>
    <w:rsid w:val="00516B67"/>
    <w:rsid w:val="00543715"/>
    <w:rsid w:val="00552996"/>
    <w:rsid w:val="00557BFD"/>
    <w:rsid w:val="00560E2B"/>
    <w:rsid w:val="0056156B"/>
    <w:rsid w:val="005A2469"/>
    <w:rsid w:val="005A2863"/>
    <w:rsid w:val="005A2CB5"/>
    <w:rsid w:val="005A2EEB"/>
    <w:rsid w:val="005A3ADD"/>
    <w:rsid w:val="005B296B"/>
    <w:rsid w:val="005B5BF1"/>
    <w:rsid w:val="005D4F33"/>
    <w:rsid w:val="005F399A"/>
    <w:rsid w:val="00610FE8"/>
    <w:rsid w:val="006250B4"/>
    <w:rsid w:val="0063080C"/>
    <w:rsid w:val="00630D77"/>
    <w:rsid w:val="00632D29"/>
    <w:rsid w:val="0063303D"/>
    <w:rsid w:val="00664557"/>
    <w:rsid w:val="00665670"/>
    <w:rsid w:val="00673F3D"/>
    <w:rsid w:val="006A0300"/>
    <w:rsid w:val="006B6C86"/>
    <w:rsid w:val="006C049D"/>
    <w:rsid w:val="006C47E8"/>
    <w:rsid w:val="006E109E"/>
    <w:rsid w:val="006E435B"/>
    <w:rsid w:val="006E5F79"/>
    <w:rsid w:val="006F54BF"/>
    <w:rsid w:val="0070129F"/>
    <w:rsid w:val="007120E4"/>
    <w:rsid w:val="007236A4"/>
    <w:rsid w:val="00726878"/>
    <w:rsid w:val="00774F52"/>
    <w:rsid w:val="007913AB"/>
    <w:rsid w:val="007922C9"/>
    <w:rsid w:val="00792D0B"/>
    <w:rsid w:val="00796BA7"/>
    <w:rsid w:val="007A1D18"/>
    <w:rsid w:val="007A23DA"/>
    <w:rsid w:val="007A3C9E"/>
    <w:rsid w:val="007C10E7"/>
    <w:rsid w:val="007D7101"/>
    <w:rsid w:val="007F4E57"/>
    <w:rsid w:val="008016F4"/>
    <w:rsid w:val="00807B5F"/>
    <w:rsid w:val="008132AC"/>
    <w:rsid w:val="00826034"/>
    <w:rsid w:val="00836ADE"/>
    <w:rsid w:val="00841CBC"/>
    <w:rsid w:val="0084676D"/>
    <w:rsid w:val="008559A3"/>
    <w:rsid w:val="008B076C"/>
    <w:rsid w:val="008B12C6"/>
    <w:rsid w:val="008C3193"/>
    <w:rsid w:val="008F61B7"/>
    <w:rsid w:val="009209A1"/>
    <w:rsid w:val="00922C5E"/>
    <w:rsid w:val="00935FA3"/>
    <w:rsid w:val="00936442"/>
    <w:rsid w:val="009366CC"/>
    <w:rsid w:val="00953DDC"/>
    <w:rsid w:val="009549A8"/>
    <w:rsid w:val="009849E0"/>
    <w:rsid w:val="00990326"/>
    <w:rsid w:val="00994705"/>
    <w:rsid w:val="009A7C59"/>
    <w:rsid w:val="009C5D7D"/>
    <w:rsid w:val="009C62DB"/>
    <w:rsid w:val="009C74AE"/>
    <w:rsid w:val="009E5BAF"/>
    <w:rsid w:val="009F7491"/>
    <w:rsid w:val="00A01277"/>
    <w:rsid w:val="00A15DEF"/>
    <w:rsid w:val="00A91A46"/>
    <w:rsid w:val="00A94C34"/>
    <w:rsid w:val="00AA5F9E"/>
    <w:rsid w:val="00AA6075"/>
    <w:rsid w:val="00AA6EF3"/>
    <w:rsid w:val="00AB08BD"/>
    <w:rsid w:val="00AB494C"/>
    <w:rsid w:val="00AC4C1D"/>
    <w:rsid w:val="00AD3423"/>
    <w:rsid w:val="00AE0110"/>
    <w:rsid w:val="00AE7495"/>
    <w:rsid w:val="00B2207C"/>
    <w:rsid w:val="00B3415D"/>
    <w:rsid w:val="00B41583"/>
    <w:rsid w:val="00B50909"/>
    <w:rsid w:val="00B71EA8"/>
    <w:rsid w:val="00B77399"/>
    <w:rsid w:val="00B942E8"/>
    <w:rsid w:val="00BB7C9A"/>
    <w:rsid w:val="00BC0151"/>
    <w:rsid w:val="00BC43A9"/>
    <w:rsid w:val="00BC51DE"/>
    <w:rsid w:val="00BC565A"/>
    <w:rsid w:val="00BD0C02"/>
    <w:rsid w:val="00BD1B4B"/>
    <w:rsid w:val="00C3423A"/>
    <w:rsid w:val="00C47ED3"/>
    <w:rsid w:val="00C52BF5"/>
    <w:rsid w:val="00C72DBC"/>
    <w:rsid w:val="00C96136"/>
    <w:rsid w:val="00CB347D"/>
    <w:rsid w:val="00CC3AF5"/>
    <w:rsid w:val="00CC7AC8"/>
    <w:rsid w:val="00D00F09"/>
    <w:rsid w:val="00D03753"/>
    <w:rsid w:val="00D05F0C"/>
    <w:rsid w:val="00D10C0B"/>
    <w:rsid w:val="00D12728"/>
    <w:rsid w:val="00D13011"/>
    <w:rsid w:val="00D348F6"/>
    <w:rsid w:val="00D82ED7"/>
    <w:rsid w:val="00DA3E99"/>
    <w:rsid w:val="00DC49BB"/>
    <w:rsid w:val="00DC6879"/>
    <w:rsid w:val="00E01EC4"/>
    <w:rsid w:val="00E05C80"/>
    <w:rsid w:val="00E11124"/>
    <w:rsid w:val="00E12E33"/>
    <w:rsid w:val="00E308C7"/>
    <w:rsid w:val="00E3232F"/>
    <w:rsid w:val="00E326AA"/>
    <w:rsid w:val="00E377DB"/>
    <w:rsid w:val="00E4533B"/>
    <w:rsid w:val="00E545F4"/>
    <w:rsid w:val="00E63FE6"/>
    <w:rsid w:val="00E7058B"/>
    <w:rsid w:val="00E71243"/>
    <w:rsid w:val="00E74DDD"/>
    <w:rsid w:val="00E76126"/>
    <w:rsid w:val="00EB3BF5"/>
    <w:rsid w:val="00EC034F"/>
    <w:rsid w:val="00EC12B2"/>
    <w:rsid w:val="00EC6688"/>
    <w:rsid w:val="00EE3140"/>
    <w:rsid w:val="00EE425C"/>
    <w:rsid w:val="00EF49CD"/>
    <w:rsid w:val="00F2142F"/>
    <w:rsid w:val="00F26FB5"/>
    <w:rsid w:val="00F363D7"/>
    <w:rsid w:val="00F46C19"/>
    <w:rsid w:val="00F56E12"/>
    <w:rsid w:val="00F76D64"/>
    <w:rsid w:val="00F8158C"/>
    <w:rsid w:val="00F93395"/>
    <w:rsid w:val="00FA5CE7"/>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C5333-4E8C-4CA1-ADC7-EEF9003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AcuteInpatientPPS/IPPS/lis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spitalcompare.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EE87-CCCD-4A0C-9833-3B4CFC80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Dupert-Frank</dc:creator>
  <cp:keywords/>
  <dc:description/>
  <cp:lastModifiedBy>Dungan, Suzanna K</cp:lastModifiedBy>
  <cp:revision>4</cp:revision>
  <cp:lastPrinted>2013-06-11T22:54:00Z</cp:lastPrinted>
  <dcterms:created xsi:type="dcterms:W3CDTF">2015-04-08T15:35:00Z</dcterms:created>
  <dcterms:modified xsi:type="dcterms:W3CDTF">2015-04-08T18:30:00Z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