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w:t>
      </w:r>
      <w:bookmarkStart w:id="0" w:name="_GoBack"/>
      <w:bookmarkEnd w:id="0"/>
      <w:r w:rsidRPr="00456179">
        <w:rPr>
          <w:b/>
          <w:sz w:val="28"/>
          <w:szCs w:val="28"/>
        </w:rPr>
        <w: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9274EF" w:rsidRDefault="00BF05F8" w:rsidP="009B633D">
      <w:pPr>
        <w:jc w:val="center"/>
        <w:rPr>
          <w:b/>
          <w:sz w:val="28"/>
          <w:szCs w:val="28"/>
        </w:rPr>
      </w:pPr>
      <w:r w:rsidRPr="00BF05F8">
        <w:rPr>
          <w:b/>
          <w:sz w:val="28"/>
          <w:szCs w:val="28"/>
        </w:rPr>
        <w:t>State and Territorial Health Disparities Survey</w:t>
      </w:r>
    </w:p>
    <w:p w:rsidR="009B633D" w:rsidRPr="00082047"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B95455" w:rsidRDefault="00F52A86" w:rsidP="00B95455">
      <w:pPr>
        <w:jc w:val="center"/>
        <w:rPr>
          <w:b/>
          <w:sz w:val="28"/>
          <w:szCs w:val="28"/>
        </w:rPr>
      </w:pPr>
      <w:r>
        <w:rPr>
          <w:b/>
          <w:sz w:val="28"/>
          <w:szCs w:val="28"/>
        </w:rPr>
        <w:t>October 6</w:t>
      </w:r>
      <w:r w:rsidR="00923E8A">
        <w:rPr>
          <w:b/>
          <w:sz w:val="28"/>
          <w:szCs w:val="28"/>
        </w:rPr>
        <w:t>, 2015</w:t>
      </w:r>
    </w:p>
    <w:p w:rsidR="009B633D"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5D3C69" w:rsidP="009B633D">
      <w:pPr>
        <w:jc w:val="center"/>
        <w:rPr>
          <w:sz w:val="28"/>
          <w:szCs w:val="28"/>
        </w:rPr>
      </w:pPr>
      <w:r>
        <w:rPr>
          <w:sz w:val="28"/>
          <w:szCs w:val="28"/>
        </w:rPr>
        <w:t>Office of Minority Health (</w:t>
      </w:r>
      <w:proofErr w:type="spellStart"/>
      <w:r>
        <w:rPr>
          <w:sz w:val="28"/>
          <w:szCs w:val="28"/>
        </w:rPr>
        <w:t>OMH</w:t>
      </w:r>
      <w:proofErr w:type="spellEnd"/>
      <w:r>
        <w:rPr>
          <w:sz w:val="28"/>
          <w:szCs w:val="28"/>
        </w:rPr>
        <w:t>)</w:t>
      </w:r>
    </w:p>
    <w:p w:rsidR="00FB091E" w:rsidRDefault="00FB091E" w:rsidP="009B633D">
      <w:pPr>
        <w:jc w:val="center"/>
        <w:rPr>
          <w:sz w:val="28"/>
          <w:szCs w:val="28"/>
        </w:rPr>
      </w:pPr>
      <w:r>
        <w:rPr>
          <w:sz w:val="28"/>
          <w:szCs w:val="28"/>
        </w:rPr>
        <w:t>U.S. Department of Health and Human Services</w:t>
      </w:r>
    </w:p>
    <w:p w:rsidR="009B633D" w:rsidRDefault="009B633D">
      <w:pPr>
        <w:rPr>
          <w:sz w:val="28"/>
          <w:szCs w:val="28"/>
        </w:rPr>
      </w:pPr>
    </w:p>
    <w:p w:rsidR="009B633D" w:rsidRDefault="00B773E3" w:rsidP="00B773E3">
      <w:pPr>
        <w:tabs>
          <w:tab w:val="left" w:pos="6420"/>
        </w:tabs>
        <w:rPr>
          <w:sz w:val="28"/>
          <w:szCs w:val="28"/>
        </w:rPr>
      </w:pPr>
      <w:r>
        <w:rPr>
          <w:sz w:val="28"/>
          <w:szCs w:val="28"/>
        </w:rPr>
        <w:tab/>
      </w:r>
    </w:p>
    <w:p w:rsidR="00344684" w:rsidRDefault="009B633D" w:rsidP="007B3A8E">
      <w:pPr>
        <w:tabs>
          <w:tab w:val="left" w:pos="360"/>
          <w:tab w:val="left" w:leader="dot" w:pos="8280"/>
        </w:tabs>
        <w:sectPr w:rsidR="00344684" w:rsidSect="001301B3">
          <w:footerReference w:type="even" r:id="rId9"/>
          <w:footerReference w:type="default" r:id="rId10"/>
          <w:footerReference w:type="first" r:id="rId11"/>
          <w:endnotePr>
            <w:numFmt w:val="decimal"/>
          </w:endnotePr>
          <w:pgSz w:w="12240" w:h="15840"/>
          <w:pgMar w:top="1440" w:right="1440" w:bottom="1152" w:left="1440" w:header="720" w:footer="720" w:gutter="0"/>
          <w:cols w:space="720"/>
          <w:titlePg/>
          <w:docGrid w:linePitch="360"/>
        </w:sectPr>
      </w:pPr>
      <w:r>
        <w:br w:type="page"/>
      </w:r>
    </w:p>
    <w:p w:rsidR="001301B3" w:rsidRPr="00556066" w:rsidRDefault="001301B3" w:rsidP="007B3A8E">
      <w:pPr>
        <w:tabs>
          <w:tab w:val="left" w:pos="360"/>
          <w:tab w:val="left" w:leader="dot" w:pos="8280"/>
        </w:tabs>
      </w:pPr>
    </w:p>
    <w:sdt>
      <w:sdtPr>
        <w:rPr>
          <w:rFonts w:ascii="Times New Roman" w:eastAsia="Times New Roman" w:hAnsi="Times New Roman" w:cs="Times New Roman"/>
          <w:b w:val="0"/>
          <w:bCs w:val="0"/>
          <w:color w:val="auto"/>
          <w:sz w:val="24"/>
          <w:szCs w:val="24"/>
        </w:rPr>
        <w:id w:val="38698922"/>
        <w:docPartObj>
          <w:docPartGallery w:val="Table of Contents"/>
          <w:docPartUnique/>
        </w:docPartObj>
      </w:sdtPr>
      <w:sdtEndPr/>
      <w:sdtContent>
        <w:p w:rsidR="001301B3" w:rsidRDefault="001301B3">
          <w:pPr>
            <w:pStyle w:val="TOCHeading"/>
          </w:pPr>
          <w:r>
            <w:t>Table of Contents</w:t>
          </w:r>
        </w:p>
        <w:p w:rsidR="001301B3" w:rsidRPr="001301B3" w:rsidRDefault="001301B3" w:rsidP="001301B3"/>
        <w:p w:rsidR="009A0234" w:rsidRPr="00B773E3" w:rsidRDefault="00CD049A">
          <w:pPr>
            <w:pStyle w:val="TOC1"/>
            <w:tabs>
              <w:tab w:val="right" w:leader="dot" w:pos="9350"/>
            </w:tabs>
            <w:rPr>
              <w:rFonts w:asciiTheme="minorHAnsi" w:eastAsiaTheme="minorEastAsia" w:hAnsiTheme="minorHAnsi" w:cstheme="minorBidi"/>
              <w:noProof/>
              <w:sz w:val="22"/>
              <w:szCs w:val="22"/>
            </w:rPr>
          </w:pPr>
          <w:r w:rsidRPr="00B773E3">
            <w:fldChar w:fldCharType="begin"/>
          </w:r>
          <w:r w:rsidR="001301B3" w:rsidRPr="00B773E3">
            <w:instrText xml:space="preserve"> TOC \o "1-3" \h \z \u </w:instrText>
          </w:r>
          <w:r w:rsidRPr="00B773E3">
            <w:fldChar w:fldCharType="separate"/>
          </w:r>
          <w:hyperlink w:anchor="_Toc410053822" w:history="1">
            <w:r w:rsidR="009A0234" w:rsidRPr="00B773E3">
              <w:rPr>
                <w:rStyle w:val="Hyperlink"/>
                <w:noProof/>
              </w:rPr>
              <w:t>A. Justification</w:t>
            </w:r>
            <w:r w:rsidR="009A0234" w:rsidRPr="00B773E3">
              <w:rPr>
                <w:noProof/>
                <w:webHidden/>
              </w:rPr>
              <w:tab/>
            </w:r>
            <w:r w:rsidR="009A0234" w:rsidRPr="00B773E3">
              <w:rPr>
                <w:noProof/>
                <w:webHidden/>
              </w:rPr>
              <w:fldChar w:fldCharType="begin"/>
            </w:r>
            <w:r w:rsidR="009A0234" w:rsidRPr="00B773E3">
              <w:rPr>
                <w:noProof/>
                <w:webHidden/>
              </w:rPr>
              <w:instrText xml:space="preserve"> PAGEREF _Toc410053822 \h </w:instrText>
            </w:r>
            <w:r w:rsidR="009A0234" w:rsidRPr="00B773E3">
              <w:rPr>
                <w:noProof/>
                <w:webHidden/>
              </w:rPr>
            </w:r>
            <w:r w:rsidR="009A0234" w:rsidRPr="00B773E3">
              <w:rPr>
                <w:noProof/>
                <w:webHidden/>
              </w:rPr>
              <w:fldChar w:fldCharType="separate"/>
            </w:r>
            <w:r w:rsidR="00420FEF">
              <w:rPr>
                <w:noProof/>
                <w:webHidden/>
              </w:rPr>
              <w:t>3</w:t>
            </w:r>
            <w:r w:rsidR="009A0234" w:rsidRPr="00B773E3">
              <w:rPr>
                <w:noProof/>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23" w:history="1">
            <w:r w:rsidR="009A0234" w:rsidRPr="00B773E3">
              <w:rPr>
                <w:rStyle w:val="Hyperlink"/>
              </w:rPr>
              <w:t>1. Circumstances that make the collection of information necessary</w:t>
            </w:r>
            <w:r w:rsidR="009A0234" w:rsidRPr="00B773E3">
              <w:rPr>
                <w:webHidden/>
              </w:rPr>
              <w:tab/>
            </w:r>
            <w:r w:rsidR="009A0234" w:rsidRPr="00B773E3">
              <w:rPr>
                <w:webHidden/>
              </w:rPr>
              <w:fldChar w:fldCharType="begin"/>
            </w:r>
            <w:r w:rsidR="009A0234" w:rsidRPr="00B773E3">
              <w:rPr>
                <w:webHidden/>
              </w:rPr>
              <w:instrText xml:space="preserve"> PAGEREF _Toc410053823 \h </w:instrText>
            </w:r>
            <w:r w:rsidR="009A0234" w:rsidRPr="00B773E3">
              <w:rPr>
                <w:webHidden/>
              </w:rPr>
            </w:r>
            <w:r w:rsidR="009A0234" w:rsidRPr="00B773E3">
              <w:rPr>
                <w:webHidden/>
              </w:rPr>
              <w:fldChar w:fldCharType="separate"/>
            </w:r>
            <w:r w:rsidR="00420FEF">
              <w:rPr>
                <w:webHidden/>
              </w:rPr>
              <w:t>3</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24" w:history="1">
            <w:r w:rsidR="009A0234" w:rsidRPr="00B773E3">
              <w:rPr>
                <w:rStyle w:val="Hyperlink"/>
              </w:rPr>
              <w:t>2. Purpose and Use of Information</w:t>
            </w:r>
            <w:r w:rsidR="009A0234" w:rsidRPr="00B773E3">
              <w:rPr>
                <w:webHidden/>
              </w:rPr>
              <w:tab/>
            </w:r>
            <w:r w:rsidR="009A0234" w:rsidRPr="00B773E3">
              <w:rPr>
                <w:webHidden/>
              </w:rPr>
              <w:fldChar w:fldCharType="begin"/>
            </w:r>
            <w:r w:rsidR="009A0234" w:rsidRPr="00B773E3">
              <w:rPr>
                <w:webHidden/>
              </w:rPr>
              <w:instrText xml:space="preserve"> PAGEREF _Toc410053824 \h </w:instrText>
            </w:r>
            <w:r w:rsidR="009A0234" w:rsidRPr="00B773E3">
              <w:rPr>
                <w:webHidden/>
              </w:rPr>
            </w:r>
            <w:r w:rsidR="009A0234" w:rsidRPr="00B773E3">
              <w:rPr>
                <w:webHidden/>
              </w:rPr>
              <w:fldChar w:fldCharType="separate"/>
            </w:r>
            <w:r w:rsidR="00420FEF">
              <w:rPr>
                <w:webHidden/>
              </w:rPr>
              <w:t>4</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25" w:history="1">
            <w:r w:rsidR="009A0234" w:rsidRPr="00B773E3">
              <w:rPr>
                <w:rStyle w:val="Hyperlink"/>
              </w:rPr>
              <w:t>3. Use of Improved Information Technology</w:t>
            </w:r>
            <w:r w:rsidR="009A0234" w:rsidRPr="00B773E3">
              <w:rPr>
                <w:webHidden/>
              </w:rPr>
              <w:tab/>
            </w:r>
            <w:r w:rsidR="009A0234" w:rsidRPr="00B773E3">
              <w:rPr>
                <w:webHidden/>
              </w:rPr>
              <w:fldChar w:fldCharType="begin"/>
            </w:r>
            <w:r w:rsidR="009A0234" w:rsidRPr="00B773E3">
              <w:rPr>
                <w:webHidden/>
              </w:rPr>
              <w:instrText xml:space="preserve"> PAGEREF _Toc410053825 \h </w:instrText>
            </w:r>
            <w:r w:rsidR="009A0234" w:rsidRPr="00B773E3">
              <w:rPr>
                <w:webHidden/>
              </w:rPr>
            </w:r>
            <w:r w:rsidR="009A0234" w:rsidRPr="00B773E3">
              <w:rPr>
                <w:webHidden/>
              </w:rPr>
              <w:fldChar w:fldCharType="separate"/>
            </w:r>
            <w:r w:rsidR="00420FEF">
              <w:rPr>
                <w:webHidden/>
              </w:rPr>
              <w:t>4</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26" w:history="1">
            <w:r w:rsidR="009A0234" w:rsidRPr="00B773E3">
              <w:rPr>
                <w:rStyle w:val="Hyperlink"/>
              </w:rPr>
              <w:t>4. Efforts to Identify Duplication</w:t>
            </w:r>
            <w:r w:rsidR="009A0234" w:rsidRPr="00B773E3">
              <w:rPr>
                <w:webHidden/>
              </w:rPr>
              <w:tab/>
            </w:r>
            <w:r w:rsidR="009A0234" w:rsidRPr="00B773E3">
              <w:rPr>
                <w:webHidden/>
              </w:rPr>
              <w:fldChar w:fldCharType="begin"/>
            </w:r>
            <w:r w:rsidR="009A0234" w:rsidRPr="00B773E3">
              <w:rPr>
                <w:webHidden/>
              </w:rPr>
              <w:instrText xml:space="preserve"> PAGEREF _Toc410053826 \h </w:instrText>
            </w:r>
            <w:r w:rsidR="009A0234" w:rsidRPr="00B773E3">
              <w:rPr>
                <w:webHidden/>
              </w:rPr>
            </w:r>
            <w:r w:rsidR="009A0234" w:rsidRPr="00B773E3">
              <w:rPr>
                <w:webHidden/>
              </w:rPr>
              <w:fldChar w:fldCharType="separate"/>
            </w:r>
            <w:r w:rsidR="00420FEF">
              <w:rPr>
                <w:webHidden/>
              </w:rPr>
              <w:t>5</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27" w:history="1">
            <w:r w:rsidR="009A0234" w:rsidRPr="00B773E3">
              <w:rPr>
                <w:rStyle w:val="Hyperlink"/>
              </w:rPr>
              <w:t>5. Involvement of Small Entities</w:t>
            </w:r>
            <w:r w:rsidR="009A0234" w:rsidRPr="00B773E3">
              <w:rPr>
                <w:webHidden/>
              </w:rPr>
              <w:tab/>
            </w:r>
            <w:r w:rsidR="009A0234" w:rsidRPr="00B773E3">
              <w:rPr>
                <w:webHidden/>
              </w:rPr>
              <w:fldChar w:fldCharType="begin"/>
            </w:r>
            <w:r w:rsidR="009A0234" w:rsidRPr="00B773E3">
              <w:rPr>
                <w:webHidden/>
              </w:rPr>
              <w:instrText xml:space="preserve"> PAGEREF _Toc410053827 \h </w:instrText>
            </w:r>
            <w:r w:rsidR="009A0234" w:rsidRPr="00B773E3">
              <w:rPr>
                <w:webHidden/>
              </w:rPr>
            </w:r>
            <w:r w:rsidR="009A0234" w:rsidRPr="00B773E3">
              <w:rPr>
                <w:webHidden/>
              </w:rPr>
              <w:fldChar w:fldCharType="separate"/>
            </w:r>
            <w:r w:rsidR="00420FEF">
              <w:rPr>
                <w:webHidden/>
              </w:rPr>
              <w:t>5</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28" w:history="1">
            <w:r w:rsidR="009A0234" w:rsidRPr="00B773E3">
              <w:rPr>
                <w:rStyle w:val="Hyperlink"/>
              </w:rPr>
              <w:t>6. Consequences if Information Collected Less Frequently</w:t>
            </w:r>
            <w:r w:rsidR="009A0234" w:rsidRPr="00B773E3">
              <w:rPr>
                <w:webHidden/>
              </w:rPr>
              <w:tab/>
            </w:r>
            <w:r w:rsidR="009A0234" w:rsidRPr="00B773E3">
              <w:rPr>
                <w:webHidden/>
              </w:rPr>
              <w:fldChar w:fldCharType="begin"/>
            </w:r>
            <w:r w:rsidR="009A0234" w:rsidRPr="00B773E3">
              <w:rPr>
                <w:webHidden/>
              </w:rPr>
              <w:instrText xml:space="preserve"> PAGEREF _Toc410053828 \h </w:instrText>
            </w:r>
            <w:r w:rsidR="009A0234" w:rsidRPr="00B773E3">
              <w:rPr>
                <w:webHidden/>
              </w:rPr>
            </w:r>
            <w:r w:rsidR="009A0234" w:rsidRPr="00B773E3">
              <w:rPr>
                <w:webHidden/>
              </w:rPr>
              <w:fldChar w:fldCharType="separate"/>
            </w:r>
            <w:r w:rsidR="00420FEF">
              <w:rPr>
                <w:webHidden/>
              </w:rPr>
              <w:t>5</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29" w:history="1">
            <w:r w:rsidR="009A0234" w:rsidRPr="00B773E3">
              <w:rPr>
                <w:rStyle w:val="Hyperlink"/>
              </w:rPr>
              <w:t>7. Special Circumstances</w:t>
            </w:r>
            <w:r w:rsidR="009A0234" w:rsidRPr="00B773E3">
              <w:rPr>
                <w:webHidden/>
              </w:rPr>
              <w:tab/>
            </w:r>
            <w:r w:rsidR="009A0234" w:rsidRPr="00B773E3">
              <w:rPr>
                <w:webHidden/>
              </w:rPr>
              <w:fldChar w:fldCharType="begin"/>
            </w:r>
            <w:r w:rsidR="009A0234" w:rsidRPr="00B773E3">
              <w:rPr>
                <w:webHidden/>
              </w:rPr>
              <w:instrText xml:space="preserve"> PAGEREF _Toc410053829 \h </w:instrText>
            </w:r>
            <w:r w:rsidR="009A0234" w:rsidRPr="00B773E3">
              <w:rPr>
                <w:webHidden/>
              </w:rPr>
            </w:r>
            <w:r w:rsidR="009A0234" w:rsidRPr="00B773E3">
              <w:rPr>
                <w:webHidden/>
              </w:rPr>
              <w:fldChar w:fldCharType="separate"/>
            </w:r>
            <w:r w:rsidR="00420FEF">
              <w:rPr>
                <w:webHidden/>
              </w:rPr>
              <w:t>5</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30" w:history="1">
            <w:r w:rsidR="009A0234" w:rsidRPr="00B773E3">
              <w:rPr>
                <w:rStyle w:val="Hyperlink"/>
              </w:rPr>
              <w:t>8. Federal Register Notice and Outside Consultations</w:t>
            </w:r>
            <w:r w:rsidR="009A0234" w:rsidRPr="00B773E3">
              <w:rPr>
                <w:webHidden/>
              </w:rPr>
              <w:tab/>
            </w:r>
            <w:r w:rsidR="009A0234" w:rsidRPr="00B773E3">
              <w:rPr>
                <w:webHidden/>
              </w:rPr>
              <w:fldChar w:fldCharType="begin"/>
            </w:r>
            <w:r w:rsidR="009A0234" w:rsidRPr="00B773E3">
              <w:rPr>
                <w:webHidden/>
              </w:rPr>
              <w:instrText xml:space="preserve"> PAGEREF _Toc410053830 \h </w:instrText>
            </w:r>
            <w:r w:rsidR="009A0234" w:rsidRPr="00B773E3">
              <w:rPr>
                <w:webHidden/>
              </w:rPr>
            </w:r>
            <w:r w:rsidR="009A0234" w:rsidRPr="00B773E3">
              <w:rPr>
                <w:webHidden/>
              </w:rPr>
              <w:fldChar w:fldCharType="separate"/>
            </w:r>
            <w:r w:rsidR="00420FEF">
              <w:rPr>
                <w:webHidden/>
              </w:rPr>
              <w:t>5</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31" w:history="1">
            <w:r w:rsidR="009A0234" w:rsidRPr="00B773E3">
              <w:rPr>
                <w:rStyle w:val="Hyperlink"/>
              </w:rPr>
              <w:t>9. Payments/Gifts to Respondents</w:t>
            </w:r>
            <w:r w:rsidR="009A0234" w:rsidRPr="00B773E3">
              <w:rPr>
                <w:webHidden/>
              </w:rPr>
              <w:tab/>
            </w:r>
            <w:r w:rsidR="009A0234" w:rsidRPr="00B773E3">
              <w:rPr>
                <w:webHidden/>
              </w:rPr>
              <w:fldChar w:fldCharType="begin"/>
            </w:r>
            <w:r w:rsidR="009A0234" w:rsidRPr="00B773E3">
              <w:rPr>
                <w:webHidden/>
              </w:rPr>
              <w:instrText xml:space="preserve"> PAGEREF _Toc410053831 \h </w:instrText>
            </w:r>
            <w:r w:rsidR="009A0234" w:rsidRPr="00B773E3">
              <w:rPr>
                <w:webHidden/>
              </w:rPr>
            </w:r>
            <w:r w:rsidR="009A0234" w:rsidRPr="00B773E3">
              <w:rPr>
                <w:webHidden/>
              </w:rPr>
              <w:fldChar w:fldCharType="separate"/>
            </w:r>
            <w:r w:rsidR="00420FEF">
              <w:rPr>
                <w:webHidden/>
              </w:rPr>
              <w:t>6</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32" w:history="1">
            <w:r w:rsidR="009A0234" w:rsidRPr="00B773E3">
              <w:rPr>
                <w:rStyle w:val="Hyperlink"/>
              </w:rPr>
              <w:t>10. Assurance of Confidentiality</w:t>
            </w:r>
            <w:r w:rsidR="009A0234" w:rsidRPr="00B773E3">
              <w:rPr>
                <w:webHidden/>
              </w:rPr>
              <w:tab/>
            </w:r>
            <w:r w:rsidR="009A0234" w:rsidRPr="00B773E3">
              <w:rPr>
                <w:webHidden/>
              </w:rPr>
              <w:fldChar w:fldCharType="begin"/>
            </w:r>
            <w:r w:rsidR="009A0234" w:rsidRPr="00B773E3">
              <w:rPr>
                <w:webHidden/>
              </w:rPr>
              <w:instrText xml:space="preserve"> PAGEREF _Toc410053832 \h </w:instrText>
            </w:r>
            <w:r w:rsidR="009A0234" w:rsidRPr="00B773E3">
              <w:rPr>
                <w:webHidden/>
              </w:rPr>
            </w:r>
            <w:r w:rsidR="009A0234" w:rsidRPr="00B773E3">
              <w:rPr>
                <w:webHidden/>
              </w:rPr>
              <w:fldChar w:fldCharType="separate"/>
            </w:r>
            <w:r w:rsidR="00420FEF">
              <w:rPr>
                <w:webHidden/>
              </w:rPr>
              <w:t>6</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33" w:history="1">
            <w:r w:rsidR="009A0234" w:rsidRPr="00B773E3">
              <w:rPr>
                <w:rStyle w:val="Hyperlink"/>
              </w:rPr>
              <w:t>11. Questions of a Sensitive Nature</w:t>
            </w:r>
            <w:r w:rsidR="009A0234" w:rsidRPr="00B773E3">
              <w:rPr>
                <w:webHidden/>
              </w:rPr>
              <w:tab/>
            </w:r>
            <w:r w:rsidR="009A0234" w:rsidRPr="00B773E3">
              <w:rPr>
                <w:webHidden/>
              </w:rPr>
              <w:fldChar w:fldCharType="begin"/>
            </w:r>
            <w:r w:rsidR="009A0234" w:rsidRPr="00B773E3">
              <w:rPr>
                <w:webHidden/>
              </w:rPr>
              <w:instrText xml:space="preserve"> PAGEREF _Toc410053833 \h </w:instrText>
            </w:r>
            <w:r w:rsidR="009A0234" w:rsidRPr="00B773E3">
              <w:rPr>
                <w:webHidden/>
              </w:rPr>
            </w:r>
            <w:r w:rsidR="009A0234" w:rsidRPr="00B773E3">
              <w:rPr>
                <w:webHidden/>
              </w:rPr>
              <w:fldChar w:fldCharType="separate"/>
            </w:r>
            <w:r w:rsidR="00420FEF">
              <w:rPr>
                <w:webHidden/>
              </w:rPr>
              <w:t>6</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34" w:history="1">
            <w:r w:rsidR="009A0234" w:rsidRPr="00B773E3">
              <w:rPr>
                <w:rStyle w:val="Hyperlink"/>
              </w:rPr>
              <w:t>12. Estimates of Annualized Burden Hours and Costs</w:t>
            </w:r>
            <w:r w:rsidR="009A0234" w:rsidRPr="00B773E3">
              <w:rPr>
                <w:webHidden/>
              </w:rPr>
              <w:tab/>
            </w:r>
            <w:r w:rsidR="009A0234" w:rsidRPr="00B773E3">
              <w:rPr>
                <w:webHidden/>
              </w:rPr>
              <w:fldChar w:fldCharType="begin"/>
            </w:r>
            <w:r w:rsidR="009A0234" w:rsidRPr="00B773E3">
              <w:rPr>
                <w:webHidden/>
              </w:rPr>
              <w:instrText xml:space="preserve"> PAGEREF _Toc410053834 \h </w:instrText>
            </w:r>
            <w:r w:rsidR="009A0234" w:rsidRPr="00B773E3">
              <w:rPr>
                <w:webHidden/>
              </w:rPr>
            </w:r>
            <w:r w:rsidR="009A0234" w:rsidRPr="00B773E3">
              <w:rPr>
                <w:webHidden/>
              </w:rPr>
              <w:fldChar w:fldCharType="separate"/>
            </w:r>
            <w:r w:rsidR="00420FEF">
              <w:rPr>
                <w:webHidden/>
              </w:rPr>
              <w:t>6</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35" w:history="1">
            <w:r w:rsidR="009A0234" w:rsidRPr="00B773E3">
              <w:rPr>
                <w:rStyle w:val="Hyperlink"/>
              </w:rPr>
              <w:t>13. Estimates of Annualized Respondent Capital and Maintenance Costs</w:t>
            </w:r>
            <w:r w:rsidR="009A0234" w:rsidRPr="00B773E3">
              <w:rPr>
                <w:webHidden/>
              </w:rPr>
              <w:tab/>
            </w:r>
            <w:r w:rsidR="009A0234" w:rsidRPr="00B773E3">
              <w:rPr>
                <w:webHidden/>
              </w:rPr>
              <w:fldChar w:fldCharType="begin"/>
            </w:r>
            <w:r w:rsidR="009A0234" w:rsidRPr="00B773E3">
              <w:rPr>
                <w:webHidden/>
              </w:rPr>
              <w:instrText xml:space="preserve"> PAGEREF _Toc410053835 \h </w:instrText>
            </w:r>
            <w:r w:rsidR="009A0234" w:rsidRPr="00B773E3">
              <w:rPr>
                <w:webHidden/>
              </w:rPr>
            </w:r>
            <w:r w:rsidR="009A0234" w:rsidRPr="00B773E3">
              <w:rPr>
                <w:webHidden/>
              </w:rPr>
              <w:fldChar w:fldCharType="separate"/>
            </w:r>
            <w:r w:rsidR="00420FEF">
              <w:rPr>
                <w:webHidden/>
              </w:rPr>
              <w:t>7</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36" w:history="1">
            <w:r w:rsidR="009A0234" w:rsidRPr="00B773E3">
              <w:rPr>
                <w:rStyle w:val="Hyperlink"/>
              </w:rPr>
              <w:t>14. Estimates of Annualized Cost to the Government</w:t>
            </w:r>
            <w:r w:rsidR="009A0234" w:rsidRPr="00B773E3">
              <w:rPr>
                <w:webHidden/>
              </w:rPr>
              <w:tab/>
            </w:r>
            <w:r w:rsidR="009A0234" w:rsidRPr="00B773E3">
              <w:rPr>
                <w:webHidden/>
              </w:rPr>
              <w:fldChar w:fldCharType="begin"/>
            </w:r>
            <w:r w:rsidR="009A0234" w:rsidRPr="00B773E3">
              <w:rPr>
                <w:webHidden/>
              </w:rPr>
              <w:instrText xml:space="preserve"> PAGEREF _Toc410053836 \h </w:instrText>
            </w:r>
            <w:r w:rsidR="009A0234" w:rsidRPr="00B773E3">
              <w:rPr>
                <w:webHidden/>
              </w:rPr>
            </w:r>
            <w:r w:rsidR="009A0234" w:rsidRPr="00B773E3">
              <w:rPr>
                <w:webHidden/>
              </w:rPr>
              <w:fldChar w:fldCharType="separate"/>
            </w:r>
            <w:r w:rsidR="00420FEF">
              <w:rPr>
                <w:webHidden/>
              </w:rPr>
              <w:t>7</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37" w:history="1">
            <w:r w:rsidR="009A0234" w:rsidRPr="00B773E3">
              <w:rPr>
                <w:rStyle w:val="Hyperlink"/>
              </w:rPr>
              <w:t>15. Changes in Hour Burden</w:t>
            </w:r>
            <w:r w:rsidR="009A0234" w:rsidRPr="00B773E3">
              <w:rPr>
                <w:webHidden/>
              </w:rPr>
              <w:tab/>
            </w:r>
            <w:r w:rsidR="009A0234" w:rsidRPr="00B773E3">
              <w:rPr>
                <w:webHidden/>
              </w:rPr>
              <w:fldChar w:fldCharType="begin"/>
            </w:r>
            <w:r w:rsidR="009A0234" w:rsidRPr="00B773E3">
              <w:rPr>
                <w:webHidden/>
              </w:rPr>
              <w:instrText xml:space="preserve"> PAGEREF _Toc410053837 \h </w:instrText>
            </w:r>
            <w:r w:rsidR="009A0234" w:rsidRPr="00B773E3">
              <w:rPr>
                <w:webHidden/>
              </w:rPr>
            </w:r>
            <w:r w:rsidR="009A0234" w:rsidRPr="00B773E3">
              <w:rPr>
                <w:webHidden/>
              </w:rPr>
              <w:fldChar w:fldCharType="separate"/>
            </w:r>
            <w:r w:rsidR="00420FEF">
              <w:rPr>
                <w:webHidden/>
              </w:rPr>
              <w:t>8</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38" w:history="1">
            <w:r w:rsidR="009A0234" w:rsidRPr="00B773E3">
              <w:rPr>
                <w:rStyle w:val="Hyperlink"/>
              </w:rPr>
              <w:t>16. Time Schedule, Publication and Analysis Plans</w:t>
            </w:r>
            <w:r w:rsidR="009A0234" w:rsidRPr="00B773E3">
              <w:rPr>
                <w:webHidden/>
              </w:rPr>
              <w:tab/>
            </w:r>
            <w:r w:rsidR="009A0234" w:rsidRPr="00B773E3">
              <w:rPr>
                <w:webHidden/>
              </w:rPr>
              <w:fldChar w:fldCharType="begin"/>
            </w:r>
            <w:r w:rsidR="009A0234" w:rsidRPr="00B773E3">
              <w:rPr>
                <w:webHidden/>
              </w:rPr>
              <w:instrText xml:space="preserve"> PAGEREF _Toc410053838 \h </w:instrText>
            </w:r>
            <w:r w:rsidR="009A0234" w:rsidRPr="00B773E3">
              <w:rPr>
                <w:webHidden/>
              </w:rPr>
            </w:r>
            <w:r w:rsidR="009A0234" w:rsidRPr="00B773E3">
              <w:rPr>
                <w:webHidden/>
              </w:rPr>
              <w:fldChar w:fldCharType="separate"/>
            </w:r>
            <w:r w:rsidR="00420FEF">
              <w:rPr>
                <w:webHidden/>
              </w:rPr>
              <w:t>8</w:t>
            </w:r>
            <w:r w:rsidR="009A0234" w:rsidRPr="00B773E3">
              <w:rPr>
                <w:webHidden/>
              </w:rPr>
              <w:fldChar w:fldCharType="end"/>
            </w:r>
          </w:hyperlink>
        </w:p>
        <w:p w:rsidR="009A0234" w:rsidRPr="00B773E3" w:rsidRDefault="00B547C5" w:rsidP="00B773E3">
          <w:pPr>
            <w:pStyle w:val="TOC2"/>
            <w:rPr>
              <w:rFonts w:asciiTheme="minorHAnsi" w:eastAsiaTheme="minorEastAsia" w:hAnsiTheme="minorHAnsi" w:cstheme="minorBidi"/>
              <w:sz w:val="22"/>
              <w:szCs w:val="22"/>
            </w:rPr>
          </w:pPr>
          <w:hyperlink w:anchor="_Toc410053839" w:history="1">
            <w:r w:rsidR="009A0234" w:rsidRPr="00B773E3">
              <w:rPr>
                <w:rStyle w:val="Hyperlink"/>
              </w:rPr>
              <w:t>17. Exemption for Display of Expiration Date</w:t>
            </w:r>
            <w:r w:rsidR="009A0234" w:rsidRPr="00B773E3">
              <w:rPr>
                <w:webHidden/>
              </w:rPr>
              <w:tab/>
            </w:r>
            <w:r w:rsidR="009A0234" w:rsidRPr="00B773E3">
              <w:rPr>
                <w:webHidden/>
              </w:rPr>
              <w:fldChar w:fldCharType="begin"/>
            </w:r>
            <w:r w:rsidR="009A0234" w:rsidRPr="00B773E3">
              <w:rPr>
                <w:webHidden/>
              </w:rPr>
              <w:instrText xml:space="preserve"> PAGEREF _Toc410053839 \h </w:instrText>
            </w:r>
            <w:r w:rsidR="009A0234" w:rsidRPr="00B773E3">
              <w:rPr>
                <w:webHidden/>
              </w:rPr>
            </w:r>
            <w:r w:rsidR="009A0234" w:rsidRPr="00B773E3">
              <w:rPr>
                <w:webHidden/>
              </w:rPr>
              <w:fldChar w:fldCharType="separate"/>
            </w:r>
            <w:r w:rsidR="00420FEF">
              <w:rPr>
                <w:webHidden/>
              </w:rPr>
              <w:t>8</w:t>
            </w:r>
            <w:r w:rsidR="009A0234" w:rsidRPr="00B773E3">
              <w:rPr>
                <w:webHidden/>
              </w:rPr>
              <w:fldChar w:fldCharType="end"/>
            </w:r>
          </w:hyperlink>
        </w:p>
        <w:p w:rsidR="009A0234" w:rsidRPr="00B773E3" w:rsidRDefault="00B547C5" w:rsidP="00B773E3">
          <w:pPr>
            <w:pStyle w:val="TOC2"/>
            <w:rPr>
              <w:rFonts w:eastAsiaTheme="minorEastAsia"/>
              <w:sz w:val="22"/>
              <w:szCs w:val="22"/>
            </w:rPr>
          </w:pPr>
          <w:hyperlink w:anchor="_Toc410053840" w:history="1">
            <w:r w:rsidR="009A0234" w:rsidRPr="00B773E3">
              <w:rPr>
                <w:rStyle w:val="Hyperlink"/>
              </w:rPr>
              <w:t>List of Attachments:</w:t>
            </w:r>
            <w:r w:rsidR="009A0234" w:rsidRPr="00B773E3">
              <w:rPr>
                <w:webHidden/>
              </w:rPr>
              <w:tab/>
            </w:r>
            <w:r w:rsidR="009A0234" w:rsidRPr="00B773E3">
              <w:rPr>
                <w:webHidden/>
              </w:rPr>
              <w:fldChar w:fldCharType="begin"/>
            </w:r>
            <w:r w:rsidR="009A0234" w:rsidRPr="00B773E3">
              <w:rPr>
                <w:webHidden/>
              </w:rPr>
              <w:instrText xml:space="preserve"> PAGEREF _Toc410053840 \h </w:instrText>
            </w:r>
            <w:r w:rsidR="009A0234" w:rsidRPr="00B773E3">
              <w:rPr>
                <w:webHidden/>
              </w:rPr>
            </w:r>
            <w:r w:rsidR="009A0234" w:rsidRPr="00B773E3">
              <w:rPr>
                <w:webHidden/>
              </w:rPr>
              <w:fldChar w:fldCharType="separate"/>
            </w:r>
            <w:r w:rsidR="00420FEF">
              <w:rPr>
                <w:webHidden/>
              </w:rPr>
              <w:t>8</w:t>
            </w:r>
            <w:r w:rsidR="009A0234" w:rsidRPr="00B773E3">
              <w:rPr>
                <w:webHidden/>
              </w:rPr>
              <w:fldChar w:fldCharType="end"/>
            </w:r>
          </w:hyperlink>
        </w:p>
        <w:p w:rsidR="001301B3" w:rsidRPr="00B773E3" w:rsidRDefault="00CD049A">
          <w:r w:rsidRPr="00B773E3">
            <w:fldChar w:fldCharType="end"/>
          </w:r>
        </w:p>
      </w:sdtContent>
    </w:sdt>
    <w:p w:rsidR="00556066" w:rsidRPr="00556066" w:rsidRDefault="00556066" w:rsidP="007B3A8E">
      <w:pPr>
        <w:tabs>
          <w:tab w:val="left" w:pos="360"/>
          <w:tab w:val="left" w:leader="dot" w:pos="8280"/>
        </w:tabs>
      </w:pPr>
      <w:r>
        <w:tab/>
      </w:r>
    </w:p>
    <w:p w:rsidR="009B633D" w:rsidRDefault="009B633D" w:rsidP="009B633D">
      <w:pPr>
        <w:jc w:val="center"/>
        <w:rPr>
          <w:b/>
        </w:rPr>
      </w:pPr>
    </w:p>
    <w:p w:rsidR="009B633D" w:rsidRDefault="00CD049A" w:rsidP="00B773E3">
      <w:pPr>
        <w:pStyle w:val="TOC2"/>
      </w:pPr>
      <w:r>
        <w:fldChar w:fldCharType="begin"/>
      </w:r>
      <w:r w:rsidR="009B633D">
        <w:instrText xml:space="preserve"> TOC \o "1-3" \h \z \u </w:instrText>
      </w:r>
      <w:r>
        <w:fldChar w:fldCharType="separate"/>
      </w:r>
    </w:p>
    <w:p w:rsidR="009B633D" w:rsidRPr="001D0454" w:rsidRDefault="00CD049A" w:rsidP="009B633D">
      <w:pPr>
        <w:jc w:val="center"/>
        <w:rPr>
          <w:b/>
        </w:rPr>
      </w:pPr>
      <w:r>
        <w:rPr>
          <w:b/>
        </w:rPr>
        <w:fldChar w:fldCharType="end"/>
      </w:r>
    </w:p>
    <w:p w:rsidR="009B633D" w:rsidRPr="006014DB" w:rsidRDefault="009B633D" w:rsidP="009B633D">
      <w:pPr>
        <w:pStyle w:val="Heading1"/>
        <w:rPr>
          <w:sz w:val="24"/>
          <w:szCs w:val="24"/>
        </w:rPr>
      </w:pPr>
      <w:r>
        <w:br w:type="page"/>
      </w:r>
      <w:bookmarkStart w:id="1" w:name="_Toc151782175"/>
      <w:bookmarkStart w:id="2" w:name="_Toc158526215"/>
      <w:bookmarkStart w:id="3" w:name="_Toc410053822"/>
      <w:r w:rsidRPr="006014DB">
        <w:rPr>
          <w:sz w:val="24"/>
          <w:szCs w:val="24"/>
        </w:rPr>
        <w:lastRenderedPageBreak/>
        <w:t>A. Justification</w:t>
      </w:r>
      <w:bookmarkEnd w:id="1"/>
      <w:bookmarkEnd w:id="2"/>
      <w:bookmarkEnd w:id="3"/>
    </w:p>
    <w:p w:rsidR="009B633D" w:rsidRDefault="009B633D" w:rsidP="004D171B">
      <w:pPr>
        <w:pStyle w:val="Heading2"/>
        <w:rPr>
          <w:sz w:val="24"/>
          <w:szCs w:val="24"/>
        </w:rPr>
      </w:pPr>
      <w:bookmarkStart w:id="4" w:name="_Toc151782176"/>
      <w:bookmarkStart w:id="5" w:name="_Toc158526216"/>
      <w:bookmarkStart w:id="6" w:name="_Toc410053823"/>
      <w:r w:rsidRPr="006014DB">
        <w:rPr>
          <w:sz w:val="24"/>
          <w:szCs w:val="24"/>
        </w:rPr>
        <w:t xml:space="preserve">1. </w:t>
      </w:r>
      <w:bookmarkEnd w:id="4"/>
      <w:bookmarkEnd w:id="5"/>
      <w:r w:rsidR="006014DB" w:rsidRPr="006014DB">
        <w:rPr>
          <w:sz w:val="24"/>
          <w:szCs w:val="24"/>
        </w:rPr>
        <w:t>Circumstances that make the collection of information necessary</w:t>
      </w:r>
      <w:bookmarkEnd w:id="6"/>
    </w:p>
    <w:p w:rsidR="00E36E85" w:rsidRDefault="00E36E85" w:rsidP="00820CF2">
      <w:pPr>
        <w:rPr>
          <w:b/>
        </w:rPr>
      </w:pPr>
    </w:p>
    <w:p w:rsidR="00E36E85" w:rsidRDefault="00E36E85" w:rsidP="00820CF2">
      <w:r w:rsidRPr="00E36E85">
        <w:t>In 1985, the United States Department of Health and Human Services (</w:t>
      </w:r>
      <w:proofErr w:type="spellStart"/>
      <w:r w:rsidRPr="00E36E85">
        <w:t>HHS</w:t>
      </w:r>
      <w:proofErr w:type="spellEnd"/>
      <w:r w:rsidRPr="00E36E85">
        <w:t xml:space="preserve">) released a landmark report, the </w:t>
      </w:r>
      <w:r w:rsidRPr="00FB091E">
        <w:rPr>
          <w:i/>
        </w:rPr>
        <w:t>Secretary's Task Force Report on Black and Minority Health (Heckler Report</w:t>
      </w:r>
      <w:r w:rsidR="00957D89">
        <w:t xml:space="preserve"> </w:t>
      </w:r>
      <w:r w:rsidR="00C05C33">
        <w:t>[</w:t>
      </w:r>
      <w:hyperlink r:id="rId12" w:anchor="page/n1/mode/2up" w:history="1">
        <w:r w:rsidR="00957D89" w:rsidRPr="00691EED">
          <w:rPr>
            <w:rStyle w:val="Hyperlink"/>
          </w:rPr>
          <w:t>http://archive.org/stream/reportofsecretar00usde#page/n1/mode/2up</w:t>
        </w:r>
      </w:hyperlink>
      <w:r w:rsidR="00C05C33">
        <w:t>]</w:t>
      </w:r>
      <w:r w:rsidRPr="00E36E85">
        <w:t>).</w:t>
      </w:r>
      <w:r w:rsidR="00FB091E">
        <w:t xml:space="preserve"> </w:t>
      </w:r>
      <w:r w:rsidRPr="00E36E85">
        <w:t xml:space="preserve"> It documented the existence of health disparities among racial and ethnic minorities in the United States</w:t>
      </w:r>
      <w:r w:rsidR="00FB091E">
        <w:t>,</w:t>
      </w:r>
      <w:r w:rsidRPr="00E36E85">
        <w:t xml:space="preserve"> and called such disparities "an affront both to our ideals and to the ongoing genius of American medicine</w:t>
      </w:r>
      <w:r w:rsidR="00FB091E">
        <w:t>.</w:t>
      </w:r>
      <w:r w:rsidRPr="00E36E85">
        <w:t>"</w:t>
      </w:r>
      <w:r w:rsidR="00FB091E">
        <w:t xml:space="preserve">  It also </w:t>
      </w:r>
      <w:r w:rsidR="00200A31" w:rsidRPr="00200A31">
        <w:t>emphasize</w:t>
      </w:r>
      <w:r w:rsidR="00200A31">
        <w:t>d</w:t>
      </w:r>
      <w:r w:rsidR="00200A31" w:rsidRPr="00200A31">
        <w:t xml:space="preserve"> the importance of timely and reliable data to assist in identifying racial </w:t>
      </w:r>
      <w:r w:rsidR="00FB091E">
        <w:t xml:space="preserve">and ethnic health disparities, </w:t>
      </w:r>
      <w:r w:rsidR="00200A31" w:rsidRPr="00200A31">
        <w:t>understanding the causes and correlates of disparities, and monitoring progress in reducing them</w:t>
      </w:r>
      <w:r w:rsidR="00DE279F">
        <w:t>.</w:t>
      </w:r>
    </w:p>
    <w:p w:rsidR="00E36E85" w:rsidRDefault="00E36E85" w:rsidP="00820CF2"/>
    <w:p w:rsidR="00E36E85" w:rsidRDefault="00E36E85" w:rsidP="006B2DC1">
      <w:r w:rsidRPr="00E36E85">
        <w:t>The Office of Minority Health</w:t>
      </w:r>
      <w:r w:rsidR="00197BAE">
        <w:t xml:space="preserve"> (</w:t>
      </w:r>
      <w:proofErr w:type="spellStart"/>
      <w:r w:rsidR="00197BAE">
        <w:t>OMH</w:t>
      </w:r>
      <w:proofErr w:type="spellEnd"/>
      <w:r w:rsidR="00197BAE">
        <w:t>)</w:t>
      </w:r>
      <w:r w:rsidRPr="00E36E85">
        <w:t xml:space="preserve"> was created</w:t>
      </w:r>
      <w:r w:rsidR="00A334C1">
        <w:t xml:space="preserve"> by </w:t>
      </w:r>
      <w:proofErr w:type="spellStart"/>
      <w:r w:rsidR="00BF05F8">
        <w:t>HHS</w:t>
      </w:r>
      <w:proofErr w:type="spellEnd"/>
      <w:r w:rsidR="00BF05F8" w:rsidRPr="00E36E85">
        <w:t xml:space="preserve"> </w:t>
      </w:r>
      <w:r w:rsidRPr="00E36E85">
        <w:t>in 1986</w:t>
      </w:r>
      <w:r w:rsidR="003807A8">
        <w:t>,</w:t>
      </w:r>
      <w:r w:rsidRPr="00E36E85">
        <w:t xml:space="preserve"> as one of the most significant outcomes of the </w:t>
      </w:r>
      <w:r w:rsidRPr="003807A8">
        <w:rPr>
          <w:i/>
        </w:rPr>
        <w:t>Heckler Report</w:t>
      </w:r>
      <w:r w:rsidRPr="00E36E85">
        <w:t xml:space="preserve"> and was reauthorized </w:t>
      </w:r>
      <w:r w:rsidR="00FB091E">
        <w:t xml:space="preserve">by the </w:t>
      </w:r>
      <w:r w:rsidR="00BF05F8">
        <w:t xml:space="preserve">Patient Protection and </w:t>
      </w:r>
      <w:r w:rsidR="00FB091E">
        <w:t>Affordable Care Act</w:t>
      </w:r>
      <w:r w:rsidRPr="00E36E85">
        <w:t xml:space="preserve"> in 2010. </w:t>
      </w:r>
      <w:r w:rsidR="00582043">
        <w:t xml:space="preserve"> </w:t>
      </w:r>
      <w:proofErr w:type="spellStart"/>
      <w:r w:rsidR="00582043">
        <w:t>OMH’</w:t>
      </w:r>
      <w:r w:rsidR="00FB091E">
        <w:t>s</w:t>
      </w:r>
      <w:proofErr w:type="spellEnd"/>
      <w:r w:rsidR="00FB091E">
        <w:t xml:space="preserve"> mission</w:t>
      </w:r>
      <w:r w:rsidRPr="00E36E85">
        <w:t xml:space="preserve"> is to improve the health of racial and ethnic minority populations through the development of health policies and programs that will </w:t>
      </w:r>
      <w:r w:rsidR="00FB091E">
        <w:t>reduce</w:t>
      </w:r>
      <w:r w:rsidRPr="00E36E85">
        <w:t xml:space="preserve"> health disparities.</w:t>
      </w:r>
      <w:r>
        <w:t xml:space="preserve"> </w:t>
      </w:r>
      <w:r w:rsidR="00FB091E">
        <w:t xml:space="preserve"> </w:t>
      </w:r>
      <w:r w:rsidR="006B2DC1">
        <w:t xml:space="preserve">Several key initiatives developed by </w:t>
      </w:r>
      <w:proofErr w:type="spellStart"/>
      <w:r w:rsidR="006B2DC1">
        <w:t>OMH</w:t>
      </w:r>
      <w:proofErr w:type="spellEnd"/>
      <w:r w:rsidR="006B2DC1">
        <w:t xml:space="preserve"> include State Partnership Grants (</w:t>
      </w:r>
      <w:proofErr w:type="spellStart"/>
      <w:r w:rsidR="006B2DC1">
        <w:t>SPGs</w:t>
      </w:r>
      <w:proofErr w:type="spellEnd"/>
      <w:r w:rsidR="006B2DC1">
        <w:t xml:space="preserve">), </w:t>
      </w:r>
      <w:r w:rsidR="0082393A">
        <w:t xml:space="preserve">the National Standards for </w:t>
      </w:r>
      <w:r w:rsidR="006B2DC1">
        <w:t>Cultural</w:t>
      </w:r>
      <w:r w:rsidR="002D7F75">
        <w:t>l</w:t>
      </w:r>
      <w:r w:rsidR="006B2DC1">
        <w:t>y and Linguistically Appropriate Services</w:t>
      </w:r>
      <w:r w:rsidR="0082393A">
        <w:t xml:space="preserve"> in Health and Health Care</w:t>
      </w:r>
      <w:r w:rsidR="006B2DC1">
        <w:t xml:space="preserve"> (</w:t>
      </w:r>
      <w:r w:rsidR="0082393A">
        <w:t xml:space="preserve">National </w:t>
      </w:r>
      <w:proofErr w:type="spellStart"/>
      <w:r w:rsidR="006B2DC1">
        <w:t>CLAS</w:t>
      </w:r>
      <w:proofErr w:type="spellEnd"/>
      <w:r w:rsidR="006B2DC1">
        <w:t xml:space="preserve"> Standards</w:t>
      </w:r>
      <w:r w:rsidR="0082393A">
        <w:t>)</w:t>
      </w:r>
      <w:r w:rsidR="006B2DC1">
        <w:t>,</w:t>
      </w:r>
      <w:r w:rsidR="0082393A">
        <w:t xml:space="preserve"> the </w:t>
      </w:r>
      <w:proofErr w:type="spellStart"/>
      <w:r w:rsidR="0082393A">
        <w:t>HHS</w:t>
      </w:r>
      <w:proofErr w:type="spellEnd"/>
      <w:r w:rsidR="0082393A">
        <w:t xml:space="preserve"> Action Plan to Reduce Racial and E</w:t>
      </w:r>
      <w:r w:rsidR="00857DCC">
        <w:t>t</w:t>
      </w:r>
      <w:r w:rsidR="0082393A">
        <w:t>hnic Health Disparities</w:t>
      </w:r>
      <w:r w:rsidR="006B2DC1">
        <w:t xml:space="preserve"> and the National Partnership for Action to End Health Disparities (</w:t>
      </w:r>
      <w:proofErr w:type="spellStart"/>
      <w:r w:rsidR="006B2DC1">
        <w:t>NPA</w:t>
      </w:r>
      <w:proofErr w:type="spellEnd"/>
      <w:r w:rsidR="006B2DC1">
        <w:t xml:space="preserve">), which is coupled with its National Stakeholder Strategy for Achieving Health Equity. </w:t>
      </w:r>
    </w:p>
    <w:p w:rsidR="00197BAE" w:rsidRDefault="00197BAE" w:rsidP="00820CF2"/>
    <w:p w:rsidR="005C0BAF" w:rsidRPr="00D80450" w:rsidRDefault="00197BAE" w:rsidP="00F52A86">
      <w:proofErr w:type="spellStart"/>
      <w:r w:rsidRPr="00197BAE">
        <w:t>OMH</w:t>
      </w:r>
      <w:proofErr w:type="spellEnd"/>
      <w:r w:rsidRPr="00197BAE">
        <w:t xml:space="preserve"> has a long history of collaborating with states</w:t>
      </w:r>
      <w:r w:rsidR="00FB091E">
        <w:t xml:space="preserve"> and territories</w:t>
      </w:r>
      <w:r w:rsidRPr="00197BAE">
        <w:t xml:space="preserve"> to improve minority health outcomes and reduce health and healthcare disparities. </w:t>
      </w:r>
      <w:r w:rsidR="00FB091E">
        <w:t xml:space="preserve"> </w:t>
      </w:r>
      <w:r>
        <w:t xml:space="preserve">To best facilitate continued partnerships, </w:t>
      </w:r>
      <w:proofErr w:type="spellStart"/>
      <w:r>
        <w:t>OMH</w:t>
      </w:r>
      <w:proofErr w:type="spellEnd"/>
      <w:r>
        <w:t xml:space="preserve"> needs information about the current activities, challenges, and resources within state </w:t>
      </w:r>
      <w:r w:rsidR="0082393A">
        <w:t>and territorial minority health entities (</w:t>
      </w:r>
      <w:proofErr w:type="spellStart"/>
      <w:r w:rsidR="0082393A">
        <w:t>SMHEs</w:t>
      </w:r>
      <w:proofErr w:type="spellEnd"/>
      <w:r w:rsidR="0082393A">
        <w:t>)</w:t>
      </w:r>
      <w:r>
        <w:t xml:space="preserve">. The </w:t>
      </w:r>
      <w:r w:rsidR="0082393A">
        <w:t>State and Territorial Health Disparities Survey (</w:t>
      </w:r>
      <w:proofErr w:type="spellStart"/>
      <w:r w:rsidR="0082393A">
        <w:t>STHD</w:t>
      </w:r>
      <w:proofErr w:type="spellEnd"/>
      <w:r w:rsidR="0082393A">
        <w:t xml:space="preserve"> Survey)</w:t>
      </w:r>
      <w:r>
        <w:t xml:space="preserve"> is intended to support </w:t>
      </w:r>
      <w:proofErr w:type="spellStart"/>
      <w:r>
        <w:t>OMH</w:t>
      </w:r>
      <w:proofErr w:type="spellEnd"/>
      <w:r>
        <w:t xml:space="preserve"> informational needs by collecting, organizing, and presenting a variety of information about states</w:t>
      </w:r>
      <w:r w:rsidR="00FB091E">
        <w:t xml:space="preserve"> and territories</w:t>
      </w:r>
      <w:r>
        <w:t>, including the current status of minority health and health disparities</w:t>
      </w:r>
      <w:r w:rsidR="007D4872">
        <w:t>,</w:t>
      </w:r>
      <w:r>
        <w:t xml:space="preserve"> the organization and operation of the 50+ state and territorial offices of minority </w:t>
      </w:r>
      <w:r w:rsidR="00FB2C69">
        <w:t>health</w:t>
      </w:r>
      <w:r w:rsidR="00582043">
        <w:t>, and state/territorial</w:t>
      </w:r>
      <w:r w:rsidR="00FB091E">
        <w:t xml:space="preserve"> </w:t>
      </w:r>
      <w:r w:rsidR="007D4872">
        <w:t xml:space="preserve">implementation of federal standards and evidence-based practices designed to address disparities and improve minority </w:t>
      </w:r>
      <w:r w:rsidR="00953692">
        <w:t>health.</w:t>
      </w:r>
      <w:r w:rsidR="00953692" w:rsidRPr="00D80450">
        <w:t xml:space="preserve"> </w:t>
      </w:r>
      <w:r w:rsidR="00FB091E">
        <w:t xml:space="preserve"> </w:t>
      </w:r>
      <w:r w:rsidR="00953692" w:rsidRPr="00D80450">
        <w:t>The</w:t>
      </w:r>
      <w:r w:rsidR="00D80450">
        <w:t xml:space="preserve"> </w:t>
      </w:r>
      <w:proofErr w:type="spellStart"/>
      <w:r w:rsidR="0082393A">
        <w:t>STHD</w:t>
      </w:r>
      <w:proofErr w:type="spellEnd"/>
      <w:r w:rsidR="0082393A">
        <w:t xml:space="preserve"> </w:t>
      </w:r>
      <w:r w:rsidR="00D80450">
        <w:t xml:space="preserve">Survey, which will focus on the activities, staffing, and funding of </w:t>
      </w:r>
      <w:proofErr w:type="spellStart"/>
      <w:r w:rsidR="00D80450">
        <w:t>SMHEs</w:t>
      </w:r>
      <w:proofErr w:type="spellEnd"/>
      <w:r w:rsidR="00D80450">
        <w:t>, is part of a larger project to catalog the extent of health disparities and the activities underway to reduce them</w:t>
      </w:r>
      <w:r w:rsidR="004D4FC8">
        <w:t xml:space="preserve"> in each state</w:t>
      </w:r>
      <w:r w:rsidR="0082393A">
        <w:t xml:space="preserve"> and territory</w:t>
      </w:r>
      <w:r w:rsidR="00D80450">
        <w:t xml:space="preserve">. The project also supports development of a </w:t>
      </w:r>
      <w:r w:rsidR="00D80450" w:rsidRPr="00953692">
        <w:rPr>
          <w:i/>
        </w:rPr>
        <w:t xml:space="preserve">Compendium of State-Sponsored </w:t>
      </w:r>
      <w:proofErr w:type="spellStart"/>
      <w:r w:rsidR="00D80450" w:rsidRPr="00953692">
        <w:rPr>
          <w:i/>
        </w:rPr>
        <w:t>CLAS</w:t>
      </w:r>
      <w:proofErr w:type="spellEnd"/>
      <w:r w:rsidR="00D80450" w:rsidRPr="00953692">
        <w:rPr>
          <w:i/>
        </w:rPr>
        <w:t xml:space="preserve"> Standards Implementation Activities</w:t>
      </w:r>
      <w:r w:rsidR="00D80450">
        <w:t xml:space="preserve"> and a </w:t>
      </w:r>
      <w:r w:rsidR="00D80450" w:rsidRPr="004D4FC8">
        <w:rPr>
          <w:i/>
        </w:rPr>
        <w:t>Health Disparities Report</w:t>
      </w:r>
      <w:r w:rsidR="00D80450">
        <w:t xml:space="preserve"> in which the </w:t>
      </w:r>
      <w:proofErr w:type="spellStart"/>
      <w:r w:rsidR="0082393A">
        <w:t>STHD</w:t>
      </w:r>
      <w:proofErr w:type="spellEnd"/>
      <w:r w:rsidR="0082393A">
        <w:t xml:space="preserve"> </w:t>
      </w:r>
      <w:r w:rsidR="00D80450">
        <w:t xml:space="preserve">Survey results will be paired with existing data </w:t>
      </w:r>
      <w:r w:rsidR="00E50618">
        <w:t xml:space="preserve">from publicly available sources </w:t>
      </w:r>
      <w:r w:rsidR="00D80450">
        <w:t xml:space="preserve">on </w:t>
      </w:r>
      <w:r w:rsidR="00E50618">
        <w:t>minority health and health disparities.</w:t>
      </w:r>
    </w:p>
    <w:p w:rsidR="00371E70" w:rsidRDefault="00371E70" w:rsidP="000A00D9"/>
    <w:p w:rsidR="00B2067D" w:rsidRDefault="00371E70" w:rsidP="00B2067D">
      <w:r>
        <w:t xml:space="preserve">The </w:t>
      </w:r>
      <w:proofErr w:type="spellStart"/>
      <w:r w:rsidR="0082393A">
        <w:t>STHD</w:t>
      </w:r>
      <w:proofErr w:type="spellEnd"/>
      <w:r w:rsidR="0082393A">
        <w:t xml:space="preserve"> </w:t>
      </w:r>
      <w:r w:rsidR="0001186B">
        <w:t>S</w:t>
      </w:r>
      <w:r>
        <w:t xml:space="preserve">urvey supports </w:t>
      </w:r>
      <w:proofErr w:type="spellStart"/>
      <w:r>
        <w:t>OMH’s</w:t>
      </w:r>
      <w:proofErr w:type="spellEnd"/>
      <w:r>
        <w:t xml:space="preserve"> goals of </w:t>
      </w:r>
      <w:r w:rsidR="00022483">
        <w:t>working with states</w:t>
      </w:r>
      <w:r w:rsidR="00FB091E">
        <w:t xml:space="preserve"> and territories</w:t>
      </w:r>
      <w:r w:rsidR="00022483">
        <w:t xml:space="preserve"> to </w:t>
      </w:r>
      <w:r w:rsidR="00103051">
        <w:t>improv</w:t>
      </w:r>
      <w:r w:rsidR="00022483">
        <w:t>e</w:t>
      </w:r>
      <w:r w:rsidRPr="00E36E85">
        <w:t xml:space="preserve"> the health of racial and ethnic minority populations</w:t>
      </w:r>
      <w:r w:rsidR="00103051">
        <w:t xml:space="preserve"> and </w:t>
      </w:r>
      <w:r w:rsidR="00FB091E">
        <w:t>reduce</w:t>
      </w:r>
      <w:r w:rsidRPr="00E36E85">
        <w:t xml:space="preserve"> health disparities.</w:t>
      </w:r>
      <w:r w:rsidR="00FB091E">
        <w:t xml:space="preserve">  </w:t>
      </w:r>
      <w:r w:rsidR="00B2067D">
        <w:t xml:space="preserve">While </w:t>
      </w:r>
      <w:proofErr w:type="gramStart"/>
      <w:r w:rsidR="00B2067D">
        <w:t>existing</w:t>
      </w:r>
      <w:proofErr w:type="gramEnd"/>
      <w:r w:rsidR="00B2067D">
        <w:t xml:space="preserve"> state-specific information sources (e.g., quantitative data points available from the Agency for Healthcare Research and Quality (AHRQ) National Healthcare Disparities Report State Snapshots) offer important facts</w:t>
      </w:r>
      <w:r w:rsidR="00022483">
        <w:t xml:space="preserve"> about the status of health disparities</w:t>
      </w:r>
      <w:r w:rsidR="00B2067D">
        <w:t>, they</w:t>
      </w:r>
      <w:r w:rsidR="0082393A">
        <w:t xml:space="preserve"> do not</w:t>
      </w:r>
      <w:r w:rsidR="00B2067D">
        <w:t xml:space="preserve"> provide context </w:t>
      </w:r>
      <w:r w:rsidR="00022483">
        <w:t>around the efforts underway to reduce them</w:t>
      </w:r>
      <w:r w:rsidR="00B2067D">
        <w:t xml:space="preserve">. </w:t>
      </w:r>
    </w:p>
    <w:p w:rsidR="00B2067D" w:rsidRDefault="00B2067D" w:rsidP="00B2067D"/>
    <w:p w:rsidR="00110789" w:rsidRPr="00CB177A" w:rsidRDefault="00110789" w:rsidP="000A00D9"/>
    <w:p w:rsidR="004A26A1" w:rsidRPr="00D97A7B" w:rsidRDefault="009B633D" w:rsidP="00EF102C">
      <w:pPr>
        <w:pStyle w:val="Heading2"/>
        <w:rPr>
          <w:sz w:val="24"/>
          <w:szCs w:val="24"/>
        </w:rPr>
      </w:pPr>
      <w:bookmarkStart w:id="7" w:name="_Toc151782177"/>
      <w:bookmarkStart w:id="8" w:name="_Toc158526217"/>
      <w:bookmarkStart w:id="9" w:name="_Toc410053824"/>
      <w:r w:rsidRPr="00D97A7B">
        <w:rPr>
          <w:sz w:val="24"/>
          <w:szCs w:val="24"/>
        </w:rPr>
        <w:t>2. Purpose and Use of Informatio</w:t>
      </w:r>
      <w:bookmarkEnd w:id="7"/>
      <w:bookmarkEnd w:id="8"/>
      <w:r w:rsidR="00EF102C" w:rsidRPr="00D97A7B">
        <w:rPr>
          <w:sz w:val="24"/>
          <w:szCs w:val="24"/>
        </w:rPr>
        <w:t>n</w:t>
      </w:r>
      <w:bookmarkEnd w:id="9"/>
    </w:p>
    <w:p w:rsidR="00857DCC" w:rsidRDefault="00857DCC" w:rsidP="00857DCC">
      <w:r>
        <w:t xml:space="preserve">The </w:t>
      </w:r>
      <w:proofErr w:type="spellStart"/>
      <w:r>
        <w:t>STHD</w:t>
      </w:r>
      <w:proofErr w:type="spellEnd"/>
      <w:r>
        <w:t xml:space="preserve"> Survey will collect standardized data elements across each of the </w:t>
      </w:r>
      <w:proofErr w:type="spellStart"/>
      <w:r>
        <w:t>SMHEs</w:t>
      </w:r>
      <w:proofErr w:type="spellEnd"/>
      <w:r>
        <w:t xml:space="preserve"> while also collecting crucial contextual information necessary for understanding the specific programs states and territories are implementing and the challenges they face.  </w:t>
      </w:r>
      <w:r w:rsidRPr="00B16C9F">
        <w:t xml:space="preserve">The </w:t>
      </w:r>
      <w:r>
        <w:t>survey will</w:t>
      </w:r>
      <w:r w:rsidRPr="00B16C9F">
        <w:t xml:space="preserve"> provide </w:t>
      </w:r>
      <w:proofErr w:type="spellStart"/>
      <w:r w:rsidRPr="00B16C9F">
        <w:t>OMH</w:t>
      </w:r>
      <w:proofErr w:type="spellEnd"/>
      <w:r w:rsidRPr="00B16C9F">
        <w:t xml:space="preserve"> with a comprehensive overview of the infrastructure, resources and efforts within a state/territory to address minority health, health disparities, and health equity issues.</w:t>
      </w:r>
      <w:r>
        <w:t xml:space="preserve">  Analysis of the survey data will assist </w:t>
      </w:r>
      <w:proofErr w:type="spellStart"/>
      <w:r>
        <w:t>OMH</w:t>
      </w:r>
      <w:proofErr w:type="spellEnd"/>
      <w:r>
        <w:t xml:space="preserve"> in identifying the most appropriate strategies and approaches for addressing social determinants of health and eliminating health disparities through state/territorial partnerships.</w:t>
      </w:r>
      <w:r w:rsidRPr="00B16C9F">
        <w:t xml:space="preserve"> </w:t>
      </w:r>
      <w:r>
        <w:t xml:space="preserve"> This state-level focus is consistent with the vision of federal activities, including the </w:t>
      </w:r>
      <w:proofErr w:type="spellStart"/>
      <w:r>
        <w:t>HHS</w:t>
      </w:r>
      <w:proofErr w:type="spellEnd"/>
      <w:r>
        <w:t xml:space="preserve"> Action Plan to Reduce Racial and Ethnic Health Disparities </w:t>
      </w:r>
    </w:p>
    <w:p w:rsidR="00857DCC" w:rsidRPr="00D9654E" w:rsidRDefault="00857DCC" w:rsidP="00857DCC">
      <w:pPr>
        <w:rPr>
          <w:color w:val="0000FF"/>
        </w:rPr>
      </w:pPr>
      <w:r w:rsidRPr="00D9654E">
        <w:t>(</w:t>
      </w:r>
      <w:hyperlink r:id="rId13" w:history="1">
        <w:r w:rsidRPr="00D9654E">
          <w:rPr>
            <w:rStyle w:val="Hyperlink"/>
          </w:rPr>
          <w:t>http://minorityhealth.hhs.gov/npa/files/Plans/HHS/HHS_Plan_complete.pdf</w:t>
        </w:r>
      </w:hyperlink>
      <w:r w:rsidRPr="00D9654E">
        <w:rPr>
          <w:color w:val="0000FF"/>
        </w:rPr>
        <w:t>).</w:t>
      </w:r>
    </w:p>
    <w:p w:rsidR="00857DCC" w:rsidRDefault="00857DCC" w:rsidP="00857DCC"/>
    <w:p w:rsidR="00857DCC" w:rsidRDefault="00857DCC" w:rsidP="00857DCC">
      <w:r>
        <w:t>To achieve the goal of this project the following data collection activity will be implemented:</w:t>
      </w:r>
    </w:p>
    <w:p w:rsidR="00857DCC" w:rsidRDefault="00857DCC" w:rsidP="00857DCC"/>
    <w:p w:rsidR="00857DCC" w:rsidRDefault="00857DCC" w:rsidP="00857DCC">
      <w:pPr>
        <w:tabs>
          <w:tab w:val="left" w:pos="360"/>
        </w:tabs>
        <w:ind w:left="360"/>
      </w:pPr>
      <w:r>
        <w:t>State and Territorial Survey – Concurrent with OMB clearance, c</w:t>
      </w:r>
      <w:r w:rsidRPr="001F2AA4">
        <w:t xml:space="preserve">ognitive interviews </w:t>
      </w:r>
      <w:r>
        <w:t>will be</w:t>
      </w:r>
      <w:r w:rsidRPr="001F2AA4">
        <w:t xml:space="preserve"> conducted with </w:t>
      </w:r>
      <w:r>
        <w:t>7</w:t>
      </w:r>
      <w:r w:rsidRPr="001F2AA4">
        <w:t xml:space="preserve"> respondents to inform </w:t>
      </w:r>
      <w:r>
        <w:t>refinement</w:t>
      </w:r>
      <w:r w:rsidRPr="001F2AA4">
        <w:t xml:space="preserve"> of the current draft </w:t>
      </w:r>
      <w:proofErr w:type="spellStart"/>
      <w:r>
        <w:t>SMHE</w:t>
      </w:r>
      <w:proofErr w:type="spellEnd"/>
      <w:r>
        <w:t xml:space="preserve"> Interview Protocol</w:t>
      </w:r>
      <w:r w:rsidRPr="001F2AA4">
        <w:t xml:space="preserve"> presented in Attachment </w:t>
      </w:r>
      <w:r>
        <w:t>A</w:t>
      </w:r>
      <w:r w:rsidRPr="001F2AA4">
        <w:t>.</w:t>
      </w:r>
      <w:r>
        <w:t xml:space="preserve"> </w:t>
      </w:r>
      <w:r w:rsidRPr="001F2AA4">
        <w:t xml:space="preserve"> </w:t>
      </w:r>
      <w:r>
        <w:t xml:space="preserve">Once approved by OMB, semi-structured telephone interviews will be conducted with state/territorial minority health entity directors (or their designees) in approximately 54 states and territories (50 states plus the District of Columbia and the territories of Guam, Puerto Rico, and U.S. Virgin Islands).  The purpose of this interview is to collect qualitative </w:t>
      </w:r>
      <w:r w:rsidRPr="005C134D">
        <w:rPr>
          <w:bCs/>
          <w:color w:val="000000"/>
        </w:rPr>
        <w:t xml:space="preserve">information about </w:t>
      </w:r>
      <w:proofErr w:type="spellStart"/>
      <w:r w:rsidRPr="005C134D">
        <w:rPr>
          <w:bCs/>
          <w:color w:val="000000"/>
        </w:rPr>
        <w:t>SMHE</w:t>
      </w:r>
      <w:proofErr w:type="spellEnd"/>
      <w:r w:rsidRPr="005C134D">
        <w:rPr>
          <w:bCs/>
          <w:color w:val="000000"/>
        </w:rPr>
        <w:t xml:space="preserve"> program goals and activities</w:t>
      </w:r>
      <w:r>
        <w:rPr>
          <w:bCs/>
          <w:color w:val="000000"/>
        </w:rPr>
        <w:t>,</w:t>
      </w:r>
      <w:r w:rsidRPr="005C134D">
        <w:rPr>
          <w:bCs/>
          <w:color w:val="000000"/>
        </w:rPr>
        <w:t xml:space="preserve"> partnerships</w:t>
      </w:r>
      <w:r>
        <w:rPr>
          <w:bCs/>
          <w:color w:val="000000"/>
        </w:rPr>
        <w:t>,</w:t>
      </w:r>
      <w:r w:rsidRPr="005C134D">
        <w:rPr>
          <w:bCs/>
          <w:color w:val="000000"/>
        </w:rPr>
        <w:t xml:space="preserve"> </w:t>
      </w:r>
      <w:r>
        <w:rPr>
          <w:bCs/>
          <w:color w:val="000000"/>
        </w:rPr>
        <w:t xml:space="preserve">and </w:t>
      </w:r>
      <w:r w:rsidRPr="005C134D">
        <w:rPr>
          <w:bCs/>
          <w:color w:val="000000"/>
        </w:rPr>
        <w:t>organizational structure</w:t>
      </w:r>
      <w:r>
        <w:rPr>
          <w:bCs/>
          <w:color w:val="000000"/>
        </w:rPr>
        <w:t>, as well as quantitative data elements on staffing and funding</w:t>
      </w:r>
      <w:r w:rsidRPr="005C134D">
        <w:rPr>
          <w:bCs/>
          <w:color w:val="000000"/>
        </w:rPr>
        <w:t>.</w:t>
      </w:r>
    </w:p>
    <w:p w:rsidR="00857DCC" w:rsidRDefault="00857DCC" w:rsidP="00857DCC">
      <w:pPr>
        <w:tabs>
          <w:tab w:val="left" w:pos="360"/>
        </w:tabs>
        <w:ind w:left="360" w:hanging="360"/>
      </w:pPr>
      <w:r>
        <w:t xml:space="preserve"> </w:t>
      </w:r>
    </w:p>
    <w:p w:rsidR="00857DCC" w:rsidRPr="003807A8" w:rsidRDefault="00857DCC" w:rsidP="00857DCC">
      <w:pPr>
        <w:rPr>
          <w:strike/>
          <w:vertAlign w:val="superscript"/>
        </w:rPr>
      </w:pPr>
      <w:r w:rsidRPr="00527BBD">
        <w:t xml:space="preserve">This study is being conducted by </w:t>
      </w:r>
      <w:proofErr w:type="spellStart"/>
      <w:r>
        <w:t>OMH</w:t>
      </w:r>
      <w:proofErr w:type="spellEnd"/>
      <w:r w:rsidRPr="00527BBD">
        <w:t xml:space="preserve"> through its contractor, </w:t>
      </w:r>
      <w:proofErr w:type="spellStart"/>
      <w:r>
        <w:t>Westat</w:t>
      </w:r>
      <w:proofErr w:type="spellEnd"/>
      <w:r w:rsidRPr="00527BBD">
        <w:t xml:space="preserve">, pursuant to </w:t>
      </w:r>
      <w:proofErr w:type="spellStart"/>
      <w:r>
        <w:t>OMH</w:t>
      </w:r>
      <w:r w:rsidRPr="00527BBD">
        <w:t>’s</w:t>
      </w:r>
      <w:proofErr w:type="spellEnd"/>
      <w:r w:rsidRPr="00527BBD">
        <w:t xml:space="preserve"> statutory authority</w:t>
      </w:r>
      <w:r>
        <w:t xml:space="preserve"> (Section 1707 of the Public Health Service Act, 42 </w:t>
      </w:r>
      <w:proofErr w:type="spellStart"/>
      <w:r>
        <w:t>U.S.C</w:t>
      </w:r>
      <w:proofErr w:type="spellEnd"/>
      <w:r>
        <w:t xml:space="preserve">. </w:t>
      </w:r>
      <w:r w:rsidRPr="003807A8">
        <w:t>§</w:t>
      </w:r>
      <w:r>
        <w:t xml:space="preserve"> 300u-6).</w:t>
      </w:r>
    </w:p>
    <w:p w:rsidR="00B11964" w:rsidRPr="004B73B0" w:rsidRDefault="00205181" w:rsidP="004C4D65">
      <w:pPr>
        <w:rPr>
          <w:i/>
        </w:rPr>
      </w:pPr>
      <w:r>
        <w:t xml:space="preserve">Data from the </w:t>
      </w:r>
      <w:proofErr w:type="spellStart"/>
      <w:r>
        <w:t>OMH</w:t>
      </w:r>
      <w:proofErr w:type="spellEnd"/>
      <w:r>
        <w:t xml:space="preserve"> </w:t>
      </w:r>
      <w:proofErr w:type="spellStart"/>
      <w:r w:rsidR="0082393A">
        <w:t>STHD</w:t>
      </w:r>
      <w:proofErr w:type="spellEnd"/>
      <w:r w:rsidR="0082393A">
        <w:t xml:space="preserve"> Survey</w:t>
      </w:r>
      <w:r>
        <w:t xml:space="preserve"> will provide </w:t>
      </w:r>
      <w:proofErr w:type="spellStart"/>
      <w:r>
        <w:t>OMH</w:t>
      </w:r>
      <w:proofErr w:type="spellEnd"/>
      <w:r>
        <w:t xml:space="preserve"> with both qualitative and quantitative information </w:t>
      </w:r>
      <w:r w:rsidR="00E51A40">
        <w:t>across each of the state and territorial offices</w:t>
      </w:r>
      <w:r w:rsidR="002C2A53">
        <w:t>, which</w:t>
      </w:r>
      <w:r w:rsidR="00E51A40">
        <w:t xml:space="preserve"> will enable </w:t>
      </w:r>
      <w:proofErr w:type="spellStart"/>
      <w:r w:rsidR="00E51A40">
        <w:t>OMH</w:t>
      </w:r>
      <w:proofErr w:type="spellEnd"/>
      <w:r w:rsidR="00E51A40">
        <w:t xml:space="preserve"> to understand the specific programs</w:t>
      </w:r>
      <w:r w:rsidR="005955D8">
        <w:t xml:space="preserve"> that </w:t>
      </w:r>
      <w:r w:rsidR="00E51A40">
        <w:t xml:space="preserve">states </w:t>
      </w:r>
      <w:r w:rsidR="005955D8">
        <w:t xml:space="preserve">and territories </w:t>
      </w:r>
      <w:r w:rsidR="00E51A40">
        <w:t>are implementing and the challenges they face in reducing and eliminating health and healthcare disparities.</w:t>
      </w:r>
      <w:r w:rsidR="0074174F">
        <w:t xml:space="preserve"> This information will help </w:t>
      </w:r>
      <w:proofErr w:type="spellStart"/>
      <w:r w:rsidR="0074174F">
        <w:t>OMH</w:t>
      </w:r>
      <w:proofErr w:type="spellEnd"/>
      <w:r w:rsidR="0074174F">
        <w:t xml:space="preserve"> work most effectively with states</w:t>
      </w:r>
      <w:r w:rsidR="005955D8">
        <w:t xml:space="preserve"> and territories</w:t>
      </w:r>
      <w:r w:rsidR="0074174F">
        <w:t xml:space="preserve"> to achieve those goals.</w:t>
      </w:r>
      <w:r w:rsidR="004B73B0">
        <w:t xml:space="preserve"> </w:t>
      </w:r>
    </w:p>
    <w:p w:rsidR="009B633D" w:rsidRPr="00983636" w:rsidRDefault="009B633D" w:rsidP="009B633D">
      <w:pPr>
        <w:pStyle w:val="Heading2"/>
        <w:rPr>
          <w:sz w:val="24"/>
        </w:rPr>
      </w:pPr>
      <w:bookmarkStart w:id="10" w:name="_Toc151782178"/>
      <w:bookmarkStart w:id="11" w:name="_Toc158526218"/>
      <w:bookmarkStart w:id="12" w:name="_Toc410053825"/>
      <w:r w:rsidRPr="00983636">
        <w:rPr>
          <w:sz w:val="24"/>
        </w:rPr>
        <w:t>3. Use of Improved Information Technology</w:t>
      </w:r>
      <w:bookmarkEnd w:id="10"/>
      <w:bookmarkEnd w:id="11"/>
      <w:bookmarkEnd w:id="12"/>
    </w:p>
    <w:p w:rsidR="00300303" w:rsidRDefault="00133AA9" w:rsidP="00300303">
      <w:r>
        <w:t>A mixed-mode data collection consisting of a semi-structured telephone interview of state</w:t>
      </w:r>
      <w:r w:rsidR="00582043">
        <w:t>/territorial</w:t>
      </w:r>
      <w:r w:rsidR="00FB091E">
        <w:t xml:space="preserve"> </w:t>
      </w:r>
      <w:r>
        <w:t xml:space="preserve">minority office directors (or his/her designee) </w:t>
      </w:r>
      <w:r w:rsidR="0018160C">
        <w:t>will be conducted</w:t>
      </w:r>
      <w:r w:rsidR="00300303">
        <w:t>.</w:t>
      </w:r>
      <w:r w:rsidR="0018160C">
        <w:t xml:space="preserve"> </w:t>
      </w:r>
      <w:r w:rsidR="00300303">
        <w:t xml:space="preserve">Some elements of the data collection, such as entity staffing and funding, will require respondents to consult records, while other elements may require additional thought and preparation by the interview respondents. </w:t>
      </w:r>
      <w:r w:rsidR="00FB091E">
        <w:t xml:space="preserve"> </w:t>
      </w:r>
      <w:r w:rsidR="00300303">
        <w:t xml:space="preserve">Data collection tables for quantitative information will be distributed to interview respondents for completion in advance of the interview. </w:t>
      </w:r>
      <w:r w:rsidR="00FB091E">
        <w:t xml:space="preserve"> </w:t>
      </w:r>
      <w:r w:rsidR="00300303">
        <w:t xml:space="preserve">During the telephone interview the information will be reviewed and any questions or inconsistencies will be resolved. </w:t>
      </w:r>
      <w:r w:rsidR="00FB091E">
        <w:t xml:space="preserve"> </w:t>
      </w:r>
      <w:r w:rsidR="00300303">
        <w:t xml:space="preserve">A list of survey topics will also be distributed in advance so that respondents can prepare </w:t>
      </w:r>
      <w:r w:rsidR="006F04C7">
        <w:t>for the types of questions they will be asked.</w:t>
      </w:r>
      <w:r w:rsidR="009236B0">
        <w:t xml:space="preserve"> </w:t>
      </w:r>
      <w:r w:rsidR="00FB091E">
        <w:t xml:space="preserve"> </w:t>
      </w:r>
      <w:r w:rsidR="009236B0">
        <w:t>Attachment B shows the list of survey topics and data collection tables that will be distributed to respondents.</w:t>
      </w:r>
    </w:p>
    <w:p w:rsidR="00300303" w:rsidRPr="004A075B" w:rsidRDefault="00300303" w:rsidP="00300303"/>
    <w:p w:rsidR="0018019C" w:rsidRDefault="00133AA9" w:rsidP="004A075B">
      <w:r>
        <w:lastRenderedPageBreak/>
        <w:t xml:space="preserve">This methodology enables the </w:t>
      </w:r>
      <w:r w:rsidRPr="00F26370">
        <w:t>collect</w:t>
      </w:r>
      <w:r>
        <w:t>ion of</w:t>
      </w:r>
      <w:r w:rsidRPr="00F26370">
        <w:t xml:space="preserve"> standardized data elements across each of </w:t>
      </w:r>
      <w:proofErr w:type="spellStart"/>
      <w:r w:rsidR="005955D8">
        <w:t>SMHEs</w:t>
      </w:r>
      <w:proofErr w:type="spellEnd"/>
      <w:r w:rsidRPr="00F26370">
        <w:t xml:space="preserve"> </w:t>
      </w:r>
      <w:r>
        <w:t>as well as the</w:t>
      </w:r>
      <w:r w:rsidRPr="00F26370">
        <w:t xml:space="preserve"> collecti</w:t>
      </w:r>
      <w:r>
        <w:t>on of</w:t>
      </w:r>
      <w:r w:rsidRPr="00F26370">
        <w:t xml:space="preserve"> crucial contextual information necessary for understanding the specific programs states</w:t>
      </w:r>
      <w:r w:rsidR="00FB091E">
        <w:t xml:space="preserve"> and territories </w:t>
      </w:r>
      <w:r w:rsidRPr="00F26370">
        <w:t>are implementing and the challenges they face</w:t>
      </w:r>
      <w:r>
        <w:t>.</w:t>
      </w:r>
      <w:r w:rsidR="007636F1">
        <w:t xml:space="preserve"> </w:t>
      </w:r>
    </w:p>
    <w:p w:rsidR="0018019C" w:rsidRDefault="0018019C" w:rsidP="004A075B"/>
    <w:p w:rsidR="009B633D" w:rsidRDefault="009B633D" w:rsidP="009B633D">
      <w:pPr>
        <w:pStyle w:val="Heading2"/>
        <w:rPr>
          <w:sz w:val="24"/>
        </w:rPr>
      </w:pPr>
      <w:bookmarkStart w:id="13" w:name="_Toc151782179"/>
      <w:bookmarkStart w:id="14" w:name="_Toc158526219"/>
      <w:bookmarkStart w:id="15" w:name="_Toc410053826"/>
      <w:r w:rsidRPr="00983636">
        <w:rPr>
          <w:sz w:val="24"/>
        </w:rPr>
        <w:t>4. Efforts to Identify Duplication</w:t>
      </w:r>
      <w:bookmarkEnd w:id="13"/>
      <w:bookmarkEnd w:id="14"/>
      <w:bookmarkEnd w:id="15"/>
    </w:p>
    <w:p w:rsidR="00C6549E" w:rsidRPr="009D0C70" w:rsidRDefault="00225765" w:rsidP="00225765">
      <w:pPr>
        <w:spacing w:after="240"/>
        <w:rPr>
          <w:i/>
        </w:rPr>
      </w:pPr>
      <w:r>
        <w:t>The National Association of State Offices of Minority Health</w:t>
      </w:r>
      <w:r w:rsidR="00167AFC">
        <w:t xml:space="preserve"> (</w:t>
      </w:r>
      <w:proofErr w:type="spellStart"/>
      <w:r w:rsidR="00167AFC">
        <w:t>NASOMH</w:t>
      </w:r>
      <w:proofErr w:type="spellEnd"/>
      <w:r w:rsidR="00167AFC">
        <w:t>)</w:t>
      </w:r>
      <w:r>
        <w:t xml:space="preserve"> has assembled some of the same information from </w:t>
      </w:r>
      <w:proofErr w:type="spellStart"/>
      <w:r>
        <w:t>SMHEs</w:t>
      </w:r>
      <w:proofErr w:type="spellEnd"/>
      <w:r>
        <w:t xml:space="preserve">, such as organizational structure, lists of activities being undertaken, and funding. </w:t>
      </w:r>
      <w:r w:rsidR="00FB091E">
        <w:t xml:space="preserve"> </w:t>
      </w:r>
      <w:r>
        <w:t xml:space="preserve">This information is presented as part of their State Profiles webpage at: </w:t>
      </w:r>
      <w:hyperlink r:id="rId14" w:history="1">
        <w:r w:rsidRPr="00FE3B5A">
          <w:rPr>
            <w:rStyle w:val="Hyperlink"/>
          </w:rPr>
          <w:t>http://www.nasomh.org/page.asp?id=1&amp;detail=6682</w:t>
        </w:r>
      </w:hyperlink>
      <w:r>
        <w:t xml:space="preserve">. </w:t>
      </w:r>
      <w:r w:rsidR="00FB091E">
        <w:t xml:space="preserve"> </w:t>
      </w:r>
      <w:r>
        <w:t xml:space="preserve">However, it appears the information has not been updated since </w:t>
      </w:r>
      <w:r w:rsidR="008F3B7E">
        <w:t>2010, and</w:t>
      </w:r>
      <w:r w:rsidR="00167AFC">
        <w:t xml:space="preserve">, according to </w:t>
      </w:r>
      <w:proofErr w:type="spellStart"/>
      <w:r w:rsidR="00167AFC">
        <w:t>NASOMH</w:t>
      </w:r>
      <w:proofErr w:type="spellEnd"/>
      <w:r w:rsidR="00167AFC">
        <w:t>,</w:t>
      </w:r>
      <w:r w:rsidR="008F3B7E">
        <w:t xml:space="preserve"> the information is not uniformly updated at regular intervals.</w:t>
      </w:r>
      <w:r>
        <w:t xml:space="preserve"> </w:t>
      </w:r>
      <w:r w:rsidR="009D0C70" w:rsidRPr="00857DCC">
        <w:t xml:space="preserve">This new collection will </w:t>
      </w:r>
      <w:r w:rsidR="00E47712">
        <w:t xml:space="preserve">replace and expand </w:t>
      </w:r>
      <w:proofErr w:type="spellStart"/>
      <w:r w:rsidR="00E47712">
        <w:t>NASOMH’s</w:t>
      </w:r>
      <w:proofErr w:type="spellEnd"/>
      <w:r w:rsidR="00E47712">
        <w:t xml:space="preserve"> previous efforts.  The </w:t>
      </w:r>
      <w:proofErr w:type="spellStart"/>
      <w:r w:rsidR="00E47712">
        <w:t>STHD</w:t>
      </w:r>
      <w:proofErr w:type="spellEnd"/>
      <w:r w:rsidR="00E47712">
        <w:t xml:space="preserve"> survey will </w:t>
      </w:r>
      <w:r w:rsidR="00857DCC">
        <w:t xml:space="preserve">provide </w:t>
      </w:r>
      <w:proofErr w:type="spellStart"/>
      <w:r w:rsidR="00857DCC">
        <w:t>OMH</w:t>
      </w:r>
      <w:proofErr w:type="spellEnd"/>
      <w:r w:rsidR="00857DCC">
        <w:t xml:space="preserve"> the information </w:t>
      </w:r>
      <w:r w:rsidR="00E47712">
        <w:t>necessary</w:t>
      </w:r>
      <w:r w:rsidR="00857DCC">
        <w:t xml:space="preserve"> to de</w:t>
      </w:r>
      <w:r w:rsidR="00857DCC" w:rsidRPr="0099206D">
        <w:t>velop</w:t>
      </w:r>
      <w:r w:rsidR="00E47712">
        <w:t xml:space="preserve"> and disseminate</w:t>
      </w:r>
      <w:r w:rsidR="00857DCC">
        <w:t xml:space="preserve"> a</w:t>
      </w:r>
      <w:r w:rsidR="00857DCC" w:rsidRPr="0099206D">
        <w:t xml:space="preserve"> </w:t>
      </w:r>
      <w:r w:rsidR="00857DCC">
        <w:t xml:space="preserve">comprehensive state/territorial minority health entity health disparities report (including, survey results, </w:t>
      </w:r>
      <w:proofErr w:type="gramStart"/>
      <w:r w:rsidR="00857DCC">
        <w:t>minority</w:t>
      </w:r>
      <w:proofErr w:type="gramEnd"/>
      <w:r w:rsidR="00857DCC">
        <w:t xml:space="preserve"> health status, social determinants of health, and state-wide initiatives and programs to reduce health disparities) </w:t>
      </w:r>
      <w:r w:rsidR="00E47712">
        <w:t>for</w:t>
      </w:r>
      <w:r w:rsidR="00857DCC">
        <w:t xml:space="preserve"> the 50 states, the District of Columbia, and US territories and/or commonwealths</w:t>
      </w:r>
      <w:r w:rsidR="00857DCC" w:rsidRPr="0099206D">
        <w:t xml:space="preserve">.  </w:t>
      </w:r>
    </w:p>
    <w:p w:rsidR="009B633D" w:rsidRPr="00983636" w:rsidRDefault="009B633D" w:rsidP="009B633D">
      <w:pPr>
        <w:pStyle w:val="Heading2"/>
        <w:rPr>
          <w:sz w:val="24"/>
        </w:rPr>
      </w:pPr>
      <w:bookmarkStart w:id="16" w:name="_Toc151782180"/>
      <w:bookmarkStart w:id="17" w:name="_Toc158526220"/>
      <w:bookmarkStart w:id="18" w:name="_Toc410053827"/>
      <w:r w:rsidRPr="00983636">
        <w:rPr>
          <w:sz w:val="24"/>
        </w:rPr>
        <w:t>5. Involvement of Small Entities</w:t>
      </w:r>
      <w:bookmarkEnd w:id="16"/>
      <w:bookmarkEnd w:id="17"/>
      <w:bookmarkEnd w:id="18"/>
    </w:p>
    <w:p w:rsidR="00C91F60" w:rsidRDefault="00386201" w:rsidP="00467EEF">
      <w:r>
        <w:t xml:space="preserve">This does not apply. </w:t>
      </w:r>
      <w:r w:rsidR="00FB091E">
        <w:t xml:space="preserve"> </w:t>
      </w:r>
      <w:r>
        <w:t>State and territorial minority health offices are not small businesses.</w:t>
      </w:r>
      <w:r w:rsidR="00FA4545">
        <w:t xml:space="preserve"> </w:t>
      </w:r>
    </w:p>
    <w:p w:rsidR="007C356F" w:rsidRDefault="009B633D" w:rsidP="00745A90">
      <w:pPr>
        <w:pStyle w:val="Heading2"/>
      </w:pPr>
      <w:bookmarkStart w:id="19" w:name="_Toc151782181"/>
      <w:bookmarkStart w:id="20" w:name="_Toc158526221"/>
      <w:bookmarkStart w:id="21" w:name="_Toc410053828"/>
      <w:r w:rsidRPr="00983636">
        <w:rPr>
          <w:sz w:val="24"/>
        </w:rPr>
        <w:t>6. Consequences if Information Collected Less Frequently</w:t>
      </w:r>
      <w:bookmarkStart w:id="22" w:name="_Toc151782182"/>
      <w:bookmarkStart w:id="23" w:name="_Toc158526222"/>
      <w:bookmarkEnd w:id="19"/>
      <w:bookmarkEnd w:id="20"/>
      <w:bookmarkEnd w:id="21"/>
    </w:p>
    <w:p w:rsidR="004D7F9E" w:rsidRDefault="00BB7EA9" w:rsidP="00467EEF">
      <w:r>
        <w:t>This is a one-time data collection.</w:t>
      </w:r>
    </w:p>
    <w:p w:rsidR="009B633D" w:rsidRDefault="009B633D" w:rsidP="009B633D">
      <w:pPr>
        <w:pStyle w:val="Heading2"/>
        <w:rPr>
          <w:sz w:val="24"/>
        </w:rPr>
      </w:pPr>
      <w:bookmarkStart w:id="24" w:name="_Toc410053829"/>
      <w:r w:rsidRPr="00412C6F">
        <w:rPr>
          <w:sz w:val="24"/>
        </w:rPr>
        <w:t>7. Special Circumstances</w:t>
      </w:r>
      <w:bookmarkEnd w:id="22"/>
      <w:bookmarkEnd w:id="23"/>
      <w:bookmarkEnd w:id="24"/>
    </w:p>
    <w:p w:rsidR="004A4DF3" w:rsidRDefault="004A4DF3" w:rsidP="00467EEF">
      <w:r w:rsidRPr="004F03D2">
        <w:t>This request is consistent with the general inform</w:t>
      </w:r>
      <w:r w:rsidRPr="0030098D">
        <w:t xml:space="preserve">ation collection guidelines of 5 </w:t>
      </w:r>
      <w:proofErr w:type="spellStart"/>
      <w:r w:rsidRPr="0030098D">
        <w:t>CFR</w:t>
      </w:r>
      <w:proofErr w:type="spellEnd"/>
      <w:r w:rsidRPr="0030098D">
        <w:t xml:space="preserve"> 1320.5(d</w:t>
      </w:r>
      <w:proofErr w:type="gramStart"/>
      <w:r w:rsidRPr="0030098D">
        <w:t>)(</w:t>
      </w:r>
      <w:proofErr w:type="gramEnd"/>
      <w:r w:rsidRPr="0030098D">
        <w:t>2).  No special circumstances apply.</w:t>
      </w:r>
    </w:p>
    <w:p w:rsidR="004E3A1B" w:rsidRDefault="009B633D" w:rsidP="00467EEF">
      <w:pPr>
        <w:pStyle w:val="Heading2"/>
        <w:rPr>
          <w:sz w:val="24"/>
          <w:szCs w:val="24"/>
        </w:rPr>
      </w:pPr>
      <w:bookmarkStart w:id="25" w:name="_Toc151782183"/>
      <w:bookmarkStart w:id="26" w:name="_Toc158526223"/>
      <w:bookmarkStart w:id="27" w:name="_Toc410053830"/>
      <w:r w:rsidRPr="00412C6F">
        <w:rPr>
          <w:sz w:val="24"/>
        </w:rPr>
        <w:t>8.</w:t>
      </w:r>
      <w:r w:rsidRPr="004E3A1B">
        <w:rPr>
          <w:sz w:val="24"/>
          <w:szCs w:val="24"/>
        </w:rPr>
        <w:t xml:space="preserve"> </w:t>
      </w:r>
      <w:bookmarkEnd w:id="25"/>
      <w:bookmarkEnd w:id="26"/>
      <w:r w:rsidR="004E3A1B" w:rsidRPr="004E3A1B">
        <w:rPr>
          <w:sz w:val="24"/>
          <w:szCs w:val="24"/>
        </w:rPr>
        <w:t>Federal Register Notice and Outside Consultations</w:t>
      </w:r>
      <w:bookmarkEnd w:id="27"/>
      <w:r w:rsidR="00EF6E0F">
        <w:rPr>
          <w:sz w:val="24"/>
          <w:szCs w:val="24"/>
        </w:rPr>
        <w:t xml:space="preserve"> </w:t>
      </w:r>
    </w:p>
    <w:p w:rsidR="00131443" w:rsidRDefault="004E3A1B" w:rsidP="004E3A1B">
      <w:pPr>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rsidR="006318B4" w:rsidRDefault="006318B4" w:rsidP="006318B4">
      <w:r w:rsidRPr="00C45154">
        <w:t xml:space="preserve">As required by </w:t>
      </w:r>
      <w:r w:rsidRPr="00803E0F">
        <w:t xml:space="preserve">5 </w:t>
      </w:r>
      <w:proofErr w:type="spellStart"/>
      <w:r w:rsidRPr="00803E0F">
        <w:t>CFR</w:t>
      </w:r>
      <w:proofErr w:type="spellEnd"/>
      <w:r w:rsidRPr="00803E0F">
        <w:t xml:space="preserve"> 1320.8(d),</w:t>
      </w:r>
      <w:r w:rsidRPr="00C45154">
        <w:t xml:space="preserve"> </w:t>
      </w:r>
      <w:r w:rsidR="00114768">
        <w:t>a</w:t>
      </w:r>
      <w:r w:rsidR="003F0E4D">
        <w:t xml:space="preserve"> 60-day</w:t>
      </w:r>
      <w:r w:rsidR="00114768">
        <w:t xml:space="preserve"> </w:t>
      </w:r>
      <w:r w:rsidRPr="00C45154">
        <w:t>notice</w:t>
      </w:r>
      <w:r w:rsidR="00AD5141">
        <w:t xml:space="preserve"> </w:t>
      </w:r>
      <w:r w:rsidR="00003E3E">
        <w:t>w</w:t>
      </w:r>
      <w:r w:rsidR="00AD5141">
        <w:t>as</w:t>
      </w:r>
      <w:r w:rsidRPr="00C45154">
        <w:t xml:space="preserve"> published in the Federal Register </w:t>
      </w:r>
      <w:r w:rsidR="004D4FEE">
        <w:t xml:space="preserve">on </w:t>
      </w:r>
      <w:r w:rsidR="00167AFC">
        <w:t>May 8, 2015</w:t>
      </w:r>
      <w:r w:rsidR="003F0E4D">
        <w:t>, Vol. 80, No. 89, pages 26571-72.</w:t>
      </w:r>
      <w:r w:rsidR="004D4FEE">
        <w:t xml:space="preserve"> </w:t>
      </w:r>
      <w:r w:rsidR="008C4E11">
        <w:t xml:space="preserve"> There were no comments received.</w:t>
      </w:r>
    </w:p>
    <w:p w:rsidR="009B633D" w:rsidRPr="00760299" w:rsidRDefault="004E3A1B" w:rsidP="001301B3">
      <w:pPr>
        <w:rPr>
          <w:rFonts w:ascii="Arial" w:hAnsi="Arial" w:cs="Arial"/>
          <w:b/>
          <w:i/>
        </w:rPr>
      </w:pPr>
      <w:proofErr w:type="gramStart"/>
      <w:r w:rsidRPr="00760299">
        <w:rPr>
          <w:rFonts w:ascii="Arial" w:hAnsi="Arial" w:cs="Arial"/>
          <w:b/>
          <w:i/>
        </w:rPr>
        <w:t>8.b</w:t>
      </w:r>
      <w:proofErr w:type="gramEnd"/>
      <w:r w:rsidRPr="00760299">
        <w:rPr>
          <w:rFonts w:ascii="Arial" w:hAnsi="Arial" w:cs="Arial"/>
          <w:b/>
          <w:i/>
        </w:rPr>
        <w:t>.  Outside Consultations</w:t>
      </w:r>
    </w:p>
    <w:p w:rsidR="00F17CB6" w:rsidRDefault="00AB75B9" w:rsidP="00E43D46">
      <w:bookmarkStart w:id="28" w:name="_Toc457285506"/>
      <w:bookmarkStart w:id="29" w:name="_Toc58725294"/>
      <w:bookmarkStart w:id="30" w:name="_Toc151782184"/>
      <w:bookmarkStart w:id="31" w:name="_Toc158526224"/>
      <w:r>
        <w:t xml:space="preserve">To ensure the development of a survey instrument that captures all of the information critical for understanding the status of minority health, health disparities, and </w:t>
      </w:r>
      <w:proofErr w:type="spellStart"/>
      <w:r w:rsidR="008F3B7E">
        <w:t>SMHEs</w:t>
      </w:r>
      <w:proofErr w:type="spellEnd"/>
      <w:r w:rsidR="008F3B7E">
        <w:t>’</w:t>
      </w:r>
      <w:r>
        <w:t xml:space="preserve"> structure and programs, a Technical Expert Panel (</w:t>
      </w:r>
      <w:proofErr w:type="spellStart"/>
      <w:r>
        <w:t>TEP</w:t>
      </w:r>
      <w:proofErr w:type="spellEnd"/>
      <w:r>
        <w:t xml:space="preserve">) </w:t>
      </w:r>
      <w:r w:rsidR="009C6957">
        <w:t>of 1</w:t>
      </w:r>
      <w:r w:rsidR="004D04EA">
        <w:t>1</w:t>
      </w:r>
      <w:r w:rsidR="009C6957">
        <w:t xml:space="preserve"> individuals </w:t>
      </w:r>
      <w:r w:rsidR="006F04C7">
        <w:t>was</w:t>
      </w:r>
      <w:r>
        <w:t xml:space="preserve"> convened virtually</w:t>
      </w:r>
      <w:r w:rsidR="006F04C7">
        <w:t>.</w:t>
      </w:r>
      <w:r w:rsidR="009C6957">
        <w:t xml:space="preserve"> </w:t>
      </w:r>
      <w:r w:rsidR="00FB091E">
        <w:t xml:space="preserve"> </w:t>
      </w:r>
      <w:r w:rsidR="009C6957">
        <w:t xml:space="preserve">Use of the </w:t>
      </w:r>
      <w:proofErr w:type="spellStart"/>
      <w:r w:rsidR="009C6957">
        <w:t>TEP</w:t>
      </w:r>
      <w:proofErr w:type="spellEnd"/>
      <w:r w:rsidR="009C6957">
        <w:t xml:space="preserve"> during</w:t>
      </w:r>
      <w:r w:rsidR="006F04C7">
        <w:t xml:space="preserve"> instrument development enhanced</w:t>
      </w:r>
      <w:r w:rsidR="009C6957">
        <w:t xml:space="preserve"> </w:t>
      </w:r>
      <w:proofErr w:type="spellStart"/>
      <w:r w:rsidR="009C6957">
        <w:t>OMH’s</w:t>
      </w:r>
      <w:proofErr w:type="spellEnd"/>
      <w:r w:rsidR="009C6957">
        <w:t xml:space="preserve"> ability to operationalize quantitative elements within the survey, such as staffing and funding, in a way that is both </w:t>
      </w:r>
      <w:r w:rsidR="00FB091E">
        <w:t xml:space="preserve">accurate and feasible for state/territorial </w:t>
      </w:r>
      <w:r w:rsidR="009C6957">
        <w:t xml:space="preserve">offices to report. </w:t>
      </w:r>
      <w:r w:rsidR="00FB091E">
        <w:t xml:space="preserve"> </w:t>
      </w:r>
      <w:proofErr w:type="spellStart"/>
      <w:r w:rsidR="009C6957">
        <w:t>TEP</w:t>
      </w:r>
      <w:proofErr w:type="spellEnd"/>
      <w:r w:rsidR="009C6957">
        <w:t xml:space="preserve"> members also provide</w:t>
      </w:r>
      <w:r w:rsidR="006F04C7">
        <w:t>d</w:t>
      </w:r>
      <w:r w:rsidR="009C6957">
        <w:t xml:space="preserve"> key insights into the structure and operations of state</w:t>
      </w:r>
      <w:r w:rsidR="008F3B7E">
        <w:t xml:space="preserve"> and territorial</w:t>
      </w:r>
      <w:r w:rsidR="009C6957">
        <w:t xml:space="preserve"> entit</w:t>
      </w:r>
      <w:r w:rsidR="00C6658C">
        <w:t>i</w:t>
      </w:r>
      <w:r w:rsidR="009C6957">
        <w:t>es that assist</w:t>
      </w:r>
      <w:r w:rsidR="006F04C7">
        <w:t>ed</w:t>
      </w:r>
      <w:r w:rsidR="009C6957">
        <w:t xml:space="preserve"> in refining the qualitative questions and probes. See Attachment C for a list of </w:t>
      </w:r>
      <w:proofErr w:type="spellStart"/>
      <w:r w:rsidR="009C6957">
        <w:t>TEP</w:t>
      </w:r>
      <w:proofErr w:type="spellEnd"/>
      <w:r w:rsidR="009C6957">
        <w:t xml:space="preserve"> members.</w:t>
      </w:r>
    </w:p>
    <w:p w:rsidR="0038217D" w:rsidRPr="00D97A7B" w:rsidRDefault="009B633D" w:rsidP="0038217D">
      <w:pPr>
        <w:pStyle w:val="Heading2"/>
        <w:rPr>
          <w:sz w:val="24"/>
          <w:szCs w:val="24"/>
        </w:rPr>
      </w:pPr>
      <w:bookmarkStart w:id="32" w:name="_Toc410053831"/>
      <w:r w:rsidRPr="00D97A7B">
        <w:rPr>
          <w:sz w:val="24"/>
          <w:szCs w:val="24"/>
        </w:rPr>
        <w:t>9. Payments/Gifts to Respondents</w:t>
      </w:r>
      <w:bookmarkEnd w:id="28"/>
      <w:bookmarkEnd w:id="29"/>
      <w:bookmarkEnd w:id="30"/>
      <w:bookmarkEnd w:id="31"/>
      <w:bookmarkEnd w:id="32"/>
    </w:p>
    <w:p w:rsidR="00B915F1" w:rsidRPr="00EA0F04" w:rsidRDefault="00EA0F04" w:rsidP="006C405A">
      <w:r w:rsidRPr="00EA0F04">
        <w:t>No p</w:t>
      </w:r>
      <w:r>
        <w:t>ayment or remuneration is provided to respondents for participating in the survey.</w:t>
      </w:r>
    </w:p>
    <w:p w:rsidR="009B633D" w:rsidRPr="00412C6F" w:rsidRDefault="009B633D" w:rsidP="009B633D">
      <w:pPr>
        <w:pStyle w:val="Heading2"/>
        <w:rPr>
          <w:sz w:val="24"/>
        </w:rPr>
      </w:pPr>
      <w:bookmarkStart w:id="33" w:name="_Toc151782185"/>
      <w:bookmarkStart w:id="34" w:name="_Toc158526225"/>
      <w:bookmarkStart w:id="35" w:name="_Toc410053832"/>
      <w:r w:rsidRPr="00412C6F">
        <w:rPr>
          <w:sz w:val="24"/>
        </w:rPr>
        <w:lastRenderedPageBreak/>
        <w:t>10. Assurance of Confidentiality</w:t>
      </w:r>
      <w:bookmarkEnd w:id="33"/>
      <w:bookmarkEnd w:id="34"/>
      <w:bookmarkEnd w:id="35"/>
    </w:p>
    <w:p w:rsidR="00167AFC" w:rsidRDefault="00167AFC" w:rsidP="0052514F">
      <w:r>
        <w:t>This information collection will not involve any personal health information.  The personally identifiable information (</w:t>
      </w:r>
      <w:proofErr w:type="spellStart"/>
      <w:r>
        <w:t>PII</w:t>
      </w:r>
      <w:proofErr w:type="spellEnd"/>
      <w:r>
        <w:t xml:space="preserve">) that will be collected will be minimal (only the contact information for the respondents) and no </w:t>
      </w:r>
      <w:proofErr w:type="spellStart"/>
      <w:r>
        <w:t>PII</w:t>
      </w:r>
      <w:proofErr w:type="spellEnd"/>
      <w:r>
        <w:t xml:space="preserve"> will be publicly disclosed.  Identifiers such as</w:t>
      </w:r>
      <w:r w:rsidRPr="00167AFC">
        <w:t xml:space="preserve"> </w:t>
      </w:r>
      <w:r>
        <w:t xml:space="preserve">name, email address, telephone number, and position will be collected to facilitate survey administration and to follow up, as necessary, to ensure that all data elements are </w:t>
      </w:r>
      <w:r w:rsidRPr="00C618E9">
        <w:t>collected. Once data collection is complete, personal identifiers will be removed from the data and destroyed. A profile</w:t>
      </w:r>
      <w:r>
        <w:t xml:space="preserve"> of each state/territory’s activities will be highlighted in the final health disparities report but the name/identity of </w:t>
      </w:r>
      <w:proofErr w:type="spellStart"/>
      <w:r>
        <w:t>POCs</w:t>
      </w:r>
      <w:proofErr w:type="spellEnd"/>
      <w:r>
        <w:t xml:space="preserve"> will not be included.</w:t>
      </w:r>
      <w:r w:rsidR="004B73B0">
        <w:t xml:space="preserve"> This will be kept private to the extent allowed by law.</w:t>
      </w:r>
    </w:p>
    <w:p w:rsidR="00167AFC" w:rsidRDefault="00167AFC" w:rsidP="0052514F"/>
    <w:p w:rsidR="003B45C1" w:rsidRDefault="00167AFC" w:rsidP="0052514F">
      <w:r>
        <w:t>It has not yet been determined what non-</w:t>
      </w:r>
      <w:proofErr w:type="spellStart"/>
      <w:r>
        <w:t>PII</w:t>
      </w:r>
      <w:proofErr w:type="spellEnd"/>
      <w:r>
        <w:t xml:space="preserve"> information collected for the </w:t>
      </w:r>
      <w:proofErr w:type="spellStart"/>
      <w:r>
        <w:t>STHD</w:t>
      </w:r>
      <w:proofErr w:type="spellEnd"/>
      <w:r>
        <w:t xml:space="preserve"> survey will be publicly disclosed.  A pilot test of the </w:t>
      </w:r>
      <w:proofErr w:type="spellStart"/>
      <w:r>
        <w:t>STHD</w:t>
      </w:r>
      <w:proofErr w:type="spellEnd"/>
      <w:r>
        <w:t xml:space="preserve"> Survey will be conducted with a sample of seven (7) states/territories.  Upon completion of the pilot test, a determination will be made as to what non-</w:t>
      </w:r>
      <w:proofErr w:type="spellStart"/>
      <w:r>
        <w:t>PII</w:t>
      </w:r>
      <w:proofErr w:type="spellEnd"/>
      <w:r>
        <w:t xml:space="preserve"> information will be publicly disclosed. </w:t>
      </w:r>
      <w:r w:rsidR="00CE56C7">
        <w:t>A</w:t>
      </w:r>
      <w:r>
        <w:t>ll respondents will be told in advance what data collected will be publicly disclosed, and that the same data will be publicly</w:t>
      </w:r>
      <w:r w:rsidR="00CE56C7">
        <w:t xml:space="preserve"> disclosed for all respondents.  </w:t>
      </w:r>
      <w:r w:rsidR="00376EA0">
        <w:t>T</w:t>
      </w:r>
      <w:r w:rsidR="0052514F">
        <w:t>he state/territor</w:t>
      </w:r>
      <w:r w:rsidR="00BF585F">
        <w:t>ial</w:t>
      </w:r>
      <w:r w:rsidR="0052514F">
        <w:t xml:space="preserve"> point of contact </w:t>
      </w:r>
      <w:r w:rsidR="00CE56C7">
        <w:t>providing</w:t>
      </w:r>
      <w:r w:rsidR="0052514F">
        <w:t xml:space="preserve"> data on behalf of the </w:t>
      </w:r>
      <w:proofErr w:type="spellStart"/>
      <w:r w:rsidR="00BF585F">
        <w:t>SMHE</w:t>
      </w:r>
      <w:proofErr w:type="spellEnd"/>
      <w:r w:rsidR="0052514F">
        <w:t xml:space="preserve"> </w:t>
      </w:r>
      <w:r w:rsidR="0052514F" w:rsidRPr="009921DC">
        <w:t>will</w:t>
      </w:r>
      <w:r w:rsidR="00376EA0">
        <w:t xml:space="preserve"> also</w:t>
      </w:r>
      <w:r w:rsidR="0052514F" w:rsidRPr="009921DC">
        <w:t xml:space="preserve"> be told the purposes for which the information is collected and that</w:t>
      </w:r>
      <w:r w:rsidR="0052514F">
        <w:t xml:space="preserve"> </w:t>
      </w:r>
      <w:r w:rsidR="0052514F" w:rsidRPr="009921DC">
        <w:t xml:space="preserve">any identifiable information </w:t>
      </w:r>
      <w:r w:rsidR="00D215C8">
        <w:t xml:space="preserve">about them </w:t>
      </w:r>
      <w:r w:rsidR="0052514F" w:rsidRPr="009921DC">
        <w:t xml:space="preserve">will not be </w:t>
      </w:r>
      <w:r w:rsidR="00392DE5">
        <w:t>reported</w:t>
      </w:r>
      <w:r w:rsidR="0052514F" w:rsidRPr="009921DC">
        <w:t>.</w:t>
      </w:r>
      <w:r w:rsidR="00FE4DA9">
        <w:t xml:space="preserve"> </w:t>
      </w:r>
      <w:r w:rsidR="0052514F" w:rsidRPr="009921DC">
        <w:t xml:space="preserve"> </w:t>
      </w:r>
    </w:p>
    <w:p w:rsidR="00356167" w:rsidRDefault="00356167" w:rsidP="008F0B8B">
      <w:pPr>
        <w:autoSpaceDE w:val="0"/>
        <w:autoSpaceDN w:val="0"/>
        <w:adjustRightInd w:val="0"/>
      </w:pPr>
    </w:p>
    <w:p w:rsidR="009B633D" w:rsidRPr="00412C6F" w:rsidRDefault="009B633D" w:rsidP="00641865">
      <w:pPr>
        <w:pStyle w:val="Heading2"/>
        <w:spacing w:before="0" w:after="0"/>
        <w:rPr>
          <w:sz w:val="24"/>
        </w:rPr>
      </w:pPr>
      <w:bookmarkStart w:id="36" w:name="_Toc151782186"/>
      <w:bookmarkStart w:id="37" w:name="_Toc158526226"/>
      <w:bookmarkStart w:id="38" w:name="_Toc410053833"/>
      <w:r w:rsidRPr="00412C6F">
        <w:rPr>
          <w:sz w:val="24"/>
        </w:rPr>
        <w:t>11. Questions of a Sensitive Nature</w:t>
      </w:r>
      <w:bookmarkEnd w:id="36"/>
      <w:bookmarkEnd w:id="37"/>
      <w:bookmarkEnd w:id="38"/>
    </w:p>
    <w:p w:rsidR="00BB7136" w:rsidRPr="008007F8" w:rsidRDefault="0050254A" w:rsidP="008007F8">
      <w:pPr>
        <w:spacing w:after="240"/>
      </w:pPr>
      <w:r w:rsidRPr="00005255">
        <w:t>There are no</w:t>
      </w:r>
      <w:r w:rsidR="003925C9" w:rsidRPr="00005255">
        <w:t xml:space="preserve"> questions of a sensitive nature.</w:t>
      </w:r>
    </w:p>
    <w:p w:rsidR="009B633D" w:rsidRPr="00412C6F" w:rsidRDefault="009B633D" w:rsidP="00641865">
      <w:pPr>
        <w:pStyle w:val="Heading2"/>
        <w:spacing w:before="0" w:after="0"/>
        <w:rPr>
          <w:sz w:val="24"/>
        </w:rPr>
      </w:pPr>
      <w:bookmarkStart w:id="39" w:name="_Toc151782187"/>
      <w:bookmarkStart w:id="40" w:name="_Toc158526227"/>
      <w:bookmarkStart w:id="41" w:name="_Toc410053834"/>
      <w:r w:rsidRPr="00412C6F">
        <w:rPr>
          <w:sz w:val="24"/>
        </w:rPr>
        <w:t>12. Estimates of Annualized Burden Hours and Costs</w:t>
      </w:r>
      <w:bookmarkEnd w:id="39"/>
      <w:bookmarkEnd w:id="40"/>
      <w:bookmarkEnd w:id="41"/>
    </w:p>
    <w:p w:rsidR="008204CF" w:rsidRDefault="0045326D" w:rsidP="008204CF">
      <w:pPr>
        <w:rPr>
          <w:bCs/>
          <w:color w:val="000000"/>
        </w:rPr>
      </w:pPr>
      <w:bookmarkStart w:id="42" w:name="OLE_LINK1"/>
      <w:bookmarkStart w:id="43" w:name="OLE_LINK2"/>
      <w:r>
        <w:rPr>
          <w:bCs/>
          <w:color w:val="000000"/>
        </w:rPr>
        <w:t xml:space="preserve">Exhibit 1 shows the estimated annualized burden hours for the </w:t>
      </w:r>
      <w:r w:rsidR="003859F1">
        <w:rPr>
          <w:bCs/>
          <w:color w:val="000000"/>
        </w:rPr>
        <w:t>respondents</w:t>
      </w:r>
      <w:r w:rsidR="00D73A82">
        <w:rPr>
          <w:bCs/>
          <w:color w:val="000000"/>
        </w:rPr>
        <w:t>’</w:t>
      </w:r>
      <w:r w:rsidR="003859F1">
        <w:rPr>
          <w:bCs/>
          <w:color w:val="000000"/>
        </w:rPr>
        <w:t xml:space="preserve"> time</w:t>
      </w:r>
      <w:r w:rsidR="00F766F5">
        <w:rPr>
          <w:bCs/>
          <w:color w:val="000000"/>
        </w:rPr>
        <w:t xml:space="preserve"> to</w:t>
      </w:r>
      <w:r>
        <w:rPr>
          <w:bCs/>
          <w:color w:val="000000"/>
        </w:rPr>
        <w:t xml:space="preserve"> participate in the </w:t>
      </w:r>
      <w:r w:rsidR="00AD5125">
        <w:rPr>
          <w:bCs/>
          <w:color w:val="000000"/>
        </w:rPr>
        <w:t xml:space="preserve">interview </w:t>
      </w:r>
      <w:r w:rsidR="000756AE">
        <w:rPr>
          <w:bCs/>
          <w:color w:val="000000"/>
        </w:rPr>
        <w:t xml:space="preserve">and data table </w:t>
      </w:r>
      <w:r w:rsidR="00745A90" w:rsidRPr="00D66412">
        <w:t>data collection</w:t>
      </w:r>
      <w:r w:rsidR="009C148B">
        <w:t xml:space="preserve">. </w:t>
      </w:r>
      <w:r w:rsidR="001648D2">
        <w:t>An estimated 5</w:t>
      </w:r>
      <w:r w:rsidR="00C14527">
        <w:t>4</w:t>
      </w:r>
      <w:r w:rsidR="001648D2">
        <w:t xml:space="preserve"> points of contact (</w:t>
      </w:r>
      <w:proofErr w:type="spellStart"/>
      <w:r w:rsidR="001648D2">
        <w:t>POCs</w:t>
      </w:r>
      <w:proofErr w:type="spellEnd"/>
      <w:r w:rsidR="001648D2">
        <w:t xml:space="preserve">)/respondents will </w:t>
      </w:r>
      <w:r w:rsidR="00AD5125">
        <w:t>participate</w:t>
      </w:r>
      <w:r w:rsidR="001648D2">
        <w:t xml:space="preserve">. Completing the </w:t>
      </w:r>
      <w:r w:rsidR="00D73A82">
        <w:t>interview</w:t>
      </w:r>
      <w:r w:rsidR="001648D2">
        <w:t xml:space="preserve"> </w:t>
      </w:r>
      <w:r w:rsidR="004D04EA">
        <w:t xml:space="preserve">and data tables </w:t>
      </w:r>
      <w:r w:rsidR="001648D2">
        <w:t>will take about</w:t>
      </w:r>
      <w:r w:rsidR="004D04EA">
        <w:t xml:space="preserve"> 90 minutes</w:t>
      </w:r>
      <w:r w:rsidR="001648D2">
        <w:t xml:space="preserve">. Each </w:t>
      </w:r>
      <w:proofErr w:type="spellStart"/>
      <w:r w:rsidR="001648D2">
        <w:t>POC</w:t>
      </w:r>
      <w:proofErr w:type="spellEnd"/>
      <w:r w:rsidR="001648D2">
        <w:t xml:space="preserve"> will </w:t>
      </w:r>
      <w:r w:rsidR="00703608">
        <w:t xml:space="preserve">participate in a 60 minute telephone interview as well as </w:t>
      </w:r>
      <w:r w:rsidR="001648D2">
        <w:t xml:space="preserve">complete two data tables </w:t>
      </w:r>
      <w:r w:rsidR="00DD6D42">
        <w:t>(</w:t>
      </w:r>
      <w:r w:rsidR="001648D2">
        <w:t>which will take</w:t>
      </w:r>
      <w:r w:rsidR="00825A82">
        <w:t xml:space="preserve"> a total of </w:t>
      </w:r>
      <w:r w:rsidR="001648D2">
        <w:t>about 30 minutes</w:t>
      </w:r>
      <w:r w:rsidR="00703608">
        <w:t>)</w:t>
      </w:r>
      <w:r w:rsidR="001648D2">
        <w:t xml:space="preserve"> </w:t>
      </w:r>
      <w:r w:rsidR="008204CF" w:rsidRPr="009673F7">
        <w:rPr>
          <w:bCs/>
          <w:color w:val="000000"/>
        </w:rPr>
        <w:t xml:space="preserve">The total annual burden hours are estimated to be </w:t>
      </w:r>
      <w:r w:rsidR="009C148B">
        <w:rPr>
          <w:bCs/>
          <w:color w:val="000000"/>
        </w:rPr>
        <w:t>8</w:t>
      </w:r>
      <w:r w:rsidR="00C14527">
        <w:rPr>
          <w:bCs/>
          <w:color w:val="000000"/>
        </w:rPr>
        <w:t>1</w:t>
      </w:r>
      <w:r w:rsidR="008204CF" w:rsidRPr="00C26D3E">
        <w:rPr>
          <w:bCs/>
          <w:color w:val="000000"/>
        </w:rPr>
        <w:t>.</w:t>
      </w:r>
    </w:p>
    <w:p w:rsidR="003504B0" w:rsidRDefault="003504B0" w:rsidP="008204CF">
      <w:pPr>
        <w:rPr>
          <w:bCs/>
          <w:color w:val="000000"/>
        </w:rPr>
      </w:pPr>
    </w:p>
    <w:p w:rsidR="00825A82" w:rsidRDefault="00825A82" w:rsidP="008204CF">
      <w:pPr>
        <w:rPr>
          <w:bCs/>
          <w:color w:val="000000"/>
        </w:rPr>
      </w:pPr>
      <w:r>
        <w:rPr>
          <w:bCs/>
          <w:color w:val="000000"/>
        </w:rPr>
        <w:t>The 5</w:t>
      </w:r>
      <w:r w:rsidR="00C14527">
        <w:rPr>
          <w:bCs/>
          <w:color w:val="000000"/>
        </w:rPr>
        <w:t>4</w:t>
      </w:r>
      <w:r>
        <w:rPr>
          <w:bCs/>
          <w:color w:val="000000"/>
        </w:rPr>
        <w:t xml:space="preserve"> respondents/</w:t>
      </w:r>
      <w:proofErr w:type="spellStart"/>
      <w:r>
        <w:rPr>
          <w:bCs/>
          <w:color w:val="000000"/>
        </w:rPr>
        <w:t>POCs</w:t>
      </w:r>
      <w:proofErr w:type="spellEnd"/>
      <w:r>
        <w:rPr>
          <w:bCs/>
          <w:color w:val="000000"/>
        </w:rPr>
        <w:t xml:space="preserve"> shown in Exhibit 1 are based on</w:t>
      </w:r>
      <w:r w:rsidR="004750C1">
        <w:rPr>
          <w:bCs/>
          <w:color w:val="000000"/>
        </w:rPr>
        <w:t xml:space="preserve"> a census of U.S. States and the District of Columbia plus all territories for which </w:t>
      </w:r>
      <w:proofErr w:type="spellStart"/>
      <w:r w:rsidR="004750C1">
        <w:rPr>
          <w:bCs/>
          <w:color w:val="000000"/>
        </w:rPr>
        <w:t>OMH</w:t>
      </w:r>
      <w:proofErr w:type="spellEnd"/>
      <w:r w:rsidR="004750C1">
        <w:rPr>
          <w:bCs/>
          <w:color w:val="000000"/>
        </w:rPr>
        <w:t xml:space="preserve"> </w:t>
      </w:r>
      <w:r w:rsidR="006F04C7">
        <w:rPr>
          <w:bCs/>
          <w:color w:val="000000"/>
        </w:rPr>
        <w:t>has an identified point of cont</w:t>
      </w:r>
      <w:r w:rsidR="004750C1">
        <w:rPr>
          <w:bCs/>
          <w:color w:val="000000"/>
        </w:rPr>
        <w:t>act for minority health.</w:t>
      </w:r>
    </w:p>
    <w:p w:rsidR="00CE5516" w:rsidRDefault="00CE5516">
      <w:pPr>
        <w:rPr>
          <w:b/>
          <w:bCs/>
          <w:color w:val="000000"/>
        </w:rPr>
      </w:pPr>
    </w:p>
    <w:p w:rsidR="00593712" w:rsidRDefault="00593712" w:rsidP="00446ED7">
      <w:pPr>
        <w:rPr>
          <w:b/>
          <w:bCs/>
          <w:color w:val="000000"/>
        </w:rPr>
      </w:pPr>
    </w:p>
    <w:p w:rsidR="00446ED7" w:rsidRPr="0089231D" w:rsidRDefault="00446ED7" w:rsidP="00446ED7">
      <w:proofErr w:type="gramStart"/>
      <w:r w:rsidRPr="0089231D">
        <w:rPr>
          <w:b/>
          <w:bCs/>
          <w:color w:val="000000"/>
        </w:rPr>
        <w:t>Exhibit 1.</w:t>
      </w:r>
      <w:proofErr w:type="gramEnd"/>
      <w:r w:rsidRPr="0089231D">
        <w:rPr>
          <w:b/>
          <w:bCs/>
          <w:color w:val="000000"/>
        </w:rPr>
        <w:t>  Estimated annualized burden hours</w:t>
      </w:r>
    </w:p>
    <w:tbl>
      <w:tblPr>
        <w:tblW w:w="88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8"/>
        <w:gridCol w:w="1327"/>
        <w:gridCol w:w="1273"/>
        <w:gridCol w:w="1160"/>
        <w:gridCol w:w="966"/>
      </w:tblGrid>
      <w:tr w:rsidR="00691B26" w:rsidRPr="00D1501D" w:rsidTr="007E3BAF">
        <w:trPr>
          <w:trHeight w:val="765"/>
        </w:trPr>
        <w:tc>
          <w:tcPr>
            <w:tcW w:w="4148" w:type="dxa"/>
            <w:shd w:val="clear" w:color="auto" w:fill="auto"/>
            <w:vAlign w:val="bottom"/>
          </w:tcPr>
          <w:bookmarkEnd w:id="42"/>
          <w:bookmarkEnd w:id="43"/>
          <w:p w:rsidR="00691B26" w:rsidRPr="00D1501D" w:rsidRDefault="00691B26">
            <w:pPr>
              <w:rPr>
                <w:b/>
                <w:color w:val="000000"/>
                <w:sz w:val="20"/>
                <w:szCs w:val="20"/>
              </w:rPr>
            </w:pPr>
            <w:r w:rsidRPr="00D1501D">
              <w:rPr>
                <w:b/>
                <w:color w:val="000000"/>
                <w:sz w:val="20"/>
                <w:szCs w:val="20"/>
              </w:rPr>
              <w:t>Form Name</w:t>
            </w:r>
            <w:r w:rsidR="00DB1C87">
              <w:rPr>
                <w:b/>
                <w:color w:val="000000"/>
                <w:sz w:val="20"/>
                <w:szCs w:val="20"/>
              </w:rPr>
              <w:t xml:space="preserve"> </w:t>
            </w:r>
          </w:p>
        </w:tc>
        <w:tc>
          <w:tcPr>
            <w:tcW w:w="1327" w:type="dxa"/>
            <w:shd w:val="clear" w:color="auto" w:fill="auto"/>
            <w:vAlign w:val="bottom"/>
          </w:tcPr>
          <w:p w:rsidR="00A87351" w:rsidRPr="00D1501D" w:rsidRDefault="0089231D" w:rsidP="00950F32">
            <w:pPr>
              <w:jc w:val="center"/>
              <w:rPr>
                <w:b/>
                <w:color w:val="000000"/>
                <w:sz w:val="20"/>
                <w:szCs w:val="20"/>
              </w:rPr>
            </w:pPr>
            <w:r w:rsidRPr="00D1501D">
              <w:rPr>
                <w:b/>
                <w:color w:val="000000"/>
                <w:sz w:val="20"/>
                <w:szCs w:val="20"/>
              </w:rPr>
              <w:t>Number of</w:t>
            </w:r>
          </w:p>
          <w:p w:rsidR="00691B26" w:rsidRPr="00D1501D" w:rsidRDefault="00A87351" w:rsidP="00950F32">
            <w:pPr>
              <w:jc w:val="center"/>
              <w:rPr>
                <w:b/>
                <w:color w:val="000000"/>
                <w:sz w:val="20"/>
                <w:szCs w:val="20"/>
              </w:rPr>
            </w:pPr>
            <w:r w:rsidRPr="00D1501D">
              <w:rPr>
                <w:b/>
                <w:color w:val="000000"/>
                <w:sz w:val="20"/>
                <w:szCs w:val="20"/>
              </w:rPr>
              <w:t>respondents/</w:t>
            </w:r>
            <w:r w:rsidR="0089231D" w:rsidRPr="00D1501D">
              <w:rPr>
                <w:b/>
                <w:color w:val="000000"/>
                <w:sz w:val="20"/>
                <w:szCs w:val="20"/>
              </w:rPr>
              <w:t xml:space="preserve"> </w:t>
            </w:r>
            <w:proofErr w:type="spellStart"/>
            <w:r w:rsidR="00BD506C" w:rsidRPr="00D1501D">
              <w:rPr>
                <w:b/>
                <w:color w:val="000000"/>
                <w:sz w:val="20"/>
                <w:szCs w:val="20"/>
              </w:rPr>
              <w:t>POCs</w:t>
            </w:r>
            <w:proofErr w:type="spellEnd"/>
          </w:p>
        </w:tc>
        <w:tc>
          <w:tcPr>
            <w:tcW w:w="1273" w:type="dxa"/>
            <w:shd w:val="clear" w:color="auto" w:fill="auto"/>
            <w:vAlign w:val="bottom"/>
          </w:tcPr>
          <w:p w:rsidR="00BD506C" w:rsidRPr="00D1501D" w:rsidRDefault="00691B26" w:rsidP="00950F32">
            <w:pPr>
              <w:jc w:val="center"/>
              <w:rPr>
                <w:b/>
                <w:color w:val="000000"/>
                <w:sz w:val="20"/>
                <w:szCs w:val="20"/>
              </w:rPr>
            </w:pPr>
            <w:r w:rsidRPr="00D1501D">
              <w:rPr>
                <w:b/>
                <w:color w:val="000000"/>
                <w:sz w:val="20"/>
                <w:szCs w:val="20"/>
              </w:rPr>
              <w:t>Num</w:t>
            </w:r>
            <w:r w:rsidR="0089231D" w:rsidRPr="00D1501D">
              <w:rPr>
                <w:b/>
                <w:color w:val="000000"/>
                <w:sz w:val="20"/>
                <w:szCs w:val="20"/>
              </w:rPr>
              <w:t xml:space="preserve">ber of </w:t>
            </w:r>
            <w:r w:rsidR="00950F32">
              <w:rPr>
                <w:b/>
                <w:color w:val="000000"/>
                <w:sz w:val="20"/>
                <w:szCs w:val="20"/>
              </w:rPr>
              <w:t>responses</w:t>
            </w:r>
          </w:p>
          <w:p w:rsidR="00691B26" w:rsidRPr="00D1501D" w:rsidRDefault="00950F32" w:rsidP="00950F32">
            <w:pPr>
              <w:jc w:val="center"/>
              <w:rPr>
                <w:b/>
                <w:color w:val="000000"/>
                <w:sz w:val="20"/>
                <w:szCs w:val="20"/>
              </w:rPr>
            </w:pPr>
            <w:r>
              <w:rPr>
                <w:b/>
                <w:color w:val="000000"/>
                <w:sz w:val="20"/>
                <w:szCs w:val="20"/>
              </w:rPr>
              <w:t xml:space="preserve">per </w:t>
            </w:r>
            <w:proofErr w:type="spellStart"/>
            <w:r>
              <w:rPr>
                <w:b/>
                <w:color w:val="000000"/>
                <w:sz w:val="20"/>
                <w:szCs w:val="20"/>
              </w:rPr>
              <w:t>POC</w:t>
            </w:r>
            <w:proofErr w:type="spellEnd"/>
          </w:p>
        </w:tc>
        <w:tc>
          <w:tcPr>
            <w:tcW w:w="1160" w:type="dxa"/>
            <w:shd w:val="clear" w:color="auto" w:fill="auto"/>
            <w:vAlign w:val="bottom"/>
          </w:tcPr>
          <w:p w:rsidR="00691B26" w:rsidRPr="00D1501D" w:rsidRDefault="00691B26" w:rsidP="00950F32">
            <w:pPr>
              <w:jc w:val="center"/>
              <w:rPr>
                <w:b/>
                <w:color w:val="000000"/>
                <w:sz w:val="20"/>
                <w:szCs w:val="20"/>
              </w:rPr>
            </w:pPr>
            <w:r w:rsidRPr="00D1501D">
              <w:rPr>
                <w:b/>
                <w:color w:val="000000"/>
                <w:sz w:val="20"/>
                <w:szCs w:val="20"/>
              </w:rPr>
              <w:t xml:space="preserve">Hours per </w:t>
            </w:r>
            <w:r w:rsidR="00950F32">
              <w:rPr>
                <w:b/>
                <w:color w:val="000000"/>
                <w:sz w:val="20"/>
                <w:szCs w:val="20"/>
              </w:rPr>
              <w:t>response</w:t>
            </w:r>
            <w:r w:rsidR="00BD77A9">
              <w:rPr>
                <w:b/>
                <w:color w:val="000000"/>
                <w:sz w:val="20"/>
                <w:szCs w:val="20"/>
              </w:rPr>
              <w:t xml:space="preserve"> </w:t>
            </w:r>
          </w:p>
        </w:tc>
        <w:tc>
          <w:tcPr>
            <w:tcW w:w="966" w:type="dxa"/>
            <w:shd w:val="clear" w:color="auto" w:fill="auto"/>
            <w:vAlign w:val="bottom"/>
          </w:tcPr>
          <w:p w:rsidR="00691B26" w:rsidRPr="00D1501D" w:rsidRDefault="00691B26" w:rsidP="00950F32">
            <w:pPr>
              <w:jc w:val="center"/>
              <w:rPr>
                <w:b/>
                <w:color w:val="000000"/>
                <w:sz w:val="20"/>
                <w:szCs w:val="20"/>
              </w:rPr>
            </w:pPr>
            <w:r w:rsidRPr="00D1501D">
              <w:rPr>
                <w:b/>
                <w:color w:val="000000"/>
                <w:sz w:val="20"/>
                <w:szCs w:val="20"/>
              </w:rPr>
              <w:t>Total burden hours</w:t>
            </w:r>
          </w:p>
        </w:tc>
      </w:tr>
      <w:tr w:rsidR="00691B26" w:rsidRPr="00BB5672" w:rsidTr="007E3BAF">
        <w:trPr>
          <w:trHeight w:val="405"/>
        </w:trPr>
        <w:tc>
          <w:tcPr>
            <w:tcW w:w="4148" w:type="dxa"/>
            <w:shd w:val="clear" w:color="auto" w:fill="auto"/>
            <w:vAlign w:val="bottom"/>
          </w:tcPr>
          <w:p w:rsidR="00691B26" w:rsidRPr="004A2A3D" w:rsidRDefault="00A660E5" w:rsidP="00A12048">
            <w:pPr>
              <w:rPr>
                <w:b/>
                <w:color w:val="000000"/>
                <w:sz w:val="20"/>
                <w:szCs w:val="20"/>
                <w:highlight w:val="yellow"/>
              </w:rPr>
            </w:pPr>
            <w:r w:rsidRPr="00A660E5">
              <w:rPr>
                <w:b/>
                <w:color w:val="000000"/>
                <w:sz w:val="20"/>
                <w:szCs w:val="20"/>
              </w:rPr>
              <w:t>State and Territorial Survey</w:t>
            </w:r>
          </w:p>
        </w:tc>
        <w:tc>
          <w:tcPr>
            <w:tcW w:w="1327" w:type="dxa"/>
            <w:shd w:val="clear" w:color="auto" w:fill="auto"/>
            <w:noWrap/>
            <w:vAlign w:val="bottom"/>
          </w:tcPr>
          <w:p w:rsidR="00127114" w:rsidRPr="002D7F75" w:rsidRDefault="002D7F75" w:rsidP="005C134D">
            <w:pPr>
              <w:jc w:val="center"/>
              <w:rPr>
                <w:color w:val="000000"/>
                <w:sz w:val="20"/>
                <w:szCs w:val="20"/>
              </w:rPr>
            </w:pPr>
            <w:r w:rsidRPr="002D7F75">
              <w:rPr>
                <w:color w:val="000000"/>
                <w:sz w:val="20"/>
                <w:szCs w:val="20"/>
              </w:rPr>
              <w:t>5</w:t>
            </w:r>
            <w:r w:rsidR="005C134D">
              <w:rPr>
                <w:color w:val="000000"/>
                <w:sz w:val="20"/>
                <w:szCs w:val="20"/>
              </w:rPr>
              <w:t>4</w:t>
            </w:r>
          </w:p>
        </w:tc>
        <w:tc>
          <w:tcPr>
            <w:tcW w:w="1273" w:type="dxa"/>
            <w:shd w:val="clear" w:color="auto" w:fill="auto"/>
            <w:vAlign w:val="bottom"/>
          </w:tcPr>
          <w:p w:rsidR="00127114" w:rsidRPr="002D7F75" w:rsidRDefault="002D7F75" w:rsidP="00127114">
            <w:pPr>
              <w:jc w:val="center"/>
              <w:rPr>
                <w:color w:val="000000"/>
                <w:sz w:val="20"/>
                <w:szCs w:val="20"/>
              </w:rPr>
            </w:pPr>
            <w:r w:rsidRPr="002D7F75">
              <w:rPr>
                <w:color w:val="000000"/>
                <w:sz w:val="20"/>
                <w:szCs w:val="20"/>
              </w:rPr>
              <w:t>1</w:t>
            </w:r>
          </w:p>
        </w:tc>
        <w:tc>
          <w:tcPr>
            <w:tcW w:w="1160" w:type="dxa"/>
            <w:shd w:val="clear" w:color="auto" w:fill="auto"/>
            <w:vAlign w:val="bottom"/>
          </w:tcPr>
          <w:p w:rsidR="00127114" w:rsidRPr="002D7F75" w:rsidRDefault="002D7F75" w:rsidP="002D7F75">
            <w:pPr>
              <w:jc w:val="center"/>
              <w:rPr>
                <w:color w:val="000000"/>
                <w:sz w:val="20"/>
                <w:szCs w:val="20"/>
              </w:rPr>
            </w:pPr>
            <w:r w:rsidRPr="002D7F75">
              <w:rPr>
                <w:color w:val="000000"/>
                <w:sz w:val="20"/>
                <w:szCs w:val="20"/>
              </w:rPr>
              <w:t>1</w:t>
            </w:r>
            <w:r w:rsidR="00C14527">
              <w:rPr>
                <w:color w:val="000000"/>
                <w:sz w:val="20"/>
                <w:szCs w:val="20"/>
              </w:rPr>
              <w:t>.5</w:t>
            </w:r>
          </w:p>
        </w:tc>
        <w:tc>
          <w:tcPr>
            <w:tcW w:w="966" w:type="dxa"/>
            <w:shd w:val="clear" w:color="auto" w:fill="auto"/>
            <w:vAlign w:val="bottom"/>
          </w:tcPr>
          <w:p w:rsidR="00127114" w:rsidRPr="002D7F75" w:rsidRDefault="00C14527" w:rsidP="005C134D">
            <w:pPr>
              <w:jc w:val="center"/>
              <w:rPr>
                <w:color w:val="000000"/>
                <w:sz w:val="20"/>
                <w:szCs w:val="20"/>
              </w:rPr>
            </w:pPr>
            <w:r>
              <w:rPr>
                <w:color w:val="000000"/>
                <w:sz w:val="20"/>
                <w:szCs w:val="20"/>
              </w:rPr>
              <w:t>81</w:t>
            </w:r>
          </w:p>
        </w:tc>
      </w:tr>
      <w:tr w:rsidR="00F52A86" w:rsidRPr="00D1501D" w:rsidTr="007E3BAF">
        <w:trPr>
          <w:trHeight w:val="270"/>
        </w:trPr>
        <w:tc>
          <w:tcPr>
            <w:tcW w:w="4148" w:type="dxa"/>
            <w:shd w:val="clear" w:color="auto" w:fill="auto"/>
            <w:vAlign w:val="bottom"/>
          </w:tcPr>
          <w:p w:rsidR="00F52A86" w:rsidRPr="00D1501D" w:rsidRDefault="00F52A86">
            <w:pPr>
              <w:rPr>
                <w:b/>
                <w:color w:val="000000"/>
                <w:sz w:val="20"/>
                <w:szCs w:val="20"/>
              </w:rPr>
            </w:pPr>
            <w:r w:rsidRPr="00D1501D">
              <w:rPr>
                <w:b/>
                <w:color w:val="000000"/>
                <w:sz w:val="20"/>
                <w:szCs w:val="20"/>
              </w:rPr>
              <w:t>Total</w:t>
            </w:r>
          </w:p>
        </w:tc>
        <w:tc>
          <w:tcPr>
            <w:tcW w:w="1327" w:type="dxa"/>
            <w:shd w:val="clear" w:color="auto" w:fill="auto"/>
            <w:noWrap/>
            <w:vAlign w:val="bottom"/>
          </w:tcPr>
          <w:p w:rsidR="00F52A86" w:rsidRPr="002D7F75" w:rsidRDefault="00F52A86" w:rsidP="006B489A">
            <w:pPr>
              <w:jc w:val="center"/>
              <w:rPr>
                <w:color w:val="000000"/>
                <w:sz w:val="20"/>
                <w:szCs w:val="20"/>
              </w:rPr>
            </w:pPr>
            <w:r>
              <w:rPr>
                <w:color w:val="000000"/>
                <w:sz w:val="20"/>
                <w:szCs w:val="20"/>
              </w:rPr>
              <w:t>54</w:t>
            </w:r>
          </w:p>
        </w:tc>
        <w:tc>
          <w:tcPr>
            <w:tcW w:w="1273" w:type="dxa"/>
            <w:shd w:val="clear" w:color="auto" w:fill="auto"/>
            <w:noWrap/>
            <w:vAlign w:val="bottom"/>
          </w:tcPr>
          <w:p w:rsidR="00F52A86" w:rsidRPr="004A2A3D" w:rsidRDefault="00F52A86" w:rsidP="00127114">
            <w:pPr>
              <w:jc w:val="center"/>
              <w:rPr>
                <w:color w:val="000000"/>
                <w:sz w:val="20"/>
                <w:szCs w:val="20"/>
                <w:highlight w:val="yellow"/>
              </w:rPr>
            </w:pPr>
            <w:r w:rsidRPr="002D7F75">
              <w:rPr>
                <w:color w:val="000000"/>
                <w:sz w:val="20"/>
                <w:szCs w:val="20"/>
              </w:rPr>
              <w:t>1</w:t>
            </w:r>
          </w:p>
        </w:tc>
        <w:tc>
          <w:tcPr>
            <w:tcW w:w="1160" w:type="dxa"/>
            <w:shd w:val="clear" w:color="auto" w:fill="auto"/>
            <w:vAlign w:val="bottom"/>
          </w:tcPr>
          <w:p w:rsidR="00F52A86" w:rsidRPr="004A2A3D" w:rsidRDefault="00F52A86" w:rsidP="00127114">
            <w:pPr>
              <w:jc w:val="center"/>
              <w:rPr>
                <w:color w:val="000000"/>
                <w:sz w:val="20"/>
                <w:szCs w:val="20"/>
                <w:highlight w:val="yellow"/>
              </w:rPr>
            </w:pPr>
            <w:r w:rsidRPr="002D7F75">
              <w:rPr>
                <w:color w:val="000000"/>
                <w:sz w:val="20"/>
                <w:szCs w:val="20"/>
              </w:rPr>
              <w:t>1</w:t>
            </w:r>
            <w:r>
              <w:rPr>
                <w:color w:val="000000"/>
                <w:sz w:val="20"/>
                <w:szCs w:val="20"/>
              </w:rPr>
              <w:t>.5</w:t>
            </w:r>
          </w:p>
        </w:tc>
        <w:tc>
          <w:tcPr>
            <w:tcW w:w="966" w:type="dxa"/>
            <w:shd w:val="clear" w:color="auto" w:fill="auto"/>
            <w:noWrap/>
            <w:vAlign w:val="bottom"/>
          </w:tcPr>
          <w:p w:rsidR="00F52A86" w:rsidRPr="002D7F75" w:rsidRDefault="00F52A86" w:rsidP="00C14527">
            <w:pPr>
              <w:jc w:val="center"/>
              <w:rPr>
                <w:color w:val="000000"/>
                <w:sz w:val="20"/>
                <w:szCs w:val="20"/>
              </w:rPr>
            </w:pPr>
            <w:r w:rsidRPr="002D7F75">
              <w:rPr>
                <w:color w:val="000000"/>
                <w:sz w:val="20"/>
                <w:szCs w:val="20"/>
              </w:rPr>
              <w:t>8</w:t>
            </w:r>
            <w:r>
              <w:rPr>
                <w:color w:val="000000"/>
                <w:sz w:val="20"/>
                <w:szCs w:val="20"/>
              </w:rPr>
              <w:t>1</w:t>
            </w:r>
          </w:p>
        </w:tc>
      </w:tr>
    </w:tbl>
    <w:p w:rsidR="00446ED7" w:rsidRDefault="00446ED7" w:rsidP="00446ED7"/>
    <w:p w:rsidR="003504B0" w:rsidRDefault="003504B0" w:rsidP="00446ED7"/>
    <w:p w:rsidR="003504B0" w:rsidRDefault="003504B0" w:rsidP="003504B0">
      <w:r w:rsidRPr="009673F7">
        <w:rPr>
          <w:bCs/>
          <w:color w:val="000000"/>
        </w:rPr>
        <w:t xml:space="preserve">Exhibit 2 shows the estimated annualized cost burden based on the respondents' time to </w:t>
      </w:r>
      <w:r>
        <w:rPr>
          <w:bCs/>
          <w:color w:val="000000"/>
        </w:rPr>
        <w:t>complete the survey and data tables.</w:t>
      </w:r>
      <w:r w:rsidRPr="009673F7">
        <w:rPr>
          <w:bCs/>
          <w:color w:val="000000"/>
        </w:rPr>
        <w:t xml:space="preserve">  The cost burden is estimated to be </w:t>
      </w:r>
      <w:r w:rsidRPr="009C148B">
        <w:rPr>
          <w:color w:val="000000"/>
        </w:rPr>
        <w:t>$</w:t>
      </w:r>
      <w:r w:rsidR="004D04EA" w:rsidRPr="004D04EA">
        <w:rPr>
          <w:bCs/>
          <w:color w:val="000000"/>
        </w:rPr>
        <w:t>3,404.43</w:t>
      </w:r>
      <w:r w:rsidR="004D04EA">
        <w:rPr>
          <w:bCs/>
          <w:color w:val="000000"/>
        </w:rPr>
        <w:t xml:space="preserve"> </w:t>
      </w:r>
      <w:r w:rsidRPr="004D04EA">
        <w:rPr>
          <w:bCs/>
          <w:color w:val="000000"/>
        </w:rPr>
        <w:t>annually</w:t>
      </w:r>
      <w:r w:rsidRPr="009673F7">
        <w:t>.</w:t>
      </w:r>
    </w:p>
    <w:p w:rsidR="003504B0" w:rsidRPr="009C148B" w:rsidRDefault="003504B0" w:rsidP="003504B0"/>
    <w:p w:rsidR="00446ED7" w:rsidRPr="00D1501D" w:rsidRDefault="00446ED7" w:rsidP="00446ED7">
      <w:pPr>
        <w:rPr>
          <w:b/>
        </w:rPr>
      </w:pPr>
      <w:proofErr w:type="gramStart"/>
      <w:r w:rsidRPr="00D1501D">
        <w:rPr>
          <w:b/>
        </w:rPr>
        <w:lastRenderedPageBreak/>
        <w:t>Exhibit 2.</w:t>
      </w:r>
      <w:proofErr w:type="gramEnd"/>
      <w:r w:rsidRPr="00D1501D">
        <w:rPr>
          <w:b/>
        </w:rPr>
        <w:t xml:space="preserve">  Estimated annualized cost burden</w:t>
      </w:r>
    </w:p>
    <w:tbl>
      <w:tblPr>
        <w:tblW w:w="0" w:type="auto"/>
        <w:tblCellMar>
          <w:left w:w="0" w:type="dxa"/>
          <w:right w:w="0" w:type="dxa"/>
        </w:tblCellMar>
        <w:tblLook w:val="0000" w:firstRow="0" w:lastRow="0" w:firstColumn="0" w:lastColumn="0" w:noHBand="0" w:noVBand="0"/>
      </w:tblPr>
      <w:tblGrid>
        <w:gridCol w:w="4248"/>
        <w:gridCol w:w="900"/>
        <w:gridCol w:w="1460"/>
        <w:gridCol w:w="1260"/>
      </w:tblGrid>
      <w:tr w:rsidR="000419CF" w:rsidRPr="00D1501D">
        <w:tc>
          <w:tcPr>
            <w:tcW w:w="42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419CF" w:rsidRPr="00D1501D" w:rsidRDefault="000419CF" w:rsidP="001F0F72">
            <w:pPr>
              <w:jc w:val="center"/>
              <w:rPr>
                <w:b/>
              </w:rPr>
            </w:pPr>
            <w:r w:rsidRPr="00D1501D">
              <w:rPr>
                <w:b/>
                <w:color w:val="000000"/>
                <w:sz w:val="20"/>
                <w:szCs w:val="20"/>
              </w:rPr>
              <w:t>Form Name</w:t>
            </w:r>
          </w:p>
        </w:tc>
        <w:tc>
          <w:tcPr>
            <w:tcW w:w="9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419CF" w:rsidRPr="00D1501D" w:rsidRDefault="000419CF" w:rsidP="001F0F72">
            <w:pPr>
              <w:jc w:val="center"/>
              <w:rPr>
                <w:b/>
              </w:rPr>
            </w:pPr>
            <w:r>
              <w:rPr>
                <w:b/>
                <w:color w:val="000000"/>
                <w:sz w:val="20"/>
                <w:szCs w:val="20"/>
              </w:rPr>
              <w:t>Total burden h</w:t>
            </w:r>
            <w:r w:rsidRPr="00D1501D">
              <w:rPr>
                <w:b/>
                <w:color w:val="000000"/>
                <w:sz w:val="20"/>
                <w:szCs w:val="20"/>
              </w:rPr>
              <w:t>ours</w:t>
            </w:r>
          </w:p>
        </w:tc>
        <w:tc>
          <w:tcPr>
            <w:tcW w:w="14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419CF" w:rsidRPr="00D1501D" w:rsidRDefault="000419CF" w:rsidP="001F0F72">
            <w:pPr>
              <w:jc w:val="center"/>
              <w:rPr>
                <w:b/>
              </w:rPr>
            </w:pPr>
            <w:r>
              <w:rPr>
                <w:b/>
                <w:color w:val="000000"/>
                <w:sz w:val="20"/>
                <w:szCs w:val="20"/>
              </w:rPr>
              <w:t>Average h</w:t>
            </w:r>
            <w:r w:rsidRPr="00D1501D">
              <w:rPr>
                <w:b/>
                <w:color w:val="000000"/>
                <w:sz w:val="20"/>
                <w:szCs w:val="20"/>
              </w:rPr>
              <w:t xml:space="preserve">ourly </w:t>
            </w:r>
            <w:r>
              <w:rPr>
                <w:b/>
                <w:color w:val="000000"/>
                <w:sz w:val="20"/>
                <w:szCs w:val="20"/>
              </w:rPr>
              <w:t>wage r</w:t>
            </w:r>
            <w:r w:rsidRPr="00D1501D">
              <w:rPr>
                <w:b/>
                <w:color w:val="000000"/>
                <w:sz w:val="20"/>
                <w:szCs w:val="20"/>
              </w:rPr>
              <w:t>ate*</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419CF" w:rsidRPr="00D1501D" w:rsidRDefault="000419CF" w:rsidP="009D0C70">
            <w:pPr>
              <w:jc w:val="center"/>
              <w:rPr>
                <w:b/>
              </w:rPr>
            </w:pPr>
            <w:r>
              <w:rPr>
                <w:b/>
                <w:color w:val="000000"/>
                <w:sz w:val="20"/>
                <w:szCs w:val="20"/>
              </w:rPr>
              <w:t xml:space="preserve">Total Respondent cost </w:t>
            </w:r>
          </w:p>
        </w:tc>
      </w:tr>
      <w:tr w:rsidR="000419CF" w:rsidRPr="00D1501D">
        <w:trPr>
          <w:trHeight w:val="412"/>
        </w:trPr>
        <w:tc>
          <w:tcPr>
            <w:tcW w:w="42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419CF" w:rsidRPr="004A2A3D" w:rsidRDefault="000419CF" w:rsidP="00A660E5">
            <w:pPr>
              <w:rPr>
                <w:b/>
                <w:color w:val="000000"/>
                <w:sz w:val="20"/>
                <w:szCs w:val="20"/>
                <w:highlight w:val="yellow"/>
              </w:rPr>
            </w:pPr>
            <w:r w:rsidRPr="00A660E5">
              <w:rPr>
                <w:b/>
                <w:color w:val="000000"/>
                <w:sz w:val="20"/>
                <w:szCs w:val="20"/>
              </w:rPr>
              <w:t>State and Territorial Survey</w:t>
            </w:r>
            <w:r w:rsidRPr="004A2A3D">
              <w:rPr>
                <w:b/>
                <w:color w:val="000000"/>
                <w:sz w:val="20"/>
                <w:szCs w:val="20"/>
                <w:highlight w:val="yellow"/>
              </w:rPr>
              <w:t xml:space="preserve">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0419CF" w:rsidRPr="002D7F75" w:rsidRDefault="000419CF" w:rsidP="004D04EA">
            <w:pPr>
              <w:jc w:val="center"/>
              <w:rPr>
                <w:sz w:val="20"/>
                <w:szCs w:val="20"/>
              </w:rPr>
            </w:pPr>
            <w:r>
              <w:rPr>
                <w:sz w:val="20"/>
                <w:szCs w:val="20"/>
              </w:rPr>
              <w:t>81</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0419CF" w:rsidRPr="000837BF" w:rsidRDefault="000419CF" w:rsidP="00C26D3E">
            <w:pPr>
              <w:jc w:val="center"/>
              <w:rPr>
                <w:color w:val="000000"/>
                <w:sz w:val="20"/>
                <w:szCs w:val="20"/>
              </w:rPr>
            </w:pPr>
            <w:r w:rsidRPr="000837BF">
              <w:rPr>
                <w:color w:val="000000"/>
                <w:sz w:val="20"/>
                <w:szCs w:val="20"/>
              </w:rPr>
              <w:t>$42.03</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0419CF" w:rsidRPr="000837BF" w:rsidRDefault="000419CF" w:rsidP="004D04EA">
            <w:pPr>
              <w:jc w:val="right"/>
              <w:rPr>
                <w:color w:val="000000"/>
                <w:sz w:val="20"/>
                <w:szCs w:val="20"/>
              </w:rPr>
            </w:pPr>
            <w:r w:rsidRPr="000837BF">
              <w:rPr>
                <w:color w:val="000000"/>
                <w:sz w:val="20"/>
                <w:szCs w:val="20"/>
              </w:rPr>
              <w:t>$</w:t>
            </w:r>
            <w:r>
              <w:rPr>
                <w:color w:val="000000"/>
                <w:sz w:val="20"/>
                <w:szCs w:val="20"/>
              </w:rPr>
              <w:t>3,404.43</w:t>
            </w:r>
          </w:p>
        </w:tc>
      </w:tr>
      <w:tr w:rsidR="000419CF" w:rsidRPr="00D1501D">
        <w:trPr>
          <w:trHeight w:val="403"/>
        </w:trPr>
        <w:tc>
          <w:tcPr>
            <w:tcW w:w="42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419CF" w:rsidRPr="00D1501D" w:rsidRDefault="000419CF" w:rsidP="00D82A40">
            <w:pPr>
              <w:rPr>
                <w:b/>
                <w:color w:val="000000"/>
                <w:sz w:val="20"/>
                <w:szCs w:val="20"/>
              </w:rPr>
            </w:pPr>
            <w:r w:rsidRPr="00D1501D">
              <w:rPr>
                <w:b/>
                <w:color w:val="000000"/>
                <w:sz w:val="20"/>
                <w:szCs w:val="20"/>
              </w:rPr>
              <w:t>Total</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0419CF" w:rsidRPr="002D7F75" w:rsidRDefault="000419CF" w:rsidP="004D04EA">
            <w:pPr>
              <w:jc w:val="center"/>
              <w:rPr>
                <w:color w:val="000000"/>
                <w:sz w:val="20"/>
                <w:szCs w:val="20"/>
              </w:rPr>
            </w:pPr>
            <w:r>
              <w:rPr>
                <w:color w:val="000000"/>
                <w:sz w:val="20"/>
                <w:szCs w:val="20"/>
              </w:rPr>
              <w:t>81</w:t>
            </w:r>
          </w:p>
        </w:tc>
        <w:tc>
          <w:tcPr>
            <w:tcW w:w="14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0419CF" w:rsidRPr="004A2A3D" w:rsidRDefault="00F52A86" w:rsidP="00127114">
            <w:pPr>
              <w:jc w:val="center"/>
              <w:rPr>
                <w:color w:val="000000"/>
                <w:sz w:val="20"/>
                <w:szCs w:val="20"/>
                <w:highlight w:val="yellow"/>
              </w:rPr>
            </w:pPr>
            <w:r w:rsidRPr="000837BF">
              <w:rPr>
                <w:color w:val="000000"/>
                <w:sz w:val="20"/>
                <w:szCs w:val="20"/>
              </w:rPr>
              <w:t>$42.03</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0419CF" w:rsidRPr="00523B6B" w:rsidRDefault="000419CF" w:rsidP="004D04EA">
            <w:pPr>
              <w:jc w:val="right"/>
              <w:rPr>
                <w:color w:val="000000"/>
                <w:sz w:val="20"/>
                <w:szCs w:val="20"/>
              </w:rPr>
            </w:pPr>
            <w:r w:rsidRPr="00523B6B">
              <w:rPr>
                <w:color w:val="000000"/>
                <w:sz w:val="20"/>
                <w:szCs w:val="20"/>
              </w:rPr>
              <w:t>$</w:t>
            </w:r>
            <w:r>
              <w:rPr>
                <w:color w:val="000000"/>
                <w:sz w:val="20"/>
                <w:szCs w:val="20"/>
              </w:rPr>
              <w:t>3,404.43</w:t>
            </w:r>
          </w:p>
        </w:tc>
      </w:tr>
    </w:tbl>
    <w:p w:rsidR="0016087F" w:rsidRDefault="0016087F" w:rsidP="00446ED7">
      <w:pPr>
        <w:autoSpaceDE w:val="0"/>
        <w:autoSpaceDN w:val="0"/>
        <w:adjustRightInd w:val="0"/>
        <w:ind w:left="360"/>
        <w:rPr>
          <w:color w:val="000000"/>
          <w:sz w:val="20"/>
          <w:szCs w:val="20"/>
        </w:rPr>
      </w:pPr>
    </w:p>
    <w:p w:rsidR="00174751" w:rsidRDefault="00155DA1" w:rsidP="0008300F">
      <w:pPr>
        <w:rPr>
          <w:bCs/>
          <w:sz w:val="20"/>
          <w:szCs w:val="20"/>
        </w:rPr>
      </w:pPr>
      <w:r w:rsidRPr="00FD01E3">
        <w:rPr>
          <w:bCs/>
          <w:sz w:val="20"/>
          <w:szCs w:val="20"/>
        </w:rPr>
        <w:t>*The wage rate in Exhibit 2 is based on May 20</w:t>
      </w:r>
      <w:r w:rsidR="002D5C17" w:rsidRPr="00FD01E3">
        <w:rPr>
          <w:bCs/>
          <w:sz w:val="20"/>
          <w:szCs w:val="20"/>
        </w:rPr>
        <w:t>13</w:t>
      </w:r>
      <w:r w:rsidRPr="00FD01E3">
        <w:rPr>
          <w:bCs/>
          <w:sz w:val="20"/>
          <w:szCs w:val="20"/>
        </w:rPr>
        <w:t xml:space="preserve"> National Industry-Specific Occupational Employment and Wage Estimates, Bureau of Labor Statistics, U.S. Dept</w:t>
      </w:r>
      <w:r w:rsidR="006C2F9D" w:rsidRPr="00FD01E3">
        <w:rPr>
          <w:bCs/>
          <w:sz w:val="20"/>
          <w:szCs w:val="20"/>
        </w:rPr>
        <w:t>.</w:t>
      </w:r>
      <w:r w:rsidRPr="00FD01E3">
        <w:rPr>
          <w:bCs/>
          <w:sz w:val="20"/>
          <w:szCs w:val="20"/>
        </w:rPr>
        <w:t xml:space="preserve"> of Labor. </w:t>
      </w:r>
      <w:r w:rsidR="000F7A00">
        <w:rPr>
          <w:bCs/>
          <w:sz w:val="20"/>
          <w:szCs w:val="20"/>
        </w:rPr>
        <w:t>The m</w:t>
      </w:r>
      <w:r w:rsidRPr="00FD01E3">
        <w:rPr>
          <w:bCs/>
          <w:sz w:val="20"/>
          <w:szCs w:val="20"/>
        </w:rPr>
        <w:t xml:space="preserve">ean hourly wage for </w:t>
      </w:r>
      <w:r w:rsidR="00FD01E3">
        <w:rPr>
          <w:bCs/>
          <w:sz w:val="20"/>
          <w:szCs w:val="20"/>
        </w:rPr>
        <w:t xml:space="preserve">state government </w:t>
      </w:r>
      <w:r w:rsidR="000F7A00">
        <w:rPr>
          <w:bCs/>
          <w:sz w:val="20"/>
          <w:szCs w:val="20"/>
        </w:rPr>
        <w:t>(T</w:t>
      </w:r>
      <w:r w:rsidR="00FD01E3">
        <w:rPr>
          <w:bCs/>
          <w:sz w:val="20"/>
          <w:szCs w:val="20"/>
        </w:rPr>
        <w:t xml:space="preserve">op </w:t>
      </w:r>
      <w:r w:rsidR="000F7A00">
        <w:rPr>
          <w:bCs/>
          <w:sz w:val="20"/>
          <w:szCs w:val="20"/>
        </w:rPr>
        <w:t>E</w:t>
      </w:r>
      <w:r w:rsidR="00FD01E3">
        <w:rPr>
          <w:bCs/>
          <w:sz w:val="20"/>
          <w:szCs w:val="20"/>
        </w:rPr>
        <w:t>xecutives</w:t>
      </w:r>
      <w:r w:rsidR="000F7A00">
        <w:rPr>
          <w:bCs/>
          <w:sz w:val="20"/>
          <w:szCs w:val="20"/>
        </w:rPr>
        <w:t>, Occupation Code 11-1000)</w:t>
      </w:r>
      <w:r w:rsidRPr="00FD01E3">
        <w:rPr>
          <w:bCs/>
          <w:sz w:val="20"/>
          <w:szCs w:val="20"/>
        </w:rPr>
        <w:t xml:space="preserve"> </w:t>
      </w:r>
      <w:r w:rsidR="000F7A00">
        <w:rPr>
          <w:bCs/>
          <w:sz w:val="20"/>
          <w:szCs w:val="20"/>
        </w:rPr>
        <w:t>is</w:t>
      </w:r>
      <w:r w:rsidRPr="00FD01E3">
        <w:rPr>
          <w:bCs/>
          <w:sz w:val="20"/>
          <w:szCs w:val="20"/>
        </w:rPr>
        <w:t xml:space="preserve"> located at</w:t>
      </w:r>
      <w:r w:rsidR="000837BF">
        <w:rPr>
          <w:bCs/>
          <w:sz w:val="20"/>
          <w:szCs w:val="20"/>
        </w:rPr>
        <w:t xml:space="preserve"> </w:t>
      </w:r>
      <w:hyperlink r:id="rId15" w:anchor="11-0000" w:history="1">
        <w:r w:rsidR="000837BF" w:rsidRPr="005353A1">
          <w:rPr>
            <w:rStyle w:val="Hyperlink"/>
            <w:bCs/>
            <w:sz w:val="20"/>
            <w:szCs w:val="20"/>
          </w:rPr>
          <w:t>http://www.bls.gov/oes/current/naics4_999200.htm#11-0000</w:t>
        </w:r>
      </w:hyperlink>
      <w:r w:rsidR="000837BF">
        <w:rPr>
          <w:bCs/>
          <w:sz w:val="20"/>
          <w:szCs w:val="20"/>
        </w:rPr>
        <w:t xml:space="preserve">. </w:t>
      </w:r>
      <w:r w:rsidR="000F7A00">
        <w:rPr>
          <w:bCs/>
          <w:sz w:val="20"/>
          <w:szCs w:val="20"/>
        </w:rPr>
        <w:t xml:space="preserve"> </w:t>
      </w:r>
    </w:p>
    <w:p w:rsidR="000837BF" w:rsidRDefault="000837BF" w:rsidP="0008300F">
      <w:pPr>
        <w:rPr>
          <w:bCs/>
          <w:sz w:val="20"/>
          <w:szCs w:val="20"/>
        </w:rPr>
      </w:pPr>
    </w:p>
    <w:p w:rsidR="009B633D" w:rsidRPr="00412C6F" w:rsidRDefault="009B633D" w:rsidP="00A539DE">
      <w:pPr>
        <w:pStyle w:val="Heading2"/>
        <w:spacing w:after="0"/>
        <w:rPr>
          <w:sz w:val="24"/>
        </w:rPr>
      </w:pPr>
      <w:bookmarkStart w:id="44" w:name="_Toc151782188"/>
      <w:bookmarkStart w:id="45" w:name="_Toc158526228"/>
      <w:bookmarkStart w:id="46" w:name="_Toc410053835"/>
      <w:r w:rsidRPr="00412C6F">
        <w:rPr>
          <w:sz w:val="24"/>
        </w:rPr>
        <w:t>13. Estimates of Annualized Respondent Capital and Maintenance Costs</w:t>
      </w:r>
      <w:bookmarkEnd w:id="44"/>
      <w:bookmarkEnd w:id="45"/>
      <w:bookmarkEnd w:id="46"/>
    </w:p>
    <w:p w:rsidR="00BD3663" w:rsidRDefault="00240FEA" w:rsidP="00A539DE">
      <w:r w:rsidRPr="00005255">
        <w:t xml:space="preserve">Capital and maintenance costs include the purchase of equipment, computers or computer software or services, or storage facilities for records, as a result of complying with this data collection.  </w:t>
      </w:r>
      <w:r w:rsidR="00BD3663" w:rsidRPr="00005255">
        <w:t>There are no direct costs to respondents other than their time to participate in the study.</w:t>
      </w:r>
    </w:p>
    <w:p w:rsidR="009B633D" w:rsidRDefault="009B633D" w:rsidP="00A539DE">
      <w:pPr>
        <w:pStyle w:val="Heading2"/>
        <w:spacing w:after="0"/>
        <w:rPr>
          <w:b w:val="0"/>
          <w:i w:val="0"/>
          <w:sz w:val="24"/>
        </w:rPr>
      </w:pPr>
      <w:bookmarkStart w:id="47" w:name="_Toc58725299"/>
      <w:bookmarkStart w:id="48" w:name="_Toc151782189"/>
      <w:bookmarkStart w:id="49" w:name="_Toc158526229"/>
      <w:bookmarkStart w:id="50" w:name="_Toc410053836"/>
      <w:r w:rsidRPr="00412C6F">
        <w:rPr>
          <w:sz w:val="24"/>
        </w:rPr>
        <w:t>14. Estimates of Annualized Cost to the Government</w:t>
      </w:r>
      <w:bookmarkEnd w:id="47"/>
      <w:bookmarkEnd w:id="48"/>
      <w:bookmarkEnd w:id="49"/>
      <w:bookmarkEnd w:id="50"/>
    </w:p>
    <w:p w:rsidR="007B7D60" w:rsidRDefault="00CE6C28" w:rsidP="0068316A">
      <w:r>
        <w:t>Exhibit 3 shows t</w:t>
      </w:r>
      <w:r w:rsidR="00240FEA">
        <w:t>he estimated annualized cost to the government for</w:t>
      </w:r>
      <w:r w:rsidR="009D58F1">
        <w:t xml:space="preserve"> developing, fielding, and reporting the results of the </w:t>
      </w:r>
      <w:proofErr w:type="spellStart"/>
      <w:r w:rsidR="0082393A">
        <w:t>STHD</w:t>
      </w:r>
      <w:proofErr w:type="spellEnd"/>
      <w:r w:rsidR="0082393A">
        <w:t xml:space="preserve"> Survey</w:t>
      </w:r>
      <w:r w:rsidR="009D58F1">
        <w:t>.</w:t>
      </w:r>
      <w:r w:rsidR="00544B7F">
        <w:t xml:space="preserve">  The cost is estimated to be $</w:t>
      </w:r>
      <w:r w:rsidR="004F77E9">
        <w:t>456,743</w:t>
      </w:r>
      <w:r w:rsidR="00544B7F" w:rsidRPr="00995C7C">
        <w:t xml:space="preserve"> annually.</w:t>
      </w:r>
      <w:bookmarkStart w:id="51" w:name="_Toc151782190"/>
      <w:bookmarkStart w:id="52" w:name="_Toc158526230"/>
    </w:p>
    <w:p w:rsidR="000462B0" w:rsidRPr="00995C7C" w:rsidRDefault="000462B0" w:rsidP="0068316A">
      <w:pPr>
        <w:rPr>
          <w:b/>
          <w:bCs/>
          <w:color w:val="000000"/>
        </w:rPr>
      </w:pPr>
    </w:p>
    <w:p w:rsidR="0068316A" w:rsidRDefault="00CE6C28" w:rsidP="0068316A">
      <w:pPr>
        <w:rPr>
          <w:b/>
          <w:bCs/>
          <w:color w:val="000000"/>
        </w:rPr>
      </w:pPr>
      <w:proofErr w:type="gramStart"/>
      <w:r>
        <w:rPr>
          <w:b/>
          <w:bCs/>
          <w:color w:val="000000"/>
        </w:rPr>
        <w:t>Exhibit 3.</w:t>
      </w:r>
      <w:proofErr w:type="gramEnd"/>
      <w:r>
        <w:rPr>
          <w:b/>
          <w:bCs/>
          <w:color w:val="000000"/>
        </w:rPr>
        <w:t xml:space="preserve"> </w:t>
      </w:r>
      <w:r w:rsidR="0068316A" w:rsidRPr="00995C7C">
        <w:rPr>
          <w:b/>
          <w:bCs/>
          <w:color w:val="000000"/>
        </w:rPr>
        <w:t xml:space="preserve">Estimated </w:t>
      </w:r>
      <w:r w:rsidR="00240FEA" w:rsidRPr="00995C7C">
        <w:rPr>
          <w:b/>
          <w:bCs/>
          <w:color w:val="000000"/>
        </w:rPr>
        <w:t xml:space="preserve">Annualized </w:t>
      </w:r>
      <w:r w:rsidR="0068316A" w:rsidRPr="00995C7C">
        <w:rPr>
          <w:b/>
          <w:bCs/>
          <w:color w:val="000000"/>
        </w:rPr>
        <w:t>Cost</w:t>
      </w:r>
    </w:p>
    <w:tbl>
      <w:tblPr>
        <w:tblW w:w="0" w:type="auto"/>
        <w:tblCellMar>
          <w:left w:w="0" w:type="dxa"/>
          <w:right w:w="0" w:type="dxa"/>
        </w:tblCellMar>
        <w:tblLook w:val="0000" w:firstRow="0" w:lastRow="0" w:firstColumn="0" w:lastColumn="0" w:noHBand="0" w:noVBand="0"/>
      </w:tblPr>
      <w:tblGrid>
        <w:gridCol w:w="3708"/>
        <w:gridCol w:w="1980"/>
      </w:tblGrid>
      <w:tr w:rsidR="0020635E" w:rsidRPr="00012FB9" w:rsidTr="001D3EDF">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0635E" w:rsidRPr="00012FB9" w:rsidRDefault="0020635E" w:rsidP="001D3EDF">
            <w:pPr>
              <w:rPr>
                <w:b/>
              </w:rPr>
            </w:pPr>
            <w:r w:rsidRPr="00012FB9">
              <w:rPr>
                <w:b/>
                <w:color w:val="000000"/>
              </w:rPr>
              <w:t xml:space="preserve">Cost Component </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012FB9" w:rsidRDefault="0020635E" w:rsidP="001D3EDF">
            <w:pPr>
              <w:jc w:val="center"/>
              <w:rPr>
                <w:b/>
              </w:rPr>
            </w:pPr>
            <w:r w:rsidRPr="00012FB9">
              <w:rPr>
                <w:b/>
              </w:rPr>
              <w:t>Annualized Cost</w:t>
            </w:r>
          </w:p>
        </w:tc>
      </w:tr>
      <w:tr w:rsidR="0020635E" w:rsidRPr="00C43E90" w:rsidTr="001D3ED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C43E90" w:rsidRDefault="0020635E" w:rsidP="00C43E90">
            <w:r w:rsidRPr="00C43E90">
              <w:t>Project Development</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C43E90" w:rsidRDefault="0020635E" w:rsidP="0039557B">
            <w:pPr>
              <w:jc w:val="center"/>
            </w:pPr>
            <w:r w:rsidRPr="00C43E90">
              <w:t>$</w:t>
            </w:r>
            <w:r w:rsidR="0039557B">
              <w:t>54,805</w:t>
            </w:r>
          </w:p>
        </w:tc>
      </w:tr>
      <w:tr w:rsidR="0020635E" w:rsidRPr="00C43E90" w:rsidTr="001D3ED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C43E90" w:rsidRDefault="0020635E" w:rsidP="00C43E90">
            <w:r>
              <w:t>Data Collection Activities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C43E90" w:rsidRDefault="006803AF" w:rsidP="0039557B">
            <w:pPr>
              <w:jc w:val="center"/>
            </w:pPr>
            <w:r>
              <w:t>$1</w:t>
            </w:r>
            <w:r w:rsidR="0039557B">
              <w:t>69,350</w:t>
            </w:r>
          </w:p>
        </w:tc>
      </w:tr>
      <w:tr w:rsidR="0020635E" w:rsidRPr="00C43E90" w:rsidTr="001D3ED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C43E90" w:rsidRDefault="0020635E" w:rsidP="00C43E90">
            <w:r>
              <w:t>Data Processing and Analysis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C43E90" w:rsidRDefault="006803AF" w:rsidP="0039557B">
            <w:pPr>
              <w:jc w:val="center"/>
            </w:pPr>
            <w:r>
              <w:t>$5,</w:t>
            </w:r>
            <w:r w:rsidR="0039557B">
              <w:t>023</w:t>
            </w:r>
          </w:p>
        </w:tc>
      </w:tr>
      <w:tr w:rsidR="0020635E" w:rsidRPr="00C43E90" w:rsidTr="001D3ED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C43E90" w:rsidRDefault="0020635E" w:rsidP="00C43E90">
            <w:r>
              <w:t>Publication of Results</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C43E90" w:rsidRDefault="006803AF" w:rsidP="0039557B">
            <w:pPr>
              <w:jc w:val="center"/>
            </w:pPr>
            <w:r>
              <w:t>$</w:t>
            </w:r>
            <w:r w:rsidR="0039557B">
              <w:t>82,953</w:t>
            </w:r>
          </w:p>
        </w:tc>
      </w:tr>
      <w:tr w:rsidR="0020635E" w:rsidRPr="00C43E90" w:rsidTr="001D3ED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C43E90" w:rsidRDefault="0020635E" w:rsidP="00C43E90">
            <w:r>
              <w:t>Project Management</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C43E90" w:rsidRDefault="006803AF" w:rsidP="0039557B">
            <w:pPr>
              <w:jc w:val="center"/>
            </w:pPr>
            <w:r>
              <w:t>$</w:t>
            </w:r>
            <w:r w:rsidR="0039557B">
              <w:t>36,921</w:t>
            </w:r>
          </w:p>
        </w:tc>
      </w:tr>
      <w:tr w:rsidR="0020635E" w:rsidTr="001D3ED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C43E90" w:rsidRDefault="0020635E" w:rsidP="00054906">
            <w:r>
              <w:t>Overhead</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054906" w:rsidRDefault="0020635E" w:rsidP="004A2A3D">
            <w:pPr>
              <w:jc w:val="center"/>
            </w:pPr>
            <w:r w:rsidRPr="00C43E90">
              <w:t>$</w:t>
            </w:r>
            <w:r w:rsidR="006803AF">
              <w:t>107,691</w:t>
            </w:r>
          </w:p>
        </w:tc>
      </w:tr>
      <w:tr w:rsidR="0020635E" w:rsidTr="001D3EDF">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054906" w:rsidRDefault="0020635E" w:rsidP="001D3EDF">
            <w:r w:rsidRPr="00054906">
              <w:rPr>
                <w:b/>
                <w:bCs/>
                <w:color w:val="000000"/>
              </w:rPr>
              <w:t>Total</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0635E" w:rsidRPr="00054906" w:rsidRDefault="0020635E" w:rsidP="004A2A3D">
            <w:pPr>
              <w:jc w:val="center"/>
            </w:pPr>
            <w:r w:rsidRPr="00054906">
              <w:t>$</w:t>
            </w:r>
            <w:r w:rsidR="006803AF">
              <w:t>456,743</w:t>
            </w:r>
          </w:p>
        </w:tc>
      </w:tr>
    </w:tbl>
    <w:p w:rsidR="00593712" w:rsidRDefault="00593712" w:rsidP="00715DB6">
      <w:pPr>
        <w:pStyle w:val="Heading2"/>
        <w:spacing w:before="0" w:after="0"/>
        <w:rPr>
          <w:sz w:val="24"/>
        </w:rPr>
      </w:pPr>
      <w:bookmarkStart w:id="53" w:name="_Toc410053837"/>
    </w:p>
    <w:p w:rsidR="00080BD8" w:rsidRDefault="00080BD8">
      <w:pPr>
        <w:rPr>
          <w:rFonts w:ascii="Arial" w:hAnsi="Arial" w:cs="Arial"/>
          <w:b/>
          <w:bCs/>
          <w:i/>
          <w:iCs/>
          <w:szCs w:val="28"/>
        </w:rPr>
      </w:pPr>
    </w:p>
    <w:p w:rsidR="008074A9" w:rsidRDefault="009B633D" w:rsidP="00715DB6">
      <w:pPr>
        <w:pStyle w:val="Heading2"/>
        <w:spacing w:before="0" w:after="0"/>
        <w:rPr>
          <w:sz w:val="24"/>
        </w:rPr>
      </w:pPr>
      <w:r w:rsidRPr="00412C6F">
        <w:rPr>
          <w:sz w:val="24"/>
        </w:rPr>
        <w:t>15. Changes in Hour Burden</w:t>
      </w:r>
      <w:bookmarkStart w:id="54" w:name="_Toc151782191"/>
      <w:bookmarkStart w:id="55" w:name="_Toc158526231"/>
      <w:bookmarkEnd w:id="51"/>
      <w:bookmarkEnd w:id="52"/>
      <w:bookmarkEnd w:id="53"/>
    </w:p>
    <w:p w:rsidR="008074A9" w:rsidRPr="008074A9" w:rsidRDefault="008074A9" w:rsidP="001301B3">
      <w:pPr>
        <w:rPr>
          <w:b/>
          <w:bCs/>
          <w:i/>
          <w:iCs/>
        </w:rPr>
      </w:pPr>
      <w:r w:rsidRPr="008074A9">
        <w:t xml:space="preserve">This is a new collection of information. </w:t>
      </w:r>
    </w:p>
    <w:p w:rsidR="009B633D" w:rsidRPr="00412C6F" w:rsidRDefault="009B633D" w:rsidP="002B43BC">
      <w:pPr>
        <w:pStyle w:val="Heading2"/>
        <w:spacing w:after="0"/>
        <w:rPr>
          <w:sz w:val="24"/>
        </w:rPr>
      </w:pPr>
      <w:bookmarkStart w:id="56" w:name="_Toc410053838"/>
      <w:r w:rsidRPr="00412C6F">
        <w:rPr>
          <w:sz w:val="24"/>
        </w:rPr>
        <w:t>16. Time Schedule, Publication and Analysis Plans</w:t>
      </w:r>
      <w:bookmarkEnd w:id="54"/>
      <w:bookmarkEnd w:id="55"/>
      <w:bookmarkEnd w:id="56"/>
    </w:p>
    <w:p w:rsidR="00A65897" w:rsidRPr="002112A0" w:rsidRDefault="00A65897" w:rsidP="00A65897">
      <w:bookmarkStart w:id="57" w:name="_Toc151782192"/>
      <w:r>
        <w:t xml:space="preserve">As soon as OMB approval is received, survey data collection activities will begin. Information for the </w:t>
      </w:r>
      <w:proofErr w:type="spellStart"/>
      <w:r w:rsidR="0082393A">
        <w:t>STHD</w:t>
      </w:r>
      <w:proofErr w:type="spellEnd"/>
      <w:r w:rsidR="0082393A">
        <w:t xml:space="preserve"> Survey</w:t>
      </w:r>
      <w:r>
        <w:t xml:space="preserve"> is collected by </w:t>
      </w:r>
      <w:proofErr w:type="spellStart"/>
      <w:r w:rsidR="009A3770" w:rsidRPr="009A3770">
        <w:t>OMH</w:t>
      </w:r>
      <w:proofErr w:type="spellEnd"/>
      <w:r w:rsidR="00966B3E" w:rsidRPr="009A3770">
        <w:t xml:space="preserve"> through its contractor, </w:t>
      </w:r>
      <w:proofErr w:type="spellStart"/>
      <w:r w:rsidR="00966B3E" w:rsidRPr="009A3770">
        <w:t>Westat</w:t>
      </w:r>
      <w:proofErr w:type="spellEnd"/>
      <w:r w:rsidR="00966B3E" w:rsidRPr="009A3770">
        <w:t xml:space="preserve">. </w:t>
      </w:r>
      <w:r w:rsidRPr="00A03CC5">
        <w:t>The estimated time schedule to conduct these</w:t>
      </w:r>
      <w:r w:rsidRPr="002112A0">
        <w:t xml:space="preserve"> activities is shown below:</w:t>
      </w:r>
    </w:p>
    <w:p w:rsidR="00A65897" w:rsidRDefault="00A65897" w:rsidP="004D171B"/>
    <w:p w:rsidR="0089241E" w:rsidRDefault="00950F8D" w:rsidP="00A65897">
      <w:pPr>
        <w:pStyle w:val="ListParagraph"/>
        <w:numPr>
          <w:ilvl w:val="0"/>
          <w:numId w:val="6"/>
        </w:numPr>
      </w:pPr>
      <w:r>
        <w:t>Finalize</w:t>
      </w:r>
      <w:r w:rsidR="0089241E">
        <w:t xml:space="preserve"> introductory</w:t>
      </w:r>
      <w:r w:rsidR="007257FC">
        <w:t>/recruitment</w:t>
      </w:r>
      <w:r w:rsidR="0089241E">
        <w:t xml:space="preserve"> letter</w:t>
      </w:r>
      <w:r w:rsidR="00080BD8">
        <w:t>s</w:t>
      </w:r>
      <w:r w:rsidR="0089241E">
        <w:t xml:space="preserve"> </w:t>
      </w:r>
      <w:r>
        <w:t>(draft</w:t>
      </w:r>
      <w:r w:rsidR="00080BD8">
        <w:t>s</w:t>
      </w:r>
      <w:r>
        <w:t xml:space="preserve"> shown as Attachment D) </w:t>
      </w:r>
      <w:r w:rsidR="0089241E">
        <w:t>to state</w:t>
      </w:r>
      <w:r w:rsidR="00FE4DA9">
        <w:t xml:space="preserve">/territorial </w:t>
      </w:r>
      <w:r w:rsidR="0089241E">
        <w:t>minority health entity contacts from the Deputy Assistant Secretary for Minority Health (</w:t>
      </w:r>
      <w:r w:rsidR="0089241E" w:rsidRPr="004A7F49">
        <w:t>1 month</w:t>
      </w:r>
      <w:r w:rsidR="0089241E">
        <w:t>)</w:t>
      </w:r>
    </w:p>
    <w:p w:rsidR="00A65897" w:rsidRPr="004A7F49" w:rsidRDefault="0089241E" w:rsidP="00A65897">
      <w:pPr>
        <w:pStyle w:val="ListParagraph"/>
        <w:numPr>
          <w:ilvl w:val="0"/>
          <w:numId w:val="6"/>
        </w:numPr>
      </w:pPr>
      <w:r>
        <w:t xml:space="preserve">Recruit </w:t>
      </w:r>
      <w:r w:rsidR="009A3770">
        <w:t xml:space="preserve">State and </w:t>
      </w:r>
      <w:r w:rsidR="00A73882">
        <w:t>T</w:t>
      </w:r>
      <w:r w:rsidR="009A3770">
        <w:t>erritor</w:t>
      </w:r>
      <w:r w:rsidR="008F3B7E">
        <w:t>ial</w:t>
      </w:r>
      <w:r w:rsidR="009A3770">
        <w:t xml:space="preserve"> minority health </w:t>
      </w:r>
      <w:r w:rsidR="00A73882">
        <w:t xml:space="preserve">entities </w:t>
      </w:r>
      <w:r>
        <w:t xml:space="preserve">and conduct </w:t>
      </w:r>
      <w:proofErr w:type="spellStart"/>
      <w:r w:rsidR="0082393A">
        <w:t>STHD</w:t>
      </w:r>
      <w:proofErr w:type="spellEnd"/>
      <w:r w:rsidR="0082393A">
        <w:t xml:space="preserve"> Survey</w:t>
      </w:r>
      <w:r>
        <w:t xml:space="preserve"> (</w:t>
      </w:r>
      <w:r w:rsidRPr="004A7F49">
        <w:t>3 months)</w:t>
      </w:r>
      <w:r w:rsidR="00966B3E" w:rsidRPr="004A7F49">
        <w:t xml:space="preserve"> </w:t>
      </w:r>
    </w:p>
    <w:p w:rsidR="0089241E" w:rsidRPr="004A7F49" w:rsidRDefault="0089241E" w:rsidP="00A65897">
      <w:pPr>
        <w:pStyle w:val="ListParagraph"/>
        <w:numPr>
          <w:ilvl w:val="0"/>
          <w:numId w:val="6"/>
        </w:numPr>
      </w:pPr>
      <w:r>
        <w:t>D</w:t>
      </w:r>
      <w:r w:rsidR="00966B3E" w:rsidRPr="009A3770">
        <w:t xml:space="preserve">ata </w:t>
      </w:r>
      <w:r w:rsidR="00976F18">
        <w:t>compilation</w:t>
      </w:r>
      <w:r>
        <w:t xml:space="preserve"> and analysis </w:t>
      </w:r>
      <w:r w:rsidR="002670A7">
        <w:t>(</w:t>
      </w:r>
      <w:r w:rsidR="007A080A" w:rsidRPr="004A7F49">
        <w:t>5</w:t>
      </w:r>
      <w:r w:rsidRPr="004A7F49">
        <w:t xml:space="preserve"> months)</w:t>
      </w:r>
    </w:p>
    <w:p w:rsidR="00966B3E" w:rsidRDefault="0089241E" w:rsidP="00A65897">
      <w:pPr>
        <w:pStyle w:val="ListParagraph"/>
        <w:numPr>
          <w:ilvl w:val="0"/>
          <w:numId w:val="6"/>
        </w:numPr>
      </w:pPr>
      <w:r>
        <w:lastRenderedPageBreak/>
        <w:t xml:space="preserve">Produce </w:t>
      </w:r>
      <w:r w:rsidR="00A73882">
        <w:t>Health Disparities Report</w:t>
      </w:r>
      <w:r>
        <w:t xml:space="preserve"> (</w:t>
      </w:r>
      <w:r w:rsidR="00654734" w:rsidRPr="004A7F49">
        <w:t xml:space="preserve">6 </w:t>
      </w:r>
      <w:r w:rsidRPr="004A7F49">
        <w:t xml:space="preserve">months). </w:t>
      </w:r>
      <w:r w:rsidR="00567968" w:rsidRPr="004A7F49">
        <w:t xml:space="preserve">A limited number of hard copies will be published </w:t>
      </w:r>
      <w:r w:rsidR="00DA563D" w:rsidRPr="004A7F49">
        <w:t>and</w:t>
      </w:r>
      <w:r w:rsidR="00567968" w:rsidRPr="004A7F49">
        <w:t xml:space="preserve"> the report will also be posted on the </w:t>
      </w:r>
      <w:proofErr w:type="spellStart"/>
      <w:r w:rsidR="00567968" w:rsidRPr="004A7F49">
        <w:t>OMH</w:t>
      </w:r>
      <w:proofErr w:type="spellEnd"/>
      <w:r w:rsidR="00567968" w:rsidRPr="004A7F49">
        <w:t xml:space="preserve"> Web site.</w:t>
      </w:r>
    </w:p>
    <w:p w:rsidR="009F45A1" w:rsidRDefault="009F45A1" w:rsidP="009F45A1"/>
    <w:p w:rsidR="009F45A1" w:rsidRDefault="008665BD" w:rsidP="009F45A1">
      <w:r>
        <w:t xml:space="preserve">Quantitative data elements from the </w:t>
      </w:r>
      <w:proofErr w:type="spellStart"/>
      <w:r w:rsidR="0082393A">
        <w:t>STHD</w:t>
      </w:r>
      <w:proofErr w:type="spellEnd"/>
      <w:r w:rsidR="0082393A">
        <w:t xml:space="preserve"> Survey</w:t>
      </w:r>
      <w:r>
        <w:t xml:space="preserve"> will be input into a database that can be analyzed with standard statistical software to produce descriptive statistics (e.g., mean, median, distribution). Qualitative, narrative data from the </w:t>
      </w:r>
      <w:proofErr w:type="spellStart"/>
      <w:r>
        <w:t>SMHE</w:t>
      </w:r>
      <w:proofErr w:type="spellEnd"/>
      <w:r>
        <w:t xml:space="preserve"> interviews will be </w:t>
      </w:r>
      <w:r w:rsidR="006F04C7">
        <w:t>analyzed for major themes at the national level and reported individually at the state level</w:t>
      </w:r>
      <w:r>
        <w:t xml:space="preserve">. </w:t>
      </w:r>
      <w:r w:rsidR="00156056">
        <w:t>These</w:t>
      </w:r>
      <w:r w:rsidR="001B640C">
        <w:t xml:space="preserve"> data will then be</w:t>
      </w:r>
      <w:r>
        <w:t xml:space="preserve"> </w:t>
      </w:r>
      <w:r w:rsidR="00156056">
        <w:t xml:space="preserve">used to produce </w:t>
      </w:r>
      <w:r>
        <w:t>a Health Disparities Report</w:t>
      </w:r>
      <w:r w:rsidR="001B640C">
        <w:t xml:space="preserve"> </w:t>
      </w:r>
      <w:r w:rsidR="001B640C" w:rsidRPr="001B640C">
        <w:t>presenting survey findings and health disparities metrics</w:t>
      </w:r>
      <w:r>
        <w:t>.</w:t>
      </w:r>
      <w:r w:rsidR="001B640C">
        <w:t xml:space="preserve"> </w:t>
      </w:r>
    </w:p>
    <w:p w:rsidR="009B633D" w:rsidRPr="00424E6E" w:rsidRDefault="009B633D" w:rsidP="002B43BC">
      <w:pPr>
        <w:pStyle w:val="Heading2"/>
        <w:spacing w:after="0"/>
        <w:rPr>
          <w:sz w:val="24"/>
        </w:rPr>
      </w:pPr>
      <w:bookmarkStart w:id="58" w:name="_Toc151782196"/>
      <w:bookmarkStart w:id="59" w:name="_Toc158526232"/>
      <w:bookmarkStart w:id="60" w:name="_Toc410053839"/>
      <w:bookmarkEnd w:id="57"/>
      <w:r w:rsidRPr="00424E6E">
        <w:rPr>
          <w:sz w:val="24"/>
        </w:rPr>
        <w:t>17. Exemption for Display of Expiration Date</w:t>
      </w:r>
      <w:bookmarkEnd w:id="58"/>
      <w:bookmarkEnd w:id="59"/>
      <w:bookmarkEnd w:id="60"/>
    </w:p>
    <w:p w:rsidR="009B633D" w:rsidRDefault="004A2A3D" w:rsidP="009B633D">
      <w:proofErr w:type="spellStart"/>
      <w:r w:rsidRPr="00136069">
        <w:t>OMH</w:t>
      </w:r>
      <w:proofErr w:type="spellEnd"/>
      <w:r w:rsidR="009B633D" w:rsidRPr="00136069">
        <w:t xml:space="preserve"> does not seek this exemption.</w:t>
      </w:r>
    </w:p>
    <w:p w:rsidR="008007A8" w:rsidRDefault="008007A8">
      <w:pPr>
        <w:rPr>
          <w:rFonts w:ascii="Arial" w:hAnsi="Arial" w:cs="Arial"/>
          <w:b/>
        </w:rPr>
      </w:pPr>
    </w:p>
    <w:p w:rsidR="008C4DE8" w:rsidRDefault="008C4DE8">
      <w:pPr>
        <w:rPr>
          <w:rFonts w:ascii="Arial" w:hAnsi="Arial" w:cs="Arial"/>
          <w:b/>
        </w:rPr>
      </w:pPr>
    </w:p>
    <w:p w:rsidR="00F24C7F" w:rsidRDefault="00581639" w:rsidP="00F24C7F">
      <w:pPr>
        <w:pStyle w:val="NormalWeb"/>
        <w:spacing w:before="0" w:beforeAutospacing="0" w:after="0" w:afterAutospacing="0"/>
        <w:outlineLvl w:val="1"/>
        <w:rPr>
          <w:rFonts w:ascii="Arial" w:hAnsi="Arial" w:cs="Arial"/>
          <w:b/>
        </w:rPr>
      </w:pPr>
      <w:bookmarkStart w:id="61" w:name="_Toc410053840"/>
      <w:r>
        <w:rPr>
          <w:rFonts w:ascii="Arial" w:hAnsi="Arial" w:cs="Arial"/>
          <w:b/>
        </w:rPr>
        <w:t xml:space="preserve">List of </w:t>
      </w:r>
      <w:r w:rsidR="00016560" w:rsidRPr="00016560">
        <w:rPr>
          <w:rFonts w:ascii="Arial" w:hAnsi="Arial" w:cs="Arial"/>
          <w:b/>
        </w:rPr>
        <w:t>Attachments:</w:t>
      </w:r>
      <w:bookmarkStart w:id="62" w:name="_Toc286400852"/>
      <w:bookmarkEnd w:id="61"/>
    </w:p>
    <w:p w:rsidR="00F24C7F" w:rsidRDefault="00F24C7F" w:rsidP="00F24C7F">
      <w:pPr>
        <w:pStyle w:val="NormalWeb"/>
        <w:spacing w:before="0" w:beforeAutospacing="0" w:after="0" w:afterAutospacing="0"/>
        <w:outlineLvl w:val="1"/>
        <w:rPr>
          <w:rFonts w:ascii="Arial" w:hAnsi="Arial" w:cs="Arial"/>
          <w:b/>
        </w:rPr>
      </w:pPr>
    </w:p>
    <w:p w:rsidR="00F24C7F" w:rsidRDefault="000826CA" w:rsidP="00F24C7F">
      <w:pPr>
        <w:pStyle w:val="NormalWeb"/>
        <w:spacing w:before="0" w:beforeAutospacing="0" w:after="0" w:afterAutospacing="0"/>
        <w:outlineLvl w:val="1"/>
      </w:pPr>
      <w:bookmarkStart w:id="63" w:name="_Toc410053841"/>
      <w:r w:rsidRPr="008007A8">
        <w:t>Attachment</w:t>
      </w:r>
      <w:r>
        <w:t xml:space="preserve"> </w:t>
      </w:r>
      <w:r w:rsidR="00366A34">
        <w:t>A</w:t>
      </w:r>
      <w:r w:rsidRPr="008007A8">
        <w:t>:</w:t>
      </w:r>
      <w:r w:rsidR="00F24C7F">
        <w:tab/>
      </w:r>
      <w:r w:rsidR="00260430">
        <w:tab/>
        <w:t>Office of Minority Health State and Territorial Survey</w:t>
      </w:r>
      <w:bookmarkEnd w:id="63"/>
      <w:r w:rsidR="00065221">
        <w:t xml:space="preserve"> Interview Protocol</w:t>
      </w:r>
    </w:p>
    <w:p w:rsidR="00F24C7F" w:rsidRDefault="000826CA" w:rsidP="00F24C7F">
      <w:pPr>
        <w:pStyle w:val="NormalWeb"/>
        <w:spacing w:before="0" w:beforeAutospacing="0" w:after="0" w:afterAutospacing="0"/>
        <w:outlineLvl w:val="1"/>
      </w:pPr>
      <w:bookmarkStart w:id="64" w:name="_Toc410053842"/>
      <w:r w:rsidRPr="008007A8">
        <w:t>Attachment</w:t>
      </w:r>
      <w:r>
        <w:t xml:space="preserve"> </w:t>
      </w:r>
      <w:r w:rsidR="00366A34">
        <w:t>B</w:t>
      </w:r>
      <w:r w:rsidRPr="008007A8">
        <w:t>:</w:t>
      </w:r>
      <w:r>
        <w:tab/>
      </w:r>
      <w:r w:rsidR="00F24C7F">
        <w:tab/>
      </w:r>
      <w:r w:rsidR="005126CB">
        <w:t>List of interview topics</w:t>
      </w:r>
      <w:bookmarkEnd w:id="64"/>
      <w:r w:rsidR="00065221">
        <w:t xml:space="preserve"> and Data Collection Tables</w:t>
      </w:r>
    </w:p>
    <w:p w:rsidR="00C45154" w:rsidRDefault="007234CC" w:rsidP="00F24C7F">
      <w:pPr>
        <w:pStyle w:val="NormalWeb"/>
        <w:spacing w:before="0" w:beforeAutospacing="0" w:after="0" w:afterAutospacing="0"/>
        <w:outlineLvl w:val="1"/>
      </w:pPr>
      <w:bookmarkStart w:id="65" w:name="_Toc410053843"/>
      <w:r>
        <w:t>Attachment C:</w:t>
      </w:r>
      <w:r>
        <w:tab/>
      </w:r>
      <w:r w:rsidR="00F24C7F">
        <w:tab/>
      </w:r>
      <w:proofErr w:type="spellStart"/>
      <w:r>
        <w:t>TEP</w:t>
      </w:r>
      <w:proofErr w:type="spellEnd"/>
      <w:r>
        <w:t xml:space="preserve"> M</w:t>
      </w:r>
      <w:r w:rsidR="00CA0783">
        <w:t>e</w:t>
      </w:r>
      <w:r>
        <w:t>mbers</w:t>
      </w:r>
      <w:bookmarkEnd w:id="62"/>
      <w:bookmarkEnd w:id="65"/>
    </w:p>
    <w:p w:rsidR="005B5016" w:rsidRPr="008007A8" w:rsidRDefault="00C1013F" w:rsidP="00C1013F">
      <w:pPr>
        <w:pStyle w:val="NormalWeb"/>
        <w:spacing w:before="0" w:beforeAutospacing="0" w:after="0" w:afterAutospacing="0"/>
        <w:ind w:left="2160" w:right="720" w:hanging="2160"/>
        <w:outlineLvl w:val="1"/>
      </w:pPr>
      <w:bookmarkStart w:id="66" w:name="_Toc410053844"/>
      <w:r>
        <w:t>Attachment D:</w:t>
      </w:r>
      <w:r>
        <w:tab/>
      </w:r>
      <w:r w:rsidR="005B5016">
        <w:t>Introductory letter</w:t>
      </w:r>
      <w:r w:rsidR="00065221">
        <w:t>s</w:t>
      </w:r>
      <w:r w:rsidR="005B5016">
        <w:t xml:space="preserve"> from </w:t>
      </w:r>
      <w:r w:rsidR="005B5016" w:rsidRPr="005B5016">
        <w:t>Deputy Assistant Secretary for</w:t>
      </w:r>
      <w:r w:rsidR="005B5016">
        <w:t xml:space="preserve"> Minority Health</w:t>
      </w:r>
      <w:bookmarkEnd w:id="66"/>
    </w:p>
    <w:sectPr w:rsidR="005B5016" w:rsidRPr="008007A8" w:rsidSect="001301B3">
      <w:headerReference w:type="even" r:id="rId16"/>
      <w:headerReference w:type="default" r:id="rId17"/>
      <w:footerReference w:type="default" r:id="rId18"/>
      <w:headerReference w:type="first" r:id="rId19"/>
      <w:footerReference w:type="first" r:id="rId20"/>
      <w:endnotePr>
        <w:numFmt w:val="decimal"/>
      </w:endnotePr>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D5" w:rsidRDefault="00A669D5">
      <w:r>
        <w:separator/>
      </w:r>
    </w:p>
  </w:endnote>
  <w:endnote w:type="continuationSeparator" w:id="0">
    <w:p w:rsidR="00A669D5" w:rsidRDefault="00A6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E7" w:rsidRDefault="007A66E7"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66E7" w:rsidRDefault="007A66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E7" w:rsidRDefault="007A66E7">
    <w:pPr>
      <w:pStyle w:val="Footer"/>
    </w:pPr>
    <w:r>
      <w:t xml:space="preserve">DRAFT </w:t>
    </w:r>
    <w:r w:rsidR="005D3C69">
      <w:t>1</w:t>
    </w:r>
    <w:r>
      <w:t>-</w:t>
    </w:r>
    <w:r w:rsidR="00C231CC">
      <w:t>20</w:t>
    </w:r>
    <w:r>
      <w:t>-201</w:t>
    </w:r>
    <w:r w:rsidR="00377E24">
      <w:t>5</w:t>
    </w:r>
  </w:p>
  <w:p w:rsidR="007A66E7" w:rsidRDefault="007A66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E7" w:rsidRDefault="007A66E7" w:rsidP="0064518F">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276" w:rsidRDefault="00C65276" w:rsidP="00D727E5">
    <w:pPr>
      <w:pStyle w:val="Footer"/>
    </w:pPr>
  </w:p>
  <w:p w:rsidR="00D727E5" w:rsidRDefault="00B547C5" w:rsidP="00D727E5">
    <w:pPr>
      <w:pStyle w:val="Footer"/>
      <w:jc w:val="center"/>
    </w:pPr>
    <w:sdt>
      <w:sdtPr>
        <w:id w:val="996690263"/>
        <w:docPartObj>
          <w:docPartGallery w:val="Page Numbers (Bottom of Page)"/>
          <w:docPartUnique/>
        </w:docPartObj>
      </w:sdtPr>
      <w:sdtEndPr>
        <w:rPr>
          <w:noProof/>
        </w:rPr>
      </w:sdtEndPr>
      <w:sdtContent>
        <w:r w:rsidR="00D727E5">
          <w:fldChar w:fldCharType="begin"/>
        </w:r>
        <w:r w:rsidR="00D727E5">
          <w:instrText xml:space="preserve"> PAGE   \* MERGEFORMAT </w:instrText>
        </w:r>
        <w:r w:rsidR="00D727E5">
          <w:fldChar w:fldCharType="separate"/>
        </w:r>
        <w:r>
          <w:rPr>
            <w:noProof/>
          </w:rPr>
          <w:t>8</w:t>
        </w:r>
        <w:r w:rsidR="00D727E5">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7E5" w:rsidRDefault="00B547C5" w:rsidP="00E12CAA">
    <w:pPr>
      <w:pStyle w:val="Footer"/>
    </w:pPr>
    <w:sdt>
      <w:sdtPr>
        <w:id w:val="1986654379"/>
        <w:docPartObj>
          <w:docPartGallery w:val="Page Numbers (Bottom of Page)"/>
          <w:docPartUnique/>
        </w:docPartObj>
      </w:sdtPr>
      <w:sdtEndPr>
        <w:rPr>
          <w:noProof/>
        </w:rPr>
      </w:sdtEndPr>
      <w:sdtContent>
        <w:r w:rsidR="00D727E5">
          <w:fldChar w:fldCharType="begin"/>
        </w:r>
        <w:r w:rsidR="00D727E5">
          <w:instrText xml:space="preserve"> PAGE   \* MERGEFORMAT </w:instrText>
        </w:r>
        <w:r w:rsidR="00D727E5">
          <w:fldChar w:fldCharType="separate"/>
        </w:r>
        <w:r>
          <w:rPr>
            <w:noProof/>
          </w:rPr>
          <w:t>2</w:t>
        </w:r>
        <w:r w:rsidR="00D727E5">
          <w:rPr>
            <w:noProof/>
          </w:rPr>
          <w:fldChar w:fldCharType="end"/>
        </w:r>
      </w:sdtContent>
    </w:sdt>
  </w:p>
  <w:p w:rsidR="007A66E7" w:rsidRPr="008C4DE8" w:rsidRDefault="007A66E7" w:rsidP="008C4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D5" w:rsidRDefault="00A669D5">
      <w:r>
        <w:separator/>
      </w:r>
    </w:p>
  </w:footnote>
  <w:footnote w:type="continuationSeparator" w:id="0">
    <w:p w:rsidR="00A669D5" w:rsidRDefault="00A66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E7" w:rsidRDefault="007A66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E7" w:rsidRDefault="007A66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6E7" w:rsidRDefault="007A66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B0ABF"/>
    <w:multiLevelType w:val="hybridMultilevel"/>
    <w:tmpl w:val="0AA01D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350D08"/>
    <w:multiLevelType w:val="hybridMultilevel"/>
    <w:tmpl w:val="4A725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9C0963"/>
    <w:multiLevelType w:val="hybridMultilevel"/>
    <w:tmpl w:val="98BE3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1275A"/>
    <w:multiLevelType w:val="hybridMultilevel"/>
    <w:tmpl w:val="DEC4B106"/>
    <w:lvl w:ilvl="0" w:tplc="7A069F5A">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F940CA"/>
    <w:multiLevelType w:val="hybridMultilevel"/>
    <w:tmpl w:val="A7B2FB0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6">
    <w:nsid w:val="65996237"/>
    <w:multiLevelType w:val="hybridMultilevel"/>
    <w:tmpl w:val="6316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8">
    <w:nsid w:val="7F995552"/>
    <w:multiLevelType w:val="hybridMultilevel"/>
    <w:tmpl w:val="B7BC2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6"/>
  </w:num>
  <w:num w:numId="5">
    <w:abstractNumId w:val="4"/>
  </w:num>
  <w:num w:numId="6">
    <w:abstractNumId w:val="2"/>
  </w:num>
  <w:num w:numId="7">
    <w:abstractNumId w:val="1"/>
  </w:num>
  <w:num w:numId="8">
    <w:abstractNumId w:val="8"/>
  </w:num>
  <w:num w:numId="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242C"/>
    <w:rsid w:val="00003962"/>
    <w:rsid w:val="00003E3E"/>
    <w:rsid w:val="00005255"/>
    <w:rsid w:val="000057FF"/>
    <w:rsid w:val="000065E7"/>
    <w:rsid w:val="00010294"/>
    <w:rsid w:val="0001156F"/>
    <w:rsid w:val="0001186B"/>
    <w:rsid w:val="00011E85"/>
    <w:rsid w:val="00012FB9"/>
    <w:rsid w:val="00013049"/>
    <w:rsid w:val="00014522"/>
    <w:rsid w:val="00015647"/>
    <w:rsid w:val="00015679"/>
    <w:rsid w:val="00016560"/>
    <w:rsid w:val="000203D0"/>
    <w:rsid w:val="00022483"/>
    <w:rsid w:val="0002294E"/>
    <w:rsid w:val="00023E65"/>
    <w:rsid w:val="00024B88"/>
    <w:rsid w:val="00024FEE"/>
    <w:rsid w:val="00025017"/>
    <w:rsid w:val="0002634A"/>
    <w:rsid w:val="00026E55"/>
    <w:rsid w:val="0003097A"/>
    <w:rsid w:val="00037998"/>
    <w:rsid w:val="00040F88"/>
    <w:rsid w:val="000419CF"/>
    <w:rsid w:val="00041D30"/>
    <w:rsid w:val="00042883"/>
    <w:rsid w:val="00043473"/>
    <w:rsid w:val="00043FE5"/>
    <w:rsid w:val="00045959"/>
    <w:rsid w:val="00045AE5"/>
    <w:rsid w:val="000462B0"/>
    <w:rsid w:val="00046359"/>
    <w:rsid w:val="00054906"/>
    <w:rsid w:val="0005540A"/>
    <w:rsid w:val="00056604"/>
    <w:rsid w:val="0006207D"/>
    <w:rsid w:val="0006451C"/>
    <w:rsid w:val="00065221"/>
    <w:rsid w:val="00073D6F"/>
    <w:rsid w:val="000746C6"/>
    <w:rsid w:val="000748CA"/>
    <w:rsid w:val="000756AE"/>
    <w:rsid w:val="000779A9"/>
    <w:rsid w:val="00080BD8"/>
    <w:rsid w:val="00080D3F"/>
    <w:rsid w:val="00082047"/>
    <w:rsid w:val="00082699"/>
    <w:rsid w:val="000826CA"/>
    <w:rsid w:val="0008300F"/>
    <w:rsid w:val="000837BF"/>
    <w:rsid w:val="00085450"/>
    <w:rsid w:val="000857DA"/>
    <w:rsid w:val="00086471"/>
    <w:rsid w:val="00094242"/>
    <w:rsid w:val="00094648"/>
    <w:rsid w:val="00095659"/>
    <w:rsid w:val="00097B17"/>
    <w:rsid w:val="000A00D9"/>
    <w:rsid w:val="000A1090"/>
    <w:rsid w:val="000A140E"/>
    <w:rsid w:val="000A1CC7"/>
    <w:rsid w:val="000A3475"/>
    <w:rsid w:val="000B1C6A"/>
    <w:rsid w:val="000B22DE"/>
    <w:rsid w:val="000B2A89"/>
    <w:rsid w:val="000B5F58"/>
    <w:rsid w:val="000B78CB"/>
    <w:rsid w:val="000C01BB"/>
    <w:rsid w:val="000C0577"/>
    <w:rsid w:val="000C12EE"/>
    <w:rsid w:val="000C35DC"/>
    <w:rsid w:val="000C5499"/>
    <w:rsid w:val="000C6712"/>
    <w:rsid w:val="000C7850"/>
    <w:rsid w:val="000D04D7"/>
    <w:rsid w:val="000D429E"/>
    <w:rsid w:val="000D4B46"/>
    <w:rsid w:val="000D7935"/>
    <w:rsid w:val="000E01D1"/>
    <w:rsid w:val="000E1455"/>
    <w:rsid w:val="000E7BA3"/>
    <w:rsid w:val="000F1328"/>
    <w:rsid w:val="000F27E5"/>
    <w:rsid w:val="000F2A5F"/>
    <w:rsid w:val="000F2B59"/>
    <w:rsid w:val="000F5001"/>
    <w:rsid w:val="000F52C2"/>
    <w:rsid w:val="000F75B8"/>
    <w:rsid w:val="000F7A00"/>
    <w:rsid w:val="0010259B"/>
    <w:rsid w:val="00103051"/>
    <w:rsid w:val="00104094"/>
    <w:rsid w:val="0010436B"/>
    <w:rsid w:val="00104853"/>
    <w:rsid w:val="00106185"/>
    <w:rsid w:val="00107C1D"/>
    <w:rsid w:val="00110748"/>
    <w:rsid w:val="00110789"/>
    <w:rsid w:val="00112553"/>
    <w:rsid w:val="00112DF2"/>
    <w:rsid w:val="00114768"/>
    <w:rsid w:val="00122F9C"/>
    <w:rsid w:val="0012485D"/>
    <w:rsid w:val="00124917"/>
    <w:rsid w:val="001266D9"/>
    <w:rsid w:val="00126C26"/>
    <w:rsid w:val="00127114"/>
    <w:rsid w:val="00127341"/>
    <w:rsid w:val="001301B3"/>
    <w:rsid w:val="00131443"/>
    <w:rsid w:val="00133AA9"/>
    <w:rsid w:val="00135845"/>
    <w:rsid w:val="00136069"/>
    <w:rsid w:val="00146292"/>
    <w:rsid w:val="00146DEA"/>
    <w:rsid w:val="0015274F"/>
    <w:rsid w:val="00153687"/>
    <w:rsid w:val="00154AA8"/>
    <w:rsid w:val="00155DA1"/>
    <w:rsid w:val="00156056"/>
    <w:rsid w:val="001562A9"/>
    <w:rsid w:val="0016087F"/>
    <w:rsid w:val="001629AC"/>
    <w:rsid w:val="001638B6"/>
    <w:rsid w:val="00164627"/>
    <w:rsid w:val="001648D2"/>
    <w:rsid w:val="00166A69"/>
    <w:rsid w:val="0016737A"/>
    <w:rsid w:val="00167AFC"/>
    <w:rsid w:val="00170673"/>
    <w:rsid w:val="00174751"/>
    <w:rsid w:val="0017598A"/>
    <w:rsid w:val="001763E2"/>
    <w:rsid w:val="0018019C"/>
    <w:rsid w:val="00180F79"/>
    <w:rsid w:val="0018160C"/>
    <w:rsid w:val="00186F6B"/>
    <w:rsid w:val="00187A50"/>
    <w:rsid w:val="00190A45"/>
    <w:rsid w:val="00194AB1"/>
    <w:rsid w:val="00194B77"/>
    <w:rsid w:val="001960BB"/>
    <w:rsid w:val="001977D4"/>
    <w:rsid w:val="00197BAE"/>
    <w:rsid w:val="001A0EAC"/>
    <w:rsid w:val="001A1376"/>
    <w:rsid w:val="001A28C0"/>
    <w:rsid w:val="001A33EA"/>
    <w:rsid w:val="001A3432"/>
    <w:rsid w:val="001A5996"/>
    <w:rsid w:val="001B1C61"/>
    <w:rsid w:val="001B1EBE"/>
    <w:rsid w:val="001B2CCD"/>
    <w:rsid w:val="001B5C4F"/>
    <w:rsid w:val="001B5EAC"/>
    <w:rsid w:val="001B640C"/>
    <w:rsid w:val="001B672E"/>
    <w:rsid w:val="001C0A4A"/>
    <w:rsid w:val="001C3E42"/>
    <w:rsid w:val="001C46D3"/>
    <w:rsid w:val="001C59E4"/>
    <w:rsid w:val="001C65C8"/>
    <w:rsid w:val="001D1F0C"/>
    <w:rsid w:val="001D21CB"/>
    <w:rsid w:val="001D3EDF"/>
    <w:rsid w:val="001D493B"/>
    <w:rsid w:val="001D64A4"/>
    <w:rsid w:val="001D6B6C"/>
    <w:rsid w:val="001D73D8"/>
    <w:rsid w:val="001E4D98"/>
    <w:rsid w:val="001F0F72"/>
    <w:rsid w:val="001F18BC"/>
    <w:rsid w:val="001F29F7"/>
    <w:rsid w:val="001F2AA4"/>
    <w:rsid w:val="001F4C3B"/>
    <w:rsid w:val="001F523E"/>
    <w:rsid w:val="001F528A"/>
    <w:rsid w:val="00200A31"/>
    <w:rsid w:val="00200CD0"/>
    <w:rsid w:val="00202836"/>
    <w:rsid w:val="0020385B"/>
    <w:rsid w:val="00204952"/>
    <w:rsid w:val="00205181"/>
    <w:rsid w:val="0020635E"/>
    <w:rsid w:val="00206B08"/>
    <w:rsid w:val="0021115D"/>
    <w:rsid w:val="00211170"/>
    <w:rsid w:val="002204B9"/>
    <w:rsid w:val="002205F3"/>
    <w:rsid w:val="00220E56"/>
    <w:rsid w:val="0022366A"/>
    <w:rsid w:val="002252D9"/>
    <w:rsid w:val="0022547C"/>
    <w:rsid w:val="00225765"/>
    <w:rsid w:val="00227434"/>
    <w:rsid w:val="00233554"/>
    <w:rsid w:val="002405C0"/>
    <w:rsid w:val="00240FEA"/>
    <w:rsid w:val="00244921"/>
    <w:rsid w:val="0024642A"/>
    <w:rsid w:val="00247333"/>
    <w:rsid w:val="00250847"/>
    <w:rsid w:val="00253844"/>
    <w:rsid w:val="00255877"/>
    <w:rsid w:val="00256991"/>
    <w:rsid w:val="00257616"/>
    <w:rsid w:val="00260430"/>
    <w:rsid w:val="002613DB"/>
    <w:rsid w:val="002614A7"/>
    <w:rsid w:val="002618DD"/>
    <w:rsid w:val="00263DC7"/>
    <w:rsid w:val="0026424E"/>
    <w:rsid w:val="0026479B"/>
    <w:rsid w:val="00265DE1"/>
    <w:rsid w:val="002670A7"/>
    <w:rsid w:val="00267613"/>
    <w:rsid w:val="00270F07"/>
    <w:rsid w:val="00271AD8"/>
    <w:rsid w:val="00272E29"/>
    <w:rsid w:val="0027337A"/>
    <w:rsid w:val="00273C77"/>
    <w:rsid w:val="00277424"/>
    <w:rsid w:val="00277969"/>
    <w:rsid w:val="00277F1A"/>
    <w:rsid w:val="00280923"/>
    <w:rsid w:val="00283766"/>
    <w:rsid w:val="00284784"/>
    <w:rsid w:val="00285FFB"/>
    <w:rsid w:val="00291B73"/>
    <w:rsid w:val="00291E75"/>
    <w:rsid w:val="00295F47"/>
    <w:rsid w:val="00296C20"/>
    <w:rsid w:val="0029734C"/>
    <w:rsid w:val="002A1250"/>
    <w:rsid w:val="002A1BB4"/>
    <w:rsid w:val="002A3C9C"/>
    <w:rsid w:val="002B1B1D"/>
    <w:rsid w:val="002B382B"/>
    <w:rsid w:val="002B43BC"/>
    <w:rsid w:val="002B5382"/>
    <w:rsid w:val="002B584D"/>
    <w:rsid w:val="002C0F56"/>
    <w:rsid w:val="002C12B3"/>
    <w:rsid w:val="002C2A53"/>
    <w:rsid w:val="002C47FA"/>
    <w:rsid w:val="002C4CF9"/>
    <w:rsid w:val="002C508F"/>
    <w:rsid w:val="002C7821"/>
    <w:rsid w:val="002D1EC8"/>
    <w:rsid w:val="002D207A"/>
    <w:rsid w:val="002D5C17"/>
    <w:rsid w:val="002D7F01"/>
    <w:rsid w:val="002D7F75"/>
    <w:rsid w:val="002E2419"/>
    <w:rsid w:val="002E54EF"/>
    <w:rsid w:val="002E556E"/>
    <w:rsid w:val="002F0538"/>
    <w:rsid w:val="002F385C"/>
    <w:rsid w:val="002F4DE8"/>
    <w:rsid w:val="00300303"/>
    <w:rsid w:val="0030098D"/>
    <w:rsid w:val="003023F9"/>
    <w:rsid w:val="00304E56"/>
    <w:rsid w:val="00310D96"/>
    <w:rsid w:val="00316A7C"/>
    <w:rsid w:val="00322058"/>
    <w:rsid w:val="003224B1"/>
    <w:rsid w:val="003259A0"/>
    <w:rsid w:val="00325B9C"/>
    <w:rsid w:val="00326A6C"/>
    <w:rsid w:val="0032749F"/>
    <w:rsid w:val="003308B8"/>
    <w:rsid w:val="00330E52"/>
    <w:rsid w:val="00331662"/>
    <w:rsid w:val="003360EB"/>
    <w:rsid w:val="00336D99"/>
    <w:rsid w:val="00340D97"/>
    <w:rsid w:val="00341365"/>
    <w:rsid w:val="00343098"/>
    <w:rsid w:val="00343EA3"/>
    <w:rsid w:val="00344684"/>
    <w:rsid w:val="00344CB4"/>
    <w:rsid w:val="00347329"/>
    <w:rsid w:val="003504B0"/>
    <w:rsid w:val="00351E92"/>
    <w:rsid w:val="003530DD"/>
    <w:rsid w:val="00356167"/>
    <w:rsid w:val="00356CDF"/>
    <w:rsid w:val="00361D2C"/>
    <w:rsid w:val="00361F52"/>
    <w:rsid w:val="00366A34"/>
    <w:rsid w:val="00367D6C"/>
    <w:rsid w:val="00371E70"/>
    <w:rsid w:val="0037218F"/>
    <w:rsid w:val="00372E4F"/>
    <w:rsid w:val="0037427A"/>
    <w:rsid w:val="00375659"/>
    <w:rsid w:val="00376917"/>
    <w:rsid w:val="00376EA0"/>
    <w:rsid w:val="00377301"/>
    <w:rsid w:val="0037771B"/>
    <w:rsid w:val="00377E24"/>
    <w:rsid w:val="00377E43"/>
    <w:rsid w:val="003807A8"/>
    <w:rsid w:val="003813A1"/>
    <w:rsid w:val="0038217D"/>
    <w:rsid w:val="003859F1"/>
    <w:rsid w:val="00386201"/>
    <w:rsid w:val="0038632A"/>
    <w:rsid w:val="00387B84"/>
    <w:rsid w:val="00387D79"/>
    <w:rsid w:val="003925C9"/>
    <w:rsid w:val="00392DE5"/>
    <w:rsid w:val="003948AA"/>
    <w:rsid w:val="0039557B"/>
    <w:rsid w:val="00396D14"/>
    <w:rsid w:val="00397925"/>
    <w:rsid w:val="003A1D22"/>
    <w:rsid w:val="003B32AD"/>
    <w:rsid w:val="003B45C1"/>
    <w:rsid w:val="003B4B9A"/>
    <w:rsid w:val="003B5859"/>
    <w:rsid w:val="003B6AC1"/>
    <w:rsid w:val="003B6B41"/>
    <w:rsid w:val="003B7722"/>
    <w:rsid w:val="003C2908"/>
    <w:rsid w:val="003C5C0A"/>
    <w:rsid w:val="003C60BD"/>
    <w:rsid w:val="003C65E2"/>
    <w:rsid w:val="003C7AD7"/>
    <w:rsid w:val="003D21A7"/>
    <w:rsid w:val="003D2EDF"/>
    <w:rsid w:val="003D3C35"/>
    <w:rsid w:val="003D73D8"/>
    <w:rsid w:val="003E0284"/>
    <w:rsid w:val="003E0CAF"/>
    <w:rsid w:val="003E0D65"/>
    <w:rsid w:val="003E47A4"/>
    <w:rsid w:val="003E4D79"/>
    <w:rsid w:val="003E5839"/>
    <w:rsid w:val="003E5BFE"/>
    <w:rsid w:val="003E7F85"/>
    <w:rsid w:val="003F0322"/>
    <w:rsid w:val="003F0E4D"/>
    <w:rsid w:val="003F5921"/>
    <w:rsid w:val="003F729B"/>
    <w:rsid w:val="003F73D3"/>
    <w:rsid w:val="003F77F1"/>
    <w:rsid w:val="0040020E"/>
    <w:rsid w:val="00400F46"/>
    <w:rsid w:val="00401AF5"/>
    <w:rsid w:val="00401EAD"/>
    <w:rsid w:val="00402FEE"/>
    <w:rsid w:val="0041093D"/>
    <w:rsid w:val="0041125F"/>
    <w:rsid w:val="00414C80"/>
    <w:rsid w:val="004155E1"/>
    <w:rsid w:val="00415B27"/>
    <w:rsid w:val="00420FEF"/>
    <w:rsid w:val="0042344B"/>
    <w:rsid w:val="00424F8C"/>
    <w:rsid w:val="00425974"/>
    <w:rsid w:val="0042623A"/>
    <w:rsid w:val="004300C1"/>
    <w:rsid w:val="00430BC8"/>
    <w:rsid w:val="0043596B"/>
    <w:rsid w:val="00440077"/>
    <w:rsid w:val="00440BC8"/>
    <w:rsid w:val="00441C05"/>
    <w:rsid w:val="0044281C"/>
    <w:rsid w:val="00443022"/>
    <w:rsid w:val="00444DB8"/>
    <w:rsid w:val="004454C1"/>
    <w:rsid w:val="00446ED7"/>
    <w:rsid w:val="0044769A"/>
    <w:rsid w:val="004501E7"/>
    <w:rsid w:val="00450538"/>
    <w:rsid w:val="00452268"/>
    <w:rsid w:val="0045326D"/>
    <w:rsid w:val="00456179"/>
    <w:rsid w:val="00456AEF"/>
    <w:rsid w:val="0046080F"/>
    <w:rsid w:val="0046096C"/>
    <w:rsid w:val="0046321F"/>
    <w:rsid w:val="004635F1"/>
    <w:rsid w:val="0046576E"/>
    <w:rsid w:val="004660F2"/>
    <w:rsid w:val="00467163"/>
    <w:rsid w:val="00467EEF"/>
    <w:rsid w:val="0047504D"/>
    <w:rsid w:val="004750C1"/>
    <w:rsid w:val="00476CFC"/>
    <w:rsid w:val="004811AD"/>
    <w:rsid w:val="00483611"/>
    <w:rsid w:val="0048384E"/>
    <w:rsid w:val="00483D33"/>
    <w:rsid w:val="00484D1B"/>
    <w:rsid w:val="00484F7D"/>
    <w:rsid w:val="00490185"/>
    <w:rsid w:val="00490A3A"/>
    <w:rsid w:val="00492A65"/>
    <w:rsid w:val="0049331F"/>
    <w:rsid w:val="004935A2"/>
    <w:rsid w:val="004939C0"/>
    <w:rsid w:val="0049421F"/>
    <w:rsid w:val="00495895"/>
    <w:rsid w:val="00496FFA"/>
    <w:rsid w:val="004A075B"/>
    <w:rsid w:val="004A26A1"/>
    <w:rsid w:val="004A2A3D"/>
    <w:rsid w:val="004A4629"/>
    <w:rsid w:val="004A4DF3"/>
    <w:rsid w:val="004A624D"/>
    <w:rsid w:val="004A7F49"/>
    <w:rsid w:val="004B0745"/>
    <w:rsid w:val="004B41E5"/>
    <w:rsid w:val="004B73B0"/>
    <w:rsid w:val="004C1938"/>
    <w:rsid w:val="004C1C79"/>
    <w:rsid w:val="004C3BA7"/>
    <w:rsid w:val="004C4A74"/>
    <w:rsid w:val="004C4D65"/>
    <w:rsid w:val="004C4E59"/>
    <w:rsid w:val="004C5D83"/>
    <w:rsid w:val="004D04EA"/>
    <w:rsid w:val="004D171B"/>
    <w:rsid w:val="004D4FC8"/>
    <w:rsid w:val="004D4FEE"/>
    <w:rsid w:val="004D7EED"/>
    <w:rsid w:val="004D7F9E"/>
    <w:rsid w:val="004E2235"/>
    <w:rsid w:val="004E2F81"/>
    <w:rsid w:val="004E3A1B"/>
    <w:rsid w:val="004E5B93"/>
    <w:rsid w:val="004E5C1F"/>
    <w:rsid w:val="004F0011"/>
    <w:rsid w:val="004F0120"/>
    <w:rsid w:val="004F3EFE"/>
    <w:rsid w:val="004F5318"/>
    <w:rsid w:val="004F5A16"/>
    <w:rsid w:val="004F5C60"/>
    <w:rsid w:val="004F709C"/>
    <w:rsid w:val="004F732C"/>
    <w:rsid w:val="004F77E9"/>
    <w:rsid w:val="004F7838"/>
    <w:rsid w:val="005001A3"/>
    <w:rsid w:val="0050109E"/>
    <w:rsid w:val="00501D54"/>
    <w:rsid w:val="0050254A"/>
    <w:rsid w:val="00504473"/>
    <w:rsid w:val="00505B99"/>
    <w:rsid w:val="00510909"/>
    <w:rsid w:val="005126CB"/>
    <w:rsid w:val="005135C3"/>
    <w:rsid w:val="005154CC"/>
    <w:rsid w:val="00515542"/>
    <w:rsid w:val="00520CE0"/>
    <w:rsid w:val="005231FD"/>
    <w:rsid w:val="00523B6B"/>
    <w:rsid w:val="0052514F"/>
    <w:rsid w:val="00525BD5"/>
    <w:rsid w:val="00527F66"/>
    <w:rsid w:val="00530519"/>
    <w:rsid w:val="00530548"/>
    <w:rsid w:val="00530F76"/>
    <w:rsid w:val="00531857"/>
    <w:rsid w:val="0053212A"/>
    <w:rsid w:val="00532425"/>
    <w:rsid w:val="005332D4"/>
    <w:rsid w:val="005344B1"/>
    <w:rsid w:val="00534946"/>
    <w:rsid w:val="00534C95"/>
    <w:rsid w:val="00535B56"/>
    <w:rsid w:val="005410DC"/>
    <w:rsid w:val="00541F76"/>
    <w:rsid w:val="0054325C"/>
    <w:rsid w:val="0054386B"/>
    <w:rsid w:val="005448C7"/>
    <w:rsid w:val="00544B7F"/>
    <w:rsid w:val="0054630E"/>
    <w:rsid w:val="00547600"/>
    <w:rsid w:val="00556066"/>
    <w:rsid w:val="00556742"/>
    <w:rsid w:val="005653D6"/>
    <w:rsid w:val="00565D02"/>
    <w:rsid w:val="00567968"/>
    <w:rsid w:val="005703D1"/>
    <w:rsid w:val="00576CDB"/>
    <w:rsid w:val="00581639"/>
    <w:rsid w:val="00581FD2"/>
    <w:rsid w:val="00582043"/>
    <w:rsid w:val="0058246C"/>
    <w:rsid w:val="00583995"/>
    <w:rsid w:val="00586DF7"/>
    <w:rsid w:val="005871CA"/>
    <w:rsid w:val="00593712"/>
    <w:rsid w:val="005937A7"/>
    <w:rsid w:val="005955D8"/>
    <w:rsid w:val="005964FF"/>
    <w:rsid w:val="00596BCE"/>
    <w:rsid w:val="005A0375"/>
    <w:rsid w:val="005A1122"/>
    <w:rsid w:val="005A1F93"/>
    <w:rsid w:val="005A6707"/>
    <w:rsid w:val="005A7A3F"/>
    <w:rsid w:val="005B04E9"/>
    <w:rsid w:val="005B0871"/>
    <w:rsid w:val="005B10CD"/>
    <w:rsid w:val="005B1F2E"/>
    <w:rsid w:val="005B2955"/>
    <w:rsid w:val="005B3C01"/>
    <w:rsid w:val="005B5016"/>
    <w:rsid w:val="005B62CF"/>
    <w:rsid w:val="005B6FAA"/>
    <w:rsid w:val="005C0BAF"/>
    <w:rsid w:val="005C134D"/>
    <w:rsid w:val="005D2C85"/>
    <w:rsid w:val="005D3C69"/>
    <w:rsid w:val="005D590E"/>
    <w:rsid w:val="005E164E"/>
    <w:rsid w:val="005E2D4E"/>
    <w:rsid w:val="005E340F"/>
    <w:rsid w:val="005E49B8"/>
    <w:rsid w:val="005E53B1"/>
    <w:rsid w:val="005E6614"/>
    <w:rsid w:val="005F0BF3"/>
    <w:rsid w:val="005F1AFC"/>
    <w:rsid w:val="005F24E3"/>
    <w:rsid w:val="005F2C82"/>
    <w:rsid w:val="005F4B12"/>
    <w:rsid w:val="0060047D"/>
    <w:rsid w:val="006010DF"/>
    <w:rsid w:val="006014DB"/>
    <w:rsid w:val="00603881"/>
    <w:rsid w:val="00606400"/>
    <w:rsid w:val="00613653"/>
    <w:rsid w:val="00613C05"/>
    <w:rsid w:val="006155AD"/>
    <w:rsid w:val="0061699B"/>
    <w:rsid w:val="00620CA3"/>
    <w:rsid w:val="006221F3"/>
    <w:rsid w:val="00624797"/>
    <w:rsid w:val="00625C1B"/>
    <w:rsid w:val="006318B4"/>
    <w:rsid w:val="00631C81"/>
    <w:rsid w:val="00633572"/>
    <w:rsid w:val="00635119"/>
    <w:rsid w:val="00636A0C"/>
    <w:rsid w:val="006417D2"/>
    <w:rsid w:val="00641865"/>
    <w:rsid w:val="0064518F"/>
    <w:rsid w:val="00645E00"/>
    <w:rsid w:val="006512F0"/>
    <w:rsid w:val="006527F9"/>
    <w:rsid w:val="006531AF"/>
    <w:rsid w:val="00654734"/>
    <w:rsid w:val="00655A17"/>
    <w:rsid w:val="0066130B"/>
    <w:rsid w:val="006620A9"/>
    <w:rsid w:val="00664775"/>
    <w:rsid w:val="00665010"/>
    <w:rsid w:val="00665051"/>
    <w:rsid w:val="00665A80"/>
    <w:rsid w:val="006670B3"/>
    <w:rsid w:val="00670293"/>
    <w:rsid w:val="00673146"/>
    <w:rsid w:val="00674639"/>
    <w:rsid w:val="00676CC3"/>
    <w:rsid w:val="006778B9"/>
    <w:rsid w:val="006803AF"/>
    <w:rsid w:val="00682132"/>
    <w:rsid w:val="0068316A"/>
    <w:rsid w:val="00683FAD"/>
    <w:rsid w:val="00686EE6"/>
    <w:rsid w:val="00691B26"/>
    <w:rsid w:val="00693556"/>
    <w:rsid w:val="00696A08"/>
    <w:rsid w:val="006979DA"/>
    <w:rsid w:val="006A0E84"/>
    <w:rsid w:val="006A28E1"/>
    <w:rsid w:val="006A33FA"/>
    <w:rsid w:val="006A4D4E"/>
    <w:rsid w:val="006B2DC1"/>
    <w:rsid w:val="006B3DEE"/>
    <w:rsid w:val="006B489A"/>
    <w:rsid w:val="006C1969"/>
    <w:rsid w:val="006C21D4"/>
    <w:rsid w:val="006C2F9D"/>
    <w:rsid w:val="006C375D"/>
    <w:rsid w:val="006C405A"/>
    <w:rsid w:val="006C4D8A"/>
    <w:rsid w:val="006D1C5E"/>
    <w:rsid w:val="006E0832"/>
    <w:rsid w:val="006E09DA"/>
    <w:rsid w:val="006E3F9B"/>
    <w:rsid w:val="006E6B0C"/>
    <w:rsid w:val="006F04C7"/>
    <w:rsid w:val="006F1056"/>
    <w:rsid w:val="006F6B6D"/>
    <w:rsid w:val="0070072D"/>
    <w:rsid w:val="00703573"/>
    <w:rsid w:val="007035B1"/>
    <w:rsid w:val="00703608"/>
    <w:rsid w:val="007109B1"/>
    <w:rsid w:val="007118F6"/>
    <w:rsid w:val="00712CF7"/>
    <w:rsid w:val="00715DB6"/>
    <w:rsid w:val="007211B7"/>
    <w:rsid w:val="00722397"/>
    <w:rsid w:val="007224AF"/>
    <w:rsid w:val="007227D6"/>
    <w:rsid w:val="00723075"/>
    <w:rsid w:val="007234CC"/>
    <w:rsid w:val="00723B05"/>
    <w:rsid w:val="007257FC"/>
    <w:rsid w:val="007345A3"/>
    <w:rsid w:val="00734A13"/>
    <w:rsid w:val="0073558C"/>
    <w:rsid w:val="0074174F"/>
    <w:rsid w:val="00744D19"/>
    <w:rsid w:val="00745A90"/>
    <w:rsid w:val="00746B39"/>
    <w:rsid w:val="00747A7E"/>
    <w:rsid w:val="00747D2F"/>
    <w:rsid w:val="00750A2B"/>
    <w:rsid w:val="00753CEB"/>
    <w:rsid w:val="00760299"/>
    <w:rsid w:val="007636F1"/>
    <w:rsid w:val="00763B96"/>
    <w:rsid w:val="00763EC4"/>
    <w:rsid w:val="007652E9"/>
    <w:rsid w:val="0076562D"/>
    <w:rsid w:val="00765D1A"/>
    <w:rsid w:val="0076666E"/>
    <w:rsid w:val="007700A7"/>
    <w:rsid w:val="00770B5E"/>
    <w:rsid w:val="007721F3"/>
    <w:rsid w:val="007750C9"/>
    <w:rsid w:val="00775B7B"/>
    <w:rsid w:val="00776BAF"/>
    <w:rsid w:val="00777185"/>
    <w:rsid w:val="00786105"/>
    <w:rsid w:val="00787800"/>
    <w:rsid w:val="007925C2"/>
    <w:rsid w:val="007932F4"/>
    <w:rsid w:val="00795EF4"/>
    <w:rsid w:val="007A080A"/>
    <w:rsid w:val="007A086F"/>
    <w:rsid w:val="007A0C93"/>
    <w:rsid w:val="007A629E"/>
    <w:rsid w:val="007A66E7"/>
    <w:rsid w:val="007A7196"/>
    <w:rsid w:val="007B0CF3"/>
    <w:rsid w:val="007B1B8A"/>
    <w:rsid w:val="007B3A8E"/>
    <w:rsid w:val="007B53E5"/>
    <w:rsid w:val="007B6CB0"/>
    <w:rsid w:val="007B7C6C"/>
    <w:rsid w:val="007B7D60"/>
    <w:rsid w:val="007C00A9"/>
    <w:rsid w:val="007C1ECB"/>
    <w:rsid w:val="007C1F74"/>
    <w:rsid w:val="007C356F"/>
    <w:rsid w:val="007C4F0F"/>
    <w:rsid w:val="007C53AA"/>
    <w:rsid w:val="007D2622"/>
    <w:rsid w:val="007D4872"/>
    <w:rsid w:val="007D4F9F"/>
    <w:rsid w:val="007D51E3"/>
    <w:rsid w:val="007E1F15"/>
    <w:rsid w:val="007E3BAF"/>
    <w:rsid w:val="007E4359"/>
    <w:rsid w:val="007E4A88"/>
    <w:rsid w:val="007E4B33"/>
    <w:rsid w:val="007E5EC4"/>
    <w:rsid w:val="007F0332"/>
    <w:rsid w:val="007F2198"/>
    <w:rsid w:val="007F6272"/>
    <w:rsid w:val="007F665F"/>
    <w:rsid w:val="007F7FBE"/>
    <w:rsid w:val="008007A8"/>
    <w:rsid w:val="008007F8"/>
    <w:rsid w:val="00800CE4"/>
    <w:rsid w:val="00802226"/>
    <w:rsid w:val="00803E0F"/>
    <w:rsid w:val="00804DD8"/>
    <w:rsid w:val="00805D64"/>
    <w:rsid w:val="0080612B"/>
    <w:rsid w:val="00806D1A"/>
    <w:rsid w:val="008074A9"/>
    <w:rsid w:val="00810E31"/>
    <w:rsid w:val="00814E72"/>
    <w:rsid w:val="00817A92"/>
    <w:rsid w:val="00817DA0"/>
    <w:rsid w:val="008204CF"/>
    <w:rsid w:val="00820CF2"/>
    <w:rsid w:val="008214ED"/>
    <w:rsid w:val="00821866"/>
    <w:rsid w:val="00822440"/>
    <w:rsid w:val="0082393A"/>
    <w:rsid w:val="00825A82"/>
    <w:rsid w:val="00825DA9"/>
    <w:rsid w:val="0082603C"/>
    <w:rsid w:val="00826644"/>
    <w:rsid w:val="008313CD"/>
    <w:rsid w:val="00832511"/>
    <w:rsid w:val="00833B81"/>
    <w:rsid w:val="00836340"/>
    <w:rsid w:val="0083690F"/>
    <w:rsid w:val="0084194A"/>
    <w:rsid w:val="008450C0"/>
    <w:rsid w:val="00847DC3"/>
    <w:rsid w:val="008528E4"/>
    <w:rsid w:val="008563B0"/>
    <w:rsid w:val="00857DCC"/>
    <w:rsid w:val="00860E61"/>
    <w:rsid w:val="0086138A"/>
    <w:rsid w:val="008614B7"/>
    <w:rsid w:val="00861E61"/>
    <w:rsid w:val="008665BD"/>
    <w:rsid w:val="00870E00"/>
    <w:rsid w:val="00873F74"/>
    <w:rsid w:val="008740B5"/>
    <w:rsid w:val="00877946"/>
    <w:rsid w:val="00880DFE"/>
    <w:rsid w:val="00887CE9"/>
    <w:rsid w:val="00887DA6"/>
    <w:rsid w:val="00887F65"/>
    <w:rsid w:val="0089231D"/>
    <w:rsid w:val="0089241E"/>
    <w:rsid w:val="00892655"/>
    <w:rsid w:val="00896D08"/>
    <w:rsid w:val="008A30B9"/>
    <w:rsid w:val="008A3277"/>
    <w:rsid w:val="008A38EC"/>
    <w:rsid w:val="008B593F"/>
    <w:rsid w:val="008B63E6"/>
    <w:rsid w:val="008C0061"/>
    <w:rsid w:val="008C4AC6"/>
    <w:rsid w:val="008C4DE8"/>
    <w:rsid w:val="008C4E11"/>
    <w:rsid w:val="008C580E"/>
    <w:rsid w:val="008C745F"/>
    <w:rsid w:val="008C7620"/>
    <w:rsid w:val="008D1A56"/>
    <w:rsid w:val="008D21FF"/>
    <w:rsid w:val="008D244A"/>
    <w:rsid w:val="008D2461"/>
    <w:rsid w:val="008D3A1D"/>
    <w:rsid w:val="008D4291"/>
    <w:rsid w:val="008D46F4"/>
    <w:rsid w:val="008D7AF0"/>
    <w:rsid w:val="008E567E"/>
    <w:rsid w:val="008E6A7C"/>
    <w:rsid w:val="008E7810"/>
    <w:rsid w:val="008F0B8B"/>
    <w:rsid w:val="008F1CFB"/>
    <w:rsid w:val="008F2DC1"/>
    <w:rsid w:val="008F3B7E"/>
    <w:rsid w:val="008F40CA"/>
    <w:rsid w:val="008F4CE2"/>
    <w:rsid w:val="008F4FC8"/>
    <w:rsid w:val="008F6AA9"/>
    <w:rsid w:val="008F7FE0"/>
    <w:rsid w:val="009005DD"/>
    <w:rsid w:val="00900EDC"/>
    <w:rsid w:val="0090432C"/>
    <w:rsid w:val="009153C2"/>
    <w:rsid w:val="00916D93"/>
    <w:rsid w:val="00922ABA"/>
    <w:rsid w:val="00922DA7"/>
    <w:rsid w:val="009236B0"/>
    <w:rsid w:val="00923E8A"/>
    <w:rsid w:val="00924BC1"/>
    <w:rsid w:val="00926868"/>
    <w:rsid w:val="009274EF"/>
    <w:rsid w:val="009374DF"/>
    <w:rsid w:val="00944FE3"/>
    <w:rsid w:val="009475BD"/>
    <w:rsid w:val="00950CD6"/>
    <w:rsid w:val="00950F32"/>
    <w:rsid w:val="00950F8D"/>
    <w:rsid w:val="0095187B"/>
    <w:rsid w:val="00953692"/>
    <w:rsid w:val="00957D89"/>
    <w:rsid w:val="00957F9F"/>
    <w:rsid w:val="0096018C"/>
    <w:rsid w:val="00966B3E"/>
    <w:rsid w:val="009673F7"/>
    <w:rsid w:val="00970BA5"/>
    <w:rsid w:val="009712B7"/>
    <w:rsid w:val="009718FE"/>
    <w:rsid w:val="009746A1"/>
    <w:rsid w:val="009748AD"/>
    <w:rsid w:val="00975337"/>
    <w:rsid w:val="00976F18"/>
    <w:rsid w:val="00983416"/>
    <w:rsid w:val="009849FE"/>
    <w:rsid w:val="0098614E"/>
    <w:rsid w:val="009900F9"/>
    <w:rsid w:val="00990E89"/>
    <w:rsid w:val="00992C78"/>
    <w:rsid w:val="00993B61"/>
    <w:rsid w:val="009943E2"/>
    <w:rsid w:val="009943E4"/>
    <w:rsid w:val="00994B97"/>
    <w:rsid w:val="00994C16"/>
    <w:rsid w:val="00995C7C"/>
    <w:rsid w:val="009A0234"/>
    <w:rsid w:val="009A146A"/>
    <w:rsid w:val="009A198A"/>
    <w:rsid w:val="009A237A"/>
    <w:rsid w:val="009A3005"/>
    <w:rsid w:val="009A3770"/>
    <w:rsid w:val="009A49A7"/>
    <w:rsid w:val="009A709B"/>
    <w:rsid w:val="009B04F9"/>
    <w:rsid w:val="009B0E75"/>
    <w:rsid w:val="009B0FB1"/>
    <w:rsid w:val="009B345D"/>
    <w:rsid w:val="009B599B"/>
    <w:rsid w:val="009B633D"/>
    <w:rsid w:val="009B796D"/>
    <w:rsid w:val="009C0777"/>
    <w:rsid w:val="009C0B4E"/>
    <w:rsid w:val="009C148B"/>
    <w:rsid w:val="009C4881"/>
    <w:rsid w:val="009C5C5A"/>
    <w:rsid w:val="009C6957"/>
    <w:rsid w:val="009C7F17"/>
    <w:rsid w:val="009D0C70"/>
    <w:rsid w:val="009D3992"/>
    <w:rsid w:val="009D3DBB"/>
    <w:rsid w:val="009D58F1"/>
    <w:rsid w:val="009D5A6D"/>
    <w:rsid w:val="009D72CD"/>
    <w:rsid w:val="009E2BEE"/>
    <w:rsid w:val="009E720E"/>
    <w:rsid w:val="009F0D40"/>
    <w:rsid w:val="009F2A79"/>
    <w:rsid w:val="009F2C2E"/>
    <w:rsid w:val="009F3D0C"/>
    <w:rsid w:val="009F45A1"/>
    <w:rsid w:val="009F4C58"/>
    <w:rsid w:val="009F597D"/>
    <w:rsid w:val="009F69CA"/>
    <w:rsid w:val="009F6C2E"/>
    <w:rsid w:val="00A000F1"/>
    <w:rsid w:val="00A03296"/>
    <w:rsid w:val="00A067DA"/>
    <w:rsid w:val="00A072C4"/>
    <w:rsid w:val="00A10D42"/>
    <w:rsid w:val="00A12048"/>
    <w:rsid w:val="00A13D8D"/>
    <w:rsid w:val="00A15D49"/>
    <w:rsid w:val="00A164C6"/>
    <w:rsid w:val="00A200CD"/>
    <w:rsid w:val="00A21B23"/>
    <w:rsid w:val="00A26662"/>
    <w:rsid w:val="00A268B9"/>
    <w:rsid w:val="00A30D9A"/>
    <w:rsid w:val="00A31DD1"/>
    <w:rsid w:val="00A334C1"/>
    <w:rsid w:val="00A33610"/>
    <w:rsid w:val="00A355D5"/>
    <w:rsid w:val="00A40521"/>
    <w:rsid w:val="00A4115E"/>
    <w:rsid w:val="00A420D1"/>
    <w:rsid w:val="00A43077"/>
    <w:rsid w:val="00A46246"/>
    <w:rsid w:val="00A4694A"/>
    <w:rsid w:val="00A539DE"/>
    <w:rsid w:val="00A55C9D"/>
    <w:rsid w:val="00A560BA"/>
    <w:rsid w:val="00A60B33"/>
    <w:rsid w:val="00A625B1"/>
    <w:rsid w:val="00A63E9C"/>
    <w:rsid w:val="00A65897"/>
    <w:rsid w:val="00A660E5"/>
    <w:rsid w:val="00A668C1"/>
    <w:rsid w:val="00A669D5"/>
    <w:rsid w:val="00A67A9B"/>
    <w:rsid w:val="00A70E76"/>
    <w:rsid w:val="00A73824"/>
    <w:rsid w:val="00A73882"/>
    <w:rsid w:val="00A74B0E"/>
    <w:rsid w:val="00A75E82"/>
    <w:rsid w:val="00A80650"/>
    <w:rsid w:val="00A8135C"/>
    <w:rsid w:val="00A821DB"/>
    <w:rsid w:val="00A835E4"/>
    <w:rsid w:val="00A83DF0"/>
    <w:rsid w:val="00A84A54"/>
    <w:rsid w:val="00A85E57"/>
    <w:rsid w:val="00A87351"/>
    <w:rsid w:val="00A905D8"/>
    <w:rsid w:val="00A93CA4"/>
    <w:rsid w:val="00A94219"/>
    <w:rsid w:val="00A9632A"/>
    <w:rsid w:val="00A96816"/>
    <w:rsid w:val="00AA1DDC"/>
    <w:rsid w:val="00AA3F0B"/>
    <w:rsid w:val="00AA5070"/>
    <w:rsid w:val="00AA5F00"/>
    <w:rsid w:val="00AA788A"/>
    <w:rsid w:val="00AA7D17"/>
    <w:rsid w:val="00AB5806"/>
    <w:rsid w:val="00AB75B9"/>
    <w:rsid w:val="00AC124B"/>
    <w:rsid w:val="00AC3940"/>
    <w:rsid w:val="00AC46FA"/>
    <w:rsid w:val="00AC785F"/>
    <w:rsid w:val="00AD35F0"/>
    <w:rsid w:val="00AD42A5"/>
    <w:rsid w:val="00AD4E5E"/>
    <w:rsid w:val="00AD5125"/>
    <w:rsid w:val="00AD5141"/>
    <w:rsid w:val="00AD5ABB"/>
    <w:rsid w:val="00AD5E9C"/>
    <w:rsid w:val="00AD6516"/>
    <w:rsid w:val="00AE2B45"/>
    <w:rsid w:val="00AE4702"/>
    <w:rsid w:val="00AE5800"/>
    <w:rsid w:val="00AF1505"/>
    <w:rsid w:val="00AF7743"/>
    <w:rsid w:val="00B0129B"/>
    <w:rsid w:val="00B0142E"/>
    <w:rsid w:val="00B031F3"/>
    <w:rsid w:val="00B03688"/>
    <w:rsid w:val="00B037E4"/>
    <w:rsid w:val="00B04DCF"/>
    <w:rsid w:val="00B11964"/>
    <w:rsid w:val="00B1245D"/>
    <w:rsid w:val="00B130D5"/>
    <w:rsid w:val="00B14084"/>
    <w:rsid w:val="00B16C9F"/>
    <w:rsid w:val="00B2067D"/>
    <w:rsid w:val="00B2223F"/>
    <w:rsid w:val="00B2284F"/>
    <w:rsid w:val="00B238AD"/>
    <w:rsid w:val="00B257FE"/>
    <w:rsid w:val="00B27EC2"/>
    <w:rsid w:val="00B307AB"/>
    <w:rsid w:val="00B340C9"/>
    <w:rsid w:val="00B352BF"/>
    <w:rsid w:val="00B40CA4"/>
    <w:rsid w:val="00B43989"/>
    <w:rsid w:val="00B440AF"/>
    <w:rsid w:val="00B502A5"/>
    <w:rsid w:val="00B52533"/>
    <w:rsid w:val="00B547C5"/>
    <w:rsid w:val="00B56E37"/>
    <w:rsid w:val="00B62687"/>
    <w:rsid w:val="00B62CF3"/>
    <w:rsid w:val="00B63041"/>
    <w:rsid w:val="00B645ED"/>
    <w:rsid w:val="00B64829"/>
    <w:rsid w:val="00B65461"/>
    <w:rsid w:val="00B66F2C"/>
    <w:rsid w:val="00B671F3"/>
    <w:rsid w:val="00B67AF3"/>
    <w:rsid w:val="00B704E6"/>
    <w:rsid w:val="00B705A8"/>
    <w:rsid w:val="00B720EC"/>
    <w:rsid w:val="00B73D55"/>
    <w:rsid w:val="00B74168"/>
    <w:rsid w:val="00B74E06"/>
    <w:rsid w:val="00B754A1"/>
    <w:rsid w:val="00B762E0"/>
    <w:rsid w:val="00B773E3"/>
    <w:rsid w:val="00B825D0"/>
    <w:rsid w:val="00B83929"/>
    <w:rsid w:val="00B83B12"/>
    <w:rsid w:val="00B87519"/>
    <w:rsid w:val="00B87D58"/>
    <w:rsid w:val="00B915F1"/>
    <w:rsid w:val="00B923EA"/>
    <w:rsid w:val="00B92B5A"/>
    <w:rsid w:val="00B95455"/>
    <w:rsid w:val="00B97E89"/>
    <w:rsid w:val="00BA0CD4"/>
    <w:rsid w:val="00BA2C61"/>
    <w:rsid w:val="00BA2E29"/>
    <w:rsid w:val="00BA4D5A"/>
    <w:rsid w:val="00BA5C94"/>
    <w:rsid w:val="00BA788A"/>
    <w:rsid w:val="00BB1C2F"/>
    <w:rsid w:val="00BB2479"/>
    <w:rsid w:val="00BB5672"/>
    <w:rsid w:val="00BB62E5"/>
    <w:rsid w:val="00BB7136"/>
    <w:rsid w:val="00BB7E9F"/>
    <w:rsid w:val="00BB7EA9"/>
    <w:rsid w:val="00BC02D9"/>
    <w:rsid w:val="00BC130C"/>
    <w:rsid w:val="00BC2D53"/>
    <w:rsid w:val="00BC6784"/>
    <w:rsid w:val="00BD1A86"/>
    <w:rsid w:val="00BD1C50"/>
    <w:rsid w:val="00BD1D37"/>
    <w:rsid w:val="00BD357C"/>
    <w:rsid w:val="00BD3663"/>
    <w:rsid w:val="00BD3AF3"/>
    <w:rsid w:val="00BD4F1C"/>
    <w:rsid w:val="00BD506C"/>
    <w:rsid w:val="00BD7007"/>
    <w:rsid w:val="00BD77A9"/>
    <w:rsid w:val="00BD7FA7"/>
    <w:rsid w:val="00BE0430"/>
    <w:rsid w:val="00BE6269"/>
    <w:rsid w:val="00BF05F8"/>
    <w:rsid w:val="00BF33CF"/>
    <w:rsid w:val="00BF4E47"/>
    <w:rsid w:val="00BF585F"/>
    <w:rsid w:val="00BF6CBF"/>
    <w:rsid w:val="00BF735E"/>
    <w:rsid w:val="00C02F2B"/>
    <w:rsid w:val="00C05C33"/>
    <w:rsid w:val="00C0644C"/>
    <w:rsid w:val="00C1013F"/>
    <w:rsid w:val="00C103FF"/>
    <w:rsid w:val="00C14527"/>
    <w:rsid w:val="00C15998"/>
    <w:rsid w:val="00C205C8"/>
    <w:rsid w:val="00C21211"/>
    <w:rsid w:val="00C214A0"/>
    <w:rsid w:val="00C231CC"/>
    <w:rsid w:val="00C26D3E"/>
    <w:rsid w:val="00C339D0"/>
    <w:rsid w:val="00C35012"/>
    <w:rsid w:val="00C37544"/>
    <w:rsid w:val="00C37A21"/>
    <w:rsid w:val="00C37F42"/>
    <w:rsid w:val="00C4006D"/>
    <w:rsid w:val="00C43E90"/>
    <w:rsid w:val="00C45154"/>
    <w:rsid w:val="00C54179"/>
    <w:rsid w:val="00C60315"/>
    <w:rsid w:val="00C606B3"/>
    <w:rsid w:val="00C60E35"/>
    <w:rsid w:val="00C60FE1"/>
    <w:rsid w:val="00C618E9"/>
    <w:rsid w:val="00C65276"/>
    <w:rsid w:val="00C6549E"/>
    <w:rsid w:val="00C6658C"/>
    <w:rsid w:val="00C70984"/>
    <w:rsid w:val="00C716CA"/>
    <w:rsid w:val="00C72A72"/>
    <w:rsid w:val="00C73F08"/>
    <w:rsid w:val="00C759A8"/>
    <w:rsid w:val="00C76A40"/>
    <w:rsid w:val="00C77433"/>
    <w:rsid w:val="00C804F9"/>
    <w:rsid w:val="00C81193"/>
    <w:rsid w:val="00C84911"/>
    <w:rsid w:val="00C8793B"/>
    <w:rsid w:val="00C90E0F"/>
    <w:rsid w:val="00C91F60"/>
    <w:rsid w:val="00C922AD"/>
    <w:rsid w:val="00C929D4"/>
    <w:rsid w:val="00C933ED"/>
    <w:rsid w:val="00CA0783"/>
    <w:rsid w:val="00CA136B"/>
    <w:rsid w:val="00CA6209"/>
    <w:rsid w:val="00CA7470"/>
    <w:rsid w:val="00CC0CBE"/>
    <w:rsid w:val="00CC271B"/>
    <w:rsid w:val="00CD049A"/>
    <w:rsid w:val="00CD1D12"/>
    <w:rsid w:val="00CD5019"/>
    <w:rsid w:val="00CE16E0"/>
    <w:rsid w:val="00CE3171"/>
    <w:rsid w:val="00CE37AF"/>
    <w:rsid w:val="00CE5516"/>
    <w:rsid w:val="00CE56C7"/>
    <w:rsid w:val="00CE6C28"/>
    <w:rsid w:val="00CF2CE4"/>
    <w:rsid w:val="00CF3861"/>
    <w:rsid w:val="00CF6AD3"/>
    <w:rsid w:val="00D002A3"/>
    <w:rsid w:val="00D003AE"/>
    <w:rsid w:val="00D01E2F"/>
    <w:rsid w:val="00D043B7"/>
    <w:rsid w:val="00D04EAF"/>
    <w:rsid w:val="00D055AD"/>
    <w:rsid w:val="00D0660C"/>
    <w:rsid w:val="00D07C51"/>
    <w:rsid w:val="00D12C1F"/>
    <w:rsid w:val="00D1501D"/>
    <w:rsid w:val="00D150A9"/>
    <w:rsid w:val="00D15E73"/>
    <w:rsid w:val="00D215C8"/>
    <w:rsid w:val="00D218C5"/>
    <w:rsid w:val="00D23248"/>
    <w:rsid w:val="00D23AB1"/>
    <w:rsid w:val="00D2521F"/>
    <w:rsid w:val="00D27D52"/>
    <w:rsid w:val="00D3163C"/>
    <w:rsid w:val="00D340F6"/>
    <w:rsid w:val="00D536F0"/>
    <w:rsid w:val="00D543D5"/>
    <w:rsid w:val="00D55B7D"/>
    <w:rsid w:val="00D5749F"/>
    <w:rsid w:val="00D605BE"/>
    <w:rsid w:val="00D614F9"/>
    <w:rsid w:val="00D62D25"/>
    <w:rsid w:val="00D64EBF"/>
    <w:rsid w:val="00D65A8B"/>
    <w:rsid w:val="00D66412"/>
    <w:rsid w:val="00D66E74"/>
    <w:rsid w:val="00D67409"/>
    <w:rsid w:val="00D727E5"/>
    <w:rsid w:val="00D739B4"/>
    <w:rsid w:val="00D73A82"/>
    <w:rsid w:val="00D80450"/>
    <w:rsid w:val="00D81A7B"/>
    <w:rsid w:val="00D82A40"/>
    <w:rsid w:val="00D82B1C"/>
    <w:rsid w:val="00D83224"/>
    <w:rsid w:val="00D843ED"/>
    <w:rsid w:val="00D84E89"/>
    <w:rsid w:val="00D9016D"/>
    <w:rsid w:val="00D9040A"/>
    <w:rsid w:val="00D93054"/>
    <w:rsid w:val="00D9654E"/>
    <w:rsid w:val="00D97A7B"/>
    <w:rsid w:val="00DA07D3"/>
    <w:rsid w:val="00DA0870"/>
    <w:rsid w:val="00DA097F"/>
    <w:rsid w:val="00DA11A6"/>
    <w:rsid w:val="00DA2FAB"/>
    <w:rsid w:val="00DA563D"/>
    <w:rsid w:val="00DA73A3"/>
    <w:rsid w:val="00DB01B1"/>
    <w:rsid w:val="00DB1179"/>
    <w:rsid w:val="00DB1C87"/>
    <w:rsid w:val="00DB3948"/>
    <w:rsid w:val="00DB49A0"/>
    <w:rsid w:val="00DB56DD"/>
    <w:rsid w:val="00DB5F01"/>
    <w:rsid w:val="00DB61E9"/>
    <w:rsid w:val="00DC0790"/>
    <w:rsid w:val="00DC4091"/>
    <w:rsid w:val="00DD0862"/>
    <w:rsid w:val="00DD2DC1"/>
    <w:rsid w:val="00DD5EF2"/>
    <w:rsid w:val="00DD68FB"/>
    <w:rsid w:val="00DD6D42"/>
    <w:rsid w:val="00DE279F"/>
    <w:rsid w:val="00DF2351"/>
    <w:rsid w:val="00DF4918"/>
    <w:rsid w:val="00DF4F3C"/>
    <w:rsid w:val="00DF6300"/>
    <w:rsid w:val="00E002F7"/>
    <w:rsid w:val="00E04848"/>
    <w:rsid w:val="00E05F17"/>
    <w:rsid w:val="00E07055"/>
    <w:rsid w:val="00E07E20"/>
    <w:rsid w:val="00E11C41"/>
    <w:rsid w:val="00E12CAA"/>
    <w:rsid w:val="00E13D6F"/>
    <w:rsid w:val="00E14289"/>
    <w:rsid w:val="00E14FC3"/>
    <w:rsid w:val="00E15D51"/>
    <w:rsid w:val="00E20B6D"/>
    <w:rsid w:val="00E21DEA"/>
    <w:rsid w:val="00E2592B"/>
    <w:rsid w:val="00E268A3"/>
    <w:rsid w:val="00E26F16"/>
    <w:rsid w:val="00E329EE"/>
    <w:rsid w:val="00E33E9C"/>
    <w:rsid w:val="00E341F3"/>
    <w:rsid w:val="00E343FE"/>
    <w:rsid w:val="00E34B01"/>
    <w:rsid w:val="00E36694"/>
    <w:rsid w:val="00E36E85"/>
    <w:rsid w:val="00E37930"/>
    <w:rsid w:val="00E42655"/>
    <w:rsid w:val="00E43213"/>
    <w:rsid w:val="00E43D46"/>
    <w:rsid w:val="00E44BD1"/>
    <w:rsid w:val="00E47712"/>
    <w:rsid w:val="00E47851"/>
    <w:rsid w:val="00E50618"/>
    <w:rsid w:val="00E51A40"/>
    <w:rsid w:val="00E52235"/>
    <w:rsid w:val="00E52E0B"/>
    <w:rsid w:val="00E53737"/>
    <w:rsid w:val="00E54525"/>
    <w:rsid w:val="00E57233"/>
    <w:rsid w:val="00E6629D"/>
    <w:rsid w:val="00E706B3"/>
    <w:rsid w:val="00E7284A"/>
    <w:rsid w:val="00E73D7A"/>
    <w:rsid w:val="00E7422B"/>
    <w:rsid w:val="00E754FF"/>
    <w:rsid w:val="00E855B2"/>
    <w:rsid w:val="00E85E2E"/>
    <w:rsid w:val="00E93C89"/>
    <w:rsid w:val="00E954F0"/>
    <w:rsid w:val="00E95C39"/>
    <w:rsid w:val="00E97584"/>
    <w:rsid w:val="00EA01FB"/>
    <w:rsid w:val="00EA0355"/>
    <w:rsid w:val="00EA0696"/>
    <w:rsid w:val="00EA0F04"/>
    <w:rsid w:val="00EB58F3"/>
    <w:rsid w:val="00EC0801"/>
    <w:rsid w:val="00EC744F"/>
    <w:rsid w:val="00ED0EBB"/>
    <w:rsid w:val="00ED1F96"/>
    <w:rsid w:val="00EE1BF9"/>
    <w:rsid w:val="00EE1C93"/>
    <w:rsid w:val="00EE4455"/>
    <w:rsid w:val="00EF00D4"/>
    <w:rsid w:val="00EF0379"/>
    <w:rsid w:val="00EF102C"/>
    <w:rsid w:val="00EF24FF"/>
    <w:rsid w:val="00EF2A05"/>
    <w:rsid w:val="00EF3249"/>
    <w:rsid w:val="00EF6E0F"/>
    <w:rsid w:val="00EF7327"/>
    <w:rsid w:val="00EF7A6E"/>
    <w:rsid w:val="00F04055"/>
    <w:rsid w:val="00F0634D"/>
    <w:rsid w:val="00F10697"/>
    <w:rsid w:val="00F111C6"/>
    <w:rsid w:val="00F11FE1"/>
    <w:rsid w:val="00F122B9"/>
    <w:rsid w:val="00F1259C"/>
    <w:rsid w:val="00F12A0E"/>
    <w:rsid w:val="00F13DA4"/>
    <w:rsid w:val="00F13DC8"/>
    <w:rsid w:val="00F14155"/>
    <w:rsid w:val="00F15E4E"/>
    <w:rsid w:val="00F1687E"/>
    <w:rsid w:val="00F17CB6"/>
    <w:rsid w:val="00F21CD9"/>
    <w:rsid w:val="00F21F0B"/>
    <w:rsid w:val="00F24C7F"/>
    <w:rsid w:val="00F27EED"/>
    <w:rsid w:val="00F3207F"/>
    <w:rsid w:val="00F320DB"/>
    <w:rsid w:val="00F322DA"/>
    <w:rsid w:val="00F33058"/>
    <w:rsid w:val="00F33159"/>
    <w:rsid w:val="00F33AF7"/>
    <w:rsid w:val="00F3541A"/>
    <w:rsid w:val="00F42849"/>
    <w:rsid w:val="00F45F8E"/>
    <w:rsid w:val="00F46275"/>
    <w:rsid w:val="00F51DF5"/>
    <w:rsid w:val="00F52A86"/>
    <w:rsid w:val="00F5664E"/>
    <w:rsid w:val="00F5665F"/>
    <w:rsid w:val="00F56B04"/>
    <w:rsid w:val="00F57514"/>
    <w:rsid w:val="00F602E7"/>
    <w:rsid w:val="00F60488"/>
    <w:rsid w:val="00F611C7"/>
    <w:rsid w:val="00F61417"/>
    <w:rsid w:val="00F63132"/>
    <w:rsid w:val="00F631B6"/>
    <w:rsid w:val="00F63BC0"/>
    <w:rsid w:val="00F640FB"/>
    <w:rsid w:val="00F67860"/>
    <w:rsid w:val="00F70F22"/>
    <w:rsid w:val="00F719B8"/>
    <w:rsid w:val="00F71DF3"/>
    <w:rsid w:val="00F72026"/>
    <w:rsid w:val="00F73DC8"/>
    <w:rsid w:val="00F766F5"/>
    <w:rsid w:val="00F8067A"/>
    <w:rsid w:val="00F8231E"/>
    <w:rsid w:val="00F82F96"/>
    <w:rsid w:val="00F90687"/>
    <w:rsid w:val="00F91C24"/>
    <w:rsid w:val="00F926D2"/>
    <w:rsid w:val="00F931EC"/>
    <w:rsid w:val="00F94AD8"/>
    <w:rsid w:val="00F94B00"/>
    <w:rsid w:val="00F967AA"/>
    <w:rsid w:val="00F9759A"/>
    <w:rsid w:val="00F97DD8"/>
    <w:rsid w:val="00FA0232"/>
    <w:rsid w:val="00FA03AD"/>
    <w:rsid w:val="00FA128D"/>
    <w:rsid w:val="00FA2E89"/>
    <w:rsid w:val="00FA4545"/>
    <w:rsid w:val="00FB091E"/>
    <w:rsid w:val="00FB1931"/>
    <w:rsid w:val="00FB2C69"/>
    <w:rsid w:val="00FB5FAD"/>
    <w:rsid w:val="00FB6500"/>
    <w:rsid w:val="00FB75CA"/>
    <w:rsid w:val="00FB7FAD"/>
    <w:rsid w:val="00FC0DB9"/>
    <w:rsid w:val="00FC34CE"/>
    <w:rsid w:val="00FC430C"/>
    <w:rsid w:val="00FC4780"/>
    <w:rsid w:val="00FC7332"/>
    <w:rsid w:val="00FC7C07"/>
    <w:rsid w:val="00FD01E3"/>
    <w:rsid w:val="00FD0BA0"/>
    <w:rsid w:val="00FD1E01"/>
    <w:rsid w:val="00FD2307"/>
    <w:rsid w:val="00FD7496"/>
    <w:rsid w:val="00FE08AD"/>
    <w:rsid w:val="00FE1FCF"/>
    <w:rsid w:val="00FE4DA9"/>
    <w:rsid w:val="00FE7DD1"/>
    <w:rsid w:val="00FF3ED8"/>
    <w:rsid w:val="00FF6352"/>
    <w:rsid w:val="00FF7037"/>
    <w:rsid w:val="00FF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B773E3"/>
    <w:pPr>
      <w:tabs>
        <w:tab w:val="right" w:leader="dot" w:pos="9350"/>
      </w:tabs>
      <w:ind w:left="240"/>
    </w:pPr>
    <w:rPr>
      <w:noProof/>
    </w:rPr>
  </w:style>
  <w:style w:type="paragraph" w:styleId="TOC3">
    <w:name w:val="toc 3"/>
    <w:basedOn w:val="Normal"/>
    <w:next w:val="Normal"/>
    <w:autoRedefine/>
    <w:uiPriority w:val="39"/>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basedOn w:val="DefaultParagraphFont"/>
    <w:link w:val="P1-StandPara"/>
    <w:rsid w:val="00C37F42"/>
    <w:rPr>
      <w:color w:val="000000"/>
      <w:sz w:val="22"/>
      <w:szCs w:val="22"/>
      <w:lang w:val="en-US" w:eastAsia="en-US" w:bidi="ar-SA"/>
    </w:rPr>
  </w:style>
  <w:style w:type="character" w:customStyle="1" w:styleId="CommentTextChar">
    <w:name w:val="Comment Text Char"/>
    <w:basedOn w:val="DefaultParagraphFont"/>
    <w:link w:val="CommentText"/>
    <w:semiHidden/>
    <w:locked/>
    <w:rsid w:val="002F0538"/>
    <w:rPr>
      <w:lang w:val="en-US" w:eastAsia="en-US" w:bidi="ar-SA"/>
    </w:rPr>
  </w:style>
  <w:style w:type="paragraph" w:styleId="ListParagraph">
    <w:name w:val="List Paragraph"/>
    <w:basedOn w:val="Normal"/>
    <w:uiPriority w:val="34"/>
    <w:qFormat/>
    <w:rsid w:val="00BA0CD4"/>
    <w:pPr>
      <w:ind w:left="720"/>
      <w:contextualSpacing/>
    </w:pPr>
  </w:style>
  <w:style w:type="paragraph" w:styleId="TOCHeading">
    <w:name w:val="TOC Heading"/>
    <w:basedOn w:val="Heading1"/>
    <w:next w:val="Normal"/>
    <w:uiPriority w:val="39"/>
    <w:semiHidden/>
    <w:unhideWhenUsed/>
    <w:qFormat/>
    <w:rsid w:val="001301B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FooterChar">
    <w:name w:val="Footer Char"/>
    <w:basedOn w:val="DefaultParagraphFont"/>
    <w:link w:val="Footer"/>
    <w:uiPriority w:val="99"/>
    <w:rsid w:val="002A1BB4"/>
    <w:rPr>
      <w:sz w:val="24"/>
      <w:szCs w:val="24"/>
    </w:rPr>
  </w:style>
  <w:style w:type="paragraph" w:styleId="Revision">
    <w:name w:val="Revision"/>
    <w:hidden/>
    <w:uiPriority w:val="99"/>
    <w:semiHidden/>
    <w:rsid w:val="00F70F2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basedOn w:val="DefaultParagraphFont"/>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B773E3"/>
    <w:pPr>
      <w:tabs>
        <w:tab w:val="right" w:leader="dot" w:pos="9350"/>
      </w:tabs>
      <w:ind w:left="240"/>
    </w:pPr>
    <w:rPr>
      <w:noProof/>
    </w:rPr>
  </w:style>
  <w:style w:type="paragraph" w:styleId="TOC3">
    <w:name w:val="toc 3"/>
    <w:basedOn w:val="Normal"/>
    <w:next w:val="Normal"/>
    <w:autoRedefine/>
    <w:uiPriority w:val="39"/>
    <w:rsid w:val="001D0454"/>
    <w:pPr>
      <w:ind w:left="480"/>
    </w:pPr>
  </w:style>
  <w:style w:type="character" w:styleId="Hyperlink">
    <w:name w:val="Hyperlink"/>
    <w:basedOn w:val="DefaultParagraphFont"/>
    <w:uiPriority w:val="99"/>
    <w:rsid w:val="001D0454"/>
    <w:rPr>
      <w:color w:val="0000FF"/>
      <w:u w:val="single"/>
    </w:rPr>
  </w:style>
  <w:style w:type="paragraph" w:styleId="Footer">
    <w:name w:val="footer"/>
    <w:basedOn w:val="Normal"/>
    <w:link w:val="FooterChar"/>
    <w:uiPriority w:val="99"/>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semiHidden/>
    <w:rsid w:val="00621299"/>
    <w:rPr>
      <w:sz w:val="16"/>
      <w:szCs w:val="16"/>
    </w:rPr>
  </w:style>
  <w:style w:type="paragraph" w:styleId="CommentText">
    <w:name w:val="annotation text"/>
    <w:basedOn w:val="Normal"/>
    <w:link w:val="CommentTextChar"/>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basedOn w:val="DefaultParagraphFont"/>
    <w:semiHidden/>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P1-StandPara">
    <w:name w:val="P1-Stand Para"/>
    <w:link w:val="P1-StandParaChar"/>
    <w:rsid w:val="00C37F42"/>
    <w:pPr>
      <w:spacing w:line="360" w:lineRule="atLeast"/>
      <w:ind w:firstLine="1152"/>
      <w:jc w:val="both"/>
    </w:pPr>
    <w:rPr>
      <w:color w:val="000000"/>
      <w:sz w:val="22"/>
      <w:szCs w:val="22"/>
    </w:rPr>
  </w:style>
  <w:style w:type="character" w:customStyle="1" w:styleId="P1-StandParaChar">
    <w:name w:val="P1-Stand Para Char"/>
    <w:basedOn w:val="DefaultParagraphFont"/>
    <w:link w:val="P1-StandPara"/>
    <w:rsid w:val="00C37F42"/>
    <w:rPr>
      <w:color w:val="000000"/>
      <w:sz w:val="22"/>
      <w:szCs w:val="22"/>
      <w:lang w:val="en-US" w:eastAsia="en-US" w:bidi="ar-SA"/>
    </w:rPr>
  </w:style>
  <w:style w:type="character" w:customStyle="1" w:styleId="CommentTextChar">
    <w:name w:val="Comment Text Char"/>
    <w:basedOn w:val="DefaultParagraphFont"/>
    <w:link w:val="CommentText"/>
    <w:semiHidden/>
    <w:locked/>
    <w:rsid w:val="002F0538"/>
    <w:rPr>
      <w:lang w:val="en-US" w:eastAsia="en-US" w:bidi="ar-SA"/>
    </w:rPr>
  </w:style>
  <w:style w:type="paragraph" w:styleId="ListParagraph">
    <w:name w:val="List Paragraph"/>
    <w:basedOn w:val="Normal"/>
    <w:uiPriority w:val="34"/>
    <w:qFormat/>
    <w:rsid w:val="00BA0CD4"/>
    <w:pPr>
      <w:ind w:left="720"/>
      <w:contextualSpacing/>
    </w:pPr>
  </w:style>
  <w:style w:type="paragraph" w:styleId="TOCHeading">
    <w:name w:val="TOC Heading"/>
    <w:basedOn w:val="Heading1"/>
    <w:next w:val="Normal"/>
    <w:uiPriority w:val="39"/>
    <w:semiHidden/>
    <w:unhideWhenUsed/>
    <w:qFormat/>
    <w:rsid w:val="001301B3"/>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FooterChar">
    <w:name w:val="Footer Char"/>
    <w:basedOn w:val="DefaultParagraphFont"/>
    <w:link w:val="Footer"/>
    <w:uiPriority w:val="99"/>
    <w:rsid w:val="002A1BB4"/>
    <w:rPr>
      <w:sz w:val="24"/>
      <w:szCs w:val="24"/>
    </w:rPr>
  </w:style>
  <w:style w:type="paragraph" w:styleId="Revision">
    <w:name w:val="Revision"/>
    <w:hidden/>
    <w:uiPriority w:val="99"/>
    <w:semiHidden/>
    <w:rsid w:val="00F70F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496311639">
      <w:bodyDiv w:val="1"/>
      <w:marLeft w:val="0"/>
      <w:marRight w:val="0"/>
      <w:marTop w:val="0"/>
      <w:marBottom w:val="0"/>
      <w:divBdr>
        <w:top w:val="none" w:sz="0" w:space="0" w:color="auto"/>
        <w:left w:val="none" w:sz="0" w:space="0" w:color="auto"/>
        <w:bottom w:val="none" w:sz="0" w:space="0" w:color="auto"/>
        <w:right w:val="none" w:sz="0" w:space="0" w:color="auto"/>
      </w:divBdr>
      <w:divsChild>
        <w:div w:id="2041469545">
          <w:marLeft w:val="0"/>
          <w:marRight w:val="0"/>
          <w:marTop w:val="0"/>
          <w:marBottom w:val="0"/>
          <w:divBdr>
            <w:top w:val="none" w:sz="0" w:space="0" w:color="auto"/>
            <w:left w:val="none" w:sz="0" w:space="0" w:color="auto"/>
            <w:bottom w:val="none" w:sz="0" w:space="0" w:color="auto"/>
            <w:right w:val="none" w:sz="0" w:space="0" w:color="auto"/>
          </w:divBdr>
          <w:divsChild>
            <w:div w:id="635794408">
              <w:marLeft w:val="0"/>
              <w:marRight w:val="0"/>
              <w:marTop w:val="0"/>
              <w:marBottom w:val="0"/>
              <w:divBdr>
                <w:top w:val="none" w:sz="0" w:space="0" w:color="auto"/>
                <w:left w:val="none" w:sz="0" w:space="0" w:color="auto"/>
                <w:bottom w:val="none" w:sz="0" w:space="0" w:color="auto"/>
                <w:right w:val="none" w:sz="0" w:space="0" w:color="auto"/>
              </w:divBdr>
            </w:div>
            <w:div w:id="740063010">
              <w:marLeft w:val="0"/>
              <w:marRight w:val="0"/>
              <w:marTop w:val="0"/>
              <w:marBottom w:val="0"/>
              <w:divBdr>
                <w:top w:val="none" w:sz="0" w:space="0" w:color="auto"/>
                <w:left w:val="none" w:sz="0" w:space="0" w:color="auto"/>
                <w:bottom w:val="none" w:sz="0" w:space="0" w:color="auto"/>
                <w:right w:val="none" w:sz="0" w:space="0" w:color="auto"/>
              </w:divBdr>
            </w:div>
            <w:div w:id="819149314">
              <w:marLeft w:val="0"/>
              <w:marRight w:val="0"/>
              <w:marTop w:val="0"/>
              <w:marBottom w:val="0"/>
              <w:divBdr>
                <w:top w:val="none" w:sz="0" w:space="0" w:color="auto"/>
                <w:left w:val="none" w:sz="0" w:space="0" w:color="auto"/>
                <w:bottom w:val="none" w:sz="0" w:space="0" w:color="auto"/>
                <w:right w:val="none" w:sz="0" w:space="0" w:color="auto"/>
              </w:divBdr>
            </w:div>
            <w:div w:id="955676848">
              <w:marLeft w:val="0"/>
              <w:marRight w:val="0"/>
              <w:marTop w:val="0"/>
              <w:marBottom w:val="0"/>
              <w:divBdr>
                <w:top w:val="none" w:sz="0" w:space="0" w:color="auto"/>
                <w:left w:val="none" w:sz="0" w:space="0" w:color="auto"/>
                <w:bottom w:val="none" w:sz="0" w:space="0" w:color="auto"/>
                <w:right w:val="none" w:sz="0" w:space="0" w:color="auto"/>
              </w:divBdr>
            </w:div>
            <w:div w:id="1511288727">
              <w:marLeft w:val="0"/>
              <w:marRight w:val="0"/>
              <w:marTop w:val="0"/>
              <w:marBottom w:val="0"/>
              <w:divBdr>
                <w:top w:val="none" w:sz="0" w:space="0" w:color="auto"/>
                <w:left w:val="none" w:sz="0" w:space="0" w:color="auto"/>
                <w:bottom w:val="none" w:sz="0" w:space="0" w:color="auto"/>
                <w:right w:val="none" w:sz="0" w:space="0" w:color="auto"/>
              </w:divBdr>
            </w:div>
            <w:div w:id="2043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5659">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660178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14176410">
      <w:bodyDiv w:val="1"/>
      <w:marLeft w:val="77"/>
      <w:marRight w:val="77"/>
      <w:marTop w:val="77"/>
      <w:marBottom w:val="77"/>
      <w:divBdr>
        <w:top w:val="none" w:sz="0" w:space="0" w:color="auto"/>
        <w:left w:val="none" w:sz="0" w:space="0" w:color="auto"/>
        <w:bottom w:val="none" w:sz="0" w:space="0" w:color="auto"/>
        <w:right w:val="none" w:sz="0" w:space="0" w:color="auto"/>
      </w:divBdr>
      <w:divsChild>
        <w:div w:id="4090208">
          <w:marLeft w:val="124"/>
          <w:marRight w:val="0"/>
          <w:marTop w:val="155"/>
          <w:marBottom w:val="0"/>
          <w:divBdr>
            <w:top w:val="none" w:sz="0" w:space="0" w:color="auto"/>
            <w:left w:val="none" w:sz="0" w:space="0" w:color="auto"/>
            <w:bottom w:val="none" w:sz="0" w:space="0" w:color="auto"/>
            <w:right w:val="none" w:sz="0" w:space="0" w:color="auto"/>
          </w:divBdr>
          <w:divsChild>
            <w:div w:id="1774007827">
              <w:marLeft w:val="0"/>
              <w:marRight w:val="155"/>
              <w:marTop w:val="0"/>
              <w:marBottom w:val="0"/>
              <w:divBdr>
                <w:top w:val="none" w:sz="0" w:space="0" w:color="auto"/>
                <w:left w:val="none" w:sz="0" w:space="0" w:color="auto"/>
                <w:bottom w:val="none" w:sz="0" w:space="0" w:color="auto"/>
                <w:right w:val="none" w:sz="0" w:space="0" w:color="auto"/>
              </w:divBdr>
            </w:div>
          </w:divsChild>
        </w:div>
      </w:divsChild>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91809924">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993243724">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1166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norityhealth.hhs.gov/npa/files/Plans/HHS/HHS_Plan_complete.pd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archive.org/stream/reportofsecretar00us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bls.gov/oes/current/naics4_999200.htm" TargetMode="External"/><Relationship Id="rId10" Type="http://schemas.openxmlformats.org/officeDocument/2006/relationships/footer" Target="foot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nasomh.org/page.asp?id=1&amp;detail=668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C1394-D134-48DD-9920-90737982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2697</Words>
  <Characters>15379</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18040</CharactersWithSpaces>
  <SharedDoc>false</SharedDoc>
  <HLinks>
    <vt:vector size="12" baseType="variant">
      <vt:variant>
        <vt:i4>721013</vt:i4>
      </vt:variant>
      <vt:variant>
        <vt:i4>6</vt:i4>
      </vt:variant>
      <vt:variant>
        <vt:i4>0</vt:i4>
      </vt:variant>
      <vt:variant>
        <vt:i4>5</vt:i4>
      </vt:variant>
      <vt:variant>
        <vt:lpwstr>http://www.bls.gov/oes/2008/may/naics3_622000.htm</vt:lpwstr>
      </vt:variant>
      <vt:variant>
        <vt:lpwstr/>
      </vt:variant>
      <vt:variant>
        <vt:i4>3080251</vt:i4>
      </vt:variant>
      <vt:variant>
        <vt:i4>3</vt:i4>
      </vt:variant>
      <vt:variant>
        <vt:i4>0</vt:i4>
      </vt:variant>
      <vt:variant>
        <vt:i4>5</vt:i4>
      </vt:variant>
      <vt:variant>
        <vt:lpwstr>http://www.ahrq.gov/qual/hospsurvey09/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Windows User</cp:lastModifiedBy>
  <cp:revision>2</cp:revision>
  <cp:lastPrinted>2015-06-22T20:47:00Z</cp:lastPrinted>
  <dcterms:created xsi:type="dcterms:W3CDTF">2015-10-20T17:26:00Z</dcterms:created>
  <dcterms:modified xsi:type="dcterms:W3CDTF">2015-10-20T17:26:00Z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1625076415</vt:i4>
  </property>
</Properties>
</file>