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0227F" w14:textId="77777777" w:rsidR="00EC77E0" w:rsidRPr="00EC77E0" w:rsidRDefault="00EC77E0" w:rsidP="00EC77E0">
      <w:pPr>
        <w:pStyle w:val="NoSpacing"/>
        <w:jc w:val="center"/>
        <w:rPr>
          <w:b/>
          <w:sz w:val="28"/>
        </w:rPr>
      </w:pPr>
      <w:r w:rsidRPr="00EC77E0">
        <w:rPr>
          <w:b/>
          <w:sz w:val="28"/>
        </w:rPr>
        <w:t xml:space="preserve">Supporting Statement </w:t>
      </w:r>
      <w:r w:rsidR="001B3CD3">
        <w:rPr>
          <w:b/>
          <w:sz w:val="28"/>
        </w:rPr>
        <w:t>B</w:t>
      </w:r>
    </w:p>
    <w:p w14:paraId="6ABD857C" w14:textId="2EF53573" w:rsidR="00442427" w:rsidRDefault="00442427" w:rsidP="00EC77E0">
      <w:pPr>
        <w:pStyle w:val="NoSpacing"/>
        <w:jc w:val="center"/>
        <w:rPr>
          <w:b/>
          <w:sz w:val="28"/>
        </w:rPr>
      </w:pPr>
      <w:r w:rsidRPr="00442427">
        <w:rPr>
          <w:b/>
          <w:sz w:val="28"/>
        </w:rPr>
        <w:t>Glen Canyon Survey</w:t>
      </w:r>
    </w:p>
    <w:p w14:paraId="379989DB" w14:textId="03B6E594" w:rsidR="00EC77E0" w:rsidRPr="00EC77E0" w:rsidRDefault="00EC77E0" w:rsidP="00EC77E0">
      <w:pPr>
        <w:pStyle w:val="NoSpacing"/>
        <w:jc w:val="center"/>
        <w:rPr>
          <w:b/>
          <w:sz w:val="28"/>
        </w:rPr>
      </w:pPr>
      <w:r w:rsidRPr="00EC77E0">
        <w:rPr>
          <w:b/>
          <w:sz w:val="28"/>
        </w:rPr>
        <w:t>OMB Control Number 1024-</w:t>
      </w:r>
      <w:r w:rsidR="00265D0A">
        <w:rPr>
          <w:b/>
          <w:sz w:val="28"/>
        </w:rPr>
        <w:t>0270</w:t>
      </w:r>
    </w:p>
    <w:p w14:paraId="184A79B1" w14:textId="77777777" w:rsidR="00EC77E0" w:rsidRDefault="00EC77E0" w:rsidP="00CF076F">
      <w:pPr>
        <w:pStyle w:val="NoSpacing"/>
        <w:jc w:val="center"/>
        <w:rPr>
          <w:b/>
        </w:rPr>
      </w:pPr>
    </w:p>
    <w:p w14:paraId="7C2B3AB0" w14:textId="77777777" w:rsidR="00DE67FA" w:rsidRPr="00DE67FA" w:rsidRDefault="00DE67FA" w:rsidP="00DE67FA">
      <w:pPr>
        <w:widowControl w:val="0"/>
        <w:autoSpaceDE w:val="0"/>
        <w:autoSpaceDN w:val="0"/>
        <w:adjustRightInd w:val="0"/>
        <w:spacing w:after="0"/>
        <w:jc w:val="center"/>
        <w:rPr>
          <w:rFonts w:eastAsia="Times New Roman" w:cstheme="minorHAnsi"/>
          <w:b/>
          <w:bCs/>
        </w:rPr>
      </w:pPr>
    </w:p>
    <w:p w14:paraId="21776567" w14:textId="77777777" w:rsidR="00DE67FA" w:rsidRPr="00DE67FA" w:rsidRDefault="00DE67FA" w:rsidP="00DE67F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rPr>
      </w:pPr>
      <w:r w:rsidRPr="00DE67FA">
        <w:rPr>
          <w:rFonts w:eastAsia="Times New Roman" w:cstheme="minorHAnsi"/>
          <w:b/>
        </w:rPr>
        <w:t>1.</w:t>
      </w:r>
      <w:r w:rsidRPr="00DE67FA">
        <w:rPr>
          <w:rFonts w:eastAsia="Times New Roman" w:cstheme="minorHAnsi"/>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7C79F6CF" w14:textId="77777777" w:rsidR="00DE67FA" w:rsidRPr="00DE67FA" w:rsidRDefault="00DE67FA" w:rsidP="00DE67F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rPr>
      </w:pPr>
    </w:p>
    <w:p w14:paraId="53028F1F" w14:textId="744E6E8A" w:rsidR="0005230A" w:rsidRPr="00DE67FA" w:rsidRDefault="002A408E" w:rsidP="006F695D">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eastAsia="Times New Roman" w:cstheme="minorHAnsi"/>
        </w:rPr>
      </w:pPr>
      <w:r>
        <w:rPr>
          <w:rFonts w:eastAsia="Times New Roman" w:cstheme="minorHAnsi"/>
          <w:b/>
          <w:bCs/>
        </w:rPr>
        <w:t xml:space="preserve">Mail </w:t>
      </w:r>
      <w:r w:rsidR="002C57C2" w:rsidRPr="002C57C2">
        <w:rPr>
          <w:rFonts w:eastAsia="Times New Roman" w:cstheme="minorHAnsi"/>
          <w:b/>
          <w:bCs/>
        </w:rPr>
        <w:t>Survey:</w:t>
      </w:r>
      <w:r w:rsidR="002C57C2">
        <w:rPr>
          <w:rFonts w:eastAsia="Times New Roman" w:cstheme="minorHAnsi"/>
          <w:bCs/>
        </w:rPr>
        <w:t xml:space="preserve"> </w:t>
      </w:r>
      <w:r w:rsidR="002C57C2" w:rsidRPr="00DE67FA">
        <w:rPr>
          <w:rFonts w:eastAsia="Times New Roman" w:cstheme="minorHAnsi"/>
        </w:rPr>
        <w:t xml:space="preserve">We will purchase </w:t>
      </w:r>
      <w:r w:rsidR="00DC42CE">
        <w:rPr>
          <w:rFonts w:eastAsia="Times New Roman" w:cstheme="minorHAnsi"/>
        </w:rPr>
        <w:t>a randomly generated list of names, addresses and telephone numbers f</w:t>
      </w:r>
      <w:r w:rsidR="002C57C2" w:rsidRPr="00DE67FA">
        <w:rPr>
          <w:rFonts w:eastAsia="Times New Roman" w:cstheme="minorHAnsi"/>
        </w:rPr>
        <w:t>rom Survey Sampling Intern</w:t>
      </w:r>
      <w:r w:rsidR="002C57C2">
        <w:rPr>
          <w:rFonts w:eastAsia="Times New Roman" w:cstheme="minorHAnsi"/>
        </w:rPr>
        <w:t xml:space="preserve">ational (SSI). </w:t>
      </w:r>
      <w:r w:rsidR="0005230A" w:rsidRPr="00DE67FA">
        <w:rPr>
          <w:rFonts w:eastAsia="Times New Roman" w:cstheme="minorHAnsi"/>
          <w:bCs/>
        </w:rPr>
        <w:t>The respondent universe for this collection will be adults (18 years of age or older)</w:t>
      </w:r>
      <w:r w:rsidR="0005230A">
        <w:rPr>
          <w:rFonts w:eastAsia="Times New Roman" w:cstheme="minorHAnsi"/>
          <w:bCs/>
        </w:rPr>
        <w:t xml:space="preserve"> </w:t>
      </w:r>
      <w:r w:rsidR="0005230A">
        <w:rPr>
          <w:rFonts w:eastAsia="Times New Roman" w:cstheme="minorHAnsi"/>
        </w:rPr>
        <w:t xml:space="preserve">living in </w:t>
      </w:r>
      <w:r w:rsidR="00DE67FA" w:rsidRPr="00DE67FA">
        <w:rPr>
          <w:rFonts w:eastAsia="Times New Roman" w:cstheme="minorHAnsi"/>
        </w:rPr>
        <w:t xml:space="preserve">households </w:t>
      </w:r>
      <w:r w:rsidR="0005230A">
        <w:rPr>
          <w:rFonts w:eastAsia="Times New Roman" w:cstheme="minorHAnsi"/>
        </w:rPr>
        <w:t xml:space="preserve">within </w:t>
      </w:r>
      <w:r w:rsidR="00DE67FA" w:rsidRPr="00DE67FA">
        <w:rPr>
          <w:rFonts w:eastAsia="Times New Roman" w:cstheme="minorHAnsi"/>
        </w:rPr>
        <w:t>in the</w:t>
      </w:r>
      <w:r w:rsidR="00634340">
        <w:rPr>
          <w:rFonts w:eastAsia="Times New Roman" w:cstheme="minorHAnsi"/>
        </w:rPr>
        <w:t xml:space="preserve"> </w:t>
      </w:r>
      <w:r w:rsidR="0005230A" w:rsidRPr="003A7DF1">
        <w:rPr>
          <w:rFonts w:eastAsia="Times New Roman" w:cstheme="minorHAnsi"/>
        </w:rPr>
        <w:t>Glen Canyon Dam</w:t>
      </w:r>
      <w:r w:rsidR="0005230A" w:rsidRPr="00DE67FA">
        <w:rPr>
          <w:rFonts w:eastAsia="Times New Roman" w:cstheme="minorHAnsi"/>
        </w:rPr>
        <w:t xml:space="preserve"> </w:t>
      </w:r>
      <w:r w:rsidR="002C57C2">
        <w:rPr>
          <w:rFonts w:eastAsia="Times New Roman" w:cstheme="minorHAnsi"/>
        </w:rPr>
        <w:t xml:space="preserve">region </w:t>
      </w:r>
      <w:r w:rsidR="00DE67FA" w:rsidRPr="00DE67FA">
        <w:rPr>
          <w:rFonts w:eastAsia="Times New Roman" w:cstheme="minorHAnsi"/>
        </w:rPr>
        <w:t>and</w:t>
      </w:r>
      <w:r w:rsidR="0005230A">
        <w:rPr>
          <w:rFonts w:eastAsia="Times New Roman" w:cstheme="minorHAnsi"/>
        </w:rPr>
        <w:t xml:space="preserve"> </w:t>
      </w:r>
      <w:r w:rsidR="00DE67FA" w:rsidRPr="00DE67FA">
        <w:rPr>
          <w:rFonts w:eastAsia="Times New Roman" w:cstheme="minorHAnsi"/>
        </w:rPr>
        <w:t>the rest of the</w:t>
      </w:r>
      <w:r w:rsidR="0005230A">
        <w:rPr>
          <w:rFonts w:eastAsia="Times New Roman" w:cstheme="minorHAnsi"/>
        </w:rPr>
        <w:t xml:space="preserve"> </w:t>
      </w:r>
      <w:r w:rsidR="00DE67FA" w:rsidRPr="00DE67FA">
        <w:rPr>
          <w:rFonts w:eastAsia="Times New Roman" w:cstheme="minorHAnsi"/>
        </w:rPr>
        <w:t>United States</w:t>
      </w:r>
      <w:r w:rsidR="002C57C2" w:rsidRPr="002C57C2">
        <w:rPr>
          <w:rFonts w:eastAsia="Times New Roman" w:cstheme="minorHAnsi"/>
        </w:rPr>
        <w:t xml:space="preserve"> </w:t>
      </w:r>
      <w:r w:rsidR="002C57C2">
        <w:rPr>
          <w:rFonts w:eastAsia="Times New Roman" w:cstheme="minorHAnsi"/>
        </w:rPr>
        <w:t>(see Table 2 below)</w:t>
      </w:r>
      <w:r w:rsidR="00DE67FA" w:rsidRPr="00DE67FA">
        <w:rPr>
          <w:rFonts w:eastAsia="Times New Roman" w:cstheme="minorHAnsi"/>
        </w:rPr>
        <w:t xml:space="preserve">. </w:t>
      </w:r>
      <w:r w:rsidR="00FC2F56" w:rsidRPr="00FC2F56">
        <w:rPr>
          <w:rFonts w:eastAsia="Times New Roman" w:cstheme="minorHAnsi"/>
          <w:bCs/>
        </w:rPr>
        <w:t xml:space="preserve">We </w:t>
      </w:r>
      <w:r w:rsidR="002C57C2">
        <w:rPr>
          <w:rFonts w:eastAsia="Times New Roman" w:cstheme="minorHAnsi"/>
          <w:bCs/>
        </w:rPr>
        <w:t xml:space="preserve">mail surveys to a total of </w:t>
      </w:r>
      <w:r w:rsidR="007263C8">
        <w:rPr>
          <w:rFonts w:eastAsia="Times New Roman" w:cstheme="minorHAnsi"/>
          <w:bCs/>
        </w:rPr>
        <w:t>4,626</w:t>
      </w:r>
      <w:r w:rsidR="00FC2F56" w:rsidRPr="00FC2F56">
        <w:rPr>
          <w:rFonts w:eastAsia="Times New Roman" w:cstheme="minorHAnsi"/>
          <w:bCs/>
        </w:rPr>
        <w:t xml:space="preserve"> residential mailing addresses </w:t>
      </w:r>
      <w:r w:rsidR="002C57C2">
        <w:rPr>
          <w:rFonts w:eastAsia="Times New Roman" w:cstheme="minorHAnsi"/>
          <w:bCs/>
        </w:rPr>
        <w:t xml:space="preserve">with the </w:t>
      </w:r>
      <w:r w:rsidR="00DC42CE">
        <w:rPr>
          <w:rFonts w:eastAsia="Times New Roman" w:cstheme="minorHAnsi"/>
          <w:bCs/>
        </w:rPr>
        <w:t xml:space="preserve">expected response rate of </w:t>
      </w:r>
      <w:r w:rsidR="006F695D" w:rsidRPr="00D728F3">
        <w:rPr>
          <w:rFonts w:ascii="Calibri" w:hAnsi="Calibri" w:cs="Calibri"/>
        </w:rPr>
        <w:t>30% (n=1,</w:t>
      </w:r>
      <w:r w:rsidR="006F695D">
        <w:rPr>
          <w:rFonts w:ascii="Calibri" w:hAnsi="Calibri" w:cs="Calibri"/>
        </w:rPr>
        <w:t>041</w:t>
      </w:r>
      <w:r w:rsidR="006F695D" w:rsidRPr="00D728F3">
        <w:rPr>
          <w:rFonts w:ascii="Calibri" w:hAnsi="Calibri" w:cs="Calibri"/>
        </w:rPr>
        <w:t xml:space="preserve">) response rate for the </w:t>
      </w:r>
      <w:r w:rsidR="006F695D">
        <w:rPr>
          <w:rFonts w:ascii="Calibri" w:hAnsi="Calibri" w:cs="Calibri"/>
        </w:rPr>
        <w:t>n</w:t>
      </w:r>
      <w:r w:rsidR="006F695D" w:rsidRPr="00D728F3">
        <w:rPr>
          <w:rFonts w:ascii="Calibri" w:hAnsi="Calibri" w:cs="Calibri"/>
        </w:rPr>
        <w:t xml:space="preserve">ational </w:t>
      </w:r>
      <w:r w:rsidR="006F695D">
        <w:rPr>
          <w:rFonts w:ascii="Calibri" w:hAnsi="Calibri" w:cs="Calibri"/>
        </w:rPr>
        <w:t>s</w:t>
      </w:r>
      <w:r w:rsidR="006F695D" w:rsidRPr="00D728F3">
        <w:rPr>
          <w:rFonts w:ascii="Calibri" w:hAnsi="Calibri" w:cs="Calibri"/>
        </w:rPr>
        <w:t xml:space="preserve">urvey and </w:t>
      </w:r>
      <w:r w:rsidR="006F695D">
        <w:rPr>
          <w:rFonts w:ascii="Calibri" w:hAnsi="Calibri" w:cs="Calibri"/>
        </w:rPr>
        <w:t>a 40% (462</w:t>
      </w:r>
      <w:r w:rsidR="006F695D" w:rsidRPr="00D728F3">
        <w:rPr>
          <w:rFonts w:ascii="Calibri" w:hAnsi="Calibri" w:cs="Calibri"/>
        </w:rPr>
        <w:t xml:space="preserve">) for </w:t>
      </w:r>
      <w:proofErr w:type="gramStart"/>
      <w:r w:rsidR="006F695D" w:rsidRPr="00D728F3">
        <w:rPr>
          <w:rFonts w:ascii="Calibri" w:hAnsi="Calibri" w:cs="Calibri"/>
        </w:rPr>
        <w:t>the</w:t>
      </w:r>
      <w:proofErr w:type="gramEnd"/>
      <w:r w:rsidR="006F695D" w:rsidRPr="00D728F3">
        <w:rPr>
          <w:rFonts w:ascii="Calibri" w:hAnsi="Calibri" w:cs="Calibri"/>
        </w:rPr>
        <w:t xml:space="preserve"> regional survey.</w:t>
      </w:r>
    </w:p>
    <w:p w14:paraId="497F50C4" w14:textId="77777777" w:rsidR="0065490F" w:rsidRPr="0065490F" w:rsidRDefault="0065490F" w:rsidP="0097187B">
      <w:pPr>
        <w:rPr>
          <w:b/>
          <w:bCs/>
        </w:rPr>
      </w:pPr>
      <w:r w:rsidRPr="0065490F">
        <w:rPr>
          <w:b/>
        </w:rPr>
        <w:t xml:space="preserve">Table </w:t>
      </w:r>
      <w:r>
        <w:rPr>
          <w:b/>
        </w:rPr>
        <w:t>2</w:t>
      </w:r>
      <w:r w:rsidRPr="0065490F">
        <w:rPr>
          <w:b/>
        </w:rPr>
        <w:t xml:space="preserve">: Sample Size and Response Rates </w:t>
      </w:r>
    </w:p>
    <w:tbl>
      <w:tblPr>
        <w:tblpPr w:leftFromText="180" w:rightFromText="180" w:vertAnchor="text" w:horzAnchor="margin" w:tblpY="354"/>
        <w:tblW w:w="9288" w:type="dxa"/>
        <w:tblBorders>
          <w:top w:val="double" w:sz="4" w:space="0" w:color="auto"/>
          <w:bottom w:val="double" w:sz="4" w:space="0" w:color="auto"/>
          <w:insideH w:val="single" w:sz="8" w:space="0" w:color="auto"/>
        </w:tblBorders>
        <w:tblLayout w:type="fixed"/>
        <w:tblLook w:val="04A0" w:firstRow="1" w:lastRow="0" w:firstColumn="1" w:lastColumn="0" w:noHBand="0" w:noVBand="1"/>
      </w:tblPr>
      <w:tblGrid>
        <w:gridCol w:w="3258"/>
        <w:gridCol w:w="1440"/>
        <w:gridCol w:w="1530"/>
        <w:gridCol w:w="1260"/>
        <w:gridCol w:w="1800"/>
      </w:tblGrid>
      <w:tr w:rsidR="0005230A" w:rsidRPr="00B013A9" w14:paraId="69D94321" w14:textId="77777777" w:rsidTr="00D73E34">
        <w:trPr>
          <w:trHeight w:val="606"/>
        </w:trPr>
        <w:tc>
          <w:tcPr>
            <w:tcW w:w="3258" w:type="dxa"/>
            <w:tcBorders>
              <w:top w:val="single" w:sz="4" w:space="0" w:color="auto"/>
              <w:left w:val="single" w:sz="4" w:space="0" w:color="auto"/>
              <w:bottom w:val="single" w:sz="4" w:space="0" w:color="auto"/>
            </w:tcBorders>
            <w:shd w:val="clear" w:color="auto" w:fill="auto"/>
            <w:noWrap/>
            <w:vAlign w:val="bottom"/>
            <w:hideMark/>
          </w:tcPr>
          <w:p w14:paraId="344A4885" w14:textId="77777777" w:rsidR="0005230A" w:rsidRPr="00B013A9" w:rsidRDefault="00A44FAC" w:rsidP="00D73E34">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sidRPr="00B013A9">
              <w:rPr>
                <w:rFonts w:eastAsia="Times New Roman" w:cstheme="minorHAnsi"/>
                <w:b/>
                <w:bCs/>
                <w:sz w:val="20"/>
              </w:rPr>
              <w:t>Sample Frame</w:t>
            </w:r>
            <w:r w:rsidR="00D73E34">
              <w:rPr>
                <w:rFonts w:eastAsia="Times New Roman" w:cstheme="minorHAnsi"/>
                <w:b/>
                <w:bCs/>
                <w:sz w:val="20"/>
              </w:rPr>
              <w:t>s</w:t>
            </w:r>
          </w:p>
        </w:tc>
        <w:tc>
          <w:tcPr>
            <w:tcW w:w="1440" w:type="dxa"/>
            <w:tcBorders>
              <w:top w:val="single" w:sz="4" w:space="0" w:color="auto"/>
              <w:bottom w:val="single" w:sz="4" w:space="0" w:color="auto"/>
            </w:tcBorders>
          </w:tcPr>
          <w:p w14:paraId="20CCDD93" w14:textId="77777777" w:rsidR="0005230A" w:rsidRPr="00B013A9" w:rsidRDefault="0005230A" w:rsidP="0005230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sidRPr="00B013A9">
              <w:rPr>
                <w:rFonts w:eastAsia="Times New Roman" w:cstheme="minorHAnsi"/>
                <w:b/>
                <w:bCs/>
                <w:sz w:val="20"/>
              </w:rPr>
              <w:t>Total Number of</w:t>
            </w:r>
          </w:p>
          <w:p w14:paraId="6E5D2046" w14:textId="77777777" w:rsidR="0005230A" w:rsidRPr="00B013A9" w:rsidRDefault="0005230A" w:rsidP="0005230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sidRPr="00B013A9">
              <w:rPr>
                <w:rFonts w:eastAsia="Times New Roman" w:cstheme="minorHAnsi"/>
                <w:b/>
                <w:bCs/>
                <w:sz w:val="20"/>
              </w:rPr>
              <w:t>Households</w:t>
            </w:r>
          </w:p>
        </w:tc>
        <w:tc>
          <w:tcPr>
            <w:tcW w:w="1530" w:type="dxa"/>
            <w:tcBorders>
              <w:top w:val="single" w:sz="4" w:space="0" w:color="auto"/>
              <w:bottom w:val="single" w:sz="4" w:space="0" w:color="auto"/>
            </w:tcBorders>
            <w:vAlign w:val="bottom"/>
          </w:tcPr>
          <w:p w14:paraId="05AC0F66" w14:textId="77777777" w:rsidR="0005230A" w:rsidRPr="00B013A9" w:rsidDel="00F4401E" w:rsidRDefault="0005230A" w:rsidP="0005230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sidRPr="00B013A9">
              <w:rPr>
                <w:rFonts w:eastAsia="Times New Roman" w:cstheme="minorHAnsi"/>
                <w:b/>
                <w:bCs/>
                <w:sz w:val="20"/>
              </w:rPr>
              <w:t>Number of Sampled Households</w:t>
            </w:r>
          </w:p>
        </w:tc>
        <w:tc>
          <w:tcPr>
            <w:tcW w:w="1260" w:type="dxa"/>
            <w:tcBorders>
              <w:top w:val="single" w:sz="4" w:space="0" w:color="auto"/>
              <w:bottom w:val="single" w:sz="4" w:space="0" w:color="auto"/>
            </w:tcBorders>
            <w:shd w:val="clear" w:color="auto" w:fill="auto"/>
            <w:noWrap/>
            <w:vAlign w:val="bottom"/>
            <w:hideMark/>
          </w:tcPr>
          <w:p w14:paraId="34D77A2C" w14:textId="77777777" w:rsidR="0005230A" w:rsidRPr="00B013A9" w:rsidRDefault="0005230A" w:rsidP="0005230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sidRPr="00B013A9">
              <w:rPr>
                <w:rFonts w:eastAsia="Times New Roman" w:cstheme="minorHAnsi"/>
                <w:b/>
                <w:bCs/>
                <w:sz w:val="20"/>
              </w:rPr>
              <w:t>Estimated Response Rate</w:t>
            </w:r>
          </w:p>
        </w:tc>
        <w:tc>
          <w:tcPr>
            <w:tcW w:w="1800" w:type="dxa"/>
            <w:tcBorders>
              <w:top w:val="single" w:sz="4" w:space="0" w:color="auto"/>
              <w:bottom w:val="single" w:sz="4" w:space="0" w:color="auto"/>
              <w:right w:val="single" w:sz="4" w:space="0" w:color="auto"/>
            </w:tcBorders>
            <w:shd w:val="clear" w:color="auto" w:fill="auto"/>
            <w:vAlign w:val="bottom"/>
            <w:hideMark/>
          </w:tcPr>
          <w:p w14:paraId="4976B3B7" w14:textId="77777777" w:rsidR="0005230A" w:rsidRPr="00B013A9" w:rsidRDefault="0005230A" w:rsidP="00B640C4">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sidRPr="00B013A9">
              <w:rPr>
                <w:rFonts w:eastAsia="Times New Roman" w:cstheme="minorHAnsi"/>
                <w:b/>
                <w:bCs/>
                <w:sz w:val="20"/>
              </w:rPr>
              <w:t xml:space="preserve">Estimated </w:t>
            </w:r>
            <w:r w:rsidR="00B640C4">
              <w:rPr>
                <w:rFonts w:eastAsia="Times New Roman" w:cstheme="minorHAnsi"/>
                <w:b/>
                <w:bCs/>
                <w:sz w:val="20"/>
              </w:rPr>
              <w:t xml:space="preserve">Number of </w:t>
            </w:r>
            <w:r w:rsidR="00B640C4" w:rsidRPr="00B013A9">
              <w:rPr>
                <w:rFonts w:eastAsia="Times New Roman" w:cstheme="minorHAnsi"/>
                <w:b/>
                <w:bCs/>
                <w:sz w:val="20"/>
              </w:rPr>
              <w:t>Respon</w:t>
            </w:r>
            <w:r w:rsidR="00B640C4">
              <w:rPr>
                <w:rFonts w:eastAsia="Times New Roman" w:cstheme="minorHAnsi"/>
                <w:b/>
                <w:bCs/>
                <w:sz w:val="20"/>
              </w:rPr>
              <w:t>ses</w:t>
            </w:r>
          </w:p>
        </w:tc>
      </w:tr>
      <w:tr w:rsidR="00E0191C" w:rsidRPr="0005230A" w14:paraId="214261B9" w14:textId="77777777" w:rsidTr="0088562C">
        <w:trPr>
          <w:trHeight w:val="2464"/>
        </w:trPr>
        <w:tc>
          <w:tcPr>
            <w:tcW w:w="3258" w:type="dxa"/>
            <w:tcBorders>
              <w:top w:val="single" w:sz="4" w:space="0" w:color="auto"/>
              <w:left w:val="single" w:sz="4" w:space="0" w:color="auto"/>
            </w:tcBorders>
            <w:shd w:val="clear" w:color="auto" w:fill="auto"/>
            <w:noWrap/>
            <w:vAlign w:val="center"/>
            <w:hideMark/>
          </w:tcPr>
          <w:p w14:paraId="4EF1260C" w14:textId="77777777" w:rsidR="00E0191C" w:rsidRDefault="00D73E34" w:rsidP="00E0191C">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bCs/>
                <w:sz w:val="20"/>
              </w:rPr>
            </w:pPr>
            <w:r>
              <w:rPr>
                <w:rFonts w:eastAsia="Times New Roman" w:cstheme="minorHAnsi"/>
                <w:b/>
                <w:bCs/>
                <w:sz w:val="20"/>
              </w:rPr>
              <w:t>Glen Canyon Dam Regional Sample</w:t>
            </w:r>
          </w:p>
          <w:p w14:paraId="144D8B21" w14:textId="77777777" w:rsidR="00DC42CE" w:rsidRDefault="00E0191C" w:rsidP="00DC42CE">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rPr>
                <w:rFonts w:eastAsia="Times New Roman" w:cstheme="minorHAnsi"/>
                <w:bCs/>
                <w:sz w:val="20"/>
              </w:rPr>
            </w:pPr>
            <w:r w:rsidRPr="00E0191C">
              <w:rPr>
                <w:rFonts w:eastAsia="Times New Roman" w:cstheme="minorHAnsi"/>
                <w:b/>
                <w:bCs/>
                <w:sz w:val="20"/>
              </w:rPr>
              <w:t>UTAH</w:t>
            </w:r>
            <w:r w:rsidR="00DC0F68">
              <w:rPr>
                <w:rFonts w:eastAsia="Times New Roman" w:cstheme="minorHAnsi"/>
                <w:b/>
                <w:bCs/>
                <w:sz w:val="20"/>
              </w:rPr>
              <w:t>:</w:t>
            </w:r>
            <w:r w:rsidR="00DC0F68">
              <w:rPr>
                <w:rFonts w:eastAsia="Times New Roman" w:cstheme="minorHAnsi"/>
                <w:bCs/>
                <w:sz w:val="20"/>
              </w:rPr>
              <w:t xml:space="preserve"> Washington, Kane and San Juan Counties</w:t>
            </w:r>
          </w:p>
          <w:p w14:paraId="7DDF329F" w14:textId="77777777" w:rsidR="00DC42CE" w:rsidRPr="00DC42CE" w:rsidRDefault="00DC42CE" w:rsidP="00DC42CE">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rPr>
                <w:rFonts w:eastAsia="Times New Roman" w:cstheme="minorHAnsi"/>
                <w:bCs/>
                <w:sz w:val="12"/>
              </w:rPr>
            </w:pPr>
          </w:p>
          <w:p w14:paraId="76A60275" w14:textId="77777777" w:rsidR="00E0191C" w:rsidRDefault="00DC0F68" w:rsidP="00DC42CE">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rPr>
                <w:rFonts w:eastAsia="Times New Roman" w:cstheme="minorHAnsi"/>
                <w:bCs/>
                <w:sz w:val="20"/>
              </w:rPr>
            </w:pPr>
            <w:r>
              <w:rPr>
                <w:rFonts w:eastAsia="Times New Roman" w:cstheme="minorHAnsi"/>
                <w:b/>
                <w:bCs/>
                <w:sz w:val="20"/>
              </w:rPr>
              <w:t>N</w:t>
            </w:r>
            <w:r w:rsidR="00E0191C" w:rsidRPr="00E0191C">
              <w:rPr>
                <w:rFonts w:eastAsia="Times New Roman" w:cstheme="minorHAnsi"/>
                <w:b/>
                <w:bCs/>
                <w:sz w:val="20"/>
              </w:rPr>
              <w:t>EVADA</w:t>
            </w:r>
            <w:r>
              <w:rPr>
                <w:rFonts w:eastAsia="Times New Roman" w:cstheme="minorHAnsi"/>
                <w:b/>
                <w:bCs/>
                <w:sz w:val="20"/>
              </w:rPr>
              <w:t>:</w:t>
            </w:r>
            <w:r w:rsidRPr="0065490F">
              <w:rPr>
                <w:rFonts w:eastAsia="Times New Roman" w:cstheme="minorHAnsi"/>
                <w:bCs/>
                <w:sz w:val="20"/>
              </w:rPr>
              <w:t xml:space="preserve"> Clark County</w:t>
            </w:r>
          </w:p>
          <w:p w14:paraId="59B936B7" w14:textId="77777777" w:rsidR="00DC42CE" w:rsidRPr="00DC42CE" w:rsidRDefault="00DC42CE" w:rsidP="00DC42CE">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rPr>
                <w:rFonts w:eastAsia="Times New Roman" w:cstheme="minorHAnsi"/>
                <w:b/>
                <w:bCs/>
                <w:sz w:val="12"/>
              </w:rPr>
            </w:pPr>
          </w:p>
          <w:p w14:paraId="31750032" w14:textId="77777777" w:rsidR="00E0191C" w:rsidRPr="0065490F" w:rsidRDefault="00E0191C" w:rsidP="00DC42CE">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rPr>
                <w:rFonts w:eastAsia="Times New Roman" w:cstheme="minorHAnsi"/>
                <w:bCs/>
                <w:sz w:val="20"/>
              </w:rPr>
            </w:pPr>
            <w:r w:rsidRPr="00E0191C">
              <w:rPr>
                <w:rFonts w:eastAsia="Times New Roman" w:cstheme="minorHAnsi"/>
                <w:b/>
                <w:bCs/>
                <w:sz w:val="20"/>
              </w:rPr>
              <w:t>ARIZONA</w:t>
            </w:r>
            <w:r w:rsidR="00DC0F68">
              <w:rPr>
                <w:rFonts w:eastAsia="Times New Roman" w:cstheme="minorHAnsi"/>
                <w:b/>
                <w:bCs/>
                <w:sz w:val="20"/>
              </w:rPr>
              <w:t>:</w:t>
            </w:r>
            <w:r w:rsidR="00DC0F68" w:rsidRPr="0065490F">
              <w:rPr>
                <w:rFonts w:eastAsia="Times New Roman" w:cstheme="minorHAnsi"/>
                <w:bCs/>
                <w:sz w:val="20"/>
              </w:rPr>
              <w:t xml:space="preserve"> Mojave</w:t>
            </w:r>
            <w:r w:rsidR="00DC0F68">
              <w:rPr>
                <w:rFonts w:eastAsia="Times New Roman" w:cstheme="minorHAnsi"/>
                <w:bCs/>
                <w:sz w:val="20"/>
              </w:rPr>
              <w:t>,</w:t>
            </w:r>
            <w:r w:rsidR="00DC0F68" w:rsidRPr="0065490F">
              <w:rPr>
                <w:rFonts w:eastAsia="Times New Roman" w:cstheme="minorHAnsi"/>
                <w:bCs/>
                <w:sz w:val="20"/>
              </w:rPr>
              <w:t xml:space="preserve"> Coconino Navaho</w:t>
            </w:r>
            <w:r w:rsidR="00DC0F68">
              <w:rPr>
                <w:rFonts w:eastAsia="Times New Roman" w:cstheme="minorHAnsi"/>
                <w:bCs/>
                <w:sz w:val="20"/>
              </w:rPr>
              <w:t xml:space="preserve"> and Apache Counties</w:t>
            </w:r>
          </w:p>
        </w:tc>
        <w:tc>
          <w:tcPr>
            <w:tcW w:w="1440" w:type="dxa"/>
            <w:tcBorders>
              <w:top w:val="single" w:sz="4" w:space="0" w:color="auto"/>
            </w:tcBorders>
            <w:vAlign w:val="center"/>
          </w:tcPr>
          <w:p w14:paraId="70953F59" w14:textId="77777777" w:rsidR="00E0191C" w:rsidRPr="00DC42CE" w:rsidRDefault="00E0191C" w:rsidP="00760A48">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sidRPr="00DC42CE">
              <w:rPr>
                <w:rFonts w:eastAsia="Times New Roman" w:cstheme="minorHAnsi"/>
                <w:b/>
                <w:bCs/>
                <w:sz w:val="20"/>
              </w:rPr>
              <w:t>939,900</w:t>
            </w:r>
            <w:r w:rsidR="00760A48">
              <w:rPr>
                <w:rFonts w:eastAsia="Times New Roman" w:cstheme="minorHAnsi"/>
                <w:b/>
                <w:bCs/>
                <w:sz w:val="20"/>
              </w:rPr>
              <w:t>*</w:t>
            </w:r>
          </w:p>
          <w:p w14:paraId="28AC3A96" w14:textId="77777777" w:rsidR="00E0191C" w:rsidRPr="00DC42CE" w:rsidRDefault="00E0191C" w:rsidP="0088562C">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p>
        </w:tc>
        <w:tc>
          <w:tcPr>
            <w:tcW w:w="1530" w:type="dxa"/>
            <w:tcBorders>
              <w:top w:val="single" w:sz="4" w:space="0" w:color="auto"/>
            </w:tcBorders>
            <w:vAlign w:val="center"/>
          </w:tcPr>
          <w:p w14:paraId="72504CB4" w14:textId="77777777" w:rsidR="00E0191C" w:rsidRPr="00DC42CE" w:rsidDel="00F4401E" w:rsidRDefault="006F695D" w:rsidP="0088562C">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Pr>
                <w:rFonts w:eastAsia="Times New Roman" w:cstheme="minorHAnsi"/>
                <w:b/>
                <w:bCs/>
                <w:sz w:val="20"/>
              </w:rPr>
              <w:t>1,156</w:t>
            </w:r>
          </w:p>
          <w:p w14:paraId="0D9B88C9" w14:textId="77777777" w:rsidR="00E0191C" w:rsidRPr="00DC42CE" w:rsidDel="00F4401E" w:rsidRDefault="00E0191C" w:rsidP="0088562C">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p>
        </w:tc>
        <w:tc>
          <w:tcPr>
            <w:tcW w:w="1260" w:type="dxa"/>
            <w:tcBorders>
              <w:top w:val="single" w:sz="4" w:space="0" w:color="auto"/>
            </w:tcBorders>
            <w:shd w:val="clear" w:color="auto" w:fill="auto"/>
            <w:noWrap/>
            <w:vAlign w:val="center"/>
          </w:tcPr>
          <w:p w14:paraId="22DB3002" w14:textId="77777777" w:rsidR="00E0191C" w:rsidRPr="00DC42CE" w:rsidRDefault="00E0191C" w:rsidP="0088562C">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sidRPr="00DC42CE">
              <w:rPr>
                <w:rFonts w:eastAsia="Times New Roman" w:cstheme="minorHAnsi"/>
                <w:b/>
                <w:bCs/>
                <w:sz w:val="20"/>
              </w:rPr>
              <w:t>40%</w:t>
            </w:r>
          </w:p>
          <w:p w14:paraId="4DCD7DEA" w14:textId="77777777" w:rsidR="00E0191C" w:rsidRPr="00DC42CE" w:rsidRDefault="00E0191C" w:rsidP="0088562C">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p>
        </w:tc>
        <w:tc>
          <w:tcPr>
            <w:tcW w:w="1800" w:type="dxa"/>
            <w:tcBorders>
              <w:top w:val="single" w:sz="4" w:space="0" w:color="auto"/>
              <w:right w:val="single" w:sz="4" w:space="0" w:color="auto"/>
            </w:tcBorders>
            <w:shd w:val="clear" w:color="auto" w:fill="auto"/>
            <w:noWrap/>
            <w:vAlign w:val="center"/>
          </w:tcPr>
          <w:p w14:paraId="5F6454E5" w14:textId="77777777" w:rsidR="00E0191C" w:rsidRPr="00DC42CE" w:rsidRDefault="006F695D" w:rsidP="0088562C">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Pr>
                <w:rFonts w:eastAsia="Times New Roman" w:cstheme="minorHAnsi"/>
                <w:b/>
                <w:bCs/>
                <w:sz w:val="20"/>
              </w:rPr>
              <w:t>462</w:t>
            </w:r>
          </w:p>
          <w:p w14:paraId="2719BBB2" w14:textId="77777777" w:rsidR="00E0191C" w:rsidRPr="00DC42CE" w:rsidRDefault="00E0191C" w:rsidP="0088562C">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p>
        </w:tc>
      </w:tr>
      <w:tr w:rsidR="0005230A" w:rsidRPr="0005230A" w14:paraId="55682911" w14:textId="77777777" w:rsidTr="00D73E34">
        <w:trPr>
          <w:trHeight w:val="303"/>
        </w:trPr>
        <w:tc>
          <w:tcPr>
            <w:tcW w:w="3258" w:type="dxa"/>
            <w:tcBorders>
              <w:top w:val="single" w:sz="4" w:space="0" w:color="auto"/>
              <w:left w:val="single" w:sz="4" w:space="0" w:color="auto"/>
              <w:bottom w:val="single" w:sz="4" w:space="0" w:color="auto"/>
            </w:tcBorders>
            <w:shd w:val="clear" w:color="auto" w:fill="auto"/>
            <w:noWrap/>
            <w:vAlign w:val="center"/>
            <w:hideMark/>
          </w:tcPr>
          <w:p w14:paraId="0AABC9AE" w14:textId="77777777" w:rsidR="0005230A" w:rsidRPr="00B013A9" w:rsidRDefault="00A44FAC" w:rsidP="00B013A9">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bCs/>
                <w:sz w:val="20"/>
              </w:rPr>
            </w:pPr>
            <w:r w:rsidRPr="00B013A9">
              <w:rPr>
                <w:rFonts w:eastAsia="Times New Roman" w:cstheme="minorHAnsi"/>
                <w:b/>
                <w:bCs/>
                <w:sz w:val="20"/>
              </w:rPr>
              <w:t>National Household Sample</w:t>
            </w:r>
          </w:p>
        </w:tc>
        <w:tc>
          <w:tcPr>
            <w:tcW w:w="1440" w:type="dxa"/>
            <w:tcBorders>
              <w:top w:val="single" w:sz="4" w:space="0" w:color="auto"/>
              <w:bottom w:val="single" w:sz="4" w:space="0" w:color="auto"/>
            </w:tcBorders>
            <w:vAlign w:val="center"/>
          </w:tcPr>
          <w:p w14:paraId="7B64D905" w14:textId="77777777" w:rsidR="0005230A" w:rsidRPr="00DC42CE" w:rsidRDefault="0005230A" w:rsidP="0005230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sidRPr="00DC42CE">
              <w:rPr>
                <w:rFonts w:eastAsia="Times New Roman" w:cstheme="minorHAnsi"/>
                <w:b/>
                <w:bCs/>
                <w:sz w:val="20"/>
              </w:rPr>
              <w:t>115,226,000</w:t>
            </w:r>
            <w:r w:rsidR="00E1031B" w:rsidRPr="00DC42CE">
              <w:rPr>
                <w:rFonts w:eastAsia="Times New Roman" w:cstheme="minorHAnsi"/>
                <w:b/>
                <w:bCs/>
                <w:sz w:val="20"/>
              </w:rPr>
              <w:t>*</w:t>
            </w:r>
          </w:p>
        </w:tc>
        <w:tc>
          <w:tcPr>
            <w:tcW w:w="1530" w:type="dxa"/>
            <w:tcBorders>
              <w:top w:val="single" w:sz="4" w:space="0" w:color="auto"/>
              <w:bottom w:val="single" w:sz="4" w:space="0" w:color="auto"/>
            </w:tcBorders>
            <w:vAlign w:val="center"/>
          </w:tcPr>
          <w:p w14:paraId="66E69996" w14:textId="77777777" w:rsidR="0005230A" w:rsidRPr="00DC42CE" w:rsidDel="00F4401E" w:rsidRDefault="006F695D" w:rsidP="00B013A9">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Pr>
                <w:rFonts w:eastAsia="Times New Roman" w:cstheme="minorHAnsi"/>
                <w:b/>
                <w:bCs/>
                <w:sz w:val="20"/>
              </w:rPr>
              <w:t>3,470</w:t>
            </w:r>
          </w:p>
        </w:tc>
        <w:tc>
          <w:tcPr>
            <w:tcW w:w="1260" w:type="dxa"/>
            <w:tcBorders>
              <w:top w:val="single" w:sz="4" w:space="0" w:color="auto"/>
              <w:bottom w:val="single" w:sz="4" w:space="0" w:color="auto"/>
            </w:tcBorders>
            <w:shd w:val="clear" w:color="auto" w:fill="auto"/>
            <w:noWrap/>
            <w:vAlign w:val="center"/>
            <w:hideMark/>
          </w:tcPr>
          <w:p w14:paraId="379F0A9A" w14:textId="77777777" w:rsidR="0005230A" w:rsidRPr="00DC42CE" w:rsidRDefault="0005230A" w:rsidP="0005230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sidRPr="00DC42CE">
              <w:rPr>
                <w:rFonts w:eastAsia="Times New Roman" w:cstheme="minorHAnsi"/>
                <w:b/>
                <w:bCs/>
                <w:sz w:val="20"/>
              </w:rPr>
              <w:t>30%</w:t>
            </w:r>
          </w:p>
        </w:tc>
        <w:tc>
          <w:tcPr>
            <w:tcW w:w="1800" w:type="dxa"/>
            <w:tcBorders>
              <w:top w:val="single" w:sz="4" w:space="0" w:color="auto"/>
              <w:bottom w:val="single" w:sz="4" w:space="0" w:color="auto"/>
              <w:right w:val="single" w:sz="4" w:space="0" w:color="auto"/>
            </w:tcBorders>
            <w:shd w:val="clear" w:color="auto" w:fill="auto"/>
            <w:noWrap/>
            <w:vAlign w:val="center"/>
            <w:hideMark/>
          </w:tcPr>
          <w:p w14:paraId="6B667A21" w14:textId="77777777" w:rsidR="0005230A" w:rsidRPr="00DC42CE" w:rsidRDefault="0005230A" w:rsidP="006F695D">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sidRPr="00DC42CE">
              <w:rPr>
                <w:rFonts w:eastAsia="Times New Roman" w:cstheme="minorHAnsi"/>
                <w:b/>
                <w:bCs/>
                <w:sz w:val="20"/>
              </w:rPr>
              <w:t>1,</w:t>
            </w:r>
            <w:r w:rsidR="006F695D">
              <w:rPr>
                <w:rFonts w:eastAsia="Times New Roman" w:cstheme="minorHAnsi"/>
                <w:b/>
                <w:bCs/>
                <w:sz w:val="20"/>
              </w:rPr>
              <w:t>041</w:t>
            </w:r>
          </w:p>
        </w:tc>
      </w:tr>
      <w:tr w:rsidR="0005230A" w:rsidRPr="0005230A" w14:paraId="70ED0C05" w14:textId="77777777" w:rsidTr="00E1031B">
        <w:trPr>
          <w:trHeight w:val="503"/>
        </w:trPr>
        <w:tc>
          <w:tcPr>
            <w:tcW w:w="3258" w:type="dxa"/>
            <w:tcBorders>
              <w:top w:val="single" w:sz="4" w:space="0" w:color="auto"/>
              <w:left w:val="single" w:sz="4" w:space="0" w:color="auto"/>
              <w:bottom w:val="single" w:sz="4" w:space="0" w:color="auto"/>
            </w:tcBorders>
            <w:shd w:val="clear" w:color="auto" w:fill="auto"/>
            <w:noWrap/>
            <w:vAlign w:val="center"/>
            <w:hideMark/>
          </w:tcPr>
          <w:p w14:paraId="17FC4C5E" w14:textId="77777777" w:rsidR="0005230A" w:rsidRPr="00B013A9" w:rsidRDefault="0005230A" w:rsidP="00B013A9">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bCs/>
                <w:sz w:val="20"/>
              </w:rPr>
            </w:pPr>
            <w:r w:rsidRPr="00B013A9">
              <w:rPr>
                <w:rFonts w:eastAsia="Times New Roman" w:cstheme="minorHAnsi"/>
                <w:b/>
                <w:bCs/>
                <w:sz w:val="20"/>
              </w:rPr>
              <w:t>Total</w:t>
            </w:r>
          </w:p>
        </w:tc>
        <w:tc>
          <w:tcPr>
            <w:tcW w:w="1440" w:type="dxa"/>
            <w:tcBorders>
              <w:top w:val="single" w:sz="4" w:space="0" w:color="auto"/>
              <w:bottom w:val="single" w:sz="4" w:space="0" w:color="auto"/>
            </w:tcBorders>
          </w:tcPr>
          <w:p w14:paraId="450A67CC" w14:textId="77777777" w:rsidR="0005230A" w:rsidRPr="00B013A9" w:rsidRDefault="0005230A" w:rsidP="0005230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bCs/>
                <w:sz w:val="20"/>
              </w:rPr>
            </w:pPr>
          </w:p>
        </w:tc>
        <w:tc>
          <w:tcPr>
            <w:tcW w:w="1530" w:type="dxa"/>
            <w:tcBorders>
              <w:top w:val="single" w:sz="4" w:space="0" w:color="auto"/>
              <w:bottom w:val="single" w:sz="4" w:space="0" w:color="auto"/>
            </w:tcBorders>
            <w:vAlign w:val="center"/>
          </w:tcPr>
          <w:p w14:paraId="3B3CD90C" w14:textId="77777777" w:rsidR="0005230A" w:rsidRPr="00B013A9" w:rsidDel="00F4401E" w:rsidRDefault="006F695D" w:rsidP="00B013A9">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Pr>
                <w:rFonts w:eastAsia="Times New Roman" w:cstheme="minorHAnsi"/>
                <w:b/>
                <w:bCs/>
                <w:sz w:val="20"/>
              </w:rPr>
              <w:fldChar w:fldCharType="begin"/>
            </w:r>
            <w:r>
              <w:rPr>
                <w:rFonts w:eastAsia="Times New Roman" w:cstheme="minorHAnsi"/>
                <w:b/>
                <w:bCs/>
                <w:sz w:val="20"/>
              </w:rPr>
              <w:instrText xml:space="preserve"> =SUM(ABOVE) </w:instrText>
            </w:r>
            <w:r>
              <w:rPr>
                <w:rFonts w:eastAsia="Times New Roman" w:cstheme="minorHAnsi"/>
                <w:b/>
                <w:bCs/>
                <w:sz w:val="20"/>
              </w:rPr>
              <w:fldChar w:fldCharType="separate"/>
            </w:r>
            <w:r>
              <w:rPr>
                <w:rFonts w:eastAsia="Times New Roman" w:cstheme="minorHAnsi"/>
                <w:b/>
                <w:bCs/>
                <w:noProof/>
                <w:sz w:val="20"/>
              </w:rPr>
              <w:t>4,626</w:t>
            </w:r>
            <w:r>
              <w:rPr>
                <w:rFonts w:eastAsia="Times New Roman" w:cstheme="minorHAnsi"/>
                <w:b/>
                <w:bCs/>
                <w:sz w:val="20"/>
              </w:rPr>
              <w:fldChar w:fldCharType="end"/>
            </w:r>
          </w:p>
        </w:tc>
        <w:tc>
          <w:tcPr>
            <w:tcW w:w="1260" w:type="dxa"/>
            <w:tcBorders>
              <w:top w:val="single" w:sz="4" w:space="0" w:color="auto"/>
              <w:bottom w:val="single" w:sz="4" w:space="0" w:color="auto"/>
            </w:tcBorders>
            <w:shd w:val="clear" w:color="auto" w:fill="auto"/>
            <w:noWrap/>
            <w:vAlign w:val="center"/>
            <w:hideMark/>
          </w:tcPr>
          <w:p w14:paraId="285F7654" w14:textId="77777777" w:rsidR="0005230A" w:rsidRPr="00B013A9" w:rsidRDefault="0005230A" w:rsidP="0005230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bCs/>
                <w:sz w:val="20"/>
              </w:rPr>
            </w:pPr>
          </w:p>
        </w:tc>
        <w:tc>
          <w:tcPr>
            <w:tcW w:w="1800" w:type="dxa"/>
            <w:tcBorders>
              <w:top w:val="single" w:sz="4" w:space="0" w:color="auto"/>
              <w:bottom w:val="single" w:sz="4" w:space="0" w:color="auto"/>
              <w:right w:val="single" w:sz="4" w:space="0" w:color="auto"/>
            </w:tcBorders>
            <w:shd w:val="clear" w:color="auto" w:fill="auto"/>
            <w:noWrap/>
            <w:vAlign w:val="center"/>
            <w:hideMark/>
          </w:tcPr>
          <w:p w14:paraId="714B4D9A" w14:textId="77777777" w:rsidR="0005230A" w:rsidRPr="00B013A9" w:rsidRDefault="006F695D" w:rsidP="00B013A9">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Pr>
                <w:rFonts w:eastAsia="Times New Roman" w:cstheme="minorHAnsi"/>
                <w:b/>
                <w:bCs/>
                <w:sz w:val="20"/>
              </w:rPr>
              <w:fldChar w:fldCharType="begin"/>
            </w:r>
            <w:r>
              <w:rPr>
                <w:rFonts w:eastAsia="Times New Roman" w:cstheme="minorHAnsi"/>
                <w:b/>
                <w:bCs/>
                <w:sz w:val="20"/>
              </w:rPr>
              <w:instrText xml:space="preserve"> =SUM(ABOVE) </w:instrText>
            </w:r>
            <w:r>
              <w:rPr>
                <w:rFonts w:eastAsia="Times New Roman" w:cstheme="minorHAnsi"/>
                <w:b/>
                <w:bCs/>
                <w:sz w:val="20"/>
              </w:rPr>
              <w:fldChar w:fldCharType="separate"/>
            </w:r>
            <w:r>
              <w:rPr>
                <w:rFonts w:eastAsia="Times New Roman" w:cstheme="minorHAnsi"/>
                <w:b/>
                <w:bCs/>
                <w:noProof/>
                <w:sz w:val="20"/>
              </w:rPr>
              <w:t>1,503</w:t>
            </w:r>
            <w:r>
              <w:rPr>
                <w:rFonts w:eastAsia="Times New Roman" w:cstheme="minorHAnsi"/>
                <w:b/>
                <w:bCs/>
                <w:sz w:val="20"/>
              </w:rPr>
              <w:fldChar w:fldCharType="end"/>
            </w:r>
          </w:p>
        </w:tc>
      </w:tr>
      <w:tr w:rsidR="00E1031B" w:rsidRPr="0005230A" w14:paraId="19E2B96D" w14:textId="77777777" w:rsidTr="00E1031B">
        <w:trPr>
          <w:trHeight w:val="232"/>
        </w:trPr>
        <w:tc>
          <w:tcPr>
            <w:tcW w:w="9288" w:type="dxa"/>
            <w:gridSpan w:val="5"/>
            <w:tcBorders>
              <w:top w:val="single" w:sz="4" w:space="0" w:color="auto"/>
              <w:left w:val="nil"/>
              <w:bottom w:val="nil"/>
              <w:right w:val="nil"/>
            </w:tcBorders>
            <w:shd w:val="clear" w:color="auto" w:fill="auto"/>
            <w:noWrap/>
            <w:vAlign w:val="center"/>
          </w:tcPr>
          <w:p w14:paraId="50F31E6A" w14:textId="77777777" w:rsidR="00E1031B" w:rsidRPr="00B013A9" w:rsidRDefault="00E1031B" w:rsidP="00E1031B">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bCs/>
                <w:sz w:val="20"/>
              </w:rPr>
            </w:pPr>
            <w:r>
              <w:rPr>
                <w:rFonts w:eastAsia="Times New Roman" w:cstheme="minorHAnsi"/>
                <w:b/>
                <w:bCs/>
                <w:sz w:val="20"/>
              </w:rPr>
              <w:t>*</w:t>
            </w:r>
            <w:r w:rsidRPr="00DE67FA">
              <w:rPr>
                <w:rFonts w:eastAsia="Times New Roman" w:cstheme="minorHAnsi"/>
              </w:rPr>
              <w:t xml:space="preserve"> </w:t>
            </w:r>
            <w:r w:rsidRPr="00E1031B">
              <w:rPr>
                <w:rFonts w:eastAsia="Times New Roman" w:cstheme="minorHAnsi"/>
                <w:i/>
                <w:sz w:val="18"/>
              </w:rPr>
              <w:t xml:space="preserve">U.S. Census </w:t>
            </w:r>
            <w:proofErr w:type="spellStart"/>
            <w:r w:rsidRPr="00E1031B">
              <w:rPr>
                <w:rFonts w:eastAsia="Times New Roman" w:cstheme="minorHAnsi"/>
                <w:i/>
                <w:sz w:val="18"/>
              </w:rPr>
              <w:t>Quickfacts</w:t>
            </w:r>
            <w:proofErr w:type="spellEnd"/>
            <w:r w:rsidRPr="00E1031B">
              <w:rPr>
                <w:rFonts w:eastAsia="Times New Roman" w:cstheme="minorHAnsi"/>
                <w:i/>
                <w:sz w:val="18"/>
              </w:rPr>
              <w:t xml:space="preserve"> (2014</w:t>
            </w:r>
            <w:r w:rsidRPr="00DE67FA">
              <w:rPr>
                <w:rFonts w:eastAsia="Times New Roman" w:cstheme="minorHAnsi"/>
              </w:rPr>
              <w:t>)</w:t>
            </w:r>
          </w:p>
        </w:tc>
      </w:tr>
    </w:tbl>
    <w:p w14:paraId="29F05A2C" w14:textId="77777777" w:rsidR="0005230A" w:rsidRDefault="0005230A" w:rsidP="00DE67F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Cs/>
        </w:rPr>
      </w:pPr>
    </w:p>
    <w:p w14:paraId="599B6DCA" w14:textId="7FF39C9D" w:rsidR="00E523E8" w:rsidRPr="00E523E8" w:rsidRDefault="00E523E8" w:rsidP="00DE67F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rPr>
      </w:pPr>
    </w:p>
    <w:p w14:paraId="3ACFC602" w14:textId="3E642140" w:rsidR="00FC2F56" w:rsidRDefault="00E523E8" w:rsidP="00DC42CE">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eastAsia="Times New Roman" w:cstheme="minorHAnsi"/>
          <w:bCs/>
        </w:rPr>
      </w:pPr>
      <w:r w:rsidRPr="00E523E8">
        <w:rPr>
          <w:rFonts w:eastAsia="Times New Roman" w:cstheme="minorHAnsi"/>
          <w:b/>
        </w:rPr>
        <w:t>Non-response survey:</w:t>
      </w:r>
      <w:r>
        <w:rPr>
          <w:rFonts w:eastAsia="Times New Roman" w:cstheme="minorHAnsi"/>
          <w:b/>
        </w:rPr>
        <w:t xml:space="preserve"> </w:t>
      </w:r>
      <w:r>
        <w:rPr>
          <w:rFonts w:eastAsia="Times New Roman" w:cstheme="minorHAnsi"/>
        </w:rPr>
        <w:t xml:space="preserve">From the </w:t>
      </w:r>
      <w:r w:rsidR="00E1031B">
        <w:rPr>
          <w:rFonts w:eastAsia="Times New Roman" w:cstheme="minorHAnsi"/>
        </w:rPr>
        <w:t>list of</w:t>
      </w:r>
      <w:r>
        <w:rPr>
          <w:rFonts w:eastAsia="Times New Roman" w:cstheme="minorHAnsi"/>
        </w:rPr>
        <w:t xml:space="preserve"> </w:t>
      </w:r>
      <w:r w:rsidR="00DC42CE">
        <w:rPr>
          <w:rFonts w:eastAsia="Times New Roman" w:cstheme="minorHAnsi"/>
        </w:rPr>
        <w:t xml:space="preserve">all </w:t>
      </w:r>
      <w:r>
        <w:rPr>
          <w:rFonts w:eastAsia="Times New Roman" w:cstheme="minorHAnsi"/>
        </w:rPr>
        <w:t xml:space="preserve">non-respondents we will randomly select </w:t>
      </w:r>
      <w:r w:rsidR="00DC42CE">
        <w:rPr>
          <w:rFonts w:eastAsia="Times New Roman" w:cstheme="minorHAnsi"/>
        </w:rPr>
        <w:t xml:space="preserve">and call </w:t>
      </w:r>
      <w:r>
        <w:rPr>
          <w:rFonts w:eastAsia="Times New Roman" w:cstheme="minorHAnsi"/>
        </w:rPr>
        <w:t xml:space="preserve">200 </w:t>
      </w:r>
      <w:r w:rsidR="00E1031B">
        <w:rPr>
          <w:rFonts w:eastAsia="Times New Roman" w:cstheme="minorHAnsi"/>
        </w:rPr>
        <w:t>households</w:t>
      </w:r>
      <w:r>
        <w:rPr>
          <w:rFonts w:eastAsia="Times New Roman" w:cstheme="minorHAnsi"/>
        </w:rPr>
        <w:t xml:space="preserve"> with </w:t>
      </w:r>
      <w:r w:rsidR="001B3CF7">
        <w:rPr>
          <w:rFonts w:eastAsia="Times New Roman" w:cstheme="minorHAnsi"/>
        </w:rPr>
        <w:t>related</w:t>
      </w:r>
      <w:r>
        <w:rPr>
          <w:rFonts w:eastAsia="Times New Roman" w:cstheme="minorHAnsi"/>
        </w:rPr>
        <w:t xml:space="preserve"> telephone numbers.</w:t>
      </w:r>
      <w:r w:rsidR="00DC42CE">
        <w:rPr>
          <w:rFonts w:eastAsia="Times New Roman" w:cstheme="minorHAnsi"/>
        </w:rPr>
        <w:t xml:space="preserve"> </w:t>
      </w:r>
      <w:r>
        <w:rPr>
          <w:rFonts w:eastAsia="Times New Roman" w:cstheme="minorHAnsi"/>
        </w:rPr>
        <w:t xml:space="preserve"> If we do not reach </w:t>
      </w:r>
      <w:r w:rsidR="001B3CF7">
        <w:rPr>
          <w:rFonts w:eastAsia="Times New Roman" w:cstheme="minorHAnsi"/>
        </w:rPr>
        <w:t xml:space="preserve">our goal of </w:t>
      </w:r>
      <w:r w:rsidR="00141EB4">
        <w:rPr>
          <w:rFonts w:eastAsia="Times New Roman" w:cstheme="minorHAnsi"/>
        </w:rPr>
        <w:t>70</w:t>
      </w:r>
      <w:r>
        <w:rPr>
          <w:rFonts w:eastAsia="Times New Roman" w:cstheme="minorHAnsi"/>
        </w:rPr>
        <w:t xml:space="preserve"> responses we will return </w:t>
      </w:r>
      <w:r>
        <w:rPr>
          <w:rFonts w:eastAsia="Times New Roman" w:cstheme="minorHAnsi"/>
        </w:rPr>
        <w:lastRenderedPageBreak/>
        <w:t xml:space="preserve">to the </w:t>
      </w:r>
      <w:r w:rsidR="00B640C4">
        <w:rPr>
          <w:rFonts w:eastAsia="Times New Roman" w:cstheme="minorHAnsi"/>
        </w:rPr>
        <w:t>list of remaining non-respondents</w:t>
      </w:r>
      <w:r>
        <w:rPr>
          <w:rFonts w:eastAsia="Times New Roman" w:cstheme="minorHAnsi"/>
        </w:rPr>
        <w:t xml:space="preserve"> and randomly select </w:t>
      </w:r>
      <w:proofErr w:type="spellStart"/>
      <w:r w:rsidR="009A3549" w:rsidRPr="00F66544">
        <w:rPr>
          <w:rFonts w:eastAsia="Times New Roman" w:cstheme="minorHAnsi"/>
          <w:b/>
          <w:i/>
        </w:rPr>
        <w:t>n</w:t>
      </w:r>
      <w:proofErr w:type="spellEnd"/>
      <w:r>
        <w:rPr>
          <w:rFonts w:eastAsia="Times New Roman" w:cstheme="minorHAnsi"/>
        </w:rPr>
        <w:t xml:space="preserve"> additional </w:t>
      </w:r>
      <w:r w:rsidR="00E1031B">
        <w:rPr>
          <w:rFonts w:eastAsia="Times New Roman" w:cstheme="minorHAnsi"/>
        </w:rPr>
        <w:t>households</w:t>
      </w:r>
      <w:r>
        <w:rPr>
          <w:rFonts w:eastAsia="Times New Roman" w:cstheme="minorHAnsi"/>
        </w:rPr>
        <w:t xml:space="preserve"> until we </w:t>
      </w:r>
      <w:r w:rsidR="001B3CF7">
        <w:rPr>
          <w:rFonts w:eastAsia="Times New Roman" w:cstheme="minorHAnsi"/>
        </w:rPr>
        <w:t>reach</w:t>
      </w:r>
      <w:r w:rsidR="00141EB4">
        <w:rPr>
          <w:rFonts w:eastAsia="Times New Roman" w:cstheme="minorHAnsi"/>
        </w:rPr>
        <w:t xml:space="preserve"> 70</w:t>
      </w:r>
      <w:r>
        <w:rPr>
          <w:rFonts w:eastAsia="Times New Roman" w:cstheme="minorHAnsi"/>
        </w:rPr>
        <w:t xml:space="preserve"> response</w:t>
      </w:r>
      <w:r w:rsidR="00141EB4">
        <w:rPr>
          <w:rFonts w:eastAsia="Times New Roman" w:cstheme="minorHAnsi"/>
        </w:rPr>
        <w:t>s</w:t>
      </w:r>
      <w:r>
        <w:rPr>
          <w:rFonts w:eastAsia="Times New Roman" w:cstheme="minorHAnsi"/>
        </w:rPr>
        <w:t>.</w:t>
      </w:r>
    </w:p>
    <w:p w14:paraId="4FEC1C95" w14:textId="77777777" w:rsidR="00FC2F56" w:rsidRDefault="00FC2F56" w:rsidP="00DE67F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Cs/>
        </w:rPr>
      </w:pPr>
    </w:p>
    <w:p w14:paraId="30116283" w14:textId="77777777" w:rsidR="002C57C2" w:rsidRPr="00E523E8" w:rsidRDefault="002C57C2" w:rsidP="00DE67F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bCs/>
        </w:rPr>
      </w:pPr>
      <w:r w:rsidRPr="00E523E8">
        <w:rPr>
          <w:rFonts w:eastAsia="Times New Roman" w:cstheme="minorHAnsi"/>
          <w:b/>
          <w:bCs/>
        </w:rPr>
        <w:t xml:space="preserve">Table 3 Non- response </w:t>
      </w:r>
      <w:r w:rsidR="00E523E8" w:rsidRPr="00E523E8">
        <w:rPr>
          <w:rFonts w:eastAsia="Times New Roman" w:cstheme="minorHAnsi"/>
          <w:b/>
          <w:bCs/>
        </w:rPr>
        <w:t>Survey</w:t>
      </w:r>
    </w:p>
    <w:tbl>
      <w:tblPr>
        <w:tblStyle w:val="TableGrid"/>
        <w:tblW w:w="0" w:type="auto"/>
        <w:tblInd w:w="558" w:type="dxa"/>
        <w:tblLook w:val="04A0" w:firstRow="1" w:lastRow="0" w:firstColumn="1" w:lastColumn="0" w:noHBand="0" w:noVBand="1"/>
      </w:tblPr>
      <w:tblGrid>
        <w:gridCol w:w="2250"/>
        <w:gridCol w:w="2283"/>
        <w:gridCol w:w="2127"/>
        <w:gridCol w:w="1980"/>
      </w:tblGrid>
      <w:tr w:rsidR="009A3549" w14:paraId="4DB3B877" w14:textId="77777777" w:rsidTr="00F66544">
        <w:tc>
          <w:tcPr>
            <w:tcW w:w="2250" w:type="dxa"/>
          </w:tcPr>
          <w:p w14:paraId="76437020" w14:textId="77777777" w:rsidR="009A3549" w:rsidRDefault="009A3549" w:rsidP="00DE67F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eastAsia="Times New Roman" w:cstheme="minorHAnsi"/>
                <w:bCs/>
              </w:rPr>
            </w:pPr>
          </w:p>
        </w:tc>
        <w:tc>
          <w:tcPr>
            <w:tcW w:w="2283" w:type="dxa"/>
          </w:tcPr>
          <w:p w14:paraId="14317490" w14:textId="77777777" w:rsidR="00B640C4" w:rsidRDefault="009A3549" w:rsidP="009A3549">
            <w:pPr>
              <w:jc w:val="center"/>
              <w:rPr>
                <w:b/>
                <w:sz w:val="20"/>
              </w:rPr>
            </w:pPr>
            <w:r w:rsidRPr="009A3549">
              <w:rPr>
                <w:b/>
                <w:sz w:val="20"/>
              </w:rPr>
              <w:t xml:space="preserve">Total Number of </w:t>
            </w:r>
          </w:p>
          <w:p w14:paraId="48517262" w14:textId="77777777" w:rsidR="009A3549" w:rsidRPr="009A3549" w:rsidRDefault="009A3549" w:rsidP="009A3549">
            <w:pPr>
              <w:jc w:val="center"/>
              <w:rPr>
                <w:b/>
                <w:sz w:val="20"/>
              </w:rPr>
            </w:pPr>
            <w:r w:rsidRPr="009A3549">
              <w:rPr>
                <w:b/>
                <w:sz w:val="20"/>
              </w:rPr>
              <w:t>Phone Numbers</w:t>
            </w:r>
          </w:p>
        </w:tc>
        <w:tc>
          <w:tcPr>
            <w:tcW w:w="2127" w:type="dxa"/>
          </w:tcPr>
          <w:p w14:paraId="779DEAAC" w14:textId="77777777" w:rsidR="009A3549" w:rsidRPr="00C74EAD" w:rsidRDefault="009A3549" w:rsidP="00FE23D1">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eastAsia="Times New Roman" w:cstheme="minorHAnsi"/>
                <w:b/>
                <w:bCs/>
                <w:sz w:val="20"/>
              </w:rPr>
            </w:pPr>
            <w:r>
              <w:rPr>
                <w:rFonts w:eastAsia="Times New Roman" w:cstheme="minorHAnsi"/>
                <w:b/>
                <w:bCs/>
                <w:sz w:val="20"/>
              </w:rPr>
              <w:t>Random selected telephone numbers</w:t>
            </w:r>
          </w:p>
        </w:tc>
        <w:tc>
          <w:tcPr>
            <w:tcW w:w="1980" w:type="dxa"/>
          </w:tcPr>
          <w:p w14:paraId="0040B6DC" w14:textId="77777777" w:rsidR="009A3549" w:rsidRPr="00C74EAD" w:rsidRDefault="009A3549" w:rsidP="00C74EAD">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eastAsia="Times New Roman" w:cstheme="minorHAnsi"/>
                <w:b/>
                <w:bCs/>
                <w:sz w:val="20"/>
              </w:rPr>
            </w:pPr>
            <w:r w:rsidRPr="00C74EAD">
              <w:rPr>
                <w:rFonts w:eastAsia="Times New Roman" w:cstheme="minorHAnsi"/>
                <w:b/>
                <w:bCs/>
                <w:sz w:val="20"/>
              </w:rPr>
              <w:t>Estimated number of responses</w:t>
            </w:r>
          </w:p>
        </w:tc>
      </w:tr>
      <w:tr w:rsidR="009A3549" w14:paraId="3072BEAE" w14:textId="77777777" w:rsidTr="0097187B">
        <w:tc>
          <w:tcPr>
            <w:tcW w:w="2250" w:type="dxa"/>
            <w:vAlign w:val="center"/>
          </w:tcPr>
          <w:p w14:paraId="02B87CF6" w14:textId="6B8B0664" w:rsidR="002A58ED" w:rsidRPr="0097187B" w:rsidRDefault="009A3549" w:rsidP="0097187B">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eastAsia="Times New Roman" w:cstheme="minorHAnsi"/>
                <w:bCs/>
                <w:sz w:val="20"/>
              </w:rPr>
            </w:pPr>
            <w:r>
              <w:rPr>
                <w:rFonts w:eastAsia="Times New Roman" w:cstheme="minorHAnsi"/>
                <w:bCs/>
                <w:sz w:val="20"/>
              </w:rPr>
              <w:t>Non-response Survey</w:t>
            </w:r>
          </w:p>
        </w:tc>
        <w:tc>
          <w:tcPr>
            <w:tcW w:w="2283" w:type="dxa"/>
            <w:vAlign w:val="center"/>
          </w:tcPr>
          <w:p w14:paraId="7A9E8F0E" w14:textId="77777777" w:rsidR="009A3549" w:rsidRPr="009A3549" w:rsidRDefault="009A3549" w:rsidP="0097187B">
            <w:pPr>
              <w:rPr>
                <w:sz w:val="20"/>
              </w:rPr>
            </w:pPr>
            <w:r w:rsidRPr="009A3549">
              <w:rPr>
                <w:sz w:val="20"/>
              </w:rPr>
              <w:t>3,</w:t>
            </w:r>
            <w:r w:rsidR="006F695D">
              <w:rPr>
                <w:sz w:val="20"/>
              </w:rPr>
              <w:t>123</w:t>
            </w:r>
          </w:p>
        </w:tc>
        <w:tc>
          <w:tcPr>
            <w:tcW w:w="2127" w:type="dxa"/>
            <w:vAlign w:val="center"/>
          </w:tcPr>
          <w:p w14:paraId="2FE2F3F1" w14:textId="77777777" w:rsidR="009A3549" w:rsidRDefault="009A3549" w:rsidP="0097187B">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eastAsia="Times New Roman" w:cstheme="minorHAnsi"/>
                <w:bCs/>
              </w:rPr>
            </w:pPr>
            <w:r>
              <w:rPr>
                <w:rFonts w:eastAsia="Times New Roman" w:cstheme="minorHAnsi"/>
                <w:bCs/>
              </w:rPr>
              <w:t>200</w:t>
            </w:r>
          </w:p>
        </w:tc>
        <w:tc>
          <w:tcPr>
            <w:tcW w:w="1980" w:type="dxa"/>
            <w:vAlign w:val="center"/>
          </w:tcPr>
          <w:p w14:paraId="30B525AA" w14:textId="77777777" w:rsidR="009A3549" w:rsidRDefault="009A3549" w:rsidP="0097187B">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eastAsia="Times New Roman" w:cstheme="minorHAnsi"/>
                <w:bCs/>
              </w:rPr>
            </w:pPr>
            <w:r>
              <w:rPr>
                <w:rFonts w:eastAsia="Times New Roman" w:cstheme="minorHAnsi"/>
                <w:bCs/>
              </w:rPr>
              <w:t>70</w:t>
            </w:r>
          </w:p>
        </w:tc>
      </w:tr>
    </w:tbl>
    <w:p w14:paraId="3D09DD79" w14:textId="77777777" w:rsidR="00FC2F56" w:rsidRDefault="00FC2F56" w:rsidP="00DE67F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Cs/>
        </w:rPr>
      </w:pPr>
    </w:p>
    <w:p w14:paraId="3E8230A4" w14:textId="77777777" w:rsidR="00DE67FA" w:rsidRPr="00DE67FA" w:rsidRDefault="00DE67FA" w:rsidP="00DE67F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rPr>
      </w:pPr>
      <w:r w:rsidRPr="00DE67FA">
        <w:rPr>
          <w:rFonts w:eastAsia="Times New Roman" w:cstheme="minorHAnsi"/>
          <w:b/>
        </w:rPr>
        <w:t>2.</w:t>
      </w:r>
      <w:r w:rsidRPr="00DE67FA">
        <w:rPr>
          <w:rFonts w:eastAsia="Times New Roman" w:cstheme="minorHAnsi"/>
          <w:b/>
        </w:rPr>
        <w:tab/>
        <w:t>Describe the procedures for the collection of information including:</w:t>
      </w:r>
    </w:p>
    <w:p w14:paraId="2390DA92" w14:textId="77777777" w:rsidR="00DE67FA" w:rsidRPr="00DE67FA" w:rsidRDefault="00DE67FA" w:rsidP="00DE67FA">
      <w:pPr>
        <w:widowControl w:val="0"/>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rPr>
          <w:rFonts w:ascii="Calibri" w:eastAsia="Times New Roman" w:hAnsi="Calibri" w:cstheme="minorHAnsi"/>
          <w:b/>
          <w:lang w:bidi="en-US"/>
        </w:rPr>
      </w:pPr>
      <w:r w:rsidRPr="00DE67FA">
        <w:rPr>
          <w:rFonts w:ascii="Calibri" w:eastAsia="Times New Roman" w:hAnsi="Calibri" w:cstheme="minorHAnsi"/>
          <w:b/>
          <w:lang w:bidi="en-US"/>
        </w:rPr>
        <w:t>Statistical methodology for stratification and sample selection,</w:t>
      </w:r>
    </w:p>
    <w:p w14:paraId="071DE876" w14:textId="77777777" w:rsidR="00DE67FA" w:rsidRPr="00DE67FA" w:rsidRDefault="00DE67FA" w:rsidP="00DE67FA">
      <w:pPr>
        <w:widowControl w:val="0"/>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rPr>
          <w:rFonts w:ascii="Calibri" w:eastAsia="Times New Roman" w:hAnsi="Calibri" w:cstheme="minorHAnsi"/>
          <w:b/>
          <w:lang w:bidi="en-US"/>
        </w:rPr>
      </w:pPr>
      <w:r w:rsidRPr="00DE67FA">
        <w:rPr>
          <w:rFonts w:ascii="Calibri" w:eastAsia="Times New Roman" w:hAnsi="Calibri" w:cstheme="minorHAnsi"/>
          <w:b/>
          <w:lang w:bidi="en-US"/>
        </w:rPr>
        <w:t>Estimation procedure,</w:t>
      </w:r>
    </w:p>
    <w:p w14:paraId="216BAD0B" w14:textId="77777777" w:rsidR="00DE67FA" w:rsidRPr="00DE67FA" w:rsidRDefault="00DE67FA" w:rsidP="00DE67FA">
      <w:pPr>
        <w:widowControl w:val="0"/>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rPr>
          <w:rFonts w:ascii="Calibri" w:eastAsia="Times New Roman" w:hAnsi="Calibri" w:cstheme="minorHAnsi"/>
          <w:b/>
          <w:lang w:bidi="en-US"/>
        </w:rPr>
      </w:pPr>
      <w:r w:rsidRPr="00DE67FA">
        <w:rPr>
          <w:rFonts w:ascii="Calibri" w:eastAsia="Times New Roman" w:hAnsi="Calibri" w:cstheme="minorHAnsi"/>
          <w:b/>
          <w:lang w:bidi="en-US"/>
        </w:rPr>
        <w:t>Degree of accuracy needed for the purpose described in the justification,</w:t>
      </w:r>
    </w:p>
    <w:p w14:paraId="3ADA3EFC" w14:textId="77777777" w:rsidR="00DE67FA" w:rsidRPr="00DE67FA" w:rsidRDefault="00DE67FA" w:rsidP="00DE67FA">
      <w:pPr>
        <w:widowControl w:val="0"/>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rPr>
          <w:rFonts w:ascii="Calibri" w:eastAsia="Times New Roman" w:hAnsi="Calibri" w:cstheme="minorHAnsi"/>
          <w:b/>
          <w:lang w:bidi="en-US"/>
        </w:rPr>
      </w:pPr>
      <w:r w:rsidRPr="00DE67FA">
        <w:rPr>
          <w:rFonts w:ascii="Calibri" w:eastAsia="Times New Roman" w:hAnsi="Calibri" w:cstheme="minorHAnsi"/>
          <w:b/>
          <w:lang w:bidi="en-US"/>
        </w:rPr>
        <w:t>Unusual problems requiring specialized sampling procedures, and</w:t>
      </w:r>
    </w:p>
    <w:p w14:paraId="61AF2808" w14:textId="77777777" w:rsidR="00DE67FA" w:rsidRPr="00DE67FA" w:rsidRDefault="00DE67FA" w:rsidP="00DE67FA">
      <w:pPr>
        <w:widowControl w:val="0"/>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rPr>
          <w:rFonts w:ascii="Calibri" w:eastAsia="Times New Roman" w:hAnsi="Calibri" w:cstheme="minorHAnsi"/>
          <w:lang w:bidi="en-US"/>
        </w:rPr>
      </w:pPr>
      <w:r w:rsidRPr="00DE67FA">
        <w:rPr>
          <w:rFonts w:ascii="Calibri" w:eastAsia="Times New Roman" w:hAnsi="Calibri" w:cstheme="minorHAnsi"/>
          <w:b/>
          <w:lang w:bidi="en-US"/>
        </w:rPr>
        <w:t xml:space="preserve">Any use of periodic (less frequent than annual) data </w:t>
      </w:r>
      <w:r w:rsidRPr="00F66544">
        <w:rPr>
          <w:rFonts w:ascii="Calibri" w:eastAsia="Times New Roman" w:hAnsi="Calibri" w:cstheme="minorHAnsi"/>
          <w:b/>
          <w:lang w:bidi="en-US"/>
        </w:rPr>
        <w:t>collection cycles to reduce burden.</w:t>
      </w:r>
    </w:p>
    <w:p w14:paraId="179F969F" w14:textId="77777777" w:rsidR="00DE67FA" w:rsidRPr="00DE67FA" w:rsidRDefault="00DE67FA" w:rsidP="00DE67F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rPr>
      </w:pPr>
    </w:p>
    <w:p w14:paraId="2D52B11B" w14:textId="14BEDCAC" w:rsidR="00DE67FA" w:rsidRDefault="00B640C4" w:rsidP="00DC42CE">
      <w:pPr>
        <w:spacing w:after="0" w:line="360" w:lineRule="auto"/>
        <w:rPr>
          <w:rFonts w:eastAsia="Times New Roman" w:cstheme="minorHAnsi"/>
        </w:rPr>
      </w:pPr>
      <w:r>
        <w:rPr>
          <w:rFonts w:eastAsia="Times New Roman" w:cstheme="minorHAnsi"/>
        </w:rPr>
        <w:t>Using the mailing addresses purchased from SSI, w</w:t>
      </w:r>
      <w:r w:rsidR="00E1031B" w:rsidRPr="00DE67FA">
        <w:rPr>
          <w:rFonts w:eastAsia="Times New Roman" w:cstheme="minorHAnsi"/>
        </w:rPr>
        <w:t xml:space="preserve">e </w:t>
      </w:r>
      <w:r w:rsidR="00E1031B">
        <w:rPr>
          <w:rFonts w:eastAsia="Times New Roman" w:cstheme="minorHAnsi"/>
        </w:rPr>
        <w:t xml:space="preserve">will use </w:t>
      </w:r>
      <w:proofErr w:type="spellStart"/>
      <w:r w:rsidR="00E1031B" w:rsidRPr="00DE67FA">
        <w:rPr>
          <w:rFonts w:eastAsia="Times New Roman" w:cstheme="minorHAnsi"/>
        </w:rPr>
        <w:t>Dillman</w:t>
      </w:r>
      <w:r w:rsidR="00141EB4">
        <w:rPr>
          <w:rFonts w:eastAsia="Times New Roman" w:cstheme="minorHAnsi"/>
        </w:rPr>
        <w:t>’s</w:t>
      </w:r>
      <w:proofErr w:type="spellEnd"/>
      <w:r w:rsidR="00E1031B" w:rsidRPr="00DE67FA">
        <w:rPr>
          <w:rFonts w:eastAsia="Times New Roman" w:cstheme="minorHAnsi"/>
        </w:rPr>
        <w:t xml:space="preserve"> </w:t>
      </w:r>
      <w:r w:rsidR="000B3B28">
        <w:rPr>
          <w:rFonts w:eastAsia="Times New Roman" w:cstheme="minorHAnsi"/>
        </w:rPr>
        <w:t>(</w:t>
      </w:r>
      <w:r w:rsidR="000B3B28" w:rsidRPr="00DE67FA">
        <w:rPr>
          <w:rFonts w:eastAsia="Times New Roman" w:cstheme="minorHAnsi"/>
        </w:rPr>
        <w:t>2007</w:t>
      </w:r>
      <w:r w:rsidR="000B3B28">
        <w:rPr>
          <w:rFonts w:eastAsia="Times New Roman" w:cstheme="minorHAnsi"/>
        </w:rPr>
        <w:t xml:space="preserve">) </w:t>
      </w:r>
      <w:r w:rsidR="00E1031B" w:rsidRPr="00DE67FA">
        <w:rPr>
          <w:rFonts w:eastAsia="Times New Roman" w:cstheme="minorHAnsi"/>
        </w:rPr>
        <w:t xml:space="preserve">repeat-contact mail protocol </w:t>
      </w:r>
      <w:r w:rsidR="00E1031B">
        <w:rPr>
          <w:rFonts w:eastAsia="Times New Roman" w:cstheme="minorHAnsi"/>
        </w:rPr>
        <w:t xml:space="preserve">to </w:t>
      </w:r>
      <w:r w:rsidR="000B3B28">
        <w:rPr>
          <w:rFonts w:eastAsia="Times New Roman" w:cstheme="minorHAnsi"/>
        </w:rPr>
        <w:t xml:space="preserve">initiate the mail-out process. </w:t>
      </w:r>
      <w:r w:rsidR="00E1031B">
        <w:rPr>
          <w:rFonts w:eastAsia="Times New Roman" w:cstheme="minorHAnsi"/>
        </w:rPr>
        <w:t xml:space="preserve"> </w:t>
      </w:r>
      <w:r w:rsidR="000B3B28">
        <w:rPr>
          <w:rFonts w:eastAsia="Times New Roman" w:cstheme="minorHAnsi"/>
        </w:rPr>
        <w:t>A</w:t>
      </w:r>
      <w:r w:rsidR="00DE67FA" w:rsidRPr="00DE67FA">
        <w:rPr>
          <w:rFonts w:eastAsia="Times New Roman" w:cstheme="minorHAnsi"/>
        </w:rPr>
        <w:t xml:space="preserve"> cover letter</w:t>
      </w:r>
      <w:r w:rsidR="000B3B28">
        <w:rPr>
          <w:rFonts w:eastAsia="Times New Roman" w:cstheme="minorHAnsi"/>
        </w:rPr>
        <w:t xml:space="preserve"> </w:t>
      </w:r>
      <w:r w:rsidR="001B3CF7">
        <w:rPr>
          <w:rFonts w:eastAsia="Times New Roman" w:cstheme="minorHAnsi"/>
        </w:rPr>
        <w:t xml:space="preserve">will be used </w:t>
      </w:r>
      <w:r w:rsidR="000B3B28">
        <w:rPr>
          <w:rFonts w:eastAsia="Times New Roman" w:cstheme="minorHAnsi"/>
        </w:rPr>
        <w:t xml:space="preserve">to explain the purpose of the survey and request that the </w:t>
      </w:r>
      <w:r w:rsidR="00DE67FA" w:rsidRPr="00DE67FA">
        <w:rPr>
          <w:rFonts w:eastAsia="Times New Roman" w:cstheme="minorHAnsi"/>
        </w:rPr>
        <w:t xml:space="preserve">adult in the household with the most recent birthday complete the questionnaire, </w:t>
      </w:r>
      <w:r w:rsidR="00E1031B">
        <w:rPr>
          <w:rFonts w:eastAsia="Times New Roman" w:cstheme="minorHAnsi"/>
        </w:rPr>
        <w:t>however,</w:t>
      </w:r>
      <w:r w:rsidR="00DE67FA" w:rsidRPr="00DE67FA">
        <w:rPr>
          <w:rFonts w:eastAsia="Times New Roman" w:cstheme="minorHAnsi"/>
        </w:rPr>
        <w:t xml:space="preserve"> if that individual is not available any adult living in the household </w:t>
      </w:r>
      <w:r w:rsidR="00040414">
        <w:rPr>
          <w:rFonts w:eastAsia="Times New Roman" w:cstheme="minorHAnsi"/>
        </w:rPr>
        <w:t xml:space="preserve">will </w:t>
      </w:r>
      <w:r w:rsidR="001B3CF7">
        <w:rPr>
          <w:rFonts w:eastAsia="Times New Roman" w:cstheme="minorHAnsi"/>
        </w:rPr>
        <w:t xml:space="preserve">then </w:t>
      </w:r>
      <w:r w:rsidR="00141EB4">
        <w:rPr>
          <w:rFonts w:eastAsia="Times New Roman" w:cstheme="minorHAnsi"/>
        </w:rPr>
        <w:t xml:space="preserve">be </w:t>
      </w:r>
      <w:r w:rsidR="00DE67FA" w:rsidRPr="00DE67FA">
        <w:rPr>
          <w:rFonts w:eastAsia="Times New Roman" w:cstheme="minorHAnsi"/>
        </w:rPr>
        <w:t xml:space="preserve">eligible to respond to the questionnaire. </w:t>
      </w:r>
      <w:r w:rsidR="00955C7C">
        <w:rPr>
          <w:rFonts w:eastAsia="Times New Roman" w:cstheme="minorHAnsi"/>
        </w:rPr>
        <w:t xml:space="preserve">The specific </w:t>
      </w:r>
      <w:proofErr w:type="spellStart"/>
      <w:r w:rsidR="00955C7C">
        <w:rPr>
          <w:rFonts w:eastAsia="Times New Roman" w:cstheme="minorHAnsi"/>
        </w:rPr>
        <w:t>Dillman</w:t>
      </w:r>
      <w:proofErr w:type="spellEnd"/>
      <w:r w:rsidR="00955C7C">
        <w:rPr>
          <w:rFonts w:eastAsia="Times New Roman" w:cstheme="minorHAnsi"/>
        </w:rPr>
        <w:t xml:space="preserve"> mailing protocol to be used includes, 1) an initial contact letter introducing the survey, 2) a survey package one week later, 3) a reminder postcard one week following mailing of the survey package, 4) a second full survey package to non-respondents 2-3 weeks following the reminder postcard</w:t>
      </w:r>
      <w:r w:rsidR="003A7DF1">
        <w:rPr>
          <w:rFonts w:eastAsia="Times New Roman" w:cstheme="minorHAnsi"/>
        </w:rPr>
        <w:t>, and 5) a follow up telephone call to a random sample (n=200) of all non-respondents to conduct the non-response survey.</w:t>
      </w:r>
    </w:p>
    <w:p w14:paraId="03EEDF89" w14:textId="77777777" w:rsidR="00955C7C" w:rsidRPr="00DE67FA" w:rsidRDefault="00955C7C" w:rsidP="00DC42CE">
      <w:pPr>
        <w:spacing w:after="0" w:line="360" w:lineRule="auto"/>
        <w:rPr>
          <w:rFonts w:eastAsia="Times New Roman" w:cstheme="minorHAnsi"/>
        </w:rPr>
      </w:pPr>
    </w:p>
    <w:p w14:paraId="58613066" w14:textId="77777777" w:rsidR="00DE67FA" w:rsidRPr="00DE67FA" w:rsidRDefault="00DE67FA" w:rsidP="00DC42CE">
      <w:pPr>
        <w:spacing w:after="0" w:line="360" w:lineRule="auto"/>
        <w:rPr>
          <w:rFonts w:eastAsia="Times New Roman" w:cstheme="minorHAnsi"/>
        </w:rPr>
      </w:pPr>
      <w:r w:rsidRPr="00DE67FA">
        <w:rPr>
          <w:rFonts w:eastAsia="Times New Roman" w:cstheme="minorHAnsi"/>
          <w:b/>
        </w:rPr>
        <w:t xml:space="preserve">Estimation Procedure: </w:t>
      </w:r>
      <w:r w:rsidR="00B640C4">
        <w:rPr>
          <w:rFonts w:eastAsia="Times New Roman" w:cstheme="minorHAnsi"/>
        </w:rPr>
        <w:t>Once</w:t>
      </w:r>
      <w:r w:rsidR="00B640C4" w:rsidRPr="00DE67FA">
        <w:rPr>
          <w:rFonts w:eastAsia="Times New Roman" w:cstheme="minorHAnsi"/>
        </w:rPr>
        <w:t xml:space="preserve"> </w:t>
      </w:r>
      <w:r w:rsidRPr="00DE67FA">
        <w:rPr>
          <w:rFonts w:eastAsia="Times New Roman" w:cstheme="minorHAnsi"/>
        </w:rPr>
        <w:t xml:space="preserve">the collection is completed, the data will be cleaned, coded, and edited. </w:t>
      </w:r>
      <w:r w:rsidR="00470B21">
        <w:rPr>
          <w:rFonts w:eastAsia="Times New Roman" w:cstheme="minorHAnsi"/>
        </w:rPr>
        <w:t>All</w:t>
      </w:r>
      <w:r w:rsidRPr="00DE67FA">
        <w:rPr>
          <w:rFonts w:eastAsia="Times New Roman" w:cstheme="minorHAnsi"/>
        </w:rPr>
        <w:t xml:space="preserve"> data will be </w:t>
      </w:r>
      <w:r w:rsidR="00760A48">
        <w:rPr>
          <w:rFonts w:eastAsia="Times New Roman" w:cstheme="minorHAnsi"/>
        </w:rPr>
        <w:t>analyzed</w:t>
      </w:r>
      <w:r w:rsidR="00760A48" w:rsidRPr="00DE67FA">
        <w:rPr>
          <w:rFonts w:eastAsia="Times New Roman" w:cstheme="minorHAnsi"/>
        </w:rPr>
        <w:t xml:space="preserve"> </w:t>
      </w:r>
      <w:r w:rsidRPr="00DE67FA">
        <w:rPr>
          <w:rFonts w:eastAsia="Times New Roman" w:cstheme="minorHAnsi"/>
        </w:rPr>
        <w:t xml:space="preserve">using SAS statistical software. The software will also </w:t>
      </w:r>
      <w:r w:rsidR="00DA6733">
        <w:rPr>
          <w:rFonts w:eastAsia="Times New Roman" w:cstheme="minorHAnsi"/>
        </w:rPr>
        <w:t xml:space="preserve">be used to </w:t>
      </w:r>
      <w:r w:rsidRPr="00DE67FA">
        <w:rPr>
          <w:rFonts w:eastAsia="Times New Roman" w:cstheme="minorHAnsi"/>
        </w:rPr>
        <w:t xml:space="preserve">perform statistical tests on responses to key survey measures among </w:t>
      </w:r>
      <w:r w:rsidR="00DA6733">
        <w:rPr>
          <w:rFonts w:eastAsia="Times New Roman" w:cstheme="minorHAnsi"/>
        </w:rPr>
        <w:t>the two</w:t>
      </w:r>
      <w:r w:rsidR="00DA6733" w:rsidRPr="00DE67FA">
        <w:rPr>
          <w:rFonts w:eastAsia="Times New Roman" w:cstheme="minorHAnsi"/>
        </w:rPr>
        <w:t xml:space="preserve"> </w:t>
      </w:r>
      <w:r w:rsidR="00DA6733">
        <w:rPr>
          <w:rFonts w:eastAsia="Times New Roman" w:cstheme="minorHAnsi"/>
        </w:rPr>
        <w:t xml:space="preserve">primary </w:t>
      </w:r>
      <w:r w:rsidRPr="00DE67FA">
        <w:rPr>
          <w:rFonts w:eastAsia="Times New Roman" w:cstheme="minorHAnsi"/>
        </w:rPr>
        <w:t>subpopulations</w:t>
      </w:r>
      <w:r w:rsidR="006F695D">
        <w:rPr>
          <w:rFonts w:eastAsia="Times New Roman" w:cstheme="minorHAnsi"/>
        </w:rPr>
        <w:t xml:space="preserve"> (national and regional)</w:t>
      </w:r>
      <w:r w:rsidRPr="00DE67FA">
        <w:rPr>
          <w:rFonts w:eastAsia="Times New Roman" w:cstheme="minorHAnsi"/>
        </w:rPr>
        <w:t xml:space="preserve">. </w:t>
      </w:r>
    </w:p>
    <w:p w14:paraId="238A9FDC" w14:textId="77777777" w:rsidR="00DE67FA" w:rsidRPr="00DE67FA" w:rsidRDefault="00DE67FA" w:rsidP="00DC42CE">
      <w:pPr>
        <w:spacing w:after="0" w:line="360" w:lineRule="auto"/>
        <w:rPr>
          <w:rFonts w:eastAsia="Times New Roman" w:cstheme="minorHAnsi"/>
        </w:rPr>
      </w:pPr>
    </w:p>
    <w:p w14:paraId="1823767E" w14:textId="77777777" w:rsidR="00DE67FA" w:rsidRPr="00DE67FA" w:rsidRDefault="00DE67FA" w:rsidP="00DC42CE">
      <w:pPr>
        <w:spacing w:after="0" w:line="360" w:lineRule="auto"/>
        <w:rPr>
          <w:rFonts w:eastAsia="Times New Roman" w:cstheme="minorHAnsi"/>
        </w:rPr>
      </w:pPr>
      <w:r w:rsidRPr="00DE67FA">
        <w:rPr>
          <w:rFonts w:eastAsia="Times New Roman" w:cstheme="minorHAnsi"/>
        </w:rPr>
        <w:t xml:space="preserve">We will generate statistics to summarize and compare responses, response rates, and individual characteristics across groups defined in the sampling plan. A post-stratification adjustment will also be generated to correct any detected </w:t>
      </w:r>
      <w:r w:rsidR="00FF5A45">
        <w:rPr>
          <w:rFonts w:eastAsia="Times New Roman" w:cstheme="minorHAnsi"/>
        </w:rPr>
        <w:t>non-response</w:t>
      </w:r>
      <w:r w:rsidRPr="00DE67FA">
        <w:rPr>
          <w:rFonts w:eastAsia="Times New Roman" w:cstheme="minorHAnsi"/>
        </w:rPr>
        <w:t xml:space="preserve"> bias. </w:t>
      </w:r>
    </w:p>
    <w:p w14:paraId="782F9A8B" w14:textId="77777777" w:rsidR="00C320B1" w:rsidRDefault="00C320B1" w:rsidP="00DC42CE">
      <w:pPr>
        <w:spacing w:after="0" w:line="360" w:lineRule="auto"/>
        <w:rPr>
          <w:rFonts w:eastAsia="Times New Roman" w:cstheme="minorHAnsi"/>
          <w:b/>
          <w:i/>
        </w:rPr>
      </w:pPr>
    </w:p>
    <w:p w14:paraId="635CEEF1" w14:textId="77777777" w:rsidR="00873F41" w:rsidRDefault="00873F41" w:rsidP="00DC42CE">
      <w:pPr>
        <w:spacing w:after="0" w:line="360" w:lineRule="auto"/>
        <w:rPr>
          <w:rFonts w:eastAsia="Times New Roman" w:cstheme="minorHAnsi"/>
          <w:b/>
        </w:rPr>
      </w:pPr>
    </w:p>
    <w:p w14:paraId="53F63527" w14:textId="77777777" w:rsidR="00DE67FA" w:rsidRPr="00C320B1" w:rsidRDefault="00DE67FA" w:rsidP="00DC42CE">
      <w:pPr>
        <w:spacing w:after="0" w:line="360" w:lineRule="auto"/>
        <w:rPr>
          <w:rFonts w:eastAsia="Times New Roman" w:cstheme="minorHAnsi"/>
          <w:b/>
        </w:rPr>
      </w:pPr>
      <w:r w:rsidRPr="00C320B1">
        <w:rPr>
          <w:rFonts w:eastAsia="Times New Roman" w:cstheme="minorHAnsi"/>
          <w:b/>
        </w:rPr>
        <w:lastRenderedPageBreak/>
        <w:t>Estimating Household’s Total Willingness-to-Pay (WTP)</w:t>
      </w:r>
    </w:p>
    <w:p w14:paraId="2761E97E" w14:textId="77777777" w:rsidR="00DE67FA" w:rsidRPr="00DE67FA" w:rsidRDefault="00DE67FA" w:rsidP="00DC42CE">
      <w:pPr>
        <w:spacing w:after="0" w:line="360" w:lineRule="auto"/>
        <w:rPr>
          <w:rFonts w:eastAsia="Times New Roman" w:cstheme="minorHAnsi"/>
          <w:b/>
        </w:rPr>
      </w:pPr>
      <w:r w:rsidRPr="00DE67FA">
        <w:rPr>
          <w:rFonts w:eastAsia="Times New Roman" w:cstheme="minorHAnsi"/>
        </w:rPr>
        <w:t xml:space="preserve">To analyze the data from the conjoint/discrete choice experiment questions, we will apply a random utility modeling (RUM) framework, which </w:t>
      </w:r>
      <w:r w:rsidRPr="00DE67FA">
        <w:rPr>
          <w:rFonts w:eastAsia="MS Mincho" w:cstheme="minorHAnsi"/>
        </w:rPr>
        <w:t xml:space="preserve">assumes that survey </w:t>
      </w:r>
      <w:r w:rsidRPr="00DE67FA">
        <w:rPr>
          <w:rFonts w:eastAsia="Times New Roman" w:cstheme="minorHAnsi"/>
        </w:rPr>
        <w:t>respondents implicitly assign utility to each choice option presented to them. This utility can be expressed as</w:t>
      </w:r>
    </w:p>
    <w:p w14:paraId="724755D2" w14:textId="77777777" w:rsidR="00DE67FA" w:rsidRPr="00DE67FA" w:rsidRDefault="00DE67FA" w:rsidP="00DC42CE">
      <w:pPr>
        <w:tabs>
          <w:tab w:val="center" w:pos="4680"/>
          <w:tab w:val="right" w:pos="9360"/>
        </w:tabs>
        <w:spacing w:after="0" w:line="360" w:lineRule="auto"/>
        <w:rPr>
          <w:rFonts w:eastAsia="Times New Roman" w:cstheme="minorHAnsi"/>
        </w:rPr>
      </w:pPr>
      <w:r w:rsidRPr="00DE67FA">
        <w:rPr>
          <w:rFonts w:eastAsia="Times New Roman" w:cstheme="minorHAnsi"/>
        </w:rPr>
        <w:tab/>
      </w:r>
      <w:r w:rsidRPr="00DE67FA">
        <w:rPr>
          <w:rFonts w:eastAsia="Times New Roman" w:cstheme="minorHAnsi"/>
          <w:position w:val="-14"/>
        </w:rPr>
        <w:object w:dxaOrig="2380" w:dyaOrig="400" w14:anchorId="5E783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9pt;height:19.4pt" o:ole="">
            <v:imagedata r:id="rId9" o:title=""/>
          </v:shape>
          <o:OLEObject Type="Embed" ProgID="Equation.3" ShapeID="_x0000_i1025" DrawAspect="Content" ObjectID="_1503395780" r:id="rId10"/>
        </w:object>
      </w:r>
      <w:r w:rsidRPr="00DE67FA">
        <w:rPr>
          <w:rFonts w:eastAsia="Times New Roman" w:cstheme="minorHAnsi"/>
        </w:rPr>
        <w:t>,</w:t>
      </w:r>
      <w:r w:rsidRPr="00DE67FA">
        <w:rPr>
          <w:rFonts w:eastAsia="Times New Roman" w:cstheme="minorHAnsi"/>
        </w:rPr>
        <w:tab/>
      </w:r>
    </w:p>
    <w:p w14:paraId="35B44B55" w14:textId="77777777" w:rsidR="00DE67FA" w:rsidRPr="00DE67FA" w:rsidRDefault="00DE67FA" w:rsidP="00DC42CE">
      <w:pPr>
        <w:numPr>
          <w:ilvl w:val="0"/>
          <w:numId w:val="3"/>
        </w:numPr>
        <w:spacing w:after="0" w:line="360" w:lineRule="auto"/>
        <w:contextualSpacing/>
        <w:rPr>
          <w:rFonts w:ascii="Calibri" w:eastAsia="Times New Roman" w:hAnsi="Calibri" w:cstheme="minorHAnsi"/>
          <w:lang w:bidi="en-US"/>
        </w:rPr>
      </w:pPr>
      <w:r w:rsidRPr="00DE67FA">
        <w:rPr>
          <w:rFonts w:ascii="Calibri" w:eastAsia="Times New Roman" w:hAnsi="Calibri" w:cstheme="minorHAnsi"/>
          <w:i/>
          <w:iCs/>
          <w:lang w:bidi="en-US"/>
        </w:rPr>
        <w:t>U</w:t>
      </w:r>
      <w:r w:rsidRPr="00DE67FA">
        <w:rPr>
          <w:rFonts w:ascii="Calibri" w:eastAsia="Times New Roman" w:hAnsi="Calibri" w:cstheme="minorHAnsi"/>
          <w:i/>
          <w:iCs/>
          <w:vertAlign w:val="subscript"/>
          <w:lang w:bidi="en-US"/>
        </w:rPr>
        <w:t>ij</w:t>
      </w:r>
      <w:r w:rsidRPr="00DE67FA">
        <w:rPr>
          <w:rFonts w:ascii="Calibri" w:eastAsia="Times New Roman" w:hAnsi="Calibri" w:cstheme="minorHAnsi"/>
          <w:lang w:bidi="en-US"/>
        </w:rPr>
        <w:t xml:space="preserve"> is individual </w:t>
      </w:r>
      <w:r w:rsidRPr="00DE67FA">
        <w:rPr>
          <w:rFonts w:ascii="Calibri" w:eastAsia="Times New Roman" w:hAnsi="Calibri" w:cstheme="minorHAnsi"/>
          <w:i/>
          <w:iCs/>
          <w:lang w:bidi="en-US"/>
        </w:rPr>
        <w:t>i</w:t>
      </w:r>
      <w:r w:rsidRPr="00DE67FA">
        <w:rPr>
          <w:rFonts w:ascii="Calibri" w:eastAsia="Times New Roman" w:hAnsi="Calibri" w:cstheme="minorHAnsi"/>
          <w:lang w:bidi="en-US"/>
        </w:rPr>
        <w:t xml:space="preserve">’s utility for a choice option (i.e., restoration option) </w:t>
      </w:r>
      <w:r w:rsidRPr="00DE67FA">
        <w:rPr>
          <w:rFonts w:ascii="Calibri" w:eastAsia="Times New Roman" w:hAnsi="Calibri" w:cstheme="minorHAnsi"/>
          <w:i/>
          <w:iCs/>
          <w:lang w:bidi="en-US"/>
        </w:rPr>
        <w:t>j</w:t>
      </w:r>
      <w:r w:rsidRPr="00DE67FA">
        <w:rPr>
          <w:rFonts w:ascii="Calibri" w:eastAsia="Times New Roman" w:hAnsi="Calibri" w:cstheme="minorHAnsi"/>
          <w:lang w:bidi="en-US"/>
        </w:rPr>
        <w:t xml:space="preserve"> </w:t>
      </w:r>
    </w:p>
    <w:p w14:paraId="60BAC109" w14:textId="77777777" w:rsidR="00DE67FA" w:rsidRPr="00DE67FA" w:rsidRDefault="00DE67FA" w:rsidP="00DC42CE">
      <w:pPr>
        <w:numPr>
          <w:ilvl w:val="0"/>
          <w:numId w:val="3"/>
        </w:numPr>
        <w:spacing w:after="0" w:line="360" w:lineRule="auto"/>
        <w:contextualSpacing/>
        <w:rPr>
          <w:rFonts w:ascii="Calibri" w:eastAsia="Times New Roman" w:hAnsi="Calibri" w:cstheme="minorHAnsi"/>
          <w:lang w:bidi="en-US"/>
        </w:rPr>
      </w:pPr>
      <w:r w:rsidRPr="00DE67FA">
        <w:rPr>
          <w:rFonts w:ascii="Calibri" w:eastAsia="Times New Roman" w:hAnsi="Calibri" w:cstheme="minorHAnsi"/>
          <w:i/>
          <w:iCs/>
          <w:lang w:bidi="en-US"/>
        </w:rPr>
        <w:t>V(</w:t>
      </w:r>
      <w:r w:rsidRPr="00DE67FA">
        <w:rPr>
          <w:rFonts w:ascii="Calibri" w:eastAsia="Times New Roman" w:hAnsi="Calibri" w:cs="Times New Roman"/>
          <w:i/>
          <w:iCs/>
          <w:lang w:bidi="en-US"/>
        </w:rPr>
        <w:sym w:font="Symbol" w:char="F0D7"/>
      </w:r>
      <w:r w:rsidRPr="00DE67FA">
        <w:rPr>
          <w:rFonts w:ascii="Calibri" w:eastAsia="Times New Roman" w:hAnsi="Calibri" w:cstheme="minorHAnsi"/>
          <w:i/>
          <w:iCs/>
          <w:lang w:bidi="en-US"/>
        </w:rPr>
        <w:t>)</w:t>
      </w:r>
      <w:r w:rsidRPr="00DE67FA">
        <w:rPr>
          <w:rFonts w:ascii="Calibri" w:eastAsia="Times New Roman" w:hAnsi="Calibri" w:cstheme="minorHAnsi"/>
          <w:lang w:bidi="en-US"/>
        </w:rPr>
        <w:t xml:space="preserve"> is the nonstochastic part of utility, a function of </w:t>
      </w:r>
      <w:r w:rsidRPr="00DE67FA">
        <w:rPr>
          <w:rFonts w:ascii="Calibri" w:eastAsia="Times New Roman" w:hAnsi="Calibri" w:cstheme="minorHAnsi"/>
          <w:i/>
          <w:iCs/>
          <w:lang w:bidi="en-US"/>
        </w:rPr>
        <w:t>X</w:t>
      </w:r>
      <w:r w:rsidRPr="00DE67FA">
        <w:rPr>
          <w:rFonts w:ascii="Calibri" w:eastAsia="Times New Roman" w:hAnsi="Calibri" w:cstheme="minorHAnsi"/>
          <w:i/>
          <w:iCs/>
          <w:vertAlign w:val="subscript"/>
          <w:lang w:bidi="en-US"/>
        </w:rPr>
        <w:t>i</w:t>
      </w:r>
      <w:r w:rsidRPr="00DE67FA">
        <w:rPr>
          <w:rFonts w:ascii="Calibri" w:eastAsia="Times New Roman" w:hAnsi="Calibri" w:cstheme="minorHAnsi"/>
          <w:i/>
          <w:iCs/>
          <w:position w:val="-4"/>
          <w:lang w:bidi="en-US"/>
        </w:rPr>
        <w:t>j</w:t>
      </w:r>
      <w:r w:rsidRPr="00DE67FA">
        <w:rPr>
          <w:rFonts w:ascii="Calibri" w:eastAsia="Times New Roman" w:hAnsi="Calibri" w:cstheme="minorHAnsi"/>
          <w:lang w:bidi="en-US"/>
        </w:rPr>
        <w:t xml:space="preserve">, </w:t>
      </w:r>
    </w:p>
    <w:p w14:paraId="778C6935" w14:textId="77777777" w:rsidR="00DE67FA" w:rsidRPr="00DE67FA" w:rsidRDefault="00DE67FA" w:rsidP="00DC42CE">
      <w:pPr>
        <w:numPr>
          <w:ilvl w:val="0"/>
          <w:numId w:val="3"/>
        </w:numPr>
        <w:spacing w:after="0" w:line="360" w:lineRule="auto"/>
        <w:contextualSpacing/>
        <w:rPr>
          <w:rFonts w:ascii="Calibri" w:eastAsia="Times New Roman" w:hAnsi="Calibri" w:cstheme="minorHAnsi"/>
          <w:lang w:bidi="en-US"/>
        </w:rPr>
      </w:pPr>
      <w:r w:rsidRPr="00DE67FA">
        <w:rPr>
          <w:rFonts w:ascii="Calibri" w:eastAsia="Times New Roman" w:hAnsi="Calibri" w:cstheme="minorHAnsi"/>
          <w:i/>
          <w:iCs/>
          <w:lang w:bidi="en-US"/>
        </w:rPr>
        <w:t>X</w:t>
      </w:r>
      <w:r w:rsidRPr="00DE67FA">
        <w:rPr>
          <w:rFonts w:ascii="Calibri" w:eastAsia="Times New Roman" w:hAnsi="Calibri" w:cstheme="minorHAnsi"/>
          <w:i/>
          <w:iCs/>
          <w:vertAlign w:val="subscript"/>
          <w:lang w:bidi="en-US"/>
        </w:rPr>
        <w:t>i</w:t>
      </w:r>
      <w:r w:rsidRPr="00DE67FA">
        <w:rPr>
          <w:rFonts w:ascii="Calibri" w:eastAsia="Times New Roman" w:hAnsi="Calibri" w:cstheme="minorHAnsi"/>
          <w:i/>
          <w:iCs/>
          <w:lang w:bidi="en-US"/>
        </w:rPr>
        <w:t>j</w:t>
      </w:r>
      <w:r w:rsidRPr="00DE67FA">
        <w:rPr>
          <w:rFonts w:ascii="Calibri" w:eastAsia="Times New Roman" w:hAnsi="Calibri" w:cstheme="minorHAnsi"/>
          <w:lang w:bidi="en-US"/>
        </w:rPr>
        <w:t xml:space="preserve"> represents a vector of attribute levels for the option </w:t>
      </w:r>
      <w:r w:rsidRPr="00DE67FA">
        <w:rPr>
          <w:rFonts w:ascii="Calibri" w:eastAsia="Times New Roman" w:hAnsi="Calibri" w:cstheme="minorHAnsi"/>
          <w:i/>
          <w:iCs/>
          <w:lang w:bidi="en-US"/>
        </w:rPr>
        <w:t>j</w:t>
      </w:r>
      <w:r w:rsidRPr="00DE67FA">
        <w:rPr>
          <w:rFonts w:ascii="Calibri" w:eastAsia="Times New Roman" w:hAnsi="Calibri" w:cstheme="minorHAnsi"/>
          <w:lang w:bidi="en-US"/>
        </w:rPr>
        <w:t xml:space="preserve"> (including its cost) presented to the respondent </w:t>
      </w:r>
    </w:p>
    <w:p w14:paraId="60AD0885" w14:textId="77777777" w:rsidR="00DE67FA" w:rsidRPr="00DE67FA" w:rsidRDefault="00DE67FA" w:rsidP="00DC42CE">
      <w:pPr>
        <w:numPr>
          <w:ilvl w:val="0"/>
          <w:numId w:val="3"/>
        </w:numPr>
        <w:spacing w:after="0" w:line="360" w:lineRule="auto"/>
        <w:contextualSpacing/>
        <w:rPr>
          <w:rFonts w:ascii="Calibri" w:eastAsia="Times New Roman" w:hAnsi="Calibri" w:cstheme="minorHAnsi"/>
          <w:lang w:bidi="en-US"/>
        </w:rPr>
      </w:pPr>
      <w:r w:rsidRPr="00DE67FA">
        <w:rPr>
          <w:rFonts w:ascii="Calibri" w:eastAsia="Times New Roman" w:hAnsi="Calibri" w:cstheme="minorHAnsi"/>
          <w:i/>
          <w:iCs/>
          <w:lang w:bidi="en-US"/>
        </w:rPr>
        <w:t>Z</w:t>
      </w:r>
      <w:r w:rsidRPr="00DE67FA">
        <w:rPr>
          <w:rFonts w:ascii="Calibri" w:eastAsia="Times New Roman" w:hAnsi="Calibri" w:cstheme="minorHAnsi"/>
          <w:i/>
          <w:iCs/>
          <w:vertAlign w:val="subscript"/>
          <w:lang w:bidi="en-US"/>
        </w:rPr>
        <w:t>i</w:t>
      </w:r>
      <w:r w:rsidRPr="00DE67FA">
        <w:rPr>
          <w:rFonts w:ascii="Calibri" w:eastAsia="Times New Roman" w:hAnsi="Calibri" w:cstheme="minorHAnsi"/>
          <w:lang w:bidi="en-US"/>
        </w:rPr>
        <w:t xml:space="preserve">, a vector of personal characteristics </w:t>
      </w:r>
    </w:p>
    <w:p w14:paraId="692CB04E" w14:textId="77777777" w:rsidR="00DE67FA" w:rsidRPr="00DE67FA" w:rsidRDefault="00DE67FA" w:rsidP="00DC42CE">
      <w:pPr>
        <w:numPr>
          <w:ilvl w:val="0"/>
          <w:numId w:val="3"/>
        </w:numPr>
        <w:spacing w:after="0" w:line="360" w:lineRule="auto"/>
        <w:contextualSpacing/>
        <w:rPr>
          <w:rFonts w:ascii="Calibri" w:eastAsia="Times New Roman" w:hAnsi="Calibri" w:cstheme="minorHAnsi"/>
          <w:lang w:bidi="en-US"/>
        </w:rPr>
      </w:pPr>
      <w:r w:rsidRPr="00DE67FA">
        <w:rPr>
          <w:rFonts w:ascii="Calibri" w:eastAsia="Times New Roman" w:hAnsi="Calibri" w:cstheme="minorHAnsi"/>
          <w:lang w:bidi="en-US"/>
        </w:rPr>
        <w:t xml:space="preserve"> </w:t>
      </w:r>
      <w:r w:rsidRPr="00DE67FA">
        <w:rPr>
          <w:rFonts w:ascii="Calibri" w:eastAsia="Times New Roman" w:hAnsi="Calibri" w:cs="Times New Roman"/>
          <w:i/>
          <w:iCs/>
          <w:lang w:bidi="en-US"/>
        </w:rPr>
        <w:sym w:font="Symbol" w:char="F062"/>
      </w:r>
      <w:r w:rsidRPr="00DE67FA">
        <w:rPr>
          <w:rFonts w:ascii="Calibri" w:eastAsia="Times New Roman" w:hAnsi="Calibri" w:cstheme="minorHAnsi"/>
          <w:i/>
          <w:iCs/>
          <w:vertAlign w:val="superscript"/>
          <w:lang w:bidi="en-US"/>
        </w:rPr>
        <w:t>i</w:t>
      </w:r>
      <w:r w:rsidRPr="00DE67FA">
        <w:rPr>
          <w:rFonts w:ascii="Calibri" w:eastAsia="Times New Roman" w:hAnsi="Calibri" w:cstheme="minorHAnsi"/>
          <w:lang w:bidi="en-US"/>
        </w:rPr>
        <w:t xml:space="preserve">, a vector of attribute-specific preference parameters </w:t>
      </w:r>
    </w:p>
    <w:p w14:paraId="72747FF1" w14:textId="77777777" w:rsidR="00DE67FA" w:rsidRPr="00DE67FA" w:rsidRDefault="00DE67FA" w:rsidP="00DC42CE">
      <w:pPr>
        <w:numPr>
          <w:ilvl w:val="0"/>
          <w:numId w:val="3"/>
        </w:numPr>
        <w:spacing w:after="0" w:line="360" w:lineRule="auto"/>
        <w:contextualSpacing/>
        <w:rPr>
          <w:rFonts w:ascii="Calibri" w:eastAsia="Times New Roman" w:hAnsi="Calibri" w:cstheme="minorHAnsi"/>
          <w:lang w:bidi="en-US"/>
        </w:rPr>
      </w:pPr>
      <w:r w:rsidRPr="00DE67FA">
        <w:rPr>
          <w:rFonts w:ascii="Calibri" w:eastAsia="Times New Roman" w:hAnsi="Calibri" w:cstheme="minorHAnsi"/>
          <w:i/>
          <w:iCs/>
          <w:lang w:bidi="en-US"/>
        </w:rPr>
        <w:t>e</w:t>
      </w:r>
      <w:r w:rsidRPr="00DE67FA">
        <w:rPr>
          <w:rFonts w:ascii="Calibri" w:eastAsia="Times New Roman" w:hAnsi="Calibri" w:cstheme="minorHAnsi"/>
          <w:i/>
          <w:iCs/>
          <w:vertAlign w:val="subscript"/>
          <w:lang w:bidi="en-US"/>
        </w:rPr>
        <w:t>ij</w:t>
      </w:r>
      <w:r w:rsidRPr="00DE67FA">
        <w:rPr>
          <w:rFonts w:ascii="Calibri" w:eastAsia="Times New Roman" w:hAnsi="Calibri" w:cstheme="minorHAnsi"/>
          <w:lang w:bidi="en-US"/>
        </w:rPr>
        <w:t xml:space="preserve"> is a stochastic term, which captures elements of the choice option that affect individuals’ utility but are not observable to the analyst. On each choice occasion, respondents are assumed to select the option that provides the highest level of utility. By presenting respondents with a series of choice tasks and options with different values of </w:t>
      </w:r>
      <w:r w:rsidRPr="00DE67FA">
        <w:rPr>
          <w:rFonts w:ascii="Calibri" w:eastAsia="Times New Roman" w:hAnsi="Calibri" w:cstheme="minorHAnsi"/>
          <w:i/>
          <w:iCs/>
          <w:lang w:bidi="en-US"/>
        </w:rPr>
        <w:t>X</w:t>
      </w:r>
      <w:r w:rsidRPr="00DE67FA">
        <w:rPr>
          <w:rFonts w:ascii="Calibri" w:eastAsia="Times New Roman" w:hAnsi="Calibri" w:cstheme="minorHAnsi"/>
          <w:i/>
          <w:iCs/>
          <w:vertAlign w:val="subscript"/>
          <w:lang w:bidi="en-US"/>
        </w:rPr>
        <w:t>i</w:t>
      </w:r>
      <w:r w:rsidRPr="00DE67FA">
        <w:rPr>
          <w:rFonts w:ascii="Calibri" w:eastAsia="Times New Roman" w:hAnsi="Calibri" w:cstheme="minorHAnsi"/>
          <w:i/>
          <w:iCs/>
          <w:position w:val="-4"/>
          <w:lang w:bidi="en-US"/>
        </w:rPr>
        <w:t xml:space="preserve">j, </w:t>
      </w:r>
      <w:r w:rsidRPr="00DE67FA">
        <w:rPr>
          <w:rFonts w:ascii="Calibri" w:eastAsia="Times New Roman" w:hAnsi="Calibri" w:cstheme="minorHAnsi"/>
          <w:lang w:bidi="en-US"/>
        </w:rPr>
        <w:t>the resulting choices reveal information about the preference parameter vector.</w:t>
      </w:r>
    </w:p>
    <w:p w14:paraId="6F5E399C" w14:textId="77777777" w:rsidR="008E5A04" w:rsidRDefault="008E5A04" w:rsidP="00F66544">
      <w:pPr>
        <w:spacing w:after="0"/>
        <w:rPr>
          <w:rFonts w:eastAsia="Times New Roman" w:cstheme="minorHAnsi"/>
          <w:b/>
          <w:bCs/>
          <w:iCs/>
        </w:rPr>
      </w:pPr>
      <w:bookmarkStart w:id="0" w:name="_Toc253041395"/>
      <w:bookmarkStart w:id="1" w:name="_Toc260318944"/>
    </w:p>
    <w:p w14:paraId="0CD4F68F" w14:textId="77777777" w:rsidR="00F66544" w:rsidRDefault="00DE67FA" w:rsidP="00F66544">
      <w:pPr>
        <w:spacing w:after="0"/>
        <w:rPr>
          <w:rFonts w:eastAsia="Times New Roman" w:cstheme="minorHAnsi"/>
          <w:b/>
          <w:bCs/>
          <w:iCs/>
        </w:rPr>
      </w:pPr>
      <w:r w:rsidRPr="00DE67FA">
        <w:rPr>
          <w:rFonts w:eastAsia="Times New Roman" w:cstheme="minorHAnsi"/>
          <w:b/>
          <w:bCs/>
          <w:iCs/>
        </w:rPr>
        <w:t>Conditional Logit Estimation</w:t>
      </w:r>
      <w:bookmarkEnd w:id="0"/>
      <w:bookmarkEnd w:id="1"/>
    </w:p>
    <w:p w14:paraId="61037A2E" w14:textId="77777777" w:rsidR="00F66544" w:rsidRDefault="00F66544" w:rsidP="00F66544">
      <w:pPr>
        <w:spacing w:after="0"/>
        <w:rPr>
          <w:rFonts w:eastAsia="Times New Roman" w:cstheme="minorHAnsi"/>
          <w:b/>
          <w:bCs/>
          <w:iCs/>
        </w:rPr>
      </w:pPr>
    </w:p>
    <w:p w14:paraId="5D731352" w14:textId="77777777" w:rsidR="00DE67FA" w:rsidRPr="00F66544" w:rsidRDefault="00DE67FA" w:rsidP="00517662">
      <w:pPr>
        <w:spacing w:after="0" w:line="360" w:lineRule="auto"/>
        <w:rPr>
          <w:rFonts w:eastAsia="Times New Roman" w:cstheme="minorHAnsi"/>
          <w:b/>
          <w:bCs/>
          <w:iCs/>
        </w:rPr>
      </w:pPr>
      <w:r w:rsidRPr="00DE67FA">
        <w:rPr>
          <w:rFonts w:eastAsia="Times New Roman" w:cstheme="minorHAnsi"/>
          <w:bCs/>
          <w:iCs/>
        </w:rPr>
        <w:t xml:space="preserve">To estimate the parameters of </w:t>
      </w:r>
      <w:r w:rsidR="00084A24" w:rsidRPr="00DE67FA">
        <w:rPr>
          <w:rFonts w:eastAsia="Times New Roman" w:cstheme="minorHAnsi"/>
          <w:bCs/>
          <w:iCs/>
        </w:rPr>
        <w:t>th</w:t>
      </w:r>
      <w:r w:rsidR="00084A24">
        <w:rPr>
          <w:rFonts w:eastAsia="Times New Roman" w:cstheme="minorHAnsi"/>
          <w:bCs/>
          <w:iCs/>
        </w:rPr>
        <w:t>e</w:t>
      </w:r>
      <w:r w:rsidR="00084A24" w:rsidRPr="00DE67FA">
        <w:rPr>
          <w:rFonts w:eastAsia="Times New Roman" w:cstheme="minorHAnsi"/>
          <w:bCs/>
          <w:iCs/>
        </w:rPr>
        <w:t xml:space="preserve"> </w:t>
      </w:r>
      <w:r w:rsidRPr="00DE67FA">
        <w:rPr>
          <w:rFonts w:eastAsia="Times New Roman" w:cstheme="minorHAnsi"/>
          <w:bCs/>
          <w:iCs/>
        </w:rPr>
        <w:t xml:space="preserve">conjoint model, we will use a standard conditional logit (CL) model (McFadden 1986), which assumes the disturbance term follows a Type I extreme-value error structure and uses maximum-likelihood methods to estimate </w:t>
      </w:r>
      <w:r w:rsidR="00231954">
        <w:rPr>
          <w:rFonts w:eastAsia="Times New Roman" w:cstheme="minorHAnsi"/>
          <w:bCs/>
        </w:rPr>
        <w:t>the attribute parameters</w:t>
      </w:r>
      <w:r w:rsidRPr="00DE67FA">
        <w:rPr>
          <w:rFonts w:eastAsia="Times New Roman" w:cstheme="minorHAnsi"/>
          <w:bCs/>
          <w:iCs/>
          <w:vertAlign w:val="subscript"/>
        </w:rPr>
        <w:t xml:space="preserve">. </w:t>
      </w:r>
      <w:r w:rsidRPr="00DE67FA">
        <w:rPr>
          <w:rFonts w:eastAsia="Times New Roman" w:cstheme="minorHAnsi"/>
          <w:bCs/>
          <w:iCs/>
        </w:rPr>
        <w:t xml:space="preserve"> The conditional logit is a computationally straightforward estimation approach that can provide useful insights into the general pattern of respondents’ preference</w:t>
      </w:r>
      <w:r w:rsidR="00231954">
        <w:rPr>
          <w:rFonts w:eastAsia="Times New Roman" w:cstheme="minorHAnsi"/>
          <w:bCs/>
          <w:iCs/>
        </w:rPr>
        <w:t>s</w:t>
      </w:r>
      <w:r w:rsidRPr="00DE67FA">
        <w:rPr>
          <w:rFonts w:eastAsia="Times New Roman" w:cstheme="minorHAnsi"/>
          <w:bCs/>
          <w:iCs/>
        </w:rPr>
        <w:t>, trade-offs, and values.</w:t>
      </w:r>
    </w:p>
    <w:p w14:paraId="22B91E1D" w14:textId="77777777" w:rsidR="00DE67FA" w:rsidRPr="00DE67FA" w:rsidRDefault="00DE67FA" w:rsidP="00517662">
      <w:pPr>
        <w:keepNext/>
        <w:widowControl w:val="0"/>
        <w:numPr>
          <w:ilvl w:val="1"/>
          <w:numId w:val="0"/>
        </w:numPr>
        <w:tabs>
          <w:tab w:val="num" w:pos="720"/>
        </w:tabs>
        <w:autoSpaceDE w:val="0"/>
        <w:autoSpaceDN w:val="0"/>
        <w:adjustRightInd w:val="0"/>
        <w:spacing w:before="240" w:after="60" w:line="360" w:lineRule="auto"/>
        <w:outlineLvl w:val="1"/>
        <w:rPr>
          <w:rFonts w:eastAsia="Times New Roman" w:cstheme="minorHAnsi"/>
        </w:rPr>
      </w:pPr>
      <w:r w:rsidRPr="00DE67FA">
        <w:rPr>
          <w:rFonts w:eastAsia="Times New Roman" w:cstheme="minorHAnsi"/>
          <w:bCs/>
          <w:iCs/>
        </w:rPr>
        <w:t>The parameter estimates from the CL model will then be used to estimate the average marginal value of each non</w:t>
      </w:r>
      <w:r w:rsidR="00231954">
        <w:rPr>
          <w:rFonts w:eastAsia="Times New Roman" w:cstheme="minorHAnsi"/>
          <w:bCs/>
          <w:iCs/>
        </w:rPr>
        <w:t>-</w:t>
      </w:r>
      <w:r w:rsidRPr="00DE67FA">
        <w:rPr>
          <w:rFonts w:eastAsia="Times New Roman" w:cstheme="minorHAnsi"/>
          <w:bCs/>
          <w:iCs/>
        </w:rPr>
        <w:t>cost attribute</w:t>
      </w:r>
      <w:r w:rsidR="00231954">
        <w:rPr>
          <w:rFonts w:eastAsia="Times New Roman" w:cstheme="minorHAnsi"/>
          <w:bCs/>
          <w:iCs/>
        </w:rPr>
        <w:t xml:space="preserve">. </w:t>
      </w:r>
      <w:r w:rsidRPr="00DE67FA">
        <w:rPr>
          <w:rFonts w:eastAsia="Times New Roman" w:cstheme="minorHAnsi"/>
        </w:rPr>
        <w:t>They will also be used to estimate the average WTP for acquiring the combination of attributes associated with one management scenario (</w:t>
      </w:r>
      <w:r w:rsidRPr="00DE67FA">
        <w:rPr>
          <w:rFonts w:eastAsia="Times New Roman" w:cstheme="minorHAnsi"/>
          <w:i/>
          <w:iCs/>
        </w:rPr>
        <w:t>X</w:t>
      </w:r>
      <w:r w:rsidRPr="00DE67FA">
        <w:rPr>
          <w:rFonts w:eastAsia="Times New Roman" w:cstheme="minorHAnsi"/>
          <w:i/>
          <w:iCs/>
          <w:vertAlign w:val="subscript"/>
        </w:rPr>
        <w:t>1</w:t>
      </w:r>
      <w:r w:rsidRPr="00DE67FA">
        <w:rPr>
          <w:rFonts w:eastAsia="Times New Roman" w:cstheme="minorHAnsi"/>
        </w:rPr>
        <w:t>) compared to the attributes of another scenario (e.g., the no action alternative) (</w:t>
      </w:r>
      <w:r w:rsidRPr="00DE67FA">
        <w:rPr>
          <w:rFonts w:eastAsia="Times New Roman" w:cstheme="minorHAnsi"/>
          <w:i/>
          <w:iCs/>
        </w:rPr>
        <w:t>X</w:t>
      </w:r>
      <w:r w:rsidRPr="00DE67FA">
        <w:rPr>
          <w:rFonts w:eastAsia="Times New Roman" w:cstheme="minorHAnsi"/>
          <w:i/>
          <w:iCs/>
          <w:vertAlign w:val="subscript"/>
        </w:rPr>
        <w:t>0</w:t>
      </w:r>
      <w:r w:rsidRPr="00DE67FA">
        <w:rPr>
          <w:rFonts w:eastAsia="Times New Roman" w:cstheme="minorHAnsi"/>
        </w:rPr>
        <w:t>):</w:t>
      </w:r>
    </w:p>
    <w:p w14:paraId="32C4F289" w14:textId="77777777" w:rsidR="00DE67FA" w:rsidRPr="00DE67FA" w:rsidRDefault="00DE67FA" w:rsidP="00DE67FA">
      <w:pPr>
        <w:tabs>
          <w:tab w:val="center" w:pos="4680"/>
          <w:tab w:val="right" w:pos="9360"/>
        </w:tabs>
        <w:spacing w:after="0"/>
        <w:rPr>
          <w:rFonts w:eastAsia="Times New Roman" w:cstheme="minorHAnsi"/>
        </w:rPr>
      </w:pPr>
      <w:r w:rsidRPr="00DE67FA">
        <w:rPr>
          <w:rFonts w:eastAsia="Times New Roman" w:cstheme="minorHAnsi"/>
        </w:rPr>
        <w:tab/>
      </w:r>
    </w:p>
    <w:p w14:paraId="48994DDB" w14:textId="77777777" w:rsidR="00DE67FA" w:rsidRPr="00DE67FA" w:rsidRDefault="00DE67FA" w:rsidP="00DE67FA">
      <w:pPr>
        <w:tabs>
          <w:tab w:val="center" w:pos="4680"/>
          <w:tab w:val="right" w:pos="9360"/>
        </w:tabs>
        <w:spacing w:after="0"/>
        <w:jc w:val="center"/>
        <w:rPr>
          <w:rFonts w:eastAsia="Times New Roman" w:cstheme="minorHAnsi"/>
        </w:rPr>
      </w:pPr>
      <w:r w:rsidRPr="00DE67FA">
        <w:rPr>
          <w:rFonts w:eastAsia="Times New Roman" w:cstheme="minorHAnsi"/>
          <w:position w:val="-12"/>
        </w:rPr>
        <w:object w:dxaOrig="2560" w:dyaOrig="400" w14:anchorId="44F458C6">
          <v:shape id="_x0000_i1026" type="#_x0000_t75" style="width:116.75pt;height:19.4pt" o:ole="">
            <v:imagedata r:id="rId11" o:title=""/>
          </v:shape>
          <o:OLEObject Type="Embed" ProgID="Equation.3" ShapeID="_x0000_i1026" DrawAspect="Content" ObjectID="_1503395781" r:id="rId12"/>
        </w:object>
      </w:r>
      <w:r w:rsidRPr="00DE67FA">
        <w:rPr>
          <w:rFonts w:eastAsia="Times New Roman" w:cstheme="minorHAnsi"/>
        </w:rPr>
        <w:t>.</w:t>
      </w:r>
    </w:p>
    <w:p w14:paraId="3C4CAD77" w14:textId="77777777" w:rsidR="00DE67FA" w:rsidRPr="00DE67FA" w:rsidRDefault="00DE67FA" w:rsidP="00DE67FA">
      <w:pPr>
        <w:spacing w:after="0"/>
        <w:rPr>
          <w:rFonts w:eastAsia="Times New Roman" w:cstheme="minorHAnsi"/>
        </w:rPr>
      </w:pPr>
    </w:p>
    <w:p w14:paraId="64A77F14" w14:textId="77777777" w:rsidR="00DE67FA" w:rsidRPr="00DE67FA" w:rsidRDefault="00DE67FA" w:rsidP="00EA7B51">
      <w:pPr>
        <w:spacing w:after="0" w:line="360" w:lineRule="auto"/>
        <w:rPr>
          <w:rFonts w:eastAsia="Times New Roman" w:cstheme="minorHAnsi"/>
        </w:rPr>
      </w:pPr>
      <w:r w:rsidRPr="00DE67FA">
        <w:rPr>
          <w:rFonts w:eastAsia="Times New Roman" w:cstheme="minorHAnsi"/>
        </w:rPr>
        <w:lastRenderedPageBreak/>
        <w:t>The standard errors and confidence intervals for these value estimates will be estimated using the delta method (Greene 2003) or the Krinsky and Robb (1986</w:t>
      </w:r>
      <w:r w:rsidR="008A0E92">
        <w:rPr>
          <w:rFonts w:eastAsia="Times New Roman" w:cstheme="minorHAnsi"/>
        </w:rPr>
        <w:t>)</w:t>
      </w:r>
      <w:r w:rsidRPr="00DE67FA">
        <w:rPr>
          <w:rFonts w:eastAsia="Times New Roman" w:cstheme="minorHAnsi"/>
        </w:rPr>
        <w:t xml:space="preserve"> simulation method.</w:t>
      </w:r>
    </w:p>
    <w:p w14:paraId="08C2FBBC" w14:textId="77777777" w:rsidR="00DE67FA" w:rsidRPr="00DE67FA" w:rsidRDefault="00DE67FA" w:rsidP="00DE67FA">
      <w:pPr>
        <w:spacing w:after="0"/>
        <w:rPr>
          <w:rFonts w:eastAsia="Times New Roman" w:cstheme="minorHAnsi"/>
          <w:b/>
        </w:rPr>
      </w:pPr>
    </w:p>
    <w:p w14:paraId="3B400A21" w14:textId="77777777" w:rsidR="00DE67FA" w:rsidRPr="00DE67FA" w:rsidRDefault="00DE67FA" w:rsidP="00DE67FA">
      <w:pPr>
        <w:spacing w:after="0"/>
        <w:rPr>
          <w:rFonts w:eastAsia="Times New Roman" w:cstheme="minorHAnsi"/>
          <w:b/>
        </w:rPr>
      </w:pPr>
      <w:r w:rsidRPr="00DE67FA">
        <w:rPr>
          <w:rFonts w:eastAsia="Times New Roman" w:cstheme="minorHAnsi"/>
          <w:b/>
        </w:rPr>
        <w:t>Degree of accuracy for the purpose described in the justification</w:t>
      </w:r>
    </w:p>
    <w:p w14:paraId="22D15B9F" w14:textId="77777777" w:rsidR="00DE67FA" w:rsidRPr="00DE67FA" w:rsidRDefault="00DE67FA" w:rsidP="00DE67FA">
      <w:pPr>
        <w:spacing w:after="0"/>
        <w:rPr>
          <w:rFonts w:eastAsia="Times New Roman" w:cstheme="minorHAnsi"/>
        </w:rPr>
      </w:pPr>
    </w:p>
    <w:p w14:paraId="54B4AF1D" w14:textId="607ABB1F" w:rsidR="00DE67FA" w:rsidRPr="00DE67FA" w:rsidRDefault="00DE67FA" w:rsidP="00EA7B51">
      <w:pPr>
        <w:spacing w:after="0" w:line="360" w:lineRule="auto"/>
        <w:rPr>
          <w:rFonts w:eastAsia="Times New Roman" w:cstheme="minorHAnsi"/>
        </w:rPr>
      </w:pPr>
      <w:r w:rsidRPr="00DE67FA">
        <w:rPr>
          <w:rFonts w:eastAsia="Times New Roman" w:cstheme="minorHAnsi"/>
        </w:rPr>
        <w:t xml:space="preserve">Based on the results </w:t>
      </w:r>
      <w:r w:rsidR="0097187B">
        <w:rPr>
          <w:rFonts w:eastAsia="Times New Roman" w:cstheme="minorHAnsi"/>
        </w:rPr>
        <w:t>of the pilot study</w:t>
      </w:r>
      <w:r w:rsidRPr="00DE67FA">
        <w:rPr>
          <w:rFonts w:eastAsia="Times New Roman" w:cstheme="minorHAnsi"/>
        </w:rPr>
        <w:t xml:space="preserve"> we expect a</w:t>
      </w:r>
      <w:r w:rsidR="004358AE">
        <w:rPr>
          <w:rFonts w:eastAsia="Times New Roman" w:cstheme="minorHAnsi"/>
        </w:rPr>
        <w:t xml:space="preserve"> response rate of </w:t>
      </w:r>
      <w:r w:rsidRPr="00DE67FA">
        <w:rPr>
          <w:rFonts w:eastAsia="Times New Roman" w:cstheme="minorHAnsi"/>
        </w:rPr>
        <w:t xml:space="preserve">30% to 40% resulting in </w:t>
      </w:r>
      <w:r w:rsidR="006F695D">
        <w:rPr>
          <w:rFonts w:eastAsia="Times New Roman" w:cstheme="minorHAnsi"/>
        </w:rPr>
        <w:t>more than 1,500</w:t>
      </w:r>
      <w:r w:rsidRPr="00DE67FA">
        <w:rPr>
          <w:rFonts w:eastAsia="Times New Roman" w:cstheme="minorHAnsi"/>
        </w:rPr>
        <w:t xml:space="preserve"> completed surveys for the two populations combined. The expected standard errors associated with the key survey parameters (proportions) would be +</w:t>
      </w:r>
      <w:r w:rsidR="004358AE">
        <w:rPr>
          <w:rFonts w:eastAsia="Times New Roman" w:cstheme="minorHAnsi"/>
        </w:rPr>
        <w:t>/</w:t>
      </w:r>
      <w:r w:rsidRPr="00DE67FA">
        <w:rPr>
          <w:rFonts w:eastAsia="Times New Roman" w:cstheme="minorHAnsi"/>
        </w:rPr>
        <w:t>– 0.05 at a 95% confidence interval (Based on an estimated proportion of 0.5).</w:t>
      </w:r>
    </w:p>
    <w:p w14:paraId="32AEC8E6" w14:textId="77777777" w:rsidR="00DE67FA" w:rsidRPr="00DE67FA" w:rsidRDefault="00DE67FA" w:rsidP="00DE67FA">
      <w:pPr>
        <w:spacing w:after="0"/>
        <w:rPr>
          <w:rFonts w:eastAsia="Times New Roman" w:cstheme="minorHAnsi"/>
        </w:rPr>
      </w:pPr>
    </w:p>
    <w:p w14:paraId="765DDF77" w14:textId="77777777" w:rsidR="00DE67FA" w:rsidRPr="00DE67FA" w:rsidRDefault="00DE67FA" w:rsidP="00EA7B51">
      <w:pPr>
        <w:spacing w:after="0" w:line="360" w:lineRule="auto"/>
        <w:rPr>
          <w:rFonts w:eastAsia="Times New Roman" w:cstheme="minorHAnsi"/>
        </w:rPr>
      </w:pPr>
      <w:r w:rsidRPr="00DE67FA">
        <w:rPr>
          <w:rFonts w:eastAsia="Times New Roman" w:cstheme="minorHAnsi"/>
        </w:rPr>
        <w:t xml:space="preserve">Accuracy of the WTP values to be estimated from the Conjoint models cannot be specified </w:t>
      </w:r>
      <w:r w:rsidRPr="00DE67FA">
        <w:rPr>
          <w:rFonts w:eastAsia="Times New Roman" w:cstheme="minorHAnsi"/>
          <w:i/>
        </w:rPr>
        <w:t>a priori</w:t>
      </w:r>
      <w:r w:rsidRPr="00DE67FA">
        <w:rPr>
          <w:rFonts w:eastAsia="Times New Roman" w:cstheme="minorHAnsi"/>
        </w:rPr>
        <w:t xml:space="preserve"> through the use of an analytical formula.  Work by Orme (2006) indicates that based on standard rules of thumb, the sample sizes planned for the conjoint model estimations are more than adequate to estimate direct effect values for all included attributes.  Results from the Klamath Passive Use study (Mansfield et al. 2012)</w:t>
      </w:r>
      <w:r w:rsidR="00760A48">
        <w:rPr>
          <w:rFonts w:eastAsia="Times New Roman" w:cstheme="minorHAnsi"/>
        </w:rPr>
        <w:t>,</w:t>
      </w:r>
      <w:r w:rsidRPr="00DE67FA">
        <w:rPr>
          <w:rFonts w:eastAsia="Times New Roman" w:cstheme="minorHAnsi"/>
        </w:rPr>
        <w:t xml:space="preserve"> which employed a very similar conjoint question</w:t>
      </w:r>
      <w:r w:rsidR="00760A48">
        <w:rPr>
          <w:rFonts w:eastAsia="Times New Roman" w:cstheme="minorHAnsi"/>
        </w:rPr>
        <w:t>,</w:t>
      </w:r>
      <w:r w:rsidRPr="00DE67FA">
        <w:rPr>
          <w:rFonts w:eastAsia="Times New Roman" w:cstheme="minorHAnsi"/>
        </w:rPr>
        <w:t xml:space="preserve"> estimated mean household WTP for their National Sample with a 95% confidence interval that was +</w:t>
      </w:r>
      <w:r w:rsidR="004358AE">
        <w:rPr>
          <w:rFonts w:eastAsia="Times New Roman" w:cstheme="minorHAnsi"/>
        </w:rPr>
        <w:t>/</w:t>
      </w:r>
      <w:r w:rsidRPr="00DE67FA">
        <w:rPr>
          <w:rFonts w:eastAsia="Times New Roman" w:cstheme="minorHAnsi"/>
        </w:rPr>
        <w:t xml:space="preserve">– 25% of the mean </w:t>
      </w:r>
      <w:r w:rsidR="00231954">
        <w:rPr>
          <w:rFonts w:eastAsia="Times New Roman" w:cstheme="minorHAnsi"/>
        </w:rPr>
        <w:t xml:space="preserve">WTP </w:t>
      </w:r>
      <w:r w:rsidRPr="00DE67FA">
        <w:rPr>
          <w:rFonts w:eastAsia="Times New Roman" w:cstheme="minorHAnsi"/>
        </w:rPr>
        <w:t>value.  We would expect our full sample results to return estimates of WTP with similar precision.</w:t>
      </w:r>
    </w:p>
    <w:p w14:paraId="0A52D61D" w14:textId="77777777" w:rsidR="000D62AF" w:rsidRPr="00DE67FA" w:rsidRDefault="000D62AF" w:rsidP="00DE67FA">
      <w:pPr>
        <w:spacing w:after="0"/>
        <w:rPr>
          <w:rFonts w:eastAsia="Times New Roman" w:cstheme="minorHAnsi"/>
        </w:rPr>
      </w:pPr>
    </w:p>
    <w:p w14:paraId="65F49C6A" w14:textId="77777777" w:rsidR="00DE67FA" w:rsidRPr="00DE67FA" w:rsidRDefault="00DE67FA" w:rsidP="00DE67F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rPr>
      </w:pPr>
      <w:r w:rsidRPr="00DE67FA">
        <w:rPr>
          <w:rFonts w:eastAsia="Times New Roman" w:cstheme="minorHAnsi"/>
          <w:b/>
        </w:rPr>
        <w:t>3.</w:t>
      </w:r>
      <w:r w:rsidRPr="00DE67FA">
        <w:rPr>
          <w:rFonts w:eastAsia="Times New Roman" w:cstheme="minorHAnsi"/>
        </w:rPr>
        <w:t xml:space="preserve"> </w:t>
      </w:r>
      <w:r w:rsidRPr="00DE67FA">
        <w:rPr>
          <w:rFonts w:eastAsia="Times New Roman" w:cstheme="minorHAnsi"/>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7421777B" w14:textId="77777777" w:rsidR="00DE67FA" w:rsidRPr="00DE67FA" w:rsidRDefault="00DE67FA" w:rsidP="00DE67F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rPr>
      </w:pPr>
    </w:p>
    <w:p w14:paraId="42F195E1" w14:textId="77777777" w:rsidR="00DE67FA" w:rsidRPr="00DE67FA" w:rsidRDefault="00DE67FA" w:rsidP="00517662">
      <w:pPr>
        <w:spacing w:after="0" w:line="360" w:lineRule="auto"/>
        <w:rPr>
          <w:rFonts w:eastAsia="Times New Roman" w:cstheme="minorHAnsi"/>
        </w:rPr>
      </w:pPr>
      <w:r w:rsidRPr="00DE67FA">
        <w:rPr>
          <w:rFonts w:eastAsia="Times New Roman" w:cstheme="minorHAnsi"/>
        </w:rPr>
        <w:t>Non</w:t>
      </w:r>
      <w:r w:rsidR="00FF5A45">
        <w:rPr>
          <w:rFonts w:eastAsia="Times New Roman" w:cstheme="minorHAnsi"/>
        </w:rPr>
        <w:t>-</w:t>
      </w:r>
      <w:r w:rsidRPr="00DE67FA">
        <w:rPr>
          <w:rFonts w:eastAsia="Times New Roman" w:cstheme="minorHAnsi"/>
        </w:rPr>
        <w:t>response bias is the expected difference between an estimate from the sample members who respond to the survey and an estimate from the target population, that is:</w:t>
      </w:r>
    </w:p>
    <w:p w14:paraId="490FBDAB" w14:textId="77777777" w:rsidR="00DE67FA" w:rsidRPr="00DE67FA" w:rsidRDefault="00DE67FA" w:rsidP="00DE67FA">
      <w:pPr>
        <w:tabs>
          <w:tab w:val="center" w:pos="4680"/>
          <w:tab w:val="right" w:pos="9360"/>
        </w:tabs>
        <w:spacing w:after="0"/>
        <w:jc w:val="center"/>
        <w:rPr>
          <w:rFonts w:eastAsia="Times New Roman" w:cstheme="minorHAnsi"/>
        </w:rPr>
      </w:pPr>
    </w:p>
    <w:p w14:paraId="7BEC164B" w14:textId="77777777" w:rsidR="00DE67FA" w:rsidRPr="00DE67FA" w:rsidRDefault="00DE67FA" w:rsidP="00DE67FA">
      <w:pPr>
        <w:tabs>
          <w:tab w:val="center" w:pos="4680"/>
          <w:tab w:val="right" w:pos="9360"/>
        </w:tabs>
        <w:spacing w:after="0"/>
        <w:jc w:val="center"/>
        <w:rPr>
          <w:rFonts w:eastAsia="Times New Roman" w:cstheme="minorHAnsi"/>
        </w:rPr>
      </w:pPr>
      <w:r w:rsidRPr="00DE67FA">
        <w:rPr>
          <w:rFonts w:eastAsia="Times New Roman" w:cstheme="minorHAnsi"/>
          <w:position w:val="-12"/>
        </w:rPr>
        <w:object w:dxaOrig="1719" w:dyaOrig="380" w14:anchorId="6CFE7287">
          <v:shape id="_x0000_i1027" type="#_x0000_t75" style="width:86.3pt;height:18.9pt" o:ole="">
            <v:imagedata r:id="rId13" o:title=""/>
          </v:shape>
          <o:OLEObject Type="Embed" ProgID="Equation.3" ShapeID="_x0000_i1027" DrawAspect="Content" ObjectID="_1503395782" r:id="rId14"/>
        </w:object>
      </w:r>
      <w:r w:rsidRPr="00DE67FA">
        <w:rPr>
          <w:rFonts w:eastAsia="Times New Roman" w:cstheme="minorHAnsi"/>
        </w:rPr>
        <w:tab/>
        <w:t>(1)</w:t>
      </w:r>
    </w:p>
    <w:p w14:paraId="2B203EE6" w14:textId="77777777" w:rsidR="00DE67FA" w:rsidRDefault="00DE67FA" w:rsidP="00517662">
      <w:pPr>
        <w:spacing w:before="120" w:after="0" w:line="360" w:lineRule="auto"/>
        <w:rPr>
          <w:rFonts w:eastAsia="Times New Roman" w:cstheme="minorHAnsi"/>
        </w:rPr>
      </w:pPr>
      <w:r w:rsidRPr="00DE67FA">
        <w:rPr>
          <w:rFonts w:eastAsia="Times New Roman" w:cstheme="minorHAnsi"/>
        </w:rPr>
        <w:t xml:space="preserve">Equation 1 shows that an overall population estimate, </w:t>
      </w:r>
      <w:r w:rsidRPr="00DE67FA">
        <w:rPr>
          <w:rFonts w:eastAsia="Times New Roman" w:cstheme="minorHAnsi"/>
          <w:position w:val="-10"/>
        </w:rPr>
        <w:object w:dxaOrig="300" w:dyaOrig="360" w14:anchorId="787C93A2">
          <v:shape id="_x0000_i1028" type="#_x0000_t75" style="width:15.25pt;height:18.9pt" o:ole="">
            <v:imagedata r:id="rId15" o:title=""/>
          </v:shape>
          <o:OLEObject Type="Embed" ProgID="Equation.3" ShapeID="_x0000_i1028" DrawAspect="Content" ObjectID="_1503395783" r:id="rId16"/>
        </w:object>
      </w:r>
      <w:r w:rsidRPr="00DE67FA">
        <w:rPr>
          <w:rFonts w:eastAsia="Times New Roman" w:cstheme="minorHAnsi"/>
        </w:rPr>
        <w:t>depends on the proportion of respondents and non</w:t>
      </w:r>
      <w:r w:rsidR="00785CEB">
        <w:rPr>
          <w:rFonts w:eastAsia="Times New Roman" w:cstheme="minorHAnsi"/>
        </w:rPr>
        <w:t>-</w:t>
      </w:r>
      <w:r w:rsidRPr="00DE67FA">
        <w:rPr>
          <w:rFonts w:eastAsia="Times New Roman" w:cstheme="minorHAnsi"/>
        </w:rPr>
        <w:t xml:space="preserve">respondents (denoted as </w:t>
      </w:r>
      <w:r w:rsidRPr="00DE67FA">
        <w:rPr>
          <w:rFonts w:eastAsia="Times New Roman" w:cstheme="minorHAnsi"/>
          <w:position w:val="-10"/>
        </w:rPr>
        <w:object w:dxaOrig="300" w:dyaOrig="340" w14:anchorId="5E38B1F3">
          <v:shape id="_x0000_i1029" type="#_x0000_t75" style="width:15.25pt;height:17.1pt" o:ole="">
            <v:imagedata r:id="rId17" o:title=""/>
          </v:shape>
          <o:OLEObject Type="Embed" ProgID="Equation.3" ShapeID="_x0000_i1029" DrawAspect="Content" ObjectID="_1503395784" r:id="rId18"/>
        </w:object>
      </w:r>
      <w:r w:rsidRPr="00DE67FA">
        <w:rPr>
          <w:rFonts w:eastAsia="Times New Roman" w:cstheme="minorHAnsi"/>
        </w:rPr>
        <w:t xml:space="preserve">and </w:t>
      </w:r>
      <w:r w:rsidRPr="00DE67FA">
        <w:rPr>
          <w:rFonts w:eastAsia="Times New Roman" w:cstheme="minorHAnsi"/>
          <w:position w:val="-12"/>
        </w:rPr>
        <w:object w:dxaOrig="320" w:dyaOrig="360" w14:anchorId="400F9A1C">
          <v:shape id="_x0000_i1030" type="#_x0000_t75" style="width:16.6pt;height:18.9pt" o:ole="">
            <v:imagedata r:id="rId19" o:title=""/>
          </v:shape>
          <o:OLEObject Type="Embed" ProgID="Equation.3" ShapeID="_x0000_i1030" DrawAspect="Content" ObjectID="_1503395785" r:id="rId20"/>
        </w:object>
      </w:r>
      <w:r w:rsidRPr="00DE67FA">
        <w:rPr>
          <w:rFonts w:eastAsia="Times New Roman" w:cstheme="minorHAnsi"/>
        </w:rPr>
        <w:t xml:space="preserve"> respectively, where </w:t>
      </w:r>
      <w:r w:rsidRPr="00DE67FA">
        <w:rPr>
          <w:rFonts w:eastAsia="Times New Roman" w:cstheme="minorHAnsi"/>
          <w:position w:val="-12"/>
        </w:rPr>
        <w:object w:dxaOrig="1240" w:dyaOrig="360" w14:anchorId="3197EE0D">
          <v:shape id="_x0000_i1031" type="#_x0000_t75" style="width:61.85pt;height:18.9pt" o:ole="">
            <v:imagedata r:id="rId21" o:title=""/>
          </v:shape>
          <o:OLEObject Type="Embed" ProgID="Equation.3" ShapeID="_x0000_i1031" DrawAspect="Content" ObjectID="_1503395786" r:id="rId22"/>
        </w:object>
      </w:r>
      <w:r w:rsidRPr="00DE67FA">
        <w:rPr>
          <w:rFonts w:eastAsia="Times New Roman" w:cstheme="minorHAnsi"/>
        </w:rPr>
        <w:t>and the mean response from both respondents and non</w:t>
      </w:r>
      <w:r w:rsidR="00785CEB">
        <w:rPr>
          <w:rFonts w:eastAsia="Times New Roman" w:cstheme="minorHAnsi"/>
        </w:rPr>
        <w:t>-</w:t>
      </w:r>
      <w:r w:rsidRPr="00DE67FA">
        <w:rPr>
          <w:rFonts w:eastAsia="Times New Roman" w:cstheme="minorHAnsi"/>
        </w:rPr>
        <w:t xml:space="preserve">respondents (denoted as </w:t>
      </w:r>
      <w:r w:rsidRPr="00DE67FA">
        <w:rPr>
          <w:rFonts w:eastAsia="Times New Roman" w:cstheme="minorHAnsi"/>
          <w:position w:val="-10"/>
        </w:rPr>
        <w:object w:dxaOrig="260" w:dyaOrig="360" w14:anchorId="2C94464F">
          <v:shape id="_x0000_i1032" type="#_x0000_t75" style="width:12.45pt;height:18.9pt" o:ole="">
            <v:imagedata r:id="rId23" o:title=""/>
          </v:shape>
          <o:OLEObject Type="Embed" ProgID="Equation.3" ShapeID="_x0000_i1032" DrawAspect="Content" ObjectID="_1503395787" r:id="rId24"/>
        </w:object>
      </w:r>
      <w:r w:rsidRPr="00DE67FA">
        <w:rPr>
          <w:rFonts w:eastAsia="Times New Roman" w:cstheme="minorHAnsi"/>
        </w:rPr>
        <w:t xml:space="preserve">and </w:t>
      </w:r>
      <w:r w:rsidRPr="00DE67FA">
        <w:rPr>
          <w:rFonts w:eastAsia="Times New Roman" w:cstheme="minorHAnsi"/>
          <w:position w:val="-12"/>
        </w:rPr>
        <w:object w:dxaOrig="260" w:dyaOrig="380" w14:anchorId="4F5A1984">
          <v:shape id="_x0000_i1033" type="#_x0000_t75" style="width:12.45pt;height:18.9pt" o:ole="">
            <v:imagedata r:id="rId25" o:title=""/>
          </v:shape>
          <o:OLEObject Type="Embed" ProgID="Equation.3" ShapeID="_x0000_i1033" DrawAspect="Content" ObjectID="_1503395788" r:id="rId26"/>
        </w:object>
      </w:r>
      <w:r w:rsidRPr="00DE67FA">
        <w:rPr>
          <w:rFonts w:eastAsia="Times New Roman" w:cstheme="minorHAnsi"/>
        </w:rPr>
        <w:t xml:space="preserve"> respectively). Bias in an estimate due to </w:t>
      </w:r>
      <w:r w:rsidR="00FF5A45">
        <w:rPr>
          <w:rFonts w:eastAsia="Times New Roman" w:cstheme="minorHAnsi"/>
        </w:rPr>
        <w:t>non-response</w:t>
      </w:r>
      <w:r w:rsidRPr="00DE67FA">
        <w:rPr>
          <w:rFonts w:eastAsia="Times New Roman" w:cstheme="minorHAnsi"/>
        </w:rPr>
        <w:t xml:space="preserve"> is given by the following equation:</w:t>
      </w:r>
    </w:p>
    <w:p w14:paraId="0F19B694" w14:textId="77777777" w:rsidR="004358AE" w:rsidRPr="00DE67FA" w:rsidRDefault="004358AE" w:rsidP="004358AE">
      <w:pPr>
        <w:pStyle w:val="NoSpacing"/>
      </w:pPr>
    </w:p>
    <w:p w14:paraId="687E0801" w14:textId="77777777" w:rsidR="00DE67FA" w:rsidRDefault="00DE67FA" w:rsidP="00DE67FA">
      <w:pPr>
        <w:spacing w:after="0"/>
        <w:jc w:val="center"/>
        <w:rPr>
          <w:rFonts w:eastAsia="Times New Roman" w:cstheme="minorHAnsi"/>
        </w:rPr>
      </w:pPr>
      <w:r w:rsidRPr="00DE67FA">
        <w:rPr>
          <w:rFonts w:eastAsia="Times New Roman" w:cstheme="minorHAnsi"/>
          <w:position w:val="-10"/>
        </w:rPr>
        <w:object w:dxaOrig="1760" w:dyaOrig="360" w14:anchorId="4E91CE78">
          <v:shape id="_x0000_i1034" type="#_x0000_t75" style="width:87.7pt;height:18.9pt" o:ole="">
            <v:imagedata r:id="rId27" o:title=""/>
          </v:shape>
          <o:OLEObject Type="Embed" ProgID="Equation.3" ShapeID="_x0000_i1034" DrawAspect="Content" ObjectID="_1503395789" r:id="rId28"/>
        </w:object>
      </w:r>
      <w:r w:rsidRPr="00DE67FA">
        <w:rPr>
          <w:rFonts w:eastAsia="Times New Roman" w:cstheme="minorHAnsi"/>
        </w:rPr>
        <w:t>,</w:t>
      </w:r>
      <w:r w:rsidRPr="00DE67FA">
        <w:rPr>
          <w:rFonts w:eastAsia="Times New Roman" w:cstheme="minorHAnsi"/>
        </w:rPr>
        <w:tab/>
      </w:r>
      <w:r w:rsidRPr="00DE67FA">
        <w:rPr>
          <w:rFonts w:eastAsia="Times New Roman" w:cstheme="minorHAnsi"/>
        </w:rPr>
        <w:tab/>
      </w:r>
      <w:r w:rsidRPr="00DE67FA">
        <w:rPr>
          <w:rFonts w:eastAsia="Times New Roman" w:cstheme="minorHAnsi"/>
        </w:rPr>
        <w:tab/>
        <w:t xml:space="preserve">     </w:t>
      </w:r>
      <w:r w:rsidR="00333B59">
        <w:rPr>
          <w:rFonts w:eastAsia="Times New Roman" w:cstheme="minorHAnsi"/>
        </w:rPr>
        <w:t xml:space="preserve">           </w:t>
      </w:r>
      <w:r w:rsidR="00F66544">
        <w:rPr>
          <w:rFonts w:eastAsia="Times New Roman" w:cstheme="minorHAnsi"/>
        </w:rPr>
        <w:t xml:space="preserve"> </w:t>
      </w:r>
      <w:r w:rsidR="00333B59">
        <w:rPr>
          <w:rFonts w:eastAsia="Times New Roman" w:cstheme="minorHAnsi"/>
        </w:rPr>
        <w:t xml:space="preserve">     </w:t>
      </w:r>
      <w:r w:rsidRPr="00DE67FA">
        <w:rPr>
          <w:rFonts w:eastAsia="Times New Roman" w:cstheme="minorHAnsi"/>
        </w:rPr>
        <w:t>(2)</w:t>
      </w:r>
    </w:p>
    <w:p w14:paraId="46061010" w14:textId="77777777" w:rsidR="004358AE" w:rsidRPr="00DE67FA" w:rsidRDefault="004358AE" w:rsidP="00DE67FA">
      <w:pPr>
        <w:spacing w:after="0"/>
        <w:jc w:val="center"/>
        <w:rPr>
          <w:rFonts w:eastAsia="Times New Roman" w:cstheme="minorHAnsi"/>
        </w:rPr>
      </w:pPr>
    </w:p>
    <w:p w14:paraId="71A31FC2" w14:textId="77777777" w:rsidR="00DE67FA" w:rsidRDefault="00DE67FA" w:rsidP="00EA7B51">
      <w:pPr>
        <w:spacing w:after="0" w:line="360" w:lineRule="auto"/>
        <w:rPr>
          <w:rFonts w:eastAsia="Times New Roman" w:cstheme="minorHAnsi"/>
        </w:rPr>
      </w:pPr>
      <w:r w:rsidRPr="00DE67FA">
        <w:rPr>
          <w:rFonts w:eastAsia="Times New Roman" w:cstheme="minorHAnsi"/>
        </w:rPr>
        <w:lastRenderedPageBreak/>
        <w:t>The extent to which non</w:t>
      </w:r>
      <w:r w:rsidR="00FF5A45">
        <w:rPr>
          <w:rFonts w:eastAsia="Times New Roman" w:cstheme="minorHAnsi"/>
        </w:rPr>
        <w:t>-</w:t>
      </w:r>
      <w:r w:rsidRPr="00DE67FA">
        <w:rPr>
          <w:rFonts w:eastAsia="Times New Roman" w:cstheme="minorHAnsi"/>
        </w:rPr>
        <w:t>response bias occurs ultimately depends on (1) the extent of missing data and (2) the difference in an estimate between respondents and non</w:t>
      </w:r>
      <w:r w:rsidR="00785CEB">
        <w:rPr>
          <w:rFonts w:eastAsia="Times New Roman" w:cstheme="minorHAnsi"/>
        </w:rPr>
        <w:t>-</w:t>
      </w:r>
      <w:r w:rsidRPr="00DE67FA">
        <w:rPr>
          <w:rFonts w:eastAsia="Times New Roman" w:cstheme="minorHAnsi"/>
        </w:rPr>
        <w:t>respondents.  The bias can be expressed in the following equation:</w:t>
      </w:r>
    </w:p>
    <w:p w14:paraId="1A064F8A" w14:textId="77777777" w:rsidR="004358AE" w:rsidRPr="00DE67FA" w:rsidRDefault="004358AE" w:rsidP="004358AE">
      <w:pPr>
        <w:pStyle w:val="NoSpacing"/>
      </w:pPr>
    </w:p>
    <w:p w14:paraId="7F26108F" w14:textId="77777777" w:rsidR="00DE67FA" w:rsidRDefault="00DE67FA" w:rsidP="00DE67FA">
      <w:pPr>
        <w:tabs>
          <w:tab w:val="center" w:pos="4680"/>
          <w:tab w:val="right" w:pos="9360"/>
        </w:tabs>
        <w:spacing w:after="0"/>
        <w:jc w:val="center"/>
        <w:rPr>
          <w:rFonts w:eastAsia="Times New Roman" w:cstheme="minorHAnsi"/>
        </w:rPr>
      </w:pPr>
      <w:r w:rsidRPr="00DE67FA">
        <w:rPr>
          <w:rFonts w:eastAsia="Times New Roman" w:cstheme="minorHAnsi"/>
          <w:position w:val="-12"/>
        </w:rPr>
        <w:object w:dxaOrig="2299" w:dyaOrig="380" w14:anchorId="4AAAB28D">
          <v:shape id="_x0000_i1035" type="#_x0000_t75" style="width:115.85pt;height:18.9pt" o:ole="">
            <v:imagedata r:id="rId29" o:title=""/>
          </v:shape>
          <o:OLEObject Type="Embed" ProgID="Equation.3" ShapeID="_x0000_i1035" DrawAspect="Content" ObjectID="_1503395790" r:id="rId30"/>
        </w:object>
      </w:r>
      <w:r w:rsidRPr="00DE67FA">
        <w:rPr>
          <w:rFonts w:eastAsia="Times New Roman" w:cstheme="minorHAnsi"/>
        </w:rPr>
        <w:tab/>
        <w:t xml:space="preserve">  </w:t>
      </w:r>
      <w:r w:rsidR="00333B59">
        <w:rPr>
          <w:rFonts w:eastAsia="Times New Roman" w:cstheme="minorHAnsi"/>
        </w:rPr>
        <w:t xml:space="preserve">   </w:t>
      </w:r>
      <w:r w:rsidRPr="00DE67FA">
        <w:rPr>
          <w:rFonts w:eastAsia="Times New Roman" w:cstheme="minorHAnsi"/>
        </w:rPr>
        <w:t>(3)</w:t>
      </w:r>
    </w:p>
    <w:p w14:paraId="72563D53" w14:textId="77777777" w:rsidR="004358AE" w:rsidRPr="00DE67FA" w:rsidRDefault="004358AE" w:rsidP="00DE67FA">
      <w:pPr>
        <w:tabs>
          <w:tab w:val="center" w:pos="4680"/>
          <w:tab w:val="right" w:pos="9360"/>
        </w:tabs>
        <w:spacing w:after="0"/>
        <w:jc w:val="center"/>
        <w:rPr>
          <w:rFonts w:eastAsia="Times New Roman" w:cstheme="minorHAnsi"/>
        </w:rPr>
      </w:pPr>
    </w:p>
    <w:p w14:paraId="717B9142" w14:textId="77777777" w:rsidR="00DE67FA" w:rsidRPr="00DE67FA" w:rsidRDefault="00DE67FA" w:rsidP="00EA7B51">
      <w:pPr>
        <w:spacing w:after="0" w:line="360" w:lineRule="auto"/>
        <w:rPr>
          <w:rFonts w:eastAsia="Times New Roman" w:cstheme="minorHAnsi"/>
        </w:rPr>
      </w:pPr>
      <w:r w:rsidRPr="00DE67FA">
        <w:rPr>
          <w:rFonts w:eastAsia="Times New Roman" w:cstheme="minorHAnsi"/>
        </w:rPr>
        <w:t xml:space="preserve">It reveals that the </w:t>
      </w:r>
      <w:r w:rsidR="00FF5A45">
        <w:rPr>
          <w:rFonts w:eastAsia="Times New Roman" w:cstheme="minorHAnsi"/>
        </w:rPr>
        <w:t>non-response</w:t>
      </w:r>
      <w:r w:rsidRPr="00DE67FA">
        <w:rPr>
          <w:rFonts w:eastAsia="Times New Roman" w:cstheme="minorHAnsi"/>
        </w:rPr>
        <w:t xml:space="preserve"> bias depends on two components, </w:t>
      </w:r>
      <w:r w:rsidR="00FF5A45">
        <w:rPr>
          <w:rFonts w:eastAsia="Times New Roman" w:cstheme="minorHAnsi"/>
        </w:rPr>
        <w:t>non-response</w:t>
      </w:r>
      <w:r w:rsidRPr="00DE67FA">
        <w:rPr>
          <w:rFonts w:eastAsia="Times New Roman" w:cstheme="minorHAnsi"/>
        </w:rPr>
        <w:t xml:space="preserve"> rate (</w:t>
      </w:r>
      <w:r w:rsidRPr="00DE67FA">
        <w:rPr>
          <w:rFonts w:eastAsia="Times New Roman" w:cstheme="minorHAnsi"/>
          <w:position w:val="-12"/>
        </w:rPr>
        <w:object w:dxaOrig="320" w:dyaOrig="360" w14:anchorId="1190A6B7">
          <v:shape id="_x0000_i1036" type="#_x0000_t75" style="width:16.6pt;height:18.9pt" o:ole="">
            <v:imagedata r:id="rId31" o:title=""/>
          </v:shape>
          <o:OLEObject Type="Embed" ProgID="Equation.3" ShapeID="_x0000_i1036" DrawAspect="Content" ObjectID="_1503395791" r:id="rId32"/>
        </w:object>
      </w:r>
      <w:r w:rsidRPr="00DE67FA">
        <w:rPr>
          <w:rFonts w:eastAsia="Times New Roman" w:cstheme="minorHAnsi"/>
        </w:rPr>
        <w:t>) and the difference between mean responses for respondents and non</w:t>
      </w:r>
      <w:r w:rsidR="00785CEB">
        <w:rPr>
          <w:rFonts w:eastAsia="Times New Roman" w:cstheme="minorHAnsi"/>
        </w:rPr>
        <w:t>-</w:t>
      </w:r>
      <w:r w:rsidRPr="00DE67FA">
        <w:rPr>
          <w:rFonts w:eastAsia="Times New Roman" w:cstheme="minorHAnsi"/>
        </w:rPr>
        <w:t>respondents (</w:t>
      </w:r>
      <w:r w:rsidRPr="00DE67FA">
        <w:rPr>
          <w:rFonts w:eastAsia="Times New Roman" w:cstheme="minorHAnsi"/>
          <w:position w:val="-12"/>
        </w:rPr>
        <w:object w:dxaOrig="700" w:dyaOrig="380" w14:anchorId="755865A3">
          <v:shape id="_x0000_i1037" type="#_x0000_t75" style="width:36.9pt;height:18.9pt" o:ole="">
            <v:imagedata r:id="rId33" o:title=""/>
          </v:shape>
          <o:OLEObject Type="Embed" ProgID="Equation.3" ShapeID="_x0000_i1037" DrawAspect="Content" ObjectID="_1503395792" r:id="rId34"/>
        </w:object>
      </w:r>
      <w:r w:rsidRPr="00DE67FA">
        <w:rPr>
          <w:rFonts w:eastAsia="Times New Roman" w:cstheme="minorHAnsi"/>
        </w:rPr>
        <w:t xml:space="preserve">). If both components are small, then the bias should be negligible. For bias to be significant, a large </w:t>
      </w:r>
      <w:r w:rsidR="00FF5A45">
        <w:rPr>
          <w:rFonts w:eastAsia="Times New Roman" w:cstheme="minorHAnsi"/>
        </w:rPr>
        <w:t>non-response</w:t>
      </w:r>
      <w:r w:rsidRPr="00DE67FA">
        <w:rPr>
          <w:rFonts w:eastAsia="Times New Roman" w:cstheme="minorHAnsi"/>
        </w:rPr>
        <w:t xml:space="preserve"> rate (</w:t>
      </w:r>
      <w:r w:rsidRPr="00DE67FA">
        <w:rPr>
          <w:rFonts w:eastAsia="Times New Roman" w:cstheme="minorHAnsi"/>
          <w:position w:val="-12"/>
        </w:rPr>
        <w:object w:dxaOrig="320" w:dyaOrig="360" w14:anchorId="5B401008">
          <v:shape id="_x0000_i1038" type="#_x0000_t75" style="width:16.6pt;height:18.9pt" o:ole="">
            <v:imagedata r:id="rId31" o:title=""/>
          </v:shape>
          <o:OLEObject Type="Embed" ProgID="Equation.3" ShapeID="_x0000_i1038" DrawAspect="Content" ObjectID="_1503395793" r:id="rId35"/>
        </w:object>
      </w:r>
      <w:r w:rsidRPr="00DE67FA">
        <w:rPr>
          <w:rFonts w:eastAsia="Times New Roman" w:cstheme="minorHAnsi"/>
        </w:rPr>
        <w:t xml:space="preserve">) should exist, and/or with a large difference between the mean responses. </w:t>
      </w:r>
    </w:p>
    <w:p w14:paraId="2C8097C6" w14:textId="77777777" w:rsidR="00DE67FA" w:rsidRPr="00DE67FA" w:rsidRDefault="00DE67FA" w:rsidP="00DE67FA">
      <w:pPr>
        <w:spacing w:after="0"/>
        <w:rPr>
          <w:rFonts w:eastAsia="Times New Roman" w:cstheme="minorHAnsi"/>
        </w:rPr>
      </w:pPr>
    </w:p>
    <w:p w14:paraId="5C4B5813" w14:textId="77777777" w:rsidR="00DE67FA" w:rsidRPr="00DE67FA" w:rsidRDefault="00DE67FA" w:rsidP="00EA7B51">
      <w:pPr>
        <w:spacing w:after="0" w:line="360" w:lineRule="auto"/>
        <w:rPr>
          <w:rFonts w:eastAsia="Times New Roman" w:cstheme="minorHAnsi"/>
        </w:rPr>
      </w:pPr>
      <w:r w:rsidRPr="00DE67FA">
        <w:rPr>
          <w:rFonts w:eastAsia="Times New Roman" w:cstheme="minorHAnsi"/>
        </w:rPr>
        <w:t xml:space="preserve">The likelihood (propensity, probability) of responding to the survey may be related to sampling unit characteristics, such as age. For example, that young people are less likely to respond than old people.  It is evident when noting that both components of </w:t>
      </w:r>
      <w:r w:rsidR="00FF5A45">
        <w:rPr>
          <w:rFonts w:eastAsia="Times New Roman" w:cstheme="minorHAnsi"/>
        </w:rPr>
        <w:t>non-response</w:t>
      </w:r>
      <w:r w:rsidRPr="00DE67FA">
        <w:rPr>
          <w:rFonts w:eastAsia="Times New Roman" w:cstheme="minorHAnsi"/>
        </w:rPr>
        <w:t xml:space="preserve"> bias (namely</w:t>
      </w:r>
      <w:r w:rsidRPr="00DE67FA">
        <w:rPr>
          <w:rFonts w:eastAsia="Times New Roman" w:cstheme="minorHAnsi"/>
          <w:position w:val="-12"/>
        </w:rPr>
        <w:object w:dxaOrig="320" w:dyaOrig="360" w14:anchorId="43B3D973">
          <v:shape id="_x0000_i1039" type="#_x0000_t75" style="width:16.6pt;height:18.9pt" o:ole="">
            <v:imagedata r:id="rId36" o:title=""/>
          </v:shape>
          <o:OLEObject Type="Embed" ProgID="Equation.3" ShapeID="_x0000_i1039" DrawAspect="Content" ObjectID="_1503395794" r:id="rId37"/>
        </w:object>
      </w:r>
      <w:proofErr w:type="gramStart"/>
      <w:r w:rsidRPr="00DE67FA">
        <w:rPr>
          <w:rFonts w:eastAsia="Times New Roman" w:cstheme="minorHAnsi"/>
        </w:rPr>
        <w:t xml:space="preserve">and </w:t>
      </w:r>
      <w:proofErr w:type="gramEnd"/>
      <w:r w:rsidRPr="00DE67FA">
        <w:rPr>
          <w:rFonts w:eastAsia="Times New Roman" w:cstheme="minorHAnsi"/>
          <w:position w:val="-12"/>
        </w:rPr>
        <w:object w:dxaOrig="700" w:dyaOrig="380" w14:anchorId="65A9E2BF">
          <v:shape id="_x0000_i1040" type="#_x0000_t75" style="width:36.9pt;height:18.9pt" o:ole="">
            <v:imagedata r:id="rId33" o:title=""/>
          </v:shape>
          <o:OLEObject Type="Embed" ProgID="Equation.3" ShapeID="_x0000_i1040" DrawAspect="Content" ObjectID="_1503395795" r:id="rId38"/>
        </w:object>
      </w:r>
      <w:r w:rsidRPr="00DE67FA">
        <w:rPr>
          <w:rFonts w:eastAsia="Times New Roman" w:cstheme="minorHAnsi"/>
        </w:rPr>
        <w:t xml:space="preserve">) would be magnified because young people may be less likely to respond and if they do respond, they may respond differently from old people. The </w:t>
      </w:r>
      <w:r w:rsidR="00FF5A45">
        <w:rPr>
          <w:rFonts w:eastAsia="Times New Roman" w:cstheme="minorHAnsi"/>
        </w:rPr>
        <w:t>non-response</w:t>
      </w:r>
      <w:r w:rsidRPr="00DE67FA">
        <w:rPr>
          <w:rFonts w:eastAsia="Times New Roman" w:cstheme="minorHAnsi"/>
        </w:rPr>
        <w:t xml:space="preserve"> bias then can be expressed in another way as a function of how correlated response propensity is to a survey outcome variable:</w:t>
      </w:r>
    </w:p>
    <w:p w14:paraId="517EC63D" w14:textId="77777777" w:rsidR="00DE67FA" w:rsidRPr="00DE67FA" w:rsidRDefault="00DE67FA" w:rsidP="00DE67FA">
      <w:pPr>
        <w:tabs>
          <w:tab w:val="center" w:pos="4680"/>
          <w:tab w:val="right" w:pos="9360"/>
        </w:tabs>
        <w:spacing w:after="0"/>
        <w:jc w:val="center"/>
        <w:rPr>
          <w:rFonts w:eastAsia="Times New Roman" w:cstheme="minorHAnsi"/>
        </w:rPr>
      </w:pPr>
      <w:r w:rsidRPr="00DE67FA">
        <w:rPr>
          <w:rFonts w:eastAsia="Times New Roman" w:cstheme="minorHAnsi"/>
          <w:position w:val="-28"/>
        </w:rPr>
        <w:object w:dxaOrig="1500" w:dyaOrig="700" w14:anchorId="416CAEA6">
          <v:shape id="_x0000_i1041" type="#_x0000_t75" style="width:74.75pt;height:36.9pt" o:ole="">
            <v:imagedata r:id="rId39" o:title=""/>
          </v:shape>
          <o:OLEObject Type="Embed" ProgID="Equation.3" ShapeID="_x0000_i1041" DrawAspect="Content" ObjectID="_1503395796" r:id="rId40"/>
        </w:object>
      </w:r>
      <w:r w:rsidRPr="00DE67FA">
        <w:rPr>
          <w:rFonts w:eastAsia="Times New Roman" w:cstheme="minorHAnsi"/>
        </w:rPr>
        <w:tab/>
        <w:t xml:space="preserve">         (4)</w:t>
      </w:r>
    </w:p>
    <w:p w14:paraId="0787FD3D" w14:textId="77777777" w:rsidR="00DE67FA" w:rsidRPr="00DE67FA" w:rsidRDefault="00DE67FA" w:rsidP="00EA7B51">
      <w:pPr>
        <w:spacing w:before="120" w:after="0" w:line="360" w:lineRule="auto"/>
        <w:rPr>
          <w:rFonts w:eastAsia="Times New Roman" w:cstheme="minorHAnsi"/>
          <w:b/>
        </w:rPr>
      </w:pPr>
      <w:proofErr w:type="gramStart"/>
      <w:r w:rsidRPr="00DE67FA">
        <w:rPr>
          <w:rFonts w:eastAsia="Times New Roman" w:cstheme="minorHAnsi"/>
        </w:rPr>
        <w:t>where</w:t>
      </w:r>
      <w:proofErr w:type="gramEnd"/>
      <w:r w:rsidRPr="00DE67FA">
        <w:rPr>
          <w:rFonts w:eastAsia="Times New Roman" w:cstheme="minorHAnsi"/>
        </w:rPr>
        <w:t xml:space="preserve"> </w:t>
      </w:r>
      <w:r w:rsidRPr="00DE67FA">
        <w:rPr>
          <w:rFonts w:eastAsia="Times New Roman" w:cstheme="minorHAnsi"/>
          <w:position w:val="-10"/>
        </w:rPr>
        <w:object w:dxaOrig="240" w:dyaOrig="260" w14:anchorId="0174FA6A">
          <v:shape id="_x0000_i1042" type="#_x0000_t75" style="width:11.55pt;height:12.45pt" o:ole="">
            <v:imagedata r:id="rId41" o:title=""/>
          </v:shape>
          <o:OLEObject Type="Embed" ProgID="Equation.3" ShapeID="_x0000_i1042" DrawAspect="Content" ObjectID="_1503395797" r:id="rId42"/>
        </w:object>
      </w:r>
      <w:r w:rsidRPr="00DE67FA">
        <w:rPr>
          <w:rFonts w:eastAsia="Times New Roman" w:cstheme="minorHAnsi"/>
        </w:rPr>
        <w:t xml:space="preserve">is the response propensity, and </w:t>
      </w:r>
      <w:r w:rsidRPr="00DE67FA">
        <w:rPr>
          <w:rFonts w:eastAsia="Times New Roman" w:cstheme="minorHAnsi"/>
          <w:position w:val="-10"/>
        </w:rPr>
        <w:object w:dxaOrig="240" w:dyaOrig="300" w14:anchorId="7FB75B64">
          <v:shape id="_x0000_i1043" type="#_x0000_t75" style="width:11.55pt;height:15.25pt" o:ole="">
            <v:imagedata r:id="rId43" o:title=""/>
          </v:shape>
          <o:OLEObject Type="Embed" ProgID="Equation.3" ShapeID="_x0000_i1043" DrawAspect="Content" ObjectID="_1503395798" r:id="rId44"/>
        </w:object>
      </w:r>
      <w:r w:rsidRPr="00DE67FA">
        <w:rPr>
          <w:rFonts w:eastAsia="Times New Roman" w:cstheme="minorHAnsi"/>
        </w:rPr>
        <w:t>is the mean propensity in the target population over sample realizations, given the sample design, and recruitment realizations. The stronger the relationship (</w:t>
      </w:r>
      <w:r w:rsidRPr="00DE67FA">
        <w:rPr>
          <w:rFonts w:eastAsia="Times New Roman" w:cstheme="minorHAnsi"/>
          <w:position w:val="-14"/>
        </w:rPr>
        <w:object w:dxaOrig="360" w:dyaOrig="380" w14:anchorId="383A15F3">
          <v:shape id="_x0000_i1044" type="#_x0000_t75" style="width:18.9pt;height:18.9pt" o:ole="">
            <v:imagedata r:id="rId45" o:title=""/>
          </v:shape>
          <o:OLEObject Type="Embed" ProgID="Equation.3" ShapeID="_x0000_i1044" DrawAspect="Content" ObjectID="_1503395799" r:id="rId46"/>
        </w:object>
      </w:r>
      <w:r w:rsidRPr="00DE67FA">
        <w:rPr>
          <w:rFonts w:eastAsia="Times New Roman" w:cstheme="minorHAnsi"/>
        </w:rPr>
        <w:t xml:space="preserve">) between the survey outcome variable and response behavior is, the larger the bias would be.  </w:t>
      </w:r>
      <w:r w:rsidRPr="00DE67FA">
        <w:rPr>
          <w:rFonts w:eastAsia="Times New Roman" w:cstheme="minorHAnsi"/>
          <w:bCs/>
        </w:rPr>
        <w:t>Equation 4</w:t>
      </w:r>
      <w:r w:rsidRPr="00DE67FA">
        <w:rPr>
          <w:rFonts w:eastAsia="Times New Roman" w:cstheme="minorHAnsi"/>
        </w:rPr>
        <w:t xml:space="preserve"> also reveals that within the same survey, different survey outcomes can be subject to different </w:t>
      </w:r>
      <w:r w:rsidR="00FF5A45">
        <w:rPr>
          <w:rFonts w:eastAsia="Times New Roman" w:cstheme="minorHAnsi"/>
        </w:rPr>
        <w:t>non-response</w:t>
      </w:r>
      <w:r w:rsidRPr="00DE67FA">
        <w:rPr>
          <w:rFonts w:eastAsia="Times New Roman" w:cstheme="minorHAnsi"/>
        </w:rPr>
        <w:t xml:space="preserve"> biases. Some, unrelated to the propensity to respond, can be immune from biasing effects of </w:t>
      </w:r>
      <w:r w:rsidR="00FF5A45">
        <w:rPr>
          <w:rFonts w:eastAsia="Times New Roman" w:cstheme="minorHAnsi"/>
        </w:rPr>
        <w:t>non-response</w:t>
      </w:r>
      <w:r w:rsidRPr="00DE67FA">
        <w:rPr>
          <w:rFonts w:eastAsia="Times New Roman" w:cstheme="minorHAnsi"/>
        </w:rPr>
        <w:t xml:space="preserve">, while others can be exposed to large biases. </w:t>
      </w:r>
    </w:p>
    <w:p w14:paraId="070AAFEE" w14:textId="77777777" w:rsidR="00DE67FA" w:rsidRDefault="00DE67FA" w:rsidP="00EA7B51">
      <w:pPr>
        <w:spacing w:before="120" w:after="0" w:line="360" w:lineRule="auto"/>
        <w:rPr>
          <w:rFonts w:eastAsia="Times New Roman" w:cstheme="minorHAnsi"/>
        </w:rPr>
      </w:pPr>
      <w:r w:rsidRPr="00DE67FA">
        <w:rPr>
          <w:rFonts w:eastAsia="Times New Roman" w:cstheme="minorHAnsi"/>
          <w:bCs/>
        </w:rPr>
        <w:t>Both equations</w:t>
      </w:r>
      <w:r w:rsidRPr="00DE67FA">
        <w:rPr>
          <w:rFonts w:eastAsia="Times New Roman" w:cstheme="minorHAnsi"/>
        </w:rPr>
        <w:t xml:space="preserve"> 3 and 4 also imply that higher response rates do not necessarily mean low </w:t>
      </w:r>
      <w:r w:rsidR="00FF5A45">
        <w:rPr>
          <w:rFonts w:eastAsia="Times New Roman" w:cstheme="minorHAnsi"/>
        </w:rPr>
        <w:t>non-response</w:t>
      </w:r>
      <w:r w:rsidRPr="00DE67FA">
        <w:rPr>
          <w:rFonts w:eastAsia="Times New Roman" w:cstheme="minorHAnsi"/>
        </w:rPr>
        <w:t xml:space="preserve"> bias for any survey or any given estimates. For example, if response rates are increased using devices that are not disproportionately attractive to the low propensity groups, the </w:t>
      </w:r>
      <w:r w:rsidR="00FF5A45">
        <w:rPr>
          <w:rFonts w:eastAsia="Times New Roman" w:cstheme="minorHAnsi"/>
        </w:rPr>
        <w:t>non-response</w:t>
      </w:r>
      <w:r w:rsidRPr="00DE67FA">
        <w:rPr>
          <w:rFonts w:eastAsia="Times New Roman" w:cstheme="minorHAnsi"/>
        </w:rPr>
        <w:t xml:space="preserve"> biases may increase despite high response rates. It should be noted that two different viewpoints of </w:t>
      </w:r>
      <w:r w:rsidR="00FF5A45">
        <w:rPr>
          <w:rFonts w:eastAsia="Times New Roman" w:cstheme="minorHAnsi"/>
        </w:rPr>
        <w:t>non-response</w:t>
      </w:r>
      <w:r w:rsidRPr="00DE67FA">
        <w:rPr>
          <w:rFonts w:eastAsia="Times New Roman" w:cstheme="minorHAnsi"/>
        </w:rPr>
        <w:t xml:space="preserve"> bias in </w:t>
      </w:r>
      <w:r w:rsidRPr="00DE67FA">
        <w:rPr>
          <w:rFonts w:eastAsia="Times New Roman" w:cstheme="minorHAnsi"/>
          <w:bCs/>
        </w:rPr>
        <w:t>Equations 3 and 4</w:t>
      </w:r>
      <w:r w:rsidRPr="00DE67FA">
        <w:rPr>
          <w:rFonts w:eastAsia="Times New Roman" w:cstheme="minorHAnsi"/>
        </w:rPr>
        <w:t xml:space="preserve"> implicitly assume all other sources of bias are absent, especially measurement error.</w:t>
      </w:r>
    </w:p>
    <w:p w14:paraId="47A0CF7A" w14:textId="77777777" w:rsidR="000747E4" w:rsidRDefault="000747E4" w:rsidP="00EA7B51">
      <w:pPr>
        <w:spacing w:after="0" w:line="360" w:lineRule="auto"/>
        <w:rPr>
          <w:rFonts w:eastAsia="Times New Roman" w:cstheme="minorHAnsi"/>
        </w:rPr>
      </w:pPr>
    </w:p>
    <w:p w14:paraId="26C4E63D" w14:textId="77777777" w:rsidR="00DE67FA" w:rsidRPr="00DE67FA" w:rsidRDefault="00DE67FA" w:rsidP="00EA7B51">
      <w:pPr>
        <w:spacing w:after="0" w:line="360" w:lineRule="auto"/>
        <w:rPr>
          <w:rFonts w:eastAsia="Times New Roman" w:cstheme="minorHAnsi"/>
        </w:rPr>
      </w:pPr>
      <w:r w:rsidRPr="00DE67FA">
        <w:rPr>
          <w:rFonts w:eastAsia="Times New Roman" w:cstheme="minorHAnsi"/>
        </w:rPr>
        <w:t xml:space="preserve">The study design aims to address the major sources of survey error that pose a substantial threat to the accuracy of survey estimates. Our approach to </w:t>
      </w:r>
      <w:r w:rsidR="00FF5A45">
        <w:rPr>
          <w:rFonts w:eastAsia="Times New Roman" w:cstheme="minorHAnsi"/>
        </w:rPr>
        <w:t>non-response</w:t>
      </w:r>
      <w:r w:rsidRPr="00DE67FA">
        <w:rPr>
          <w:rFonts w:eastAsia="Times New Roman" w:cstheme="minorHAnsi"/>
        </w:rPr>
        <w:t xml:space="preserve"> bias includes three goals: increasing response rates, identifying </w:t>
      </w:r>
      <w:r w:rsidR="00FF5A45">
        <w:rPr>
          <w:rFonts w:eastAsia="Times New Roman" w:cstheme="minorHAnsi"/>
        </w:rPr>
        <w:t>non-response</w:t>
      </w:r>
      <w:r w:rsidRPr="00DE67FA">
        <w:rPr>
          <w:rFonts w:eastAsia="Times New Roman" w:cstheme="minorHAnsi"/>
        </w:rPr>
        <w:t xml:space="preserve"> bias, and correcting for </w:t>
      </w:r>
      <w:r w:rsidR="00FF5A45">
        <w:rPr>
          <w:rFonts w:eastAsia="Times New Roman" w:cstheme="minorHAnsi"/>
        </w:rPr>
        <w:t>non-response</w:t>
      </w:r>
      <w:r w:rsidRPr="00DE67FA">
        <w:rPr>
          <w:rFonts w:eastAsia="Times New Roman" w:cstheme="minorHAnsi"/>
        </w:rPr>
        <w:t xml:space="preserve"> bias post-data collection. We discuss each element in more detail below.</w:t>
      </w:r>
    </w:p>
    <w:p w14:paraId="1B618D7D" w14:textId="77777777" w:rsidR="00DE67FA" w:rsidRPr="009E2DFC" w:rsidRDefault="00DE67FA" w:rsidP="00DE67FA">
      <w:pPr>
        <w:spacing w:after="160"/>
        <w:outlineLvl w:val="2"/>
        <w:rPr>
          <w:rFonts w:eastAsia="Calibri" w:cstheme="minorHAnsi"/>
          <w:b/>
          <w:bCs/>
        </w:rPr>
      </w:pPr>
      <w:bookmarkStart w:id="2" w:name="_Toc260393700"/>
      <w:r w:rsidRPr="009E2DFC">
        <w:rPr>
          <w:rFonts w:eastAsia="Calibri" w:cstheme="minorHAnsi"/>
          <w:b/>
          <w:bCs/>
        </w:rPr>
        <w:t>Increasing Response Rates</w:t>
      </w:r>
      <w:bookmarkEnd w:id="2"/>
    </w:p>
    <w:p w14:paraId="087DB7C6" w14:textId="4E6484F0" w:rsidR="00DE67FA" w:rsidRPr="00DE67FA" w:rsidRDefault="00DE67FA" w:rsidP="00EA7B51">
      <w:pPr>
        <w:spacing w:before="360" w:after="160" w:line="360" w:lineRule="auto"/>
        <w:outlineLvl w:val="3"/>
        <w:rPr>
          <w:rFonts w:eastAsia="Times New Roman" w:cstheme="minorHAnsi"/>
        </w:rPr>
      </w:pPr>
      <w:r w:rsidRPr="00DE67FA">
        <w:rPr>
          <w:rFonts w:eastAsia="Calibri" w:cstheme="minorHAnsi"/>
          <w:b/>
        </w:rPr>
        <w:t>Coverage error</w:t>
      </w:r>
      <w:r w:rsidR="009E2DFC">
        <w:rPr>
          <w:rFonts w:eastAsia="Calibri" w:cstheme="minorHAnsi"/>
          <w:b/>
        </w:rPr>
        <w:t xml:space="preserve">: </w:t>
      </w:r>
      <w:r w:rsidR="009E2DFC">
        <w:rPr>
          <w:rFonts w:eastAsia="Times New Roman" w:cstheme="minorHAnsi"/>
        </w:rPr>
        <w:t xml:space="preserve"> </w:t>
      </w:r>
      <w:r w:rsidRPr="00DE67FA">
        <w:rPr>
          <w:rFonts w:eastAsia="Times New Roman" w:cstheme="minorHAnsi"/>
        </w:rPr>
        <w:t xml:space="preserve">We </w:t>
      </w:r>
      <w:r w:rsidR="00F6196B">
        <w:rPr>
          <w:rFonts w:eastAsia="Times New Roman" w:cstheme="minorHAnsi"/>
        </w:rPr>
        <w:t xml:space="preserve">will </w:t>
      </w:r>
      <w:r w:rsidRPr="00DE67FA">
        <w:rPr>
          <w:rFonts w:eastAsia="Times New Roman" w:cstheme="minorHAnsi"/>
        </w:rPr>
        <w:t xml:space="preserve">address potential </w:t>
      </w:r>
      <w:r w:rsidRPr="00DE67FA">
        <w:rPr>
          <w:rFonts w:eastAsia="Times New Roman" w:cstheme="minorHAnsi"/>
          <w:i/>
        </w:rPr>
        <w:t>coverage error</w:t>
      </w:r>
      <w:r w:rsidRPr="00DE67FA">
        <w:rPr>
          <w:rFonts w:eastAsia="Times New Roman" w:cstheme="minorHAnsi"/>
        </w:rPr>
        <w:t xml:space="preserve"> by using addressed-based sampling and selecting the survey samples from the USPS’s Delivery Sequence File (DSF)</w:t>
      </w:r>
      <w:r w:rsidR="009E2DFC">
        <w:rPr>
          <w:rFonts w:eastAsia="Times New Roman" w:cstheme="minorHAnsi"/>
        </w:rPr>
        <w:t>.  T</w:t>
      </w:r>
      <w:r w:rsidRPr="00DE67FA">
        <w:rPr>
          <w:rFonts w:eastAsia="Times New Roman" w:cstheme="minorHAnsi"/>
        </w:rPr>
        <w:t xml:space="preserve">he DSF contains all </w:t>
      </w:r>
      <w:r w:rsidR="009E2DFC">
        <w:rPr>
          <w:rFonts w:eastAsia="Times New Roman" w:cstheme="minorHAnsi"/>
        </w:rPr>
        <w:t xml:space="preserve">postal mailing </w:t>
      </w:r>
      <w:r w:rsidRPr="00DE67FA">
        <w:rPr>
          <w:rFonts w:eastAsia="Times New Roman" w:cstheme="minorHAnsi"/>
        </w:rPr>
        <w:t>addresses in the United States. Using mail as the primary contact method avoids under</w:t>
      </w:r>
      <w:r w:rsidR="009E2DFC">
        <w:rPr>
          <w:rFonts w:eastAsia="Times New Roman" w:cstheme="minorHAnsi"/>
        </w:rPr>
        <w:t>-</w:t>
      </w:r>
      <w:r w:rsidRPr="00DE67FA">
        <w:rPr>
          <w:rFonts w:eastAsia="Times New Roman" w:cstheme="minorHAnsi"/>
        </w:rPr>
        <w:t>coverage problems found with other methods by including residential addresses, but also other types, such as post office boxes and general delivery. Unlike other sampling frames, this also provides the ability to accurately stratify the sample geographically.</w:t>
      </w:r>
    </w:p>
    <w:p w14:paraId="59FFE5B8" w14:textId="77777777" w:rsidR="00DE67FA" w:rsidRPr="00DE67FA" w:rsidRDefault="00DE67FA" w:rsidP="00EA7B51">
      <w:pPr>
        <w:spacing w:before="360" w:after="160" w:line="360" w:lineRule="auto"/>
        <w:outlineLvl w:val="3"/>
        <w:rPr>
          <w:rFonts w:eastAsia="Times New Roman" w:cstheme="minorHAnsi"/>
        </w:rPr>
      </w:pPr>
      <w:r w:rsidRPr="009E2DFC">
        <w:rPr>
          <w:rFonts w:eastAsia="Calibri" w:cstheme="minorHAnsi"/>
          <w:b/>
        </w:rPr>
        <w:t>Encourage response to mail survey</w:t>
      </w:r>
      <w:r w:rsidR="000B5901" w:rsidRPr="000D62AF">
        <w:rPr>
          <w:rFonts w:eastAsia="Calibri" w:cstheme="minorHAnsi"/>
          <w:b/>
        </w:rPr>
        <w:t xml:space="preserve">: </w:t>
      </w:r>
      <w:r w:rsidR="000B5901">
        <w:rPr>
          <w:rFonts w:eastAsia="Times New Roman" w:cstheme="minorHAnsi"/>
        </w:rPr>
        <w:t xml:space="preserve"> </w:t>
      </w:r>
      <w:r w:rsidR="009E2DFC">
        <w:rPr>
          <w:rFonts w:eastAsia="Times New Roman" w:cstheme="minorHAnsi"/>
        </w:rPr>
        <w:t xml:space="preserve">We acknowledge that </w:t>
      </w:r>
      <w:r w:rsidR="00A75303" w:rsidRPr="00DE67FA">
        <w:rPr>
          <w:rFonts w:eastAsia="Times New Roman" w:cstheme="minorHAnsi"/>
        </w:rPr>
        <w:t>response rates in household surveys have been declining (</w:t>
      </w:r>
      <w:r w:rsidR="00A75303" w:rsidRPr="00DE67FA">
        <w:rPr>
          <w:rFonts w:eastAsia="Times New Roman" w:cstheme="minorHAnsi"/>
          <w:noProof/>
        </w:rPr>
        <w:t>Groves and Couper 1998; Stussman, Dahlhamer, and Simile 2005</w:t>
      </w:r>
      <w:r w:rsidR="00A75303" w:rsidRPr="00DE67FA">
        <w:rPr>
          <w:rFonts w:eastAsia="Times New Roman" w:cstheme="minorHAnsi"/>
        </w:rPr>
        <w:t>),</w:t>
      </w:r>
      <w:r w:rsidR="009A3549">
        <w:rPr>
          <w:rFonts w:eastAsia="Times New Roman" w:cstheme="minorHAnsi"/>
        </w:rPr>
        <w:t xml:space="preserve"> </w:t>
      </w:r>
      <w:r w:rsidRPr="00DE67FA">
        <w:rPr>
          <w:rFonts w:eastAsia="Times New Roman" w:cstheme="minorHAnsi"/>
        </w:rPr>
        <w:t xml:space="preserve">and </w:t>
      </w:r>
      <w:r w:rsidR="00A75303">
        <w:rPr>
          <w:rFonts w:eastAsia="Times New Roman" w:cstheme="minorHAnsi"/>
        </w:rPr>
        <w:t xml:space="preserve">with this trend, </w:t>
      </w:r>
      <w:r w:rsidR="00FF5A45">
        <w:rPr>
          <w:rFonts w:eastAsia="Times New Roman" w:cstheme="minorHAnsi"/>
        </w:rPr>
        <w:t>non-response</w:t>
      </w:r>
      <w:r w:rsidRPr="00DE67FA">
        <w:rPr>
          <w:rFonts w:eastAsia="Times New Roman" w:cstheme="minorHAnsi"/>
        </w:rPr>
        <w:t xml:space="preserve"> poses a substantial threat to survey inference. We </w:t>
      </w:r>
      <w:r w:rsidR="00A75303">
        <w:rPr>
          <w:rFonts w:eastAsia="Times New Roman" w:cstheme="minorHAnsi"/>
        </w:rPr>
        <w:t>will</w:t>
      </w:r>
      <w:r w:rsidR="009E2DFC">
        <w:rPr>
          <w:rFonts w:eastAsia="Times New Roman" w:cstheme="minorHAnsi"/>
        </w:rPr>
        <w:t xml:space="preserve"> us</w:t>
      </w:r>
      <w:r w:rsidR="00A75303">
        <w:rPr>
          <w:rFonts w:eastAsia="Times New Roman" w:cstheme="minorHAnsi"/>
        </w:rPr>
        <w:t>e</w:t>
      </w:r>
      <w:r w:rsidR="009E2DFC">
        <w:rPr>
          <w:rFonts w:eastAsia="Times New Roman" w:cstheme="minorHAnsi"/>
        </w:rPr>
        <w:t xml:space="preserve"> </w:t>
      </w:r>
      <w:r w:rsidRPr="00DE67FA">
        <w:rPr>
          <w:rFonts w:eastAsia="Times New Roman" w:cstheme="minorHAnsi"/>
        </w:rPr>
        <w:t xml:space="preserve">Dillman </w:t>
      </w:r>
      <w:r w:rsidR="00FF5A45">
        <w:rPr>
          <w:rFonts w:eastAsia="Times New Roman" w:cstheme="minorHAnsi"/>
        </w:rPr>
        <w:t>TDM (</w:t>
      </w:r>
      <w:r w:rsidRPr="00DE67FA">
        <w:rPr>
          <w:rFonts w:eastAsia="Times New Roman" w:cstheme="minorHAnsi"/>
        </w:rPr>
        <w:t>2007)</w:t>
      </w:r>
      <w:r w:rsidR="00A75303">
        <w:rPr>
          <w:rFonts w:eastAsia="Times New Roman" w:cstheme="minorHAnsi"/>
        </w:rPr>
        <w:t xml:space="preserve"> to optimize our survey response rate</w:t>
      </w:r>
      <w:r w:rsidRPr="00DE67FA">
        <w:rPr>
          <w:rFonts w:eastAsia="Times New Roman" w:cstheme="minorHAnsi"/>
        </w:rPr>
        <w:t>.</w:t>
      </w:r>
    </w:p>
    <w:p w14:paraId="491CA5ED" w14:textId="77777777" w:rsidR="00DE67FA" w:rsidRPr="00DE67FA" w:rsidRDefault="00DE67FA" w:rsidP="00DE67FA">
      <w:pPr>
        <w:spacing w:after="160"/>
        <w:outlineLvl w:val="2"/>
        <w:rPr>
          <w:rFonts w:eastAsia="Calibri" w:cstheme="minorHAnsi"/>
          <w:b/>
          <w:bCs/>
        </w:rPr>
      </w:pPr>
      <w:r w:rsidRPr="00DE67FA">
        <w:rPr>
          <w:rFonts w:eastAsia="Calibri" w:cstheme="minorHAnsi"/>
          <w:b/>
          <w:bCs/>
        </w:rPr>
        <w:t xml:space="preserve">Identifying Possible </w:t>
      </w:r>
      <w:r w:rsidR="00FF5A45">
        <w:rPr>
          <w:rFonts w:eastAsia="Calibri" w:cstheme="minorHAnsi"/>
          <w:b/>
          <w:bCs/>
        </w:rPr>
        <w:t>Non-response</w:t>
      </w:r>
      <w:r w:rsidRPr="00DE67FA">
        <w:rPr>
          <w:rFonts w:eastAsia="Calibri" w:cstheme="minorHAnsi"/>
          <w:b/>
          <w:bCs/>
        </w:rPr>
        <w:t xml:space="preserve"> Bias</w:t>
      </w:r>
    </w:p>
    <w:p w14:paraId="6B164605" w14:textId="77777777" w:rsidR="00DE67FA" w:rsidRPr="00DE67FA" w:rsidRDefault="00DE67FA" w:rsidP="00EA7B51">
      <w:pPr>
        <w:spacing w:after="0" w:line="360" w:lineRule="auto"/>
        <w:rPr>
          <w:rFonts w:eastAsia="Times New Roman" w:cstheme="minorHAnsi"/>
        </w:rPr>
      </w:pPr>
      <w:r w:rsidRPr="00DE67FA">
        <w:rPr>
          <w:rFonts w:eastAsia="Times New Roman" w:cstheme="minorHAnsi"/>
        </w:rPr>
        <w:t>Our sample design and data collection methods allow</w:t>
      </w:r>
      <w:r w:rsidR="00A75303">
        <w:rPr>
          <w:rFonts w:eastAsia="Times New Roman" w:cstheme="minorHAnsi"/>
        </w:rPr>
        <w:t xml:space="preserve"> for a</w:t>
      </w:r>
      <w:r w:rsidRPr="00DE67FA">
        <w:rPr>
          <w:rFonts w:eastAsia="Times New Roman" w:cstheme="minorHAnsi"/>
        </w:rPr>
        <w:t xml:space="preserve"> thorough non</w:t>
      </w:r>
      <w:r w:rsidR="00A75303">
        <w:rPr>
          <w:rFonts w:eastAsia="Times New Roman" w:cstheme="minorHAnsi"/>
        </w:rPr>
        <w:t>-</w:t>
      </w:r>
      <w:r w:rsidRPr="00DE67FA">
        <w:rPr>
          <w:rFonts w:eastAsia="Times New Roman" w:cstheme="minorHAnsi"/>
        </w:rPr>
        <w:t>response bias analysis after data collection is completed to assess whether non</w:t>
      </w:r>
      <w:r w:rsidR="00A75303">
        <w:rPr>
          <w:rFonts w:eastAsia="Times New Roman" w:cstheme="minorHAnsi"/>
        </w:rPr>
        <w:t>-</w:t>
      </w:r>
      <w:r w:rsidRPr="00DE67FA">
        <w:rPr>
          <w:rFonts w:eastAsia="Times New Roman" w:cstheme="minorHAnsi"/>
        </w:rPr>
        <w:t xml:space="preserve">response bias exists.  </w:t>
      </w:r>
      <w:r w:rsidR="00A75303">
        <w:rPr>
          <w:rFonts w:eastAsia="Times New Roman" w:cstheme="minorHAnsi"/>
        </w:rPr>
        <w:t>This will</w:t>
      </w:r>
      <w:r w:rsidRPr="00DE67FA">
        <w:rPr>
          <w:rFonts w:eastAsia="Times New Roman" w:cstheme="minorHAnsi"/>
        </w:rPr>
        <w:t xml:space="preserve"> be done in two ways:</w:t>
      </w:r>
    </w:p>
    <w:p w14:paraId="50890E40" w14:textId="77777777" w:rsidR="00DE67FA" w:rsidRPr="00DE67FA" w:rsidRDefault="00DE67FA" w:rsidP="00EA7B51">
      <w:pPr>
        <w:widowControl w:val="0"/>
        <w:numPr>
          <w:ilvl w:val="0"/>
          <w:numId w:val="1"/>
        </w:numPr>
        <w:autoSpaceDE w:val="0"/>
        <w:autoSpaceDN w:val="0"/>
        <w:adjustRightInd w:val="0"/>
        <w:spacing w:before="120" w:after="0" w:line="360" w:lineRule="auto"/>
        <w:rPr>
          <w:rFonts w:eastAsia="Times New Roman" w:cstheme="minorHAnsi"/>
        </w:rPr>
      </w:pPr>
      <w:r w:rsidRPr="00DE67FA">
        <w:rPr>
          <w:rFonts w:eastAsia="Times New Roman" w:cstheme="minorHAnsi"/>
        </w:rPr>
        <w:t xml:space="preserve">The respondents from the later mailings </w:t>
      </w:r>
      <w:r w:rsidR="00A75303">
        <w:rPr>
          <w:rFonts w:eastAsia="Times New Roman" w:cstheme="minorHAnsi"/>
        </w:rPr>
        <w:t>will</w:t>
      </w:r>
      <w:r w:rsidR="00A75303" w:rsidRPr="00DE67FA">
        <w:rPr>
          <w:rFonts w:eastAsia="Times New Roman" w:cstheme="minorHAnsi"/>
        </w:rPr>
        <w:t xml:space="preserve"> </w:t>
      </w:r>
      <w:r w:rsidRPr="00DE67FA">
        <w:rPr>
          <w:rFonts w:eastAsia="Times New Roman" w:cstheme="minorHAnsi"/>
        </w:rPr>
        <w:t xml:space="preserve">be viewed as less cooperative than the respondents from the first mailing. </w:t>
      </w:r>
      <w:r w:rsidR="00A75303">
        <w:rPr>
          <w:rFonts w:eastAsia="Times New Roman" w:cstheme="minorHAnsi"/>
        </w:rPr>
        <w:t>In our experience, we have found that r</w:t>
      </w:r>
      <w:r w:rsidRPr="00DE67FA">
        <w:rPr>
          <w:rFonts w:eastAsia="Times New Roman" w:cstheme="minorHAnsi"/>
        </w:rPr>
        <w:t xml:space="preserve">espondents to later mailings tend to have low response propensity, and </w:t>
      </w:r>
      <w:r w:rsidR="00A75303">
        <w:rPr>
          <w:rFonts w:eastAsia="Times New Roman" w:cstheme="minorHAnsi"/>
        </w:rPr>
        <w:t>tend</w:t>
      </w:r>
      <w:r w:rsidRPr="00DE67FA">
        <w:rPr>
          <w:rFonts w:eastAsia="Times New Roman" w:cstheme="minorHAnsi"/>
        </w:rPr>
        <w:t xml:space="preserve"> to have characteristics similar to non</w:t>
      </w:r>
      <w:r w:rsidR="00A75303">
        <w:rPr>
          <w:rFonts w:eastAsia="Times New Roman" w:cstheme="minorHAnsi"/>
        </w:rPr>
        <w:t>-</w:t>
      </w:r>
      <w:r w:rsidRPr="00DE67FA">
        <w:rPr>
          <w:rFonts w:eastAsia="Times New Roman" w:cstheme="minorHAnsi"/>
        </w:rPr>
        <w:t xml:space="preserve">respondents. </w:t>
      </w:r>
      <w:r w:rsidR="00A75303">
        <w:rPr>
          <w:rFonts w:eastAsia="Times New Roman" w:cstheme="minorHAnsi"/>
        </w:rPr>
        <w:t>By c</w:t>
      </w:r>
      <w:r w:rsidRPr="00DE67FA">
        <w:rPr>
          <w:rFonts w:eastAsia="Times New Roman" w:cstheme="minorHAnsi"/>
        </w:rPr>
        <w:t xml:space="preserve">omparing the </w:t>
      </w:r>
      <w:r w:rsidR="00A75303">
        <w:rPr>
          <w:rFonts w:eastAsia="Times New Roman" w:cstheme="minorHAnsi"/>
        </w:rPr>
        <w:t xml:space="preserve">WTP </w:t>
      </w:r>
      <w:r w:rsidRPr="00DE67FA">
        <w:rPr>
          <w:rFonts w:eastAsia="Times New Roman" w:cstheme="minorHAnsi"/>
        </w:rPr>
        <w:t xml:space="preserve">estimates </w:t>
      </w:r>
      <w:r w:rsidR="00A75303">
        <w:rPr>
          <w:rFonts w:eastAsia="Times New Roman" w:cstheme="minorHAnsi"/>
        </w:rPr>
        <w:t xml:space="preserve">between the first and second </w:t>
      </w:r>
      <w:r w:rsidRPr="00DE67FA">
        <w:rPr>
          <w:rFonts w:eastAsia="Times New Roman" w:cstheme="minorHAnsi"/>
        </w:rPr>
        <w:t>mailing</w:t>
      </w:r>
      <w:r w:rsidR="00A75303">
        <w:rPr>
          <w:rFonts w:eastAsia="Times New Roman" w:cstheme="minorHAnsi"/>
        </w:rPr>
        <w:t>s,</w:t>
      </w:r>
      <w:r w:rsidRPr="00DE67FA">
        <w:rPr>
          <w:rFonts w:eastAsia="Times New Roman" w:cstheme="minorHAnsi"/>
        </w:rPr>
        <w:t xml:space="preserve"> </w:t>
      </w:r>
      <w:r w:rsidR="00A75303">
        <w:rPr>
          <w:rFonts w:eastAsia="Times New Roman" w:cstheme="minorHAnsi"/>
        </w:rPr>
        <w:t>we will be able</w:t>
      </w:r>
      <w:r w:rsidRPr="00DE67FA">
        <w:rPr>
          <w:rFonts w:eastAsia="Times New Roman" w:cstheme="minorHAnsi"/>
        </w:rPr>
        <w:t xml:space="preserve"> to measure the correlation between the response propensity and responses to survey outcome variables indirectly (</w:t>
      </w:r>
      <w:r w:rsidRPr="00DE67FA">
        <w:rPr>
          <w:rFonts w:eastAsia="Times New Roman" w:cstheme="minorHAnsi"/>
          <w:position w:val="-14"/>
        </w:rPr>
        <w:object w:dxaOrig="360" w:dyaOrig="380" w14:anchorId="2768CBA4">
          <v:shape id="_x0000_i1045" type="#_x0000_t75" style="width:18.9pt;height:18.9pt" o:ole="">
            <v:imagedata r:id="rId45" o:title=""/>
          </v:shape>
          <o:OLEObject Type="Embed" ProgID="Equation.3" ShapeID="_x0000_i1045" DrawAspect="Content" ObjectID="_1503395800" r:id="rId47"/>
        </w:object>
      </w:r>
      <w:r w:rsidRPr="00DE67FA">
        <w:rPr>
          <w:rFonts w:eastAsia="Times New Roman" w:cstheme="minorHAnsi"/>
        </w:rPr>
        <w:t xml:space="preserve">in </w:t>
      </w:r>
      <w:r w:rsidRPr="00DE67FA">
        <w:rPr>
          <w:rFonts w:eastAsia="Times New Roman" w:cstheme="minorHAnsi"/>
          <w:bCs/>
        </w:rPr>
        <w:t>Equation 4</w:t>
      </w:r>
      <w:r w:rsidRPr="00DE67FA">
        <w:rPr>
          <w:rFonts w:eastAsia="Times New Roman" w:cstheme="minorHAnsi"/>
        </w:rPr>
        <w:t>).</w:t>
      </w:r>
    </w:p>
    <w:p w14:paraId="34F47E66" w14:textId="77777777" w:rsidR="00DE67FA" w:rsidRPr="00EA7B51" w:rsidRDefault="00DE67FA" w:rsidP="00EA7B51">
      <w:pPr>
        <w:widowControl w:val="0"/>
        <w:numPr>
          <w:ilvl w:val="0"/>
          <w:numId w:val="1"/>
        </w:numPr>
        <w:autoSpaceDE w:val="0"/>
        <w:autoSpaceDN w:val="0"/>
        <w:adjustRightInd w:val="0"/>
        <w:spacing w:before="120" w:after="0" w:line="360" w:lineRule="auto"/>
        <w:rPr>
          <w:rFonts w:eastAsia="Calibri" w:cstheme="minorHAnsi"/>
        </w:rPr>
      </w:pPr>
      <w:r w:rsidRPr="00EA7B51">
        <w:rPr>
          <w:rFonts w:eastAsia="Times New Roman" w:cstheme="minorHAnsi"/>
        </w:rPr>
        <w:t xml:space="preserve">After the third mailing, we </w:t>
      </w:r>
      <w:r w:rsidR="004358AE">
        <w:rPr>
          <w:rFonts w:eastAsia="Times New Roman" w:cstheme="minorHAnsi"/>
        </w:rPr>
        <w:t xml:space="preserve">will </w:t>
      </w:r>
      <w:r w:rsidRPr="00EA7B51">
        <w:rPr>
          <w:rFonts w:eastAsia="Times New Roman" w:cstheme="minorHAnsi"/>
        </w:rPr>
        <w:t xml:space="preserve">contact a random sample of </w:t>
      </w:r>
      <w:r w:rsidR="00A44FAC" w:rsidRPr="00EA7B51">
        <w:rPr>
          <w:rFonts w:eastAsia="Times New Roman" w:cstheme="minorHAnsi"/>
        </w:rPr>
        <w:t xml:space="preserve">200 </w:t>
      </w:r>
      <w:r w:rsidRPr="00EA7B51">
        <w:rPr>
          <w:rFonts w:eastAsia="Times New Roman" w:cstheme="minorHAnsi"/>
        </w:rPr>
        <w:t>non</w:t>
      </w:r>
      <w:r w:rsidR="00785CEB" w:rsidRPr="00EA7B51">
        <w:rPr>
          <w:rFonts w:eastAsia="Times New Roman" w:cstheme="minorHAnsi"/>
        </w:rPr>
        <w:t>-</w:t>
      </w:r>
      <w:r w:rsidRPr="00EA7B51">
        <w:rPr>
          <w:rFonts w:eastAsia="Times New Roman" w:cstheme="minorHAnsi"/>
        </w:rPr>
        <w:t xml:space="preserve">respondents by phone for a short non-response survey. </w:t>
      </w:r>
      <w:r w:rsidR="00EA7B51" w:rsidRPr="00EA7B51">
        <w:rPr>
          <w:rFonts w:eastAsia="Times New Roman" w:cstheme="minorHAnsi"/>
        </w:rPr>
        <w:t xml:space="preserve"> </w:t>
      </w:r>
      <w:r w:rsidRPr="00EA7B51">
        <w:rPr>
          <w:rFonts w:eastAsia="Calibri" w:cstheme="minorHAnsi"/>
        </w:rPr>
        <w:t>The phone survey will only provide information about non</w:t>
      </w:r>
      <w:r w:rsidR="00AB04A7" w:rsidRPr="00EA7B51">
        <w:rPr>
          <w:rFonts w:eastAsia="Calibri" w:cstheme="minorHAnsi"/>
        </w:rPr>
        <w:t>-</w:t>
      </w:r>
      <w:r w:rsidRPr="00EA7B51">
        <w:rPr>
          <w:rFonts w:eastAsia="Calibri" w:cstheme="minorHAnsi"/>
        </w:rPr>
        <w:t>respondents with phone numbers.  Information about non</w:t>
      </w:r>
      <w:r w:rsidR="00AB04A7" w:rsidRPr="00EA7B51">
        <w:rPr>
          <w:rFonts w:eastAsia="Calibri" w:cstheme="minorHAnsi"/>
        </w:rPr>
        <w:t>-</w:t>
      </w:r>
      <w:r w:rsidRPr="00EA7B51">
        <w:rPr>
          <w:rFonts w:eastAsia="Calibri" w:cstheme="minorHAnsi"/>
        </w:rPr>
        <w:t>respondents without phone numbers will come primarily from comparing non</w:t>
      </w:r>
      <w:r w:rsidR="00AB04A7" w:rsidRPr="00EA7B51">
        <w:rPr>
          <w:rFonts w:eastAsia="Calibri" w:cstheme="minorHAnsi"/>
        </w:rPr>
        <w:t>-</w:t>
      </w:r>
      <w:r w:rsidRPr="00EA7B51">
        <w:rPr>
          <w:rFonts w:eastAsia="Calibri" w:cstheme="minorHAnsi"/>
        </w:rPr>
        <w:t xml:space="preserve">respondents who are converted by the third mailing or </w:t>
      </w:r>
      <w:r w:rsidRPr="00EA7B51">
        <w:rPr>
          <w:rFonts w:eastAsia="Calibri" w:cstheme="minorHAnsi"/>
        </w:rPr>
        <w:lastRenderedPageBreak/>
        <w:t xml:space="preserve">are part of the </w:t>
      </w:r>
      <w:r w:rsidR="00FF5A45" w:rsidRPr="00EA7B51">
        <w:rPr>
          <w:rFonts w:eastAsia="Calibri" w:cstheme="minorHAnsi"/>
        </w:rPr>
        <w:t>non-response</w:t>
      </w:r>
      <w:r w:rsidRPr="00EA7B51">
        <w:rPr>
          <w:rFonts w:eastAsia="Calibri" w:cstheme="minorHAnsi"/>
        </w:rPr>
        <w:t xml:space="preserve"> sample. </w:t>
      </w:r>
    </w:p>
    <w:p w14:paraId="22A1DE08" w14:textId="77777777" w:rsidR="00EA7B51" w:rsidRDefault="00EA7B51" w:rsidP="008B2E31">
      <w:pPr>
        <w:pStyle w:val="NoSpacing"/>
      </w:pPr>
    </w:p>
    <w:p w14:paraId="36CF9D9E" w14:textId="78063752" w:rsidR="00DE67FA" w:rsidRDefault="00DE67FA" w:rsidP="008E5A04">
      <w:pPr>
        <w:spacing w:after="0" w:line="360" w:lineRule="auto"/>
        <w:ind w:left="90"/>
        <w:rPr>
          <w:rFonts w:eastAsia="Calibri" w:cstheme="minorHAnsi"/>
        </w:rPr>
      </w:pPr>
      <w:r w:rsidRPr="00DE67FA">
        <w:rPr>
          <w:rFonts w:eastAsia="Calibri" w:cstheme="minorHAnsi"/>
        </w:rPr>
        <w:t>Using the address of the respondent, we can learn something about the non</w:t>
      </w:r>
      <w:r w:rsidR="00785CEB">
        <w:rPr>
          <w:rFonts w:eastAsia="Calibri" w:cstheme="minorHAnsi"/>
        </w:rPr>
        <w:t>-</w:t>
      </w:r>
      <w:r w:rsidRPr="00DE67FA">
        <w:rPr>
          <w:rFonts w:eastAsia="Calibri" w:cstheme="minorHAnsi"/>
        </w:rPr>
        <w:t>respondents using other data available at the county, city, or state level. Again, we have to assume that the non</w:t>
      </w:r>
      <w:r w:rsidR="00785CEB">
        <w:rPr>
          <w:rFonts w:eastAsia="Calibri" w:cstheme="minorHAnsi"/>
        </w:rPr>
        <w:t>-</w:t>
      </w:r>
      <w:r w:rsidRPr="00DE67FA">
        <w:rPr>
          <w:rFonts w:eastAsia="Calibri" w:cstheme="minorHAnsi"/>
        </w:rPr>
        <w:t>respondents’ characteristics, attitudes, and habits are similar to those of people who live near them. Using data from the American Community Survey and the 20</w:t>
      </w:r>
      <w:r w:rsidR="005B05FA">
        <w:rPr>
          <w:rFonts w:eastAsia="Calibri" w:cstheme="minorHAnsi"/>
        </w:rPr>
        <w:t>10</w:t>
      </w:r>
      <w:r w:rsidRPr="00DE67FA">
        <w:rPr>
          <w:rFonts w:eastAsia="Calibri" w:cstheme="minorHAnsi"/>
        </w:rPr>
        <w:t xml:space="preserve"> Census</w:t>
      </w:r>
      <w:bookmarkStart w:id="3" w:name="_GoBack"/>
      <w:bookmarkEnd w:id="3"/>
      <w:r w:rsidRPr="00DE67FA">
        <w:rPr>
          <w:rFonts w:eastAsia="Calibri" w:cstheme="minorHAnsi"/>
        </w:rPr>
        <w:t xml:space="preserve">. </w:t>
      </w:r>
    </w:p>
    <w:p w14:paraId="55DE7F87" w14:textId="77777777" w:rsidR="004358AE" w:rsidRDefault="004358AE" w:rsidP="00EA7B51">
      <w:pPr>
        <w:spacing w:after="0" w:line="360" w:lineRule="auto"/>
        <w:rPr>
          <w:rFonts w:eastAsia="Calibri" w:cstheme="minorHAnsi"/>
          <w:b/>
          <w:bCs/>
        </w:rPr>
      </w:pPr>
      <w:bookmarkStart w:id="4" w:name="_Toc260393701"/>
    </w:p>
    <w:p w14:paraId="53CF42AC" w14:textId="77777777" w:rsidR="00EA7B51" w:rsidRDefault="00DE67FA" w:rsidP="00EA7B51">
      <w:pPr>
        <w:spacing w:after="0" w:line="360" w:lineRule="auto"/>
        <w:rPr>
          <w:rFonts w:eastAsia="Times New Roman" w:cstheme="minorHAnsi"/>
        </w:rPr>
      </w:pPr>
      <w:r w:rsidRPr="009E2DFC">
        <w:rPr>
          <w:rFonts w:eastAsia="Calibri" w:cstheme="minorHAnsi"/>
          <w:b/>
          <w:bCs/>
        </w:rPr>
        <w:t xml:space="preserve">Adjusting for </w:t>
      </w:r>
      <w:r w:rsidR="00FF5A45">
        <w:rPr>
          <w:rFonts w:eastAsia="Calibri" w:cstheme="minorHAnsi"/>
          <w:b/>
          <w:bCs/>
        </w:rPr>
        <w:t>Non-response</w:t>
      </w:r>
      <w:r w:rsidRPr="009E2DFC">
        <w:rPr>
          <w:rFonts w:eastAsia="Calibri" w:cstheme="minorHAnsi"/>
          <w:b/>
          <w:bCs/>
        </w:rPr>
        <w:t xml:space="preserve"> Bias</w:t>
      </w:r>
      <w:bookmarkEnd w:id="4"/>
      <w:r w:rsidR="000B5901" w:rsidRPr="000D62AF">
        <w:rPr>
          <w:rFonts w:eastAsia="Calibri" w:cstheme="minorHAnsi"/>
          <w:b/>
          <w:bCs/>
        </w:rPr>
        <w:t>:</w:t>
      </w:r>
      <w:r w:rsidR="000D62AF">
        <w:rPr>
          <w:rFonts w:eastAsia="Times New Roman" w:cstheme="minorHAnsi"/>
        </w:rPr>
        <w:t xml:space="preserve"> </w:t>
      </w:r>
    </w:p>
    <w:p w14:paraId="513D9826" w14:textId="77777777" w:rsidR="00DE67FA" w:rsidRDefault="00DE67FA" w:rsidP="00EA7B51">
      <w:pPr>
        <w:spacing w:after="0" w:line="360" w:lineRule="auto"/>
        <w:rPr>
          <w:rFonts w:eastAsia="Times New Roman" w:cstheme="minorHAnsi"/>
        </w:rPr>
      </w:pPr>
      <w:r w:rsidRPr="00DE67FA">
        <w:rPr>
          <w:rFonts w:eastAsia="Times New Roman" w:cstheme="minorHAnsi"/>
        </w:rPr>
        <w:t>In the analysis</w:t>
      </w:r>
      <w:r w:rsidR="000D62AF">
        <w:rPr>
          <w:rFonts w:eastAsia="Times New Roman" w:cstheme="minorHAnsi"/>
        </w:rPr>
        <w:t>,</w:t>
      </w:r>
      <w:r w:rsidRPr="00DE67FA">
        <w:rPr>
          <w:rFonts w:eastAsia="Times New Roman" w:cstheme="minorHAnsi"/>
        </w:rPr>
        <w:t xml:space="preserve"> we will examine the impact of the variables collected in the survey on WTP estimates. We will assess to the extent possible whether factors that are significantly related to WTP also appear to be related to response rates.</w:t>
      </w:r>
    </w:p>
    <w:p w14:paraId="4302D793" w14:textId="77777777" w:rsidR="004358AE" w:rsidRPr="00DE67FA" w:rsidRDefault="004358AE" w:rsidP="00EA7B51">
      <w:pPr>
        <w:spacing w:after="0" w:line="360" w:lineRule="auto"/>
        <w:rPr>
          <w:rFonts w:eastAsia="Times New Roman" w:cstheme="minorHAnsi"/>
        </w:rPr>
      </w:pPr>
    </w:p>
    <w:p w14:paraId="5F150036" w14:textId="77777777" w:rsidR="00DE67FA" w:rsidRPr="00DE67FA" w:rsidRDefault="00DE67FA" w:rsidP="00EA7B51">
      <w:pPr>
        <w:spacing w:after="0" w:line="360" w:lineRule="auto"/>
        <w:rPr>
          <w:rFonts w:eastAsia="Times New Roman" w:cstheme="minorHAnsi"/>
        </w:rPr>
      </w:pPr>
      <w:r w:rsidRPr="00DE67FA">
        <w:rPr>
          <w:rFonts w:eastAsia="Times New Roman" w:cstheme="minorHAnsi"/>
        </w:rPr>
        <w:t>To address the potential for non</w:t>
      </w:r>
      <w:r w:rsidR="00A75303">
        <w:rPr>
          <w:rFonts w:eastAsia="Times New Roman" w:cstheme="minorHAnsi"/>
        </w:rPr>
        <w:t>-</w:t>
      </w:r>
      <w:r w:rsidRPr="00DE67FA">
        <w:rPr>
          <w:rFonts w:eastAsia="Times New Roman" w:cstheme="minorHAnsi"/>
        </w:rPr>
        <w:t>response bias in our estimation sample, we will conduct additional tests and analyses</w:t>
      </w:r>
      <w:r w:rsidR="009E2DFC">
        <w:rPr>
          <w:rFonts w:eastAsia="Times New Roman" w:cstheme="minorHAnsi"/>
        </w:rPr>
        <w:t xml:space="preserve"> to </w:t>
      </w:r>
      <w:r w:rsidRPr="00DE67FA">
        <w:rPr>
          <w:rFonts w:eastAsia="Times New Roman" w:cstheme="minorHAnsi"/>
        </w:rPr>
        <w:t>test for statistically significant differences between</w:t>
      </w:r>
      <w:r w:rsidR="000B5901">
        <w:rPr>
          <w:rFonts w:eastAsia="Times New Roman" w:cstheme="minorHAnsi"/>
        </w:rPr>
        <w:t xml:space="preserve"> </w:t>
      </w:r>
      <w:r w:rsidRPr="00DE67FA">
        <w:rPr>
          <w:rFonts w:eastAsia="Times New Roman" w:cstheme="minorHAnsi"/>
        </w:rPr>
        <w:t>our samples’ socio</w:t>
      </w:r>
      <w:r w:rsidR="00785CEB">
        <w:rPr>
          <w:rFonts w:eastAsia="Times New Roman" w:cstheme="minorHAnsi"/>
        </w:rPr>
        <w:t xml:space="preserve"> </w:t>
      </w:r>
      <w:r w:rsidRPr="00DE67FA">
        <w:rPr>
          <w:rFonts w:eastAsia="Times New Roman" w:cstheme="minorHAnsi"/>
        </w:rPr>
        <w:t>demographic characteristics (e.g., age, income, gender, race, education) and those from the general population from which they are drawn. A close correspondence in these characteristics will not necessarily ensure an unbiased sample for WTP estimation (nor would a lack of correspondence necessarily imply bias); however, it can at least be interpreted as lowering the potential for significant bias.</w:t>
      </w:r>
    </w:p>
    <w:p w14:paraId="43B60157" w14:textId="77777777" w:rsidR="00DE67FA" w:rsidRPr="00DE67FA" w:rsidRDefault="00DE67FA" w:rsidP="00DE67FA">
      <w:pPr>
        <w:spacing w:after="0"/>
        <w:rPr>
          <w:rFonts w:eastAsia="Times New Roman" w:cstheme="minorHAnsi"/>
        </w:rPr>
      </w:pPr>
    </w:p>
    <w:p w14:paraId="385E4BC2" w14:textId="6FD24B20" w:rsidR="00DE67FA" w:rsidRPr="00DE67FA" w:rsidRDefault="00DE67FA" w:rsidP="00EA7B51">
      <w:pPr>
        <w:spacing w:after="0" w:line="360" w:lineRule="auto"/>
        <w:rPr>
          <w:rFonts w:eastAsia="Times New Roman" w:cstheme="minorHAnsi"/>
        </w:rPr>
      </w:pPr>
      <w:r w:rsidRPr="00DE67FA">
        <w:rPr>
          <w:rFonts w:eastAsia="Times New Roman" w:cstheme="minorHAnsi"/>
        </w:rPr>
        <w:t xml:space="preserve">We will also compare the characteristics of respondents who returned their surveys at different times during the data collection period. We </w:t>
      </w:r>
      <w:r w:rsidR="009E2DFC">
        <w:rPr>
          <w:rFonts w:eastAsia="Times New Roman" w:cstheme="minorHAnsi"/>
        </w:rPr>
        <w:t>will</w:t>
      </w:r>
      <w:r w:rsidR="009E2DFC" w:rsidRPr="00DE67FA">
        <w:rPr>
          <w:rFonts w:eastAsia="Times New Roman" w:cstheme="minorHAnsi"/>
        </w:rPr>
        <w:t xml:space="preserve"> </w:t>
      </w:r>
      <w:r w:rsidRPr="00DE67FA">
        <w:rPr>
          <w:rFonts w:eastAsia="Times New Roman" w:cstheme="minorHAnsi"/>
        </w:rPr>
        <w:t xml:space="preserve">compare individuals who returned their surveys after the first mailing, after the second mailing, and </w:t>
      </w:r>
      <w:r w:rsidR="00873F41">
        <w:rPr>
          <w:rFonts w:eastAsia="Times New Roman" w:cstheme="minorHAnsi"/>
        </w:rPr>
        <w:t xml:space="preserve">non-respondent survey (phone call) </w:t>
      </w:r>
      <w:r w:rsidRPr="00DE67FA">
        <w:rPr>
          <w:rFonts w:eastAsia="Times New Roman" w:cstheme="minorHAnsi"/>
        </w:rPr>
        <w:t xml:space="preserve">. Although all of these people </w:t>
      </w:r>
      <w:r w:rsidR="009E2DFC">
        <w:rPr>
          <w:rFonts w:eastAsia="Times New Roman" w:cstheme="minorHAnsi"/>
        </w:rPr>
        <w:t xml:space="preserve">will be considered as </w:t>
      </w:r>
      <w:r w:rsidR="009E2DFC" w:rsidRPr="00DE67FA">
        <w:rPr>
          <w:rFonts w:eastAsia="Times New Roman" w:cstheme="minorHAnsi"/>
        </w:rPr>
        <w:t>respond</w:t>
      </w:r>
      <w:r w:rsidR="009E2DFC">
        <w:rPr>
          <w:rFonts w:eastAsia="Times New Roman" w:cstheme="minorHAnsi"/>
        </w:rPr>
        <w:t>ents</w:t>
      </w:r>
      <w:r w:rsidRPr="00DE67FA">
        <w:rPr>
          <w:rFonts w:eastAsia="Times New Roman" w:cstheme="minorHAnsi"/>
        </w:rPr>
        <w:t>, those who respond later may share characteristics with non</w:t>
      </w:r>
      <w:r w:rsidR="00785CEB">
        <w:rPr>
          <w:rFonts w:eastAsia="Times New Roman" w:cstheme="minorHAnsi"/>
        </w:rPr>
        <w:t>-</w:t>
      </w:r>
      <w:r w:rsidRPr="00DE67FA">
        <w:rPr>
          <w:rFonts w:eastAsia="Times New Roman" w:cstheme="minorHAnsi"/>
        </w:rPr>
        <w:t>responders.</w:t>
      </w:r>
    </w:p>
    <w:p w14:paraId="6EA29FB9" w14:textId="6FD660E8" w:rsidR="00C320B1" w:rsidRDefault="00C320B1">
      <w:pPr>
        <w:rPr>
          <w:rFonts w:eastAsia="Times New Roman" w:cstheme="minorHAnsi"/>
          <w:b/>
        </w:rPr>
      </w:pPr>
    </w:p>
    <w:p w14:paraId="18078FC4" w14:textId="77777777" w:rsidR="00873F41" w:rsidRDefault="00873F41">
      <w:pPr>
        <w:rPr>
          <w:rFonts w:eastAsia="Times New Roman" w:cstheme="minorHAnsi"/>
          <w:b/>
        </w:rPr>
      </w:pPr>
      <w:r>
        <w:rPr>
          <w:rFonts w:eastAsia="Times New Roman" w:cstheme="minorHAnsi"/>
          <w:b/>
        </w:rPr>
        <w:br w:type="page"/>
      </w:r>
    </w:p>
    <w:p w14:paraId="07FFC5E0" w14:textId="71990FFF" w:rsidR="00DE67FA" w:rsidRPr="00DE67FA" w:rsidRDefault="00DE67FA" w:rsidP="00DE67F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rPr>
      </w:pPr>
      <w:r w:rsidRPr="00DE67FA">
        <w:rPr>
          <w:rFonts w:eastAsia="Times New Roman" w:cstheme="minorHAnsi"/>
          <w:b/>
        </w:rPr>
        <w:lastRenderedPageBreak/>
        <w:t>4.</w:t>
      </w:r>
      <w:r w:rsidRPr="00DE67FA">
        <w:rPr>
          <w:rFonts w:eastAsia="Times New Roman" w:cstheme="minorHAnsi"/>
        </w:rPr>
        <w:t xml:space="preserve"> </w:t>
      </w:r>
      <w:r w:rsidRPr="00DE67FA">
        <w:rPr>
          <w:rFonts w:eastAsia="Times New Roman" w:cstheme="minorHAnsi"/>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7A56DC71" w14:textId="77777777" w:rsidR="00DE67FA" w:rsidRPr="00DE67FA" w:rsidRDefault="00DE67FA" w:rsidP="00DE67F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rPr>
      </w:pPr>
    </w:p>
    <w:p w14:paraId="34A99BD1" w14:textId="21FEE9B2" w:rsidR="00F6196B" w:rsidRDefault="00F6196B" w:rsidP="00F6196B">
      <w:pPr>
        <w:spacing w:line="360" w:lineRule="auto"/>
        <w:rPr>
          <w:rFonts w:eastAsia="Times New Roman" w:cstheme="minorHAnsi"/>
          <w:b/>
        </w:rPr>
      </w:pPr>
      <w:r>
        <w:rPr>
          <w:rFonts w:ascii="Calibri" w:eastAsia="Times New Roman" w:hAnsi="Calibri" w:cs="Calibri"/>
        </w:rPr>
        <w:t>In August 2014, OMB authorized a limited pretest of the survey instrument.  The results of the pretest survey are described in Supporting Statement A</w:t>
      </w:r>
      <w:r w:rsidR="000747E4">
        <w:rPr>
          <w:rFonts w:ascii="Calibri" w:eastAsia="Times New Roman" w:hAnsi="Calibri" w:cs="Calibri"/>
        </w:rPr>
        <w:t xml:space="preserve">, and the </w:t>
      </w:r>
      <w:r w:rsidR="000747E4" w:rsidRPr="000747E4">
        <w:rPr>
          <w:rFonts w:ascii="Calibri" w:eastAsia="Times New Roman" w:hAnsi="Calibri" w:cs="Calibri"/>
          <w:i/>
        </w:rPr>
        <w:t>Glen Canyon Survey Pretest Report</w:t>
      </w:r>
      <w:r w:rsidR="000747E4">
        <w:rPr>
          <w:rFonts w:ascii="Calibri" w:eastAsia="Times New Roman" w:hAnsi="Calibri" w:cs="Calibri"/>
        </w:rPr>
        <w:t xml:space="preserve"> (added in ROCIS as a supplementary document)</w:t>
      </w:r>
      <w:r>
        <w:rPr>
          <w:rFonts w:ascii="Calibri" w:eastAsia="Times New Roman" w:hAnsi="Calibri" w:cs="Calibri"/>
        </w:rPr>
        <w:t>.  The surveys returned in the pretest showed the survey instrument to be understandable and the key price attribute range used to be appropriate for model estimation.</w:t>
      </w:r>
    </w:p>
    <w:p w14:paraId="7153D27C" w14:textId="77777777" w:rsidR="00DE67FA" w:rsidRDefault="00DE67FA" w:rsidP="00EA7B51">
      <w:pPr>
        <w:widowControl w:val="0"/>
        <w:autoSpaceDE w:val="0"/>
        <w:autoSpaceDN w:val="0"/>
        <w:adjustRightInd w:val="0"/>
        <w:spacing w:after="0" w:line="360" w:lineRule="auto"/>
        <w:rPr>
          <w:rFonts w:eastAsia="Times New Roman" w:cstheme="minorHAnsi"/>
        </w:rPr>
      </w:pPr>
      <w:r w:rsidRPr="00DE67FA">
        <w:rPr>
          <w:rFonts w:eastAsia="Times New Roman" w:cstheme="minorHAnsi"/>
        </w:rPr>
        <w:t>The survey components</w:t>
      </w:r>
      <w:r w:rsidR="000B5901">
        <w:rPr>
          <w:rFonts w:eastAsia="Times New Roman" w:cstheme="minorHAnsi"/>
        </w:rPr>
        <w:t xml:space="preserve"> and sampling design for</w:t>
      </w:r>
      <w:r w:rsidR="00FC2F56">
        <w:rPr>
          <w:rFonts w:eastAsia="Times New Roman" w:cstheme="minorHAnsi"/>
        </w:rPr>
        <w:t xml:space="preserve"> this collection are </w:t>
      </w:r>
      <w:r w:rsidR="000B5901">
        <w:rPr>
          <w:rFonts w:eastAsia="Times New Roman" w:cstheme="minorHAnsi"/>
        </w:rPr>
        <w:t xml:space="preserve">largely </w:t>
      </w:r>
      <w:r w:rsidR="00FC2F56">
        <w:rPr>
          <w:rFonts w:eastAsia="Times New Roman" w:cstheme="minorHAnsi"/>
        </w:rPr>
        <w:t>based upon the</w:t>
      </w:r>
      <w:r w:rsidRPr="00DE67FA">
        <w:rPr>
          <w:rFonts w:eastAsia="Times New Roman" w:cstheme="minorHAnsi"/>
        </w:rPr>
        <w:t xml:space="preserve"> methods used by Welsh </w:t>
      </w:r>
      <w:r w:rsidRPr="00DE67FA">
        <w:rPr>
          <w:rFonts w:eastAsia="Times New Roman" w:cstheme="minorHAnsi"/>
          <w:i/>
        </w:rPr>
        <w:t>et al.</w:t>
      </w:r>
      <w:r w:rsidRPr="00DE67FA">
        <w:rPr>
          <w:rFonts w:eastAsia="Times New Roman" w:cstheme="minorHAnsi"/>
        </w:rPr>
        <w:t xml:space="preserve"> (1995) in </w:t>
      </w:r>
      <w:r w:rsidR="00747D9E">
        <w:rPr>
          <w:rFonts w:eastAsia="Times New Roman" w:cstheme="minorHAnsi"/>
        </w:rPr>
        <w:t xml:space="preserve">the </w:t>
      </w:r>
      <w:r w:rsidRPr="00DE67FA">
        <w:rPr>
          <w:rFonts w:eastAsia="Times New Roman" w:cstheme="minorHAnsi"/>
          <w:i/>
        </w:rPr>
        <w:t>Glen Canyon Dam, Colorado River Storage Project, Arizona—Nonuse Value Study</w:t>
      </w:r>
      <w:r w:rsidRPr="00DE67FA">
        <w:rPr>
          <w:rFonts w:eastAsia="Times New Roman" w:cstheme="minorHAnsi"/>
        </w:rPr>
        <w:t xml:space="preserve"> </w:t>
      </w:r>
      <w:r w:rsidR="00B25159">
        <w:rPr>
          <w:rFonts w:eastAsia="Times New Roman" w:cstheme="minorHAnsi"/>
        </w:rPr>
        <w:t xml:space="preserve">(OMB Control Number 1006-0016) </w:t>
      </w:r>
      <w:r w:rsidRPr="00DE67FA">
        <w:rPr>
          <w:rFonts w:eastAsia="Times New Roman" w:cstheme="minorHAnsi"/>
        </w:rPr>
        <w:t xml:space="preserve">and </w:t>
      </w:r>
      <w:r w:rsidR="000B5901">
        <w:rPr>
          <w:rFonts w:eastAsia="Times New Roman" w:cstheme="minorHAnsi"/>
        </w:rPr>
        <w:t xml:space="preserve">the </w:t>
      </w:r>
      <w:r w:rsidRPr="00DE67FA">
        <w:rPr>
          <w:rFonts w:eastAsia="Times New Roman" w:cstheme="minorHAnsi"/>
        </w:rPr>
        <w:t>implemented Klamath Nonuse Valuation Survey (OMB Control Number 1090-0010).</w:t>
      </w:r>
    </w:p>
    <w:p w14:paraId="37BECD91" w14:textId="77777777" w:rsidR="000B5901" w:rsidRDefault="000B5901" w:rsidP="00EA7B51">
      <w:pPr>
        <w:widowControl w:val="0"/>
        <w:autoSpaceDE w:val="0"/>
        <w:autoSpaceDN w:val="0"/>
        <w:adjustRightInd w:val="0"/>
        <w:spacing w:after="0" w:line="360" w:lineRule="auto"/>
        <w:rPr>
          <w:rFonts w:eastAsia="Times New Roman" w:cstheme="minorHAnsi"/>
        </w:rPr>
      </w:pPr>
    </w:p>
    <w:p w14:paraId="2DE10A85" w14:textId="77777777" w:rsidR="00B25159" w:rsidRDefault="00B25159" w:rsidP="00EA7B51">
      <w:pPr>
        <w:widowControl w:val="0"/>
        <w:autoSpaceDE w:val="0"/>
        <w:autoSpaceDN w:val="0"/>
        <w:adjustRightInd w:val="0"/>
        <w:spacing w:after="0" w:line="360" w:lineRule="auto"/>
        <w:rPr>
          <w:rFonts w:ascii="Calibri" w:eastAsia="Times New Roman" w:hAnsi="Calibri" w:cs="Calibri"/>
        </w:rPr>
      </w:pPr>
      <w:r>
        <w:rPr>
          <w:rFonts w:ascii="Calibri" w:eastAsia="Times New Roman" w:hAnsi="Calibri" w:cs="Calibri"/>
        </w:rPr>
        <w:t>In order to further refine the draft survey instruments and procedures</w:t>
      </w:r>
      <w:r w:rsidRPr="00C22E3A">
        <w:rPr>
          <w:rFonts w:ascii="Calibri" w:eastAsia="Times New Roman" w:hAnsi="Calibri" w:cs="Calibri"/>
        </w:rPr>
        <w:t xml:space="preserve">, we solicited </w:t>
      </w:r>
      <w:r>
        <w:rPr>
          <w:rFonts w:ascii="Calibri" w:eastAsia="Times New Roman" w:hAnsi="Calibri" w:cs="Calibri"/>
        </w:rPr>
        <w:t>feedback from</w:t>
      </w:r>
      <w:r w:rsidRPr="00141191">
        <w:rPr>
          <w:rFonts w:ascii="Calibri" w:eastAsia="Times New Roman" w:hAnsi="Calibri" w:cs="Calibri"/>
        </w:rPr>
        <w:t xml:space="preserve"> </w:t>
      </w:r>
      <w:r>
        <w:rPr>
          <w:rFonts w:ascii="Calibri" w:eastAsia="Times New Roman" w:hAnsi="Calibri" w:cs="Calibri"/>
        </w:rPr>
        <w:t xml:space="preserve">three </w:t>
      </w:r>
      <w:r w:rsidRPr="00141191">
        <w:rPr>
          <w:rFonts w:ascii="Calibri" w:eastAsia="Times New Roman" w:hAnsi="Calibri" w:cs="Calibri"/>
        </w:rPr>
        <w:t xml:space="preserve">professionals with expertise in </w:t>
      </w:r>
      <w:r>
        <w:rPr>
          <w:rFonts w:ascii="Calibri" w:eastAsia="Times New Roman" w:hAnsi="Calibri" w:cs="Calibri"/>
        </w:rPr>
        <w:t xml:space="preserve">economic valuation, </w:t>
      </w:r>
      <w:r w:rsidRPr="00141191">
        <w:rPr>
          <w:rFonts w:ascii="Calibri" w:eastAsia="Times New Roman" w:hAnsi="Calibri" w:cs="Calibri"/>
        </w:rPr>
        <w:t>natural resource management and planning as well as survey design and methodology. The</w:t>
      </w:r>
      <w:r>
        <w:rPr>
          <w:rFonts w:ascii="Calibri" w:eastAsia="Times New Roman" w:hAnsi="Calibri" w:cs="Calibri"/>
        </w:rPr>
        <w:t>se peer</w:t>
      </w:r>
      <w:r w:rsidRPr="00141191">
        <w:rPr>
          <w:rFonts w:ascii="Calibri" w:eastAsia="Times New Roman" w:hAnsi="Calibri" w:cs="Calibri"/>
        </w:rPr>
        <w:t xml:space="preserve"> review</w:t>
      </w:r>
      <w:r>
        <w:rPr>
          <w:rFonts w:ascii="Calibri" w:eastAsia="Times New Roman" w:hAnsi="Calibri" w:cs="Calibri"/>
        </w:rPr>
        <w:t>ers (Dr</w:t>
      </w:r>
      <w:r w:rsidR="00747D9E">
        <w:rPr>
          <w:rFonts w:ascii="Calibri" w:eastAsia="Times New Roman" w:hAnsi="Calibri" w:cs="Calibri"/>
        </w:rPr>
        <w:t>s</w:t>
      </w:r>
      <w:r>
        <w:rPr>
          <w:rFonts w:ascii="Calibri" w:eastAsia="Times New Roman" w:hAnsi="Calibri" w:cs="Calibri"/>
        </w:rPr>
        <w:t xml:space="preserve">. John Loomis, Michael Welsh, and Lynne Koontz) were </w:t>
      </w:r>
      <w:r w:rsidRPr="00141191">
        <w:rPr>
          <w:rFonts w:ascii="Calibri" w:eastAsia="Times New Roman" w:hAnsi="Calibri" w:cs="Calibri"/>
        </w:rPr>
        <w:t xml:space="preserve">asked to provide comments concerning the structure of the survey </w:t>
      </w:r>
      <w:r>
        <w:rPr>
          <w:rFonts w:ascii="Calibri" w:eastAsia="Times New Roman" w:hAnsi="Calibri" w:cs="Calibri"/>
        </w:rPr>
        <w:t xml:space="preserve">and to </w:t>
      </w:r>
      <w:r w:rsidRPr="00141191">
        <w:rPr>
          <w:rFonts w:ascii="Calibri" w:eastAsia="Times New Roman" w:hAnsi="Calibri" w:cs="Calibri"/>
        </w:rPr>
        <w:t>provide feedback about the validity of each question and the clarity of instruction</w:t>
      </w:r>
      <w:r>
        <w:rPr>
          <w:rFonts w:ascii="Calibri" w:eastAsia="Times New Roman" w:hAnsi="Calibri" w:cs="Calibri"/>
        </w:rPr>
        <w:t xml:space="preserve">s. Methodological and editorial suggestions by the reviewers </w:t>
      </w:r>
      <w:r w:rsidRPr="00141191">
        <w:rPr>
          <w:rFonts w:ascii="Calibri" w:eastAsia="Times New Roman" w:hAnsi="Calibri" w:cs="Calibri"/>
        </w:rPr>
        <w:t xml:space="preserve">were incorporated into the final versions of </w:t>
      </w:r>
      <w:r>
        <w:rPr>
          <w:rFonts w:ascii="Calibri" w:eastAsia="Times New Roman" w:hAnsi="Calibri" w:cs="Calibri"/>
        </w:rPr>
        <w:t>the</w:t>
      </w:r>
      <w:r w:rsidRPr="00141191">
        <w:rPr>
          <w:rFonts w:ascii="Calibri" w:eastAsia="Times New Roman" w:hAnsi="Calibri" w:cs="Calibri"/>
        </w:rPr>
        <w:t xml:space="preserve"> surveys. </w:t>
      </w:r>
    </w:p>
    <w:p w14:paraId="048363D8" w14:textId="77777777" w:rsidR="002A408E" w:rsidRDefault="002A408E" w:rsidP="00EA7B51">
      <w:pPr>
        <w:widowControl w:val="0"/>
        <w:autoSpaceDE w:val="0"/>
        <w:autoSpaceDN w:val="0"/>
        <w:adjustRightInd w:val="0"/>
        <w:spacing w:after="0" w:line="360" w:lineRule="auto"/>
        <w:rPr>
          <w:rFonts w:ascii="Calibri" w:eastAsia="Times New Roman" w:hAnsi="Calibri" w:cs="Calibri"/>
        </w:rPr>
      </w:pPr>
    </w:p>
    <w:p w14:paraId="5E011711" w14:textId="0EBAE24A" w:rsidR="00DE67FA" w:rsidRPr="00DE67FA" w:rsidRDefault="00DE67FA" w:rsidP="002A408E">
      <w:pPr>
        <w:rPr>
          <w:rFonts w:eastAsia="Times New Roman" w:cstheme="minorHAnsi"/>
          <w:b/>
        </w:rPr>
      </w:pPr>
      <w:r w:rsidRPr="00DE67FA">
        <w:rPr>
          <w:rFonts w:eastAsia="Times New Roman" w:cstheme="minorHAnsi"/>
          <w:b/>
        </w:rPr>
        <w:t>5.</w:t>
      </w:r>
      <w:r w:rsidRPr="00DE67FA">
        <w:rPr>
          <w:rFonts w:eastAsia="Times New Roman" w:cstheme="minorHAnsi"/>
          <w:b/>
        </w:rPr>
        <w:tab/>
        <w:t>Provide the name and telephone number of individuals consulted on statistical aspects of the design and the name of the agency unit, contractor(s), grantee(s), or other person(s) who will actually collect and/or analyze the information for the agency.</w:t>
      </w:r>
    </w:p>
    <w:p w14:paraId="6ADECCB4" w14:textId="77777777" w:rsidR="00DE67FA" w:rsidRPr="00DE67FA" w:rsidRDefault="00DE67FA" w:rsidP="00DE67F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rPr>
      </w:pPr>
    </w:p>
    <w:tbl>
      <w:tblPr>
        <w:tblW w:w="0" w:type="auto"/>
        <w:tblInd w:w="738" w:type="dxa"/>
        <w:tblBorders>
          <w:insideH w:val="single" w:sz="4" w:space="0" w:color="auto"/>
          <w:insideV w:val="single" w:sz="4" w:space="0" w:color="auto"/>
        </w:tblBorders>
        <w:tblLook w:val="04A0" w:firstRow="1" w:lastRow="0" w:firstColumn="1" w:lastColumn="0" w:noHBand="0" w:noVBand="1"/>
      </w:tblPr>
      <w:tblGrid>
        <w:gridCol w:w="7380"/>
      </w:tblGrid>
      <w:tr w:rsidR="00EA7B51" w:rsidRPr="00DE67FA" w14:paraId="495C4B7B" w14:textId="77777777" w:rsidTr="00747D9E">
        <w:trPr>
          <w:trHeight w:val="1998"/>
        </w:trPr>
        <w:tc>
          <w:tcPr>
            <w:tcW w:w="7380" w:type="dxa"/>
            <w:tcBorders>
              <w:bottom w:val="nil"/>
            </w:tcBorders>
            <w:shd w:val="clear" w:color="auto" w:fill="auto"/>
          </w:tcPr>
          <w:p w14:paraId="005FF3F4" w14:textId="77777777" w:rsidR="00EA7B51" w:rsidRPr="00747D9E" w:rsidRDefault="00EA7B51" w:rsidP="00EA7B51">
            <w:pPr>
              <w:widowControl w:val="0"/>
              <w:autoSpaceDE w:val="0"/>
              <w:autoSpaceDN w:val="0"/>
              <w:adjustRightInd w:val="0"/>
              <w:spacing w:after="0"/>
              <w:rPr>
                <w:rFonts w:eastAsia="Times New Roman" w:cstheme="minorHAnsi"/>
              </w:rPr>
            </w:pPr>
            <w:r w:rsidRPr="00747D9E">
              <w:rPr>
                <w:rFonts w:eastAsia="Times New Roman" w:cstheme="minorHAnsi"/>
                <w:b/>
              </w:rPr>
              <w:t>Person consulted on the statistical aspects of survey and sampling design</w:t>
            </w:r>
            <w:r w:rsidRPr="00747D9E">
              <w:rPr>
                <w:rFonts w:eastAsia="Times New Roman" w:cstheme="minorHAnsi"/>
              </w:rPr>
              <w:t xml:space="preserve"> </w:t>
            </w:r>
          </w:p>
          <w:p w14:paraId="7C1E941B" w14:textId="77777777" w:rsidR="00EA7B51" w:rsidRPr="00747D9E" w:rsidRDefault="00EA7B51" w:rsidP="00EA7B51">
            <w:pPr>
              <w:widowControl w:val="0"/>
              <w:autoSpaceDE w:val="0"/>
              <w:autoSpaceDN w:val="0"/>
              <w:adjustRightInd w:val="0"/>
              <w:spacing w:after="0"/>
              <w:rPr>
                <w:rFonts w:eastAsia="Times New Roman" w:cstheme="minorHAnsi"/>
              </w:rPr>
            </w:pPr>
            <w:r w:rsidRPr="00747D9E">
              <w:rPr>
                <w:rFonts w:eastAsia="Times New Roman" w:cstheme="minorHAnsi"/>
              </w:rPr>
              <w:t>Dr. David Patterson</w:t>
            </w:r>
          </w:p>
          <w:p w14:paraId="3C24C00E" w14:textId="77777777" w:rsidR="00EA7B51" w:rsidRPr="00747D9E" w:rsidRDefault="00EA7B51" w:rsidP="00EA7B51">
            <w:pPr>
              <w:widowControl w:val="0"/>
              <w:autoSpaceDE w:val="0"/>
              <w:autoSpaceDN w:val="0"/>
              <w:adjustRightInd w:val="0"/>
              <w:spacing w:after="0"/>
              <w:rPr>
                <w:rFonts w:eastAsia="Times New Roman" w:cstheme="minorHAnsi"/>
              </w:rPr>
            </w:pPr>
            <w:r w:rsidRPr="00747D9E">
              <w:rPr>
                <w:rFonts w:eastAsia="Times New Roman" w:cstheme="minorHAnsi"/>
              </w:rPr>
              <w:t>Department of Mathematical Sciences</w:t>
            </w:r>
          </w:p>
          <w:p w14:paraId="68E89EB1" w14:textId="77777777" w:rsidR="00EA7B51" w:rsidRPr="00747D9E" w:rsidRDefault="00EA7B51" w:rsidP="00EA7B51">
            <w:pPr>
              <w:widowControl w:val="0"/>
              <w:autoSpaceDE w:val="0"/>
              <w:autoSpaceDN w:val="0"/>
              <w:adjustRightInd w:val="0"/>
              <w:spacing w:after="0"/>
              <w:rPr>
                <w:rFonts w:eastAsia="Times New Roman" w:cstheme="minorHAnsi"/>
              </w:rPr>
            </w:pPr>
            <w:r w:rsidRPr="00747D9E">
              <w:rPr>
                <w:rFonts w:eastAsia="Times New Roman" w:cstheme="minorHAnsi"/>
              </w:rPr>
              <w:t>University of Montana</w:t>
            </w:r>
          </w:p>
          <w:p w14:paraId="3F1CE2B0" w14:textId="77777777" w:rsidR="00EA7B51" w:rsidRPr="00747D9E" w:rsidRDefault="00EA7B51" w:rsidP="00EA7B51">
            <w:pPr>
              <w:widowControl w:val="0"/>
              <w:autoSpaceDE w:val="0"/>
              <w:autoSpaceDN w:val="0"/>
              <w:adjustRightInd w:val="0"/>
              <w:spacing w:after="0"/>
              <w:rPr>
                <w:rFonts w:eastAsia="Times New Roman" w:cstheme="minorHAnsi"/>
              </w:rPr>
            </w:pPr>
            <w:r w:rsidRPr="00747D9E">
              <w:rPr>
                <w:rFonts w:eastAsia="Times New Roman" w:cstheme="minorHAnsi"/>
              </w:rPr>
              <w:t>Missoula, MT  59812</w:t>
            </w:r>
          </w:p>
          <w:p w14:paraId="5231537A" w14:textId="77777777" w:rsidR="00EA7B51" w:rsidRPr="00747D9E" w:rsidRDefault="00EA7B51" w:rsidP="00EA7B51">
            <w:pPr>
              <w:widowControl w:val="0"/>
              <w:autoSpaceDE w:val="0"/>
              <w:autoSpaceDN w:val="0"/>
              <w:adjustRightInd w:val="0"/>
              <w:spacing w:after="0"/>
              <w:rPr>
                <w:rFonts w:eastAsia="Times New Roman" w:cstheme="minorHAnsi"/>
                <w:b/>
              </w:rPr>
            </w:pPr>
            <w:r w:rsidRPr="00747D9E">
              <w:rPr>
                <w:rFonts w:eastAsia="Times New Roman" w:cstheme="minorHAnsi"/>
              </w:rPr>
              <w:t>(406) 243-6748</w:t>
            </w:r>
          </w:p>
        </w:tc>
      </w:tr>
      <w:tr w:rsidR="00EA7B51" w:rsidRPr="00DE67FA" w14:paraId="4EEE9317" w14:textId="77777777" w:rsidTr="00747D9E">
        <w:trPr>
          <w:trHeight w:val="1610"/>
        </w:trPr>
        <w:tc>
          <w:tcPr>
            <w:tcW w:w="7380" w:type="dxa"/>
            <w:tcBorders>
              <w:top w:val="nil"/>
              <w:bottom w:val="nil"/>
            </w:tcBorders>
            <w:shd w:val="clear" w:color="auto" w:fill="auto"/>
          </w:tcPr>
          <w:p w14:paraId="74C8978E" w14:textId="77777777" w:rsidR="00EA7B51" w:rsidRPr="00747D9E" w:rsidRDefault="00EA7B51" w:rsidP="00DE67FA">
            <w:pPr>
              <w:widowControl w:val="0"/>
              <w:autoSpaceDE w:val="0"/>
              <w:autoSpaceDN w:val="0"/>
              <w:adjustRightInd w:val="0"/>
              <w:spacing w:after="0"/>
              <w:rPr>
                <w:rFonts w:eastAsia="Times New Roman" w:cstheme="minorHAnsi"/>
                <w:b/>
              </w:rPr>
            </w:pPr>
          </w:p>
          <w:p w14:paraId="4E6B15AD" w14:textId="77777777" w:rsidR="00EA7B51" w:rsidRPr="00747D9E" w:rsidRDefault="00EA7B51" w:rsidP="00DE67FA">
            <w:pPr>
              <w:widowControl w:val="0"/>
              <w:autoSpaceDE w:val="0"/>
              <w:autoSpaceDN w:val="0"/>
              <w:adjustRightInd w:val="0"/>
              <w:spacing w:after="0"/>
              <w:rPr>
                <w:rFonts w:eastAsia="Times New Roman" w:cstheme="minorHAnsi"/>
                <w:b/>
              </w:rPr>
            </w:pPr>
            <w:r w:rsidRPr="00747D9E">
              <w:rPr>
                <w:rFonts w:eastAsia="Times New Roman" w:cstheme="minorHAnsi"/>
                <w:b/>
              </w:rPr>
              <w:t>Principal Investigator for data collection and analysis</w:t>
            </w:r>
          </w:p>
          <w:p w14:paraId="7D2B67AF" w14:textId="77777777" w:rsidR="00EA7B51" w:rsidRPr="00747D9E" w:rsidRDefault="00EA7B51" w:rsidP="00EA7B51">
            <w:pPr>
              <w:widowControl w:val="0"/>
              <w:autoSpaceDE w:val="0"/>
              <w:autoSpaceDN w:val="0"/>
              <w:adjustRightInd w:val="0"/>
              <w:spacing w:after="0"/>
              <w:rPr>
                <w:rFonts w:eastAsia="Times New Roman" w:cstheme="minorHAnsi"/>
              </w:rPr>
            </w:pPr>
            <w:r w:rsidRPr="00747D9E">
              <w:rPr>
                <w:rFonts w:eastAsia="Times New Roman" w:cstheme="minorHAnsi"/>
              </w:rPr>
              <w:t>Dr. John Duffield</w:t>
            </w:r>
          </w:p>
          <w:p w14:paraId="05359C9D" w14:textId="77777777" w:rsidR="00EA7B51" w:rsidRPr="00747D9E" w:rsidRDefault="00EA7B51" w:rsidP="00EA7B51">
            <w:pPr>
              <w:widowControl w:val="0"/>
              <w:autoSpaceDE w:val="0"/>
              <w:autoSpaceDN w:val="0"/>
              <w:adjustRightInd w:val="0"/>
              <w:spacing w:after="0"/>
              <w:rPr>
                <w:rFonts w:eastAsia="Times New Roman" w:cstheme="minorHAnsi"/>
              </w:rPr>
            </w:pPr>
            <w:r w:rsidRPr="00747D9E">
              <w:rPr>
                <w:rFonts w:eastAsia="Times New Roman" w:cstheme="minorHAnsi"/>
              </w:rPr>
              <w:t>Department of Mathematical Sciences</w:t>
            </w:r>
          </w:p>
          <w:p w14:paraId="74C5E635" w14:textId="77777777" w:rsidR="00EA7B51" w:rsidRPr="00747D9E" w:rsidRDefault="00EA7B51" w:rsidP="00EA7B51">
            <w:pPr>
              <w:widowControl w:val="0"/>
              <w:autoSpaceDE w:val="0"/>
              <w:autoSpaceDN w:val="0"/>
              <w:adjustRightInd w:val="0"/>
              <w:spacing w:after="0"/>
              <w:rPr>
                <w:rFonts w:eastAsia="Times New Roman" w:cstheme="minorHAnsi"/>
              </w:rPr>
            </w:pPr>
            <w:r w:rsidRPr="00747D9E">
              <w:rPr>
                <w:rFonts w:eastAsia="Times New Roman" w:cstheme="minorHAnsi"/>
              </w:rPr>
              <w:t>University of Montana</w:t>
            </w:r>
          </w:p>
          <w:p w14:paraId="671D81C7" w14:textId="77777777" w:rsidR="00EA7B51" w:rsidRPr="00747D9E" w:rsidRDefault="00EA7B51" w:rsidP="00EA7B51">
            <w:pPr>
              <w:widowControl w:val="0"/>
              <w:autoSpaceDE w:val="0"/>
              <w:autoSpaceDN w:val="0"/>
              <w:adjustRightInd w:val="0"/>
              <w:spacing w:after="0"/>
              <w:rPr>
                <w:rFonts w:eastAsia="Times New Roman" w:cstheme="minorHAnsi"/>
              </w:rPr>
            </w:pPr>
            <w:r w:rsidRPr="00747D9E">
              <w:rPr>
                <w:rFonts w:eastAsia="Times New Roman" w:cstheme="minorHAnsi"/>
              </w:rPr>
              <w:t>Missoula, MT  59812</w:t>
            </w:r>
          </w:p>
          <w:p w14:paraId="72089950" w14:textId="77777777" w:rsidR="00EA7B51" w:rsidRPr="00747D9E" w:rsidRDefault="00EA7B51" w:rsidP="00EA7B51">
            <w:pPr>
              <w:widowControl w:val="0"/>
              <w:autoSpaceDE w:val="0"/>
              <w:autoSpaceDN w:val="0"/>
              <w:adjustRightInd w:val="0"/>
              <w:spacing w:after="0"/>
              <w:rPr>
                <w:rFonts w:eastAsia="Times New Roman" w:cstheme="minorHAnsi"/>
                <w:b/>
              </w:rPr>
            </w:pPr>
            <w:r w:rsidRPr="00747D9E">
              <w:rPr>
                <w:rFonts w:eastAsia="Times New Roman" w:cstheme="minorHAnsi"/>
              </w:rPr>
              <w:t>(406) 243-5569</w:t>
            </w:r>
          </w:p>
        </w:tc>
      </w:tr>
    </w:tbl>
    <w:p w14:paraId="318DAB1A" w14:textId="77777777" w:rsidR="00977F61" w:rsidRDefault="00977F61"/>
    <w:p w14:paraId="7F479001" w14:textId="77777777" w:rsidR="00873F41" w:rsidRDefault="00873F41" w:rsidP="009A3549">
      <w:pPr>
        <w:rPr>
          <w:b/>
        </w:rPr>
      </w:pPr>
    </w:p>
    <w:p w14:paraId="01FB7CF2" w14:textId="77777777" w:rsidR="00C27858" w:rsidRPr="00873F41" w:rsidRDefault="00590F7E" w:rsidP="009A3549">
      <w:pPr>
        <w:rPr>
          <w:b/>
        </w:rPr>
      </w:pPr>
      <w:r>
        <w:rPr>
          <w:b/>
        </w:rPr>
        <w:t>References</w:t>
      </w:r>
      <w:r w:rsidR="00FC2F56" w:rsidRPr="00B013A9">
        <w:rPr>
          <w:b/>
        </w:rPr>
        <w:t xml:space="preserve"> Cited</w:t>
      </w:r>
      <w:r w:rsidR="00C27858" w:rsidRPr="00873F41">
        <w:rPr>
          <w:rFonts w:eastAsia="Times New Roman" w:cs="Times New Roman"/>
        </w:rPr>
        <w:fldChar w:fldCharType="begin"/>
      </w:r>
      <w:r w:rsidR="00C27858" w:rsidRPr="00873F41">
        <w:rPr>
          <w:rFonts w:eastAsia="Times New Roman" w:cs="Times New Roman"/>
        </w:rPr>
        <w:instrText xml:space="preserve"> ADDIN EN.REFLIST </w:instrText>
      </w:r>
      <w:r w:rsidR="00C27858" w:rsidRPr="00873F41">
        <w:rPr>
          <w:rFonts w:eastAsia="Times New Roman" w:cs="Times New Roman"/>
        </w:rPr>
        <w:fldChar w:fldCharType="separate"/>
      </w:r>
    </w:p>
    <w:p w14:paraId="27F4F5AE" w14:textId="77777777" w:rsidR="00C27858" w:rsidRPr="00873F41" w:rsidRDefault="00C27858" w:rsidP="009A3549">
      <w:pPr>
        <w:spacing w:after="0" w:line="240" w:lineRule="auto"/>
        <w:ind w:left="360" w:hanging="360"/>
        <w:rPr>
          <w:rFonts w:eastAsia="Times New Roman" w:cs="Times New Roman"/>
        </w:rPr>
      </w:pPr>
      <w:r w:rsidRPr="00873F41">
        <w:rPr>
          <w:rFonts w:eastAsia="Times New Roman" w:cs="Times New Roman"/>
        </w:rPr>
        <w:t xml:space="preserve">Dillman, D.A. (2007). </w:t>
      </w:r>
      <w:r w:rsidRPr="00873F41">
        <w:rPr>
          <w:rFonts w:eastAsia="Times New Roman" w:cs="Times New Roman"/>
          <w:u w:val="single"/>
        </w:rPr>
        <w:t xml:space="preserve"> Mail and internet surveys-The tailored design method</w:t>
      </w:r>
      <w:r w:rsidRPr="00873F41">
        <w:rPr>
          <w:rFonts w:eastAsia="Times New Roman" w:cs="Times New Roman"/>
        </w:rPr>
        <w:t>, 2nd ed: Hoboken, NJ, John Wiley &amp; Sons, Inc</w:t>
      </w:r>
      <w:r w:rsidR="00EA7B51" w:rsidRPr="00873F41">
        <w:rPr>
          <w:rFonts w:eastAsia="Times New Roman" w:cs="Times New Roman"/>
        </w:rPr>
        <w:t>.</w:t>
      </w:r>
    </w:p>
    <w:p w14:paraId="7B81DCAA" w14:textId="77777777" w:rsidR="00C27858" w:rsidRPr="00873F41" w:rsidRDefault="00C27858" w:rsidP="009A3549">
      <w:pPr>
        <w:widowControl w:val="0"/>
        <w:autoSpaceDE w:val="0"/>
        <w:autoSpaceDN w:val="0"/>
        <w:adjustRightInd w:val="0"/>
        <w:spacing w:after="0" w:line="240" w:lineRule="auto"/>
        <w:ind w:left="720" w:hanging="720"/>
        <w:rPr>
          <w:rFonts w:eastAsia="Times New Roman" w:cs="Times New Roman"/>
          <w:noProof/>
        </w:rPr>
      </w:pPr>
    </w:p>
    <w:p w14:paraId="3FFB6F67" w14:textId="77777777" w:rsidR="00C27858" w:rsidRPr="00873F41" w:rsidRDefault="00C27858" w:rsidP="009A3549">
      <w:pPr>
        <w:spacing w:after="0" w:line="240" w:lineRule="auto"/>
        <w:rPr>
          <w:rFonts w:eastAsia="Times New Roman" w:cs="Times New Roman"/>
          <w:bCs/>
        </w:rPr>
      </w:pPr>
      <w:r w:rsidRPr="00873F41">
        <w:rPr>
          <w:rFonts w:eastAsia="Times New Roman" w:cs="Times New Roman"/>
          <w:bCs/>
        </w:rPr>
        <w:t xml:space="preserve">Greene, W.H. (2003). </w:t>
      </w:r>
      <w:r w:rsidRPr="00873F41">
        <w:rPr>
          <w:rFonts w:eastAsia="Times New Roman" w:cs="Times New Roman"/>
          <w:bCs/>
          <w:u w:val="single"/>
        </w:rPr>
        <w:t>Economic Analysis, 5/e.</w:t>
      </w:r>
      <w:r w:rsidRPr="00873F41">
        <w:rPr>
          <w:rFonts w:eastAsia="Times New Roman" w:cs="Times New Roman"/>
          <w:bCs/>
        </w:rPr>
        <w:t xml:space="preserve"> India, Pearson Education.</w:t>
      </w:r>
    </w:p>
    <w:p w14:paraId="2BED8FD2" w14:textId="77777777" w:rsidR="00C27858" w:rsidRPr="00873F41" w:rsidRDefault="00C27858" w:rsidP="009A3549">
      <w:pPr>
        <w:widowControl w:val="0"/>
        <w:autoSpaceDE w:val="0"/>
        <w:autoSpaceDN w:val="0"/>
        <w:adjustRightInd w:val="0"/>
        <w:spacing w:after="0" w:line="240" w:lineRule="auto"/>
        <w:ind w:left="720" w:hanging="720"/>
        <w:rPr>
          <w:rFonts w:eastAsia="Times New Roman" w:cs="Times New Roman"/>
          <w:noProof/>
        </w:rPr>
      </w:pPr>
    </w:p>
    <w:p w14:paraId="53B3371E" w14:textId="77777777" w:rsidR="00C27858" w:rsidRPr="00873F41" w:rsidRDefault="00C27858" w:rsidP="009A3549">
      <w:pPr>
        <w:widowControl w:val="0"/>
        <w:autoSpaceDE w:val="0"/>
        <w:autoSpaceDN w:val="0"/>
        <w:adjustRightInd w:val="0"/>
        <w:spacing w:after="0" w:line="240" w:lineRule="auto"/>
        <w:ind w:left="720" w:hanging="720"/>
        <w:rPr>
          <w:rFonts w:eastAsia="Times New Roman" w:cs="Times New Roman"/>
          <w:noProof/>
        </w:rPr>
      </w:pPr>
      <w:r w:rsidRPr="00873F41">
        <w:rPr>
          <w:rFonts w:eastAsia="Times New Roman" w:cs="Times New Roman"/>
          <w:noProof/>
        </w:rPr>
        <w:t xml:space="preserve">Groves, R. M. and M. P. Couper (1998). </w:t>
      </w:r>
      <w:r w:rsidR="00FF5A45" w:rsidRPr="00873F41">
        <w:rPr>
          <w:rFonts w:eastAsia="Times New Roman" w:cs="Times New Roman"/>
          <w:noProof/>
          <w:u w:val="single"/>
        </w:rPr>
        <w:t>Non-response</w:t>
      </w:r>
      <w:r w:rsidRPr="00873F41">
        <w:rPr>
          <w:rFonts w:eastAsia="Times New Roman" w:cs="Times New Roman"/>
          <w:noProof/>
          <w:u w:val="single"/>
        </w:rPr>
        <w:t xml:space="preserve"> in Household Interview Surveys</w:t>
      </w:r>
      <w:r w:rsidRPr="00873F41">
        <w:rPr>
          <w:rFonts w:eastAsia="Times New Roman" w:cs="Times New Roman"/>
          <w:noProof/>
        </w:rPr>
        <w:t>. New York, Wiley.</w:t>
      </w:r>
    </w:p>
    <w:p w14:paraId="1D564CD9" w14:textId="77777777" w:rsidR="00C27858" w:rsidRPr="00873F41" w:rsidRDefault="00C27858" w:rsidP="009A3549">
      <w:pPr>
        <w:widowControl w:val="0"/>
        <w:autoSpaceDE w:val="0"/>
        <w:autoSpaceDN w:val="0"/>
        <w:adjustRightInd w:val="0"/>
        <w:spacing w:after="0" w:line="240" w:lineRule="auto"/>
        <w:ind w:left="720" w:hanging="720"/>
        <w:rPr>
          <w:rFonts w:eastAsia="Times New Roman" w:cs="Times New Roman"/>
        </w:rPr>
      </w:pPr>
    </w:p>
    <w:p w14:paraId="12CED73C" w14:textId="77777777" w:rsidR="00C27858" w:rsidRPr="00873F41" w:rsidRDefault="00C27858" w:rsidP="009A3549">
      <w:pPr>
        <w:spacing w:after="0" w:line="240" w:lineRule="auto"/>
        <w:ind w:left="720" w:hanging="720"/>
        <w:rPr>
          <w:rFonts w:eastAsia="Times New Roman" w:cs="Times New Roman"/>
          <w:bCs/>
        </w:rPr>
      </w:pPr>
      <w:r w:rsidRPr="00873F41">
        <w:rPr>
          <w:rFonts w:eastAsia="Times New Roman" w:cs="Times New Roman"/>
          <w:bCs/>
        </w:rPr>
        <w:t xml:space="preserve">Krinsky, I. and A. L. Robb. (1986). On approximating the statistical properties of elasticities. </w:t>
      </w:r>
      <w:r w:rsidRPr="00873F41">
        <w:rPr>
          <w:rFonts w:eastAsia="Times New Roman" w:cs="Times New Roman"/>
          <w:bCs/>
          <w:i/>
        </w:rPr>
        <w:t>The Review of Economics and Statistics</w:t>
      </w:r>
      <w:r w:rsidRPr="00873F41">
        <w:rPr>
          <w:rFonts w:eastAsia="Times New Roman" w:cs="Times New Roman"/>
          <w:bCs/>
        </w:rPr>
        <w:t xml:space="preserve">, 715-719. </w:t>
      </w:r>
    </w:p>
    <w:p w14:paraId="2423C754" w14:textId="77777777" w:rsidR="00C27858" w:rsidRPr="00873F41" w:rsidRDefault="00C27858" w:rsidP="009A3549">
      <w:pPr>
        <w:spacing w:after="0" w:line="240" w:lineRule="auto"/>
        <w:ind w:left="720" w:hanging="720"/>
        <w:rPr>
          <w:rFonts w:eastAsia="Times New Roman" w:cs="Times New Roman"/>
          <w:bCs/>
        </w:rPr>
      </w:pPr>
    </w:p>
    <w:p w14:paraId="0BA2B3A4" w14:textId="77777777" w:rsidR="00C27858" w:rsidRPr="00873F41" w:rsidRDefault="00C27858" w:rsidP="009A3549">
      <w:pPr>
        <w:spacing w:after="0" w:line="240" w:lineRule="auto"/>
        <w:ind w:left="720" w:hanging="720"/>
        <w:rPr>
          <w:rFonts w:eastAsia="Times New Roman" w:cs="Times New Roman"/>
          <w:bCs/>
        </w:rPr>
      </w:pPr>
      <w:r w:rsidRPr="00873F41">
        <w:rPr>
          <w:rFonts w:eastAsia="Times New Roman" w:cs="Times New Roman"/>
          <w:bCs/>
        </w:rPr>
        <w:t xml:space="preserve">Mansfield, C., G. Van Houtven, A. Hendershott, P. Chen, J. Porter, V. Nourani, and V. Kilambi. (2012). "Klamath River Basin Restoration Nonuse Value Survey." RTI International. </w:t>
      </w:r>
    </w:p>
    <w:p w14:paraId="7BD2510C" w14:textId="77777777" w:rsidR="00C27858" w:rsidRPr="00873F41" w:rsidRDefault="00C27858" w:rsidP="009A3549">
      <w:pPr>
        <w:spacing w:after="0" w:line="240" w:lineRule="auto"/>
        <w:rPr>
          <w:rFonts w:eastAsia="Times New Roman" w:cs="Times New Roman"/>
          <w:bCs/>
        </w:rPr>
      </w:pPr>
    </w:p>
    <w:p w14:paraId="4E7C3B96" w14:textId="77777777" w:rsidR="00C27858" w:rsidRPr="00873F41" w:rsidRDefault="00C27858" w:rsidP="009A3549">
      <w:pPr>
        <w:spacing w:after="0" w:line="240" w:lineRule="auto"/>
        <w:rPr>
          <w:rFonts w:eastAsia="Times New Roman" w:cs="Times New Roman"/>
          <w:bCs/>
        </w:rPr>
      </w:pPr>
      <w:r w:rsidRPr="00873F41">
        <w:rPr>
          <w:rFonts w:eastAsia="Times New Roman" w:cs="Times New Roman"/>
          <w:bCs/>
        </w:rPr>
        <w:t xml:space="preserve">McFadden, D. (1986). The choice theory approach to market research. </w:t>
      </w:r>
      <w:r w:rsidRPr="00873F41">
        <w:rPr>
          <w:rFonts w:eastAsia="Times New Roman" w:cs="Times New Roman"/>
          <w:bCs/>
          <w:i/>
        </w:rPr>
        <w:t>Marketing Science</w:t>
      </w:r>
      <w:r w:rsidRPr="00873F41">
        <w:rPr>
          <w:rFonts w:eastAsia="Times New Roman" w:cs="Times New Roman"/>
          <w:bCs/>
        </w:rPr>
        <w:t xml:space="preserve">, 5(4): 275-297. </w:t>
      </w:r>
    </w:p>
    <w:p w14:paraId="0F06B7A5" w14:textId="77777777" w:rsidR="00C27858" w:rsidRPr="00873F41" w:rsidRDefault="00C27858" w:rsidP="009A3549">
      <w:pPr>
        <w:spacing w:after="0" w:line="240" w:lineRule="auto"/>
        <w:ind w:left="720" w:hanging="720"/>
        <w:rPr>
          <w:rFonts w:eastAsia="Times New Roman" w:cs="Times New Roman"/>
          <w:bCs/>
        </w:rPr>
      </w:pPr>
    </w:p>
    <w:p w14:paraId="0FBFF9BB" w14:textId="77777777" w:rsidR="00C27858" w:rsidRPr="00873F41" w:rsidRDefault="00C27858" w:rsidP="009A3549">
      <w:pPr>
        <w:spacing w:after="0" w:line="240" w:lineRule="auto"/>
        <w:ind w:left="720" w:hanging="720"/>
        <w:rPr>
          <w:rFonts w:eastAsia="Times New Roman" w:cs="Times New Roman"/>
          <w:bCs/>
        </w:rPr>
      </w:pPr>
      <w:r w:rsidRPr="00873F41">
        <w:rPr>
          <w:rFonts w:eastAsia="Times New Roman" w:cs="Times New Roman"/>
          <w:bCs/>
        </w:rPr>
        <w:t>Orme, B. (2006) Getting Started with Conjoint Analysis: Strategies for Product Design and Pricing Research. Madison, WI.: Research Publishers LLC.</w:t>
      </w:r>
    </w:p>
    <w:p w14:paraId="52DC24AB" w14:textId="77777777" w:rsidR="00C27858" w:rsidRPr="00873F41" w:rsidRDefault="00C27858" w:rsidP="009A3549">
      <w:pPr>
        <w:spacing w:after="0" w:line="240" w:lineRule="auto"/>
        <w:rPr>
          <w:rFonts w:eastAsia="Times New Roman" w:cs="Times New Roman"/>
          <w:bCs/>
        </w:rPr>
      </w:pPr>
    </w:p>
    <w:p w14:paraId="627794A1" w14:textId="77777777" w:rsidR="00C27858" w:rsidRPr="00873F41" w:rsidRDefault="00C27858" w:rsidP="009A3549">
      <w:pPr>
        <w:keepLines/>
        <w:spacing w:after="0" w:line="240" w:lineRule="auto"/>
        <w:ind w:left="720" w:hanging="720"/>
        <w:rPr>
          <w:rFonts w:eastAsia="Times New Roman" w:cs="Times New Roman"/>
          <w:noProof/>
        </w:rPr>
      </w:pPr>
      <w:r w:rsidRPr="00873F41">
        <w:rPr>
          <w:rFonts w:eastAsia="Times New Roman" w:cs="Times New Roman"/>
          <w:noProof/>
        </w:rPr>
        <w:t xml:space="preserve">Stussman, B., J. Dahlhamer and C. Simile. (2005). </w:t>
      </w:r>
      <w:r w:rsidRPr="00873F41">
        <w:rPr>
          <w:rFonts w:eastAsia="Times New Roman" w:cs="Times New Roman"/>
          <w:noProof/>
          <w:u w:val="single"/>
        </w:rPr>
        <w:t>The Effect of Interviewer Strategies on Contact and Cooperation Rates in the National Health Interview Survey</w:t>
      </w:r>
      <w:r w:rsidRPr="00873F41">
        <w:rPr>
          <w:rFonts w:eastAsia="Times New Roman" w:cs="Times New Roman"/>
          <w:noProof/>
        </w:rPr>
        <w:t>. Paper presented at the Federal Committee on Statistical Methodology, Washington, DC.</w:t>
      </w:r>
    </w:p>
    <w:p w14:paraId="208DBC88" w14:textId="77777777" w:rsidR="00C27858" w:rsidRPr="00873F41" w:rsidRDefault="00C27858" w:rsidP="009A3549">
      <w:pPr>
        <w:widowControl w:val="0"/>
        <w:autoSpaceDE w:val="0"/>
        <w:autoSpaceDN w:val="0"/>
        <w:adjustRightInd w:val="0"/>
        <w:spacing w:after="0" w:line="240" w:lineRule="auto"/>
        <w:ind w:left="720" w:hanging="720"/>
        <w:rPr>
          <w:rFonts w:eastAsia="Times New Roman" w:cs="Times New Roman"/>
          <w:noProof/>
        </w:rPr>
      </w:pPr>
    </w:p>
    <w:p w14:paraId="7886714A" w14:textId="77777777" w:rsidR="00C27858" w:rsidRPr="00873F41" w:rsidRDefault="00C27858" w:rsidP="009A354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eastAsia="Times New Roman" w:cs="Times New Roman"/>
          <w:bCs/>
          <w:u w:val="single"/>
        </w:rPr>
      </w:pPr>
      <w:r w:rsidRPr="00873F41">
        <w:rPr>
          <w:rFonts w:eastAsia="Times New Roman" w:cs="Times New Roman"/>
        </w:rPr>
        <w:fldChar w:fldCharType="end"/>
      </w:r>
      <w:r w:rsidRPr="00873F41">
        <w:rPr>
          <w:rFonts w:eastAsia="Times New Roman" w:cs="Times New Roman"/>
          <w:bCs/>
        </w:rPr>
        <w:t xml:space="preserve">United States Census Bureau. (2013). “State &amp; County QuickFacts.” Available at </w:t>
      </w:r>
      <w:hyperlink r:id="rId48" w:history="1">
        <w:r w:rsidRPr="00873F41">
          <w:rPr>
            <w:rFonts w:eastAsia="Times New Roman" w:cs="Times New Roman"/>
            <w:bCs/>
            <w:u w:val="single"/>
          </w:rPr>
          <w:t>http://quickfacts.census.gov/qfd/index.html</w:t>
        </w:r>
      </w:hyperlink>
    </w:p>
    <w:p w14:paraId="58B51373" w14:textId="77777777" w:rsidR="00C27858" w:rsidRPr="00873F41" w:rsidRDefault="00C27858" w:rsidP="00C27858">
      <w:pPr>
        <w:spacing w:after="0" w:line="240" w:lineRule="auto"/>
        <w:ind w:left="720" w:hanging="720"/>
        <w:rPr>
          <w:rFonts w:eastAsia="Times New Roman" w:cs="Times New Roman"/>
          <w:bCs/>
          <w:u w:val="single"/>
        </w:rPr>
      </w:pPr>
    </w:p>
    <w:p w14:paraId="35B80E73" w14:textId="77777777" w:rsidR="00C27858" w:rsidRPr="00873F41" w:rsidRDefault="00C27858" w:rsidP="00C27858">
      <w:pPr>
        <w:spacing w:after="0" w:line="240" w:lineRule="auto"/>
        <w:ind w:left="720" w:hanging="720"/>
        <w:rPr>
          <w:rFonts w:cs="Times New Roman"/>
        </w:rPr>
      </w:pPr>
      <w:r w:rsidRPr="00873F41">
        <w:rPr>
          <w:rFonts w:cs="Times New Roman"/>
        </w:rPr>
        <w:t>Vossler, Christian A. and Mary F. Evans. (2009). “Bridging the Gap between the Field and the Lab: Environmental Goods, Policy Maker Input, and Consequentiality</w:t>
      </w:r>
      <w:r w:rsidRPr="00873F41">
        <w:rPr>
          <w:rStyle w:val="Strong"/>
          <w:rFonts w:cs="Times New Roman"/>
        </w:rPr>
        <w:t xml:space="preserve">.” </w:t>
      </w:r>
      <w:r w:rsidR="009A3549" w:rsidRPr="00873F41">
        <w:rPr>
          <w:rStyle w:val="Emphasis"/>
          <w:rFonts w:cs="Times New Roman"/>
          <w:bCs/>
        </w:rPr>
        <w:t>Journal of</w:t>
      </w:r>
      <w:r w:rsidRPr="00873F41">
        <w:rPr>
          <w:rStyle w:val="Emphasis"/>
          <w:rFonts w:cs="Times New Roman"/>
          <w:bCs/>
        </w:rPr>
        <w:t xml:space="preserve"> Environmental Economics and Management</w:t>
      </w:r>
      <w:r w:rsidRPr="00873F41">
        <w:rPr>
          <w:rStyle w:val="Emphasis"/>
          <w:rFonts w:cs="Times New Roman"/>
        </w:rPr>
        <w:t>, 58</w:t>
      </w:r>
      <w:r w:rsidRPr="00873F41">
        <w:rPr>
          <w:rFonts w:cs="Times New Roman"/>
        </w:rPr>
        <w:t>(3): 338-345.</w:t>
      </w:r>
    </w:p>
    <w:p w14:paraId="710F2C4A" w14:textId="77777777" w:rsidR="00C27858" w:rsidRPr="00873F41" w:rsidRDefault="00C27858" w:rsidP="00C27858">
      <w:pPr>
        <w:spacing w:after="0" w:line="240" w:lineRule="auto"/>
        <w:ind w:left="720" w:hanging="720"/>
        <w:rPr>
          <w:rFonts w:eastAsia="Times New Roman" w:cs="Times New Roman"/>
          <w:bCs/>
          <w:u w:val="single"/>
        </w:rPr>
      </w:pPr>
    </w:p>
    <w:p w14:paraId="6E22FCE7" w14:textId="77777777" w:rsidR="00C27858" w:rsidRPr="00873F41" w:rsidRDefault="00C27858" w:rsidP="00C27858">
      <w:pPr>
        <w:spacing w:after="0" w:line="240" w:lineRule="auto"/>
        <w:ind w:left="720" w:hanging="720"/>
        <w:rPr>
          <w:rFonts w:eastAsia="Times New Roman" w:cs="Times New Roman"/>
          <w:bCs/>
          <w:i/>
        </w:rPr>
      </w:pPr>
      <w:r w:rsidRPr="00873F41">
        <w:rPr>
          <w:rFonts w:eastAsia="Times New Roman" w:cs="Times New Roman"/>
          <w:bCs/>
        </w:rPr>
        <w:t xml:space="preserve">Vossler, Christian A., Maurice Doyon and Daniel Rondeau. (2012). “Truth in Consequentiality: Theory and Field Evidence on Discrete Choice Experiments.” </w:t>
      </w:r>
      <w:r w:rsidRPr="00873F41">
        <w:rPr>
          <w:rFonts w:eastAsia="Times New Roman" w:cs="Times New Roman"/>
          <w:bCs/>
          <w:i/>
        </w:rPr>
        <w:t>American Economic Journal: Microeconomics.</w:t>
      </w:r>
    </w:p>
    <w:p w14:paraId="4F4D2B05" w14:textId="77777777" w:rsidR="00C27858" w:rsidRPr="00B013A9" w:rsidRDefault="00C27858" w:rsidP="00C2785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eastAsia="Times New Roman" w:cs="Times New Roman"/>
        </w:rPr>
      </w:pPr>
    </w:p>
    <w:sectPr w:rsidR="00C27858" w:rsidRPr="00B013A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B8FF6" w14:textId="77777777" w:rsidR="00FB1B72" w:rsidRDefault="00FB1B72" w:rsidP="00634340">
      <w:pPr>
        <w:spacing w:after="0" w:line="240" w:lineRule="auto"/>
      </w:pPr>
      <w:r>
        <w:separator/>
      </w:r>
    </w:p>
  </w:endnote>
  <w:endnote w:type="continuationSeparator" w:id="0">
    <w:p w14:paraId="5AB484ED" w14:textId="77777777" w:rsidR="00FB1B72" w:rsidRDefault="00FB1B72" w:rsidP="00634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720575"/>
      <w:docPartObj>
        <w:docPartGallery w:val="Page Numbers (Bottom of Page)"/>
        <w:docPartUnique/>
      </w:docPartObj>
    </w:sdtPr>
    <w:sdtEndPr>
      <w:rPr>
        <w:noProof/>
      </w:rPr>
    </w:sdtEndPr>
    <w:sdtContent>
      <w:p w14:paraId="1CAA0D66" w14:textId="77777777" w:rsidR="00F66544" w:rsidRDefault="00F66544">
        <w:pPr>
          <w:pStyle w:val="Footer"/>
          <w:jc w:val="right"/>
        </w:pPr>
        <w:r>
          <w:fldChar w:fldCharType="begin"/>
        </w:r>
        <w:r>
          <w:instrText xml:space="preserve"> PAGE   \* MERGEFORMAT </w:instrText>
        </w:r>
        <w:r>
          <w:fldChar w:fldCharType="separate"/>
        </w:r>
        <w:r w:rsidR="005B05FA">
          <w:rPr>
            <w:noProof/>
          </w:rPr>
          <w:t>7</w:t>
        </w:r>
        <w:r>
          <w:rPr>
            <w:noProof/>
          </w:rPr>
          <w:fldChar w:fldCharType="end"/>
        </w:r>
      </w:p>
    </w:sdtContent>
  </w:sdt>
  <w:p w14:paraId="42D0B289" w14:textId="77777777" w:rsidR="00F66544" w:rsidRDefault="00F66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063A9" w14:textId="77777777" w:rsidR="00FB1B72" w:rsidRDefault="00FB1B72" w:rsidP="00634340">
      <w:pPr>
        <w:spacing w:after="0" w:line="240" w:lineRule="auto"/>
      </w:pPr>
      <w:r>
        <w:separator/>
      </w:r>
    </w:p>
  </w:footnote>
  <w:footnote w:type="continuationSeparator" w:id="0">
    <w:p w14:paraId="581B63FC" w14:textId="77777777" w:rsidR="00FB1B72" w:rsidRDefault="00FB1B72" w:rsidP="006343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95D94"/>
    <w:multiLevelType w:val="hybridMultilevel"/>
    <w:tmpl w:val="7AFA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4E0696"/>
    <w:multiLevelType w:val="hybridMultilevel"/>
    <w:tmpl w:val="E20A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FD2C10"/>
    <w:multiLevelType w:val="hybridMultilevel"/>
    <w:tmpl w:val="42A87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1C1E58"/>
    <w:multiLevelType w:val="hybridMultilevel"/>
    <w:tmpl w:val="8EC0D990"/>
    <w:lvl w:ilvl="0" w:tplc="2236D380">
      <w:start w:val="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7FA"/>
    <w:rsid w:val="00015789"/>
    <w:rsid w:val="00040414"/>
    <w:rsid w:val="0005230A"/>
    <w:rsid w:val="000747E4"/>
    <w:rsid w:val="00084A24"/>
    <w:rsid w:val="0008505D"/>
    <w:rsid w:val="00085AD9"/>
    <w:rsid w:val="00095B9D"/>
    <w:rsid w:val="000B3B28"/>
    <w:rsid w:val="000B5901"/>
    <w:rsid w:val="000B708D"/>
    <w:rsid w:val="000D0981"/>
    <w:rsid w:val="000D62AF"/>
    <w:rsid w:val="00141EB4"/>
    <w:rsid w:val="00144440"/>
    <w:rsid w:val="001B3CD3"/>
    <w:rsid w:val="001B3CF7"/>
    <w:rsid w:val="001B44B8"/>
    <w:rsid w:val="00215E6D"/>
    <w:rsid w:val="00231954"/>
    <w:rsid w:val="00265D0A"/>
    <w:rsid w:val="002832CD"/>
    <w:rsid w:val="002A408E"/>
    <w:rsid w:val="002A58ED"/>
    <w:rsid w:val="002B6E0A"/>
    <w:rsid w:val="002C57C2"/>
    <w:rsid w:val="002F349C"/>
    <w:rsid w:val="002F4B58"/>
    <w:rsid w:val="003128C1"/>
    <w:rsid w:val="00333B59"/>
    <w:rsid w:val="003A7DF1"/>
    <w:rsid w:val="00406390"/>
    <w:rsid w:val="004245EC"/>
    <w:rsid w:val="004358AE"/>
    <w:rsid w:val="00442427"/>
    <w:rsid w:val="00470B21"/>
    <w:rsid w:val="004A0D8D"/>
    <w:rsid w:val="004B2478"/>
    <w:rsid w:val="00517662"/>
    <w:rsid w:val="005349B1"/>
    <w:rsid w:val="00590F7E"/>
    <w:rsid w:val="005B05FA"/>
    <w:rsid w:val="00634340"/>
    <w:rsid w:val="0065490F"/>
    <w:rsid w:val="006A4586"/>
    <w:rsid w:val="006C570A"/>
    <w:rsid w:val="006E6BBC"/>
    <w:rsid w:val="006F695D"/>
    <w:rsid w:val="007263C8"/>
    <w:rsid w:val="007341D0"/>
    <w:rsid w:val="00747D9E"/>
    <w:rsid w:val="00760A48"/>
    <w:rsid w:val="00785CEB"/>
    <w:rsid w:val="007D07B5"/>
    <w:rsid w:val="007D5A8E"/>
    <w:rsid w:val="007E3808"/>
    <w:rsid w:val="007E673D"/>
    <w:rsid w:val="00837A38"/>
    <w:rsid w:val="00873F41"/>
    <w:rsid w:val="0088562C"/>
    <w:rsid w:val="008A0E92"/>
    <w:rsid w:val="008A4FBC"/>
    <w:rsid w:val="008B2E31"/>
    <w:rsid w:val="008E5A04"/>
    <w:rsid w:val="008F1E08"/>
    <w:rsid w:val="00955C7C"/>
    <w:rsid w:val="0097187B"/>
    <w:rsid w:val="00977F61"/>
    <w:rsid w:val="009A3549"/>
    <w:rsid w:val="009E2DFC"/>
    <w:rsid w:val="00A41B86"/>
    <w:rsid w:val="00A44FAC"/>
    <w:rsid w:val="00A75303"/>
    <w:rsid w:val="00AA7787"/>
    <w:rsid w:val="00AB04A7"/>
    <w:rsid w:val="00AD0923"/>
    <w:rsid w:val="00AE5E85"/>
    <w:rsid w:val="00B013A9"/>
    <w:rsid w:val="00B25159"/>
    <w:rsid w:val="00B640C4"/>
    <w:rsid w:val="00BC06A2"/>
    <w:rsid w:val="00C05F8D"/>
    <w:rsid w:val="00C27858"/>
    <w:rsid w:val="00C320B1"/>
    <w:rsid w:val="00C74EAD"/>
    <w:rsid w:val="00CF076F"/>
    <w:rsid w:val="00D1460C"/>
    <w:rsid w:val="00D73E34"/>
    <w:rsid w:val="00D92718"/>
    <w:rsid w:val="00DA6733"/>
    <w:rsid w:val="00DC0F68"/>
    <w:rsid w:val="00DC42CE"/>
    <w:rsid w:val="00DE67FA"/>
    <w:rsid w:val="00E0191C"/>
    <w:rsid w:val="00E05798"/>
    <w:rsid w:val="00E1031B"/>
    <w:rsid w:val="00E16462"/>
    <w:rsid w:val="00E523E8"/>
    <w:rsid w:val="00E52FAD"/>
    <w:rsid w:val="00EA7B51"/>
    <w:rsid w:val="00EC77E0"/>
    <w:rsid w:val="00F06654"/>
    <w:rsid w:val="00F200A9"/>
    <w:rsid w:val="00F43FF4"/>
    <w:rsid w:val="00F6196B"/>
    <w:rsid w:val="00F66544"/>
    <w:rsid w:val="00FB1B72"/>
    <w:rsid w:val="00FC2F56"/>
    <w:rsid w:val="00FC62D7"/>
    <w:rsid w:val="00FF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E67FA"/>
    <w:pPr>
      <w:spacing w:line="240" w:lineRule="auto"/>
    </w:pPr>
    <w:rPr>
      <w:sz w:val="20"/>
      <w:szCs w:val="20"/>
    </w:rPr>
  </w:style>
  <w:style w:type="character" w:customStyle="1" w:styleId="CommentTextChar">
    <w:name w:val="Comment Text Char"/>
    <w:basedOn w:val="DefaultParagraphFont"/>
    <w:link w:val="CommentText"/>
    <w:uiPriority w:val="99"/>
    <w:semiHidden/>
    <w:rsid w:val="00DE67FA"/>
    <w:rPr>
      <w:sz w:val="20"/>
      <w:szCs w:val="20"/>
    </w:rPr>
  </w:style>
  <w:style w:type="character" w:styleId="CommentReference">
    <w:name w:val="annotation reference"/>
    <w:uiPriority w:val="99"/>
    <w:semiHidden/>
    <w:unhideWhenUsed/>
    <w:rsid w:val="00DE67FA"/>
    <w:rPr>
      <w:sz w:val="16"/>
      <w:szCs w:val="16"/>
    </w:rPr>
  </w:style>
  <w:style w:type="paragraph" w:styleId="BalloonText">
    <w:name w:val="Balloon Text"/>
    <w:basedOn w:val="Normal"/>
    <w:link w:val="BalloonTextChar"/>
    <w:uiPriority w:val="99"/>
    <w:semiHidden/>
    <w:unhideWhenUsed/>
    <w:rsid w:val="00DE6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7F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67FA"/>
    <w:rPr>
      <w:b/>
      <w:bCs/>
    </w:rPr>
  </w:style>
  <w:style w:type="character" w:customStyle="1" w:styleId="CommentSubjectChar">
    <w:name w:val="Comment Subject Char"/>
    <w:basedOn w:val="CommentTextChar"/>
    <w:link w:val="CommentSubject"/>
    <w:uiPriority w:val="99"/>
    <w:semiHidden/>
    <w:rsid w:val="00DE67FA"/>
    <w:rPr>
      <w:b/>
      <w:bCs/>
      <w:sz w:val="20"/>
      <w:szCs w:val="20"/>
    </w:rPr>
  </w:style>
  <w:style w:type="paragraph" w:styleId="NoSpacing">
    <w:name w:val="No Spacing"/>
    <w:uiPriority w:val="1"/>
    <w:qFormat/>
    <w:rsid w:val="00CF076F"/>
    <w:pPr>
      <w:spacing w:after="0" w:line="240" w:lineRule="auto"/>
    </w:pPr>
  </w:style>
  <w:style w:type="paragraph" w:styleId="FootnoteText">
    <w:name w:val="footnote text"/>
    <w:basedOn w:val="Normal"/>
    <w:link w:val="FootnoteTextChar"/>
    <w:uiPriority w:val="99"/>
    <w:semiHidden/>
    <w:unhideWhenUsed/>
    <w:rsid w:val="006343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4340"/>
    <w:rPr>
      <w:sz w:val="20"/>
      <w:szCs w:val="20"/>
    </w:rPr>
  </w:style>
  <w:style w:type="character" w:styleId="FootnoteReference">
    <w:name w:val="footnote reference"/>
    <w:basedOn w:val="DefaultParagraphFont"/>
    <w:uiPriority w:val="99"/>
    <w:semiHidden/>
    <w:unhideWhenUsed/>
    <w:rsid w:val="00634340"/>
    <w:rPr>
      <w:vertAlign w:val="superscript"/>
    </w:rPr>
  </w:style>
  <w:style w:type="table" w:styleId="TableGrid">
    <w:name w:val="Table Grid"/>
    <w:basedOn w:val="TableNormal"/>
    <w:uiPriority w:val="59"/>
    <w:rsid w:val="00FC2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27858"/>
    <w:rPr>
      <w:b/>
      <w:bCs/>
    </w:rPr>
  </w:style>
  <w:style w:type="character" w:styleId="Emphasis">
    <w:name w:val="Emphasis"/>
    <w:basedOn w:val="DefaultParagraphFont"/>
    <w:uiPriority w:val="20"/>
    <w:qFormat/>
    <w:rsid w:val="00C27858"/>
    <w:rPr>
      <w:i/>
      <w:iCs/>
    </w:rPr>
  </w:style>
  <w:style w:type="paragraph" w:styleId="ListParagraph">
    <w:name w:val="List Paragraph"/>
    <w:basedOn w:val="Normal"/>
    <w:uiPriority w:val="34"/>
    <w:qFormat/>
    <w:rsid w:val="00E0191C"/>
    <w:pPr>
      <w:ind w:left="720"/>
      <w:contextualSpacing/>
    </w:pPr>
  </w:style>
  <w:style w:type="paragraph" w:styleId="Header">
    <w:name w:val="header"/>
    <w:basedOn w:val="Normal"/>
    <w:link w:val="HeaderChar"/>
    <w:uiPriority w:val="99"/>
    <w:unhideWhenUsed/>
    <w:rsid w:val="00F66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544"/>
  </w:style>
  <w:style w:type="paragraph" w:styleId="Footer">
    <w:name w:val="footer"/>
    <w:basedOn w:val="Normal"/>
    <w:link w:val="FooterChar"/>
    <w:uiPriority w:val="99"/>
    <w:unhideWhenUsed/>
    <w:rsid w:val="00F66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5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E67FA"/>
    <w:pPr>
      <w:spacing w:line="240" w:lineRule="auto"/>
    </w:pPr>
    <w:rPr>
      <w:sz w:val="20"/>
      <w:szCs w:val="20"/>
    </w:rPr>
  </w:style>
  <w:style w:type="character" w:customStyle="1" w:styleId="CommentTextChar">
    <w:name w:val="Comment Text Char"/>
    <w:basedOn w:val="DefaultParagraphFont"/>
    <w:link w:val="CommentText"/>
    <w:uiPriority w:val="99"/>
    <w:semiHidden/>
    <w:rsid w:val="00DE67FA"/>
    <w:rPr>
      <w:sz w:val="20"/>
      <w:szCs w:val="20"/>
    </w:rPr>
  </w:style>
  <w:style w:type="character" w:styleId="CommentReference">
    <w:name w:val="annotation reference"/>
    <w:uiPriority w:val="99"/>
    <w:semiHidden/>
    <w:unhideWhenUsed/>
    <w:rsid w:val="00DE67FA"/>
    <w:rPr>
      <w:sz w:val="16"/>
      <w:szCs w:val="16"/>
    </w:rPr>
  </w:style>
  <w:style w:type="paragraph" w:styleId="BalloonText">
    <w:name w:val="Balloon Text"/>
    <w:basedOn w:val="Normal"/>
    <w:link w:val="BalloonTextChar"/>
    <w:uiPriority w:val="99"/>
    <w:semiHidden/>
    <w:unhideWhenUsed/>
    <w:rsid w:val="00DE6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7F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67FA"/>
    <w:rPr>
      <w:b/>
      <w:bCs/>
    </w:rPr>
  </w:style>
  <w:style w:type="character" w:customStyle="1" w:styleId="CommentSubjectChar">
    <w:name w:val="Comment Subject Char"/>
    <w:basedOn w:val="CommentTextChar"/>
    <w:link w:val="CommentSubject"/>
    <w:uiPriority w:val="99"/>
    <w:semiHidden/>
    <w:rsid w:val="00DE67FA"/>
    <w:rPr>
      <w:b/>
      <w:bCs/>
      <w:sz w:val="20"/>
      <w:szCs w:val="20"/>
    </w:rPr>
  </w:style>
  <w:style w:type="paragraph" w:styleId="NoSpacing">
    <w:name w:val="No Spacing"/>
    <w:uiPriority w:val="1"/>
    <w:qFormat/>
    <w:rsid w:val="00CF076F"/>
    <w:pPr>
      <w:spacing w:after="0" w:line="240" w:lineRule="auto"/>
    </w:pPr>
  </w:style>
  <w:style w:type="paragraph" w:styleId="FootnoteText">
    <w:name w:val="footnote text"/>
    <w:basedOn w:val="Normal"/>
    <w:link w:val="FootnoteTextChar"/>
    <w:uiPriority w:val="99"/>
    <w:semiHidden/>
    <w:unhideWhenUsed/>
    <w:rsid w:val="006343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4340"/>
    <w:rPr>
      <w:sz w:val="20"/>
      <w:szCs w:val="20"/>
    </w:rPr>
  </w:style>
  <w:style w:type="character" w:styleId="FootnoteReference">
    <w:name w:val="footnote reference"/>
    <w:basedOn w:val="DefaultParagraphFont"/>
    <w:uiPriority w:val="99"/>
    <w:semiHidden/>
    <w:unhideWhenUsed/>
    <w:rsid w:val="00634340"/>
    <w:rPr>
      <w:vertAlign w:val="superscript"/>
    </w:rPr>
  </w:style>
  <w:style w:type="table" w:styleId="TableGrid">
    <w:name w:val="Table Grid"/>
    <w:basedOn w:val="TableNormal"/>
    <w:uiPriority w:val="59"/>
    <w:rsid w:val="00FC2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27858"/>
    <w:rPr>
      <w:b/>
      <w:bCs/>
    </w:rPr>
  </w:style>
  <w:style w:type="character" w:styleId="Emphasis">
    <w:name w:val="Emphasis"/>
    <w:basedOn w:val="DefaultParagraphFont"/>
    <w:uiPriority w:val="20"/>
    <w:qFormat/>
    <w:rsid w:val="00C27858"/>
    <w:rPr>
      <w:i/>
      <w:iCs/>
    </w:rPr>
  </w:style>
  <w:style w:type="paragraph" w:styleId="ListParagraph">
    <w:name w:val="List Paragraph"/>
    <w:basedOn w:val="Normal"/>
    <w:uiPriority w:val="34"/>
    <w:qFormat/>
    <w:rsid w:val="00E0191C"/>
    <w:pPr>
      <w:ind w:left="720"/>
      <w:contextualSpacing/>
    </w:pPr>
  </w:style>
  <w:style w:type="paragraph" w:styleId="Header">
    <w:name w:val="header"/>
    <w:basedOn w:val="Normal"/>
    <w:link w:val="HeaderChar"/>
    <w:uiPriority w:val="99"/>
    <w:unhideWhenUsed/>
    <w:rsid w:val="00F66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544"/>
  </w:style>
  <w:style w:type="paragraph" w:styleId="Footer">
    <w:name w:val="footer"/>
    <w:basedOn w:val="Normal"/>
    <w:link w:val="FooterChar"/>
    <w:uiPriority w:val="99"/>
    <w:unhideWhenUsed/>
    <w:rsid w:val="00F66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image" Target="media/image18.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9.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image" Target="media/image17.wmf"/><Relationship Id="rId48" Type="http://schemas.openxmlformats.org/officeDocument/2006/relationships/hyperlink" Target="http://quickfacts.census.gov/qfd/index.html"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299233C-3D1C-4692-9365-7942469F0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2854</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Ponds, Phadrea D.</cp:lastModifiedBy>
  <cp:revision>2</cp:revision>
  <cp:lastPrinted>2015-09-10T16:03:00Z</cp:lastPrinted>
  <dcterms:created xsi:type="dcterms:W3CDTF">2015-09-10T18:47:00Z</dcterms:created>
  <dcterms:modified xsi:type="dcterms:W3CDTF">2015-09-10T18:47:00Z</dcterms:modified>
</cp:coreProperties>
</file>