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29" w:rsidRDefault="00AF6229" w:rsidP="00AF6229">
      <w:pPr>
        <w:widowControl/>
        <w:jc w:val="center"/>
        <w:rPr>
          <w:rFonts w:ascii="Times New Roman" w:hAnsi="Times New Roman"/>
          <w:b/>
          <w:bCs/>
        </w:rPr>
      </w:pPr>
      <w:r>
        <w:rPr>
          <w:rFonts w:ascii="Times New Roman" w:hAnsi="Times New Roman"/>
          <w:b/>
          <w:bCs/>
        </w:rPr>
        <w:t>SUPPORTING STATEMENT FOR THE</w:t>
      </w:r>
    </w:p>
    <w:p w:rsidR="00AF6229" w:rsidRDefault="00AF6229" w:rsidP="00AF6229">
      <w:pPr>
        <w:widowControl/>
        <w:jc w:val="center"/>
        <w:rPr>
          <w:rFonts w:ascii="Times New Roman" w:hAnsi="Times New Roman"/>
          <w:b/>
          <w:bCs/>
        </w:rPr>
      </w:pPr>
      <w:r>
        <w:rPr>
          <w:rFonts w:ascii="Times New Roman" w:hAnsi="Times New Roman"/>
          <w:b/>
          <w:bCs/>
        </w:rPr>
        <w:t>INFORMATION COLLECTION REQUIREMENTS OF THE</w:t>
      </w:r>
    </w:p>
    <w:p w:rsidR="00AF6229" w:rsidRDefault="00AF6229" w:rsidP="00AF6229">
      <w:pPr>
        <w:widowControl/>
        <w:jc w:val="center"/>
        <w:rPr>
          <w:rFonts w:ascii="Times New Roman" w:hAnsi="Times New Roman"/>
          <w:b/>
          <w:bCs/>
        </w:rPr>
      </w:pPr>
      <w:r>
        <w:rPr>
          <w:rFonts w:ascii="Times New Roman" w:hAnsi="Times New Roman"/>
          <w:b/>
          <w:bCs/>
        </w:rPr>
        <w:t>COMMERCIAL DIVING OPERATIONS STANDARD</w:t>
      </w:r>
    </w:p>
    <w:p w:rsidR="00AF6229" w:rsidRDefault="00AF6229" w:rsidP="00AF6229">
      <w:pPr>
        <w:widowControl/>
        <w:jc w:val="center"/>
        <w:rPr>
          <w:rFonts w:ascii="Times New Roman" w:hAnsi="Times New Roman"/>
        </w:rPr>
      </w:pPr>
      <w:r>
        <w:rPr>
          <w:rFonts w:ascii="Times New Roman" w:hAnsi="Times New Roman"/>
          <w:b/>
          <w:bCs/>
        </w:rPr>
        <w:t>(29 CFR part 1910, subpart T)</w:t>
      </w:r>
      <w:r>
        <w:rPr>
          <w:rStyle w:val="FootnoteReference"/>
          <w:rFonts w:ascii="Times New Roman" w:hAnsi="Times New Roman"/>
          <w:vertAlign w:val="superscript"/>
        </w:rPr>
        <w:footnoteReference w:id="1"/>
      </w:r>
    </w:p>
    <w:p w:rsidR="00AF6229" w:rsidRDefault="00AF6229" w:rsidP="00AF6229">
      <w:pPr>
        <w:widowControl/>
        <w:tabs>
          <w:tab w:val="center" w:pos="4680"/>
        </w:tabs>
        <w:jc w:val="center"/>
        <w:rPr>
          <w:rFonts w:ascii="Times New Roman" w:hAnsi="Times New Roman"/>
          <w:b/>
          <w:bCs/>
        </w:rPr>
      </w:pPr>
      <w:r>
        <w:rPr>
          <w:rFonts w:ascii="Times New Roman" w:hAnsi="Times New Roman"/>
          <w:b/>
          <w:bCs/>
        </w:rPr>
        <w:t>OFFICE OF MANAGEMENT AND BUDGET (OMB)</w:t>
      </w:r>
    </w:p>
    <w:p w:rsidR="00AF6229" w:rsidRDefault="00AF6229" w:rsidP="00AF6229">
      <w:pPr>
        <w:widowControl/>
        <w:tabs>
          <w:tab w:val="center" w:pos="4680"/>
        </w:tabs>
        <w:jc w:val="center"/>
        <w:rPr>
          <w:rFonts w:ascii="Times New Roman" w:hAnsi="Times New Roman"/>
        </w:rPr>
      </w:pPr>
      <w:r>
        <w:rPr>
          <w:rFonts w:ascii="Times New Roman" w:hAnsi="Times New Roman"/>
          <w:b/>
          <w:bCs/>
        </w:rPr>
        <w:t>Control No. 1218-0069 (June 2015)</w:t>
      </w:r>
    </w:p>
    <w:p w:rsidR="00AF6229" w:rsidRDefault="00AF6229" w:rsidP="00AF6229">
      <w:pPr>
        <w:widowControl/>
        <w:rPr>
          <w:rFonts w:ascii="Times New Roman" w:hAnsi="Times New Roman"/>
        </w:rPr>
      </w:pPr>
    </w:p>
    <w:p w:rsidR="00AF6229" w:rsidRDefault="00AF6229" w:rsidP="00AF6229">
      <w:pPr>
        <w:widowControl/>
        <w:rPr>
          <w:rFonts w:ascii="Times New Roman" w:hAnsi="Times New Roman"/>
          <w:color w:val="FF00FF"/>
        </w:rPr>
      </w:pPr>
      <w:r>
        <w:rPr>
          <w:rFonts w:ascii="Times New Roman" w:hAnsi="Times New Roman"/>
          <w:b/>
          <w:bCs/>
        </w:rPr>
        <w:t>A. JUSTIFICATION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The main purpose of the Occupational Safety and Health Act (i.e.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Specifically, the Act states that “[t]he Secretary shall set the standard which most adequately assures, to the extent feasible . . . that no worker will suffer material impairment of health or functional capacity . . .” (29 U.S.C. 655).</w:t>
      </w:r>
    </w:p>
    <w:p w:rsidR="00AF6229" w:rsidRDefault="00AF6229" w:rsidP="00AF6229">
      <w:pPr>
        <w:widowControl/>
        <w:rPr>
          <w:rFonts w:ascii="Times New Roman" w:hAnsi="Times New Roman" w:cs="Shruti"/>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The OSH Act specifies that “[a]</w:t>
      </w:r>
      <w:proofErr w:type="spellStart"/>
      <w:r>
        <w:rPr>
          <w:rFonts w:ascii="Times New Roman" w:hAnsi="Times New Roman" w:cs="Shruti"/>
          <w:color w:val="000000"/>
        </w:rPr>
        <w:t>ny</w:t>
      </w:r>
      <w:proofErr w:type="spellEnd"/>
      <w:r>
        <w:rPr>
          <w:rFonts w:ascii="Times New Roman" w:hAnsi="Times New Roman" w:cs="Shruti"/>
          <w:color w:val="000000"/>
        </w:rPr>
        <w:t xml:space="preserve"> standard promulgated under this subsection shall prescribe the use of labels or other appropriate forms of warning as are necessary to insure that workers are apprised of all hazards to which they are exposed, relevant symptoms and appropriate emergency treatment, and proper conditions and precautions of safe use or exposure.  Where appropriate, such standard shall also prescribe suitable protective equipment and control or technological procedures to be used in connection with such hazards . . .” (29 U.S.C. 655).  The Act continues by stating, “[W]here appropriate, any such standard shall prescribe the type and frequency of medical examinations or other tests . . . in order to most effectively determine whether the health of such workers is adversely affected by such exposure” (29 U.S.C. 655).  Finally, the Act requires that “[e]ach employer shall make, keep and preserve, and make available to the Secretary . . . such records . . . as the Secretary . . . may prescribe by regulation as necessary or appropriate for the enforcement of this Act . . .” (29 U.S.C. 657).</w:t>
      </w:r>
    </w:p>
    <w:p w:rsidR="00AF6229" w:rsidRDefault="00AF6229" w:rsidP="00AF6229">
      <w:pPr>
        <w:widowControl/>
        <w:rPr>
          <w:rFonts w:ascii="Times New Roman" w:hAnsi="Times New Roman" w:cs="Shruti"/>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 xml:space="preserve">Under the authority granted by the OSH Act, the Occupational Safety and Health Administration (“OSHA” or “Agency”) published standards regulating commercial diving operations at 29 CFR part 1910, subpart T; the “Subpart”).  The Subpart applies to diving and related support operations conducted by employers involved in general industry, construction, ship repairing, shipbuilding, shipbreaking, and longshoring, and specifies equipment and procedures that </w:t>
      </w:r>
      <w:r>
        <w:rPr>
          <w:rFonts w:ascii="Times New Roman" w:hAnsi="Times New Roman" w:cs="Shruti"/>
          <w:color w:val="000000"/>
        </w:rPr>
        <w:lastRenderedPageBreak/>
        <w:t>prevent injury and death among workers exposed to hazards associated with diving and diving support operations.  Items 2 and 12 below describe in detail the specific information collection requirements of the Subpart.</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sz w:val="20"/>
          <w:szCs w:val="20"/>
        </w:rPr>
        <w:t xml:space="preserve"> 2.  Indicate how, by whom, and for what purpose the information is to be used.  Except for a new collection, indicate the actual use the Agency has made of the information received from the current collection.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The Subpart contains a number of paperwork requirements.  The following paragraphs describe these requirements; specify who uses them, and what purpose they serve.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1910.401(b)</w:t>
      </w:r>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Allows employers to deviate from the requirements of the Subpart to the extent necessary to prevent or minimize a situation that is likely to cause death, serious physical harm, or major environmental damage (but not situations in which purely economic or property damage is likely to occur).  They must notify the OSHA Area Director within 48 hours of taking such action; this notification must describe the situation responsible for the deviation and the extent of the deviation from the requirements.  On request of the Area Director, employers must submit this information in writing.</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Employers use this provision to respond to unexpected and sudden emergencies that could cause serious injury or death to their workers, or prevent major harm to the environment.  Notification allows OSHA to determine that the situation was serious and unusual, required immediate action not specified by the Subpart, and that the response was appropriate to prevent serious injury or death to workers or major harm to the environment.</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1910.410(a</w:t>
      </w:r>
      <w:proofErr w:type="gramStart"/>
      <w:r>
        <w:rPr>
          <w:rFonts w:ascii="Times New Roman" w:hAnsi="Times New Roman"/>
          <w:b/>
          <w:bCs/>
          <w:color w:val="000000"/>
        </w:rPr>
        <w:t>)(</w:t>
      </w:r>
      <w:proofErr w:type="gramEnd"/>
      <w:r>
        <w:rPr>
          <w:rFonts w:ascii="Times New Roman" w:hAnsi="Times New Roman"/>
          <w:b/>
          <w:bCs/>
          <w:color w:val="000000"/>
        </w:rPr>
        <w:t>3) and (a)(4)</w:t>
      </w:r>
      <w:r>
        <w:rPr>
          <w:rFonts w:ascii="Times New Roman" w:hAnsi="Times New Roman"/>
          <w:color w:val="000000"/>
        </w:rPr>
        <w:t xml:space="preserve">.  </w:t>
      </w:r>
      <w:proofErr w:type="gramStart"/>
      <w:r>
        <w:rPr>
          <w:rFonts w:ascii="Times New Roman" w:hAnsi="Times New Roman"/>
          <w:color w:val="000000"/>
          <w:u w:val="single"/>
        </w:rPr>
        <w:t>Description of the requirements</w:t>
      </w:r>
      <w:r>
        <w:rPr>
          <w:rFonts w:ascii="Times New Roman" w:hAnsi="Times New Roman"/>
          <w:color w:val="000000"/>
        </w:rPr>
        <w:t>.</w:t>
      </w:r>
      <w:proofErr w:type="gramEnd"/>
      <w:r>
        <w:rPr>
          <w:rFonts w:ascii="Times New Roman" w:hAnsi="Times New Roman"/>
          <w:color w:val="000000"/>
        </w:rPr>
        <w:t xml:space="preserve">  Paragraph (a)(3) requires employers to train all dive team members in cardiopulmonary resuscitation and first aid (i.e., the American Red Cross standard course or equivalent), while paragraph (a)(4) specifies that employers train dive team members exposed to hyperbaric conditions, or who control exposure of other workers to such conditions, in diving-related physics and physiology.</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Ensures that dive team members know how to render emergency first-aid to diving casualties, which improves treatment outcomes.</w:t>
      </w:r>
      <w:proofErr w:type="gramEnd"/>
      <w:r>
        <w:rPr>
          <w:rFonts w:ascii="Times New Roman" w:hAnsi="Times New Roman"/>
          <w:color w:val="000000"/>
        </w:rPr>
        <w:t xml:space="preserve">  Training dive team members involved in hyperbaric operations in diving-related physics and physiology results in an understanding of how underwater barometric pressure affects the development of diving-related medical conditions such as decompression sickness (the “bends;” referred to hereafter as “DCS”) and air embolism; thereby, enabling them to prevent these conditions.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proofErr w:type="gramStart"/>
      <w:r>
        <w:rPr>
          <w:rFonts w:ascii="Times New Roman" w:hAnsi="Times New Roman"/>
          <w:b/>
          <w:bCs/>
          <w:color w:val="000000"/>
        </w:rPr>
        <w:t>§§ 1910.420(a) and (b).</w:t>
      </w:r>
      <w:proofErr w:type="gramEnd"/>
      <w:r>
        <w:rPr>
          <w:rFonts w:ascii="Times New Roman" w:hAnsi="Times New Roman"/>
          <w:b/>
          <w:bCs/>
          <w:color w:val="000000"/>
        </w:rPr>
        <w:t xml:space="preserve">  </w:t>
      </w:r>
      <w:proofErr w:type="gramStart"/>
      <w:r w:rsidRPr="00A67A0D">
        <w:rPr>
          <w:rFonts w:ascii="Times New Roman" w:hAnsi="Times New Roman"/>
          <w:bCs/>
          <w:color w:val="000000"/>
          <w:u w:val="single"/>
        </w:rPr>
        <w:t>Descr</w:t>
      </w:r>
      <w:r w:rsidRPr="00A67A0D">
        <w:rPr>
          <w:rFonts w:ascii="Times New Roman" w:hAnsi="Times New Roman"/>
          <w:color w:val="000000"/>
          <w:u w:val="single"/>
        </w:rPr>
        <w:t xml:space="preserve">iption </w:t>
      </w:r>
      <w:r>
        <w:rPr>
          <w:rFonts w:ascii="Times New Roman" w:hAnsi="Times New Roman"/>
          <w:color w:val="000000"/>
          <w:u w:val="single"/>
        </w:rPr>
        <w:t>of the requirement</w:t>
      </w:r>
      <w:r>
        <w:rPr>
          <w:rFonts w:ascii="Times New Roman" w:hAnsi="Times New Roman"/>
          <w:color w:val="000000"/>
        </w:rPr>
        <w:t>.</w:t>
      </w:r>
      <w:proofErr w:type="gramEnd"/>
      <w:r>
        <w:rPr>
          <w:rFonts w:ascii="Times New Roman" w:hAnsi="Times New Roman"/>
          <w:color w:val="000000"/>
        </w:rPr>
        <w:t xml:space="preserve">  Under paragraph (a), employers must develop and maintain a safe practices manual and make it available to each dive team member at the dive location.  Paragraph (b) requires that for each diving mode used at the dive location, the manual must contain:  Safety procedures and checklists for diving operations; assignments and responsibilities of the dive team members; equipment procedures and checklists; and emergency procedures for fire, equipment failures, adverse environmental conditions, and medical illness and injury.</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The safe practices manual ensures that dive team members are familiar with the employer’s safety and emergency procedures, the functions each member is to perform during diving operations conducted at the dive location, and how these procedures and functions relate to the requirements of the Subpart.  This knowledge enables dive team members to perform their diving-related tasks effectively and safely; thereby, reducing the risk of serious injury or death.</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1910.421(b)</w:t>
      </w:r>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Under this provision, employers are to keep at the dive location a list of telephone or call numbers for the following emergency facilities and services:  An operational decompression chamber (if such a chamber is not at the dive location); accessible hospitals; available physicians and means of emergency transportation; and the nearest U.S. Coast Guard Rescue Coordination Center.</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This list of telephone and call numbers ensures that emergency facilities and services are available to provide prompt medical care for an injured diver.</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1910.421(f)</w:t>
      </w:r>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Requires employers to brief dive team members on the diving-related tasks they are to perform, safety procedures for the diving mode used at the dive location, any unusual hazards or environmental conditions likely to affect the safety of the diving operation, and any modifications to operating procedures necessitated by the specific diving operation.  Before assigning diving-related tasks, employers must ask each dive team member about their current state of physical fitness, and inform the member about the procedure for reporting physical problems or adverse physiological effects during and after the dive.</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This requirement updates the divers’ knowledge of the diving operation, including new information regarding diving hazards and environmental conditions that may jeopardize their safety.  The assessment of a diver’s physical fitness to dive reduces the risk that they will experience medical problems while diving; information about the procedure used to report diving-related medical problems ensures that divers will obtain prompt treatment of these conditions, which will prevent the problems from becoming serious and life-threatening.</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proofErr w:type="gramStart"/>
      <w:r>
        <w:rPr>
          <w:rFonts w:ascii="Times New Roman" w:hAnsi="Times New Roman"/>
          <w:b/>
          <w:bCs/>
          <w:color w:val="000000"/>
        </w:rPr>
        <w:t>§ 1910.421(h)</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If the diving operation occurs in an area capable of supporting marine traffic and occurs from a surface other than a vessel, employers are to display a rigid replica of the international code flag “A” that is at least one meter in height so that it is visible from any direction; the employer must illuminate the flag during night diving operations.</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The flag warns transiting vessels that diving operations are underway and to avoid the diving location, thereby protecting divers from impacting with a vessel while they are underwater or swimming on the surface.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lastRenderedPageBreak/>
        <w:t>§ 1910.422(e)</w:t>
      </w:r>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Employers must develop and maintain a depth-time profile for each diver that includes, as appropriate, any breathing gas changes or decompression.</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Informs the diver regarding the depth and time parameters of the dive, which serves as the basis for determining the decompression schedule necessary to avoid diving-related medical problems.</w:t>
      </w:r>
      <w:proofErr w:type="gramEnd"/>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1910.423(b</w:t>
      </w:r>
      <w:proofErr w:type="gramStart"/>
      <w:r>
        <w:rPr>
          <w:rFonts w:ascii="Times New Roman" w:hAnsi="Times New Roman"/>
          <w:b/>
          <w:bCs/>
          <w:color w:val="000000"/>
        </w:rPr>
        <w:t>)(</w:t>
      </w:r>
      <w:proofErr w:type="gramEnd"/>
      <w:r>
        <w:rPr>
          <w:rFonts w:ascii="Times New Roman" w:hAnsi="Times New Roman"/>
          <w:b/>
          <w:bCs/>
          <w:color w:val="000000"/>
        </w:rPr>
        <w:t>1)(ii) through (b)(2)</w:t>
      </w:r>
      <w:r>
        <w:rPr>
          <w:rFonts w:ascii="Times New Roman" w:hAnsi="Times New Roman"/>
          <w:color w:val="000000"/>
        </w:rPr>
        <w:t xml:space="preserve">.  </w:t>
      </w:r>
      <w:proofErr w:type="gramStart"/>
      <w:r>
        <w:rPr>
          <w:rFonts w:ascii="Times New Roman" w:hAnsi="Times New Roman"/>
          <w:color w:val="000000"/>
          <w:u w:val="single"/>
        </w:rPr>
        <w:t>Description of the requirements</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Requires the employer to:  Instruct the diver to report any physical symptoms or adverse physiological effects, including symptoms of decompression sickness (DCS); advise the diver of the location of a decompression chamber that is ready for use; and alert the diver to the potential hazards of flying after diving.</w:t>
      </w:r>
      <w:proofErr w:type="gramEnd"/>
      <w:r>
        <w:rPr>
          <w:rFonts w:ascii="Times New Roman" w:hAnsi="Times New Roman"/>
          <w:color w:val="000000"/>
        </w:rPr>
        <w:t xml:space="preserve">  For any dive outside the no-decompression limits, deeper than 100 feet, or that uses mixed gas in the breathing mixture, the employer must also inform the diver to remain awake and in the vicinity of the decompression chamber that is at the dive location for at least one hour after the dive or any decompression or treatment associated with the dive.</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This information allows the diver to recognize diving-related medical problems, receive prompt treatment for such problems at the available decompression chamber, and alerts them to a condition (i.e., flying) that increases the risk of DCS.  For divers involved in dives that increase the risk of DCS (i.e., dives outside the no-decompression limits, deeper than 100 feet, or that use mixed gas in the breathing mixture), informing them to remain awake and near the decompression chamber for one hour after the dive enables them to receive prompt and effective treatment for DCS should it occur.</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proofErr w:type="gramStart"/>
      <w:r>
        <w:rPr>
          <w:rFonts w:ascii="Times New Roman" w:hAnsi="Times New Roman"/>
          <w:b/>
          <w:bCs/>
          <w:color w:val="000000"/>
        </w:rPr>
        <w:t>§ 1910.423(d)</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Paragraph (d)(1) specifies that employers are to record and maintain the following information for each diving operation:  The names of dive- team members; date, time, and location; diving modes used; general description of the tasks performed; an estimate of the underwater and surface conditions; and the maximum depth and bottom time for each diver.  In addition, for each dive outside the no-decompression limits, deeper than 100 feet, or that uses mixed gas in the breathing mixture, paragraph (d</w:t>
      </w:r>
      <w:proofErr w:type="gramStart"/>
      <w:r>
        <w:rPr>
          <w:rFonts w:ascii="Times New Roman" w:hAnsi="Times New Roman"/>
          <w:color w:val="000000"/>
        </w:rPr>
        <w:t>)(</w:t>
      </w:r>
      <w:proofErr w:type="gramEnd"/>
      <w:r>
        <w:rPr>
          <w:rFonts w:ascii="Times New Roman" w:hAnsi="Times New Roman"/>
          <w:color w:val="000000"/>
        </w:rPr>
        <w:t>2) requires the employer to record and maintain the following information for each diver:  Depth-time and breathing gas profiles; decompression table designation (including any modifications); and elapsed time since the last pressure exposure if less than 24 hours or the repetitive dive designation.  Under paragraph (d)(3), if the dive results in DCS symptoms, or the employer suspects that a diver has DCS, the employer must record and maintain a description of the DCS symptoms (including the depth and time of symptom onset) and the results of treatment.</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This information permits appropriate and effective treatment of a diver should DCS occur after a dive or should the diver have a relapse of DCS after initial treatment, thereby preventing the condition from resulting in a serious injury or death.  Maintaining these records ensures that the information is available for use by:  The party involved in treatment if the diver </w:t>
      </w:r>
      <w:r>
        <w:rPr>
          <w:rFonts w:ascii="Times New Roman" w:hAnsi="Times New Roman"/>
          <w:color w:val="000000"/>
        </w:rPr>
        <w:lastRenderedPageBreak/>
        <w:t>experiences late-onset DCS or a subsequent relapse after treatment; and the employer for assessing the DCS incident (see § 1910.423(e) below).</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1910.423(e)</w:t>
      </w:r>
      <w:r>
        <w:rPr>
          <w:rFonts w:ascii="Times New Roman" w:hAnsi="Times New Roman"/>
          <w:color w:val="000000"/>
        </w:rPr>
        <w:t xml:space="preserve">.  </w:t>
      </w:r>
      <w:proofErr w:type="gramStart"/>
      <w:r>
        <w:rPr>
          <w:rFonts w:ascii="Times New Roman" w:hAnsi="Times New Roman"/>
          <w:color w:val="000000"/>
          <w:u w:val="single"/>
        </w:rPr>
        <w:t>Description of the requirement</w:t>
      </w:r>
      <w:r>
        <w:rPr>
          <w:rFonts w:ascii="Times New Roman" w:hAnsi="Times New Roman"/>
          <w:color w:val="000000"/>
        </w:rPr>
        <w:t>.</w:t>
      </w:r>
      <w:proofErr w:type="gramEnd"/>
      <w:r>
        <w:rPr>
          <w:rFonts w:ascii="Times New Roman" w:hAnsi="Times New Roman"/>
          <w:color w:val="000000"/>
        </w:rPr>
        <w:t xml:space="preserve">  Requires employers to assess each DCS incident by:  Investigating and evaluating it based on the recorded information, consideration of the past performance of the decompression profile used, and the diver’s individual susceptibility to DCS; taking appropriate corrective action to reduce the probability of a DCS recurrence; and, within 45 days of the DCS incident, preparing a written evaluation of this assessment, including any corrective action taken.</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A written assessment enables employers to identify salient variables in existing decompression procedures that may be responsible for the DCS </w:t>
      </w:r>
      <w:proofErr w:type="gramStart"/>
      <w:r>
        <w:rPr>
          <w:rFonts w:ascii="Times New Roman" w:hAnsi="Times New Roman"/>
          <w:color w:val="000000"/>
        </w:rPr>
        <w:t>incident,</w:t>
      </w:r>
      <w:proofErr w:type="gramEnd"/>
      <w:r>
        <w:rPr>
          <w:rFonts w:ascii="Times New Roman" w:hAnsi="Times New Roman"/>
          <w:color w:val="000000"/>
        </w:rPr>
        <w:t xml:space="preserve"> to document modifications of these variables that they believe will reduce the occurrence of DCS, and to evaluate the effectiveness of these modifications during subsequent diving operations. Systematic assessment of decompression procedures in this manner reduces the incidence of DCS, which improves the safety of decompression procedures used by employers and protects divers from the serious and deadly effects of DCS.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1910.430(a), (b)(4), (c)(1)(iii), (c)(3)(i), (f)(3)(ii), and (g)(2)</w:t>
      </w:r>
      <w:r>
        <w:rPr>
          <w:rFonts w:ascii="Times New Roman" w:hAnsi="Times New Roman"/>
          <w:color w:val="000000"/>
        </w:rPr>
        <w:t xml:space="preserve">.  </w:t>
      </w:r>
      <w:proofErr w:type="gramStart"/>
      <w:r>
        <w:rPr>
          <w:rFonts w:ascii="Times New Roman" w:hAnsi="Times New Roman"/>
          <w:color w:val="000000"/>
          <w:u w:val="single"/>
        </w:rPr>
        <w:t>Description of the requirements</w:t>
      </w:r>
      <w:r>
        <w:rPr>
          <w:rFonts w:ascii="Times New Roman" w:hAnsi="Times New Roman"/>
          <w:color w:val="000000"/>
        </w:rPr>
        <w:t>.</w:t>
      </w:r>
      <w:proofErr w:type="gramEnd"/>
      <w:r>
        <w:rPr>
          <w:rFonts w:ascii="Times New Roman" w:hAnsi="Times New Roman"/>
          <w:color w:val="000000"/>
        </w:rPr>
        <w:t xml:space="preserve">  Paragraph (a) contains a general requirement that employers must record by means of tagging or a logging system any work performed on equipment, including any modifications, repairs, tests, calibrations, or maintenance performed on the equipment.  This record is to include a description of the work, the name or initials of the individual who performed the work, and the date they completed the work.</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Paragraphs (b</w:t>
      </w:r>
      <w:proofErr w:type="gramStart"/>
      <w:r>
        <w:rPr>
          <w:rFonts w:ascii="Times New Roman" w:hAnsi="Times New Roman"/>
          <w:color w:val="000000"/>
        </w:rPr>
        <w:t>)(</w:t>
      </w:r>
      <w:proofErr w:type="gramEnd"/>
      <w:r>
        <w:rPr>
          <w:rFonts w:ascii="Times New Roman" w:hAnsi="Times New Roman"/>
          <w:color w:val="000000"/>
        </w:rPr>
        <w:t>4) and (c)(1)(iii) require employers to test two specific types of equipment, including, respectively:  The output of air compressor systems used to supply breathing air to divers for air purity every six months by means of samples taken at the connection to the distribution system; and breathing-gas hoses at least annually at one and one-half times their working pressure.  Under paragraph (c)(3)(i), employers must mark each umbilical (i.e., separate lines supplying air and communications to a diver, as well as a safety line, tied together in a bundle), beginning at the diver’s end, in 10-foot increments for 100 feet, then in 50-foot increments.  Paragraph (f</w:t>
      </w:r>
      <w:proofErr w:type="gramStart"/>
      <w:r>
        <w:rPr>
          <w:rFonts w:ascii="Times New Roman" w:hAnsi="Times New Roman"/>
          <w:color w:val="000000"/>
        </w:rPr>
        <w:t>)(</w:t>
      </w:r>
      <w:proofErr w:type="gramEnd"/>
      <w:r>
        <w:rPr>
          <w:rFonts w:ascii="Times New Roman" w:hAnsi="Times New Roman"/>
          <w:color w:val="000000"/>
        </w:rPr>
        <w:t>3)(ii) mandates that employers regularly inspect and maintain mufflers located in intake and exhaust lines on decompression chambers.  According to paragraph (g)(2), employers are to test depth gauges using dead-weight testing, or calibrate the gauges against a master reference gauge; such testing or calibration is to occur every six months or if the employer finds a discrepancy larger than two percent of the full scale between any two equivalent gauges.  Employers must make a record of the tests, calibrations, inspections, and maintenance performed on the equipment specified by these paragraphs in accordance with § 1910.430(a).</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The records required by paragraph (a) (and generated by work performed under paragraphs (b</w:t>
      </w:r>
      <w:proofErr w:type="gramStart"/>
      <w:r>
        <w:rPr>
          <w:rFonts w:ascii="Times New Roman" w:hAnsi="Times New Roman"/>
          <w:color w:val="000000"/>
        </w:rPr>
        <w:t>)(</w:t>
      </w:r>
      <w:proofErr w:type="gramEnd"/>
      <w:r>
        <w:rPr>
          <w:rFonts w:ascii="Times New Roman" w:hAnsi="Times New Roman"/>
          <w:color w:val="000000"/>
        </w:rPr>
        <w:t xml:space="preserve">4), (c)(1)(iii), (f)(3)(ii), and (g)(2)) permit employers and workers to </w:t>
      </w:r>
      <w:r>
        <w:rPr>
          <w:rFonts w:ascii="Times New Roman" w:hAnsi="Times New Roman"/>
          <w:color w:val="000000"/>
        </w:rPr>
        <w:lastRenderedPageBreak/>
        <w:t>determine the operating condition of diving equipment before placing it in service.  By using only equipment that these records demonstrate is in safe working order, employers and workers will prevent severe injury and death during diving operations.  Additionally, marking umbilicals as required by paragraph (c)(3)(i) permits diving supervisors and the workers who are tending a diver to determine the diver’s depth, which ensures that the diver undergoes proper decompression as specified by the depth-time profile of the dive; by undergoing proper decompression, the diver avoids DCS.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1910.440(a</w:t>
      </w:r>
      <w:proofErr w:type="gramStart"/>
      <w:r>
        <w:rPr>
          <w:rFonts w:ascii="Times New Roman" w:hAnsi="Times New Roman"/>
          <w:b/>
          <w:bCs/>
          <w:color w:val="000000"/>
        </w:rPr>
        <w:t>)(</w:t>
      </w:r>
      <w:proofErr w:type="gramEnd"/>
      <w:r>
        <w:rPr>
          <w:rFonts w:ascii="Times New Roman" w:hAnsi="Times New Roman"/>
          <w:b/>
          <w:bCs/>
          <w:color w:val="000000"/>
        </w:rPr>
        <w:t>2) and (b)</w:t>
      </w:r>
      <w:r>
        <w:rPr>
          <w:rFonts w:ascii="Times New Roman" w:hAnsi="Times New Roman"/>
          <w:color w:val="000000"/>
        </w:rPr>
        <w:t xml:space="preserve">.  </w:t>
      </w:r>
      <w:proofErr w:type="gramStart"/>
      <w:r>
        <w:rPr>
          <w:rFonts w:ascii="Times New Roman" w:hAnsi="Times New Roman"/>
          <w:color w:val="000000"/>
          <w:u w:val="single"/>
        </w:rPr>
        <w:t>Description of the requirements</w:t>
      </w:r>
      <w:r>
        <w:rPr>
          <w:rFonts w:ascii="Times New Roman" w:hAnsi="Times New Roman"/>
          <w:color w:val="000000"/>
        </w:rPr>
        <w:t>.</w:t>
      </w:r>
      <w:proofErr w:type="gramEnd"/>
      <w:r>
        <w:rPr>
          <w:rFonts w:ascii="Times New Roman" w:hAnsi="Times New Roman"/>
          <w:color w:val="000000"/>
        </w:rPr>
        <w:t xml:space="preserve">  Under paragraph (a</w:t>
      </w:r>
      <w:proofErr w:type="gramStart"/>
      <w:r>
        <w:rPr>
          <w:rFonts w:ascii="Times New Roman" w:hAnsi="Times New Roman"/>
          <w:color w:val="000000"/>
        </w:rPr>
        <w:t>)(</w:t>
      </w:r>
      <w:proofErr w:type="gramEnd"/>
      <w:r>
        <w:rPr>
          <w:rFonts w:ascii="Times New Roman" w:hAnsi="Times New Roman"/>
          <w:color w:val="000000"/>
        </w:rPr>
        <w:t>2) of this provision, employers must record any diving-related injuries or illnesses that result in a dive-team member remaining in hospital for at least 24 hours.  This record is to describe the circumstances of the incident and the extent of any injuries or illnesses.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Paragraph (b) of this provision regulates the availability of the records required by the Subpart, including who has access to these records, the retention periods for various records, and, in some cases, the final disposition of the records.  Under paragraph (b)(1), employers must make any record required by the Subpart available, on request, for inspection and copying to an OSHA compliance officer or to a representative of the National Institute for Occupational Safety and Health (NIOSH).  Paragraph (b)(2) specifies that employers are to provide workers, their designated representatives, and OSHA compliance officers with exposure and medical records generated under the Subpart in accordance with § 1910.1020 (“Access to worker exposure and medical records”); these records include safe practices manuals, depth-time profiles, diving records, DCS incident assessments, and hospitalization records.  This paragraph also mandates that employers make equipment inspection and testing records available to workers and their designated representative on request.</w:t>
      </w:r>
    </w:p>
    <w:p w:rsidR="00AF6229" w:rsidRDefault="00AF6229" w:rsidP="00AF6229">
      <w:pPr>
        <w:widowControl/>
        <w:rPr>
          <w:rFonts w:ascii="Times New Roman" w:hAnsi="Times New Roman"/>
          <w:color w:val="000000"/>
        </w:rPr>
      </w:pPr>
      <w:r>
        <w:rPr>
          <w:rFonts w:ascii="Times New Roman" w:hAnsi="Times New Roman"/>
          <w:color w:val="000000"/>
        </w:rPr>
        <w:t xml:space="preserve">According to paragraph (b)(3), employers must retain these records for the following periods:  Safe practices manuals, current document only; depth-time profiles, until completing the diving record or the DCS incident assessment; diving records, one year, except five years if a DCS incident occurred during the dive; DCS incident assessments, five years; hospitalization records, five years; and equipment inspections and testing records, current tag or log entry until the employer removes the equipment from service.  </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proofErr w:type="gramStart"/>
      <w:r>
        <w:rPr>
          <w:rFonts w:ascii="Times New Roman" w:hAnsi="Times New Roman"/>
          <w:color w:val="000000"/>
          <w:u w:val="single"/>
        </w:rPr>
        <w:t>Use and purpose</w:t>
      </w:r>
      <w:r>
        <w:rPr>
          <w:rFonts w:ascii="Times New Roman" w:hAnsi="Times New Roman"/>
          <w:color w:val="000000"/>
        </w:rPr>
        <w:t>.</w:t>
      </w:r>
      <w:proofErr w:type="gramEnd"/>
      <w:r>
        <w:rPr>
          <w:rFonts w:ascii="Times New Roman" w:hAnsi="Times New Roman"/>
          <w:color w:val="000000"/>
        </w:rPr>
        <w:t xml:space="preserve">  The hospitalization records required under paragraph (a)(2) will assist employers and workers in determining which depth-time diving profiles and associated decompression procedures are especially hazardous; thereby, permitting employers to modify these procedures to prevent DCS and other medical problems.  Regarding the record availability requirements of paragraphs (b</w:t>
      </w:r>
      <w:proofErr w:type="gramStart"/>
      <w:r>
        <w:rPr>
          <w:rFonts w:ascii="Times New Roman" w:hAnsi="Times New Roman"/>
          <w:color w:val="000000"/>
        </w:rPr>
        <w:t>)(</w:t>
      </w:r>
      <w:proofErr w:type="gramEnd"/>
      <w:r>
        <w:rPr>
          <w:rFonts w:ascii="Times New Roman" w:hAnsi="Times New Roman"/>
          <w:color w:val="000000"/>
        </w:rPr>
        <w:t>1) and (b)(2), OSHA compliance officers use these records as an efficient means of assessing employer compliance with the major requirements of the Subpart</w:t>
      </w:r>
      <w:r w:rsidRPr="00102F51">
        <w:rPr>
          <w:rFonts w:ascii="Times New Roman" w:hAnsi="Times New Roman"/>
          <w:color w:val="000000"/>
        </w:rPr>
        <w:t>.</w:t>
      </w:r>
      <w:r>
        <w:rPr>
          <w:rFonts w:ascii="Times New Roman" w:hAnsi="Times New Roman"/>
          <w:color w:val="000000"/>
        </w:rPr>
        <w:t xml:space="preserve">  Workers and their designated representatives use the records to assess the safety of an employer’s diving procedures, and to determine if equipment is in safe working order.</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 xml:space="preserve">The record retention periods specified by paragraph (b)(3) reinforce the requirements of paragraphs (b)(1) and (b)(2) by allowing an adequate period to inspect records for compliance </w:t>
      </w:r>
      <w:r>
        <w:rPr>
          <w:rFonts w:ascii="Times New Roman" w:hAnsi="Times New Roman"/>
          <w:color w:val="000000"/>
        </w:rPr>
        <w:lastRenderedPageBreak/>
        <w:t xml:space="preserve">purposes, to review them in determining if equipment is in safe working order, and to analyze them when assessing the safety of existing diving procedures or developing improved procedures.  </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b/>
          <w:bCs/>
          <w:color w:val="000000"/>
          <w:sz w:val="20"/>
          <w:szCs w:val="20"/>
        </w:rPr>
      </w:pPr>
      <w:r>
        <w:rPr>
          <w:rFonts w:ascii="Times New Roman" w:hAnsi="Times New Roman"/>
          <w:b/>
          <w:bCs/>
          <w:color w:val="000000"/>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Employers may use any available technology to provide the required information.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b/>
          <w:bCs/>
          <w:color w:val="000000"/>
          <w:sz w:val="20"/>
          <w:szCs w:val="20"/>
        </w:rPr>
      </w:pPr>
      <w:r>
        <w:rPr>
          <w:rFonts w:ascii="Times New Roman" w:hAnsi="Times New Roman"/>
          <w:b/>
          <w:bCs/>
          <w:color w:val="000000"/>
          <w:sz w:val="20"/>
          <w:szCs w:val="20"/>
        </w:rPr>
        <w:t xml:space="preserve"> 4.  Describe efforts to identify duplication.  Show specifically why any similar information already available cannot be used or modified for use for the purposes described in Item A.2 above.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Both OSHA and the U.S. Coast Guard (USCG) have jurisdiction over diving operations; however, their respective jurisdictions are different, thereby avoiding regulatory duplication.  Therefore, the information collection requirements of the Subpart are not duplicated by the USCG or any other source or agency, nor can the USCG or any other source or agency make the required information available to OSHA (i.e., this information is specific to each employer involved and is available only from these employers).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sz w:val="20"/>
          <w:szCs w:val="20"/>
        </w:rPr>
        <w:t xml:space="preserve"> 5.  If the collection of information impacts small businesses or other small entities, describe the methods used to reduce the burden.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s="Shruti"/>
          <w:color w:val="000000"/>
        </w:rPr>
        <w:t>The information collection requirements specified by the Subpart do not have a significant impact on a substantial number of small entities.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b/>
          <w:bCs/>
          <w:color w:val="000000"/>
          <w:sz w:val="20"/>
          <w:szCs w:val="20"/>
        </w:rPr>
      </w:pPr>
      <w:r>
        <w:rPr>
          <w:rFonts w:ascii="Times New Roman" w:hAnsi="Times New Roman"/>
          <w:b/>
          <w:bCs/>
          <w:color w:val="000000"/>
          <w:sz w:val="20"/>
          <w:szCs w:val="20"/>
        </w:rPr>
        <w:t xml:space="preserve"> 6.  Describe the consequence to Federal program or policy activities if the collection is or is not conducted less frequently, and any technical or legal obstacles to reducing the burden.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The Agency believes that the information collection frequencies required by the Subpart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required information collections, or delay in providing this information, workers may be at risk of serious injuries or death during diving operations.</w:t>
      </w:r>
    </w:p>
    <w:p w:rsidR="00AF6229" w:rsidRDefault="00AF6229" w:rsidP="00AF6229">
      <w:pPr>
        <w:widowControl/>
        <w:rPr>
          <w:rFonts w:ascii="Times New Roman" w:hAnsi="Times New Roman"/>
          <w:b/>
          <w:bCs/>
          <w:color w:val="000000"/>
          <w:sz w:val="20"/>
          <w:szCs w:val="20"/>
        </w:rPr>
      </w:pPr>
    </w:p>
    <w:p w:rsidR="00AF6229" w:rsidRDefault="00AF6229" w:rsidP="00AF6229">
      <w:pPr>
        <w:widowControl/>
        <w:rPr>
          <w:rFonts w:ascii="Times New Roman" w:hAnsi="Times New Roman"/>
          <w:b/>
          <w:bCs/>
          <w:color w:val="000000"/>
          <w:sz w:val="20"/>
          <w:szCs w:val="20"/>
        </w:rPr>
      </w:pPr>
      <w:r>
        <w:rPr>
          <w:rFonts w:ascii="Times New Roman" w:hAnsi="Times New Roman"/>
          <w:b/>
          <w:bCs/>
          <w:color w:val="000000"/>
          <w:sz w:val="20"/>
          <w:szCs w:val="20"/>
        </w:rPr>
        <w:t xml:space="preserve"> 7.  Explain any special circumstances that would cause an information collection to be conducted in a manner:</w:t>
      </w:r>
    </w:p>
    <w:p w:rsidR="00AF6229" w:rsidRDefault="00AF6229" w:rsidP="00AF6229">
      <w:pPr>
        <w:widowControl/>
        <w:rPr>
          <w:rFonts w:ascii="Times New Roman" w:hAnsi="Times New Roman"/>
          <w:color w:val="000000"/>
          <w:sz w:val="22"/>
          <w:szCs w:val="22"/>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requiring respondents to report information to the Agency more often than quarterly;</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requiring respondents to prepare a written response to a collection of information in fewer than 30 days after receipt of it;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requiring respondents to submit more than an original and two copies of any document;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lastRenderedPageBreak/>
        <w:t>requiring respondents to retain records, other than health, medical, government contract, grant-in-aid, or tax records for more than three years;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in connection with a statistical survey that is not designed to produce valid and reliable results that can be generalized to the universe of study;</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 </w:t>
      </w: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requiring the use of statistical data classification that has not been reviewed and approved by OMB;</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requiring respondents to submit proprietary trade secret, or other confidential information unless the Agency can prove that it has instituted procedures to protect the information's confidentially to the extent permitted by law.</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rPr>
          <w:rFonts w:ascii="Times New Roman" w:hAnsi="Times New Roman"/>
          <w:color w:val="000000"/>
        </w:rPr>
      </w:pPr>
      <w:r>
        <w:rPr>
          <w:rFonts w:ascii="Times New Roman" w:hAnsi="Times New Roman"/>
          <w:color w:val="000000"/>
        </w:rPr>
        <w:t>Section</w:t>
      </w:r>
      <w:r>
        <w:rPr>
          <w:rFonts w:ascii="Times New Roman" w:hAnsi="Times New Roman"/>
          <w:bCs/>
          <w:color w:val="000000"/>
        </w:rPr>
        <w:t xml:space="preserve"> 1910.401(b)</w:t>
      </w:r>
      <w:r>
        <w:rPr>
          <w:rFonts w:ascii="Times New Roman" w:hAnsi="Times New Roman"/>
          <w:color w:val="000000"/>
        </w:rPr>
        <w:t>, allows employers to deviate from the requirements of the Subpart to the extent necessary to prevent or minimize a situation that is likely to cause death, serious physical harm, or major environmental damage (but not situations in which purely economic or property damage is likely to occur).  Employers must notify the OSHA Area Director within 48 hours of taking such action.  This notification must describe the situation responsible for the deviation and the extent of the deviation from the requirements.  On request of the Area Director, employers must submit this information in writing</w:t>
      </w:r>
    </w:p>
    <w:p w:rsidR="002008ED" w:rsidRDefault="002008ED"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 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w:t>
      </w:r>
    </w:p>
    <w:p w:rsidR="002008ED" w:rsidRDefault="002008ED"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A5B09" w:rsidRDefault="002008ED" w:rsidP="002008ED">
      <w:pPr>
        <w:rPr>
          <w:rFonts w:ascii="Times New Roman" w:hAnsi="Times New Roman"/>
        </w:rPr>
      </w:pPr>
      <w:r w:rsidRPr="002B6585">
        <w:rPr>
          <w:rFonts w:ascii="Times New Roman" w:hAnsi="Times New Roman"/>
        </w:rPr>
        <w:t>As required by the Paperwork Reduction Act of 1995 (44 U.S.C.3506 (c</w:t>
      </w:r>
      <w:proofErr w:type="gramStart"/>
      <w:r w:rsidRPr="002B6585">
        <w:rPr>
          <w:rFonts w:ascii="Times New Roman" w:hAnsi="Times New Roman"/>
        </w:rPr>
        <w:t>)(</w:t>
      </w:r>
      <w:proofErr w:type="gramEnd"/>
      <w:r w:rsidRPr="002B6585">
        <w:rPr>
          <w:rFonts w:ascii="Times New Roman" w:hAnsi="Times New Roman"/>
        </w:rPr>
        <w:t xml:space="preserve">2)(A)), OSHA published a notice in the </w:t>
      </w:r>
      <w:r w:rsidRPr="002B6585">
        <w:rPr>
          <w:rFonts w:ascii="Times New Roman" w:hAnsi="Times New Roman"/>
          <w:bCs/>
        </w:rPr>
        <w:t>Federal Register on April 7, 2015 (80 FR 18647) soliciting public comments on its proposed extension of the information collection requirements contained in</w:t>
      </w:r>
      <w:r w:rsidRPr="002B6585">
        <w:rPr>
          <w:rFonts w:ascii="Times New Roman" w:hAnsi="Times New Roman"/>
        </w:rPr>
        <w:t xml:space="preserve"> the Commercial Diving Operations Standard </w:t>
      </w:r>
      <w:r w:rsidRPr="002B6585">
        <w:rPr>
          <w:rFonts w:ascii="Times New Roman" w:hAnsi="Times New Roman"/>
          <w:b/>
          <w:bCs/>
        </w:rPr>
        <w:t>(</w:t>
      </w:r>
      <w:r w:rsidRPr="002B6585">
        <w:rPr>
          <w:rFonts w:ascii="Times New Roman" w:hAnsi="Times New Roman"/>
        </w:rPr>
        <w:t>29 CFR part 1910, subpart T)</w:t>
      </w:r>
      <w:r w:rsidR="007F0CB8">
        <w:rPr>
          <w:rFonts w:ascii="Times New Roman" w:hAnsi="Times New Roman"/>
        </w:rPr>
        <w:t xml:space="preserve"> (</w:t>
      </w:r>
      <w:hyperlink r:id="rId9" w:history="1">
        <w:r w:rsidR="007F0CB8" w:rsidRPr="00745B7B">
          <w:rPr>
            <w:rStyle w:val="Hyperlink"/>
            <w:rFonts w:ascii="Times New Roman" w:hAnsi="Times New Roman"/>
          </w:rPr>
          <w:t>www.regulations.gov</w:t>
        </w:r>
      </w:hyperlink>
      <w:r w:rsidR="00EF0178">
        <w:rPr>
          <w:rStyle w:val="Hyperlink"/>
          <w:rFonts w:ascii="Times New Roman" w:hAnsi="Times New Roman"/>
        </w:rPr>
        <w:t>,</w:t>
      </w:r>
      <w:r w:rsidR="007F0CB8">
        <w:rPr>
          <w:rFonts w:ascii="Times New Roman" w:hAnsi="Times New Roman"/>
        </w:rPr>
        <w:t xml:space="preserve"> docket number OSHA-2011-0008). </w:t>
      </w:r>
      <w:r w:rsidRPr="002B6585">
        <w:rPr>
          <w:rFonts w:ascii="Times New Roman" w:hAnsi="Times New Roman"/>
        </w:rPr>
        <w:t xml:space="preserve"> The notice was part of a preclearance consultation program intended to provide those interested parties the opportuni</w:t>
      </w:r>
      <w:r w:rsidR="006A13FF">
        <w:rPr>
          <w:rFonts w:ascii="Times New Roman" w:hAnsi="Times New Roman"/>
        </w:rPr>
        <w:t xml:space="preserve">ty to comment on OSHA’s </w:t>
      </w:r>
      <w:r w:rsidR="00EF0178">
        <w:rPr>
          <w:rFonts w:ascii="Times New Roman" w:hAnsi="Times New Roman"/>
        </w:rPr>
        <w:t xml:space="preserve">request </w:t>
      </w:r>
      <w:r w:rsidRPr="002B6585">
        <w:rPr>
          <w:rFonts w:ascii="Times New Roman" w:hAnsi="Times New Roman"/>
        </w:rPr>
        <w:t>for an extension by the Office of Management and Budget (OMB) of a previous approval of the information collection requirements found in the above standard.  The Agency receive</w:t>
      </w:r>
      <w:r>
        <w:rPr>
          <w:rFonts w:ascii="Times New Roman" w:hAnsi="Times New Roman"/>
        </w:rPr>
        <w:t>d</w:t>
      </w:r>
      <w:r w:rsidR="007F0CB8">
        <w:rPr>
          <w:rFonts w:ascii="Times New Roman" w:hAnsi="Times New Roman"/>
        </w:rPr>
        <w:t xml:space="preserve"> the </w:t>
      </w:r>
      <w:r w:rsidR="009A5B09">
        <w:rPr>
          <w:rFonts w:ascii="Times New Roman" w:hAnsi="Times New Roman"/>
        </w:rPr>
        <w:t>following five</w:t>
      </w:r>
      <w:r>
        <w:rPr>
          <w:rFonts w:ascii="Times New Roman" w:hAnsi="Times New Roman"/>
        </w:rPr>
        <w:t xml:space="preserve"> </w:t>
      </w:r>
      <w:r w:rsidRPr="002B6585">
        <w:rPr>
          <w:rFonts w:ascii="Times New Roman" w:hAnsi="Times New Roman"/>
        </w:rPr>
        <w:t>comment</w:t>
      </w:r>
      <w:r>
        <w:rPr>
          <w:rFonts w:ascii="Times New Roman" w:hAnsi="Times New Roman"/>
        </w:rPr>
        <w:t>s</w:t>
      </w:r>
      <w:r w:rsidRPr="002B6585">
        <w:rPr>
          <w:rFonts w:ascii="Times New Roman" w:hAnsi="Times New Roman"/>
        </w:rPr>
        <w:t xml:space="preserve"> in response to its notice</w:t>
      </w:r>
      <w:r w:rsidR="009A5B09">
        <w:rPr>
          <w:rFonts w:ascii="Times New Roman" w:hAnsi="Times New Roman"/>
        </w:rPr>
        <w:t xml:space="preserve"> (Name, Organization Name</w:t>
      </w:r>
      <w:r w:rsidR="007F0CB8">
        <w:rPr>
          <w:rFonts w:ascii="Times New Roman" w:hAnsi="Times New Roman"/>
        </w:rPr>
        <w:t xml:space="preserve">, followed by docket ID number): </w:t>
      </w:r>
    </w:p>
    <w:p w:rsidR="009A5B09" w:rsidRDefault="009A5B09" w:rsidP="002008ED">
      <w:pPr>
        <w:rPr>
          <w:rFonts w:ascii="Times New Roman" w:hAnsi="Times New Roman"/>
        </w:rPr>
      </w:pPr>
    </w:p>
    <w:p w:rsidR="009A5B09" w:rsidRDefault="007F0CB8" w:rsidP="009A5B09">
      <w:pPr>
        <w:ind w:firstLine="720"/>
        <w:rPr>
          <w:rFonts w:ascii="Times New Roman" w:hAnsi="Times New Roman"/>
        </w:rPr>
      </w:pPr>
      <w:r>
        <w:rPr>
          <w:rFonts w:ascii="Times New Roman" w:hAnsi="Times New Roman"/>
        </w:rPr>
        <w:t>Roat, John Carl; Private Citizen</w:t>
      </w:r>
      <w:r w:rsidR="009A5B09">
        <w:rPr>
          <w:rFonts w:ascii="Times New Roman" w:hAnsi="Times New Roman"/>
        </w:rPr>
        <w:t>,</w:t>
      </w:r>
      <w:r>
        <w:rPr>
          <w:rFonts w:ascii="Times New Roman" w:hAnsi="Times New Roman"/>
        </w:rPr>
        <w:t xml:space="preserve"> OSHA-2011-0008-0017; </w:t>
      </w:r>
    </w:p>
    <w:p w:rsidR="009A5B09" w:rsidRDefault="007F0CB8" w:rsidP="009A5B09">
      <w:pPr>
        <w:ind w:firstLine="720"/>
        <w:rPr>
          <w:rFonts w:ascii="Times New Roman" w:hAnsi="Times New Roman"/>
        </w:rPr>
      </w:pPr>
      <w:r>
        <w:rPr>
          <w:rFonts w:ascii="Times New Roman" w:hAnsi="Times New Roman"/>
        </w:rPr>
        <w:t xml:space="preserve">Delise, Bobby; Divers Association </w:t>
      </w:r>
      <w:r w:rsidR="009A5B09">
        <w:rPr>
          <w:rFonts w:ascii="Times New Roman" w:hAnsi="Times New Roman"/>
        </w:rPr>
        <w:t>International, OSHA-2011-0008-0018;</w:t>
      </w:r>
    </w:p>
    <w:p w:rsidR="009A5B09" w:rsidRDefault="009A5B09" w:rsidP="009A5B09">
      <w:pPr>
        <w:ind w:firstLine="720"/>
        <w:rPr>
          <w:rFonts w:ascii="Times New Roman" w:hAnsi="Times New Roman"/>
        </w:rPr>
      </w:pPr>
      <w:r>
        <w:rPr>
          <w:rFonts w:ascii="Times New Roman" w:hAnsi="Times New Roman"/>
        </w:rPr>
        <w:t>Joly, John; Private Citizen, OSHA-2011-0008-0019;</w:t>
      </w:r>
    </w:p>
    <w:p w:rsidR="009A5B09" w:rsidRDefault="009A5B09" w:rsidP="009A5B09">
      <w:pPr>
        <w:ind w:firstLine="720"/>
        <w:rPr>
          <w:rFonts w:ascii="Times New Roman" w:hAnsi="Times New Roman"/>
        </w:rPr>
      </w:pPr>
      <w:r>
        <w:rPr>
          <w:rFonts w:ascii="Times New Roman" w:hAnsi="Times New Roman"/>
        </w:rPr>
        <w:t>Schaefer, Louis; Legacy Offshore, OSHA-2011-0008-0020;</w:t>
      </w:r>
      <w:r w:rsidR="00EF0178">
        <w:rPr>
          <w:rFonts w:ascii="Times New Roman" w:hAnsi="Times New Roman"/>
        </w:rPr>
        <w:t xml:space="preserve"> and</w:t>
      </w:r>
    </w:p>
    <w:p w:rsidR="009A5B09" w:rsidRDefault="009A5B09" w:rsidP="009A5B09">
      <w:pPr>
        <w:ind w:firstLine="720"/>
        <w:rPr>
          <w:rFonts w:ascii="Times New Roman" w:hAnsi="Times New Roman"/>
        </w:rPr>
      </w:pPr>
      <w:r>
        <w:rPr>
          <w:rFonts w:ascii="Times New Roman" w:hAnsi="Times New Roman"/>
        </w:rPr>
        <w:t>Roat, John; Priva</w:t>
      </w:r>
      <w:r w:rsidR="00EF0178">
        <w:rPr>
          <w:rFonts w:ascii="Times New Roman" w:hAnsi="Times New Roman"/>
        </w:rPr>
        <w:t>te Citizen, OSHA-2011-0008-0021</w:t>
      </w:r>
    </w:p>
    <w:p w:rsidR="009A5B09" w:rsidRDefault="009A5B09" w:rsidP="009A5B09">
      <w:pPr>
        <w:ind w:firstLine="720"/>
        <w:rPr>
          <w:rFonts w:ascii="Times New Roman" w:hAnsi="Times New Roman"/>
        </w:rPr>
      </w:pPr>
    </w:p>
    <w:p w:rsidR="002008ED" w:rsidRDefault="009A5B09" w:rsidP="009A5B09">
      <w:pPr>
        <w:rPr>
          <w:rFonts w:ascii="Times New Roman" w:hAnsi="Times New Roman"/>
        </w:rPr>
      </w:pPr>
      <w:r>
        <w:rPr>
          <w:rFonts w:ascii="Times New Roman" w:hAnsi="Times New Roman"/>
        </w:rPr>
        <w:t>N</w:t>
      </w:r>
      <w:r w:rsidR="002008ED">
        <w:rPr>
          <w:rFonts w:ascii="Times New Roman" w:hAnsi="Times New Roman"/>
        </w:rPr>
        <w:t>one of the comments provided specific details on the existing collection of information requirements; therefore</w:t>
      </w:r>
      <w:r w:rsidR="00EF0178">
        <w:rPr>
          <w:rFonts w:ascii="Times New Roman" w:hAnsi="Times New Roman"/>
        </w:rPr>
        <w:t>,</w:t>
      </w:r>
      <w:r w:rsidR="002008ED">
        <w:rPr>
          <w:rFonts w:ascii="Times New Roman" w:hAnsi="Times New Roman"/>
        </w:rPr>
        <w:t xml:space="preserve"> the Agency is maintaining its requested burden hour and cost estimates.  However, the comment</w:t>
      </w:r>
      <w:r w:rsidR="00EF0178">
        <w:rPr>
          <w:rFonts w:ascii="Times New Roman" w:hAnsi="Times New Roman"/>
        </w:rPr>
        <w:t>er</w:t>
      </w:r>
      <w:r w:rsidR="002008ED">
        <w:rPr>
          <w:rFonts w:ascii="Times New Roman" w:hAnsi="Times New Roman"/>
        </w:rPr>
        <w:t xml:space="preserve">s focused on specific scope, application and jurisdictional issues, as well as specific aspects of the commercial diving provisions.  Implementing the recommendations would require the Agency to undertake rulemaking.  OSHA has forwarded these comments to the Office of Maritime and Agriculture within </w:t>
      </w:r>
      <w:r w:rsidR="00EF0178">
        <w:rPr>
          <w:rFonts w:ascii="Times New Roman" w:hAnsi="Times New Roman"/>
        </w:rPr>
        <w:t>OSHA’s</w:t>
      </w:r>
      <w:r w:rsidR="002008ED">
        <w:rPr>
          <w:rFonts w:ascii="Times New Roman" w:hAnsi="Times New Roman"/>
        </w:rPr>
        <w:t xml:space="preserve"> Directorate of Standards and Guidance for future regulatory consideration. </w:t>
      </w:r>
    </w:p>
    <w:p w:rsidR="002008ED" w:rsidRDefault="002008ED" w:rsidP="002008ED">
      <w:pPr>
        <w:rPr>
          <w:rFonts w:ascii="Times New Roman" w:hAnsi="Times New Roman"/>
        </w:rPr>
      </w:pPr>
    </w:p>
    <w:p w:rsidR="002008ED" w:rsidRDefault="002008ED" w:rsidP="002008ED">
      <w:pPr>
        <w:rPr>
          <w:rFonts w:ascii="Times New Roman" w:hAnsi="Times New Roman"/>
        </w:rPr>
      </w:pPr>
      <w:r>
        <w:rPr>
          <w:rFonts w:ascii="Times New Roman" w:hAnsi="Times New Roman"/>
        </w:rPr>
        <w:t>Several commenters noted that currently there are multiple organizations with varying commercial diving regulations and inspection/investigation procedures, creating confusion and potential harm to divers.  Two of the</w:t>
      </w:r>
      <w:r w:rsidRPr="00D13486">
        <w:rPr>
          <w:rFonts w:ascii="Times New Roman" w:hAnsi="Times New Roman"/>
        </w:rPr>
        <w:t xml:space="preserve"> commenters</w:t>
      </w:r>
      <w:r w:rsidRPr="00ED7F67">
        <w:rPr>
          <w:rFonts w:ascii="Times New Roman" w:hAnsi="Times New Roman"/>
        </w:rPr>
        <w:t xml:space="preserve"> recommended developing standardized regulations between</w:t>
      </w:r>
      <w:r>
        <w:rPr>
          <w:rFonts w:ascii="Times New Roman" w:hAnsi="Times New Roman"/>
        </w:rPr>
        <w:t xml:space="preserve"> agencies or consolidating all regulations under the U.S Coast Guard.  </w:t>
      </w:r>
      <w:r w:rsidRPr="00BB03E3">
        <w:rPr>
          <w:rFonts w:ascii="Times New Roman" w:hAnsi="Times New Roman"/>
        </w:rPr>
        <w:t xml:space="preserve">Mr. Bobby Delise, commented that the </w:t>
      </w:r>
      <w:r>
        <w:rPr>
          <w:rFonts w:ascii="Times New Roman" w:hAnsi="Times New Roman"/>
        </w:rPr>
        <w:t>“…</w:t>
      </w:r>
      <w:r w:rsidRPr="00BB03E3">
        <w:rPr>
          <w:rFonts w:ascii="Times New Roman" w:hAnsi="Times New Roman"/>
        </w:rPr>
        <w:t xml:space="preserve">multiplicity of regulatory agencies and disparities between their regulations have contributed to creating and sustaining unsafe practices in the Diving Industry.”   He states that many appeals have been made to the United States Coast Guard, OSHA and BSEE to correct this situation.  </w:t>
      </w:r>
      <w:r>
        <w:rPr>
          <w:rFonts w:ascii="Times New Roman" w:hAnsi="Times New Roman"/>
        </w:rPr>
        <w:t>Mr. Delise</w:t>
      </w:r>
      <w:r w:rsidRPr="00BB03E3">
        <w:rPr>
          <w:rFonts w:ascii="Times New Roman" w:hAnsi="Times New Roman"/>
        </w:rPr>
        <w:t xml:space="preserve"> recommends consolidating all authority for Commercial Diving under the United States Coast Guard.  “No one can quantify the danger of the industry when the data is mixed with incidents in unrelated work.  Consolidating all regulatory, audit, inspection, investigation and penalty authority is the most effective method of improving the safety and productivity</w:t>
      </w:r>
      <w:r>
        <w:rPr>
          <w:rFonts w:ascii="Times New Roman" w:hAnsi="Times New Roman"/>
        </w:rPr>
        <w:t xml:space="preserve"> of Commercial Diving.”  </w:t>
      </w:r>
    </w:p>
    <w:p w:rsidR="002008ED" w:rsidRDefault="002008ED" w:rsidP="002008ED">
      <w:pPr>
        <w:rPr>
          <w:rFonts w:ascii="Times New Roman" w:hAnsi="Times New Roman"/>
        </w:rPr>
      </w:pPr>
    </w:p>
    <w:p w:rsidR="002008ED" w:rsidRDefault="002008ED" w:rsidP="002008ED">
      <w:pPr>
        <w:rPr>
          <w:rFonts w:ascii="Times New Roman" w:hAnsi="Times New Roman"/>
        </w:rPr>
      </w:pPr>
      <w:r>
        <w:rPr>
          <w:rFonts w:ascii="Times New Roman" w:hAnsi="Times New Roman"/>
        </w:rPr>
        <w:t xml:space="preserve">Currently, both OSHA and the USCG have requirements, as well as industry groups that have published </w:t>
      </w:r>
      <w:r w:rsidRPr="00D13486">
        <w:rPr>
          <w:rFonts w:ascii="Times New Roman" w:hAnsi="Times New Roman"/>
        </w:rPr>
        <w:t xml:space="preserve">standards; Association of Diving Contractors International (ADCI), and the International Marine Contractors Association.  </w:t>
      </w:r>
      <w:r>
        <w:rPr>
          <w:rFonts w:ascii="Times New Roman" w:hAnsi="Times New Roman"/>
        </w:rPr>
        <w:t xml:space="preserve">OSHA is aware of the confusion between the two agencies and would consider requirements consistent with the USCG once they have completed updating their requirements.  The USCG recently published a Proposed Rule on Commercial Diving Operations (80 FR 9152).  </w:t>
      </w:r>
    </w:p>
    <w:p w:rsidR="002008ED" w:rsidRDefault="002008ED" w:rsidP="002008ED">
      <w:pPr>
        <w:rPr>
          <w:rFonts w:ascii="Times New Roman" w:hAnsi="Times New Roman"/>
        </w:rPr>
      </w:pPr>
    </w:p>
    <w:p w:rsidR="002008ED" w:rsidRDefault="002008ED" w:rsidP="002008ED">
      <w:pPr>
        <w:rPr>
          <w:rFonts w:ascii="Times New Roman" w:hAnsi="Times New Roman"/>
        </w:rPr>
      </w:pPr>
      <w:r>
        <w:rPr>
          <w:rFonts w:ascii="Times New Roman" w:hAnsi="Times New Roman"/>
        </w:rPr>
        <w:t xml:space="preserve">Mr. John Carl Roat, a private citizen, agreed that multiple agencies with different requirements is confusing, but also submitted a comment expressing concern that </w:t>
      </w:r>
      <w:r w:rsidRPr="00BB03E3">
        <w:rPr>
          <w:rFonts w:ascii="Times New Roman" w:hAnsi="Times New Roman"/>
        </w:rPr>
        <w:t>investigations</w:t>
      </w:r>
      <w:r>
        <w:rPr>
          <w:rFonts w:ascii="Times New Roman" w:hAnsi="Times New Roman"/>
        </w:rPr>
        <w:t xml:space="preserve"> are conducted differently as well, which is confusing</w:t>
      </w:r>
      <w:r w:rsidRPr="00BB03E3">
        <w:rPr>
          <w:rFonts w:ascii="Times New Roman" w:hAnsi="Times New Roman"/>
        </w:rPr>
        <w:t xml:space="preserve">, expensive and </w:t>
      </w:r>
      <w:r>
        <w:rPr>
          <w:rFonts w:ascii="Times New Roman" w:hAnsi="Times New Roman"/>
        </w:rPr>
        <w:t xml:space="preserve">can </w:t>
      </w:r>
      <w:r w:rsidRPr="00BB03E3">
        <w:rPr>
          <w:rFonts w:ascii="Times New Roman" w:hAnsi="Times New Roman"/>
        </w:rPr>
        <w:t xml:space="preserve">lead to the loss of life. </w:t>
      </w:r>
      <w:r>
        <w:rPr>
          <w:rFonts w:ascii="Times New Roman" w:hAnsi="Times New Roman"/>
        </w:rPr>
        <w:t xml:space="preserve"> Mr. Roat </w:t>
      </w:r>
      <w:r w:rsidRPr="00BB03E3">
        <w:rPr>
          <w:rFonts w:ascii="Times New Roman" w:hAnsi="Times New Roman"/>
        </w:rPr>
        <w:t>recommend</w:t>
      </w:r>
      <w:r>
        <w:rPr>
          <w:rFonts w:ascii="Times New Roman" w:hAnsi="Times New Roman"/>
        </w:rPr>
        <w:t>ed that</w:t>
      </w:r>
      <w:r w:rsidRPr="00BB03E3" w:rsidDel="00A84FB4">
        <w:rPr>
          <w:rFonts w:ascii="Times New Roman" w:hAnsi="Times New Roman"/>
        </w:rPr>
        <w:t xml:space="preserve"> </w:t>
      </w:r>
      <w:r>
        <w:rPr>
          <w:rFonts w:ascii="Times New Roman" w:hAnsi="Times New Roman"/>
        </w:rPr>
        <w:t>“</w:t>
      </w:r>
      <w:r w:rsidRPr="003D7059">
        <w:rPr>
          <w:rFonts w:ascii="Times New Roman" w:hAnsi="Times New Roman"/>
        </w:rPr>
        <w:t xml:space="preserve">OSHA incident investigation and </w:t>
      </w:r>
      <w:r>
        <w:rPr>
          <w:rFonts w:ascii="Times New Roman" w:hAnsi="Times New Roman"/>
        </w:rPr>
        <w:t>r</w:t>
      </w:r>
      <w:r w:rsidRPr="003D7059">
        <w:rPr>
          <w:rFonts w:ascii="Times New Roman" w:hAnsi="Times New Roman"/>
        </w:rPr>
        <w:t xml:space="preserve">eporting of </w:t>
      </w:r>
      <w:r>
        <w:rPr>
          <w:rFonts w:ascii="Times New Roman" w:hAnsi="Times New Roman"/>
        </w:rPr>
        <w:t>i</w:t>
      </w:r>
      <w:r w:rsidRPr="003D7059">
        <w:rPr>
          <w:rFonts w:ascii="Times New Roman" w:hAnsi="Times New Roman"/>
        </w:rPr>
        <w:t xml:space="preserve">ncidents </w:t>
      </w:r>
      <w:r>
        <w:rPr>
          <w:rFonts w:ascii="Times New Roman" w:hAnsi="Times New Roman"/>
        </w:rPr>
        <w:t>should</w:t>
      </w:r>
      <w:r w:rsidRPr="003D7059">
        <w:rPr>
          <w:rFonts w:ascii="Times New Roman" w:hAnsi="Times New Roman"/>
        </w:rPr>
        <w:t xml:space="preserve"> be the same as the Coast Guard requirements</w:t>
      </w:r>
      <w:r>
        <w:rPr>
          <w:rFonts w:ascii="Times New Roman" w:hAnsi="Times New Roman"/>
        </w:rPr>
        <w:t>.” Mr. Roat also attached OSHA’s Summary of Work-Related Injuries and Illnesses and US. Coast Guard’s Report of Marine Casualty form showing the differences between the forms.</w:t>
      </w:r>
    </w:p>
    <w:p w:rsidR="009A5B09" w:rsidRPr="003D7059" w:rsidRDefault="009A5B09" w:rsidP="002008ED">
      <w:pPr>
        <w:rPr>
          <w:rFonts w:ascii="Times New Roman" w:hAnsi="Times New Roman"/>
        </w:rPr>
      </w:pPr>
    </w:p>
    <w:p w:rsidR="002008ED" w:rsidRDefault="002008ED" w:rsidP="002008ED">
      <w:pPr>
        <w:pStyle w:val="Default"/>
        <w:rPr>
          <w:rFonts w:eastAsia="Times New Roman"/>
        </w:rPr>
      </w:pPr>
      <w:r>
        <w:t xml:space="preserve">Some of the comments focused on the jurisdiction between </w:t>
      </w:r>
      <w:r w:rsidR="00EF0178">
        <w:t xml:space="preserve">the </w:t>
      </w:r>
      <w:r>
        <w:t xml:space="preserve">USCG and OSHA.  </w:t>
      </w:r>
      <w:r>
        <w:rPr>
          <w:sz w:val="23"/>
          <w:szCs w:val="23"/>
        </w:rPr>
        <w:t>In general, OSHA authority over commercial diving operations is the same as OSHA authority over any other industry as expressed under Section 4(a) of the Occupational Safety and Health Act of 1970</w:t>
      </w:r>
      <w:r w:rsidR="00EF0178">
        <w:rPr>
          <w:sz w:val="23"/>
          <w:szCs w:val="23"/>
        </w:rPr>
        <w:t xml:space="preserve"> (the Act)</w:t>
      </w:r>
      <w:r>
        <w:rPr>
          <w:sz w:val="23"/>
          <w:szCs w:val="23"/>
        </w:rPr>
        <w:t xml:space="preserve">. Since OSHA covers all employment and places of employment within a State that is under Federal OSHA jurisdiction, the Act’s requirements apply to both inland commercial diving operations and any other type of employment within the State territorial seas for coastal States and from other land masses listed in Section 4(a) of the Act (extends seaward for 3-nautical miles from </w:t>
      </w:r>
      <w:r>
        <w:rPr>
          <w:sz w:val="23"/>
          <w:szCs w:val="23"/>
        </w:rPr>
        <w:lastRenderedPageBreak/>
        <w:t xml:space="preserve">the general coastline; except for Texas, the Gulf Coast of Florida, and Puerto Rico where it extends seaward for 9-nautical miles from the general coastline); in the case of the Great Lakes and St. Lawrence Seaway, the limit extends from the coastline to the established international boundary lines with Canada. </w:t>
      </w:r>
    </w:p>
    <w:p w:rsidR="002008ED" w:rsidRDefault="002008ED" w:rsidP="002008ED">
      <w:pPr>
        <w:rPr>
          <w:rFonts w:ascii="Times New Roman" w:hAnsi="Times New Roman"/>
        </w:rPr>
      </w:pPr>
    </w:p>
    <w:p w:rsidR="002008ED" w:rsidRDefault="002008ED" w:rsidP="002008ED">
      <w:pPr>
        <w:rPr>
          <w:rFonts w:ascii="Times New Roman" w:hAnsi="Times New Roman"/>
        </w:rPr>
      </w:pPr>
      <w:r>
        <w:rPr>
          <w:rFonts w:ascii="Times New Roman" w:hAnsi="Times New Roman"/>
        </w:rPr>
        <w:t xml:space="preserve">In addition, a few commenters noted that data specific to diver incidents is not available or </w:t>
      </w:r>
      <w:r w:rsidR="00AD1D59">
        <w:rPr>
          <w:rFonts w:ascii="Times New Roman" w:hAnsi="Times New Roman"/>
        </w:rPr>
        <w:t xml:space="preserve">is </w:t>
      </w:r>
      <w:r>
        <w:rPr>
          <w:rFonts w:ascii="Times New Roman" w:hAnsi="Times New Roman"/>
        </w:rPr>
        <w:t xml:space="preserve">difficult to obtain.  Mr. </w:t>
      </w:r>
      <w:r w:rsidR="009A5B09">
        <w:rPr>
          <w:rFonts w:ascii="Times New Roman" w:hAnsi="Times New Roman"/>
        </w:rPr>
        <w:t>Roat and</w:t>
      </w:r>
      <w:r>
        <w:rPr>
          <w:rFonts w:ascii="Times New Roman" w:hAnsi="Times New Roman"/>
        </w:rPr>
        <w:t xml:space="preserve"> Mr. John </w:t>
      </w:r>
      <w:proofErr w:type="spellStart"/>
      <w:r>
        <w:rPr>
          <w:rFonts w:ascii="Times New Roman" w:hAnsi="Times New Roman"/>
        </w:rPr>
        <w:t>Loly</w:t>
      </w:r>
      <w:proofErr w:type="spellEnd"/>
      <w:r>
        <w:rPr>
          <w:rFonts w:ascii="Times New Roman" w:hAnsi="Times New Roman"/>
        </w:rPr>
        <w:t xml:space="preserve"> commented that OSHA allows five days before employers have to repor</w:t>
      </w:r>
      <w:r w:rsidR="005D3603">
        <w:rPr>
          <w:rFonts w:ascii="Times New Roman" w:hAnsi="Times New Roman"/>
        </w:rPr>
        <w:t>t a death, and that such a delay</w:t>
      </w:r>
      <w:r>
        <w:rPr>
          <w:rFonts w:ascii="Times New Roman" w:hAnsi="Times New Roman"/>
        </w:rPr>
        <w:t xml:space="preserve"> will further delay interviews and investigations.  This is incorrect.  While the Recordkeeping Rule was recently updated, the reporting of fatalities remained consistent and employers must report to OSHA any fatality within 8 hours.  However, there is a change in that previously, employers were required to report the hospitalization of three or more employees, and now employers are required to report within 24 hours after in-patient hospitalization of one or more employees or an employee’s amputation or loss of an eye as result of a work-related incident even if employers are exempted from the recordkeeping requirements.  While the commercial diving industry m</w:t>
      </w:r>
      <w:r w:rsidR="00AD1D59">
        <w:rPr>
          <w:rFonts w:ascii="Times New Roman" w:hAnsi="Times New Roman"/>
        </w:rPr>
        <w:t>ay have previously been exempt</w:t>
      </w:r>
      <w:r>
        <w:rPr>
          <w:rFonts w:ascii="Times New Roman" w:hAnsi="Times New Roman"/>
        </w:rPr>
        <w:t xml:space="preserve"> from recordkeeping regulations, that is no longer the case as of January 1, 2015, and employers must comply with these new requirements. </w:t>
      </w:r>
    </w:p>
    <w:p w:rsidR="009A5B09" w:rsidRDefault="009A5B09" w:rsidP="002008ED">
      <w:pPr>
        <w:rPr>
          <w:rFonts w:ascii="Times New Roman" w:hAnsi="Times New Roman"/>
        </w:rPr>
      </w:pPr>
    </w:p>
    <w:p w:rsidR="002008ED" w:rsidRDefault="002008ED" w:rsidP="002008ED">
      <w:pPr>
        <w:rPr>
          <w:rFonts w:ascii="Times New Roman" w:hAnsi="Times New Roman"/>
        </w:rPr>
      </w:pPr>
      <w:r>
        <w:rPr>
          <w:rFonts w:ascii="Times New Roman" w:hAnsi="Times New Roman"/>
        </w:rPr>
        <w:t>Finally, some comments reflected that a commercial diver may not be listed at all, or may be listed under the wr</w:t>
      </w:r>
      <w:r w:rsidR="00AD1D59">
        <w:rPr>
          <w:rFonts w:ascii="Times New Roman" w:hAnsi="Times New Roman"/>
        </w:rPr>
        <w:t>ong trade, such as a dockworker;</w:t>
      </w:r>
      <w:r>
        <w:rPr>
          <w:rFonts w:ascii="Times New Roman" w:hAnsi="Times New Roman"/>
        </w:rPr>
        <w:t xml:space="preserve"> thereby</w:t>
      </w:r>
      <w:r w:rsidR="00AF558A">
        <w:rPr>
          <w:rFonts w:ascii="Times New Roman" w:hAnsi="Times New Roman"/>
        </w:rPr>
        <w:t>,</w:t>
      </w:r>
      <w:r>
        <w:rPr>
          <w:rFonts w:ascii="Times New Roman" w:hAnsi="Times New Roman"/>
        </w:rPr>
        <w:t xml:space="preserve"> obscuring commercial diver incidents in statistics</w:t>
      </w:r>
      <w:r>
        <w:rPr>
          <w:rFonts w:ascii="Times New Roman" w:hAnsi="Times New Roman"/>
          <w:color w:val="FF0000"/>
        </w:rPr>
        <w:t xml:space="preserve">.  </w:t>
      </w:r>
      <w:r w:rsidRPr="00797DB2">
        <w:rPr>
          <w:rFonts w:ascii="Times New Roman" w:hAnsi="Times New Roman"/>
        </w:rPr>
        <w:t xml:space="preserve">While, OSHA </w:t>
      </w:r>
      <w:r>
        <w:rPr>
          <w:rFonts w:ascii="Times New Roman" w:hAnsi="Times New Roman"/>
        </w:rPr>
        <w:t>recognizes that this is problematic, this issue is outside the scope of this Commercial Diving Information Collection Request.</w:t>
      </w:r>
    </w:p>
    <w:p w:rsidR="009A5B09" w:rsidRPr="00123B63" w:rsidRDefault="009A5B09" w:rsidP="002008ED">
      <w:pPr>
        <w:rPr>
          <w:rFonts w:ascii="Times New Roman" w:hAnsi="Times New Roman"/>
          <w:color w:val="FF0000"/>
        </w:rPr>
      </w:pPr>
    </w:p>
    <w:p w:rsidR="002008ED" w:rsidRDefault="002008ED" w:rsidP="002008ED">
      <w:pPr>
        <w:rPr>
          <w:rFonts w:ascii="Times New Roman" w:hAnsi="Times New Roman"/>
        </w:rPr>
      </w:pPr>
      <w:r>
        <w:rPr>
          <w:rFonts w:ascii="Times New Roman" w:hAnsi="Times New Roman"/>
        </w:rPr>
        <w:t xml:space="preserve"> </w:t>
      </w:r>
      <w:r w:rsidR="00AD1D59">
        <w:rPr>
          <w:rFonts w:ascii="Times New Roman" w:hAnsi="Times New Roman"/>
        </w:rPr>
        <w:t>Louis E. Schaefer JR.</w:t>
      </w:r>
      <w:r>
        <w:rPr>
          <w:rFonts w:ascii="Times New Roman" w:hAnsi="Times New Roman"/>
        </w:rPr>
        <w:t xml:space="preserve">, </w:t>
      </w:r>
      <w:r w:rsidRPr="00BB03E3">
        <w:rPr>
          <w:rFonts w:ascii="Times New Roman" w:hAnsi="Times New Roman"/>
        </w:rPr>
        <w:t>Chief Executive Officer</w:t>
      </w:r>
      <w:r>
        <w:rPr>
          <w:rFonts w:ascii="Times New Roman" w:hAnsi="Times New Roman"/>
        </w:rPr>
        <w:t xml:space="preserve">, </w:t>
      </w:r>
      <w:r w:rsidRPr="00BB03E3">
        <w:rPr>
          <w:rFonts w:ascii="Times New Roman" w:hAnsi="Times New Roman"/>
        </w:rPr>
        <w:t>Legacy Offshore International, LLC</w:t>
      </w:r>
      <w:r>
        <w:rPr>
          <w:rFonts w:ascii="Times New Roman" w:hAnsi="Times New Roman"/>
        </w:rPr>
        <w:t xml:space="preserve">, </w:t>
      </w:r>
      <w:r w:rsidRPr="00BB03E3">
        <w:rPr>
          <w:rFonts w:ascii="Times New Roman" w:hAnsi="Times New Roman"/>
        </w:rPr>
        <w:t>commented  that the paperwork and regulatory burden is not the problem within the commercial diving industry</w:t>
      </w:r>
      <w:r>
        <w:rPr>
          <w:rFonts w:ascii="Times New Roman" w:hAnsi="Times New Roman"/>
        </w:rPr>
        <w:t>, but that “</w:t>
      </w:r>
      <w:r w:rsidRPr="00BB03E3">
        <w:rPr>
          <w:rFonts w:ascii="Times New Roman" w:hAnsi="Times New Roman"/>
        </w:rPr>
        <w:t>oversight by multiple organizations (OSHA/USCG/US Army Corp of Engineers; lax industry standards (3 or 4 man teams vs. a minimum of 5); and a failure to properly/immediately investigate as well as keep records of accidents which would lead to regulation shifts that would not only save lives but also prevent similar types of serious injuries from occurring in the future.</w:t>
      </w:r>
      <w:r>
        <w:rPr>
          <w:rFonts w:ascii="Times New Roman" w:hAnsi="Times New Roman"/>
        </w:rPr>
        <w:t>”</w:t>
      </w:r>
      <w:r w:rsidRPr="00BB03E3">
        <w:rPr>
          <w:rFonts w:ascii="Times New Roman" w:hAnsi="Times New Roman"/>
        </w:rPr>
        <w:t xml:space="preserve">  Mr. Schaefer</w:t>
      </w:r>
      <w:r>
        <w:rPr>
          <w:rFonts w:ascii="Times New Roman" w:hAnsi="Times New Roman"/>
        </w:rPr>
        <w:t>’s</w:t>
      </w:r>
      <w:r w:rsidRPr="00BB03E3">
        <w:rPr>
          <w:rFonts w:ascii="Times New Roman" w:hAnsi="Times New Roman"/>
        </w:rPr>
        <w:t xml:space="preserve"> comment goes on to explain why these are legitimate concerns.  He also stresses that in diving</w:t>
      </w:r>
      <w:r>
        <w:rPr>
          <w:rFonts w:ascii="Times New Roman" w:hAnsi="Times New Roman"/>
        </w:rPr>
        <w:t>,</w:t>
      </w:r>
      <w:r w:rsidRPr="00BB03E3">
        <w:rPr>
          <w:rFonts w:ascii="Times New Roman" w:hAnsi="Times New Roman"/>
        </w:rPr>
        <w:t xml:space="preserve"> safety needs to come first.</w:t>
      </w:r>
      <w:r>
        <w:rPr>
          <w:rFonts w:ascii="Times New Roman" w:hAnsi="Times New Roman"/>
        </w:rPr>
        <w:t xml:space="preserve">  </w:t>
      </w:r>
    </w:p>
    <w:p w:rsidR="00AF558A" w:rsidRDefault="00AF558A" w:rsidP="002008ED">
      <w:pPr>
        <w:rPr>
          <w:rFonts w:ascii="Times New Roman" w:hAnsi="Times New Roman"/>
        </w:rPr>
      </w:pPr>
    </w:p>
    <w:p w:rsidR="002008ED" w:rsidRPr="00BB03E3" w:rsidRDefault="002008ED" w:rsidP="002008ED">
      <w:pPr>
        <w:rPr>
          <w:rFonts w:ascii="Times New Roman" w:hAnsi="Times New Roman"/>
        </w:rPr>
      </w:pPr>
      <w:r>
        <w:rPr>
          <w:rFonts w:ascii="Times New Roman" w:hAnsi="Times New Roman"/>
        </w:rPr>
        <w:t>OSHA agrees that safety needs to come first in all industries, not just diving.  However, OSHA recognizes that its standards are outdated, and that confusion exists between OSHA and USCG requirements.  OSHA will consider all comments received in any future activities addressing the safety and health of workers in the commercial diving industry.</w:t>
      </w:r>
    </w:p>
    <w:p w:rsidR="002008ED" w:rsidRDefault="002008ED"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9.  Explain any decision to provide any payments or gift to respondents, other than </w:t>
      </w:r>
      <w:proofErr w:type="spellStart"/>
      <w:r>
        <w:rPr>
          <w:rFonts w:ascii="Times New Roman" w:hAnsi="Times New Roman"/>
          <w:b/>
          <w:bCs/>
          <w:color w:val="000000"/>
          <w:sz w:val="20"/>
          <w:szCs w:val="20"/>
        </w:rPr>
        <w:t>reenumeration</w:t>
      </w:r>
      <w:proofErr w:type="spellEnd"/>
      <w:r>
        <w:rPr>
          <w:rFonts w:ascii="Times New Roman" w:hAnsi="Times New Roman"/>
          <w:b/>
          <w:bCs/>
          <w:color w:val="000000"/>
          <w:sz w:val="20"/>
          <w:szCs w:val="20"/>
        </w:rPr>
        <w:t xml:space="preserve"> of contractors or grantees.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s="Shruti"/>
          <w:color w:val="000000"/>
        </w:rPr>
        <w:t xml:space="preserve">The Agency will </w:t>
      </w:r>
      <w:r>
        <w:rPr>
          <w:rFonts w:ascii="Times New Roman" w:hAnsi="Times New Roman" w:cs="Shruti"/>
          <w:color w:val="000000"/>
          <w:u w:val="single"/>
        </w:rPr>
        <w:t>not</w:t>
      </w:r>
      <w:r>
        <w:rPr>
          <w:rFonts w:ascii="Times New Roman" w:hAnsi="Times New Roman" w:cs="Shruti"/>
          <w:color w:val="000000"/>
        </w:rPr>
        <w:t xml:space="preserve"> provide payments or gifts to the respondents.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10.  Describe any assurance of confidentiality provided to respondents and the basis for the assurance in statute, regulation, or Agency policy.</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lastRenderedPageBreak/>
        <w:t>No elements of confidentiality are involved.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s="Shruti"/>
          <w:color w:val="000000"/>
        </w:rPr>
        <w:t>The paperwork requirements specified by the Subpart do not involve sensitive information.</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12.  Provide estimates of the hour burden of the collection of information.  The statement should: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b/>
          <w:bCs/>
          <w:color w:val="000000"/>
          <w:sz w:val="20"/>
          <w:szCs w:val="20"/>
        </w:rPr>
        <w:t>●</w:t>
      </w:r>
      <w:r>
        <w:rPr>
          <w:rFonts w:ascii="Times New Roman" w:hAnsi="Times New Roman" w:cs="Shruti"/>
          <w:b/>
          <w:bCs/>
          <w:color w:val="000000"/>
          <w:sz w:val="20"/>
          <w:szCs w:val="20"/>
        </w:rPr>
        <w:tab/>
        <w:t xml:space="preserve">Indicate the number of respondents, frequency of response, annual hour burden, and an explanation of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how</w:t>
      </w:r>
      <w:proofErr w:type="gramEnd"/>
      <w:r>
        <w:rPr>
          <w:rFonts w:ascii="Times New Roman" w:hAnsi="Times New Roman" w:cs="Shruti"/>
          <w:b/>
          <w:bCs/>
          <w:color w:val="000000"/>
          <w:sz w:val="20"/>
          <w:szCs w:val="20"/>
        </w:rPr>
        <w:t xml:space="preserve"> the burden was estimated.  Unless directed to do so, agencies should not conduct special surveys to</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obtain</w:t>
      </w:r>
      <w:proofErr w:type="gramEnd"/>
      <w:r>
        <w:rPr>
          <w:rFonts w:ascii="Times New Roman" w:hAnsi="Times New Roman" w:cs="Shruti"/>
          <w:b/>
          <w:bCs/>
          <w:color w:val="000000"/>
          <w:sz w:val="20"/>
          <w:szCs w:val="20"/>
        </w:rPr>
        <w:t xml:space="preserve"> information on which to base hour burden estimates.  Consultation with a sample (fewer than 10)</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of</w:t>
      </w:r>
      <w:proofErr w:type="gramEnd"/>
      <w:r>
        <w:rPr>
          <w:rFonts w:ascii="Times New Roman" w:hAnsi="Times New Roman" w:cs="Shruti"/>
          <w:b/>
          <w:bCs/>
          <w:color w:val="000000"/>
          <w:sz w:val="20"/>
          <w:szCs w:val="20"/>
        </w:rPr>
        <w:t xml:space="preserve"> potential respondents is desirable.  If the hour burden on respondents is expected to vary widely</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because</w:t>
      </w:r>
      <w:proofErr w:type="gramEnd"/>
      <w:r>
        <w:rPr>
          <w:rFonts w:ascii="Times New Roman" w:hAnsi="Times New Roman" w:cs="Shruti"/>
          <w:b/>
          <w:bCs/>
          <w:color w:val="000000"/>
          <w:sz w:val="20"/>
          <w:szCs w:val="20"/>
        </w:rPr>
        <w:t xml:space="preserve"> of differences in activity, size, or complexity, show the range of estimated hour burden, and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Shruti"/>
          <w:b/>
          <w:bCs/>
          <w:color w:val="000000"/>
          <w:sz w:val="20"/>
          <w:szCs w:val="20"/>
        </w:rPr>
      </w:pPr>
      <w:proofErr w:type="gramStart"/>
      <w:r>
        <w:rPr>
          <w:rFonts w:ascii="Times New Roman" w:hAnsi="Times New Roman" w:cs="Shruti"/>
          <w:b/>
          <w:bCs/>
          <w:color w:val="000000"/>
          <w:sz w:val="20"/>
          <w:szCs w:val="20"/>
        </w:rPr>
        <w:t>explain</w:t>
      </w:r>
      <w:proofErr w:type="gramEnd"/>
      <w:r>
        <w:rPr>
          <w:rFonts w:ascii="Times New Roman" w:hAnsi="Times New Roman" w:cs="Shruti"/>
          <w:b/>
          <w:bCs/>
          <w:color w:val="000000"/>
          <w:sz w:val="20"/>
          <w:szCs w:val="20"/>
        </w:rPr>
        <w:t xml:space="preserve"> the reasons for the variance.  Generally, estimates should not include burden hours for customary and usual business practices.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b/>
          <w:bCs/>
          <w:color w:val="000000"/>
          <w:sz w:val="20"/>
          <w:szCs w:val="20"/>
        </w:rPr>
        <w:t>●</w:t>
      </w: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If</w:t>
      </w:r>
      <w:proofErr w:type="gramEnd"/>
      <w:r>
        <w:rPr>
          <w:rFonts w:ascii="Times New Roman" w:hAnsi="Times New Roman" w:cs="Shruti"/>
          <w:b/>
          <w:bCs/>
          <w:color w:val="000000"/>
          <w:sz w:val="20"/>
          <w:szCs w:val="20"/>
        </w:rPr>
        <w:t xml:space="preserve"> this request for approval covers more than one form, provide separate hour burden estimates for each</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form</w:t>
      </w:r>
      <w:proofErr w:type="gramEnd"/>
      <w:r>
        <w:rPr>
          <w:rFonts w:ascii="Times New Roman" w:hAnsi="Times New Roman" w:cs="Shruti"/>
          <w:b/>
          <w:bCs/>
          <w:color w:val="000000"/>
          <w:sz w:val="20"/>
          <w:szCs w:val="20"/>
        </w:rPr>
        <w: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b/>
          <w:bCs/>
          <w:color w:val="000000"/>
          <w:sz w:val="20"/>
          <w:szCs w:val="20"/>
        </w:rPr>
        <w:t>●</w:t>
      </w:r>
      <w:r>
        <w:rPr>
          <w:rFonts w:ascii="Times New Roman" w:hAnsi="Times New Roman" w:cs="Shruti"/>
          <w:b/>
          <w:bCs/>
          <w:color w:val="000000"/>
          <w:sz w:val="20"/>
          <w:szCs w:val="20"/>
        </w:rPr>
        <w:tab/>
        <w:t>Provide estimates of annualized cost to respondents for the hour burdens for collections of information,</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cs="Shruti"/>
          <w:b/>
          <w:bCs/>
          <w:color w:val="000000"/>
          <w:sz w:val="20"/>
          <w:szCs w:val="20"/>
        </w:rPr>
        <w:tab/>
      </w:r>
      <w:proofErr w:type="gramStart"/>
      <w:r>
        <w:rPr>
          <w:rFonts w:ascii="Times New Roman" w:hAnsi="Times New Roman" w:cs="Shruti"/>
          <w:b/>
          <w:bCs/>
          <w:color w:val="000000"/>
          <w:sz w:val="20"/>
          <w:szCs w:val="20"/>
        </w:rPr>
        <w:t>identifying</w:t>
      </w:r>
      <w:proofErr w:type="gramEnd"/>
      <w:r>
        <w:rPr>
          <w:rFonts w:ascii="Times New Roman" w:hAnsi="Times New Roman" w:cs="Shruti"/>
          <w:b/>
          <w:bCs/>
          <w:color w:val="000000"/>
          <w:sz w:val="20"/>
          <w:szCs w:val="20"/>
        </w:rPr>
        <w:t xml:space="preserve"> and using appropriate wage-rate categories.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rPr>
        <w:t>Burden-Hour and Cost Determinations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Table 1 below provides a summary of the annual burden hour and cost estimates for each provision of the Subpart that contains a paperwork requirement (as described under Item 2 above).  In the previous ICR, the Agency made these determinations based upon information from an expert in the commercial diving industry who informed OSHA that the industry has about 3,000 diving facilities (with one employer per facility) and 10,000 divers.</w:t>
      </w:r>
      <w:r>
        <w:rPr>
          <w:rStyle w:val="FootnoteReference"/>
          <w:rFonts w:ascii="Times New Roman" w:hAnsi="Times New Roman"/>
          <w:color w:val="000000"/>
          <w:vertAlign w:val="superscript"/>
        </w:rPr>
        <w:footnoteReference w:id="2"/>
      </w:r>
      <w:r>
        <w:rPr>
          <w:rFonts w:ascii="Times New Roman" w:hAnsi="Times New Roman" w:cs="Shruti"/>
          <w:color w:val="000000"/>
        </w:rPr>
        <w:t xml:space="preserve">  The Agency estimates that a diver makes an average of 150 dives annually.  The Agency has no new updated information to change these estimated numbers; therefore, it will continue to use the previous numbers.</w:t>
      </w: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rPr>
          <w:rFonts w:ascii="Times New Roman" w:hAnsi="Times New Roman"/>
        </w:rPr>
      </w:pPr>
      <w:r w:rsidRPr="0084366E">
        <w:rPr>
          <w:rFonts w:ascii="Times New Roman" w:hAnsi="Times New Roman"/>
        </w:rPr>
        <w:t xml:space="preserve">The Agency adopted the mean </w:t>
      </w:r>
      <w:r w:rsidR="002572E4">
        <w:rPr>
          <w:rFonts w:ascii="Times New Roman" w:hAnsi="Times New Roman"/>
        </w:rPr>
        <w:t xml:space="preserve">hourly </w:t>
      </w:r>
      <w:r w:rsidRPr="0084366E">
        <w:rPr>
          <w:rFonts w:ascii="Times New Roman" w:hAnsi="Times New Roman"/>
        </w:rPr>
        <w:t xml:space="preserve">wage rates from the </w:t>
      </w:r>
      <w:r w:rsidRPr="0084366E">
        <w:rPr>
          <w:rFonts w:ascii="Times New Roman" w:hAnsi="Times New Roman"/>
          <w:i/>
        </w:rPr>
        <w:t>National Occupational Employment</w:t>
      </w:r>
      <w:r w:rsidR="00760FFD">
        <w:rPr>
          <w:rFonts w:ascii="Times New Roman" w:hAnsi="Times New Roman"/>
          <w:i/>
        </w:rPr>
        <w:t xml:space="preserve"> and Wage Estimate US , May 2014</w:t>
      </w:r>
      <w:r w:rsidRPr="0084366E">
        <w:rPr>
          <w:rFonts w:ascii="Times New Roman" w:hAnsi="Times New Roman"/>
          <w:i/>
        </w:rPr>
        <w:t xml:space="preserve">,” </w:t>
      </w:r>
      <w:r w:rsidRPr="0084366E">
        <w:rPr>
          <w:rFonts w:ascii="Times New Roman" w:hAnsi="Times New Roman"/>
        </w:rPr>
        <w:t xml:space="preserve">U.S. Department of Labor, Bureau of Labor Statistics </w:t>
      </w:r>
      <w:hyperlink r:id="rId10" w:history="1">
        <w:r w:rsidRPr="0084366E">
          <w:rPr>
            <w:rFonts w:ascii="Times New Roman" w:hAnsi="Times New Roman"/>
            <w:color w:val="003399"/>
            <w:u w:val="single"/>
          </w:rPr>
          <w:t>http://stats.bls.gov/home.htm</w:t>
        </w:r>
      </w:hyperlink>
      <w:r w:rsidRPr="00D32EFB">
        <w:rPr>
          <w:rFonts w:ascii="Times New Roman" w:hAnsi="Times New Roman"/>
        </w:rPr>
        <w:t xml:space="preserve">.  </w:t>
      </w:r>
      <w:r w:rsidRPr="0084366E">
        <w:rPr>
          <w:rFonts w:ascii="Times New Roman" w:hAnsi="Times New Roman"/>
        </w:rPr>
        <w:t xml:space="preserve">Total compensation for these occupational categories includes an </w:t>
      </w:r>
    </w:p>
    <w:p w:rsidR="00AF6229" w:rsidRPr="0084366E" w:rsidRDefault="00072E0C" w:rsidP="00AF6229">
      <w:pPr>
        <w:rPr>
          <w:rFonts w:ascii="Times New Roman" w:hAnsi="Times New Roman"/>
        </w:rPr>
      </w:pPr>
      <w:proofErr w:type="gramStart"/>
      <w:r>
        <w:rPr>
          <w:rFonts w:ascii="Times New Roman" w:hAnsi="Times New Roman"/>
        </w:rPr>
        <w:t>adjustment</w:t>
      </w:r>
      <w:proofErr w:type="gramEnd"/>
      <w:r>
        <w:rPr>
          <w:rFonts w:ascii="Times New Roman" w:hAnsi="Times New Roman"/>
        </w:rPr>
        <w:t xml:space="preserve"> of 31.7</w:t>
      </w:r>
      <w:r w:rsidR="00AF6229" w:rsidRPr="0084366E">
        <w:rPr>
          <w:rFonts w:ascii="Times New Roman" w:hAnsi="Times New Roman"/>
        </w:rPr>
        <w:t xml:space="preserve"> percent (</w:t>
      </w:r>
      <w:bookmarkStart w:id="0" w:name="content"/>
      <w:r w:rsidR="00AF6229" w:rsidRPr="0084366E">
        <w:rPr>
          <w:rFonts w:ascii="Times New Roman" w:hAnsi="Times New Roman"/>
          <w:i/>
        </w:rPr>
        <w:t>Employer Costs for Employee Compensation</w:t>
      </w:r>
      <w:bookmarkEnd w:id="0"/>
      <w:r w:rsidR="00AF6229">
        <w:rPr>
          <w:rFonts w:ascii="Times New Roman" w:hAnsi="Times New Roman"/>
          <w:i/>
        </w:rPr>
        <w:t>, September 2014,</w:t>
      </w:r>
      <w:r w:rsidR="00AF6229" w:rsidRPr="0084366E">
        <w:rPr>
          <w:rFonts w:ascii="Times New Roman" w:hAnsi="Times New Roman"/>
          <w:i/>
        </w:rPr>
        <w:t>)</w:t>
      </w:r>
      <w:r w:rsidR="00AF6229" w:rsidRPr="0084366E">
        <w:rPr>
          <w:rFonts w:ascii="Times New Roman" w:hAnsi="Times New Roman"/>
        </w:rPr>
        <w:t xml:space="preserve"> </w:t>
      </w:r>
      <w:hyperlink r:id="rId11" w:history="1">
        <w:r w:rsidR="00AF6229" w:rsidRPr="008248B0">
          <w:rPr>
            <w:rStyle w:val="Hyperlink"/>
            <w:rFonts w:ascii="Times New Roman" w:hAnsi="Times New Roman"/>
          </w:rPr>
          <w:t>http://www.bls.gov/schedule/archives/ecec_nr.htm</w:t>
        </w:r>
      </w:hyperlink>
      <w:r w:rsidR="00AF6229">
        <w:rPr>
          <w:rFonts w:ascii="Times New Roman" w:hAnsi="Times New Roman"/>
        </w:rPr>
        <w:t xml:space="preserve"> </w:t>
      </w:r>
      <w:r w:rsidR="00AF6229" w:rsidRPr="0084366E">
        <w:rPr>
          <w:rFonts w:ascii="Times New Roman" w:hAnsi="Times New Roman"/>
        </w:rPr>
        <w:t>for fringe benefits; this figure represents the average level of fringe benefits in the private sector. The costs of labor used in this analysis are, therefore, estimates of total hourly c</w:t>
      </w:r>
      <w:r w:rsidR="00AF6229">
        <w:rPr>
          <w:rFonts w:ascii="Times New Roman" w:hAnsi="Times New Roman"/>
        </w:rPr>
        <w:t>ompensation.  These hourly wage estimates</w:t>
      </w:r>
      <w:r w:rsidR="00AF6229" w:rsidRPr="0084366E">
        <w:rPr>
          <w:rFonts w:ascii="Times New Roman" w:hAnsi="Times New Roman"/>
        </w:rPr>
        <w:t xml:space="preserve"> are:</w:t>
      </w: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Shruti"/>
          <w:color w:val="000000"/>
        </w:rPr>
      </w:pPr>
      <w:r>
        <w:rPr>
          <w:rFonts w:ascii="Times New Roman" w:hAnsi="Times New Roman" w:cs="Shruti"/>
          <w:color w:val="000000"/>
        </w:rPr>
        <w:lastRenderedPageBreak/>
        <w:tab/>
      </w:r>
    </w:p>
    <w:p w:rsidR="00AF6229" w:rsidRPr="00801CFA"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vertAlign w:val="superscript"/>
        </w:rPr>
      </w:pPr>
      <w:r>
        <w:rPr>
          <w:rFonts w:ascii="Times New Roman" w:hAnsi="Times New Roman"/>
          <w:color w:val="000000"/>
        </w:rPr>
        <w:t>Commercial</w:t>
      </w:r>
      <w:r w:rsidR="00072E0C">
        <w:rPr>
          <w:rFonts w:ascii="Times New Roman" w:hAnsi="Times New Roman"/>
          <w:color w:val="000000"/>
        </w:rPr>
        <w:t xml:space="preserve"> Diver (49-9092)</w:t>
      </w:r>
      <w:r w:rsidR="00072E0C">
        <w:rPr>
          <w:rFonts w:ascii="Times New Roman" w:hAnsi="Times New Roman"/>
          <w:color w:val="000000"/>
        </w:rPr>
        <w:tab/>
      </w:r>
      <w:r w:rsidR="00072E0C">
        <w:rPr>
          <w:rFonts w:ascii="Times New Roman" w:hAnsi="Times New Roman"/>
          <w:color w:val="000000"/>
        </w:rPr>
        <w:tab/>
        <w:t>$32.33</w:t>
      </w:r>
      <w:r w:rsidR="00801CFA" w:rsidRPr="00801CFA">
        <w:rPr>
          <w:rStyle w:val="FootnoteReference"/>
          <w:rFonts w:ascii="Times New Roman" w:hAnsi="Times New Roman"/>
          <w:color w:val="000000"/>
          <w:vertAlign w:val="superscript"/>
        </w:rPr>
        <w:footnoteReference w:id="3"/>
      </w:r>
    </w:p>
    <w:p w:rsidR="00AF6229" w:rsidRPr="00075A9C"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vertAlign w:val="superscript"/>
        </w:rPr>
      </w:pPr>
      <w:r>
        <w:rPr>
          <w:rFonts w:ascii="Times New Roman" w:hAnsi="Times New Roman"/>
          <w:color w:val="000000"/>
        </w:rPr>
        <w:tab/>
      </w:r>
      <w:r>
        <w:rPr>
          <w:rFonts w:ascii="Times New Roman" w:hAnsi="Times New Roman"/>
          <w:color w:val="000000"/>
        </w:rPr>
        <w:tab/>
        <w:t>Tender</w:t>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r>
      <w:r w:rsidR="00072E0C">
        <w:rPr>
          <w:rFonts w:ascii="Times New Roman" w:hAnsi="Times New Roman"/>
          <w:color w:val="000000"/>
        </w:rPr>
        <w:t>$16.16</w:t>
      </w:r>
      <w:r w:rsidRPr="00075A9C">
        <w:rPr>
          <w:rStyle w:val="FootnoteReference"/>
          <w:rFonts w:ascii="Times New Roman" w:hAnsi="Times New Roman"/>
          <w:color w:val="000000"/>
          <w:vertAlign w:val="superscript"/>
        </w:rPr>
        <w:footnoteReference w:id="4"/>
      </w: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Pr>
          <w:rFonts w:ascii="Times New Roman" w:hAnsi="Times New Roman"/>
          <w:color w:val="000000"/>
        </w:rPr>
        <w:tab/>
      </w:r>
      <w:r>
        <w:rPr>
          <w:rFonts w:ascii="Times New Roman" w:hAnsi="Times New Roman"/>
          <w:color w:val="000000"/>
        </w:rPr>
        <w:tab/>
        <w:t>Clerical/</w:t>
      </w:r>
      <w:r w:rsidR="002572E4">
        <w:rPr>
          <w:rFonts w:ascii="Times New Roman" w:hAnsi="Times New Roman"/>
          <w:color w:val="000000"/>
        </w:rPr>
        <w:t>Secretary (</w:t>
      </w:r>
      <w:r w:rsidR="00072E0C">
        <w:rPr>
          <w:rFonts w:ascii="Times New Roman" w:hAnsi="Times New Roman"/>
          <w:color w:val="000000"/>
        </w:rPr>
        <w:t>43-6014)</w:t>
      </w:r>
      <w:r w:rsidR="00072E0C">
        <w:rPr>
          <w:rFonts w:ascii="Times New Roman" w:hAnsi="Times New Roman"/>
          <w:color w:val="000000"/>
        </w:rPr>
        <w:tab/>
      </w:r>
      <w:r w:rsidR="00072E0C">
        <w:rPr>
          <w:rFonts w:ascii="Times New Roman" w:hAnsi="Times New Roman"/>
          <w:color w:val="000000"/>
        </w:rPr>
        <w:tab/>
        <w:t>$21.85</w:t>
      </w:r>
      <w:r w:rsidR="00801CFA" w:rsidRPr="00801CFA">
        <w:rPr>
          <w:rStyle w:val="FootnoteReference"/>
          <w:rFonts w:ascii="Times New Roman" w:hAnsi="Times New Roman"/>
          <w:color w:val="000000"/>
          <w:vertAlign w:val="superscript"/>
        </w:rPr>
        <w:footnoteReference w:id="5"/>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AF6229" w:rsidRDefault="00AF6229" w:rsidP="00AF6229">
      <w:pPr>
        <w:widowControl/>
        <w:tabs>
          <w:tab w:val="center" w:pos="4680"/>
          <w:tab w:val="left" w:pos="5040"/>
          <w:tab w:val="left" w:pos="5760"/>
          <w:tab w:val="left" w:pos="6480"/>
          <w:tab w:val="left" w:pos="7200"/>
          <w:tab w:val="left" w:pos="7920"/>
          <w:tab w:val="left" w:pos="8640"/>
          <w:tab w:val="left" w:pos="9360"/>
        </w:tabs>
        <w:jc w:val="center"/>
        <w:rPr>
          <w:rFonts w:ascii="Shruti" w:cs="Shruti"/>
          <w:color w:val="000000"/>
        </w:rPr>
      </w:pPr>
    </w:p>
    <w:p w:rsidR="00AF6229" w:rsidRDefault="00AF6229" w:rsidP="00AF6229">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Shruti"/>
          <w:b/>
          <w:bCs/>
          <w:color w:val="000000"/>
        </w:rPr>
      </w:pPr>
      <w:r>
        <w:rPr>
          <w:rFonts w:ascii="Times New Roman" w:hAnsi="Times New Roman" w:cs="Shruti"/>
          <w:b/>
          <w:bCs/>
          <w:color w:val="000000"/>
        </w:rPr>
        <w:br/>
      </w:r>
    </w:p>
    <w:p w:rsidR="00AF6229" w:rsidRDefault="00760FFD"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b/>
          <w:bCs/>
          <w:color w:val="000000"/>
        </w:rPr>
        <w:t xml:space="preserve"> </w:t>
      </w:r>
      <w:r>
        <w:rPr>
          <w:rFonts w:ascii="Times New Roman" w:hAnsi="Times New Roman" w:cs="Shruti"/>
          <w:b/>
          <w:bCs/>
          <w:color w:val="000000"/>
        </w:rPr>
        <w:tab/>
        <w:t xml:space="preserve">                    </w:t>
      </w:r>
      <w:r w:rsidR="00AF6229">
        <w:rPr>
          <w:rFonts w:ascii="Times New Roman" w:hAnsi="Times New Roman" w:cs="Shruti"/>
          <w:b/>
          <w:bCs/>
          <w:color w:val="000000"/>
        </w:rPr>
        <w:t>Table 1</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r>
        <w:rPr>
          <w:rFonts w:ascii="Times New Roman" w:hAnsi="Times New Roman" w:cs="Shruti"/>
          <w:color w:val="000000"/>
        </w:rPr>
        <w:tab/>
      </w:r>
      <w:r>
        <w:rPr>
          <w:rFonts w:ascii="Times New Roman" w:hAnsi="Times New Roman" w:cs="Shruti"/>
          <w:b/>
          <w:bCs/>
          <w:color w:val="000000"/>
        </w:rPr>
        <w:t>Summary of Annual Burden Hour and Cost Estimates</w:t>
      </w:r>
    </w:p>
    <w:p w:rsidR="00AF6229" w:rsidRDefault="00AF6229" w:rsidP="00AF6229">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Shruti"/>
          <w:color w:val="000000"/>
        </w:rPr>
      </w:pPr>
      <w:r>
        <w:rPr>
          <w:rFonts w:ascii="Times New Roman" w:hAnsi="Times New Roman" w:cs="Shruti"/>
          <w:b/>
          <w:bCs/>
          <w:color w:val="000000"/>
        </w:rPr>
        <w:t>Under Item 12</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rPr>
      </w:pPr>
    </w:p>
    <w:tbl>
      <w:tblPr>
        <w:tblW w:w="0" w:type="auto"/>
        <w:jc w:val="center"/>
        <w:tblCellMar>
          <w:left w:w="28" w:type="dxa"/>
          <w:right w:w="28" w:type="dxa"/>
        </w:tblCellMar>
        <w:tblLook w:val="0000" w:firstRow="0" w:lastRow="0" w:firstColumn="0" w:lastColumn="0" w:noHBand="0" w:noVBand="0"/>
      </w:tblPr>
      <w:tblGrid>
        <w:gridCol w:w="2087"/>
        <w:gridCol w:w="1142"/>
        <w:gridCol w:w="2046"/>
        <w:gridCol w:w="938"/>
        <w:gridCol w:w="1304"/>
        <w:gridCol w:w="943"/>
        <w:gridCol w:w="956"/>
      </w:tblGrid>
      <w:tr w:rsidR="00AF6229" w:rsidTr="005D3603">
        <w:trPr>
          <w:tblHeade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Shruti" w:cs="Shruti"/>
                <w:color w:val="00000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 xml:space="preserve">Paperwork </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Requirement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Time to Perform</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(Hours)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s="Shruti"/>
                <w:color w:val="000000"/>
                <w:sz w:val="20"/>
                <w:szCs w:val="20"/>
              </w:rPr>
            </w:pPr>
            <w:r>
              <w:rPr>
                <w:rFonts w:ascii="Times New Roman" w:hAnsi="Times New Roman"/>
                <w:b/>
                <w:bCs/>
                <w:color w:val="000000"/>
                <w:sz w:val="20"/>
                <w:szCs w:val="20"/>
              </w:rPr>
              <w:t>No.</w:t>
            </w:r>
            <w:r>
              <w:rPr>
                <w:rFonts w:ascii="Times New Roman" w:hAnsi="Times New Roman" w:cs="Shruti"/>
                <w:b/>
                <w:bCs/>
                <w:color w:val="000000"/>
                <w:sz w:val="20"/>
                <w:szCs w:val="20"/>
              </w:rPr>
              <w:t xml:space="preserve"> Affected by the Requirement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s="Shruti"/>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Shruti"/>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s="Shruti"/>
                <w:color w:val="000000"/>
                <w:sz w:val="20"/>
                <w:szCs w:val="20"/>
              </w:rPr>
            </w:pPr>
            <w:r>
              <w:rPr>
                <w:rFonts w:ascii="Times New Roman" w:hAnsi="Times New Roman" w:cs="Shruti"/>
                <w:b/>
                <w:bCs/>
                <w:color w:val="000000"/>
                <w:sz w:val="20"/>
                <w:szCs w:val="20"/>
              </w:rPr>
              <w:t>Total Hours</w:t>
            </w:r>
            <w:r>
              <w:rPr>
                <w:rFonts w:ascii="Times New Roman" w:hAnsi="Times New Roman" w:cs="Shruti"/>
                <w:color w:val="000000"/>
                <w:sz w:val="20"/>
                <w:szCs w:val="20"/>
                <w:vertAlign w:val="superscript"/>
              </w:rPr>
              <w:t>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s="Shruti"/>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Labor Category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Hourly Wage</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Rate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Total</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Cost</w:t>
            </w:r>
            <w:r>
              <w:rPr>
                <w:rFonts w:ascii="Times New Roman" w:hAnsi="Times New Roman"/>
                <w:color w:val="000000"/>
                <w:sz w:val="20"/>
                <w:szCs w:val="20"/>
                <w:vertAlign w:val="superscript"/>
              </w:rPr>
              <w:t>2</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1910.401(b)</w:t>
            </w:r>
            <w:r>
              <w:rPr>
                <w:rFonts w:ascii="Times New Roman" w:hAnsi="Times New Roman"/>
                <w:color w:val="000000"/>
                <w:sz w:val="20"/>
                <w:szCs w:val="20"/>
                <w:vertAlign w:val="superscript"/>
              </w:rPr>
              <w:t>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 w:val="20"/>
                <w:szCs w:val="20"/>
              </w:rPr>
            </w:pPr>
            <w:r>
              <w:rPr>
                <w:rFonts w:ascii="Times New Roman" w:hAnsi="Times New Roman"/>
                <w:color w:val="000000"/>
                <w:sz w:val="20"/>
                <w:szCs w:val="20"/>
              </w:rPr>
              <w:t>0.25 (phone)</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2.00 (written)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1910.410(a)(3) and (a)(4)</w:t>
            </w:r>
            <w:r>
              <w:rPr>
                <w:rFonts w:ascii="Times New Roman" w:hAnsi="Times New Roman"/>
                <w:color w:val="000000"/>
                <w:sz w:val="20"/>
                <w:szCs w:val="20"/>
                <w:vertAlign w:val="superscript"/>
              </w:rPr>
              <w:t>4</w:t>
            </w:r>
          </w:p>
        </w:tc>
        <w:tc>
          <w:tcPr>
            <w:tcW w:w="0" w:type="auto"/>
            <w:tcBorders>
              <w:top w:val="single" w:sz="7" w:space="0" w:color="000000"/>
              <w:left w:val="single" w:sz="7" w:space="0" w:color="000000"/>
              <w:bottom w:val="single" w:sz="4" w:space="0" w:color="auto"/>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cantSplit/>
          <w:jc w:val="center"/>
        </w:trPr>
        <w:tc>
          <w:tcPr>
            <w:tcW w:w="0" w:type="auto"/>
            <w:vMerge w:val="restart"/>
            <w:tcBorders>
              <w:top w:val="single" w:sz="7" w:space="0" w:color="000000"/>
              <w:left w:val="single" w:sz="7" w:space="0" w:color="000000"/>
              <w:bottom w:val="nil"/>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1910.420(a) and (b)</w:t>
            </w:r>
            <w:r>
              <w:rPr>
                <w:rFonts w:ascii="Times New Roman" w:hAnsi="Times New Roman"/>
                <w:color w:val="000000"/>
                <w:sz w:val="20"/>
                <w:szCs w:val="20"/>
                <w:vertAlign w:val="superscript"/>
              </w:rPr>
              <w:t>5</w:t>
            </w:r>
          </w:p>
        </w:tc>
        <w:tc>
          <w:tcPr>
            <w:tcW w:w="0" w:type="auto"/>
            <w:tcBorders>
              <w:top w:val="single" w:sz="4" w:space="0" w:color="auto"/>
              <w:left w:val="single" w:sz="4" w:space="0" w:color="auto"/>
              <w:bottom w:val="single" w:sz="4" w:space="0" w:color="auto"/>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1.00</w:t>
            </w:r>
          </w:p>
        </w:tc>
        <w:tc>
          <w:tcPr>
            <w:tcW w:w="0" w:type="auto"/>
            <w:tcBorders>
              <w:top w:val="single" w:sz="7" w:space="0" w:color="000000"/>
              <w:left w:val="single" w:sz="4" w:space="0" w:color="auto"/>
              <w:bottom w:val="nil"/>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300 new facilities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$32.33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$9,699</w:t>
            </w:r>
          </w:p>
        </w:tc>
      </w:tr>
      <w:tr w:rsidR="00AF6229" w:rsidTr="005D3603">
        <w:trPr>
          <w:cantSplit/>
          <w:jc w:val="center"/>
        </w:trPr>
        <w:tc>
          <w:tcPr>
            <w:tcW w:w="0" w:type="auto"/>
            <w:vMerge/>
            <w:tcBorders>
              <w:top w:val="nil"/>
              <w:left w:val="single" w:sz="7" w:space="0" w:color="000000"/>
              <w:bottom w:val="single" w:sz="7" w:space="0" w:color="000000"/>
              <w:right w:val="single" w:sz="4" w:space="0" w:color="auto"/>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4" w:space="0" w:color="auto"/>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3,000 facilities to update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150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$32.33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$4,850</w:t>
            </w:r>
          </w:p>
        </w:tc>
      </w:tr>
      <w:tr w:rsidR="00AF6229" w:rsidTr="005D3603">
        <w:trPr>
          <w:jc w:val="center"/>
        </w:trPr>
        <w:tc>
          <w:tcPr>
            <w:tcW w:w="0" w:type="auto"/>
            <w:tcBorders>
              <w:top w:val="single" w:sz="7" w:space="0" w:color="000000"/>
              <w:left w:val="single" w:sz="7" w:space="0" w:color="000000"/>
              <w:bottom w:val="single" w:sz="7" w:space="0" w:color="000000"/>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1910.421(b)</w:t>
            </w:r>
            <w:r>
              <w:rPr>
                <w:rFonts w:ascii="Times New Roman" w:hAnsi="Times New Roman"/>
                <w:color w:val="000000"/>
                <w:sz w:val="20"/>
                <w:szCs w:val="20"/>
                <w:vertAlign w:val="superscript"/>
              </w:rPr>
              <w:t>6</w:t>
            </w:r>
          </w:p>
        </w:tc>
        <w:tc>
          <w:tcPr>
            <w:tcW w:w="0" w:type="auto"/>
            <w:tcBorders>
              <w:top w:val="single" w:sz="4" w:space="0" w:color="auto"/>
              <w:left w:val="single" w:sz="4" w:space="0" w:color="auto"/>
              <w:bottom w:val="single" w:sz="4" w:space="0" w:color="auto"/>
              <w:right w:val="single" w:sz="4" w:space="0" w:color="auto"/>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4" w:space="0" w:color="auto"/>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1910.421(f)</w:t>
            </w:r>
            <w:r>
              <w:rPr>
                <w:rFonts w:ascii="Times New Roman" w:hAnsi="Times New Roman"/>
                <w:color w:val="000000"/>
                <w:sz w:val="20"/>
                <w:szCs w:val="20"/>
                <w:vertAlign w:val="superscript"/>
              </w:rPr>
              <w:t>6</w:t>
            </w:r>
          </w:p>
        </w:tc>
        <w:tc>
          <w:tcPr>
            <w:tcW w:w="0" w:type="auto"/>
            <w:tcBorders>
              <w:top w:val="single" w:sz="4" w:space="0" w:color="auto"/>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1910.421(h)</w:t>
            </w:r>
            <w:r>
              <w:rPr>
                <w:rFonts w:ascii="Times New Roman" w:hAnsi="Times New Roman"/>
                <w:color w:val="000000"/>
                <w:sz w:val="20"/>
                <w:szCs w:val="20"/>
                <w:vertAlign w:val="superscript"/>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1910.422(e)</w:t>
            </w:r>
            <w:r>
              <w:rPr>
                <w:rFonts w:ascii="Times New Roman" w:hAnsi="Times New Roman"/>
                <w:color w:val="000000"/>
                <w:sz w:val="20"/>
                <w:szCs w:val="20"/>
                <w:vertAlign w:val="superscript"/>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1910.423(b)(1)(ii) and (b)(2)</w:t>
            </w:r>
            <w:r>
              <w:rPr>
                <w:rFonts w:ascii="Times New Roman" w:hAnsi="Times New Roman"/>
                <w:color w:val="000000"/>
                <w:sz w:val="20"/>
                <w:szCs w:val="20"/>
                <w:vertAlign w:val="superscript"/>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1,500,000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120,000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$1,939,200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150,000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12,000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$193,92</w:t>
            </w:r>
            <w:r w:rsidR="00AF6229">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16,500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1,320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$32.33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$42,676</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16,500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16,500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$32.33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$533,445</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1910.430(a)</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180,000 records</w:t>
            </w:r>
            <w:r>
              <w:rPr>
                <w:rFonts w:ascii="Times New Roman" w:hAnsi="Times New Roman"/>
                <w:color w:val="000000"/>
                <w:sz w:val="20"/>
                <w:szCs w:val="20"/>
                <w:vertAlign w:val="superscript"/>
              </w:rPr>
              <w:t>7</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9,000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$145,440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1910.430(b)(4)</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6,000 records</w:t>
            </w:r>
            <w:r>
              <w:rPr>
                <w:rFonts w:ascii="Times New Roman" w:hAnsi="Times New Roman"/>
                <w:color w:val="000000"/>
                <w:sz w:val="20"/>
                <w:szCs w:val="20"/>
                <w:vertAlign w:val="superscript"/>
              </w:rPr>
              <w:t>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$4,848</w:t>
            </w:r>
          </w:p>
        </w:tc>
      </w:tr>
      <w:tr w:rsidR="00AF6229" w:rsidTr="005D3603">
        <w:trPr>
          <w:trHeight w:hRule="exact" w:val="392"/>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1910.430(c)(1)(iii)</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20,000 records</w:t>
            </w:r>
            <w:r>
              <w:rPr>
                <w:rFonts w:ascii="Times New Roman" w:hAnsi="Times New Roman"/>
                <w:color w:val="000000"/>
                <w:sz w:val="20"/>
                <w:szCs w:val="20"/>
                <w:vertAlign w:val="superscript"/>
              </w:rPr>
              <w:t>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1910.430(c)(3)(i)</w:t>
            </w:r>
            <w:r>
              <w:rPr>
                <w:rFonts w:ascii="Times New Roman" w:hAnsi="Times New Roman"/>
                <w:color w:val="000000"/>
                <w:sz w:val="20"/>
                <w:szCs w:val="20"/>
                <w:vertAlign w:val="superscript"/>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1910.430(f)(3)(ii)</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300 records</w:t>
            </w:r>
            <w:r>
              <w:rPr>
                <w:rFonts w:ascii="Times New Roman" w:hAnsi="Times New Roman"/>
                <w:color w:val="000000"/>
                <w:sz w:val="20"/>
                <w:szCs w:val="20"/>
                <w:vertAlign w:val="superscript"/>
              </w:rPr>
              <w:t>10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$242</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1910.430(g)(2)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12,000 records</w:t>
            </w:r>
            <w:r>
              <w:rPr>
                <w:rFonts w:ascii="Times New Roman" w:hAnsi="Times New Roman"/>
                <w:color w:val="000000"/>
                <w:sz w:val="20"/>
                <w:szCs w:val="20"/>
                <w:vertAlign w:val="superscript"/>
              </w:rPr>
              <w:t>11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600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$16.16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$9,696</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1910.440(a)(2)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.17</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165 records</w:t>
            </w:r>
            <w:r>
              <w:rPr>
                <w:rFonts w:ascii="Times New Roman" w:hAnsi="Times New Roman"/>
                <w:color w:val="000000"/>
                <w:sz w:val="20"/>
                <w:szCs w:val="20"/>
                <w:vertAlign w:val="superscript"/>
              </w:rPr>
              <w:t>12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$32.33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$905</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1910.440(b)(1) and (b)(2)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 w:val="20"/>
                <w:szCs w:val="20"/>
              </w:rPr>
            </w:pPr>
            <w:r>
              <w:rPr>
                <w:rFonts w:ascii="Times New Roman" w:hAnsi="Times New Roman"/>
                <w:color w:val="000000"/>
                <w:sz w:val="20"/>
                <w:szCs w:val="20"/>
              </w:rPr>
              <w:t>190,447</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records</w:t>
            </w:r>
            <w:r>
              <w:rPr>
                <w:rFonts w:ascii="Times New Roman" w:hAnsi="Times New Roman"/>
                <w:color w:val="000000"/>
                <w:sz w:val="20"/>
                <w:szCs w:val="20"/>
                <w:vertAlign w:val="superscript"/>
              </w:rPr>
              <w:t>13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5,713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Secretary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$21.85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$124,829</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1910.440(b)(3)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 w:val="20"/>
                <w:szCs w:val="20"/>
              </w:rPr>
            </w:pPr>
            <w:r>
              <w:rPr>
                <w:rFonts w:ascii="Times New Roman" w:hAnsi="Times New Roman"/>
                <w:color w:val="000000"/>
                <w:sz w:val="20"/>
                <w:szCs w:val="20"/>
              </w:rPr>
              <w:t>1,904,465</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records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38,089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Secretary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$21.85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$832,245</w:t>
            </w:r>
          </w:p>
        </w:tc>
      </w:tr>
      <w:tr w:rsidR="00AF622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b/>
                <w:bCs/>
                <w:color w:val="000000"/>
                <w:sz w:val="20"/>
                <w:szCs w:val="20"/>
              </w:rPr>
              <w:t>Totals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Pr="002E7B12"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Bold" w:hAnsi="Times New Roman Bold"/>
                <w:b/>
                <w:color w:val="000000"/>
                <w:sz w:val="20"/>
                <w:szCs w:val="20"/>
              </w:rPr>
            </w:pPr>
            <w:r>
              <w:rPr>
                <w:rFonts w:ascii="Times New Roman Bold" w:hAnsi="Times New Roman Bold"/>
                <w:b/>
                <w:color w:val="000000"/>
                <w:sz w:val="20"/>
                <w:szCs w:val="20"/>
              </w:rPr>
              <w:t>3,996,377</w:t>
            </w:r>
          </w:p>
          <w:p w:rsidR="00AF6229" w:rsidRPr="00B87E2C"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Bold" w:hAnsi="Times New Roman Bold"/>
                <w:b/>
                <w:color w:val="000000"/>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AF6229" w:rsidRPr="00B87E2C"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Bold" w:hAnsi="Times New Roman Bold"/>
                <w:b/>
                <w:color w:val="000000"/>
                <w:sz w:val="20"/>
                <w:szCs w:val="20"/>
              </w:rPr>
            </w:pPr>
            <w:r>
              <w:rPr>
                <w:rFonts w:ascii="Times New Roman Bold" w:hAnsi="Times New Roman Bold"/>
                <w:b/>
                <w:color w:val="000000"/>
                <w:sz w:val="20"/>
                <w:szCs w:val="20"/>
              </w:rPr>
              <w:t>205,015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Pr="00B87E2C"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Bold" w:hAnsi="Times New Roman Bold"/>
                <w:b/>
                <w:color w:val="000000"/>
                <w:sz w:val="20"/>
                <w:szCs w:val="20"/>
              </w:rPr>
            </w:pPr>
            <w:r>
              <w:rPr>
                <w:rFonts w:ascii="Times New Roman Bold" w:hAnsi="Times New Roman Bold"/>
                <w:b/>
                <w:color w:val="000000"/>
                <w:sz w:val="20"/>
                <w:szCs w:val="20"/>
              </w:rPr>
              <w:t>$3,858,155</w:t>
            </w:r>
          </w:p>
        </w:tc>
      </w:tr>
    </w:tbl>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Chart Footnotes: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Pr="00D67E5A">
        <w:rPr>
          <w:rFonts w:ascii="Times New Roman" w:hAnsi="Times New Roman"/>
          <w:color w:val="000000"/>
          <w:sz w:val="22"/>
          <w:szCs w:val="22"/>
          <w:vertAlign w:val="superscript"/>
        </w:rPr>
        <w:t>1</w:t>
      </w:r>
      <w:r>
        <w:rPr>
          <w:rFonts w:ascii="Times New Roman" w:hAnsi="Times New Roman"/>
          <w:color w:val="000000"/>
          <w:sz w:val="20"/>
          <w:szCs w:val="20"/>
        </w:rPr>
        <w:t>Determined by multiplying the value in “Time to Perform (Hours)” by the value in “No. Affected by the Requirement.”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Pr="00D67E5A">
        <w:rPr>
          <w:rFonts w:ascii="Times New Roman" w:hAnsi="Times New Roman"/>
          <w:color w:val="000000"/>
          <w:sz w:val="22"/>
          <w:szCs w:val="22"/>
          <w:vertAlign w:val="superscript"/>
        </w:rPr>
        <w:t>2</w:t>
      </w:r>
      <w:r>
        <w:rPr>
          <w:rFonts w:ascii="Times New Roman" w:hAnsi="Times New Roman"/>
          <w:color w:val="000000"/>
          <w:sz w:val="20"/>
          <w:szCs w:val="20"/>
        </w:rPr>
        <w:t>Total cost per each requirement determined by multiplying the value in “Total Hours” by the value in “Hourly Wage Rate.”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lastRenderedPageBreak/>
        <w:t xml:space="preserve">   </w:t>
      </w:r>
      <w:r w:rsidRPr="00D67E5A">
        <w:rPr>
          <w:rFonts w:ascii="Times New Roman" w:hAnsi="Times New Roman"/>
          <w:color w:val="000000"/>
          <w:sz w:val="22"/>
          <w:szCs w:val="22"/>
          <w:vertAlign w:val="superscript"/>
        </w:rPr>
        <w:t>3</w:t>
      </w:r>
      <w:r w:rsidRPr="007A6C22">
        <w:rPr>
          <w:rFonts w:ascii="Times New Roman" w:hAnsi="Times New Roman"/>
          <w:color w:val="000000"/>
          <w:sz w:val="20"/>
          <w:szCs w:val="20"/>
        </w:rPr>
        <w:t>D</w:t>
      </w:r>
      <w:r>
        <w:rPr>
          <w:rFonts w:ascii="Times New Roman" w:hAnsi="Times New Roman"/>
          <w:color w:val="000000"/>
          <w:sz w:val="20"/>
          <w:szCs w:val="20"/>
        </w:rPr>
        <w:t>uring the period covered by the last Information Collection Request (ICR), OSHA staff in the Office of Maritime Enforcement believed that no employers reported deviations from the requirements of the Subpart; therefore, the Agency assumes that this rate will continue.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FootnoteText"/>
        <w:rPr>
          <w:color w:val="000000"/>
        </w:rPr>
      </w:pPr>
      <w:r>
        <w:rPr>
          <w:sz w:val="22"/>
          <w:vertAlign w:val="superscript"/>
        </w:rPr>
        <w:t xml:space="preserve"> </w:t>
      </w:r>
      <w:r>
        <w:t xml:space="preserve"> </w:t>
      </w:r>
      <w:r>
        <w:rPr>
          <w:color w:val="000000"/>
        </w:rPr>
        <w:t xml:space="preserve">   </w:t>
      </w:r>
      <w:r>
        <w:rPr>
          <w:color w:val="000000"/>
          <w:sz w:val="22"/>
          <w:szCs w:val="22"/>
          <w:vertAlign w:val="superscript"/>
        </w:rPr>
        <w:t>4</w:t>
      </w:r>
      <w:r>
        <w:rPr>
          <w:color w:val="000000"/>
        </w:rPr>
        <w:t>The Agency considers the requirements to train dive-team members in CPR and first aid, as well as members involved in hyperbaric conditions in diving-related physics and physiology, to be a condition of employment (i.e., this instruction occurs during pre-employment training) and is taking no burden hours for these requirements.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2"/>
          <w:szCs w:val="22"/>
          <w:vertAlign w:val="superscript"/>
        </w:rPr>
        <w:tab/>
        <w:t>5</w:t>
      </w:r>
      <w:r>
        <w:rPr>
          <w:rFonts w:ascii="Times New Roman" w:hAnsi="Times New Roman"/>
          <w:color w:val="000000"/>
          <w:sz w:val="20"/>
          <w:szCs w:val="20"/>
        </w:rPr>
        <w:t>Estimated number of facilities requiring new or replacement safe practices manuals; the Agency assumes that each manual takes about one hour (1.00 hour) to develop.</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2"/>
          <w:szCs w:val="22"/>
          <w:vertAlign w:val="superscript"/>
        </w:rPr>
        <w:t>6</w:t>
      </w:r>
      <w:r>
        <w:rPr>
          <w:rFonts w:ascii="Times New Roman" w:hAnsi="Times New Roman"/>
          <w:color w:val="000000"/>
          <w:sz w:val="20"/>
          <w:szCs w:val="20"/>
        </w:rPr>
        <w:t>OSHA considers this requirement to be a usual and customary practice in the industry and, therefore, is taking no burden hours for this requirement.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2"/>
          <w:szCs w:val="22"/>
          <w:vertAlign w:val="superscript"/>
        </w:rPr>
        <w:t>7</w:t>
      </w:r>
      <w:r>
        <w:rPr>
          <w:rFonts w:ascii="Times New Roman" w:hAnsi="Times New Roman"/>
          <w:color w:val="000000"/>
          <w:sz w:val="20"/>
          <w:szCs w:val="20"/>
        </w:rPr>
        <w:t>The Agency assumes that, at each facility, 60 pieces of equipment (other than equipment identified specifically in the Subpart) require modifications, repairs, tests, calibrations, or maintenance each year (i.e., 3,000 facilities x 60 pieces of equipment = 180,000 records).  While OSHA believes that modifying, repairing, testing, calibrating, and maintaining equipment is usual and customary for the industry, the requirement to record this work may not be usual and customary; therefore, the Agency is taking only the burden for recording the work performed on the equipment.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color w:val="000000"/>
          <w:sz w:val="20"/>
          <w:szCs w:val="20"/>
        </w:rPr>
        <w:t xml:space="preserve">   </w:t>
      </w:r>
      <w:r>
        <w:rPr>
          <w:rFonts w:ascii="Times New Roman" w:hAnsi="Times New Roman"/>
          <w:color w:val="000000"/>
          <w:sz w:val="22"/>
          <w:szCs w:val="22"/>
          <w:vertAlign w:val="superscript"/>
        </w:rPr>
        <w:t>8</w:t>
      </w:r>
      <w:r>
        <w:rPr>
          <w:rFonts w:ascii="Times New Roman" w:hAnsi="Times New Roman"/>
          <w:color w:val="000000"/>
          <w:sz w:val="20"/>
          <w:szCs w:val="20"/>
        </w:rPr>
        <w:t>With an average of just over three divers per facility, the Agency assumes that each facility has one air-compressor system, and that the employer tests the compressor output twice a year (i.e., 3,000 facilities x 2 tests = 6,000 records).  While OSHA believes that testing compressor output in this manner is a usual and customary practice for the industry, recording the test results may not be usual and customary; therefore, the Agency is taking only the burden for recording the test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 xml:space="preserve">  </w:t>
      </w:r>
      <w:r>
        <w:rPr>
          <w:rFonts w:ascii="Times New Roman" w:hAnsi="Times New Roman"/>
          <w:color w:val="000000"/>
          <w:sz w:val="20"/>
          <w:szCs w:val="20"/>
          <w:vertAlign w:val="superscript"/>
        </w:rPr>
        <w:t xml:space="preserve"> </w:t>
      </w:r>
      <w:r>
        <w:rPr>
          <w:rFonts w:ascii="Times New Roman" w:hAnsi="Times New Roman"/>
          <w:color w:val="000000"/>
          <w:sz w:val="22"/>
          <w:szCs w:val="22"/>
          <w:vertAlign w:val="superscript"/>
        </w:rPr>
        <w:t>9</w:t>
      </w:r>
      <w:r>
        <w:rPr>
          <w:rFonts w:ascii="Times New Roman" w:hAnsi="Times New Roman"/>
          <w:color w:val="000000"/>
          <w:sz w:val="20"/>
          <w:szCs w:val="20"/>
        </w:rPr>
        <w:t>OSHA estimates that each diver has two breathing-gas hoses, one for regular use and a spare, that require testing once a year (i.e., 10,000 divers x 2 hoses x 1 test = 20,000 records).  While the Agency believes that testing breathing-gas hoses in this manner is a usual and customary practice for the industry, recording the test results may not be usual and customary; therefore, OSHA is taking only the burden for recording the test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vertAlign w:val="superscript"/>
        </w:rPr>
      </w:pPr>
      <w:r>
        <w:rPr>
          <w:rFonts w:ascii="Times New Roman" w:hAnsi="Times New Roman"/>
          <w:color w:val="000000"/>
          <w:sz w:val="20"/>
          <w:szCs w:val="20"/>
        </w:rPr>
        <w:t xml:space="preserve">  </w:t>
      </w:r>
      <w:r>
        <w:rPr>
          <w:rFonts w:ascii="Times New Roman" w:hAnsi="Times New Roman"/>
          <w:b/>
          <w:bCs/>
          <w:color w:val="000000"/>
          <w:sz w:val="20"/>
          <w:szCs w:val="20"/>
        </w:rPr>
        <w:t xml:space="preserve"> </w:t>
      </w:r>
      <w:r>
        <w:rPr>
          <w:rFonts w:ascii="Times New Roman" w:hAnsi="Times New Roman"/>
          <w:color w:val="000000"/>
          <w:sz w:val="22"/>
          <w:szCs w:val="22"/>
          <w:vertAlign w:val="superscript"/>
        </w:rPr>
        <w:t>10</w:t>
      </w:r>
      <w:r>
        <w:rPr>
          <w:rFonts w:ascii="Times New Roman" w:hAnsi="Times New Roman"/>
          <w:color w:val="000000"/>
          <w:sz w:val="20"/>
          <w:szCs w:val="20"/>
        </w:rPr>
        <w:t>The Agency assumes that 5% (150) of the facilities have a decompression chamber and that employers perform an inspection-and-maintenance procedure on the mufflers in the intake and exhaust lines of each chamber twice a year (i.e., 150 chambers x 2 procedures = 300 records).  While OSHA believes that regularly inspecting and maintaining mufflers on decompression chambers is usual and customary for the industry, making a record of this work may not be usual and customary; therefore, the Agency is taking only the burden for making the record.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vertAlign w:val="superscript"/>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vertAlign w:val="superscript"/>
        </w:rPr>
        <w:t xml:space="preserve">   </w:t>
      </w:r>
      <w:r>
        <w:rPr>
          <w:rFonts w:ascii="Times New Roman" w:hAnsi="Times New Roman"/>
          <w:color w:val="000000"/>
          <w:sz w:val="22"/>
          <w:szCs w:val="22"/>
          <w:vertAlign w:val="superscript"/>
        </w:rPr>
        <w:t>11</w:t>
      </w:r>
      <w:r>
        <w:rPr>
          <w:rFonts w:ascii="Times New Roman" w:hAnsi="Times New Roman"/>
          <w:color w:val="000000"/>
          <w:sz w:val="20"/>
          <w:szCs w:val="20"/>
        </w:rPr>
        <w:t>OSHA estimates that each facility has two depth gauges, one for regular use and a spare, and that the employer calibrates each gauge twice a year (i.e., 3,000 facilities x 2 gauges x 2 calibrations = 12,000 records).  While the Agency believes that calibrating depth gauges in this manner is a usual and customary practice for the industry, recording the calibration results may not be usual and customary; therefore, OSHA is taking only the burden for recording the calibration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2"/>
          <w:szCs w:val="22"/>
          <w:vertAlign w:val="superscript"/>
        </w:rPr>
        <w:t>12</w:t>
      </w:r>
      <w:r>
        <w:rPr>
          <w:rFonts w:ascii="Times New Roman" w:hAnsi="Times New Roman"/>
          <w:color w:val="000000"/>
          <w:sz w:val="20"/>
          <w:szCs w:val="20"/>
        </w:rPr>
        <w:t>The Agency assumes that 1% (165) of the 16,500 dives that result in DCS require hospitalization for at least 24 hours.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2"/>
          <w:szCs w:val="22"/>
          <w:vertAlign w:val="superscript"/>
        </w:rPr>
        <w:t>13</w:t>
      </w:r>
      <w:r>
        <w:rPr>
          <w:rFonts w:ascii="Times New Roman" w:hAnsi="Times New Roman"/>
          <w:color w:val="000000"/>
          <w:sz w:val="20"/>
          <w:szCs w:val="20"/>
        </w:rPr>
        <w:t xml:space="preserve">The Subpart has the following record requirements:  Safe practices manuals, 3,000 (both existing manuals and manuals requiring development under § 1910.420); diving records, 1,666,500; DCS incident assessments, 16,500; hospitalization records, 165; and equipment inspections and testing records, 218,300.  (The Agency took no burden for depth-time profiles (§ 1910.422(e)) because these records are temporary; employers maintain them only until the end of a dive, and then replace them with the diving record (§ 1910.423(d)) or the DCS incident assessment </w:t>
      </w:r>
      <w:r>
        <w:rPr>
          <w:rFonts w:ascii="Times New Roman" w:hAnsi="Times New Roman"/>
          <w:color w:val="000000"/>
          <w:sz w:val="20"/>
          <w:szCs w:val="20"/>
        </w:rPr>
        <w:lastRenderedPageBreak/>
        <w:t xml:space="preserve">(§1910.423(e)).)  These requirements total 1,904,465 records, or 635 records per facility (i.e., 1,904,465 records </w:t>
      </w:r>
      <w:r>
        <w:rPr>
          <w:rFonts w:ascii="Times New Roman" w:hAnsi="Times New Roman"/>
          <w:color w:val="000000"/>
          <w:sz w:val="20"/>
          <w:szCs w:val="20"/>
        </w:rPr>
        <w:sym w:font="Symbol" w:char="F0B8"/>
      </w:r>
      <w:r>
        <w:rPr>
          <w:rFonts w:ascii="Times New Roman" w:hAnsi="Times New Roman"/>
          <w:color w:val="000000"/>
          <w:sz w:val="20"/>
          <w:szCs w:val="20"/>
        </w:rPr>
        <w:t xml:space="preserve"> 3,000 facilities).  The Agency assumes that workers or their designated representative request access to 10% (190,447) of these records each year.  OSHA estimates that a secretary requires about two minutes (0.03 hour) to maintain each record.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13.  Provide an estimate of the total annual cost burden to respondents or recordkeepers resulting from the collection of information.  (Do not include the cost of any hour burden shown in Items 12 and 14.)</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rFonts w:ascii="Times New Roman" w:hAnsi="Times New Roman"/>
          <w:color w:val="000000"/>
          <w:sz w:val="20"/>
          <w:szCs w:val="20"/>
        </w:rPr>
        <w: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b/>
          <w:bCs/>
          <w:color w:val="000000"/>
          <w:sz w:val="20"/>
          <w:szCs w:val="20"/>
        </w:rPr>
        <w:t>government,</w:t>
      </w:r>
      <w:proofErr w:type="gramEnd"/>
      <w:r>
        <w:rPr>
          <w:rFonts w:ascii="Times New Roman" w:hAnsi="Times New Roman"/>
          <w:b/>
          <w:bCs/>
          <w:color w:val="000000"/>
          <w:sz w:val="20"/>
          <w:szCs w:val="20"/>
        </w:rPr>
        <w:t xml:space="preserve"> or (4) as part of customary and usual business or private practices.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Pr="002D79E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D79E0">
        <w:rPr>
          <w:rFonts w:ascii="Times New Roman" w:hAnsi="Times New Roman"/>
          <w:color w:val="000000"/>
        </w:rPr>
        <w:t xml:space="preserve">There are no capital or start-up costs for the collection of information requirements contained in (29 CFR part 1910, subpart T). </w:t>
      </w:r>
    </w:p>
    <w:p w:rsidR="00AF6229" w:rsidRPr="00300E76"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Pr>
          <w:rFonts w:ascii="Times New Roman" w:hAnsi="Times New Roman"/>
          <w:b/>
          <w:bCs/>
          <w:color w:val="000000"/>
          <w:sz w:val="20"/>
          <w:szCs w:val="20"/>
        </w:rPr>
        <w:t>any</w:t>
      </w:r>
      <w:proofErr w:type="gramEnd"/>
      <w:r>
        <w:rPr>
          <w:rFonts w:ascii="Times New Roman" w:hAnsi="Times New Roman"/>
          <w:b/>
          <w:bCs/>
          <w:color w:val="000000"/>
          <w:sz w:val="20"/>
          <w:szCs w:val="20"/>
        </w:rPr>
        <w:t xml:space="preserve"> other expense that would not have been incurred without this collection of information.  Agencies also may aggregate cost estimates from Items 12, 13, and 14 into a single table.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There are no costs to the Federal Government.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15.  Explain the reasons for any program changes or adjustments.</w:t>
      </w:r>
    </w:p>
    <w:p w:rsidR="00AF6229" w:rsidRPr="003C1DA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AF6229" w:rsidRPr="002D79E0" w:rsidRDefault="00AF6229" w:rsidP="00AF6229">
      <w:pPr>
        <w:rPr>
          <w:rFonts w:ascii="Times New Roman" w:hAnsi="Times New Roman"/>
          <w:b/>
          <w:szCs w:val="22"/>
        </w:rPr>
      </w:pPr>
      <w:r w:rsidRPr="001E2927">
        <w:rPr>
          <w:rFonts w:ascii="Times New Roman" w:hAnsi="Times New Roman"/>
          <w:szCs w:val="22"/>
        </w:rPr>
        <w:t xml:space="preserve">OSHA is requesting a net adjustment decrease of </w:t>
      </w:r>
      <w:r>
        <w:rPr>
          <w:rFonts w:ascii="Times New Roman" w:hAnsi="Times New Roman"/>
          <w:noProof/>
        </w:rPr>
        <w:t xml:space="preserve">81 </w:t>
      </w:r>
      <w:r w:rsidRPr="001E2927">
        <w:rPr>
          <w:rFonts w:ascii="Times New Roman" w:hAnsi="Times New Roman"/>
          <w:szCs w:val="22"/>
        </w:rPr>
        <w:t xml:space="preserve">burden hours (from </w:t>
      </w:r>
      <w:r>
        <w:rPr>
          <w:rFonts w:ascii="Times New Roman" w:hAnsi="Times New Roman"/>
          <w:szCs w:val="22"/>
        </w:rPr>
        <w:t>205,096</w:t>
      </w:r>
      <w:r w:rsidRPr="001E2927">
        <w:rPr>
          <w:rFonts w:ascii="Times New Roman" w:hAnsi="Times New Roman"/>
          <w:szCs w:val="22"/>
        </w:rPr>
        <w:t xml:space="preserve"> hours </w:t>
      </w:r>
      <w:r w:rsidRPr="001E2927">
        <w:rPr>
          <w:rFonts w:ascii="Times New Roman" w:hAnsi="Times New Roman"/>
        </w:rPr>
        <w:t>to</w:t>
      </w:r>
      <w:r>
        <w:rPr>
          <w:rFonts w:ascii="Times New Roman" w:hAnsi="Times New Roman"/>
        </w:rPr>
        <w:t xml:space="preserve"> 205,015 </w:t>
      </w:r>
      <w:r w:rsidRPr="001E2927">
        <w:rPr>
          <w:rFonts w:ascii="Times New Roman" w:hAnsi="Times New Roman"/>
        </w:rPr>
        <w:t>hours</w:t>
      </w:r>
      <w:r w:rsidRPr="001E2927">
        <w:rPr>
          <w:rFonts w:ascii="Times New Roman" w:hAnsi="Times New Roman"/>
          <w:szCs w:val="22"/>
        </w:rPr>
        <w:t xml:space="preserve">).  </w:t>
      </w:r>
      <w:r w:rsidRPr="002D79E0">
        <w:rPr>
          <w:rFonts w:ascii="Times New Roman" w:hAnsi="Times New Roman" w:cs="Shruti"/>
        </w:rPr>
        <w:t>The Agency has determined that inspection activities are not within the scope PRA</w:t>
      </w:r>
      <w:r>
        <w:rPr>
          <w:rFonts w:ascii="Times New Roman" w:hAnsi="Times New Roman" w:cs="Shruti"/>
        </w:rPr>
        <w:t xml:space="preserve"> </w:t>
      </w:r>
      <w:r w:rsidRPr="002D79E0">
        <w:rPr>
          <w:rFonts w:ascii="Times New Roman" w:hAnsi="Times New Roman"/>
          <w:szCs w:val="22"/>
        </w:rPr>
        <w:t>under 5 CFR 1320.4(A</w:t>
      </w:r>
      <w:bookmarkStart w:id="1" w:name="_GoBack"/>
      <w:bookmarkEnd w:id="1"/>
      <w:r w:rsidRPr="002D79E0">
        <w:rPr>
          <w:rFonts w:ascii="Times New Roman" w:hAnsi="Times New Roman"/>
          <w:szCs w:val="22"/>
        </w:rPr>
        <w:t>)(2)</w:t>
      </w:r>
      <w:r w:rsidRPr="002D79E0">
        <w:rPr>
          <w:rFonts w:ascii="Times New Roman" w:hAnsi="Times New Roman" w:cs="Shruti"/>
        </w:rPr>
        <w:t>, therefore</w:t>
      </w:r>
      <w:r>
        <w:rPr>
          <w:rFonts w:ascii="Times New Roman" w:hAnsi="Times New Roman" w:cs="Shruti"/>
        </w:rPr>
        <w:t>,</w:t>
      </w:r>
      <w:r w:rsidRPr="002D79E0">
        <w:rPr>
          <w:rFonts w:ascii="Times New Roman" w:hAnsi="Times New Roman" w:cs="Shruti"/>
        </w:rPr>
        <w:t xml:space="preserve"> the Agency is no longer taking burden hour or cost for disclosing records. </w:t>
      </w:r>
    </w:p>
    <w:p w:rsidR="00AF6229" w:rsidRPr="003C1DA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lastRenderedPageBreak/>
        <w:t xml:space="preserve"> 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color w:val="000000"/>
          <w:sz w:val="20"/>
          <w:szCs w:val="20"/>
        </w:rPr>
        <w: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18"/>
          <w:szCs w:val="18"/>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OSHA will not publish the information collected under the Subpart.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17.  If seeking approval to not display the expiration date for OMB approval of the information collection, explain the reasons that display would be inappropriate.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18"/>
          <w:szCs w:val="18"/>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No forms are available for the Agency to display the expiration date.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numPr>
          <w:ilvl w:val="0"/>
          <w:numId w:val="2"/>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bCs/>
          <w:color w:val="000000"/>
          <w:sz w:val="20"/>
          <w:szCs w:val="20"/>
        </w:rPr>
      </w:pPr>
      <w:r>
        <w:rPr>
          <w:rFonts w:ascii="Times New Roman" w:hAnsi="Times New Roman"/>
          <w:b/>
          <w:bCs/>
          <w:color w:val="000000"/>
          <w:sz w:val="20"/>
          <w:szCs w:val="20"/>
        </w:rPr>
        <w:t xml:space="preserve">Explain each exception to the certification statement.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OSHA is not seeking such an exception statement.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sidRPr="00934400">
        <w:rPr>
          <w:rFonts w:ascii="Times New Roman" w:hAnsi="Times New Roman" w:cs="Shruti"/>
          <w:b/>
          <w:color w:val="000000"/>
        </w:rPr>
        <w:t>B. COLLECTION OF INOFRMATION EMPLOYING STATISTICAL METHODS.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s="Shruti"/>
          <w:color w:val="000000"/>
        </w:rPr>
        <w:t>There are no collections of information employing statistical methods.</w:t>
      </w:r>
    </w:p>
    <w:p w:rsidR="00AF6229" w:rsidRDefault="00AF6229" w:rsidP="00AF6229"/>
    <w:p w:rsidR="00AF6229" w:rsidRDefault="00AF6229" w:rsidP="00AF6229"/>
    <w:p w:rsidR="00AF6229" w:rsidRDefault="00AF6229" w:rsidP="00AF6229"/>
    <w:p w:rsidR="005D3603" w:rsidRDefault="005D3603"/>
    <w:sectPr w:rsidR="005D3603" w:rsidSect="007F0CB8">
      <w:headerReference w:type="default" r:id="rId12"/>
      <w:footerReference w:type="even" r:id="rId13"/>
      <w:footerReference w:type="default" r:id="rId14"/>
      <w:pgSz w:w="12240" w:h="15840" w:code="1"/>
      <w:pgMar w:top="1440" w:right="1440" w:bottom="1440" w:left="1440" w:header="576"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78" w:rsidRDefault="00EF0178" w:rsidP="00AF6229">
      <w:r>
        <w:separator/>
      </w:r>
    </w:p>
  </w:endnote>
  <w:endnote w:type="continuationSeparator" w:id="0">
    <w:p w:rsidR="00EF0178" w:rsidRDefault="00EF0178" w:rsidP="00AF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78" w:rsidRDefault="00EF0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0178" w:rsidRDefault="00EF017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78" w:rsidRDefault="00EF0178">
    <w:pPr>
      <w:spacing w:line="240" w:lineRule="exact"/>
    </w:pPr>
  </w:p>
  <w:p w:rsidR="00EF0178" w:rsidRDefault="00EF0178">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330158">
      <w:rPr>
        <w:rFonts w:ascii="Times New Roman" w:hAnsi="Times New Roman"/>
        <w:noProof/>
        <w:sz w:val="20"/>
        <w:szCs w:val="20"/>
      </w:rPr>
      <w:t>16</w:t>
    </w:r>
    <w:r>
      <w:rPr>
        <w:rFonts w:ascii="Times New Roman" w:hAnsi="Times New Roman"/>
        <w:sz w:val="20"/>
        <w:szCs w:val="20"/>
      </w:rPr>
      <w:fldChar w:fldCharType="end"/>
    </w:r>
    <w:r>
      <w:rPr>
        <w:rFonts w:ascii="Times New Roman" w:hAnsi="Times New Roman"/>
        <w:sz w:val="20"/>
        <w:szCs w:val="20"/>
      </w:rPr>
      <w:sym w:font="Symbol" w:char="F02D"/>
    </w:r>
  </w:p>
  <w:p w:rsidR="00EF0178" w:rsidRDefault="00EF0178">
    <w:pPr>
      <w:ind w:right="360" w:firstLine="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78" w:rsidRDefault="00EF0178" w:rsidP="00AF6229">
      <w:r>
        <w:separator/>
      </w:r>
    </w:p>
  </w:footnote>
  <w:footnote w:type="continuationSeparator" w:id="0">
    <w:p w:rsidR="00EF0178" w:rsidRDefault="00EF0178" w:rsidP="00AF6229">
      <w:r>
        <w:continuationSeparator/>
      </w:r>
    </w:p>
  </w:footnote>
  <w:footnote w:id="1">
    <w:p w:rsidR="00EF0178" w:rsidRDefault="00EF0178" w:rsidP="00AF6229">
      <w:pPr>
        <w:spacing w:after="14"/>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standards.</w:t>
      </w:r>
    </w:p>
  </w:footnote>
  <w:footnote w:id="2">
    <w:p w:rsidR="00EF0178" w:rsidRDefault="00EF0178" w:rsidP="00AF6229">
      <w:pPr>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 xml:space="preserve">Estimates previously obtained from the President of the National Association of Diving Contractors.  OSHA staff made all other estimates used in Table 1 unless otherwise indicated. </w:t>
      </w:r>
    </w:p>
    <w:p w:rsidR="00EF0178" w:rsidRDefault="00EF0178" w:rsidP="00AF6229">
      <w:pPr>
        <w:spacing w:after="14"/>
        <w:rPr>
          <w:rFonts w:ascii="Times New Roman" w:hAnsi="Times New Roman"/>
          <w:sz w:val="20"/>
          <w:szCs w:val="20"/>
        </w:rPr>
      </w:pPr>
    </w:p>
  </w:footnote>
  <w:footnote w:id="3">
    <w:p w:rsidR="00EF0178" w:rsidRDefault="00EF0178" w:rsidP="00801CFA">
      <w:pPr>
        <w:pStyle w:val="FootnoteText"/>
        <w:ind w:firstLine="720"/>
      </w:pPr>
      <w:r w:rsidRPr="00EF0178">
        <w:rPr>
          <w:rStyle w:val="FootnoteReference"/>
          <w:sz w:val="22"/>
          <w:szCs w:val="22"/>
          <w:vertAlign w:val="superscript"/>
        </w:rPr>
        <w:footnoteRef/>
      </w:r>
      <w:r>
        <w:t xml:space="preserve">This mean hourly wage rate ($24.55) corresponds to SOC code 49-9092, “Commercial Divers.” (Source: </w:t>
      </w:r>
      <w:r>
        <w:rPr>
          <w:i/>
          <w:iCs/>
        </w:rPr>
        <w:t>May 2014 National Occupational Employment and Wage Estimates, United States,</w:t>
      </w:r>
      <w:r>
        <w:t xml:space="preserve"> U.S. Department of Labor, Bureau of Labor Statistics.)  May Data: 2014 </w:t>
      </w:r>
      <w:hyperlink r:id="rId1" w:history="1">
        <w:r w:rsidRPr="00AF558A">
          <w:rPr>
            <w:rStyle w:val="Hyperlink"/>
          </w:rPr>
          <w:t>http://www.bls.gov/oes/current/oes499092.htm</w:t>
        </w:r>
      </w:hyperlink>
      <w:r>
        <w:t xml:space="preserve">.  Archived Data:  </w:t>
      </w:r>
      <w:hyperlink r:id="rId2" w:history="1">
        <w:r w:rsidRPr="00745B7B">
          <w:rPr>
            <w:rStyle w:val="Hyperlink"/>
          </w:rPr>
          <w:t>http://www.bls.gov/oes/oes_arch.htm</w:t>
        </w:r>
      </w:hyperlink>
      <w:r>
        <w:t xml:space="preserve"> </w:t>
      </w:r>
    </w:p>
    <w:p w:rsidR="00EF0178" w:rsidRDefault="00EF0178">
      <w:pPr>
        <w:pStyle w:val="FootnoteText"/>
      </w:pPr>
    </w:p>
  </w:footnote>
  <w:footnote w:id="4">
    <w:p w:rsidR="00EF0178" w:rsidRDefault="00EF0178" w:rsidP="00AF6229">
      <w:pPr>
        <w:ind w:firstLine="720"/>
        <w:rPr>
          <w:rFonts w:ascii="Times New Roman" w:hAnsi="Times New Roman"/>
          <w:sz w:val="20"/>
          <w:szCs w:val="20"/>
        </w:rPr>
      </w:pPr>
      <w:r w:rsidRPr="001B0044">
        <w:rPr>
          <w:rStyle w:val="FootnoteReference"/>
          <w:rFonts w:ascii="Times New Roman" w:hAnsi="Times New Roman"/>
          <w:vertAlign w:val="superscript"/>
        </w:rPr>
        <w:footnoteRef/>
      </w:r>
      <w:r>
        <w:rPr>
          <w:rFonts w:ascii="Times New Roman" w:hAnsi="Times New Roman"/>
          <w:sz w:val="20"/>
          <w:szCs w:val="20"/>
        </w:rPr>
        <w:t xml:space="preserve"> The Tender is a beginning </w:t>
      </w:r>
      <w:proofErr w:type="gramStart"/>
      <w:r>
        <w:rPr>
          <w:rFonts w:ascii="Times New Roman" w:hAnsi="Times New Roman"/>
          <w:sz w:val="20"/>
          <w:szCs w:val="20"/>
        </w:rPr>
        <w:t>diver,</w:t>
      </w:r>
      <w:proofErr w:type="gramEnd"/>
      <w:r>
        <w:rPr>
          <w:rFonts w:ascii="Times New Roman" w:hAnsi="Times New Roman"/>
          <w:sz w:val="20"/>
          <w:szCs w:val="20"/>
        </w:rPr>
        <w:t xml:space="preserve"> therefore, the Agency is using a wage rate of half the cost of the average commercial diver.</w:t>
      </w:r>
    </w:p>
    <w:p w:rsidR="00EF0178" w:rsidRDefault="00EF0178" w:rsidP="00AF6229">
      <w:pPr>
        <w:pStyle w:val="FootnoteText"/>
      </w:pPr>
    </w:p>
  </w:footnote>
  <w:footnote w:id="5">
    <w:p w:rsidR="00EF0178" w:rsidRDefault="00EF0178" w:rsidP="00801CFA">
      <w:pPr>
        <w:pStyle w:val="FootnoteText"/>
        <w:ind w:firstLine="720"/>
      </w:pPr>
      <w:r w:rsidRPr="00EF0178">
        <w:rPr>
          <w:rStyle w:val="FootnoteReference"/>
          <w:sz w:val="22"/>
          <w:szCs w:val="22"/>
          <w:vertAlign w:val="superscript"/>
        </w:rPr>
        <w:footnoteRef/>
      </w:r>
      <w:r w:rsidRPr="00EF0178">
        <w:rPr>
          <w:sz w:val="22"/>
          <w:szCs w:val="22"/>
          <w:vertAlign w:val="superscript"/>
        </w:rPr>
        <w:t xml:space="preserve"> </w:t>
      </w:r>
      <w:r>
        <w:t xml:space="preserve">This mean hourly wage rate ($16.59) corresponds to SOC code 43-6014, “Secretaries, Except Legal, Medical, and Executive.” (Source: </w:t>
      </w:r>
      <w:r>
        <w:rPr>
          <w:i/>
          <w:iCs/>
        </w:rPr>
        <w:t>May 2014 National Occupational Employment and Wage Estimates, United States,</w:t>
      </w:r>
      <w:r>
        <w:t xml:space="preserve"> U.S. Department of Labor, Bureau of Labor Statistics.)  May Data: 2014 </w:t>
      </w:r>
      <w:hyperlink r:id="rId3" w:history="1">
        <w:r w:rsidRPr="00D46871">
          <w:rPr>
            <w:rStyle w:val="Hyperlink"/>
          </w:rPr>
          <w:t>http://www.bls.gov/oes/2014/may/oes436014.htm</w:t>
        </w:r>
      </w:hyperlink>
      <w:r>
        <w:t xml:space="preserve"> .  Archived Data:  </w:t>
      </w:r>
      <w:hyperlink r:id="rId4" w:history="1">
        <w:r>
          <w:rPr>
            <w:rStyle w:val="Hyperlink"/>
          </w:rPr>
          <w:t>http://www.bls.gov/oes/oes_arch.htm</w:t>
        </w:r>
      </w:hyperlink>
      <w:r>
        <w:t xml:space="preserve"> </w:t>
      </w:r>
    </w:p>
    <w:p w:rsidR="00EF0178" w:rsidRDefault="00EF0178" w:rsidP="00801CFA">
      <w:pPr>
        <w:rPr>
          <w:rFonts w:ascii="Calibri" w:hAnsi="Calibri"/>
        </w:rPr>
      </w:pPr>
    </w:p>
    <w:p w:rsidR="00EF0178" w:rsidRDefault="00EF01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78" w:rsidRPr="007F0CB8" w:rsidRDefault="00EF0178" w:rsidP="002E321C">
    <w:pPr>
      <w:pStyle w:val="Header"/>
      <w:rPr>
        <w:rFonts w:ascii="Times New Roman" w:hAnsi="Times New Roman"/>
        <w:color w:val="808080" w:themeColor="background1" w:themeShade="80"/>
        <w:sz w:val="20"/>
        <w:szCs w:val="20"/>
      </w:rPr>
    </w:pPr>
    <w:r>
      <w:rPr>
        <w:rFonts w:ascii="Times New Roman" w:hAnsi="Times New Roman"/>
        <w:color w:val="808080" w:themeColor="background1" w:themeShade="80"/>
        <w:sz w:val="20"/>
        <w:szCs w:val="20"/>
      </w:rPr>
      <w:t>COMMERCIAL DIVING OPERATIONS STANDARD</w:t>
    </w:r>
    <w:r w:rsidRPr="007F0CB8">
      <w:rPr>
        <w:rFonts w:ascii="Times New Roman" w:hAnsi="Times New Roman"/>
        <w:color w:val="808080" w:themeColor="background1" w:themeShade="80"/>
        <w:sz w:val="20"/>
        <w:szCs w:val="20"/>
      </w:rPr>
      <w:t xml:space="preserve"> (29 CFR part 1910, subpart T)</w:t>
    </w:r>
  </w:p>
  <w:p w:rsidR="00EF0178" w:rsidRPr="007F0CB8" w:rsidRDefault="00EF0178" w:rsidP="002E321C">
    <w:pPr>
      <w:pStyle w:val="Header"/>
      <w:rPr>
        <w:rFonts w:ascii="Times New Roman" w:hAnsi="Times New Roman"/>
        <w:color w:val="808080" w:themeColor="background1" w:themeShade="80"/>
        <w:sz w:val="20"/>
        <w:szCs w:val="20"/>
      </w:rPr>
    </w:pPr>
    <w:r w:rsidRPr="007F0CB8">
      <w:rPr>
        <w:rFonts w:ascii="Times New Roman" w:hAnsi="Times New Roman"/>
        <w:color w:val="808080" w:themeColor="background1" w:themeShade="80"/>
        <w:sz w:val="20"/>
        <w:szCs w:val="20"/>
      </w:rPr>
      <w:t>1218-0069</w:t>
    </w:r>
  </w:p>
  <w:p w:rsidR="00EF0178" w:rsidRPr="007F0CB8" w:rsidRDefault="00EF0178" w:rsidP="002E321C">
    <w:pPr>
      <w:pStyle w:val="Header"/>
      <w:rPr>
        <w:rFonts w:ascii="Times New Roman" w:hAnsi="Times New Roman"/>
        <w:color w:val="808080" w:themeColor="background1" w:themeShade="80"/>
        <w:sz w:val="20"/>
        <w:szCs w:val="20"/>
      </w:rPr>
    </w:pPr>
    <w:r w:rsidRPr="007F0CB8">
      <w:rPr>
        <w:rFonts w:ascii="Times New Roman" w:hAnsi="Times New Roman"/>
        <w:color w:val="808080" w:themeColor="background1" w:themeShade="80"/>
        <w:sz w:val="20"/>
        <w:szCs w:val="20"/>
      </w:rPr>
      <w:t>June 2015</w:t>
    </w:r>
  </w:p>
  <w:p w:rsidR="00EF0178" w:rsidRPr="007F0CB8" w:rsidRDefault="00EF0178">
    <w:pPr>
      <w:pStyle w:val="Header"/>
      <w:rPr>
        <w:sz w:val="20"/>
        <w:szCs w:val="20"/>
      </w:rPr>
    </w:pPr>
  </w:p>
  <w:p w:rsidR="00EF0178" w:rsidRDefault="00EF0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AA2890"/>
    <w:lvl w:ilvl="0">
      <w:numFmt w:val="bullet"/>
      <w:lvlText w:val="*"/>
      <w:lvlJc w:val="left"/>
    </w:lvl>
  </w:abstractNum>
  <w:abstractNum w:abstractNumId="1">
    <w:nsid w:val="6D5C2B87"/>
    <w:multiLevelType w:val="hybridMultilevel"/>
    <w:tmpl w:val="E22C4E6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70"/>
        <w:lvlJc w:val="left"/>
        <w:pPr>
          <w:ind w:left="630" w:hanging="27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29"/>
    <w:rsid w:val="00072E0C"/>
    <w:rsid w:val="00126971"/>
    <w:rsid w:val="002008ED"/>
    <w:rsid w:val="002572E4"/>
    <w:rsid w:val="002E321C"/>
    <w:rsid w:val="00330158"/>
    <w:rsid w:val="00343129"/>
    <w:rsid w:val="004A3B52"/>
    <w:rsid w:val="004F72FF"/>
    <w:rsid w:val="00555D3A"/>
    <w:rsid w:val="005D3603"/>
    <w:rsid w:val="0068579C"/>
    <w:rsid w:val="006A13FF"/>
    <w:rsid w:val="00700135"/>
    <w:rsid w:val="007075FB"/>
    <w:rsid w:val="0074727E"/>
    <w:rsid w:val="00760FFD"/>
    <w:rsid w:val="00777DCE"/>
    <w:rsid w:val="0078139F"/>
    <w:rsid w:val="007F0CB8"/>
    <w:rsid w:val="00801CFA"/>
    <w:rsid w:val="00906ED1"/>
    <w:rsid w:val="009A5B09"/>
    <w:rsid w:val="009D3B65"/>
    <w:rsid w:val="00A43F76"/>
    <w:rsid w:val="00AD1D59"/>
    <w:rsid w:val="00AF558A"/>
    <w:rsid w:val="00AF6229"/>
    <w:rsid w:val="00C25EFD"/>
    <w:rsid w:val="00CB1FC9"/>
    <w:rsid w:val="00DA3001"/>
    <w:rsid w:val="00DA54A1"/>
    <w:rsid w:val="00DC6814"/>
    <w:rsid w:val="00E22207"/>
    <w:rsid w:val="00EF0178"/>
    <w:rsid w:val="00F20D30"/>
    <w:rsid w:val="00F6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2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229"/>
  </w:style>
  <w:style w:type="paragraph" w:customStyle="1" w:styleId="Level1">
    <w:name w:val="Level 1"/>
    <w:basedOn w:val="Normal"/>
    <w:rsid w:val="00AF6229"/>
    <w:pPr>
      <w:ind w:left="630" w:hanging="270"/>
    </w:pPr>
  </w:style>
  <w:style w:type="paragraph" w:styleId="Footer">
    <w:name w:val="footer"/>
    <w:basedOn w:val="Normal"/>
    <w:link w:val="FooterChar"/>
    <w:rsid w:val="00AF6229"/>
    <w:pPr>
      <w:tabs>
        <w:tab w:val="center" w:pos="4320"/>
        <w:tab w:val="right" w:pos="8640"/>
      </w:tabs>
    </w:pPr>
  </w:style>
  <w:style w:type="character" w:customStyle="1" w:styleId="FooterChar">
    <w:name w:val="Footer Char"/>
    <w:basedOn w:val="DefaultParagraphFont"/>
    <w:link w:val="Footer"/>
    <w:rsid w:val="00AF6229"/>
    <w:rPr>
      <w:rFonts w:ascii="Courier" w:eastAsia="Times New Roman" w:hAnsi="Courier" w:cs="Times New Roman"/>
      <w:sz w:val="24"/>
      <w:szCs w:val="24"/>
    </w:rPr>
  </w:style>
  <w:style w:type="character" w:styleId="PageNumber">
    <w:name w:val="page number"/>
    <w:basedOn w:val="DefaultParagraphFont"/>
    <w:rsid w:val="00AF6229"/>
  </w:style>
  <w:style w:type="paragraph" w:styleId="FootnoteText">
    <w:name w:val="footnote text"/>
    <w:basedOn w:val="Normal"/>
    <w:link w:val="FootnoteTextChar"/>
    <w:uiPriority w:val="99"/>
    <w:semiHidden/>
    <w:rsid w:val="00AF622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6229"/>
    <w:rPr>
      <w:rFonts w:ascii="Times New Roman" w:eastAsia="Times New Roman" w:hAnsi="Times New Roman" w:cs="Times New Roman"/>
      <w:sz w:val="20"/>
      <w:szCs w:val="20"/>
    </w:rPr>
  </w:style>
  <w:style w:type="character" w:styleId="Hyperlink">
    <w:name w:val="Hyperlink"/>
    <w:rsid w:val="00AF6229"/>
    <w:rPr>
      <w:color w:val="0000FF"/>
      <w:u w:val="single"/>
    </w:rPr>
  </w:style>
  <w:style w:type="paragraph" w:styleId="Header">
    <w:name w:val="header"/>
    <w:basedOn w:val="Normal"/>
    <w:link w:val="HeaderChar"/>
    <w:uiPriority w:val="99"/>
    <w:unhideWhenUsed/>
    <w:rsid w:val="00A43F76"/>
    <w:pPr>
      <w:tabs>
        <w:tab w:val="center" w:pos="4680"/>
        <w:tab w:val="right" w:pos="9360"/>
      </w:tabs>
    </w:pPr>
  </w:style>
  <w:style w:type="character" w:customStyle="1" w:styleId="HeaderChar">
    <w:name w:val="Header Char"/>
    <w:basedOn w:val="DefaultParagraphFont"/>
    <w:link w:val="Header"/>
    <w:uiPriority w:val="99"/>
    <w:rsid w:val="00A43F76"/>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A43F76"/>
    <w:rPr>
      <w:rFonts w:ascii="Tahoma" w:hAnsi="Tahoma" w:cs="Tahoma"/>
      <w:sz w:val="16"/>
      <w:szCs w:val="16"/>
    </w:rPr>
  </w:style>
  <w:style w:type="character" w:customStyle="1" w:styleId="BalloonTextChar">
    <w:name w:val="Balloon Text Char"/>
    <w:basedOn w:val="DefaultParagraphFont"/>
    <w:link w:val="BalloonText"/>
    <w:uiPriority w:val="99"/>
    <w:semiHidden/>
    <w:rsid w:val="00A43F76"/>
    <w:rPr>
      <w:rFonts w:ascii="Tahoma" w:eastAsia="Times New Roman" w:hAnsi="Tahoma" w:cs="Tahoma"/>
      <w:sz w:val="16"/>
      <w:szCs w:val="16"/>
    </w:rPr>
  </w:style>
  <w:style w:type="paragraph" w:customStyle="1" w:styleId="Default">
    <w:name w:val="Default"/>
    <w:rsid w:val="00200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55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2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229"/>
  </w:style>
  <w:style w:type="paragraph" w:customStyle="1" w:styleId="Level1">
    <w:name w:val="Level 1"/>
    <w:basedOn w:val="Normal"/>
    <w:rsid w:val="00AF6229"/>
    <w:pPr>
      <w:ind w:left="630" w:hanging="270"/>
    </w:pPr>
  </w:style>
  <w:style w:type="paragraph" w:styleId="Footer">
    <w:name w:val="footer"/>
    <w:basedOn w:val="Normal"/>
    <w:link w:val="FooterChar"/>
    <w:rsid w:val="00AF6229"/>
    <w:pPr>
      <w:tabs>
        <w:tab w:val="center" w:pos="4320"/>
        <w:tab w:val="right" w:pos="8640"/>
      </w:tabs>
    </w:pPr>
  </w:style>
  <w:style w:type="character" w:customStyle="1" w:styleId="FooterChar">
    <w:name w:val="Footer Char"/>
    <w:basedOn w:val="DefaultParagraphFont"/>
    <w:link w:val="Footer"/>
    <w:rsid w:val="00AF6229"/>
    <w:rPr>
      <w:rFonts w:ascii="Courier" w:eastAsia="Times New Roman" w:hAnsi="Courier" w:cs="Times New Roman"/>
      <w:sz w:val="24"/>
      <w:szCs w:val="24"/>
    </w:rPr>
  </w:style>
  <w:style w:type="character" w:styleId="PageNumber">
    <w:name w:val="page number"/>
    <w:basedOn w:val="DefaultParagraphFont"/>
    <w:rsid w:val="00AF6229"/>
  </w:style>
  <w:style w:type="paragraph" w:styleId="FootnoteText">
    <w:name w:val="footnote text"/>
    <w:basedOn w:val="Normal"/>
    <w:link w:val="FootnoteTextChar"/>
    <w:uiPriority w:val="99"/>
    <w:semiHidden/>
    <w:rsid w:val="00AF622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6229"/>
    <w:rPr>
      <w:rFonts w:ascii="Times New Roman" w:eastAsia="Times New Roman" w:hAnsi="Times New Roman" w:cs="Times New Roman"/>
      <w:sz w:val="20"/>
      <w:szCs w:val="20"/>
    </w:rPr>
  </w:style>
  <w:style w:type="character" w:styleId="Hyperlink">
    <w:name w:val="Hyperlink"/>
    <w:rsid w:val="00AF6229"/>
    <w:rPr>
      <w:color w:val="0000FF"/>
      <w:u w:val="single"/>
    </w:rPr>
  </w:style>
  <w:style w:type="paragraph" w:styleId="Header">
    <w:name w:val="header"/>
    <w:basedOn w:val="Normal"/>
    <w:link w:val="HeaderChar"/>
    <w:uiPriority w:val="99"/>
    <w:unhideWhenUsed/>
    <w:rsid w:val="00A43F76"/>
    <w:pPr>
      <w:tabs>
        <w:tab w:val="center" w:pos="4680"/>
        <w:tab w:val="right" w:pos="9360"/>
      </w:tabs>
    </w:pPr>
  </w:style>
  <w:style w:type="character" w:customStyle="1" w:styleId="HeaderChar">
    <w:name w:val="Header Char"/>
    <w:basedOn w:val="DefaultParagraphFont"/>
    <w:link w:val="Header"/>
    <w:uiPriority w:val="99"/>
    <w:rsid w:val="00A43F76"/>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A43F76"/>
    <w:rPr>
      <w:rFonts w:ascii="Tahoma" w:hAnsi="Tahoma" w:cs="Tahoma"/>
      <w:sz w:val="16"/>
      <w:szCs w:val="16"/>
    </w:rPr>
  </w:style>
  <w:style w:type="character" w:customStyle="1" w:styleId="BalloonTextChar">
    <w:name w:val="Balloon Text Char"/>
    <w:basedOn w:val="DefaultParagraphFont"/>
    <w:link w:val="BalloonText"/>
    <w:uiPriority w:val="99"/>
    <w:semiHidden/>
    <w:rsid w:val="00A43F76"/>
    <w:rPr>
      <w:rFonts w:ascii="Tahoma" w:eastAsia="Times New Roman" w:hAnsi="Tahoma" w:cs="Tahoma"/>
      <w:sz w:val="16"/>
      <w:szCs w:val="16"/>
    </w:rPr>
  </w:style>
  <w:style w:type="paragraph" w:customStyle="1" w:styleId="Default">
    <w:name w:val="Default"/>
    <w:rsid w:val="00200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5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80">
      <w:bodyDiv w:val="1"/>
      <w:marLeft w:val="0"/>
      <w:marRight w:val="0"/>
      <w:marTop w:val="0"/>
      <w:marBottom w:val="0"/>
      <w:divBdr>
        <w:top w:val="none" w:sz="0" w:space="0" w:color="auto"/>
        <w:left w:val="none" w:sz="0" w:space="0" w:color="auto"/>
        <w:bottom w:val="none" w:sz="0" w:space="0" w:color="auto"/>
        <w:right w:val="none" w:sz="0" w:space="0" w:color="auto"/>
      </w:divBdr>
    </w:div>
    <w:div w:id="172306803">
      <w:bodyDiv w:val="1"/>
      <w:marLeft w:val="0"/>
      <w:marRight w:val="0"/>
      <w:marTop w:val="0"/>
      <w:marBottom w:val="0"/>
      <w:divBdr>
        <w:top w:val="none" w:sz="0" w:space="0" w:color="auto"/>
        <w:left w:val="none" w:sz="0" w:space="0" w:color="auto"/>
        <w:bottom w:val="none" w:sz="0" w:space="0" w:color="auto"/>
        <w:right w:val="none" w:sz="0" w:space="0" w:color="auto"/>
      </w:divBdr>
    </w:div>
    <w:div w:id="383452107">
      <w:bodyDiv w:val="1"/>
      <w:marLeft w:val="0"/>
      <w:marRight w:val="0"/>
      <w:marTop w:val="0"/>
      <w:marBottom w:val="0"/>
      <w:divBdr>
        <w:top w:val="none" w:sz="0" w:space="0" w:color="auto"/>
        <w:left w:val="none" w:sz="0" w:space="0" w:color="auto"/>
        <w:bottom w:val="none" w:sz="0" w:space="0" w:color="auto"/>
        <w:right w:val="none" w:sz="0" w:space="0" w:color="auto"/>
      </w:divBdr>
    </w:div>
    <w:div w:id="1395741029">
      <w:bodyDiv w:val="1"/>
      <w:marLeft w:val="0"/>
      <w:marRight w:val="0"/>
      <w:marTop w:val="0"/>
      <w:marBottom w:val="0"/>
      <w:divBdr>
        <w:top w:val="none" w:sz="0" w:space="0" w:color="auto"/>
        <w:left w:val="none" w:sz="0" w:space="0" w:color="auto"/>
        <w:bottom w:val="none" w:sz="0" w:space="0" w:color="auto"/>
        <w:right w:val="none" w:sz="0" w:space="0" w:color="auto"/>
      </w:divBdr>
    </w:div>
    <w:div w:id="1500461424">
      <w:bodyDiv w:val="1"/>
      <w:marLeft w:val="0"/>
      <w:marRight w:val="0"/>
      <w:marTop w:val="0"/>
      <w:marBottom w:val="0"/>
      <w:divBdr>
        <w:top w:val="none" w:sz="0" w:space="0" w:color="auto"/>
        <w:left w:val="none" w:sz="0" w:space="0" w:color="auto"/>
        <w:bottom w:val="none" w:sz="0" w:space="0" w:color="auto"/>
        <w:right w:val="none" w:sz="0" w:space="0" w:color="auto"/>
      </w:divBdr>
    </w:div>
    <w:div w:id="1948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schedule/archives/ecec_nr.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ts.bls.gov/home.htm"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2014/may/oes436014.htm" TargetMode="External"/><Relationship Id="rId2" Type="http://schemas.openxmlformats.org/officeDocument/2006/relationships/hyperlink" Target="http://www.bls.gov/oes/oes_arch.htm" TargetMode="External"/><Relationship Id="rId1" Type="http://schemas.openxmlformats.org/officeDocument/2006/relationships/hyperlink" Target="http://www.bls.gov/oes/current/oes499092.htm" TargetMode="External"/><Relationship Id="rId4" Type="http://schemas.openxmlformats.org/officeDocument/2006/relationships/hyperlink" Target="http://www.bls.gov/oes/oes_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C062-644A-4CC7-8814-99080F4C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6731</Words>
  <Characters>38369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Kenney, Theda - OSHA</cp:lastModifiedBy>
  <cp:revision>3</cp:revision>
  <cp:lastPrinted>2015-06-29T18:05:00Z</cp:lastPrinted>
  <dcterms:created xsi:type="dcterms:W3CDTF">2015-06-29T18:35:00Z</dcterms:created>
  <dcterms:modified xsi:type="dcterms:W3CDTF">2015-06-29T18:35:00Z</dcterms:modified>
</cp:coreProperties>
</file>