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35" w:rsidRDefault="00DB1D75">
      <w:pPr>
        <w:rPr>
          <w:rStyle w:val="p1"/>
          <w:rFonts w:ascii="Arial" w:hAnsi="Arial" w:cs="Arial"/>
          <w:sz w:val="20"/>
          <w:szCs w:val="20"/>
        </w:rPr>
      </w:pPr>
      <w:r>
        <w:rPr>
          <w:rStyle w:val="sectno"/>
          <w:rFonts w:ascii="Arial" w:hAnsi="Arial" w:cs="Arial"/>
          <w:sz w:val="20"/>
          <w:szCs w:val="20"/>
        </w:rPr>
        <w:t>§ 146.39</w:t>
      </w:r>
      <w:r>
        <w:rPr>
          <w:rStyle w:val="section"/>
          <w:rFonts w:ascii="Arial" w:hAnsi="Arial" w:cs="Arial"/>
          <w:sz w:val="20"/>
          <w:szCs w:val="20"/>
        </w:rPr>
        <w:t xml:space="preserve"> </w:t>
      </w:r>
      <w:proofErr w:type="gramStart"/>
      <w:r>
        <w:rPr>
          <w:rStyle w:val="subject"/>
          <w:rFonts w:ascii="Arial" w:hAnsi="Arial" w:cs="Arial"/>
          <w:sz w:val="20"/>
          <w:szCs w:val="20"/>
        </w:rPr>
        <w:t>Direct</w:t>
      </w:r>
      <w:proofErr w:type="gramEnd"/>
      <w:r>
        <w:rPr>
          <w:rStyle w:val="subject"/>
          <w:rFonts w:ascii="Arial" w:hAnsi="Arial" w:cs="Arial"/>
          <w:sz w:val="20"/>
          <w:szCs w:val="20"/>
        </w:rPr>
        <w:t xml:space="preserve"> delivery procedures.</w:t>
      </w:r>
      <w:r>
        <w:rPr>
          <w:rStyle w:val="section"/>
          <w:rFonts w:ascii="Arial" w:hAnsi="Arial" w:cs="Arial"/>
          <w:sz w:val="20"/>
          <w:szCs w:val="20"/>
        </w:rPr>
        <w:t xml:space="preserve"> </w:t>
      </w:r>
      <w:r>
        <w:rPr>
          <w:rStyle w:val="p1"/>
          <w:rFonts w:ascii="Arial" w:hAnsi="Arial" w:cs="Arial"/>
          <w:sz w:val="20"/>
          <w:szCs w:val="20"/>
        </w:rPr>
        <w:t>(</w:t>
      </w:r>
      <w:proofErr w:type="gramStart"/>
      <w:r>
        <w:rPr>
          <w:rStyle w:val="p1"/>
          <w:rFonts w:ascii="Arial" w:hAnsi="Arial" w:cs="Arial"/>
          <w:sz w:val="20"/>
          <w:szCs w:val="20"/>
        </w:rPr>
        <w:t>a</w:t>
      </w:r>
      <w:proofErr w:type="gramEnd"/>
      <w:r>
        <w:rPr>
          <w:rStyle w:val="p1"/>
          <w:rFonts w:ascii="Arial" w:hAnsi="Arial" w:cs="Arial"/>
          <w:sz w:val="20"/>
          <w:szCs w:val="20"/>
        </w:rPr>
        <w:t xml:space="preserve">) </w:t>
      </w:r>
      <w:r>
        <w:rPr>
          <w:rStyle w:val="e-031"/>
          <w:rFonts w:ascii="Arial" w:hAnsi="Arial" w:cs="Arial"/>
          <w:sz w:val="20"/>
          <w:szCs w:val="20"/>
        </w:rPr>
        <w:t>General.</w:t>
      </w:r>
      <w:r>
        <w:rPr>
          <w:rStyle w:val="p1"/>
          <w:rFonts w:ascii="Arial" w:hAnsi="Arial" w:cs="Arial"/>
          <w:sz w:val="20"/>
          <w:szCs w:val="20"/>
        </w:rPr>
        <w:t xml:space="preserve"> This procedure is for delivery of merchandise to a zone without prior application and approval on Customs Form 214</w:t>
      </w:r>
      <w:proofErr w:type="gramStart"/>
      <w:r>
        <w:rPr>
          <w:rStyle w:val="p1"/>
          <w:rFonts w:ascii="Arial" w:hAnsi="Arial" w:cs="Arial"/>
          <w:sz w:val="20"/>
          <w:szCs w:val="20"/>
        </w:rPr>
        <w:t>.(</w:t>
      </w:r>
      <w:proofErr w:type="gramEnd"/>
      <w:r>
        <w:rPr>
          <w:rStyle w:val="p1"/>
          <w:rFonts w:ascii="Arial" w:hAnsi="Arial" w:cs="Arial"/>
          <w:sz w:val="20"/>
          <w:szCs w:val="20"/>
        </w:rPr>
        <w:t xml:space="preserve">b) </w:t>
      </w:r>
      <w:r>
        <w:rPr>
          <w:rStyle w:val="e-031"/>
          <w:rFonts w:ascii="Arial" w:hAnsi="Arial" w:cs="Arial"/>
          <w:sz w:val="20"/>
          <w:szCs w:val="20"/>
        </w:rPr>
        <w:t>Application.</w:t>
      </w:r>
      <w:r>
        <w:rPr>
          <w:rStyle w:val="p1"/>
          <w:rFonts w:ascii="Arial" w:hAnsi="Arial" w:cs="Arial"/>
          <w:sz w:val="20"/>
          <w:szCs w:val="20"/>
        </w:rPr>
        <w:t xml:space="preserve"> An operator, meeting the criteria of paragraph (c) of this section, shall file a written application with the port director at least 30 days before the special procedure is to become effective. The application will describe the merchandise to be handled or processed, and the kind of operation which it will undergo in the zone</w:t>
      </w:r>
      <w:proofErr w:type="gramStart"/>
      <w:r>
        <w:rPr>
          <w:rStyle w:val="p1"/>
          <w:rFonts w:ascii="Arial" w:hAnsi="Arial" w:cs="Arial"/>
          <w:sz w:val="20"/>
          <w:szCs w:val="20"/>
        </w:rPr>
        <w:t>.(</w:t>
      </w:r>
      <w:proofErr w:type="gramEnd"/>
      <w:r>
        <w:rPr>
          <w:rStyle w:val="p1"/>
          <w:rFonts w:ascii="Arial" w:hAnsi="Arial" w:cs="Arial"/>
          <w:sz w:val="20"/>
          <w:szCs w:val="20"/>
        </w:rPr>
        <w:t xml:space="preserve">c) </w:t>
      </w:r>
      <w:r>
        <w:rPr>
          <w:rStyle w:val="e-031"/>
          <w:rFonts w:ascii="Arial" w:hAnsi="Arial" w:cs="Arial"/>
          <w:sz w:val="20"/>
          <w:szCs w:val="20"/>
        </w:rPr>
        <w:t>Criteria.</w:t>
      </w:r>
      <w:r>
        <w:rPr>
          <w:rStyle w:val="p1"/>
          <w:rFonts w:ascii="Arial" w:hAnsi="Arial" w:cs="Arial"/>
          <w:sz w:val="20"/>
          <w:szCs w:val="20"/>
        </w:rPr>
        <w:t xml:space="preserve"> The port director shall approve the application if the following criteria are met:(1) The merchandise is not restricted or of a type which requires Customs examination or documentation review before or upon its arrival at the zone;(2) The merchandise to be admitted to the zone, and the operations to be conducted therein, are known well in advance, are predictable and stable over the long term, and are relatively fixed in variety by the nature of the business conducted at the site; and(3) The operator is the owner or purchaser of the goods.(d) </w:t>
      </w:r>
      <w:r>
        <w:rPr>
          <w:rStyle w:val="e-031"/>
          <w:rFonts w:ascii="Arial" w:hAnsi="Arial" w:cs="Arial"/>
          <w:sz w:val="20"/>
          <w:szCs w:val="20"/>
        </w:rPr>
        <w:t>Application decision.</w:t>
      </w:r>
      <w:r>
        <w:rPr>
          <w:rStyle w:val="p1"/>
          <w:rFonts w:ascii="Arial" w:hAnsi="Arial" w:cs="Arial"/>
          <w:sz w:val="20"/>
          <w:szCs w:val="20"/>
        </w:rPr>
        <w:t xml:space="preserve"> The port director shall promptly notify the operator, in writing, of Customs decision on the application. If the application is denied, the port director shall specify the reason for denial in his reply. The port director's decision will constitute the final Customs administrative determination concerning the application</w:t>
      </w:r>
      <w:proofErr w:type="gramStart"/>
      <w:r>
        <w:rPr>
          <w:rStyle w:val="p1"/>
          <w:rFonts w:ascii="Arial" w:hAnsi="Arial" w:cs="Arial"/>
          <w:sz w:val="20"/>
          <w:szCs w:val="20"/>
        </w:rPr>
        <w:t>.(</w:t>
      </w:r>
      <w:proofErr w:type="gramEnd"/>
      <w:r>
        <w:rPr>
          <w:rStyle w:val="p1"/>
          <w:rFonts w:ascii="Arial" w:hAnsi="Arial" w:cs="Arial"/>
          <w:sz w:val="20"/>
          <w:szCs w:val="20"/>
        </w:rPr>
        <w:t xml:space="preserve">e) </w:t>
      </w:r>
      <w:r>
        <w:rPr>
          <w:rStyle w:val="e-031"/>
          <w:rFonts w:ascii="Arial" w:hAnsi="Arial" w:cs="Arial"/>
          <w:sz w:val="20"/>
          <w:szCs w:val="20"/>
        </w:rPr>
        <w:t>Revocation of approval.</w:t>
      </w:r>
      <w:r>
        <w:rPr>
          <w:rStyle w:val="p1"/>
          <w:rFonts w:ascii="Arial" w:hAnsi="Arial" w:cs="Arial"/>
          <w:sz w:val="20"/>
          <w:szCs w:val="20"/>
        </w:rPr>
        <w:t xml:space="preserve"> The port director may revoke the approval given under this section if it becomes necessary for Customs routinely to examine the merchandise or documentation before or upon admission to the zone.</w:t>
      </w:r>
    </w:p>
    <w:p w:rsidR="00DB1D75" w:rsidRDefault="00DB1D75">
      <w:pPr>
        <w:rPr>
          <w:rStyle w:val="p1"/>
          <w:rFonts w:ascii="Arial" w:hAnsi="Arial" w:cs="Arial"/>
          <w:sz w:val="20"/>
          <w:szCs w:val="20"/>
        </w:rPr>
      </w:pPr>
    </w:p>
    <w:p w:rsidR="00DB1D75" w:rsidRPr="00DB1D75" w:rsidRDefault="00DB1D75" w:rsidP="00DB1D75">
      <w:pPr>
        <w:spacing w:after="0" w:line="240" w:lineRule="auto"/>
        <w:rPr>
          <w:rFonts w:ascii="Arial" w:eastAsia="Times New Roman" w:hAnsi="Arial" w:cs="Arial"/>
          <w:sz w:val="20"/>
          <w:szCs w:val="20"/>
        </w:rPr>
      </w:pPr>
      <w:r w:rsidRPr="00DB1D75">
        <w:rPr>
          <w:rFonts w:ascii="Arial" w:eastAsia="Times New Roman" w:hAnsi="Arial" w:cs="Arial"/>
          <w:sz w:val="20"/>
          <w:szCs w:val="20"/>
        </w:rPr>
        <w:t xml:space="preserve">§ 146.40 Operator responsibilities for direct delivery. (a) </w:t>
      </w:r>
      <w:r w:rsidRPr="00DB1D75">
        <w:rPr>
          <w:rFonts w:ascii="Arial" w:eastAsia="Times New Roman" w:hAnsi="Arial" w:cs="Arial"/>
          <w:i/>
          <w:iCs/>
          <w:sz w:val="20"/>
          <w:szCs w:val="20"/>
        </w:rPr>
        <w:t>Arrival of conveyance.</w:t>
      </w:r>
      <w:r w:rsidRPr="00DB1D75">
        <w:rPr>
          <w:rFonts w:ascii="Arial" w:eastAsia="Times New Roman" w:hAnsi="Arial" w:cs="Arial"/>
          <w:sz w:val="20"/>
          <w:szCs w:val="20"/>
        </w:rPr>
        <w:t xml:space="preserve"> Upon arrival at a subzone or zone site of a conveyance containing foreign merchandise, the operator </w:t>
      </w:r>
      <w:proofErr w:type="gramStart"/>
      <w:r w:rsidRPr="00DB1D75">
        <w:rPr>
          <w:rFonts w:ascii="Arial" w:eastAsia="Times New Roman" w:hAnsi="Arial" w:cs="Arial"/>
          <w:sz w:val="20"/>
          <w:szCs w:val="20"/>
        </w:rPr>
        <w:t>shall:</w:t>
      </w:r>
      <w:proofErr w:type="gramEnd"/>
      <w:r w:rsidRPr="00DB1D75">
        <w:rPr>
          <w:rFonts w:ascii="Arial" w:eastAsia="Times New Roman" w:hAnsi="Arial" w:cs="Arial"/>
          <w:sz w:val="20"/>
          <w:szCs w:val="20"/>
        </w:rPr>
        <w:t xml:space="preserve">(1) Collect in-bond or cartage documentation from the carrier; </w:t>
      </w:r>
    </w:p>
    <w:p w:rsidR="00DB1D75" w:rsidRPr="00DB1D75" w:rsidRDefault="00DB1D75" w:rsidP="00DB1D75">
      <w:pPr>
        <w:spacing w:after="75" w:line="240" w:lineRule="auto"/>
        <w:rPr>
          <w:rFonts w:ascii="Times New Roman" w:eastAsia="Times New Roman" w:hAnsi="Times New Roman" w:cs="Times New Roman"/>
          <w:vanish/>
          <w:sz w:val="24"/>
          <w:szCs w:val="24"/>
        </w:rPr>
      </w:pPr>
      <w:r w:rsidRPr="00DB1D75">
        <w:rPr>
          <w:rFonts w:ascii="Arial" w:eastAsia="Times New Roman" w:hAnsi="Arial" w:cs="Arial"/>
          <w:vanish/>
          <w:sz w:val="20"/>
          <w:szCs w:val="20"/>
        </w:rPr>
        <w:t>Code of Federal Regulations / Title 19 - Customs Duties / Vol. 2 / 2011-04-01110</w:t>
      </w:r>
    </w:p>
    <w:p w:rsidR="00DB1D75" w:rsidRDefault="00DB1D75" w:rsidP="00DB1D75">
      <w:pPr>
        <w:rPr>
          <w:rFonts w:ascii="Arial" w:eastAsia="Times New Roman" w:hAnsi="Arial" w:cs="Arial"/>
          <w:sz w:val="20"/>
          <w:szCs w:val="20"/>
        </w:rPr>
      </w:pPr>
      <w:r w:rsidRPr="00DB1D75">
        <w:rPr>
          <w:rFonts w:ascii="Arial" w:eastAsia="Times New Roman" w:hAnsi="Arial" w:cs="Arial"/>
          <w:sz w:val="20"/>
          <w:szCs w:val="20"/>
        </w:rPr>
        <w:t xml:space="preserve">(2) Check the condition of any seal affixed to the conveyance, and if broken, missing or improperly affixed, notify the port director and receive instructions before unloading the merchandise;(3) Check each incoming in-bond and cartage shipment to determine if the manifested quantity or the quantity on the cartage document agrees with the quantity actually received;(4) Sign and date the in-bond or cartage documentation to accept responsibility for the merchandise under the Foreign Trade Zone Operator's Bond and to relieve the carrier of responsibility.(5) Forward the in-bond or cartage documentation so as to reach the port director within 2 working days after the date of arrival of the conveyance at the subzone or zone site;(6) Maintain a file of open in-bond manifests in chronological order of date of conveyance arrival to identify shipments that have arrived but the entire contents of which have not been admitted to the subzone or zone site; and(7) Notify the port director, by annotation on the Customs Form 214, when the entire contents of a shipment have been admitted.(b) </w:t>
      </w:r>
      <w:r w:rsidRPr="00DB1D75">
        <w:rPr>
          <w:rFonts w:ascii="Arial" w:eastAsia="Times New Roman" w:hAnsi="Arial" w:cs="Arial"/>
          <w:i/>
          <w:iCs/>
          <w:sz w:val="20"/>
          <w:szCs w:val="20"/>
        </w:rPr>
        <w:t>Transportation by operator.</w:t>
      </w:r>
      <w:r w:rsidRPr="00DB1D75">
        <w:rPr>
          <w:rFonts w:ascii="Arial" w:eastAsia="Times New Roman" w:hAnsi="Arial" w:cs="Arial"/>
          <w:sz w:val="20"/>
          <w:szCs w:val="20"/>
        </w:rPr>
        <w:t xml:space="preserve"> If merchandise is transported to a subzone or zone site by the foreign trade zone operator from a location in the district (see definition of “district” at § 112.1) in which the subzone or zone site is situated, the merchandise is deemed admitted at the time the foreign trade zone operator picks it up. At the time of pick-up, the operator is responsible for:(1) Receipting for the merchandise and recording on the appropriate document any discrepancies regarding quantity, condition or the status of the seals;(2) Transporting the merchandise to the zone or subzone; </w:t>
      </w:r>
      <w:proofErr w:type="gramStart"/>
      <w:r w:rsidRPr="00DB1D75">
        <w:rPr>
          <w:rFonts w:ascii="Arial" w:eastAsia="Times New Roman" w:hAnsi="Arial" w:cs="Arial"/>
          <w:sz w:val="20"/>
          <w:szCs w:val="20"/>
        </w:rPr>
        <w:t>and(</w:t>
      </w:r>
      <w:proofErr w:type="gramEnd"/>
      <w:r w:rsidRPr="00DB1D75">
        <w:rPr>
          <w:rFonts w:ascii="Arial" w:eastAsia="Times New Roman" w:hAnsi="Arial" w:cs="Arial"/>
          <w:sz w:val="20"/>
          <w:szCs w:val="20"/>
        </w:rPr>
        <w:t xml:space="preserve">3) Ensuring that the zone records reflect that the merchandise is received in the zone.(c) </w:t>
      </w:r>
      <w:r w:rsidRPr="00DB1D75">
        <w:rPr>
          <w:rFonts w:ascii="Arial" w:eastAsia="Times New Roman" w:hAnsi="Arial" w:cs="Arial"/>
          <w:i/>
          <w:iCs/>
          <w:sz w:val="20"/>
          <w:szCs w:val="20"/>
        </w:rPr>
        <w:t>Admission of merchandise: alternative procedures</w:t>
      </w:r>
      <w:r w:rsidRPr="00DB1D75">
        <w:rPr>
          <w:rFonts w:ascii="Arial" w:eastAsia="Times New Roman" w:hAnsi="Arial" w:cs="Arial"/>
          <w:sz w:val="20"/>
          <w:szCs w:val="20"/>
        </w:rPr>
        <w:t xml:space="preserve">—(1) </w:t>
      </w:r>
      <w:r w:rsidRPr="00DB1D75">
        <w:rPr>
          <w:rFonts w:ascii="Arial" w:eastAsia="Times New Roman" w:hAnsi="Arial" w:cs="Arial"/>
          <w:i/>
          <w:iCs/>
          <w:sz w:val="20"/>
          <w:szCs w:val="20"/>
        </w:rPr>
        <w:t>Cumulative Customs Form 214.</w:t>
      </w:r>
      <w:r w:rsidRPr="00DB1D75">
        <w:rPr>
          <w:rFonts w:ascii="Arial" w:eastAsia="Times New Roman" w:hAnsi="Arial" w:cs="Arial"/>
          <w:sz w:val="20"/>
          <w:szCs w:val="20"/>
        </w:rPr>
        <w:t xml:space="preserve"> If the operator has an agreement with the Bureau of Census for direct transmittal of statistical information, he shall submit to the port director each business day a properly signed and uniquely numbered Customs Form 214 listing all merchandise except for domestic status merchandise admitted under § 146.43 recorded into the inventory control and recordkeeping system during the previous business day. The Customs Form 214 must contain a list of all in-bond (I.T.) numbers or the unique number of any cartage document, as well as the number of invoices for each I.T. or cartage document, pertaining to merchandise which has been entered into the system.(2) </w:t>
      </w:r>
      <w:r w:rsidRPr="00DB1D75">
        <w:rPr>
          <w:rFonts w:ascii="Arial" w:eastAsia="Times New Roman" w:hAnsi="Arial" w:cs="Arial"/>
          <w:i/>
          <w:iCs/>
          <w:sz w:val="20"/>
          <w:szCs w:val="20"/>
        </w:rPr>
        <w:t>Individual Customs Form 214.</w:t>
      </w:r>
      <w:r w:rsidRPr="00DB1D75">
        <w:rPr>
          <w:rFonts w:ascii="Arial" w:eastAsia="Times New Roman" w:hAnsi="Arial" w:cs="Arial"/>
          <w:sz w:val="20"/>
          <w:szCs w:val="20"/>
        </w:rPr>
        <w:t xml:space="preserve"> If a cumulative Customs Form 214 is not submitted as provided in paragraph (b)(1) of this section, the operator shall file with the port director each business day an individual Customs Form 214 and 214-A covering each shipment recorded into the inventory control and recordkeeping system during the previous business day. The forms shall be submitted within 10 days after the end of the month in which the merchandise was received in the zone, and no extension beyond that time will be approved by the port director</w:t>
      </w:r>
      <w:proofErr w:type="gramStart"/>
      <w:r w:rsidRPr="00DB1D75">
        <w:rPr>
          <w:rFonts w:ascii="Arial" w:eastAsia="Times New Roman" w:hAnsi="Arial" w:cs="Arial"/>
          <w:sz w:val="20"/>
          <w:szCs w:val="20"/>
        </w:rPr>
        <w:t>.(</w:t>
      </w:r>
      <w:proofErr w:type="gramEnd"/>
      <w:r w:rsidRPr="00DB1D75">
        <w:rPr>
          <w:rFonts w:ascii="Arial" w:eastAsia="Times New Roman" w:hAnsi="Arial" w:cs="Arial"/>
          <w:sz w:val="20"/>
          <w:szCs w:val="20"/>
        </w:rPr>
        <w:t xml:space="preserve">3) </w:t>
      </w:r>
      <w:r w:rsidRPr="00DB1D75">
        <w:rPr>
          <w:rFonts w:ascii="Arial" w:eastAsia="Times New Roman" w:hAnsi="Arial" w:cs="Arial"/>
          <w:i/>
          <w:iCs/>
          <w:sz w:val="20"/>
          <w:szCs w:val="20"/>
        </w:rPr>
        <w:t>General order.</w:t>
      </w:r>
      <w:r w:rsidRPr="00DB1D75">
        <w:rPr>
          <w:rFonts w:ascii="Arial" w:eastAsia="Times New Roman" w:hAnsi="Arial" w:cs="Arial"/>
          <w:sz w:val="20"/>
          <w:szCs w:val="20"/>
        </w:rPr>
        <w:t xml:space="preserve"> Merchandise not admitted into a subzone or zone site as provided in this </w:t>
      </w:r>
      <w:r w:rsidRPr="00DB1D75">
        <w:rPr>
          <w:rFonts w:ascii="Arial" w:eastAsia="Times New Roman" w:hAnsi="Arial" w:cs="Arial"/>
          <w:sz w:val="20"/>
          <w:szCs w:val="20"/>
        </w:rPr>
        <w:lastRenderedPageBreak/>
        <w:t xml:space="preserve">section within 15 calendar days after its arrival there shall be disposed of in accordance with the applicable procedures in § 4.37 or § 122.50 or § 123.10 of this chapter.(4) </w:t>
      </w:r>
      <w:r w:rsidRPr="00DB1D75">
        <w:rPr>
          <w:rFonts w:ascii="Arial" w:eastAsia="Times New Roman" w:hAnsi="Arial" w:cs="Arial"/>
          <w:i/>
          <w:iCs/>
          <w:sz w:val="20"/>
          <w:szCs w:val="20"/>
        </w:rPr>
        <w:t>Inventory control and recordkeeping system.</w:t>
      </w:r>
      <w:r w:rsidRPr="00DB1D75">
        <w:rPr>
          <w:rFonts w:ascii="Arial" w:eastAsia="Times New Roman" w:hAnsi="Arial" w:cs="Arial"/>
          <w:sz w:val="20"/>
          <w:szCs w:val="20"/>
        </w:rPr>
        <w:t xml:space="preserve"> The operator shall establish and maintain a continuing input quality control program to ensure that information concerning merchandise in admission documents, verified or corrected by counts and checks, is accurately recorded in the inventory control and recordkeeping system. Quantities recorded in the system, after allowance by the port director for any discrepancies, will be the quantities of merchandise for which the operator shall be held liable under its bond for admission to the subzone or zone site. A discrepancy involving a within-case shortage (or overage) need not be reported on Customs Form 5931, if the operator is able to report that information in another manner so that the port director can determine whether there is liability for the discrepancy under the bond of any party to the importation.</w:t>
      </w:r>
    </w:p>
    <w:p w:rsidR="00DB1D75" w:rsidRDefault="00DB1D75" w:rsidP="00DB1D75">
      <w:pPr>
        <w:rPr>
          <w:rFonts w:ascii="Arial" w:eastAsia="Times New Roman" w:hAnsi="Arial" w:cs="Arial"/>
          <w:sz w:val="20"/>
          <w:szCs w:val="20"/>
        </w:rPr>
      </w:pPr>
    </w:p>
    <w:p w:rsidR="00DB1D75" w:rsidRPr="00DB1D75" w:rsidRDefault="00DB1D75" w:rsidP="00DB1D75">
      <w:pPr>
        <w:spacing w:after="75" w:line="240" w:lineRule="auto"/>
        <w:rPr>
          <w:rFonts w:ascii="Arial" w:eastAsia="Times New Roman" w:hAnsi="Arial" w:cs="Arial"/>
          <w:sz w:val="20"/>
          <w:szCs w:val="20"/>
        </w:rPr>
      </w:pPr>
      <w:r w:rsidRPr="00DB1D75">
        <w:rPr>
          <w:rFonts w:ascii="Arial" w:eastAsia="Times New Roman" w:hAnsi="Arial" w:cs="Arial"/>
          <w:sz w:val="20"/>
          <w:szCs w:val="20"/>
        </w:rPr>
        <w:t xml:space="preserve">TREASURY. PART 146 - FOREIGN TRADE ZONES. Subpart D - Status of Merchandise in a Zone. </w:t>
      </w:r>
    </w:p>
    <w:p w:rsidR="00DB1D75" w:rsidRPr="00DB1D75" w:rsidRDefault="00DB1D75" w:rsidP="00DB1D75">
      <w:pPr>
        <w:spacing w:after="75" w:line="240" w:lineRule="auto"/>
        <w:rPr>
          <w:rFonts w:ascii="Arial" w:eastAsia="Times New Roman" w:hAnsi="Arial" w:cs="Arial"/>
          <w:sz w:val="20"/>
          <w:szCs w:val="20"/>
        </w:rPr>
      </w:pPr>
      <w:r w:rsidRPr="00DB1D75">
        <w:rPr>
          <w:rFonts w:ascii="Arial" w:eastAsia="Times New Roman" w:hAnsi="Arial" w:cs="Arial"/>
          <w:sz w:val="20"/>
          <w:szCs w:val="20"/>
        </w:rPr>
        <w:t>§ 146.41 Privileged foreign status. (</w:t>
      </w:r>
      <w:proofErr w:type="gramStart"/>
      <w:r w:rsidRPr="00DB1D75">
        <w:rPr>
          <w:rFonts w:ascii="Arial" w:eastAsia="Times New Roman" w:hAnsi="Arial" w:cs="Arial"/>
          <w:sz w:val="20"/>
          <w:szCs w:val="20"/>
        </w:rPr>
        <w:t>a</w:t>
      </w:r>
      <w:proofErr w:type="gramEnd"/>
      <w:r w:rsidRPr="00DB1D75">
        <w:rPr>
          <w:rFonts w:ascii="Arial" w:eastAsia="Times New Roman" w:hAnsi="Arial" w:cs="Arial"/>
          <w:sz w:val="20"/>
          <w:szCs w:val="20"/>
        </w:rPr>
        <w:t xml:space="preserve">) </w:t>
      </w:r>
      <w:r w:rsidRPr="00DB1D75">
        <w:rPr>
          <w:rFonts w:ascii="Arial" w:eastAsia="Times New Roman" w:hAnsi="Arial" w:cs="Arial"/>
          <w:i/>
          <w:iCs/>
          <w:sz w:val="20"/>
          <w:szCs w:val="20"/>
        </w:rPr>
        <w:t>General.</w:t>
      </w:r>
      <w:r w:rsidRPr="00DB1D75">
        <w:rPr>
          <w:rFonts w:ascii="Arial" w:eastAsia="Times New Roman" w:hAnsi="Arial" w:cs="Arial"/>
          <w:sz w:val="20"/>
          <w:szCs w:val="20"/>
        </w:rPr>
        <w:t xml:space="preserve"> Foreign merchandise which has not been manipulated or manufactured so as to effect a change in tariff classification will be given status as privileged foreign merchandise on proper application to the port director</w:t>
      </w:r>
      <w:proofErr w:type="gramStart"/>
      <w:r w:rsidRPr="00DB1D75">
        <w:rPr>
          <w:rFonts w:ascii="Arial" w:eastAsia="Times New Roman" w:hAnsi="Arial" w:cs="Arial"/>
          <w:sz w:val="20"/>
          <w:szCs w:val="20"/>
        </w:rPr>
        <w:t>.(</w:t>
      </w:r>
      <w:proofErr w:type="gramEnd"/>
      <w:r w:rsidRPr="00DB1D75">
        <w:rPr>
          <w:rFonts w:ascii="Arial" w:eastAsia="Times New Roman" w:hAnsi="Arial" w:cs="Arial"/>
          <w:sz w:val="20"/>
          <w:szCs w:val="20"/>
        </w:rPr>
        <w:t xml:space="preserve">b) </w:t>
      </w:r>
      <w:r w:rsidRPr="00DB1D75">
        <w:rPr>
          <w:rFonts w:ascii="Arial" w:eastAsia="Times New Roman" w:hAnsi="Arial" w:cs="Arial"/>
          <w:i/>
          <w:iCs/>
          <w:sz w:val="20"/>
          <w:szCs w:val="20"/>
        </w:rPr>
        <w:t>Application.</w:t>
      </w:r>
      <w:r w:rsidRPr="00DB1D75">
        <w:rPr>
          <w:rFonts w:ascii="Arial" w:eastAsia="Times New Roman" w:hAnsi="Arial" w:cs="Arial"/>
          <w:sz w:val="20"/>
          <w:szCs w:val="20"/>
        </w:rPr>
        <w:t xml:space="preserve"> Each application for this status will be made on Customs Form 214 at the time of filing the application for admission of the merchandise into a zone or at any time thereafter before the merchandise has been manipulated or manufactured in the zone in a manner which has effected a change in tariff classification</w:t>
      </w:r>
      <w:proofErr w:type="gramStart"/>
      <w:r w:rsidRPr="00DB1D75">
        <w:rPr>
          <w:rFonts w:ascii="Arial" w:eastAsia="Times New Roman" w:hAnsi="Arial" w:cs="Arial"/>
          <w:sz w:val="20"/>
          <w:szCs w:val="20"/>
        </w:rPr>
        <w:t>.(</w:t>
      </w:r>
      <w:proofErr w:type="gramEnd"/>
      <w:r w:rsidRPr="00DB1D75">
        <w:rPr>
          <w:rFonts w:ascii="Arial" w:eastAsia="Times New Roman" w:hAnsi="Arial" w:cs="Arial"/>
          <w:sz w:val="20"/>
          <w:szCs w:val="20"/>
        </w:rPr>
        <w:t xml:space="preserve">c) </w:t>
      </w:r>
      <w:r w:rsidRPr="00DB1D75">
        <w:rPr>
          <w:rFonts w:ascii="Arial" w:eastAsia="Times New Roman" w:hAnsi="Arial" w:cs="Arial"/>
          <w:i/>
          <w:iCs/>
          <w:sz w:val="20"/>
          <w:szCs w:val="20"/>
        </w:rPr>
        <w:t>Supporting documentation.</w:t>
      </w:r>
      <w:r w:rsidRPr="00DB1D75">
        <w:rPr>
          <w:rFonts w:ascii="Arial" w:eastAsia="Times New Roman" w:hAnsi="Arial" w:cs="Arial"/>
          <w:sz w:val="20"/>
          <w:szCs w:val="20"/>
        </w:rPr>
        <w:t xml:space="preserve"> Each applicant for this status shall submit to the port director, with the application, an invoice notated as provided for in § 141.90 of this chapter</w:t>
      </w:r>
      <w:proofErr w:type="gramStart"/>
      <w:r w:rsidRPr="00DB1D75">
        <w:rPr>
          <w:rFonts w:ascii="Arial" w:eastAsia="Times New Roman" w:hAnsi="Arial" w:cs="Arial"/>
          <w:sz w:val="20"/>
          <w:szCs w:val="20"/>
        </w:rPr>
        <w:t>.(</w:t>
      </w:r>
      <w:proofErr w:type="gramEnd"/>
      <w:r w:rsidRPr="00DB1D75">
        <w:rPr>
          <w:rFonts w:ascii="Arial" w:eastAsia="Times New Roman" w:hAnsi="Arial" w:cs="Arial"/>
          <w:sz w:val="20"/>
          <w:szCs w:val="20"/>
        </w:rPr>
        <w:t xml:space="preserve">d) </w:t>
      </w:r>
      <w:r w:rsidRPr="00DB1D75">
        <w:rPr>
          <w:rFonts w:ascii="Arial" w:eastAsia="Times New Roman" w:hAnsi="Arial" w:cs="Arial"/>
          <w:i/>
          <w:iCs/>
          <w:sz w:val="20"/>
          <w:szCs w:val="20"/>
        </w:rPr>
        <w:t>Determination of duties and taxes.</w:t>
      </w:r>
      <w:r w:rsidRPr="00DB1D75">
        <w:rPr>
          <w:rFonts w:ascii="Arial" w:eastAsia="Times New Roman" w:hAnsi="Arial" w:cs="Arial"/>
          <w:sz w:val="20"/>
          <w:szCs w:val="20"/>
        </w:rPr>
        <w:t xml:space="preserve"> Upon receipt of the application and accompanying invoice, the port director may examine the merchandise to determine whether to approve the application. The merchandise will be subject to classification and valuation as provided in § 146.65</w:t>
      </w:r>
      <w:proofErr w:type="gramStart"/>
      <w:r w:rsidRPr="00DB1D75">
        <w:rPr>
          <w:rFonts w:ascii="Arial" w:eastAsia="Times New Roman" w:hAnsi="Arial" w:cs="Arial"/>
          <w:sz w:val="20"/>
          <w:szCs w:val="20"/>
        </w:rPr>
        <w:t>.(</w:t>
      </w:r>
      <w:proofErr w:type="gramEnd"/>
      <w:r w:rsidRPr="00DB1D75">
        <w:rPr>
          <w:rFonts w:ascii="Arial" w:eastAsia="Times New Roman" w:hAnsi="Arial" w:cs="Arial"/>
          <w:sz w:val="20"/>
          <w:szCs w:val="20"/>
        </w:rPr>
        <w:t xml:space="preserve">e) </w:t>
      </w:r>
      <w:r w:rsidRPr="00DB1D75">
        <w:rPr>
          <w:rFonts w:ascii="Arial" w:eastAsia="Times New Roman" w:hAnsi="Arial" w:cs="Arial"/>
          <w:i/>
          <w:iCs/>
          <w:sz w:val="20"/>
          <w:szCs w:val="20"/>
        </w:rPr>
        <w:t>Status as privileged foreign merchandise binding.</w:t>
      </w:r>
      <w:r w:rsidRPr="00DB1D75">
        <w:rPr>
          <w:rFonts w:ascii="Arial" w:eastAsia="Times New Roman" w:hAnsi="Arial" w:cs="Arial"/>
          <w:sz w:val="20"/>
          <w:szCs w:val="20"/>
        </w:rPr>
        <w:t xml:space="preserve"> A status as privileged foreign merchandise cannot be abandoned and remains applicable to the merchandise even if changed in form by manipulation or manufacture, except in the case of recoverable waste (see § 146.42(b)), as long as the merchandise remains within the purview of the Act. However, privileged foreign merchandise may be exported or withdrawn for supplies, equipment, or repair material of vessels or aircraft without the payment of taxes and duties, in accordance with §§ 146.67 and 146.69.</w:t>
      </w:r>
    </w:p>
    <w:p w:rsidR="00DB1D75" w:rsidRDefault="00DB1D75" w:rsidP="00DB1D75">
      <w:bookmarkStart w:id="0" w:name="_GoBack"/>
      <w:bookmarkEnd w:id="0"/>
    </w:p>
    <w:sectPr w:rsidR="00DB1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5"/>
    <w:rsid w:val="009A0635"/>
    <w:rsid w:val="00DB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BBD38-56B6-48A3-89D4-04925532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
    <w:name w:val="section"/>
    <w:basedOn w:val="DefaultParagraphFont"/>
    <w:rsid w:val="00DB1D75"/>
  </w:style>
  <w:style w:type="character" w:customStyle="1" w:styleId="sectno">
    <w:name w:val="sectno"/>
    <w:basedOn w:val="DefaultParagraphFont"/>
    <w:rsid w:val="00DB1D75"/>
  </w:style>
  <w:style w:type="character" w:customStyle="1" w:styleId="subject">
    <w:name w:val="subject"/>
    <w:basedOn w:val="DefaultParagraphFont"/>
    <w:rsid w:val="00DB1D75"/>
  </w:style>
  <w:style w:type="character" w:customStyle="1" w:styleId="p1">
    <w:name w:val="p1"/>
    <w:basedOn w:val="DefaultParagraphFont"/>
    <w:rsid w:val="00DB1D75"/>
    <w:rPr>
      <w:vanish w:val="0"/>
      <w:webHidden w:val="0"/>
      <w:specVanish w:val="0"/>
    </w:rPr>
  </w:style>
  <w:style w:type="character" w:customStyle="1" w:styleId="e-031">
    <w:name w:val="e-031"/>
    <w:basedOn w:val="DefaultParagraphFont"/>
    <w:rsid w:val="00DB1D75"/>
    <w:rPr>
      <w:i/>
      <w:iCs/>
    </w:rPr>
  </w:style>
  <w:style w:type="character" w:customStyle="1" w:styleId="pglabel1">
    <w:name w:val="pglabel1"/>
    <w:basedOn w:val="DefaultParagraphFont"/>
    <w:rsid w:val="00DB1D75"/>
    <w:rPr>
      <w:vanish/>
      <w:webHidden w:val="0"/>
      <w:specVanish w:val="0"/>
    </w:rPr>
  </w:style>
  <w:style w:type="character" w:customStyle="1" w:styleId="pghdrcollection1">
    <w:name w:val="pghdrcollection1"/>
    <w:basedOn w:val="DefaultParagraphFont"/>
    <w:rsid w:val="00DB1D75"/>
    <w:rPr>
      <w:vanish/>
      <w:webHidden w:val="0"/>
      <w:specVanish w:val="0"/>
    </w:rPr>
  </w:style>
  <w:style w:type="character" w:customStyle="1" w:styleId="pghdrdlimit">
    <w:name w:val="pghdrdlimit"/>
    <w:basedOn w:val="DefaultParagraphFont"/>
    <w:rsid w:val="00DB1D75"/>
  </w:style>
  <w:style w:type="character" w:customStyle="1" w:styleId="pghdrreference">
    <w:name w:val="pghdrreference"/>
    <w:basedOn w:val="DefaultParagraphFont"/>
    <w:rsid w:val="00DB1D75"/>
  </w:style>
  <w:style w:type="character" w:customStyle="1" w:styleId="pghdrdate">
    <w:name w:val="pghdrdate"/>
    <w:basedOn w:val="DefaultParagraphFont"/>
    <w:rsid w:val="00DB1D75"/>
  </w:style>
  <w:style w:type="character" w:customStyle="1" w:styleId="prtpage1">
    <w:name w:val="prtpage1"/>
    <w:basedOn w:val="DefaultParagraphFont"/>
    <w:rsid w:val="00DB1D75"/>
    <w:rPr>
      <w:vanish/>
      <w:webHidden w:val="0"/>
      <w:specVanish w:val="0"/>
    </w:rPr>
  </w:style>
  <w:style w:type="character" w:customStyle="1" w:styleId="fdsysancestors1">
    <w:name w:val="fdsysancestors1"/>
    <w:basedOn w:val="DefaultParagraphFont"/>
    <w:rsid w:val="00DB1D7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151774">
      <w:bodyDiv w:val="1"/>
      <w:marLeft w:val="750"/>
      <w:marRight w:val="750"/>
      <w:marTop w:val="0"/>
      <w:marBottom w:val="0"/>
      <w:divBdr>
        <w:top w:val="none" w:sz="0" w:space="0" w:color="auto"/>
        <w:left w:val="none" w:sz="0" w:space="0" w:color="auto"/>
        <w:bottom w:val="none" w:sz="0" w:space="0" w:color="auto"/>
        <w:right w:val="none" w:sz="0" w:space="0" w:color="auto"/>
      </w:divBdr>
      <w:divsChild>
        <w:div w:id="338847012">
          <w:marLeft w:val="0"/>
          <w:marRight w:val="0"/>
          <w:marTop w:val="75"/>
          <w:marBottom w:val="75"/>
          <w:divBdr>
            <w:top w:val="none" w:sz="0" w:space="0" w:color="auto"/>
            <w:left w:val="none" w:sz="0" w:space="0" w:color="auto"/>
            <w:bottom w:val="none" w:sz="0" w:space="0" w:color="auto"/>
            <w:right w:val="none" w:sz="0" w:space="0" w:color="auto"/>
          </w:divBdr>
          <w:divsChild>
            <w:div w:id="1875148019">
              <w:marLeft w:val="0"/>
              <w:marRight w:val="0"/>
              <w:marTop w:val="75"/>
              <w:marBottom w:val="75"/>
              <w:divBdr>
                <w:top w:val="none" w:sz="0" w:space="0" w:color="auto"/>
                <w:left w:val="none" w:sz="0" w:space="0" w:color="auto"/>
                <w:bottom w:val="none" w:sz="0" w:space="0" w:color="auto"/>
                <w:right w:val="none" w:sz="0" w:space="0" w:color="auto"/>
              </w:divBdr>
              <w:divsChild>
                <w:div w:id="1916158306">
                  <w:marLeft w:val="0"/>
                  <w:marRight w:val="0"/>
                  <w:marTop w:val="75"/>
                  <w:marBottom w:val="75"/>
                  <w:divBdr>
                    <w:top w:val="none" w:sz="0" w:space="0" w:color="auto"/>
                    <w:left w:val="none" w:sz="0" w:space="0" w:color="auto"/>
                    <w:bottom w:val="none" w:sz="0" w:space="0" w:color="auto"/>
                    <w:right w:val="none" w:sz="0" w:space="0" w:color="auto"/>
                  </w:divBdr>
                  <w:divsChild>
                    <w:div w:id="2081445977">
                      <w:marLeft w:val="0"/>
                      <w:marRight w:val="0"/>
                      <w:marTop w:val="0"/>
                      <w:marBottom w:val="0"/>
                      <w:divBdr>
                        <w:top w:val="none" w:sz="0" w:space="0" w:color="auto"/>
                        <w:left w:val="none" w:sz="0" w:space="0" w:color="auto"/>
                        <w:bottom w:val="none" w:sz="0" w:space="0" w:color="auto"/>
                        <w:right w:val="none" w:sz="0" w:space="0" w:color="auto"/>
                      </w:divBdr>
                      <w:divsChild>
                        <w:div w:id="866992232">
                          <w:marLeft w:val="0"/>
                          <w:marRight w:val="0"/>
                          <w:marTop w:val="0"/>
                          <w:marBottom w:val="0"/>
                          <w:divBdr>
                            <w:top w:val="none" w:sz="0" w:space="0" w:color="auto"/>
                            <w:left w:val="none" w:sz="0" w:space="0" w:color="auto"/>
                            <w:bottom w:val="none" w:sz="0" w:space="0" w:color="auto"/>
                            <w:right w:val="none" w:sz="0" w:space="0" w:color="auto"/>
                          </w:divBdr>
                          <w:divsChild>
                            <w:div w:id="17399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0887">
      <w:bodyDiv w:val="1"/>
      <w:marLeft w:val="750"/>
      <w:marRight w:val="750"/>
      <w:marTop w:val="0"/>
      <w:marBottom w:val="0"/>
      <w:divBdr>
        <w:top w:val="none" w:sz="0" w:space="0" w:color="auto"/>
        <w:left w:val="none" w:sz="0" w:space="0" w:color="auto"/>
        <w:bottom w:val="none" w:sz="0" w:space="0" w:color="auto"/>
        <w:right w:val="none" w:sz="0" w:space="0" w:color="auto"/>
      </w:divBdr>
      <w:divsChild>
        <w:div w:id="1096049404">
          <w:marLeft w:val="0"/>
          <w:marRight w:val="0"/>
          <w:marTop w:val="75"/>
          <w:marBottom w:val="75"/>
          <w:divBdr>
            <w:top w:val="none" w:sz="0" w:space="0" w:color="auto"/>
            <w:left w:val="none" w:sz="0" w:space="0" w:color="auto"/>
            <w:bottom w:val="none" w:sz="0" w:space="0" w:color="auto"/>
            <w:right w:val="none" w:sz="0" w:space="0" w:color="auto"/>
          </w:divBdr>
          <w:divsChild>
            <w:div w:id="1050883588">
              <w:marLeft w:val="0"/>
              <w:marRight w:val="0"/>
              <w:marTop w:val="75"/>
              <w:marBottom w:val="75"/>
              <w:divBdr>
                <w:top w:val="none" w:sz="0" w:space="0" w:color="auto"/>
                <w:left w:val="none" w:sz="0" w:space="0" w:color="auto"/>
                <w:bottom w:val="none" w:sz="0" w:space="0" w:color="auto"/>
                <w:right w:val="none" w:sz="0" w:space="0" w:color="auto"/>
              </w:divBdr>
              <w:divsChild>
                <w:div w:id="172769825">
                  <w:marLeft w:val="0"/>
                  <w:marRight w:val="0"/>
                  <w:marTop w:val="75"/>
                  <w:marBottom w:val="75"/>
                  <w:divBdr>
                    <w:top w:val="none" w:sz="0" w:space="0" w:color="auto"/>
                    <w:left w:val="none" w:sz="0" w:space="0" w:color="auto"/>
                    <w:bottom w:val="none" w:sz="0" w:space="0" w:color="auto"/>
                    <w:right w:val="none" w:sz="0" w:space="0" w:color="auto"/>
                  </w:divBdr>
                </w:div>
                <w:div w:id="20204208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2015-05-20T19:29:00Z</dcterms:created>
  <dcterms:modified xsi:type="dcterms:W3CDTF">2015-05-20T19:31:00Z</dcterms:modified>
</cp:coreProperties>
</file>