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CEF04" w14:textId="77777777" w:rsidR="006D4F3A" w:rsidRPr="00072CF4" w:rsidRDefault="006D4F3A" w:rsidP="006D4F3A">
      <w:pPr>
        <w:jc w:val="center"/>
        <w:rPr>
          <w:rFonts w:ascii="Times New Roman" w:hAnsi="Times New Roman"/>
          <w:b/>
        </w:rPr>
      </w:pPr>
      <w:r w:rsidRPr="00072CF4">
        <w:rPr>
          <w:rFonts w:ascii="Times New Roman" w:hAnsi="Times New Roman"/>
          <w:b/>
        </w:rPr>
        <w:t>SUPPORTING STATEMENT</w:t>
      </w:r>
    </w:p>
    <w:p w14:paraId="3F9A64DD" w14:textId="77777777" w:rsidR="006D4F3A" w:rsidRDefault="006D4F3A" w:rsidP="006D4F3A">
      <w:pPr>
        <w:jc w:val="center"/>
        <w:rPr>
          <w:rFonts w:ascii="Times New Roman" w:hAnsi="Times New Roman"/>
        </w:rPr>
      </w:pPr>
      <w:r>
        <w:rPr>
          <w:rFonts w:ascii="Times New Roman" w:hAnsi="Times New Roman"/>
        </w:rPr>
        <w:t>Protection of Stratospheric Ozone: Critical Use Exemption from</w:t>
      </w:r>
      <w:r w:rsidR="00F24903">
        <w:rPr>
          <w:rFonts w:ascii="Times New Roman" w:hAnsi="Times New Roman"/>
        </w:rPr>
        <w:t xml:space="preserve"> the Phaseout of Methyl Bromide </w:t>
      </w:r>
      <w:r>
        <w:rPr>
          <w:rFonts w:ascii="Times New Roman" w:hAnsi="Times New Roman"/>
        </w:rPr>
        <w:t>(Renewal)</w:t>
      </w:r>
    </w:p>
    <w:p w14:paraId="211C483B" w14:textId="77777777" w:rsidR="006D4F3A" w:rsidRPr="00877602" w:rsidRDefault="006D4F3A">
      <w:pPr>
        <w:rPr>
          <w:rFonts w:ascii="Times New Roman" w:hAnsi="Times New Roman"/>
        </w:rPr>
      </w:pPr>
    </w:p>
    <w:p w14:paraId="550BC005" w14:textId="106C23A1" w:rsidR="00EA018D" w:rsidRPr="00877602" w:rsidRDefault="00EA018D">
      <w:pPr>
        <w:rPr>
          <w:rFonts w:ascii="Times New Roman" w:hAnsi="Times New Roman"/>
        </w:rPr>
      </w:pPr>
      <w:r w:rsidRPr="00877602">
        <w:rPr>
          <w:rFonts w:ascii="Times New Roman" w:hAnsi="Times New Roman"/>
        </w:rPr>
        <w:t>1.</w:t>
      </w:r>
      <w:r w:rsidR="0011094A">
        <w:rPr>
          <w:rFonts w:ascii="Times New Roman" w:hAnsi="Times New Roman"/>
        </w:rPr>
        <w:t xml:space="preserve"> </w:t>
      </w:r>
      <w:r w:rsidRPr="00877602">
        <w:rPr>
          <w:rFonts w:ascii="Times New Roman" w:hAnsi="Times New Roman"/>
          <w:u w:val="single"/>
        </w:rPr>
        <w:t>Identification of the Information Collection</w:t>
      </w:r>
    </w:p>
    <w:p w14:paraId="3ED26FAF" w14:textId="77777777" w:rsidR="00EA018D" w:rsidRPr="00877602" w:rsidRDefault="00EA018D">
      <w:pPr>
        <w:rPr>
          <w:rFonts w:ascii="Times New Roman" w:hAnsi="Times New Roman"/>
        </w:rPr>
      </w:pPr>
    </w:p>
    <w:p w14:paraId="2A136DAF" w14:textId="77777777" w:rsidR="00EA018D" w:rsidRPr="00877602" w:rsidRDefault="00EA018D">
      <w:pPr>
        <w:tabs>
          <w:tab w:val="left" w:pos="-1440"/>
        </w:tabs>
        <w:ind w:left="720" w:hanging="720"/>
        <w:rPr>
          <w:rFonts w:ascii="Times New Roman" w:hAnsi="Times New Roman"/>
        </w:rPr>
      </w:pPr>
      <w:r w:rsidRPr="00877602">
        <w:rPr>
          <w:rFonts w:ascii="Times New Roman" w:hAnsi="Times New Roman"/>
        </w:rPr>
        <w:t>a)</w:t>
      </w:r>
      <w:r w:rsidRPr="00877602">
        <w:rPr>
          <w:rFonts w:ascii="Times New Roman" w:hAnsi="Times New Roman"/>
        </w:rPr>
        <w:tab/>
        <w:t>Title:</w:t>
      </w:r>
      <w:r w:rsidR="00E973CF" w:rsidRPr="00877602">
        <w:rPr>
          <w:rFonts w:ascii="Times New Roman" w:hAnsi="Times New Roman"/>
        </w:rPr>
        <w:t xml:space="preserve"> </w:t>
      </w:r>
      <w:r w:rsidR="00877602" w:rsidRPr="00877602">
        <w:rPr>
          <w:rFonts w:ascii="Times New Roman" w:hAnsi="Times New Roman"/>
        </w:rPr>
        <w:t xml:space="preserve">Protection of Stratospheric Ozone: </w:t>
      </w:r>
      <w:r w:rsidR="00877602">
        <w:rPr>
          <w:rFonts w:ascii="Times New Roman" w:hAnsi="Times New Roman"/>
        </w:rPr>
        <w:t>Critical U</w:t>
      </w:r>
      <w:r w:rsidR="00877602" w:rsidRPr="00877602">
        <w:rPr>
          <w:rFonts w:ascii="Times New Roman" w:hAnsi="Times New Roman"/>
        </w:rPr>
        <w:t>se Exemption from</w:t>
      </w:r>
      <w:r w:rsidR="00F24903">
        <w:rPr>
          <w:rFonts w:ascii="Times New Roman" w:hAnsi="Times New Roman"/>
        </w:rPr>
        <w:t xml:space="preserve"> the Phaseout of Methyl Bromide</w:t>
      </w:r>
    </w:p>
    <w:p w14:paraId="466395A3" w14:textId="77777777" w:rsidR="00EA018D" w:rsidRPr="00877602" w:rsidRDefault="00EA018D">
      <w:pPr>
        <w:rPr>
          <w:rFonts w:ascii="Times New Roman" w:hAnsi="Times New Roman"/>
        </w:rPr>
      </w:pPr>
    </w:p>
    <w:p w14:paraId="7570577E" w14:textId="64B9777C" w:rsidR="00EA018D" w:rsidRDefault="00EA018D" w:rsidP="006D4F3A">
      <w:pPr>
        <w:ind w:firstLine="720"/>
        <w:rPr>
          <w:rFonts w:ascii="Times New Roman" w:hAnsi="Times New Roman"/>
        </w:rPr>
      </w:pPr>
      <w:r w:rsidRPr="00877602">
        <w:rPr>
          <w:rFonts w:ascii="Times New Roman" w:hAnsi="Times New Roman"/>
        </w:rPr>
        <w:t xml:space="preserve">EPA </w:t>
      </w:r>
      <w:r w:rsidRPr="00DB2276">
        <w:rPr>
          <w:rFonts w:ascii="Times New Roman" w:hAnsi="Times New Roman"/>
        </w:rPr>
        <w:t>Number:</w:t>
      </w:r>
      <w:r w:rsidR="00F513E4" w:rsidRPr="00DB2276">
        <w:rPr>
          <w:rFonts w:ascii="Times New Roman" w:hAnsi="Times New Roman"/>
        </w:rPr>
        <w:t xml:space="preserve"> </w:t>
      </w:r>
      <w:r w:rsidR="00273DCD" w:rsidRPr="00273DCD">
        <w:rPr>
          <w:rFonts w:ascii="Times New Roman" w:hAnsi="Times New Roman"/>
        </w:rPr>
        <w:t>2031.0</w:t>
      </w:r>
      <w:r w:rsidR="002E078F">
        <w:rPr>
          <w:rFonts w:ascii="Times New Roman" w:hAnsi="Times New Roman"/>
        </w:rPr>
        <w:t>8</w:t>
      </w:r>
    </w:p>
    <w:p w14:paraId="71D96F56" w14:textId="77777777" w:rsidR="006D4F3A" w:rsidRDefault="006D4F3A" w:rsidP="006D4F3A">
      <w:pPr>
        <w:ind w:firstLine="720"/>
        <w:rPr>
          <w:rFonts w:ascii="Times New Roman" w:hAnsi="Times New Roman"/>
        </w:rPr>
      </w:pPr>
    </w:p>
    <w:p w14:paraId="3D912C1B" w14:textId="77777777" w:rsidR="006D4F3A" w:rsidRDefault="006D4F3A" w:rsidP="006D4F3A">
      <w:pPr>
        <w:ind w:firstLine="720"/>
        <w:rPr>
          <w:rFonts w:ascii="Times New Roman" w:hAnsi="Times New Roman"/>
        </w:rPr>
      </w:pPr>
      <w:r>
        <w:rPr>
          <w:rFonts w:ascii="Times New Roman" w:hAnsi="Times New Roman"/>
        </w:rPr>
        <w:t>OMB Control Number 2060-0482</w:t>
      </w:r>
    </w:p>
    <w:p w14:paraId="0555D703" w14:textId="77777777" w:rsidR="00A53112" w:rsidRPr="00877602" w:rsidRDefault="00C257EA" w:rsidP="00C257EA">
      <w:pPr>
        <w:tabs>
          <w:tab w:val="left" w:pos="3300"/>
        </w:tabs>
        <w:rPr>
          <w:rFonts w:ascii="Times New Roman" w:hAnsi="Times New Roman"/>
        </w:rPr>
      </w:pPr>
      <w:r>
        <w:rPr>
          <w:rFonts w:ascii="Times New Roman" w:hAnsi="Times New Roman"/>
        </w:rPr>
        <w:tab/>
      </w:r>
    </w:p>
    <w:p w14:paraId="49264157" w14:textId="77777777"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Short Characterization:</w:t>
      </w:r>
      <w:bookmarkStart w:id="0" w:name="_GoBack"/>
      <w:bookmarkEnd w:id="0"/>
    </w:p>
    <w:p w14:paraId="5BA589BC" w14:textId="77777777" w:rsidR="00EA018D" w:rsidRPr="00877602" w:rsidRDefault="00EA018D">
      <w:pPr>
        <w:rPr>
          <w:rFonts w:ascii="Times New Roman" w:hAnsi="Times New Roman"/>
        </w:rPr>
      </w:pPr>
    </w:p>
    <w:p w14:paraId="78A1D70C" w14:textId="4A0390D0" w:rsidR="00E26AD5" w:rsidRPr="00E26AD5" w:rsidRDefault="003A5007" w:rsidP="006038A6">
      <w:pPr>
        <w:ind w:firstLine="720"/>
        <w:rPr>
          <w:rFonts w:ascii="Times New Roman" w:hAnsi="Times New Roman"/>
        </w:rPr>
      </w:pPr>
      <w:r w:rsidRPr="003A5007">
        <w:rPr>
          <w:rFonts w:ascii="Times New Roman" w:hAnsi="Times New Roman"/>
        </w:rPr>
        <w:t xml:space="preserve">With this Information Collection Request (ICR), </w:t>
      </w:r>
      <w:r w:rsidR="005625AA">
        <w:rPr>
          <w:rFonts w:ascii="Times New Roman" w:hAnsi="Times New Roman"/>
        </w:rPr>
        <w:t>the Environmental Protection Agency’s (</w:t>
      </w:r>
      <w:r w:rsidRPr="003A5007">
        <w:rPr>
          <w:rFonts w:ascii="Times New Roman" w:hAnsi="Times New Roman"/>
        </w:rPr>
        <w:t>EP</w:t>
      </w:r>
      <w:r w:rsidR="005625AA">
        <w:rPr>
          <w:rFonts w:ascii="Times New Roman" w:hAnsi="Times New Roman"/>
        </w:rPr>
        <w:t>A)</w:t>
      </w:r>
      <w:r w:rsidRPr="003A5007">
        <w:rPr>
          <w:rFonts w:ascii="Times New Roman" w:hAnsi="Times New Roman"/>
        </w:rPr>
        <w:t xml:space="preserve"> Office of Air and Radiation (OAR) is seeking to renew </w:t>
      </w:r>
      <w:r w:rsidR="006038A6">
        <w:rPr>
          <w:rFonts w:ascii="Times New Roman" w:hAnsi="Times New Roman"/>
        </w:rPr>
        <w:t>the</w:t>
      </w:r>
      <w:r w:rsidRPr="003A5007">
        <w:rPr>
          <w:rFonts w:ascii="Times New Roman" w:hAnsi="Times New Roman"/>
        </w:rPr>
        <w:t xml:space="preserve"> existing ICR for </w:t>
      </w:r>
      <w:r w:rsidR="00E563A7">
        <w:rPr>
          <w:rFonts w:ascii="Times New Roman" w:hAnsi="Times New Roman"/>
        </w:rPr>
        <w:t>the methyl bromide critical use e</w:t>
      </w:r>
      <w:r>
        <w:rPr>
          <w:rFonts w:ascii="Times New Roman" w:hAnsi="Times New Roman"/>
        </w:rPr>
        <w:t>xemption program</w:t>
      </w:r>
      <w:r w:rsidR="00E26AD5">
        <w:rPr>
          <w:rFonts w:ascii="Times New Roman" w:hAnsi="Times New Roman"/>
        </w:rPr>
        <w:t xml:space="preserve"> </w:t>
      </w:r>
      <w:r w:rsidR="00DC1EFB">
        <w:rPr>
          <w:rFonts w:ascii="Times New Roman" w:hAnsi="Times New Roman"/>
        </w:rPr>
        <w:t xml:space="preserve">(CUE) </w:t>
      </w:r>
      <w:r w:rsidR="00E26AD5">
        <w:rPr>
          <w:rFonts w:ascii="Times New Roman" w:hAnsi="Times New Roman"/>
        </w:rPr>
        <w:t>under the Clean Air Act</w:t>
      </w:r>
      <w:r w:rsidR="006038A6">
        <w:rPr>
          <w:rFonts w:ascii="Times New Roman" w:hAnsi="Times New Roman"/>
        </w:rPr>
        <w:t xml:space="preserve">. </w:t>
      </w:r>
      <w:r w:rsidR="00E563A7" w:rsidRPr="00877602">
        <w:rPr>
          <w:rFonts w:ascii="Times New Roman" w:hAnsi="Times New Roman"/>
        </w:rPr>
        <w:t xml:space="preserve">This ICR seeks to characterize the burden associated with producing, importing, distributing, and using methyl bromide </w:t>
      </w:r>
      <w:r w:rsidR="00E563A7">
        <w:rPr>
          <w:rFonts w:ascii="Times New Roman" w:hAnsi="Times New Roman"/>
        </w:rPr>
        <w:t xml:space="preserve">under the critical use exemption program </w:t>
      </w:r>
      <w:r w:rsidR="00E563A7" w:rsidRPr="00877602">
        <w:rPr>
          <w:rFonts w:ascii="Times New Roman" w:hAnsi="Times New Roman"/>
        </w:rPr>
        <w:t xml:space="preserve">as described in 40 CFR Part 82. </w:t>
      </w:r>
      <w:r w:rsidR="006038A6">
        <w:rPr>
          <w:rFonts w:ascii="Times New Roman" w:hAnsi="Times New Roman"/>
        </w:rPr>
        <w:t xml:space="preserve">In addition, it includes the burden associated with applying for the critical use exemption. </w:t>
      </w:r>
      <w:r w:rsidR="00E44069">
        <w:rPr>
          <w:rFonts w:ascii="Times New Roman" w:hAnsi="Times New Roman"/>
        </w:rPr>
        <w:t>Entities applying for this exemption</w:t>
      </w:r>
      <w:r w:rsidR="00E26AD5" w:rsidRPr="00E26AD5">
        <w:rPr>
          <w:rFonts w:ascii="Times New Roman" w:hAnsi="Times New Roman"/>
        </w:rPr>
        <w:t xml:space="preserve"> are asked to submit to EPA applications with necessary data to evaluate the need for a critical use exempt</w:t>
      </w:r>
      <w:r w:rsidR="00E26AD5">
        <w:rPr>
          <w:rFonts w:ascii="Times New Roman" w:hAnsi="Times New Roman"/>
        </w:rPr>
        <w:t>ion.</w:t>
      </w:r>
      <w:r w:rsidR="0011094A">
        <w:rPr>
          <w:rFonts w:ascii="Times New Roman" w:hAnsi="Times New Roman"/>
        </w:rPr>
        <w:t xml:space="preserve"> </w:t>
      </w:r>
      <w:r w:rsidR="00E26AD5">
        <w:rPr>
          <w:rFonts w:ascii="Times New Roman" w:hAnsi="Times New Roman"/>
        </w:rPr>
        <w:t>This information collection</w:t>
      </w:r>
      <w:r w:rsidR="00E44069">
        <w:rPr>
          <w:rFonts w:ascii="Times New Roman" w:hAnsi="Times New Roman"/>
        </w:rPr>
        <w:t xml:space="preserve"> is </w:t>
      </w:r>
      <w:r w:rsidR="00E26AD5" w:rsidRPr="00E26AD5">
        <w:rPr>
          <w:rFonts w:ascii="Times New Roman" w:hAnsi="Times New Roman"/>
        </w:rPr>
        <w:t>conducted to meet U.S. obligations under Article 2H of the Montreal Protocol on Substances that Deplete the Ozone Lay</w:t>
      </w:r>
      <w:r w:rsidR="00E26AD5">
        <w:rPr>
          <w:rFonts w:ascii="Times New Roman" w:hAnsi="Times New Roman"/>
        </w:rPr>
        <w:t>er (Protocol) and to implement Section 604</w:t>
      </w:r>
      <w:r w:rsidR="00E26AD5" w:rsidRPr="00E26AD5">
        <w:rPr>
          <w:rFonts w:ascii="Times New Roman" w:hAnsi="Times New Roman"/>
        </w:rPr>
        <w:t>(d)(6) of the CAA, added by Section 764 of the 1999 Omnibus Consolidated and Emergency Supplemental Appropriations Act (Public Law No. 105-277; October 21, 1998).</w:t>
      </w:r>
      <w:r w:rsidR="0011094A">
        <w:rPr>
          <w:rFonts w:ascii="Times New Roman" w:hAnsi="Times New Roman"/>
        </w:rPr>
        <w:t xml:space="preserve"> </w:t>
      </w:r>
    </w:p>
    <w:p w14:paraId="73C3DAD2" w14:textId="150CDC06" w:rsidR="00E26AD5" w:rsidRPr="00E26AD5" w:rsidRDefault="00E26AD5" w:rsidP="00E26AD5">
      <w:pPr>
        <w:ind w:firstLine="720"/>
        <w:rPr>
          <w:rFonts w:ascii="Times New Roman" w:hAnsi="Times New Roman"/>
        </w:rPr>
      </w:pPr>
      <w:r w:rsidRPr="00E26AD5">
        <w:rPr>
          <w:rFonts w:ascii="Times New Roman" w:hAnsi="Times New Roman"/>
        </w:rPr>
        <w:t>Since 2002, entities have applied to EPA for a critical use exemption that would allow fo</w:t>
      </w:r>
      <w:r w:rsidR="006038A6">
        <w:rPr>
          <w:rFonts w:ascii="Times New Roman" w:hAnsi="Times New Roman"/>
        </w:rPr>
        <w:t xml:space="preserve">r the continued production, </w:t>
      </w:r>
      <w:r w:rsidRPr="00E26AD5">
        <w:rPr>
          <w:rFonts w:ascii="Times New Roman" w:hAnsi="Times New Roman"/>
        </w:rPr>
        <w:t>import</w:t>
      </w:r>
      <w:r w:rsidR="006038A6">
        <w:rPr>
          <w:rFonts w:ascii="Times New Roman" w:hAnsi="Times New Roman"/>
        </w:rPr>
        <w:t>, and use</w:t>
      </w:r>
      <w:r w:rsidRPr="00E26AD5">
        <w:rPr>
          <w:rFonts w:ascii="Times New Roman" w:hAnsi="Times New Roman"/>
        </w:rPr>
        <w:t xml:space="preserve"> of methyl bromide after the </w:t>
      </w:r>
      <w:r w:rsidR="006038A6">
        <w:rPr>
          <w:rFonts w:ascii="Times New Roman" w:hAnsi="Times New Roman"/>
        </w:rPr>
        <w:t>phaseout in January 2005.</w:t>
      </w:r>
      <w:r w:rsidR="0011094A">
        <w:rPr>
          <w:rFonts w:ascii="Times New Roman" w:hAnsi="Times New Roman"/>
        </w:rPr>
        <w:t xml:space="preserve"> </w:t>
      </w:r>
      <w:r w:rsidR="006038A6">
        <w:rPr>
          <w:rFonts w:ascii="Times New Roman" w:hAnsi="Times New Roman"/>
        </w:rPr>
        <w:t>This exemption allows</w:t>
      </w:r>
      <w:r w:rsidRPr="00E26AD5">
        <w:rPr>
          <w:rFonts w:ascii="Times New Roman" w:hAnsi="Times New Roman"/>
        </w:rPr>
        <w:t xml:space="preserve"> for consumption only in those agricultural sectors that have demonstrated that there are no technically or economically feasible alternatives to methyl bromide.</w:t>
      </w:r>
      <w:r w:rsidR="0011094A">
        <w:rPr>
          <w:rFonts w:ascii="Times New Roman" w:hAnsi="Times New Roman"/>
        </w:rPr>
        <w:t xml:space="preserve"> </w:t>
      </w:r>
      <w:r w:rsidRPr="00E26AD5">
        <w:rPr>
          <w:rFonts w:ascii="Times New Roman" w:hAnsi="Times New Roman"/>
        </w:rPr>
        <w:t xml:space="preserve">The applications are rigorously assessed and analyzed by EPA experts from the Office of </w:t>
      </w:r>
      <w:r w:rsidR="00265CA5">
        <w:rPr>
          <w:rFonts w:ascii="Times New Roman" w:hAnsi="Times New Roman"/>
        </w:rPr>
        <w:t>Pesticide Programs</w:t>
      </w:r>
      <w:r w:rsidRPr="00E26AD5">
        <w:rPr>
          <w:rFonts w:ascii="Times New Roman" w:hAnsi="Times New Roman"/>
        </w:rPr>
        <w:t>.</w:t>
      </w:r>
      <w:r w:rsidR="0011094A">
        <w:rPr>
          <w:rFonts w:ascii="Times New Roman" w:hAnsi="Times New Roman"/>
        </w:rPr>
        <w:t xml:space="preserve"> </w:t>
      </w:r>
      <w:r w:rsidRPr="00E26AD5">
        <w:rPr>
          <w:rFonts w:ascii="Times New Roman" w:hAnsi="Times New Roman"/>
        </w:rPr>
        <w:t>On an annual basis, EPA</w:t>
      </w:r>
      <w:r w:rsidR="006038A6">
        <w:rPr>
          <w:rFonts w:ascii="Times New Roman" w:hAnsi="Times New Roman"/>
        </w:rPr>
        <w:t xml:space="preserve"> uses the data submitted by applicants to nominate</w:t>
      </w:r>
      <w:r w:rsidRPr="00E26AD5">
        <w:rPr>
          <w:rFonts w:ascii="Times New Roman" w:hAnsi="Times New Roman"/>
        </w:rPr>
        <w:t xml:space="preserve"> </w:t>
      </w:r>
      <w:r w:rsidR="006038A6">
        <w:rPr>
          <w:rFonts w:ascii="Times New Roman" w:hAnsi="Times New Roman"/>
        </w:rPr>
        <w:t xml:space="preserve">future </w:t>
      </w:r>
      <w:r w:rsidRPr="00E26AD5">
        <w:rPr>
          <w:rFonts w:ascii="Times New Roman" w:hAnsi="Times New Roman"/>
        </w:rPr>
        <w:t>critical uses</w:t>
      </w:r>
      <w:r w:rsidR="006038A6">
        <w:rPr>
          <w:rFonts w:ascii="Times New Roman" w:hAnsi="Times New Roman"/>
        </w:rPr>
        <w:t xml:space="preserve">. The Department of State, on behalf of the </w:t>
      </w:r>
      <w:r w:rsidR="00265CA5">
        <w:rPr>
          <w:rFonts w:ascii="Times New Roman" w:hAnsi="Times New Roman"/>
        </w:rPr>
        <w:t>U.S. Government</w:t>
      </w:r>
      <w:r w:rsidR="006038A6">
        <w:rPr>
          <w:rFonts w:ascii="Times New Roman" w:hAnsi="Times New Roman"/>
        </w:rPr>
        <w:t>,</w:t>
      </w:r>
      <w:r w:rsidR="00265CA5">
        <w:rPr>
          <w:rFonts w:ascii="Times New Roman" w:hAnsi="Times New Roman"/>
        </w:rPr>
        <w:t xml:space="preserve"> submits</w:t>
      </w:r>
      <w:r w:rsidRPr="00E26AD5">
        <w:rPr>
          <w:rFonts w:ascii="Times New Roman" w:hAnsi="Times New Roman"/>
        </w:rPr>
        <w:t xml:space="preserve"> </w:t>
      </w:r>
      <w:r w:rsidR="007F5ECB">
        <w:rPr>
          <w:rFonts w:ascii="Times New Roman" w:hAnsi="Times New Roman"/>
        </w:rPr>
        <w:t xml:space="preserve">the nomination to the Ozone Secretariat for their </w:t>
      </w:r>
      <w:r w:rsidRPr="00E26AD5">
        <w:rPr>
          <w:rFonts w:ascii="Times New Roman" w:hAnsi="Times New Roman"/>
        </w:rPr>
        <w:t>review</w:t>
      </w:r>
      <w:r w:rsidR="007F5ECB">
        <w:rPr>
          <w:rFonts w:ascii="Times New Roman" w:hAnsi="Times New Roman"/>
        </w:rPr>
        <w:t>.</w:t>
      </w:r>
      <w:r w:rsidR="0011094A">
        <w:rPr>
          <w:rFonts w:ascii="Times New Roman" w:hAnsi="Times New Roman"/>
        </w:rPr>
        <w:t xml:space="preserve"> </w:t>
      </w:r>
      <w:r w:rsidR="007F5ECB">
        <w:rPr>
          <w:rFonts w:ascii="Times New Roman" w:hAnsi="Times New Roman"/>
        </w:rPr>
        <w:t>That review includes analyses</w:t>
      </w:r>
      <w:r w:rsidRPr="00E26AD5">
        <w:rPr>
          <w:rFonts w:ascii="Times New Roman" w:hAnsi="Times New Roman"/>
        </w:rPr>
        <w:t xml:space="preserve"> by an international panel o</w:t>
      </w:r>
      <w:r w:rsidR="007F5ECB">
        <w:rPr>
          <w:rFonts w:ascii="Times New Roman" w:hAnsi="Times New Roman"/>
        </w:rPr>
        <w:t xml:space="preserve">f experts and advisory bodies: </w:t>
      </w:r>
      <w:r w:rsidRPr="00E26AD5">
        <w:rPr>
          <w:rFonts w:ascii="Times New Roman" w:hAnsi="Times New Roman"/>
        </w:rPr>
        <w:t>the Methyl Bromide Technical Options Committee (MBTOC) and the Technical and Economic Assessment Panel (TEAP).</w:t>
      </w:r>
      <w:r w:rsidR="0011094A">
        <w:rPr>
          <w:rFonts w:ascii="Times New Roman" w:hAnsi="Times New Roman"/>
        </w:rPr>
        <w:t xml:space="preserve"> </w:t>
      </w:r>
      <w:r w:rsidR="007F5ECB">
        <w:rPr>
          <w:rFonts w:ascii="Times New Roman" w:hAnsi="Times New Roman"/>
        </w:rPr>
        <w:t>EPA makes t</w:t>
      </w:r>
      <w:r w:rsidRPr="00E26AD5">
        <w:rPr>
          <w:rFonts w:ascii="Times New Roman" w:hAnsi="Times New Roman"/>
        </w:rPr>
        <w:t>he uses authorized internationally by the Parties to the Protocol available in the U.S. on an annual basis</w:t>
      </w:r>
      <w:r w:rsidR="007F5ECB">
        <w:rPr>
          <w:rFonts w:ascii="Times New Roman" w:hAnsi="Times New Roman"/>
        </w:rPr>
        <w:t xml:space="preserve"> through the annual critical use exemption allocation rulemaking</w:t>
      </w:r>
      <w:r w:rsidRPr="00E26AD5">
        <w:rPr>
          <w:rFonts w:ascii="Times New Roman" w:hAnsi="Times New Roman"/>
        </w:rPr>
        <w:t>.</w:t>
      </w:r>
      <w:r w:rsidR="0011094A">
        <w:rPr>
          <w:rFonts w:ascii="Times New Roman" w:hAnsi="Times New Roman"/>
        </w:rPr>
        <w:t xml:space="preserve"> </w:t>
      </w:r>
    </w:p>
    <w:p w14:paraId="3BAEA70C" w14:textId="77777777" w:rsidR="00EA018D" w:rsidRPr="00877602" w:rsidRDefault="00EA018D">
      <w:pPr>
        <w:rPr>
          <w:rFonts w:ascii="Times New Roman" w:hAnsi="Times New Roman"/>
        </w:rPr>
      </w:pPr>
    </w:p>
    <w:p w14:paraId="364B3B78" w14:textId="77777777" w:rsidR="00EA018D" w:rsidRPr="00877602" w:rsidRDefault="00EA018D">
      <w:pPr>
        <w:rPr>
          <w:rFonts w:ascii="Times New Roman" w:hAnsi="Times New Roman"/>
        </w:rPr>
      </w:pPr>
      <w:r w:rsidRPr="00877602">
        <w:rPr>
          <w:rFonts w:ascii="Times New Roman" w:hAnsi="Times New Roman"/>
        </w:rPr>
        <w:t>2.</w:t>
      </w:r>
      <w:r w:rsidRPr="00877602">
        <w:rPr>
          <w:rFonts w:ascii="Times New Roman" w:hAnsi="Times New Roman"/>
        </w:rPr>
        <w:tab/>
      </w:r>
      <w:r w:rsidRPr="00877602">
        <w:rPr>
          <w:rFonts w:ascii="Times New Roman" w:hAnsi="Times New Roman"/>
          <w:u w:val="single"/>
        </w:rPr>
        <w:t>Need For, and Use Of, the Collection</w:t>
      </w:r>
    </w:p>
    <w:p w14:paraId="7F3548B3" w14:textId="77777777" w:rsidR="00EA018D" w:rsidRPr="00877602" w:rsidRDefault="00EA018D">
      <w:pPr>
        <w:rPr>
          <w:rFonts w:ascii="Times New Roman" w:hAnsi="Times New Roman"/>
        </w:rPr>
      </w:pPr>
    </w:p>
    <w:p w14:paraId="3A3300A0" w14:textId="77777777" w:rsidR="00EA018D" w:rsidRPr="00877602" w:rsidRDefault="00EA018D">
      <w:pPr>
        <w:rPr>
          <w:rFonts w:ascii="Times New Roman" w:hAnsi="Times New Roman"/>
        </w:rPr>
      </w:pPr>
      <w:r w:rsidRPr="00877602">
        <w:rPr>
          <w:rFonts w:ascii="Times New Roman" w:hAnsi="Times New Roman"/>
        </w:rPr>
        <w:t>a)</w:t>
      </w:r>
      <w:r w:rsidRPr="00877602">
        <w:rPr>
          <w:rFonts w:ascii="Times New Roman" w:hAnsi="Times New Roman"/>
        </w:rPr>
        <w:tab/>
        <w:t>Authority for the Collection</w:t>
      </w:r>
    </w:p>
    <w:p w14:paraId="51ABCEDE" w14:textId="77777777" w:rsidR="00EA018D" w:rsidRPr="00877602" w:rsidRDefault="00EA018D">
      <w:pPr>
        <w:rPr>
          <w:rFonts w:ascii="Times New Roman" w:hAnsi="Times New Roman"/>
        </w:rPr>
      </w:pPr>
    </w:p>
    <w:p w14:paraId="472C0532" w14:textId="77777777" w:rsidR="00EA018D" w:rsidRDefault="00EA018D">
      <w:pPr>
        <w:ind w:firstLine="720"/>
        <w:rPr>
          <w:rFonts w:ascii="Times New Roman" w:hAnsi="Times New Roman"/>
        </w:rPr>
      </w:pPr>
      <w:r w:rsidRPr="00877602">
        <w:rPr>
          <w:rFonts w:ascii="Times New Roman" w:hAnsi="Times New Roman"/>
        </w:rPr>
        <w:t xml:space="preserve">This information collection </w:t>
      </w:r>
      <w:r w:rsidR="00E563A7">
        <w:rPr>
          <w:rFonts w:ascii="Times New Roman" w:hAnsi="Times New Roman"/>
        </w:rPr>
        <w:t>is authorized under Section 604</w:t>
      </w:r>
      <w:r w:rsidRPr="00877602">
        <w:rPr>
          <w:rFonts w:ascii="Times New Roman" w:hAnsi="Times New Roman"/>
        </w:rPr>
        <w:t xml:space="preserve">(d)(6) of the Clean Air Act Amendments of 1990, added by Section 764 of the 1999 Omnibus Consolidated and Emergency </w:t>
      </w:r>
      <w:r w:rsidRPr="00877602">
        <w:rPr>
          <w:rFonts w:ascii="Times New Roman" w:hAnsi="Times New Roman"/>
        </w:rPr>
        <w:lastRenderedPageBreak/>
        <w:t>Supplemental Appropriations Act (Public Law No. 105-277; October 21, 1998).</w:t>
      </w:r>
    </w:p>
    <w:p w14:paraId="7ED0343D" w14:textId="22039317" w:rsidR="00E563A7" w:rsidRPr="00E563A7" w:rsidRDefault="00E563A7" w:rsidP="00E563A7">
      <w:pPr>
        <w:ind w:firstLine="720"/>
        <w:rPr>
          <w:rFonts w:ascii="Times New Roman" w:hAnsi="Times New Roman"/>
        </w:rPr>
      </w:pPr>
      <w:r w:rsidRPr="00E563A7">
        <w:rPr>
          <w:rFonts w:ascii="Times New Roman" w:hAnsi="Times New Roman"/>
        </w:rPr>
        <w:t xml:space="preserve">Because this action involves </w:t>
      </w:r>
      <w:r>
        <w:rPr>
          <w:rFonts w:ascii="Times New Roman" w:hAnsi="Times New Roman"/>
        </w:rPr>
        <w:t xml:space="preserve">the </w:t>
      </w:r>
      <w:r w:rsidRPr="00E563A7">
        <w:rPr>
          <w:rFonts w:ascii="Times New Roman" w:hAnsi="Times New Roman"/>
        </w:rPr>
        <w:t xml:space="preserve">controlled use of a pesticide, EPA’s Office </w:t>
      </w:r>
      <w:r w:rsidR="00927D44">
        <w:rPr>
          <w:rFonts w:ascii="Times New Roman" w:hAnsi="Times New Roman"/>
        </w:rPr>
        <w:t xml:space="preserve">of </w:t>
      </w:r>
      <w:r w:rsidRPr="00E563A7">
        <w:rPr>
          <w:rFonts w:ascii="Times New Roman" w:hAnsi="Times New Roman"/>
        </w:rPr>
        <w:t xml:space="preserve">Pesticide </w:t>
      </w:r>
      <w:r w:rsidR="00265CA5">
        <w:rPr>
          <w:rFonts w:ascii="Times New Roman" w:hAnsi="Times New Roman"/>
        </w:rPr>
        <w:t>Programs</w:t>
      </w:r>
      <w:r w:rsidRPr="00E563A7">
        <w:rPr>
          <w:rFonts w:ascii="Times New Roman" w:hAnsi="Times New Roman"/>
        </w:rPr>
        <w:t xml:space="preserve"> </w:t>
      </w:r>
      <w:r w:rsidR="007F5ECB">
        <w:rPr>
          <w:rFonts w:ascii="Times New Roman" w:hAnsi="Times New Roman"/>
        </w:rPr>
        <w:t>collaborates</w:t>
      </w:r>
      <w:r w:rsidRPr="00E563A7">
        <w:rPr>
          <w:rFonts w:ascii="Times New Roman" w:hAnsi="Times New Roman"/>
        </w:rPr>
        <w:t xml:space="preserve"> in the exemption application process.</w:t>
      </w:r>
      <w:r w:rsidR="0011094A">
        <w:rPr>
          <w:rFonts w:ascii="Times New Roman" w:hAnsi="Times New Roman"/>
        </w:rPr>
        <w:t xml:space="preserve"> </w:t>
      </w:r>
      <w:r w:rsidRPr="00E563A7">
        <w:rPr>
          <w:rFonts w:ascii="Times New Roman" w:hAnsi="Times New Roman"/>
        </w:rPr>
        <w:t>The regulation of pesticides is conducted under the Federal Insecticide, Fungicide, and Rodenticide Act (FIFRA), as amended by the Food Quality Protection Act (FQPA).</w:t>
      </w:r>
      <w:r w:rsidR="0011094A">
        <w:rPr>
          <w:rFonts w:ascii="Times New Roman" w:hAnsi="Times New Roman"/>
        </w:rPr>
        <w:t xml:space="preserve"> </w:t>
      </w:r>
    </w:p>
    <w:p w14:paraId="147109A4" w14:textId="77777777" w:rsidR="00EA018D" w:rsidRPr="00877602" w:rsidRDefault="00EA018D">
      <w:pPr>
        <w:rPr>
          <w:rFonts w:ascii="Times New Roman" w:hAnsi="Times New Roman"/>
        </w:rPr>
      </w:pPr>
    </w:p>
    <w:p w14:paraId="4F8B8742" w14:textId="77777777"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Practical Utility/Users of the Data</w:t>
      </w:r>
    </w:p>
    <w:p w14:paraId="36D0CF09" w14:textId="77777777" w:rsidR="00EA018D" w:rsidRDefault="00EA018D">
      <w:pPr>
        <w:rPr>
          <w:rFonts w:ascii="Times New Roman" w:hAnsi="Times New Roman"/>
        </w:rPr>
      </w:pPr>
    </w:p>
    <w:p w14:paraId="03A360DE" w14:textId="77777777" w:rsidR="00040ED3" w:rsidRPr="00E563A7" w:rsidRDefault="00040ED3" w:rsidP="00040ED3">
      <w:pPr>
        <w:ind w:left="720"/>
        <w:rPr>
          <w:rFonts w:ascii="Times New Roman" w:hAnsi="Times New Roman"/>
        </w:rPr>
      </w:pPr>
      <w:r w:rsidRPr="00E563A7">
        <w:rPr>
          <w:rFonts w:ascii="Times New Roman" w:hAnsi="Times New Roman"/>
        </w:rPr>
        <w:t>The applications</w:t>
      </w:r>
      <w:r>
        <w:rPr>
          <w:rFonts w:ascii="Times New Roman" w:hAnsi="Times New Roman"/>
        </w:rPr>
        <w:t xml:space="preserve"> </w:t>
      </w:r>
      <w:r w:rsidRPr="00E563A7">
        <w:rPr>
          <w:rFonts w:ascii="Times New Roman" w:hAnsi="Times New Roman"/>
        </w:rPr>
        <w:t>enable EPA to:</w:t>
      </w:r>
    </w:p>
    <w:p w14:paraId="2DC7DAE6" w14:textId="77777777" w:rsidR="00040ED3" w:rsidRPr="00E563A7" w:rsidRDefault="00040ED3" w:rsidP="00040ED3">
      <w:pPr>
        <w:ind w:left="720"/>
        <w:rPr>
          <w:rFonts w:ascii="Times New Roman" w:hAnsi="Times New Roman"/>
        </w:rPr>
      </w:pPr>
    </w:p>
    <w:p w14:paraId="67257082" w14:textId="77777777" w:rsidR="00040ED3" w:rsidRPr="00E563A7" w:rsidRDefault="00040ED3" w:rsidP="00B3298E">
      <w:pPr>
        <w:numPr>
          <w:ilvl w:val="0"/>
          <w:numId w:val="13"/>
        </w:numPr>
        <w:tabs>
          <w:tab w:val="left" w:pos="1170"/>
        </w:tabs>
        <w:ind w:left="1170" w:hanging="450"/>
        <w:rPr>
          <w:rFonts w:ascii="Times New Roman" w:hAnsi="Times New Roman"/>
        </w:rPr>
      </w:pPr>
      <w:r w:rsidRPr="00E563A7">
        <w:rPr>
          <w:rFonts w:ascii="Times New Roman" w:hAnsi="Times New Roman"/>
        </w:rPr>
        <w:t>Maintain consistency with the Protocol by supporting critical use nominations to the Parties to the Protocol, in accordance with paragraph 2 of Decision IX/6 of the Protocol;</w:t>
      </w:r>
    </w:p>
    <w:p w14:paraId="225A2BF5" w14:textId="77777777" w:rsidR="00040ED3" w:rsidRPr="00E563A7" w:rsidRDefault="00040ED3" w:rsidP="00B3298E">
      <w:pPr>
        <w:numPr>
          <w:ilvl w:val="0"/>
          <w:numId w:val="13"/>
        </w:numPr>
        <w:tabs>
          <w:tab w:val="left" w:pos="1170"/>
        </w:tabs>
        <w:ind w:left="1170" w:hanging="450"/>
        <w:rPr>
          <w:rFonts w:ascii="Times New Roman" w:hAnsi="Times New Roman"/>
        </w:rPr>
      </w:pPr>
      <w:r w:rsidRPr="00E563A7">
        <w:rPr>
          <w:rFonts w:ascii="Times New Roman" w:hAnsi="Times New Roman"/>
        </w:rPr>
        <w:t>Ensure that critical use exemptions comply with Section 604(d)(6), as added to the CAA in 1998;</w:t>
      </w:r>
    </w:p>
    <w:p w14:paraId="78550BB9" w14:textId="77777777" w:rsidR="00040ED3" w:rsidRDefault="00040ED3" w:rsidP="00B3298E">
      <w:pPr>
        <w:numPr>
          <w:ilvl w:val="0"/>
          <w:numId w:val="13"/>
        </w:numPr>
        <w:tabs>
          <w:tab w:val="left" w:pos="1170"/>
        </w:tabs>
        <w:ind w:left="1170" w:hanging="450"/>
        <w:rPr>
          <w:rFonts w:ascii="Times New Roman" w:hAnsi="Times New Roman"/>
        </w:rPr>
      </w:pPr>
      <w:r w:rsidRPr="00E563A7">
        <w:rPr>
          <w:rFonts w:ascii="Times New Roman" w:hAnsi="Times New Roman"/>
        </w:rPr>
        <w:t>Provide EPA with necessary data to evaluate the technical and economic feasibility of methyl bromide alternatives in the circumstance of the specific use, as presented in an applicati</w:t>
      </w:r>
      <w:r w:rsidR="00B3298E">
        <w:rPr>
          <w:rFonts w:ascii="Times New Roman" w:hAnsi="Times New Roman"/>
        </w:rPr>
        <w:t>on for a critical use exemption.</w:t>
      </w:r>
    </w:p>
    <w:p w14:paraId="71AFC179" w14:textId="77777777" w:rsidR="00040ED3" w:rsidRPr="00877602" w:rsidRDefault="00040ED3">
      <w:pPr>
        <w:rPr>
          <w:rFonts w:ascii="Times New Roman" w:hAnsi="Times New Roman"/>
        </w:rPr>
      </w:pPr>
    </w:p>
    <w:p w14:paraId="7E9E362A" w14:textId="77777777" w:rsidR="00EA018D" w:rsidRPr="00877602" w:rsidRDefault="00EA018D">
      <w:pPr>
        <w:ind w:firstLine="720"/>
        <w:rPr>
          <w:rFonts w:ascii="Times New Roman" w:hAnsi="Times New Roman"/>
        </w:rPr>
      </w:pPr>
      <w:r w:rsidRPr="00877602">
        <w:rPr>
          <w:rFonts w:ascii="Times New Roman" w:hAnsi="Times New Roman"/>
        </w:rPr>
        <w:t>The reported data enable EPA to:</w:t>
      </w:r>
    </w:p>
    <w:p w14:paraId="1690E92A" w14:textId="77777777" w:rsidR="00A818B5" w:rsidRPr="00877602" w:rsidRDefault="00A818B5" w:rsidP="0062329C">
      <w:pPr>
        <w:ind w:left="720"/>
        <w:rPr>
          <w:rFonts w:ascii="Times New Roman" w:hAnsi="Times New Roman"/>
        </w:rPr>
      </w:pPr>
    </w:p>
    <w:p w14:paraId="504DA621" w14:textId="77777777" w:rsidR="00EA018D" w:rsidRPr="00877602" w:rsidRDefault="00EA018D" w:rsidP="00B3298E">
      <w:pPr>
        <w:numPr>
          <w:ilvl w:val="0"/>
          <w:numId w:val="15"/>
        </w:numPr>
        <w:tabs>
          <w:tab w:val="left" w:pos="1170"/>
        </w:tabs>
        <w:ind w:left="1170" w:hanging="450"/>
        <w:rPr>
          <w:rFonts w:ascii="Times New Roman" w:hAnsi="Times New Roman"/>
        </w:rPr>
      </w:pPr>
      <w:r w:rsidRPr="00877602">
        <w:rPr>
          <w:rFonts w:ascii="Times New Roman" w:hAnsi="Times New Roman"/>
        </w:rPr>
        <w:t xml:space="preserve">Ensure that critical use exemptions comply with Section 604(d)(6) as </w:t>
      </w:r>
      <w:r w:rsidR="00E563A7">
        <w:rPr>
          <w:rFonts w:ascii="Times New Roman" w:hAnsi="Times New Roman"/>
        </w:rPr>
        <w:t>added to the CAA</w:t>
      </w:r>
      <w:r w:rsidRPr="00877602">
        <w:rPr>
          <w:rFonts w:ascii="Times New Roman" w:hAnsi="Times New Roman"/>
        </w:rPr>
        <w:t xml:space="preserve"> in 1998;</w:t>
      </w:r>
    </w:p>
    <w:p w14:paraId="4DEB30D4" w14:textId="77777777" w:rsidR="00EA018D" w:rsidRPr="00877602" w:rsidRDefault="00EA018D" w:rsidP="00B3298E">
      <w:pPr>
        <w:numPr>
          <w:ilvl w:val="0"/>
          <w:numId w:val="15"/>
        </w:numPr>
        <w:tabs>
          <w:tab w:val="left" w:pos="1170"/>
        </w:tabs>
        <w:ind w:left="1170" w:hanging="450"/>
        <w:rPr>
          <w:rFonts w:ascii="Times New Roman" w:hAnsi="Times New Roman"/>
        </w:rPr>
      </w:pPr>
      <w:r w:rsidRPr="00877602">
        <w:rPr>
          <w:rFonts w:ascii="Times New Roman" w:hAnsi="Times New Roman"/>
        </w:rPr>
        <w:t>Maintain compliance with the Protocol requirements for annual data submission on the production of ozone depleting substances;</w:t>
      </w:r>
    </w:p>
    <w:p w14:paraId="52BD23FC" w14:textId="77777777" w:rsidR="00EA018D" w:rsidRDefault="00EA018D" w:rsidP="00B3298E">
      <w:pPr>
        <w:numPr>
          <w:ilvl w:val="0"/>
          <w:numId w:val="15"/>
        </w:numPr>
        <w:tabs>
          <w:tab w:val="left" w:pos="1170"/>
        </w:tabs>
        <w:ind w:left="1170" w:hanging="450"/>
        <w:rPr>
          <w:rFonts w:ascii="Times New Roman" w:hAnsi="Times New Roman"/>
        </w:rPr>
      </w:pPr>
      <w:r w:rsidRPr="00877602">
        <w:rPr>
          <w:rFonts w:ascii="Times New Roman" w:hAnsi="Times New Roman"/>
        </w:rPr>
        <w:t>Analyze technical use data to ensure that exemptions are used in accordance with r</w:t>
      </w:r>
      <w:r w:rsidR="007F5ECB">
        <w:rPr>
          <w:rFonts w:ascii="Times New Roman" w:hAnsi="Times New Roman"/>
        </w:rPr>
        <w:t xml:space="preserve">equirements included in the annual allocation </w:t>
      </w:r>
      <w:r w:rsidRPr="00877602">
        <w:rPr>
          <w:rFonts w:ascii="Times New Roman" w:hAnsi="Times New Roman"/>
        </w:rPr>
        <w:t>rulemaking</w:t>
      </w:r>
      <w:r w:rsidR="007F5ECB">
        <w:rPr>
          <w:rFonts w:ascii="Times New Roman" w:hAnsi="Times New Roman"/>
        </w:rPr>
        <w:t>s</w:t>
      </w:r>
      <w:r w:rsidRPr="00877602">
        <w:rPr>
          <w:rFonts w:ascii="Times New Roman" w:hAnsi="Times New Roman"/>
        </w:rPr>
        <w:t>.</w:t>
      </w:r>
    </w:p>
    <w:p w14:paraId="3D1A54C3" w14:textId="77777777" w:rsidR="00EA018D" w:rsidRPr="00877602" w:rsidRDefault="00EA018D">
      <w:pPr>
        <w:rPr>
          <w:rFonts w:ascii="Times New Roman" w:hAnsi="Times New Roman"/>
        </w:rPr>
      </w:pPr>
    </w:p>
    <w:p w14:paraId="36328AFE" w14:textId="77777777" w:rsidR="00EA018D" w:rsidRPr="00877602" w:rsidRDefault="00EA018D">
      <w:pPr>
        <w:rPr>
          <w:rFonts w:ascii="Times New Roman" w:hAnsi="Times New Roman"/>
        </w:rPr>
      </w:pPr>
      <w:r w:rsidRPr="00877602">
        <w:rPr>
          <w:rFonts w:ascii="Times New Roman" w:hAnsi="Times New Roman"/>
        </w:rPr>
        <w:t>3.</w:t>
      </w:r>
      <w:r w:rsidRPr="00877602">
        <w:rPr>
          <w:rFonts w:ascii="Times New Roman" w:hAnsi="Times New Roman"/>
        </w:rPr>
        <w:tab/>
      </w:r>
      <w:r w:rsidRPr="00877602">
        <w:rPr>
          <w:rFonts w:ascii="Times New Roman" w:hAnsi="Times New Roman"/>
          <w:u w:val="single"/>
        </w:rPr>
        <w:t>Nonduplication, Consultation, and Other Collection Criteria</w:t>
      </w:r>
    </w:p>
    <w:p w14:paraId="4C0AF70F" w14:textId="77777777" w:rsidR="00EA018D" w:rsidRPr="00877602" w:rsidRDefault="00EA018D">
      <w:pPr>
        <w:rPr>
          <w:rFonts w:ascii="Times New Roman" w:hAnsi="Times New Roman"/>
        </w:rPr>
      </w:pPr>
    </w:p>
    <w:p w14:paraId="5BB4CA8C" w14:textId="77777777" w:rsidR="00EA018D" w:rsidRPr="00877602" w:rsidRDefault="00EA018D">
      <w:pPr>
        <w:tabs>
          <w:tab w:val="left" w:pos="-1440"/>
        </w:tabs>
        <w:ind w:left="720" w:hanging="720"/>
        <w:rPr>
          <w:rFonts w:ascii="Times New Roman" w:hAnsi="Times New Roman"/>
        </w:rPr>
      </w:pPr>
      <w:r w:rsidRPr="00877602">
        <w:rPr>
          <w:rFonts w:ascii="Times New Roman" w:hAnsi="Times New Roman"/>
        </w:rPr>
        <w:t xml:space="preserve">a) </w:t>
      </w:r>
      <w:r w:rsidRPr="00877602">
        <w:rPr>
          <w:rFonts w:ascii="Times New Roman" w:hAnsi="Times New Roman"/>
        </w:rPr>
        <w:tab/>
        <w:t>Nonduplication</w:t>
      </w:r>
    </w:p>
    <w:p w14:paraId="41CB3D5E" w14:textId="77777777" w:rsidR="00EA018D" w:rsidRPr="00877602" w:rsidRDefault="00EA018D">
      <w:pPr>
        <w:rPr>
          <w:rFonts w:ascii="Times New Roman" w:hAnsi="Times New Roman"/>
        </w:rPr>
      </w:pPr>
    </w:p>
    <w:p w14:paraId="2CFE1731" w14:textId="77777777" w:rsidR="00EA018D" w:rsidRPr="00877602" w:rsidRDefault="00EA018D">
      <w:pPr>
        <w:ind w:firstLine="720"/>
        <w:rPr>
          <w:rFonts w:ascii="Times New Roman" w:hAnsi="Times New Roman"/>
        </w:rPr>
      </w:pPr>
      <w:r w:rsidRPr="00877602">
        <w:rPr>
          <w:rFonts w:ascii="Times New Roman" w:hAnsi="Times New Roman"/>
        </w:rPr>
        <w:t xml:space="preserve">All the information requested from respondents under this ICR is authorized by statute (CAA </w:t>
      </w:r>
      <w:r w:rsidR="00040ED3">
        <w:rPr>
          <w:rFonts w:ascii="Times New Roman" w:hAnsi="Times New Roman"/>
        </w:rPr>
        <w:t>Sections 114 and 604</w:t>
      </w:r>
      <w:r w:rsidRPr="00877602">
        <w:rPr>
          <w:rFonts w:ascii="Times New Roman" w:hAnsi="Times New Roman"/>
        </w:rPr>
        <w:t>(d)(6)) and is not available from other sources because it is proprietary or sensitive information.</w:t>
      </w:r>
    </w:p>
    <w:p w14:paraId="2ACC76B0" w14:textId="77777777" w:rsidR="00EA018D" w:rsidRPr="00877602" w:rsidRDefault="00EA018D">
      <w:pPr>
        <w:rPr>
          <w:rFonts w:ascii="Times New Roman" w:hAnsi="Times New Roman"/>
        </w:rPr>
      </w:pPr>
    </w:p>
    <w:p w14:paraId="00F20726" w14:textId="77777777" w:rsidR="00674F1A" w:rsidRPr="00877602" w:rsidRDefault="00040ED3">
      <w:pPr>
        <w:rPr>
          <w:rFonts w:ascii="Times New Roman" w:hAnsi="Times New Roman"/>
        </w:rPr>
      </w:pPr>
      <w:r>
        <w:rPr>
          <w:rFonts w:ascii="Times New Roman" w:hAnsi="Times New Roman"/>
        </w:rPr>
        <w:t>b)</w:t>
      </w:r>
      <w:r>
        <w:rPr>
          <w:rFonts w:ascii="Times New Roman" w:hAnsi="Times New Roman"/>
        </w:rPr>
        <w:tab/>
      </w:r>
      <w:r w:rsidR="00674F1A" w:rsidRPr="00877602">
        <w:rPr>
          <w:rFonts w:ascii="Times New Roman" w:hAnsi="Times New Roman"/>
        </w:rPr>
        <w:t>Public Notice</w:t>
      </w:r>
    </w:p>
    <w:p w14:paraId="6008DBAC" w14:textId="77777777" w:rsidR="00CC055D" w:rsidRPr="00877602" w:rsidRDefault="00CC055D">
      <w:pPr>
        <w:rPr>
          <w:rFonts w:ascii="Times New Roman" w:hAnsi="Times New Roman"/>
        </w:rPr>
      </w:pPr>
    </w:p>
    <w:p w14:paraId="4EE04F65" w14:textId="5533D8EE" w:rsidR="00674F1A" w:rsidRDefault="00674F1A">
      <w:pPr>
        <w:rPr>
          <w:rFonts w:ascii="Times New Roman" w:hAnsi="Times New Roman"/>
        </w:rPr>
      </w:pPr>
      <w:r w:rsidRPr="00877602">
        <w:rPr>
          <w:rFonts w:ascii="Times New Roman" w:hAnsi="Times New Roman"/>
        </w:rPr>
        <w:tab/>
      </w:r>
      <w:r w:rsidR="002A29C3" w:rsidRPr="00877602">
        <w:rPr>
          <w:rFonts w:ascii="Times New Roman" w:hAnsi="Times New Roman"/>
        </w:rPr>
        <w:t>EPA provide</w:t>
      </w:r>
      <w:r w:rsidR="004F2A88">
        <w:rPr>
          <w:rFonts w:ascii="Times New Roman" w:hAnsi="Times New Roman"/>
        </w:rPr>
        <w:t>d</w:t>
      </w:r>
      <w:r w:rsidR="002A29C3" w:rsidRPr="00877602">
        <w:rPr>
          <w:rFonts w:ascii="Times New Roman" w:hAnsi="Times New Roman"/>
        </w:rPr>
        <w:t xml:space="preserve"> public notice and comment regarding this ICR with the publication of a notice in the Federal Register</w:t>
      </w:r>
      <w:r w:rsidR="004F2A88">
        <w:rPr>
          <w:rFonts w:ascii="Times New Roman" w:hAnsi="Times New Roman"/>
        </w:rPr>
        <w:t xml:space="preserve"> (79 FR 78425; December 30, 2014)</w:t>
      </w:r>
      <w:r w:rsidR="00680FC1">
        <w:rPr>
          <w:rFonts w:ascii="Times New Roman" w:hAnsi="Times New Roman"/>
        </w:rPr>
        <w:t>.</w:t>
      </w:r>
      <w:r w:rsidR="004F2A88">
        <w:rPr>
          <w:rFonts w:ascii="Times New Roman" w:hAnsi="Times New Roman"/>
        </w:rPr>
        <w:t xml:space="preserve"> EPA did not receive any comments on this notice.</w:t>
      </w:r>
    </w:p>
    <w:p w14:paraId="0E52A8F1" w14:textId="77777777" w:rsidR="007F5ECB" w:rsidRPr="00877602" w:rsidRDefault="007F5ECB">
      <w:pPr>
        <w:rPr>
          <w:rFonts w:ascii="Times New Roman" w:hAnsi="Times New Roman"/>
        </w:rPr>
      </w:pPr>
    </w:p>
    <w:p w14:paraId="1427D176" w14:textId="7B7A6315" w:rsidR="00EA018D" w:rsidRPr="005511A4" w:rsidRDefault="00674F1A">
      <w:pPr>
        <w:rPr>
          <w:rFonts w:ascii="Times New Roman" w:hAnsi="Times New Roman"/>
        </w:rPr>
      </w:pPr>
      <w:r w:rsidRPr="005511A4">
        <w:rPr>
          <w:rFonts w:ascii="Times New Roman" w:hAnsi="Times New Roman"/>
        </w:rPr>
        <w:t>c</w:t>
      </w:r>
      <w:r w:rsidR="00EA018D" w:rsidRPr="005511A4">
        <w:rPr>
          <w:rFonts w:ascii="Times New Roman" w:hAnsi="Times New Roman"/>
        </w:rPr>
        <w:t>)</w:t>
      </w:r>
      <w:r w:rsidR="0011094A">
        <w:rPr>
          <w:rFonts w:ascii="Times New Roman" w:hAnsi="Times New Roman"/>
        </w:rPr>
        <w:t xml:space="preserve">    </w:t>
      </w:r>
      <w:r w:rsidRPr="005511A4">
        <w:rPr>
          <w:rFonts w:ascii="Times New Roman" w:hAnsi="Times New Roman"/>
        </w:rPr>
        <w:t>Consultations</w:t>
      </w:r>
    </w:p>
    <w:p w14:paraId="569B6047" w14:textId="77777777" w:rsidR="00040ED3" w:rsidRPr="00680FC1" w:rsidRDefault="00040ED3">
      <w:pPr>
        <w:ind w:firstLine="720"/>
        <w:rPr>
          <w:rFonts w:ascii="Times New Roman" w:hAnsi="Times New Roman"/>
          <w:highlight w:val="yellow"/>
        </w:rPr>
      </w:pPr>
    </w:p>
    <w:p w14:paraId="527EEAC0" w14:textId="4222EE46" w:rsidR="00EA018D" w:rsidRDefault="005511A4">
      <w:pPr>
        <w:rPr>
          <w:rFonts w:ascii="Times New Roman" w:hAnsi="Times New Roman"/>
        </w:rPr>
      </w:pPr>
      <w:r>
        <w:rPr>
          <w:rFonts w:ascii="Times New Roman" w:hAnsi="Times New Roman"/>
        </w:rPr>
        <w:tab/>
        <w:t>EPA will consult with stakeholders familiar with the recordkeeping and reporting requirements as part of this ICR renewal.</w:t>
      </w:r>
    </w:p>
    <w:p w14:paraId="689BF56B" w14:textId="30C50F50" w:rsidR="005511A4" w:rsidRPr="00877602" w:rsidRDefault="005511A4">
      <w:pPr>
        <w:rPr>
          <w:rFonts w:ascii="Times New Roman" w:hAnsi="Times New Roman"/>
        </w:rPr>
      </w:pPr>
    </w:p>
    <w:p w14:paraId="6A00973F" w14:textId="1A3AFACD" w:rsidR="00EA018D" w:rsidRPr="00877602" w:rsidRDefault="00674F1A">
      <w:pPr>
        <w:rPr>
          <w:rFonts w:ascii="Times New Roman" w:hAnsi="Times New Roman"/>
        </w:rPr>
      </w:pPr>
      <w:r w:rsidRPr="00877602">
        <w:rPr>
          <w:rFonts w:ascii="Times New Roman" w:hAnsi="Times New Roman"/>
        </w:rPr>
        <w:t>d</w:t>
      </w:r>
      <w:r w:rsidR="00EA018D" w:rsidRPr="00877602">
        <w:rPr>
          <w:rFonts w:ascii="Times New Roman" w:hAnsi="Times New Roman"/>
        </w:rPr>
        <w:t>)</w:t>
      </w:r>
      <w:r w:rsidR="005511A4">
        <w:rPr>
          <w:rFonts w:ascii="Times New Roman" w:hAnsi="Times New Roman"/>
        </w:rPr>
        <w:tab/>
      </w:r>
      <w:r w:rsidR="00EA018D" w:rsidRPr="00877602">
        <w:rPr>
          <w:rFonts w:ascii="Times New Roman" w:hAnsi="Times New Roman"/>
        </w:rPr>
        <w:t>Effects of Less Frequent Collection</w:t>
      </w:r>
    </w:p>
    <w:p w14:paraId="33B74160" w14:textId="77777777" w:rsidR="00EA018D" w:rsidRPr="00877602" w:rsidRDefault="00EA018D">
      <w:pPr>
        <w:rPr>
          <w:rFonts w:ascii="Times New Roman" w:hAnsi="Times New Roman"/>
        </w:rPr>
      </w:pPr>
    </w:p>
    <w:p w14:paraId="1853D286" w14:textId="4E3D2AEF" w:rsidR="00EA018D" w:rsidRDefault="005750DD">
      <w:pPr>
        <w:ind w:firstLine="720"/>
        <w:rPr>
          <w:rFonts w:ascii="Times New Roman" w:hAnsi="Times New Roman"/>
        </w:rPr>
      </w:pPr>
      <w:r>
        <w:rPr>
          <w:rFonts w:ascii="Times New Roman" w:hAnsi="Times New Roman"/>
        </w:rPr>
        <w:t>EPA’s timing for information collection is motivated by the U.S. Government’s requirements under the Montreal Protocol.</w:t>
      </w:r>
      <w:r w:rsidR="0011094A">
        <w:rPr>
          <w:rFonts w:ascii="Times New Roman" w:hAnsi="Times New Roman"/>
        </w:rPr>
        <w:t xml:space="preserve"> </w:t>
      </w:r>
      <w:r w:rsidR="009F5B1C">
        <w:rPr>
          <w:rFonts w:ascii="Times New Roman" w:hAnsi="Times New Roman"/>
        </w:rPr>
        <w:t>First, t</w:t>
      </w:r>
      <w:r w:rsidRPr="005750DD">
        <w:rPr>
          <w:rFonts w:ascii="Times New Roman" w:hAnsi="Times New Roman"/>
        </w:rPr>
        <w:t>he timeline for critical use applications coincides with the critical use nomination process established by the Parties to the Montreal Protocol.</w:t>
      </w:r>
      <w:r w:rsidR="0011094A">
        <w:rPr>
          <w:rFonts w:ascii="Times New Roman" w:hAnsi="Times New Roman"/>
        </w:rPr>
        <w:t xml:space="preserve"> </w:t>
      </w:r>
      <w:r w:rsidRPr="005750DD">
        <w:rPr>
          <w:rFonts w:ascii="Times New Roman" w:hAnsi="Times New Roman"/>
        </w:rPr>
        <w:t>Any deviation from that timeline would result in a forfeiture from inclusion in the U.S. nomination package and subsequent consideration by the Parties.</w:t>
      </w:r>
      <w:r w:rsidR="0011094A">
        <w:rPr>
          <w:rFonts w:ascii="Times New Roman" w:hAnsi="Times New Roman"/>
        </w:rPr>
        <w:t xml:space="preserve"> </w:t>
      </w:r>
      <w:r w:rsidR="009F5B1C">
        <w:rPr>
          <w:rFonts w:ascii="Times New Roman" w:hAnsi="Times New Roman"/>
        </w:rPr>
        <w:t>Second, t</w:t>
      </w:r>
      <w:r w:rsidR="00EA018D" w:rsidRPr="00877602">
        <w:rPr>
          <w:rFonts w:ascii="Times New Roman" w:hAnsi="Times New Roman"/>
        </w:rPr>
        <w:t>he U.S. government is required to report data to the Ozone Secretariat on an annual basis.</w:t>
      </w:r>
      <w:r w:rsidR="0011094A">
        <w:rPr>
          <w:rFonts w:ascii="Times New Roman" w:hAnsi="Times New Roman"/>
        </w:rPr>
        <w:t xml:space="preserve"> </w:t>
      </w:r>
      <w:r w:rsidR="00EA018D" w:rsidRPr="00877602">
        <w:rPr>
          <w:rFonts w:ascii="Times New Roman" w:hAnsi="Times New Roman"/>
        </w:rPr>
        <w:t>EPA is requesting quarterly reporting from producers and importers</w:t>
      </w:r>
      <w:r w:rsidR="00BA50B7" w:rsidRPr="00877602">
        <w:rPr>
          <w:rFonts w:ascii="Times New Roman" w:hAnsi="Times New Roman"/>
        </w:rPr>
        <w:t xml:space="preserve"> of methyl bromide</w:t>
      </w:r>
      <w:r w:rsidR="00EA018D" w:rsidRPr="00877602">
        <w:rPr>
          <w:rFonts w:ascii="Times New Roman" w:hAnsi="Times New Roman"/>
        </w:rPr>
        <w:t xml:space="preserve"> to monitor the likelihood of </w:t>
      </w:r>
      <w:r w:rsidR="00BA50B7" w:rsidRPr="00877602">
        <w:rPr>
          <w:rFonts w:ascii="Times New Roman" w:hAnsi="Times New Roman"/>
        </w:rPr>
        <w:t>compliance throughout the year.</w:t>
      </w:r>
      <w:r w:rsidR="0011094A">
        <w:rPr>
          <w:rFonts w:ascii="Times New Roman" w:hAnsi="Times New Roman"/>
        </w:rPr>
        <w:t xml:space="preserve"> </w:t>
      </w:r>
      <w:r w:rsidR="00BA50B7" w:rsidRPr="00877602">
        <w:rPr>
          <w:rFonts w:ascii="Times New Roman" w:hAnsi="Times New Roman"/>
        </w:rPr>
        <w:t>T</w:t>
      </w:r>
      <w:r w:rsidR="00EA018D" w:rsidRPr="00877602">
        <w:rPr>
          <w:rFonts w:ascii="Times New Roman" w:hAnsi="Times New Roman"/>
        </w:rPr>
        <w:t>hese entities typically prepare quarterly reports and prefer to report smaller data sets to EPA and not leave the entire task to the end of the year.</w:t>
      </w:r>
      <w:r w:rsidR="0011094A">
        <w:rPr>
          <w:rFonts w:ascii="Times New Roman" w:hAnsi="Times New Roman"/>
        </w:rPr>
        <w:t xml:space="preserve"> </w:t>
      </w:r>
      <w:r w:rsidR="00EA018D" w:rsidRPr="00877602">
        <w:rPr>
          <w:rFonts w:ascii="Times New Roman" w:hAnsi="Times New Roman"/>
        </w:rPr>
        <w:t>EPA is requesting annual reporting fr</w:t>
      </w:r>
      <w:r w:rsidR="00BA50B7" w:rsidRPr="00877602">
        <w:rPr>
          <w:rFonts w:ascii="Times New Roman" w:hAnsi="Times New Roman"/>
        </w:rPr>
        <w:t xml:space="preserve">om </w:t>
      </w:r>
      <w:r w:rsidR="00EA7764" w:rsidRPr="00877602">
        <w:rPr>
          <w:rFonts w:ascii="Times New Roman" w:hAnsi="Times New Roman"/>
        </w:rPr>
        <w:t>entities</w:t>
      </w:r>
      <w:r w:rsidR="00BA50B7" w:rsidRPr="00877602">
        <w:rPr>
          <w:rFonts w:ascii="Times New Roman" w:hAnsi="Times New Roman"/>
        </w:rPr>
        <w:t xml:space="preserve"> such as distri</w:t>
      </w:r>
      <w:r w:rsidR="009F5B1C">
        <w:rPr>
          <w:rFonts w:ascii="Times New Roman" w:hAnsi="Times New Roman"/>
        </w:rPr>
        <w:t>butors and fumigation companies</w:t>
      </w:r>
      <w:r w:rsidR="00BA50B7" w:rsidRPr="00877602">
        <w:rPr>
          <w:rFonts w:ascii="Times New Roman" w:hAnsi="Times New Roman"/>
        </w:rPr>
        <w:t xml:space="preserve"> because they typically</w:t>
      </w:r>
      <w:r w:rsidR="00EA7764" w:rsidRPr="00877602">
        <w:rPr>
          <w:rFonts w:ascii="Times New Roman" w:hAnsi="Times New Roman"/>
        </w:rPr>
        <w:t xml:space="preserve"> have less </w:t>
      </w:r>
      <w:r w:rsidR="00BA50B7" w:rsidRPr="00877602">
        <w:rPr>
          <w:rFonts w:ascii="Times New Roman" w:hAnsi="Times New Roman"/>
        </w:rPr>
        <w:t xml:space="preserve">regulatory compliance </w:t>
      </w:r>
      <w:r w:rsidR="00EA018D" w:rsidRPr="00877602">
        <w:rPr>
          <w:rFonts w:ascii="Times New Roman" w:hAnsi="Times New Roman"/>
        </w:rPr>
        <w:t xml:space="preserve">infrastructure </w:t>
      </w:r>
      <w:r w:rsidR="00BA50B7" w:rsidRPr="00877602">
        <w:rPr>
          <w:rFonts w:ascii="Times New Roman" w:hAnsi="Times New Roman"/>
        </w:rPr>
        <w:t>and/</w:t>
      </w:r>
      <w:r w:rsidR="00EA018D" w:rsidRPr="00877602">
        <w:rPr>
          <w:rFonts w:ascii="Times New Roman" w:hAnsi="Times New Roman"/>
        </w:rPr>
        <w:t>or are less familiar with Pr</w:t>
      </w:r>
      <w:r w:rsidR="00680FC1">
        <w:rPr>
          <w:rFonts w:ascii="Times New Roman" w:hAnsi="Times New Roman"/>
        </w:rPr>
        <w:t>otocol reporting requirements.</w:t>
      </w:r>
    </w:p>
    <w:p w14:paraId="62C01F91" w14:textId="77777777" w:rsidR="00EA018D" w:rsidRPr="00877602" w:rsidRDefault="00EA018D">
      <w:pPr>
        <w:rPr>
          <w:rFonts w:ascii="Times New Roman" w:hAnsi="Times New Roman"/>
        </w:rPr>
      </w:pPr>
    </w:p>
    <w:p w14:paraId="7F87E30D" w14:textId="7E1749C9" w:rsidR="00EA018D" w:rsidRPr="00877602" w:rsidRDefault="00674F1A">
      <w:pPr>
        <w:rPr>
          <w:rFonts w:ascii="Times New Roman" w:hAnsi="Times New Roman"/>
        </w:rPr>
      </w:pPr>
      <w:r w:rsidRPr="00877602">
        <w:rPr>
          <w:rFonts w:ascii="Times New Roman" w:hAnsi="Times New Roman"/>
        </w:rPr>
        <w:t>e</w:t>
      </w:r>
      <w:r w:rsidR="00EA018D" w:rsidRPr="00877602">
        <w:rPr>
          <w:rFonts w:ascii="Times New Roman" w:hAnsi="Times New Roman"/>
        </w:rPr>
        <w:t>)</w:t>
      </w:r>
      <w:r w:rsidR="0011094A">
        <w:rPr>
          <w:rFonts w:ascii="Times New Roman" w:hAnsi="Times New Roman"/>
        </w:rPr>
        <w:t xml:space="preserve">   </w:t>
      </w:r>
      <w:r w:rsidR="00EA018D" w:rsidRPr="00877602">
        <w:rPr>
          <w:rFonts w:ascii="Times New Roman" w:hAnsi="Times New Roman"/>
        </w:rPr>
        <w:t>General Guidelines</w:t>
      </w:r>
    </w:p>
    <w:p w14:paraId="1B1E60B6" w14:textId="77777777" w:rsidR="00EA018D" w:rsidRPr="00877602" w:rsidRDefault="00EA018D">
      <w:pPr>
        <w:rPr>
          <w:rFonts w:ascii="Times New Roman" w:hAnsi="Times New Roman"/>
        </w:rPr>
      </w:pPr>
    </w:p>
    <w:p w14:paraId="7770EAAC" w14:textId="77777777" w:rsidR="00EA018D" w:rsidRPr="00877602" w:rsidRDefault="00EA018D">
      <w:pPr>
        <w:ind w:firstLine="720"/>
        <w:rPr>
          <w:rFonts w:ascii="Times New Roman" w:hAnsi="Times New Roman"/>
        </w:rPr>
      </w:pPr>
      <w:r w:rsidRPr="00877602">
        <w:rPr>
          <w:rFonts w:ascii="Times New Roman" w:hAnsi="Times New Roman"/>
        </w:rPr>
        <w:t>This rule does not exceed any of the OMB guidelines</w:t>
      </w:r>
      <w:r w:rsidR="0092114B" w:rsidRPr="00877602">
        <w:rPr>
          <w:rFonts w:ascii="Times New Roman" w:hAnsi="Times New Roman"/>
        </w:rPr>
        <w:t xml:space="preserve"> found at 5 CFR 1320.5(d)(2).</w:t>
      </w:r>
    </w:p>
    <w:p w14:paraId="41E7D068" w14:textId="77777777" w:rsidR="00EA018D" w:rsidRPr="00877602" w:rsidRDefault="00EA018D">
      <w:pPr>
        <w:rPr>
          <w:rFonts w:ascii="Times New Roman" w:hAnsi="Times New Roman"/>
        </w:rPr>
      </w:pPr>
    </w:p>
    <w:p w14:paraId="7532EC70" w14:textId="44F04847" w:rsidR="00EA018D" w:rsidRPr="00877602" w:rsidRDefault="00674F1A">
      <w:pPr>
        <w:rPr>
          <w:rFonts w:ascii="Times New Roman" w:hAnsi="Times New Roman"/>
        </w:rPr>
      </w:pPr>
      <w:r w:rsidRPr="00877602">
        <w:rPr>
          <w:rFonts w:ascii="Times New Roman" w:hAnsi="Times New Roman"/>
        </w:rPr>
        <w:t>f</w:t>
      </w:r>
      <w:r w:rsidR="00EA018D" w:rsidRPr="00877602">
        <w:rPr>
          <w:rFonts w:ascii="Times New Roman" w:hAnsi="Times New Roman"/>
        </w:rPr>
        <w:t>)</w:t>
      </w:r>
      <w:r w:rsidR="0011094A">
        <w:rPr>
          <w:rFonts w:ascii="Times New Roman" w:hAnsi="Times New Roman"/>
        </w:rPr>
        <w:t xml:space="preserve">   </w:t>
      </w:r>
      <w:r w:rsidR="00EA018D" w:rsidRPr="00877602">
        <w:rPr>
          <w:rFonts w:ascii="Times New Roman" w:hAnsi="Times New Roman"/>
        </w:rPr>
        <w:t xml:space="preserve"> Confidentiality</w:t>
      </w:r>
    </w:p>
    <w:p w14:paraId="3DA5698B" w14:textId="77777777" w:rsidR="00684BBD" w:rsidRPr="00877602" w:rsidRDefault="00684BBD">
      <w:pPr>
        <w:ind w:firstLine="720"/>
        <w:rPr>
          <w:rFonts w:ascii="Times New Roman" w:hAnsi="Times New Roman"/>
        </w:rPr>
      </w:pPr>
    </w:p>
    <w:p w14:paraId="0DCEBFDB" w14:textId="2E1D1D3D" w:rsidR="00811A56" w:rsidRDefault="00EA018D">
      <w:pPr>
        <w:ind w:firstLine="720"/>
        <w:rPr>
          <w:rFonts w:ascii="Times New Roman" w:hAnsi="Times New Roman"/>
        </w:rPr>
      </w:pPr>
      <w:r w:rsidRPr="00877602">
        <w:rPr>
          <w:rFonts w:ascii="Times New Roman" w:hAnsi="Times New Roman"/>
        </w:rPr>
        <w:t xml:space="preserve">EPA informs respondents that they may assert claims of business confidentiality for any of the information they submit. Information claimed confidential will be treated in accordance with the procedures for handling information claimed as confidential under 40 CFR </w:t>
      </w:r>
      <w:r w:rsidR="009F5B1C">
        <w:rPr>
          <w:rFonts w:ascii="Times New Roman" w:hAnsi="Times New Roman"/>
        </w:rPr>
        <w:t>Part 2, S</w:t>
      </w:r>
      <w:r w:rsidRPr="00877602">
        <w:rPr>
          <w:rFonts w:ascii="Times New Roman" w:hAnsi="Times New Roman"/>
        </w:rPr>
        <w:t>ubpart b, and will be disclosed only i</w:t>
      </w:r>
      <w:r w:rsidR="00970DC5" w:rsidRPr="00877602">
        <w:rPr>
          <w:rFonts w:ascii="Times New Roman" w:hAnsi="Times New Roman"/>
        </w:rPr>
        <w:t>f</w:t>
      </w:r>
      <w:r w:rsidRPr="00877602">
        <w:rPr>
          <w:rFonts w:ascii="Times New Roman" w:hAnsi="Times New Roman"/>
        </w:rPr>
        <w:t xml:space="preserve"> EPA determines that the information is not entitled to confidential treatment.</w:t>
      </w:r>
      <w:r w:rsidR="0011094A">
        <w:rPr>
          <w:rFonts w:ascii="Times New Roman" w:hAnsi="Times New Roman"/>
        </w:rPr>
        <w:t xml:space="preserve"> </w:t>
      </w:r>
      <w:r w:rsidRPr="00877602">
        <w:rPr>
          <w:rFonts w:ascii="Times New Roman" w:hAnsi="Times New Roman"/>
        </w:rPr>
        <w:t>If no claim of confidentiality is asserted when the information is received by E</w:t>
      </w:r>
      <w:r w:rsidR="00970DC5" w:rsidRPr="00877602">
        <w:rPr>
          <w:rFonts w:ascii="Times New Roman" w:hAnsi="Times New Roman"/>
        </w:rPr>
        <w:t>PA, it may be made available to</w:t>
      </w:r>
      <w:r w:rsidRPr="00877602">
        <w:rPr>
          <w:rFonts w:ascii="Times New Roman" w:hAnsi="Times New Roman"/>
        </w:rPr>
        <w:t xml:space="preserve"> the public without further notice to the respondents (40 CFR 2.203).</w:t>
      </w:r>
      <w:r w:rsidR="00811A56">
        <w:rPr>
          <w:rFonts w:ascii="Times New Roman" w:hAnsi="Times New Roman"/>
        </w:rPr>
        <w:br/>
      </w:r>
    </w:p>
    <w:p w14:paraId="4FA2FD8A" w14:textId="77777777" w:rsidR="00674F1A" w:rsidRPr="00877602" w:rsidRDefault="00674F1A" w:rsidP="00811A56">
      <w:pPr>
        <w:rPr>
          <w:rFonts w:ascii="Times New Roman" w:hAnsi="Times New Roman"/>
        </w:rPr>
      </w:pPr>
      <w:r w:rsidRPr="00877602">
        <w:rPr>
          <w:rFonts w:ascii="Times New Roman" w:hAnsi="Times New Roman"/>
        </w:rPr>
        <w:t>g)</w:t>
      </w:r>
      <w:r w:rsidRPr="00877602">
        <w:rPr>
          <w:rFonts w:ascii="Times New Roman" w:hAnsi="Times New Roman"/>
        </w:rPr>
        <w:tab/>
        <w:t>Sensitive Information</w:t>
      </w:r>
    </w:p>
    <w:p w14:paraId="3AE56DD3" w14:textId="77777777" w:rsidR="00674F1A" w:rsidRPr="00877602" w:rsidRDefault="00674F1A">
      <w:pPr>
        <w:ind w:firstLine="720"/>
        <w:rPr>
          <w:rFonts w:ascii="Times New Roman" w:hAnsi="Times New Roman"/>
        </w:rPr>
      </w:pPr>
    </w:p>
    <w:p w14:paraId="0EB31790" w14:textId="77777777" w:rsidR="00CC055D" w:rsidRPr="00877602" w:rsidRDefault="00CC055D">
      <w:pPr>
        <w:ind w:firstLine="720"/>
        <w:rPr>
          <w:rFonts w:ascii="Times New Roman" w:hAnsi="Times New Roman"/>
        </w:rPr>
      </w:pPr>
      <w:r w:rsidRPr="00877602">
        <w:rPr>
          <w:rFonts w:ascii="Times New Roman" w:hAnsi="Times New Roman"/>
        </w:rPr>
        <w:t>Individual reporting data may be claimed as sensitive and will be treated as confidential information in accordance with procedures outlined in 40 CFR Part 2.</w:t>
      </w:r>
    </w:p>
    <w:p w14:paraId="079BB5F9" w14:textId="77777777" w:rsidR="00EA018D" w:rsidRPr="00877602" w:rsidRDefault="00EA018D">
      <w:pPr>
        <w:rPr>
          <w:rFonts w:ascii="Times New Roman" w:hAnsi="Times New Roman"/>
        </w:rPr>
      </w:pPr>
    </w:p>
    <w:p w14:paraId="7BA0CFF2" w14:textId="761B45F0" w:rsidR="00EA018D" w:rsidRPr="00877602" w:rsidRDefault="00EA018D">
      <w:pPr>
        <w:rPr>
          <w:rFonts w:ascii="Times New Roman" w:hAnsi="Times New Roman"/>
        </w:rPr>
      </w:pPr>
      <w:r w:rsidRPr="00877602">
        <w:rPr>
          <w:rFonts w:ascii="Times New Roman" w:hAnsi="Times New Roman"/>
        </w:rPr>
        <w:t>4.</w:t>
      </w:r>
      <w:r w:rsidR="0011094A">
        <w:rPr>
          <w:rFonts w:ascii="Times New Roman" w:hAnsi="Times New Roman"/>
        </w:rPr>
        <w:t xml:space="preserve">    </w:t>
      </w:r>
      <w:r w:rsidRPr="00877602">
        <w:rPr>
          <w:rFonts w:ascii="Times New Roman" w:hAnsi="Times New Roman"/>
          <w:u w:val="single"/>
        </w:rPr>
        <w:t>The Respondents and the Information Requested</w:t>
      </w:r>
    </w:p>
    <w:p w14:paraId="6356637C" w14:textId="77777777" w:rsidR="00EA018D" w:rsidRPr="00877602" w:rsidRDefault="00EA018D">
      <w:pPr>
        <w:rPr>
          <w:rFonts w:ascii="Times New Roman" w:hAnsi="Times New Roman"/>
        </w:rPr>
      </w:pPr>
    </w:p>
    <w:p w14:paraId="04336D88" w14:textId="77777777" w:rsidR="00EA018D" w:rsidRPr="00877602" w:rsidRDefault="007F5ECB">
      <w:pPr>
        <w:rPr>
          <w:rFonts w:ascii="Times New Roman" w:hAnsi="Times New Roman"/>
        </w:rPr>
      </w:pPr>
      <w:r>
        <w:rPr>
          <w:rFonts w:ascii="Times New Roman" w:hAnsi="Times New Roman"/>
        </w:rPr>
        <w:t>a)</w:t>
      </w:r>
      <w:r>
        <w:rPr>
          <w:rFonts w:ascii="Times New Roman" w:hAnsi="Times New Roman"/>
        </w:rPr>
        <w:tab/>
        <w:t>Respondents NAI</w:t>
      </w:r>
      <w:r w:rsidR="00EA018D" w:rsidRPr="00877602">
        <w:rPr>
          <w:rFonts w:ascii="Times New Roman" w:hAnsi="Times New Roman"/>
        </w:rPr>
        <w:t>C</w:t>
      </w:r>
      <w:r>
        <w:rPr>
          <w:rFonts w:ascii="Times New Roman" w:hAnsi="Times New Roman"/>
        </w:rPr>
        <w:t>S</w:t>
      </w:r>
      <w:r w:rsidR="00EA018D" w:rsidRPr="00877602">
        <w:rPr>
          <w:rFonts w:ascii="Times New Roman" w:hAnsi="Times New Roman"/>
        </w:rPr>
        <w:t xml:space="preserve"> Codes</w:t>
      </w:r>
    </w:p>
    <w:p w14:paraId="43FDB9F2" w14:textId="77777777" w:rsidR="00EA018D" w:rsidRPr="00877602" w:rsidRDefault="00EA018D">
      <w:pPr>
        <w:rPr>
          <w:rFonts w:ascii="Times New Roman" w:hAnsi="Times New Roman"/>
        </w:rPr>
      </w:pPr>
    </w:p>
    <w:p w14:paraId="77D353F3" w14:textId="77777777" w:rsidR="00062AA8" w:rsidRDefault="00811A56" w:rsidP="009F5B1C">
      <w:pPr>
        <w:rPr>
          <w:rFonts w:ascii="Times New Roman" w:hAnsi="Times New Roman"/>
        </w:rPr>
      </w:pPr>
      <w:r>
        <w:rPr>
          <w:rFonts w:ascii="Times New Roman" w:hAnsi="Times New Roman"/>
        </w:rPr>
        <w:tab/>
      </w:r>
      <w:r w:rsidR="00EA018D" w:rsidRPr="00877602">
        <w:rPr>
          <w:rFonts w:ascii="Times New Roman" w:hAnsi="Times New Roman"/>
        </w:rPr>
        <w:t xml:space="preserve">Respondents </w:t>
      </w:r>
      <w:r w:rsidR="009F5B1C">
        <w:rPr>
          <w:rFonts w:ascii="Times New Roman" w:hAnsi="Times New Roman"/>
        </w:rPr>
        <w:t xml:space="preserve">include </w:t>
      </w:r>
      <w:r w:rsidR="00EA018D" w:rsidRPr="00877602">
        <w:rPr>
          <w:rFonts w:ascii="Times New Roman" w:hAnsi="Times New Roman"/>
        </w:rPr>
        <w:t>producers, importers, distributors, and custom applicators of methyl bromide</w:t>
      </w:r>
      <w:r w:rsidR="009F5B1C">
        <w:rPr>
          <w:rFonts w:ascii="Times New Roman" w:hAnsi="Times New Roman"/>
        </w:rPr>
        <w:t xml:space="preserve">, organizations, consortia, and </w:t>
      </w:r>
      <w:r w:rsidR="009F5B1C" w:rsidRPr="009F5B1C">
        <w:rPr>
          <w:rFonts w:ascii="Times New Roman" w:hAnsi="Times New Roman"/>
        </w:rPr>
        <w:t>associations</w:t>
      </w:r>
      <w:r w:rsidR="009F5B1C">
        <w:rPr>
          <w:rFonts w:ascii="Times New Roman" w:hAnsi="Times New Roman"/>
        </w:rPr>
        <w:t xml:space="preserve"> </w:t>
      </w:r>
      <w:r w:rsidR="009F5B1C" w:rsidRPr="009F5B1C">
        <w:rPr>
          <w:rFonts w:ascii="Times New Roman" w:hAnsi="Times New Roman"/>
        </w:rPr>
        <w:t>of methyl bromide users</w:t>
      </w:r>
      <w:r w:rsidR="009F5B1C">
        <w:rPr>
          <w:rFonts w:ascii="Times New Roman" w:hAnsi="Times New Roman"/>
        </w:rPr>
        <w:t xml:space="preserve">, as well as individual methyl bromide users. </w:t>
      </w:r>
      <w:r w:rsidR="00EA018D" w:rsidRPr="00877602">
        <w:rPr>
          <w:rFonts w:ascii="Times New Roman" w:hAnsi="Times New Roman"/>
        </w:rPr>
        <w:t>The appropriate North American Industry Classification System (NAICS) and Standard Industrial Classification (SIC) codes for these entities are:</w:t>
      </w:r>
    </w:p>
    <w:p w14:paraId="014885B8" w14:textId="77777777" w:rsidR="00062AA8" w:rsidRDefault="00062AA8" w:rsidP="009F5B1C">
      <w:pPr>
        <w:rPr>
          <w:rFonts w:ascii="Times New Roman" w:hAnsi="Times New Roman"/>
        </w:rPr>
      </w:pPr>
    </w:p>
    <w:p w14:paraId="6782A158" w14:textId="77777777" w:rsidR="0053666D" w:rsidRDefault="0053666D" w:rsidP="009F5B1C">
      <w:pPr>
        <w:rPr>
          <w:rFonts w:ascii="Times New Roman" w:hAnsi="Times New Roman"/>
        </w:rPr>
      </w:pPr>
    </w:p>
    <w:p w14:paraId="19748A7B" w14:textId="77777777" w:rsidR="0053666D" w:rsidRDefault="0053666D" w:rsidP="009F5B1C">
      <w:pPr>
        <w:rPr>
          <w:rFonts w:ascii="Times New Roman" w:hAnsi="Times New Roman"/>
        </w:rPr>
      </w:pPr>
    </w:p>
    <w:p w14:paraId="26F15E89" w14:textId="77777777" w:rsidR="0053666D" w:rsidRDefault="0053666D" w:rsidP="009F5B1C">
      <w:pPr>
        <w:rPr>
          <w:rFonts w:ascii="Times New Roman" w:hAnsi="Times New Roman"/>
        </w:rPr>
      </w:pPr>
    </w:p>
    <w:p w14:paraId="563EA1CF" w14:textId="77777777" w:rsidR="00EA018D" w:rsidRPr="009F5B1C" w:rsidRDefault="00EA018D" w:rsidP="00432F3F">
      <w:pPr>
        <w:jc w:val="center"/>
        <w:rPr>
          <w:rFonts w:ascii="Times New Roman" w:hAnsi="Times New Roman"/>
        </w:rPr>
      </w:pPr>
      <w:r w:rsidRPr="00877602">
        <w:rPr>
          <w:rFonts w:ascii="Times New Roman" w:hAnsi="Times New Roman"/>
          <w:b/>
        </w:rPr>
        <w:lastRenderedPageBreak/>
        <w:t>TABLE I: NAICS CLASSIFICATION OF REGULATED ENTITIES</w:t>
      </w:r>
    </w:p>
    <w:tbl>
      <w:tblPr>
        <w:tblW w:w="9480" w:type="dxa"/>
        <w:tblInd w:w="93" w:type="dxa"/>
        <w:tblLook w:val="0000" w:firstRow="0" w:lastRow="0" w:firstColumn="0" w:lastColumn="0" w:noHBand="0" w:noVBand="0"/>
      </w:tblPr>
      <w:tblGrid>
        <w:gridCol w:w="1660"/>
        <w:gridCol w:w="3740"/>
        <w:gridCol w:w="4080"/>
      </w:tblGrid>
      <w:tr w:rsidR="00062AA8" w:rsidRPr="00062AA8" w14:paraId="039AE794" w14:textId="77777777" w:rsidTr="007F5ECB">
        <w:trPr>
          <w:trHeight w:val="385"/>
        </w:trPr>
        <w:tc>
          <w:tcPr>
            <w:tcW w:w="1660" w:type="dxa"/>
            <w:tcBorders>
              <w:top w:val="single" w:sz="8" w:space="0" w:color="000000"/>
              <w:left w:val="single" w:sz="8" w:space="0" w:color="000000"/>
              <w:bottom w:val="nil"/>
              <w:right w:val="nil"/>
            </w:tcBorders>
            <w:shd w:val="clear" w:color="auto" w:fill="auto"/>
          </w:tcPr>
          <w:p w14:paraId="3BD2645B" w14:textId="77777777" w:rsidR="00062AA8" w:rsidRPr="00062AA8" w:rsidRDefault="00062AA8" w:rsidP="006C40B0">
            <w:pPr>
              <w:widowControl/>
              <w:autoSpaceDE/>
              <w:autoSpaceDN/>
              <w:adjustRightInd/>
              <w:jc w:val="center"/>
              <w:rPr>
                <w:rFonts w:ascii="Times New Roman" w:hAnsi="Times New Roman"/>
                <w:b/>
                <w:bCs/>
                <w:sz w:val="20"/>
                <w:szCs w:val="20"/>
              </w:rPr>
            </w:pPr>
            <w:r w:rsidRPr="00062AA8">
              <w:rPr>
                <w:rFonts w:ascii="Times New Roman" w:hAnsi="Times New Roman"/>
                <w:b/>
                <w:bCs/>
                <w:sz w:val="20"/>
                <w:szCs w:val="20"/>
              </w:rPr>
              <w:t>Category</w:t>
            </w:r>
          </w:p>
        </w:tc>
        <w:tc>
          <w:tcPr>
            <w:tcW w:w="3740" w:type="dxa"/>
            <w:tcBorders>
              <w:top w:val="single" w:sz="8" w:space="0" w:color="000000"/>
              <w:left w:val="single" w:sz="8" w:space="0" w:color="000000"/>
              <w:bottom w:val="nil"/>
              <w:right w:val="nil"/>
            </w:tcBorders>
            <w:shd w:val="clear" w:color="auto" w:fill="auto"/>
          </w:tcPr>
          <w:p w14:paraId="1160DA6B" w14:textId="77777777" w:rsidR="00062AA8" w:rsidRPr="00062AA8" w:rsidRDefault="00062AA8" w:rsidP="006C40B0">
            <w:pPr>
              <w:widowControl/>
              <w:autoSpaceDE/>
              <w:autoSpaceDN/>
              <w:adjustRightInd/>
              <w:jc w:val="center"/>
              <w:rPr>
                <w:rFonts w:ascii="Times New Roman" w:hAnsi="Times New Roman"/>
                <w:b/>
                <w:bCs/>
                <w:sz w:val="20"/>
                <w:szCs w:val="20"/>
              </w:rPr>
            </w:pPr>
            <w:r w:rsidRPr="00062AA8">
              <w:rPr>
                <w:rFonts w:ascii="Times New Roman" w:hAnsi="Times New Roman"/>
                <w:b/>
                <w:bCs/>
                <w:sz w:val="20"/>
                <w:szCs w:val="20"/>
              </w:rPr>
              <w:t>NAICS code</w:t>
            </w:r>
          </w:p>
        </w:tc>
        <w:tc>
          <w:tcPr>
            <w:tcW w:w="4080" w:type="dxa"/>
            <w:tcBorders>
              <w:top w:val="single" w:sz="8" w:space="0" w:color="000000"/>
              <w:left w:val="single" w:sz="8" w:space="0" w:color="000000"/>
              <w:bottom w:val="nil"/>
              <w:right w:val="single" w:sz="8" w:space="0" w:color="000000"/>
            </w:tcBorders>
            <w:shd w:val="clear" w:color="auto" w:fill="auto"/>
          </w:tcPr>
          <w:p w14:paraId="4BA7E8CD" w14:textId="77777777" w:rsidR="00062AA8" w:rsidRPr="00062AA8" w:rsidRDefault="00062AA8" w:rsidP="006C40B0">
            <w:pPr>
              <w:widowControl/>
              <w:autoSpaceDE/>
              <w:autoSpaceDN/>
              <w:adjustRightInd/>
              <w:jc w:val="center"/>
              <w:rPr>
                <w:rFonts w:ascii="Times New Roman" w:hAnsi="Times New Roman"/>
                <w:b/>
                <w:bCs/>
                <w:sz w:val="20"/>
                <w:szCs w:val="20"/>
              </w:rPr>
            </w:pPr>
            <w:r w:rsidRPr="00062AA8">
              <w:rPr>
                <w:rFonts w:ascii="Times New Roman" w:hAnsi="Times New Roman"/>
                <w:b/>
                <w:bCs/>
                <w:sz w:val="20"/>
                <w:szCs w:val="20"/>
              </w:rPr>
              <w:t>SIC code</w:t>
            </w:r>
          </w:p>
        </w:tc>
      </w:tr>
      <w:tr w:rsidR="00062AA8" w:rsidRPr="00062AA8" w14:paraId="66CBA252" w14:textId="77777777" w:rsidTr="007F5ECB">
        <w:trPr>
          <w:trHeight w:val="510"/>
        </w:trPr>
        <w:tc>
          <w:tcPr>
            <w:tcW w:w="1660" w:type="dxa"/>
            <w:vMerge w:val="restart"/>
            <w:tcBorders>
              <w:top w:val="single" w:sz="8" w:space="0" w:color="000000"/>
              <w:left w:val="single" w:sz="8" w:space="0" w:color="000000"/>
              <w:bottom w:val="nil"/>
              <w:right w:val="single" w:sz="8" w:space="0" w:color="000000"/>
            </w:tcBorders>
            <w:shd w:val="clear" w:color="auto" w:fill="auto"/>
          </w:tcPr>
          <w:p w14:paraId="68B2C9D7"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Agricultural production</w:t>
            </w:r>
          </w:p>
        </w:tc>
        <w:tc>
          <w:tcPr>
            <w:tcW w:w="3740" w:type="dxa"/>
            <w:tcBorders>
              <w:top w:val="single" w:sz="8" w:space="0" w:color="000000"/>
              <w:left w:val="nil"/>
              <w:bottom w:val="nil"/>
              <w:right w:val="nil"/>
            </w:tcBorders>
            <w:shd w:val="clear" w:color="auto" w:fill="auto"/>
          </w:tcPr>
          <w:p w14:paraId="2DF63C56"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1112- Vegetable and Melon farming</w:t>
            </w:r>
          </w:p>
        </w:tc>
        <w:tc>
          <w:tcPr>
            <w:tcW w:w="4080" w:type="dxa"/>
            <w:tcBorders>
              <w:top w:val="single" w:sz="8" w:space="0" w:color="000000"/>
              <w:left w:val="single" w:sz="8" w:space="0" w:color="000000"/>
              <w:bottom w:val="nil"/>
              <w:right w:val="single" w:sz="8" w:space="0" w:color="000000"/>
            </w:tcBorders>
            <w:shd w:val="clear" w:color="auto" w:fill="auto"/>
          </w:tcPr>
          <w:p w14:paraId="5A75730D"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0171- Berry Crops</w:t>
            </w:r>
          </w:p>
        </w:tc>
      </w:tr>
      <w:tr w:rsidR="00062AA8" w:rsidRPr="00062AA8" w14:paraId="48AC72F4" w14:textId="77777777"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14:paraId="2D1F1382"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nil"/>
            </w:tcBorders>
            <w:shd w:val="clear" w:color="auto" w:fill="auto"/>
          </w:tcPr>
          <w:p w14:paraId="1C3C3566"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1113- Fruit and Nut Tree Farming</w:t>
            </w:r>
          </w:p>
        </w:tc>
        <w:tc>
          <w:tcPr>
            <w:tcW w:w="4080" w:type="dxa"/>
            <w:tcBorders>
              <w:top w:val="nil"/>
              <w:left w:val="single" w:sz="8" w:space="0" w:color="000000"/>
              <w:bottom w:val="nil"/>
              <w:right w:val="single" w:sz="8" w:space="0" w:color="000000"/>
            </w:tcBorders>
            <w:shd w:val="clear" w:color="auto" w:fill="auto"/>
          </w:tcPr>
          <w:p w14:paraId="4CD9555B"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0172- Grapes</w:t>
            </w:r>
          </w:p>
        </w:tc>
      </w:tr>
      <w:tr w:rsidR="00062AA8" w:rsidRPr="00062AA8" w14:paraId="5520E828" w14:textId="77777777" w:rsidTr="007F5ECB">
        <w:trPr>
          <w:trHeight w:val="255"/>
        </w:trPr>
        <w:tc>
          <w:tcPr>
            <w:tcW w:w="1660" w:type="dxa"/>
            <w:vMerge/>
            <w:tcBorders>
              <w:top w:val="single" w:sz="8" w:space="0" w:color="000000"/>
              <w:left w:val="single" w:sz="8" w:space="0" w:color="000000"/>
              <w:bottom w:val="nil"/>
              <w:right w:val="single" w:sz="8" w:space="0" w:color="000000"/>
            </w:tcBorders>
            <w:vAlign w:val="center"/>
          </w:tcPr>
          <w:p w14:paraId="1AC2CDE3"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val="restart"/>
            <w:tcBorders>
              <w:top w:val="nil"/>
              <w:left w:val="single" w:sz="8" w:space="0" w:color="000000"/>
              <w:bottom w:val="nil"/>
              <w:right w:val="single" w:sz="8" w:space="0" w:color="000000"/>
            </w:tcBorders>
            <w:shd w:val="clear" w:color="auto" w:fill="auto"/>
          </w:tcPr>
          <w:p w14:paraId="3E614FBD"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1114- Greenhouse, Nursery, and Floriculture Production</w:t>
            </w:r>
          </w:p>
        </w:tc>
        <w:tc>
          <w:tcPr>
            <w:tcW w:w="4080" w:type="dxa"/>
            <w:tcBorders>
              <w:top w:val="nil"/>
              <w:left w:val="nil"/>
              <w:bottom w:val="nil"/>
              <w:right w:val="single" w:sz="8" w:space="0" w:color="000000"/>
            </w:tcBorders>
            <w:shd w:val="clear" w:color="auto" w:fill="auto"/>
          </w:tcPr>
          <w:p w14:paraId="363CCA12"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0173- Tree Nuts</w:t>
            </w:r>
          </w:p>
        </w:tc>
      </w:tr>
      <w:tr w:rsidR="00062AA8" w:rsidRPr="00062AA8" w14:paraId="4E9A1F56" w14:textId="77777777"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14:paraId="6A773BA4"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14:paraId="7B37FF1B" w14:textId="77777777"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14:paraId="2E42AAAB"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0175- Deciduous Tree Fruits (except apple orchards and farms)</w:t>
            </w:r>
          </w:p>
        </w:tc>
      </w:tr>
      <w:tr w:rsidR="00062AA8" w:rsidRPr="00062AA8" w14:paraId="001DDD95" w14:textId="77777777" w:rsidTr="007F5ECB">
        <w:trPr>
          <w:trHeight w:val="255"/>
        </w:trPr>
        <w:tc>
          <w:tcPr>
            <w:tcW w:w="1660" w:type="dxa"/>
            <w:vMerge/>
            <w:tcBorders>
              <w:top w:val="single" w:sz="8" w:space="0" w:color="000000"/>
              <w:left w:val="single" w:sz="8" w:space="0" w:color="000000"/>
              <w:bottom w:val="nil"/>
              <w:right w:val="single" w:sz="8" w:space="0" w:color="000000"/>
            </w:tcBorders>
            <w:vAlign w:val="center"/>
          </w:tcPr>
          <w:p w14:paraId="09B10F72"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14:paraId="68AA3CC9" w14:textId="77777777"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14:paraId="65EAE9F2" w14:textId="77777777" w:rsidR="00062AA8" w:rsidRPr="00062AA8" w:rsidRDefault="007F5ECB" w:rsidP="006C40B0">
            <w:pPr>
              <w:widowControl/>
              <w:autoSpaceDE/>
              <w:autoSpaceDN/>
              <w:adjustRightInd/>
              <w:rPr>
                <w:rFonts w:ascii="Times New Roman" w:hAnsi="Times New Roman"/>
                <w:sz w:val="20"/>
                <w:szCs w:val="20"/>
              </w:rPr>
            </w:pPr>
            <w:r>
              <w:rPr>
                <w:rFonts w:ascii="Times New Roman" w:hAnsi="Times New Roman"/>
                <w:sz w:val="20"/>
                <w:szCs w:val="20"/>
              </w:rPr>
              <w:t>0179- Fruit and Tree Nuts</w:t>
            </w:r>
          </w:p>
        </w:tc>
      </w:tr>
      <w:tr w:rsidR="00062AA8" w:rsidRPr="00062AA8" w14:paraId="49B05296" w14:textId="77777777"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14:paraId="14CA497D"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14:paraId="2F720845" w14:textId="77777777"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14:paraId="44B40854"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0181- Ornamental Floriculture and Nursery Products</w:t>
            </w:r>
          </w:p>
        </w:tc>
      </w:tr>
      <w:tr w:rsidR="00062AA8" w:rsidRPr="00062AA8" w14:paraId="7F584693" w14:textId="77777777" w:rsidTr="007F5ECB">
        <w:trPr>
          <w:trHeight w:val="510"/>
        </w:trPr>
        <w:tc>
          <w:tcPr>
            <w:tcW w:w="1660" w:type="dxa"/>
            <w:vMerge/>
            <w:tcBorders>
              <w:top w:val="single" w:sz="8" w:space="0" w:color="000000"/>
              <w:left w:val="single" w:sz="8" w:space="0" w:color="000000"/>
              <w:bottom w:val="nil"/>
              <w:right w:val="single" w:sz="8" w:space="0" w:color="000000"/>
            </w:tcBorders>
            <w:vAlign w:val="center"/>
          </w:tcPr>
          <w:p w14:paraId="0C5D16B1"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nil"/>
              <w:left w:val="single" w:sz="8" w:space="0" w:color="000000"/>
              <w:bottom w:val="nil"/>
              <w:right w:val="single" w:sz="8" w:space="0" w:color="000000"/>
            </w:tcBorders>
            <w:vAlign w:val="center"/>
          </w:tcPr>
          <w:p w14:paraId="6A3C41BD" w14:textId="77777777"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right w:val="single" w:sz="8" w:space="0" w:color="000000"/>
            </w:tcBorders>
            <w:shd w:val="clear" w:color="auto" w:fill="auto"/>
          </w:tcPr>
          <w:p w14:paraId="24B2EDC4"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0831- Forest Nurseries and Gathering of Forest Products</w:t>
            </w:r>
          </w:p>
        </w:tc>
      </w:tr>
      <w:tr w:rsidR="00062AA8" w:rsidRPr="00062AA8" w14:paraId="677A48FB" w14:textId="77777777" w:rsidTr="007F5ECB">
        <w:trPr>
          <w:trHeight w:val="270"/>
        </w:trPr>
        <w:tc>
          <w:tcPr>
            <w:tcW w:w="1660" w:type="dxa"/>
            <w:vMerge/>
            <w:tcBorders>
              <w:top w:val="single" w:sz="8" w:space="0" w:color="000000"/>
              <w:left w:val="single" w:sz="8" w:space="0" w:color="000000"/>
              <w:bottom w:val="nil"/>
              <w:right w:val="single" w:sz="8" w:space="0" w:color="000000"/>
            </w:tcBorders>
            <w:vAlign w:val="center"/>
          </w:tcPr>
          <w:p w14:paraId="78987574"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14:paraId="0BDECD51"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1119- Other Crop Farming</w:t>
            </w:r>
          </w:p>
        </w:tc>
        <w:tc>
          <w:tcPr>
            <w:tcW w:w="4080" w:type="dxa"/>
            <w:tcBorders>
              <w:top w:val="nil"/>
              <w:left w:val="nil"/>
              <w:bottom w:val="single" w:sz="8" w:space="0" w:color="000000"/>
              <w:right w:val="single" w:sz="8" w:space="0" w:color="000000"/>
            </w:tcBorders>
            <w:shd w:val="clear" w:color="auto" w:fill="auto"/>
          </w:tcPr>
          <w:p w14:paraId="7D775EBC"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w:t>
            </w:r>
          </w:p>
        </w:tc>
      </w:tr>
      <w:tr w:rsidR="00062AA8" w:rsidRPr="00062AA8" w14:paraId="18985157" w14:textId="77777777" w:rsidTr="007F5ECB">
        <w:trPr>
          <w:trHeight w:val="510"/>
        </w:trPr>
        <w:tc>
          <w:tcPr>
            <w:tcW w:w="1660" w:type="dxa"/>
            <w:vMerge w:val="restart"/>
            <w:tcBorders>
              <w:top w:val="single" w:sz="8" w:space="0" w:color="000000"/>
              <w:left w:val="single" w:sz="8" w:space="0" w:color="000000"/>
              <w:bottom w:val="nil"/>
              <w:right w:val="single" w:sz="8" w:space="0" w:color="000000"/>
            </w:tcBorders>
            <w:shd w:val="clear" w:color="auto" w:fill="auto"/>
          </w:tcPr>
          <w:p w14:paraId="594EBA98"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Storage Uses</w:t>
            </w:r>
          </w:p>
        </w:tc>
        <w:tc>
          <w:tcPr>
            <w:tcW w:w="3740" w:type="dxa"/>
            <w:tcBorders>
              <w:top w:val="single" w:sz="8" w:space="0" w:color="000000"/>
              <w:left w:val="nil"/>
              <w:bottom w:val="nil"/>
              <w:right w:val="single" w:sz="8" w:space="0" w:color="000000"/>
            </w:tcBorders>
            <w:shd w:val="clear" w:color="auto" w:fill="auto"/>
          </w:tcPr>
          <w:p w14:paraId="3C594B43"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115114- Postharvest Crop activities (except Cotton Ginning)</w:t>
            </w:r>
          </w:p>
        </w:tc>
        <w:tc>
          <w:tcPr>
            <w:tcW w:w="4080" w:type="dxa"/>
            <w:tcBorders>
              <w:top w:val="single" w:sz="8" w:space="0" w:color="000000"/>
              <w:left w:val="nil"/>
              <w:bottom w:val="nil"/>
              <w:right w:val="single" w:sz="8" w:space="0" w:color="000000"/>
            </w:tcBorders>
            <w:shd w:val="clear" w:color="auto" w:fill="auto"/>
            <w:noWrap/>
            <w:vAlign w:val="bottom"/>
          </w:tcPr>
          <w:p w14:paraId="48A90E59"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w:t>
            </w:r>
          </w:p>
        </w:tc>
      </w:tr>
      <w:tr w:rsidR="00062AA8" w:rsidRPr="00062AA8" w14:paraId="4FFEA6AD" w14:textId="77777777" w:rsidTr="00062AA8">
        <w:trPr>
          <w:trHeight w:val="255"/>
        </w:trPr>
        <w:tc>
          <w:tcPr>
            <w:tcW w:w="1660" w:type="dxa"/>
            <w:vMerge/>
            <w:tcBorders>
              <w:top w:val="single" w:sz="8" w:space="0" w:color="000000"/>
              <w:left w:val="single" w:sz="8" w:space="0" w:color="000000"/>
              <w:bottom w:val="nil"/>
              <w:right w:val="single" w:sz="8" w:space="0" w:color="000000"/>
            </w:tcBorders>
            <w:vAlign w:val="center"/>
          </w:tcPr>
          <w:p w14:paraId="26752463"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14:paraId="7701C320"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311211- Flour Milling</w:t>
            </w:r>
          </w:p>
        </w:tc>
        <w:tc>
          <w:tcPr>
            <w:tcW w:w="4080" w:type="dxa"/>
            <w:tcBorders>
              <w:top w:val="nil"/>
              <w:left w:val="nil"/>
              <w:bottom w:val="nil"/>
              <w:right w:val="single" w:sz="8" w:space="0" w:color="000000"/>
            </w:tcBorders>
            <w:shd w:val="clear" w:color="auto" w:fill="auto"/>
          </w:tcPr>
          <w:p w14:paraId="19A7A8AD"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2041- Flour and Other Grain Mill Products</w:t>
            </w:r>
          </w:p>
        </w:tc>
      </w:tr>
      <w:tr w:rsidR="00062AA8" w:rsidRPr="00062AA8" w14:paraId="4F057D36" w14:textId="77777777" w:rsidTr="00062AA8">
        <w:trPr>
          <w:trHeight w:val="255"/>
        </w:trPr>
        <w:tc>
          <w:tcPr>
            <w:tcW w:w="1660" w:type="dxa"/>
            <w:vMerge/>
            <w:tcBorders>
              <w:top w:val="single" w:sz="8" w:space="0" w:color="000000"/>
              <w:left w:val="single" w:sz="8" w:space="0" w:color="000000"/>
              <w:bottom w:val="nil"/>
              <w:right w:val="single" w:sz="8" w:space="0" w:color="000000"/>
            </w:tcBorders>
            <w:vAlign w:val="center"/>
          </w:tcPr>
          <w:p w14:paraId="774D0CAB"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14:paraId="61EBE372"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311212- Rice Milling</w:t>
            </w:r>
          </w:p>
        </w:tc>
        <w:tc>
          <w:tcPr>
            <w:tcW w:w="4080" w:type="dxa"/>
            <w:tcBorders>
              <w:top w:val="nil"/>
              <w:left w:val="nil"/>
              <w:bottom w:val="nil"/>
              <w:right w:val="single" w:sz="8" w:space="0" w:color="000000"/>
            </w:tcBorders>
            <w:shd w:val="clear" w:color="auto" w:fill="auto"/>
          </w:tcPr>
          <w:p w14:paraId="318178D6"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2044- Rice Milling</w:t>
            </w:r>
          </w:p>
        </w:tc>
      </w:tr>
      <w:tr w:rsidR="00062AA8" w:rsidRPr="00062AA8" w14:paraId="5D7E2C0D" w14:textId="77777777" w:rsidTr="00DA49D2">
        <w:trPr>
          <w:trHeight w:val="187"/>
        </w:trPr>
        <w:tc>
          <w:tcPr>
            <w:tcW w:w="1660" w:type="dxa"/>
            <w:vMerge/>
            <w:tcBorders>
              <w:top w:val="single" w:sz="8" w:space="0" w:color="000000"/>
              <w:left w:val="single" w:sz="8" w:space="0" w:color="000000"/>
              <w:bottom w:val="nil"/>
              <w:right w:val="single" w:sz="8" w:space="0" w:color="000000"/>
            </w:tcBorders>
            <w:vAlign w:val="center"/>
          </w:tcPr>
          <w:p w14:paraId="20A167CC"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14:paraId="6B17B527"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493110- General Warehousing and Storage</w:t>
            </w:r>
          </w:p>
        </w:tc>
        <w:tc>
          <w:tcPr>
            <w:tcW w:w="4080" w:type="dxa"/>
            <w:tcBorders>
              <w:top w:val="nil"/>
              <w:left w:val="nil"/>
              <w:bottom w:val="nil"/>
              <w:right w:val="single" w:sz="8" w:space="0" w:color="000000"/>
            </w:tcBorders>
            <w:shd w:val="clear" w:color="auto" w:fill="auto"/>
          </w:tcPr>
          <w:p w14:paraId="078D9447"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4225- General Warehousing and Storage</w:t>
            </w:r>
          </w:p>
        </w:tc>
      </w:tr>
      <w:tr w:rsidR="00062AA8" w:rsidRPr="00062AA8" w14:paraId="011DC7B0" w14:textId="77777777" w:rsidTr="00062AA8">
        <w:trPr>
          <w:trHeight w:val="525"/>
        </w:trPr>
        <w:tc>
          <w:tcPr>
            <w:tcW w:w="1660" w:type="dxa"/>
            <w:vMerge/>
            <w:tcBorders>
              <w:top w:val="single" w:sz="8" w:space="0" w:color="000000"/>
              <w:left w:val="single" w:sz="8" w:space="0" w:color="000000"/>
              <w:bottom w:val="nil"/>
              <w:right w:val="single" w:sz="8" w:space="0" w:color="000000"/>
            </w:tcBorders>
            <w:vAlign w:val="center"/>
          </w:tcPr>
          <w:p w14:paraId="4C6CDAC5"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nil"/>
              <w:right w:val="single" w:sz="8" w:space="0" w:color="000000"/>
            </w:tcBorders>
            <w:shd w:val="clear" w:color="auto" w:fill="auto"/>
          </w:tcPr>
          <w:p w14:paraId="07118E90"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493130- Farm Product Warehousing and Storage</w:t>
            </w:r>
          </w:p>
        </w:tc>
        <w:tc>
          <w:tcPr>
            <w:tcW w:w="4080" w:type="dxa"/>
            <w:tcBorders>
              <w:top w:val="nil"/>
              <w:left w:val="nil"/>
              <w:bottom w:val="nil"/>
              <w:right w:val="single" w:sz="8" w:space="0" w:color="000000"/>
            </w:tcBorders>
            <w:shd w:val="clear" w:color="auto" w:fill="auto"/>
          </w:tcPr>
          <w:p w14:paraId="4796D95E"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4221- Farm Product Warehousing and Storage</w:t>
            </w:r>
          </w:p>
        </w:tc>
      </w:tr>
      <w:tr w:rsidR="00062AA8" w:rsidRPr="00062AA8" w14:paraId="4A5FC17D" w14:textId="77777777" w:rsidTr="00062AA8">
        <w:trPr>
          <w:trHeight w:val="255"/>
        </w:trPr>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E826AEC"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Distributors and Applicators</w:t>
            </w:r>
          </w:p>
        </w:tc>
        <w:tc>
          <w:tcPr>
            <w:tcW w:w="3740" w:type="dxa"/>
            <w:vMerge w:val="restart"/>
            <w:tcBorders>
              <w:top w:val="single" w:sz="8" w:space="0" w:color="000000"/>
              <w:left w:val="single" w:sz="8" w:space="0" w:color="000000"/>
              <w:bottom w:val="nil"/>
              <w:right w:val="single" w:sz="8" w:space="0" w:color="000000"/>
            </w:tcBorders>
            <w:shd w:val="clear" w:color="auto" w:fill="auto"/>
          </w:tcPr>
          <w:p w14:paraId="1C4CE496"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115112- Soil Preparation, Planting and Cultivating</w:t>
            </w:r>
          </w:p>
        </w:tc>
        <w:tc>
          <w:tcPr>
            <w:tcW w:w="4080" w:type="dxa"/>
            <w:tcBorders>
              <w:top w:val="single" w:sz="8" w:space="0" w:color="000000"/>
              <w:left w:val="nil"/>
              <w:bottom w:val="nil"/>
              <w:right w:val="single" w:sz="8" w:space="0" w:color="000000"/>
            </w:tcBorders>
            <w:shd w:val="clear" w:color="auto" w:fill="auto"/>
          </w:tcPr>
          <w:p w14:paraId="4CEA0F74"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0711- Soil Preparation Services</w:t>
            </w:r>
          </w:p>
        </w:tc>
      </w:tr>
      <w:tr w:rsidR="00062AA8" w:rsidRPr="00062AA8" w14:paraId="21E8F2C3" w14:textId="77777777" w:rsidTr="00062AA8">
        <w:trPr>
          <w:trHeight w:val="255"/>
        </w:trPr>
        <w:tc>
          <w:tcPr>
            <w:tcW w:w="1660" w:type="dxa"/>
            <w:vMerge/>
            <w:tcBorders>
              <w:top w:val="single" w:sz="8" w:space="0" w:color="000000"/>
              <w:left w:val="single" w:sz="8" w:space="0" w:color="000000"/>
              <w:bottom w:val="single" w:sz="8" w:space="0" w:color="000000"/>
              <w:right w:val="single" w:sz="8" w:space="0" w:color="000000"/>
            </w:tcBorders>
            <w:vAlign w:val="center"/>
          </w:tcPr>
          <w:p w14:paraId="568EA4E9"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single" w:sz="8" w:space="0" w:color="000000"/>
              <w:left w:val="single" w:sz="8" w:space="0" w:color="000000"/>
              <w:bottom w:val="nil"/>
              <w:right w:val="single" w:sz="8" w:space="0" w:color="000000"/>
            </w:tcBorders>
            <w:vAlign w:val="center"/>
          </w:tcPr>
          <w:p w14:paraId="395969F1" w14:textId="77777777"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14:paraId="36422096"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0721- Crop Planting, Cultivation, and Protection</w:t>
            </w:r>
          </w:p>
        </w:tc>
      </w:tr>
      <w:tr w:rsidR="00062AA8" w:rsidRPr="00062AA8" w14:paraId="2BC05BCF" w14:textId="77777777" w:rsidTr="00062AA8">
        <w:trPr>
          <w:trHeight w:val="510"/>
        </w:trPr>
        <w:tc>
          <w:tcPr>
            <w:tcW w:w="1660" w:type="dxa"/>
            <w:vMerge/>
            <w:tcBorders>
              <w:top w:val="single" w:sz="8" w:space="0" w:color="000000"/>
              <w:left w:val="single" w:sz="8" w:space="0" w:color="000000"/>
              <w:bottom w:val="single" w:sz="8" w:space="0" w:color="000000"/>
              <w:right w:val="single" w:sz="8" w:space="0" w:color="000000"/>
            </w:tcBorders>
            <w:vAlign w:val="center"/>
          </w:tcPr>
          <w:p w14:paraId="00B5D545" w14:textId="77777777" w:rsidR="00062AA8" w:rsidRPr="00062AA8" w:rsidRDefault="00062AA8" w:rsidP="006C40B0">
            <w:pPr>
              <w:widowControl/>
              <w:autoSpaceDE/>
              <w:autoSpaceDN/>
              <w:adjustRightInd/>
              <w:rPr>
                <w:rFonts w:ascii="Times New Roman" w:hAnsi="Times New Roman"/>
                <w:sz w:val="20"/>
                <w:szCs w:val="20"/>
              </w:rPr>
            </w:pPr>
          </w:p>
        </w:tc>
        <w:tc>
          <w:tcPr>
            <w:tcW w:w="3740" w:type="dxa"/>
            <w:vMerge/>
            <w:tcBorders>
              <w:top w:val="single" w:sz="8" w:space="0" w:color="000000"/>
              <w:left w:val="single" w:sz="8" w:space="0" w:color="000000"/>
              <w:bottom w:val="nil"/>
              <w:right w:val="single" w:sz="8" w:space="0" w:color="000000"/>
            </w:tcBorders>
            <w:vAlign w:val="center"/>
          </w:tcPr>
          <w:p w14:paraId="5AC374E8" w14:textId="77777777" w:rsidR="00062AA8" w:rsidRPr="00062AA8" w:rsidRDefault="00062AA8" w:rsidP="006C40B0">
            <w:pPr>
              <w:widowControl/>
              <w:autoSpaceDE/>
              <w:autoSpaceDN/>
              <w:adjustRightInd/>
              <w:rPr>
                <w:rFonts w:ascii="Times New Roman" w:hAnsi="Times New Roman"/>
                <w:sz w:val="20"/>
                <w:szCs w:val="20"/>
              </w:rPr>
            </w:pPr>
          </w:p>
        </w:tc>
        <w:tc>
          <w:tcPr>
            <w:tcW w:w="4080" w:type="dxa"/>
            <w:tcBorders>
              <w:top w:val="nil"/>
              <w:left w:val="nil"/>
              <w:bottom w:val="nil"/>
              <w:right w:val="single" w:sz="8" w:space="0" w:color="000000"/>
            </w:tcBorders>
            <w:shd w:val="clear" w:color="auto" w:fill="auto"/>
          </w:tcPr>
          <w:p w14:paraId="1768D502"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0723- Crop Preparation Service for Market (except Cotton Ginning)</w:t>
            </w:r>
          </w:p>
        </w:tc>
      </w:tr>
      <w:tr w:rsidR="00062AA8" w:rsidRPr="00062AA8" w14:paraId="02C30396" w14:textId="77777777" w:rsidTr="00062AA8">
        <w:trPr>
          <w:trHeight w:val="525"/>
        </w:trPr>
        <w:tc>
          <w:tcPr>
            <w:tcW w:w="1660" w:type="dxa"/>
            <w:vMerge/>
            <w:tcBorders>
              <w:top w:val="single" w:sz="8" w:space="0" w:color="000000"/>
              <w:left w:val="single" w:sz="8" w:space="0" w:color="000000"/>
              <w:bottom w:val="single" w:sz="8" w:space="0" w:color="000000"/>
              <w:right w:val="single" w:sz="8" w:space="0" w:color="000000"/>
            </w:tcBorders>
            <w:vAlign w:val="center"/>
          </w:tcPr>
          <w:p w14:paraId="0D8EE2E1" w14:textId="77777777" w:rsidR="00062AA8" w:rsidRPr="00062AA8" w:rsidRDefault="00062AA8" w:rsidP="006C40B0">
            <w:pPr>
              <w:widowControl/>
              <w:autoSpaceDE/>
              <w:autoSpaceDN/>
              <w:adjustRightInd/>
              <w:rPr>
                <w:rFonts w:ascii="Times New Roman" w:hAnsi="Times New Roman"/>
                <w:sz w:val="20"/>
                <w:szCs w:val="20"/>
              </w:rPr>
            </w:pPr>
          </w:p>
        </w:tc>
        <w:tc>
          <w:tcPr>
            <w:tcW w:w="3740" w:type="dxa"/>
            <w:tcBorders>
              <w:top w:val="nil"/>
              <w:left w:val="nil"/>
              <w:bottom w:val="single" w:sz="8" w:space="0" w:color="000000"/>
              <w:right w:val="single" w:sz="8" w:space="0" w:color="000000"/>
            </w:tcBorders>
            <w:shd w:val="clear" w:color="auto" w:fill="auto"/>
          </w:tcPr>
          <w:p w14:paraId="3DA27A93"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424910- Farm Supplies and Merchant Wholesalers</w:t>
            </w:r>
          </w:p>
        </w:tc>
        <w:tc>
          <w:tcPr>
            <w:tcW w:w="4080" w:type="dxa"/>
            <w:tcBorders>
              <w:top w:val="nil"/>
              <w:left w:val="nil"/>
              <w:bottom w:val="single" w:sz="8" w:space="0" w:color="000000"/>
              <w:right w:val="single" w:sz="8" w:space="0" w:color="000000"/>
            </w:tcBorders>
            <w:shd w:val="clear" w:color="auto" w:fill="auto"/>
            <w:noWrap/>
            <w:vAlign w:val="bottom"/>
          </w:tcPr>
          <w:p w14:paraId="1D453305"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 </w:t>
            </w:r>
          </w:p>
        </w:tc>
      </w:tr>
      <w:tr w:rsidR="00062AA8" w:rsidRPr="00062AA8" w14:paraId="04719CFC" w14:textId="77777777" w:rsidTr="00062AA8">
        <w:trPr>
          <w:trHeight w:val="525"/>
        </w:trPr>
        <w:tc>
          <w:tcPr>
            <w:tcW w:w="1660" w:type="dxa"/>
            <w:tcBorders>
              <w:top w:val="nil"/>
              <w:left w:val="single" w:sz="8" w:space="0" w:color="000000"/>
              <w:bottom w:val="single" w:sz="8" w:space="0" w:color="000000"/>
              <w:right w:val="single" w:sz="8" w:space="0" w:color="000000"/>
            </w:tcBorders>
            <w:shd w:val="clear" w:color="auto" w:fill="auto"/>
          </w:tcPr>
          <w:p w14:paraId="0E6D50E3"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Producers and Importers</w:t>
            </w:r>
          </w:p>
        </w:tc>
        <w:tc>
          <w:tcPr>
            <w:tcW w:w="3740" w:type="dxa"/>
            <w:tcBorders>
              <w:top w:val="nil"/>
              <w:left w:val="nil"/>
              <w:bottom w:val="single" w:sz="8" w:space="0" w:color="000000"/>
              <w:right w:val="single" w:sz="8" w:space="0" w:color="000000"/>
            </w:tcBorders>
            <w:shd w:val="clear" w:color="auto" w:fill="auto"/>
          </w:tcPr>
          <w:p w14:paraId="12C4BB35"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325320- Pesticide and Other Agricultural Chemical Manufacturing</w:t>
            </w:r>
          </w:p>
        </w:tc>
        <w:tc>
          <w:tcPr>
            <w:tcW w:w="4080" w:type="dxa"/>
            <w:tcBorders>
              <w:top w:val="nil"/>
              <w:left w:val="nil"/>
              <w:bottom w:val="single" w:sz="8" w:space="0" w:color="000000"/>
              <w:right w:val="single" w:sz="8" w:space="0" w:color="000000"/>
            </w:tcBorders>
            <w:shd w:val="clear" w:color="auto" w:fill="auto"/>
          </w:tcPr>
          <w:p w14:paraId="204EA737" w14:textId="77777777" w:rsidR="00062AA8" w:rsidRPr="00062AA8" w:rsidRDefault="00062AA8" w:rsidP="006C40B0">
            <w:pPr>
              <w:widowControl/>
              <w:autoSpaceDE/>
              <w:autoSpaceDN/>
              <w:adjustRightInd/>
              <w:rPr>
                <w:rFonts w:ascii="Times New Roman" w:hAnsi="Times New Roman"/>
                <w:sz w:val="20"/>
                <w:szCs w:val="20"/>
              </w:rPr>
            </w:pPr>
            <w:r w:rsidRPr="00062AA8">
              <w:rPr>
                <w:rFonts w:ascii="Times New Roman" w:hAnsi="Times New Roman"/>
                <w:sz w:val="20"/>
                <w:szCs w:val="20"/>
              </w:rPr>
              <w:t>2879- Pesticides</w:t>
            </w:r>
            <w:r w:rsidR="00DA49D2">
              <w:rPr>
                <w:rFonts w:ascii="Times New Roman" w:hAnsi="Times New Roman"/>
                <w:sz w:val="20"/>
                <w:szCs w:val="20"/>
              </w:rPr>
              <w:t xml:space="preserve"> and Agricultural Chemicals</w:t>
            </w:r>
          </w:p>
        </w:tc>
      </w:tr>
    </w:tbl>
    <w:p w14:paraId="15A02546" w14:textId="77777777" w:rsidR="00EA018D" w:rsidRPr="00877602" w:rsidRDefault="00EA018D">
      <w:pPr>
        <w:rPr>
          <w:rFonts w:ascii="Times New Roman" w:hAnsi="Times New Roman"/>
        </w:rPr>
      </w:pPr>
    </w:p>
    <w:p w14:paraId="3BC2AAF9" w14:textId="77777777"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Information Requested</w:t>
      </w:r>
    </w:p>
    <w:p w14:paraId="3625E34E" w14:textId="77777777" w:rsidR="00EA018D" w:rsidRPr="00877602" w:rsidRDefault="00EA018D">
      <w:pPr>
        <w:rPr>
          <w:rFonts w:ascii="Times New Roman" w:hAnsi="Times New Roman"/>
        </w:rPr>
      </w:pPr>
    </w:p>
    <w:p w14:paraId="668E00CC" w14:textId="77777777" w:rsidR="00811A56" w:rsidRDefault="00811A56">
      <w:pPr>
        <w:rPr>
          <w:rFonts w:ascii="Times New Roman" w:hAnsi="Times New Roman"/>
        </w:rPr>
      </w:pPr>
      <w:r>
        <w:rPr>
          <w:rFonts w:ascii="Times New Roman" w:hAnsi="Times New Roman"/>
        </w:rPr>
        <w:t>(i) Applications</w:t>
      </w:r>
    </w:p>
    <w:p w14:paraId="70C18DAA" w14:textId="77777777" w:rsidR="00811A56" w:rsidRPr="00811A56" w:rsidRDefault="00811A56" w:rsidP="00811A56">
      <w:pPr>
        <w:rPr>
          <w:rFonts w:ascii="Times New Roman" w:hAnsi="Times New Roman"/>
        </w:rPr>
      </w:pPr>
      <w:r>
        <w:rPr>
          <w:rFonts w:ascii="Times New Roman" w:hAnsi="Times New Roman"/>
        </w:rPr>
        <w:tab/>
      </w:r>
      <w:r w:rsidRPr="00811A56">
        <w:rPr>
          <w:rFonts w:ascii="Times New Roman" w:hAnsi="Times New Roman"/>
        </w:rPr>
        <w:t>The Agency</w:t>
      </w:r>
      <w:r>
        <w:rPr>
          <w:rFonts w:ascii="Times New Roman" w:hAnsi="Times New Roman"/>
        </w:rPr>
        <w:t xml:space="preserve"> intends to continue seeking the same information as in previous years and will use the current application forms.</w:t>
      </w:r>
      <w:r w:rsidRPr="00811A56">
        <w:rPr>
          <w:rFonts w:ascii="Times New Roman" w:hAnsi="Times New Roman"/>
        </w:rPr>
        <w:t xml:space="preserve"> The following information encompasses any information that will be requested from those entities seeking a critical use exemption, and includes applications for both pre-plant and post-harvest sectors: </w:t>
      </w:r>
    </w:p>
    <w:p w14:paraId="4C64A0C1" w14:textId="24C45423"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Identity of contact person(s).</w:t>
      </w:r>
      <w:r w:rsidR="0011094A">
        <w:rPr>
          <w:rFonts w:ascii="Times New Roman" w:hAnsi="Times New Roman"/>
        </w:rPr>
        <w:t xml:space="preserve"> </w:t>
      </w:r>
      <w:r w:rsidRPr="002F0585">
        <w:rPr>
          <w:rFonts w:ascii="Times New Roman" w:hAnsi="Times New Roman"/>
        </w:rPr>
        <w:t>Unless otherwise specified, the person who submits the application will be considered the contact person for all matters relating to the critical use exemption.</w:t>
      </w:r>
      <w:r w:rsidR="0011094A">
        <w:rPr>
          <w:rFonts w:ascii="Times New Roman" w:hAnsi="Times New Roman"/>
        </w:rPr>
        <w:t xml:space="preserve"> </w:t>
      </w:r>
      <w:r w:rsidRPr="002F0585">
        <w:rPr>
          <w:rFonts w:ascii="Times New Roman" w:hAnsi="Times New Roman"/>
        </w:rPr>
        <w:t>Requests must identify by name and telephone number one or more qualified experts who may be contacted in case any questions arise concerning the application.</w:t>
      </w:r>
    </w:p>
    <w:p w14:paraId="4B77D877" w14:textId="203CFF26"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Description of the proposed use.</w:t>
      </w:r>
      <w:r w:rsidR="0011094A">
        <w:rPr>
          <w:rFonts w:ascii="Times New Roman" w:hAnsi="Times New Roman"/>
        </w:rPr>
        <w:t xml:space="preserve"> </w:t>
      </w:r>
      <w:r w:rsidRPr="002F0585">
        <w:rPr>
          <w:rFonts w:ascii="Times New Roman" w:hAnsi="Times New Roman"/>
        </w:rPr>
        <w:t xml:space="preserve">The applications shall provide information on the proposed use (crop/pest combination), the amount of methyl bromide to be used, the location of use, the method of application and any other use information requested by the </w:t>
      </w:r>
      <w:r w:rsidRPr="002F0585">
        <w:rPr>
          <w:rFonts w:ascii="Times New Roman" w:hAnsi="Times New Roman"/>
        </w:rPr>
        <w:lastRenderedPageBreak/>
        <w:t>Administrator.</w:t>
      </w:r>
      <w:r w:rsidR="0011094A">
        <w:rPr>
          <w:rFonts w:ascii="Times New Roman" w:hAnsi="Times New Roman"/>
        </w:rPr>
        <w:t xml:space="preserve"> </w:t>
      </w:r>
    </w:p>
    <w:p w14:paraId="4FB82A97" w14:textId="48E2362D"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Description of past use.</w:t>
      </w:r>
      <w:r w:rsidR="0011094A">
        <w:rPr>
          <w:rFonts w:ascii="Times New Roman" w:hAnsi="Times New Roman"/>
        </w:rPr>
        <w:t xml:space="preserve"> </w:t>
      </w:r>
      <w:r w:rsidRPr="002F0585">
        <w:rPr>
          <w:rFonts w:ascii="Times New Roman" w:hAnsi="Times New Roman"/>
        </w:rPr>
        <w:t xml:space="preserve">The applications shall provide information on past use (crop/pest combination), acreage, the amount of methyl bromide used, the method of application and other historical use data requested by the Administrator. </w:t>
      </w:r>
    </w:p>
    <w:p w14:paraId="6746C921" w14:textId="13DBC1A3"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Consideration of alternatives (Technical).</w:t>
      </w:r>
      <w:r w:rsidR="0011094A">
        <w:rPr>
          <w:rFonts w:ascii="Times New Roman" w:hAnsi="Times New Roman"/>
        </w:rPr>
        <w:t xml:space="preserve"> </w:t>
      </w:r>
      <w:r w:rsidRPr="002F0585">
        <w:rPr>
          <w:rFonts w:ascii="Times New Roman" w:hAnsi="Times New Roman"/>
        </w:rPr>
        <w:t>The applicant must demonstrate what steps have been, and will be, taken to find and implement alternatives.</w:t>
      </w:r>
      <w:r w:rsidR="0011094A">
        <w:rPr>
          <w:rFonts w:ascii="Times New Roman" w:hAnsi="Times New Roman"/>
        </w:rPr>
        <w:t xml:space="preserve"> </w:t>
      </w:r>
      <w:r w:rsidRPr="002F0585">
        <w:rPr>
          <w:rFonts w:ascii="Times New Roman" w:hAnsi="Times New Roman"/>
        </w:rPr>
        <w:t>The applicant must also provide an explanation of, and data relating to, the technical feasibility of currently available alternatives for their proposed use and any other information required by the Administrator to determine whether technically feasible alternatives are available for the proposed use.</w:t>
      </w:r>
    </w:p>
    <w:p w14:paraId="219EF4DF" w14:textId="237DF386" w:rsidR="002F0585"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Consideration of alternatives (Economic).</w:t>
      </w:r>
      <w:r w:rsidR="0011094A">
        <w:rPr>
          <w:rFonts w:ascii="Times New Roman" w:hAnsi="Times New Roman"/>
        </w:rPr>
        <w:t xml:space="preserve"> </w:t>
      </w:r>
      <w:r w:rsidRPr="002F0585">
        <w:rPr>
          <w:rFonts w:ascii="Times New Roman" w:hAnsi="Times New Roman"/>
        </w:rPr>
        <w:t>To determine whether an applicant’s proposed use has economically feasible alternatives, EPA will request information on historical revenue and available economic measures, such as operating costs.</w:t>
      </w:r>
      <w:r w:rsidR="0011094A">
        <w:rPr>
          <w:rFonts w:ascii="Times New Roman" w:hAnsi="Times New Roman"/>
        </w:rPr>
        <w:t xml:space="preserve"> </w:t>
      </w:r>
    </w:p>
    <w:p w14:paraId="6A24C87B" w14:textId="0E2F5961" w:rsidR="00811A56" w:rsidRPr="002F0585" w:rsidRDefault="00811A56" w:rsidP="00F5607F">
      <w:pPr>
        <w:pStyle w:val="Level1"/>
        <w:numPr>
          <w:ilvl w:val="0"/>
          <w:numId w:val="9"/>
        </w:numPr>
        <w:tabs>
          <w:tab w:val="left" w:pos="-1440"/>
        </w:tabs>
        <w:ind w:left="720"/>
        <w:rPr>
          <w:rFonts w:ascii="Times New Roman" w:hAnsi="Times New Roman"/>
        </w:rPr>
      </w:pPr>
      <w:r w:rsidRPr="002F0585">
        <w:rPr>
          <w:rFonts w:ascii="Times New Roman" w:hAnsi="Times New Roman"/>
          <w:b/>
        </w:rPr>
        <w:t>Additional information.</w:t>
      </w:r>
      <w:r w:rsidR="0011094A">
        <w:rPr>
          <w:rFonts w:ascii="Times New Roman" w:hAnsi="Times New Roman"/>
        </w:rPr>
        <w:t xml:space="preserve"> </w:t>
      </w:r>
      <w:r w:rsidRPr="002F0585">
        <w:rPr>
          <w:rFonts w:ascii="Times New Roman" w:hAnsi="Times New Roman"/>
        </w:rPr>
        <w:t>Additional information required of applicants may include, but is not limited to, agricultural statistics, fumigation conditions and timeline, research proposals and funding levels, and transition plans.</w:t>
      </w:r>
      <w:r w:rsidR="0011094A">
        <w:rPr>
          <w:rFonts w:ascii="Times New Roman" w:hAnsi="Times New Roman"/>
        </w:rPr>
        <w:t xml:space="preserve"> </w:t>
      </w:r>
    </w:p>
    <w:p w14:paraId="202BFCBD" w14:textId="77777777" w:rsidR="00DC1EFB" w:rsidRDefault="00DC1EFB" w:rsidP="00811A56">
      <w:pPr>
        <w:rPr>
          <w:rFonts w:ascii="Times New Roman" w:hAnsi="Times New Roman"/>
        </w:rPr>
      </w:pPr>
    </w:p>
    <w:p w14:paraId="528BA145" w14:textId="77777777" w:rsidR="00811A56" w:rsidRPr="00811A56" w:rsidRDefault="00862C5B" w:rsidP="00811A56">
      <w:pPr>
        <w:rPr>
          <w:rFonts w:ascii="Times New Roman" w:hAnsi="Times New Roman"/>
        </w:rPr>
      </w:pPr>
      <w:r>
        <w:rPr>
          <w:rFonts w:ascii="Times New Roman" w:hAnsi="Times New Roman"/>
        </w:rPr>
        <w:t>(ii</w:t>
      </w:r>
      <w:r w:rsidR="00811A56">
        <w:rPr>
          <w:rFonts w:ascii="Times New Roman" w:hAnsi="Times New Roman"/>
        </w:rPr>
        <w:t>) Reporting</w:t>
      </w:r>
    </w:p>
    <w:p w14:paraId="51B6C043" w14:textId="77777777" w:rsidR="00EA018D" w:rsidRPr="00877602" w:rsidRDefault="00EA018D">
      <w:pPr>
        <w:ind w:firstLine="720"/>
        <w:rPr>
          <w:rFonts w:ascii="Times New Roman" w:hAnsi="Times New Roman"/>
        </w:rPr>
      </w:pPr>
      <w:r w:rsidRPr="00877602">
        <w:rPr>
          <w:rFonts w:ascii="Times New Roman" w:hAnsi="Times New Roman"/>
        </w:rPr>
        <w:t xml:space="preserve">EPA </w:t>
      </w:r>
      <w:r w:rsidR="00BA50B7" w:rsidRPr="00877602">
        <w:rPr>
          <w:rFonts w:ascii="Times New Roman" w:hAnsi="Times New Roman"/>
        </w:rPr>
        <w:t xml:space="preserve">is requesting that entities provide </w:t>
      </w:r>
      <w:r w:rsidRPr="00877602">
        <w:rPr>
          <w:rFonts w:ascii="Times New Roman" w:hAnsi="Times New Roman"/>
        </w:rPr>
        <w:t>the following information to the Agency</w:t>
      </w:r>
      <w:r w:rsidR="00BA50B7" w:rsidRPr="00877602">
        <w:rPr>
          <w:rFonts w:ascii="Times New Roman" w:hAnsi="Times New Roman"/>
        </w:rPr>
        <w:t>:</w:t>
      </w:r>
    </w:p>
    <w:p w14:paraId="6AFAAF44" w14:textId="77777777" w:rsidR="00A94309" w:rsidRPr="00877602" w:rsidRDefault="00A94309">
      <w:pPr>
        <w:ind w:firstLine="720"/>
        <w:rPr>
          <w:rFonts w:ascii="Times New Roman" w:hAnsi="Times New Roman"/>
        </w:rPr>
      </w:pPr>
    </w:p>
    <w:p w14:paraId="2E22B73E" w14:textId="77777777" w:rsidR="001F2938" w:rsidRPr="001F2938" w:rsidRDefault="00D14779" w:rsidP="001F2938">
      <w:pPr>
        <w:pStyle w:val="Level1"/>
        <w:tabs>
          <w:tab w:val="left" w:pos="-1440"/>
        </w:tabs>
        <w:ind w:left="0" w:firstLine="0"/>
        <w:rPr>
          <w:rFonts w:ascii="Times New Roman" w:hAnsi="Times New Roman"/>
          <w:b/>
        </w:rPr>
      </w:pPr>
      <w:r w:rsidRPr="001F2938">
        <w:rPr>
          <w:rFonts w:ascii="Times New Roman" w:hAnsi="Times New Roman"/>
          <w:b/>
        </w:rPr>
        <w:t>Producers</w:t>
      </w:r>
      <w:r w:rsidR="00662453" w:rsidRPr="001F2938">
        <w:rPr>
          <w:rFonts w:ascii="Times New Roman" w:hAnsi="Times New Roman"/>
          <w:b/>
        </w:rPr>
        <w:t xml:space="preserve"> and</w:t>
      </w:r>
      <w:r w:rsidRPr="001F2938">
        <w:rPr>
          <w:rFonts w:ascii="Times New Roman" w:hAnsi="Times New Roman"/>
          <w:b/>
        </w:rPr>
        <w:t xml:space="preserve"> </w:t>
      </w:r>
      <w:r w:rsidR="00EA018D" w:rsidRPr="001F2938">
        <w:rPr>
          <w:rFonts w:ascii="Times New Roman" w:hAnsi="Times New Roman"/>
          <w:b/>
        </w:rPr>
        <w:t>importers</w:t>
      </w:r>
    </w:p>
    <w:p w14:paraId="04DCA2F7" w14:textId="4CADC365" w:rsidR="00DA49D2" w:rsidRDefault="00EA018D"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 xml:space="preserve">Quarterly: </w:t>
      </w:r>
      <w:r w:rsidR="00662453" w:rsidRPr="001F2938">
        <w:rPr>
          <w:rFonts w:ascii="Times New Roman" w:hAnsi="Times New Roman"/>
        </w:rPr>
        <w:t xml:space="preserve">the quantity </w:t>
      </w:r>
      <w:r w:rsidR="00D14779" w:rsidRPr="001F2938">
        <w:rPr>
          <w:rFonts w:ascii="Times New Roman" w:hAnsi="Times New Roman"/>
        </w:rPr>
        <w:t xml:space="preserve">of methyl bromide </w:t>
      </w:r>
      <w:r w:rsidR="00662453" w:rsidRPr="001F2938">
        <w:rPr>
          <w:rFonts w:ascii="Times New Roman" w:hAnsi="Times New Roman"/>
        </w:rPr>
        <w:t xml:space="preserve">produced or imported </w:t>
      </w:r>
      <w:r w:rsidR="00D14779" w:rsidRPr="001F2938">
        <w:rPr>
          <w:rFonts w:ascii="Times New Roman" w:hAnsi="Times New Roman"/>
        </w:rPr>
        <w:t xml:space="preserve">under the exemptions for Quarantine and Preshipment (QPS), critical uses, </w:t>
      </w:r>
      <w:r w:rsidR="000E7D79" w:rsidRPr="001F2938">
        <w:rPr>
          <w:rFonts w:ascii="Times New Roman" w:hAnsi="Times New Roman"/>
        </w:rPr>
        <w:t>emergency uses,</w:t>
      </w:r>
      <w:r w:rsidR="00D14779" w:rsidRPr="001F2938">
        <w:rPr>
          <w:rFonts w:ascii="Times New Roman" w:hAnsi="Times New Roman"/>
        </w:rPr>
        <w:t xml:space="preserve"> </w:t>
      </w:r>
      <w:r w:rsidR="001D45E4">
        <w:rPr>
          <w:rFonts w:ascii="Times New Roman" w:hAnsi="Times New Roman"/>
        </w:rPr>
        <w:t xml:space="preserve">and </w:t>
      </w:r>
      <w:r w:rsidR="000E7D79" w:rsidRPr="001F2938">
        <w:rPr>
          <w:rFonts w:ascii="Times New Roman" w:hAnsi="Times New Roman"/>
        </w:rPr>
        <w:t>lab uses</w:t>
      </w:r>
      <w:r w:rsidR="00DA49D2">
        <w:rPr>
          <w:rFonts w:ascii="Times New Roman" w:hAnsi="Times New Roman"/>
        </w:rPr>
        <w:t>;</w:t>
      </w:r>
    </w:p>
    <w:p w14:paraId="1F647E40" w14:textId="77777777" w:rsidR="001F2938" w:rsidRPr="001F2938" w:rsidRDefault="00662453"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 xml:space="preserve">Quarterly: </w:t>
      </w:r>
      <w:r w:rsidR="000E7D79" w:rsidRPr="001F2938">
        <w:rPr>
          <w:rFonts w:ascii="Times New Roman" w:hAnsi="Times New Roman"/>
        </w:rPr>
        <w:t xml:space="preserve">the quantity </w:t>
      </w:r>
      <w:r w:rsidRPr="001F2938">
        <w:rPr>
          <w:rFonts w:ascii="Times New Roman" w:hAnsi="Times New Roman"/>
        </w:rPr>
        <w:t xml:space="preserve">of methyl bromide </w:t>
      </w:r>
      <w:r w:rsidR="000E7D79" w:rsidRPr="001F2938">
        <w:rPr>
          <w:rFonts w:ascii="Times New Roman" w:hAnsi="Times New Roman"/>
        </w:rPr>
        <w:t xml:space="preserve">produced </w:t>
      </w:r>
      <w:r w:rsidRPr="001F2938">
        <w:rPr>
          <w:rFonts w:ascii="Times New Roman" w:hAnsi="Times New Roman"/>
        </w:rPr>
        <w:t xml:space="preserve">or imported </w:t>
      </w:r>
      <w:r w:rsidR="000E7D79" w:rsidRPr="001F2938">
        <w:rPr>
          <w:rFonts w:ascii="Times New Roman" w:hAnsi="Times New Roman"/>
        </w:rPr>
        <w:t>for uses resulting in its transformation and/or destruction;</w:t>
      </w:r>
    </w:p>
    <w:p w14:paraId="6D4C30A5" w14:textId="3F99E7BC" w:rsidR="001F2938" w:rsidRPr="001F2938" w:rsidRDefault="000E7D79"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 xml:space="preserve">Quarterly: </w:t>
      </w:r>
      <w:r w:rsidR="00DA49D2">
        <w:rPr>
          <w:rFonts w:ascii="Times New Roman" w:hAnsi="Times New Roman"/>
        </w:rPr>
        <w:t xml:space="preserve">the </w:t>
      </w:r>
      <w:r w:rsidR="00EA018D" w:rsidRPr="001F2938">
        <w:rPr>
          <w:rFonts w:ascii="Times New Roman" w:hAnsi="Times New Roman"/>
        </w:rPr>
        <w:t>number and type of expended and unexpended critical use allowances (CUAs)</w:t>
      </w:r>
      <w:r w:rsidR="00EA018D" w:rsidRPr="00680FC1">
        <w:rPr>
          <w:rFonts w:ascii="Times New Roman" w:hAnsi="Times New Roman"/>
        </w:rPr>
        <w:t>;</w:t>
      </w:r>
    </w:p>
    <w:p w14:paraId="1EF30A27" w14:textId="77777777" w:rsidR="001F2938" w:rsidRPr="00DA49D2" w:rsidRDefault="00B144C2" w:rsidP="001F2938">
      <w:pPr>
        <w:pStyle w:val="Level1"/>
        <w:numPr>
          <w:ilvl w:val="0"/>
          <w:numId w:val="2"/>
        </w:numPr>
        <w:tabs>
          <w:tab w:val="clear" w:pos="288"/>
          <w:tab w:val="left" w:pos="-1440"/>
          <w:tab w:val="num" w:pos="720"/>
        </w:tabs>
        <w:ind w:left="720" w:hanging="360"/>
        <w:rPr>
          <w:rFonts w:ascii="Times New Roman" w:hAnsi="Times New Roman"/>
        </w:rPr>
      </w:pPr>
      <w:r w:rsidRPr="00DA49D2">
        <w:rPr>
          <w:rFonts w:ascii="Times New Roman" w:hAnsi="Times New Roman"/>
        </w:rPr>
        <w:t xml:space="preserve">Annually: the total amount and type of methyl bromide sold directly to critical uses; </w:t>
      </w:r>
    </w:p>
    <w:p w14:paraId="6CD93655" w14:textId="77777777" w:rsidR="001F2938" w:rsidRPr="001F2938" w:rsidRDefault="00B144C2"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Annually: the total amount and type of critical use methyl bromide held in inventory for themselves o</w:t>
      </w:r>
      <w:r w:rsidR="00DA49D2">
        <w:rPr>
          <w:rFonts w:ascii="Times New Roman" w:hAnsi="Times New Roman"/>
        </w:rPr>
        <w:t>r on behalf of a third party</w:t>
      </w:r>
      <w:r w:rsidRPr="001F2938">
        <w:rPr>
          <w:rFonts w:ascii="Times New Roman" w:hAnsi="Times New Roman"/>
        </w:rPr>
        <w:t>;</w:t>
      </w:r>
    </w:p>
    <w:p w14:paraId="6406559C" w14:textId="77777777" w:rsidR="001F2938" w:rsidRPr="001F2938" w:rsidRDefault="0062616C" w:rsidP="001F2938">
      <w:pPr>
        <w:pStyle w:val="Level1"/>
        <w:numPr>
          <w:ilvl w:val="0"/>
          <w:numId w:val="2"/>
        </w:numPr>
        <w:tabs>
          <w:tab w:val="clear" w:pos="288"/>
          <w:tab w:val="left" w:pos="-1440"/>
          <w:tab w:val="num" w:pos="720"/>
        </w:tabs>
        <w:ind w:left="720" w:hanging="360"/>
        <w:rPr>
          <w:rFonts w:ascii="Times New Roman" w:hAnsi="Times New Roman"/>
        </w:rPr>
      </w:pPr>
      <w:r w:rsidRPr="001F2938">
        <w:rPr>
          <w:rFonts w:ascii="Times New Roman" w:hAnsi="Times New Roman"/>
        </w:rPr>
        <w:t>Annually: the total amount of methyl bromide that was produced/imported prior to January 1, 2005, that is held in inventory for themselves o</w:t>
      </w:r>
      <w:r w:rsidR="00DA49D2">
        <w:rPr>
          <w:rFonts w:ascii="Times New Roman" w:hAnsi="Times New Roman"/>
        </w:rPr>
        <w:t>r on behalf of a third party</w:t>
      </w:r>
      <w:r w:rsidRPr="001F2938">
        <w:rPr>
          <w:rFonts w:ascii="Times New Roman" w:hAnsi="Times New Roman"/>
        </w:rPr>
        <w:t>;</w:t>
      </w:r>
    </w:p>
    <w:p w14:paraId="620F2FE4" w14:textId="3B008024" w:rsidR="0097461C" w:rsidRPr="001F2938" w:rsidRDefault="00026D2F" w:rsidP="001F2938">
      <w:pPr>
        <w:pStyle w:val="Level1"/>
        <w:numPr>
          <w:ilvl w:val="0"/>
          <w:numId w:val="2"/>
        </w:numPr>
        <w:tabs>
          <w:tab w:val="clear" w:pos="288"/>
          <w:tab w:val="left" w:pos="-1440"/>
          <w:tab w:val="num" w:pos="720"/>
        </w:tabs>
        <w:ind w:left="720" w:hanging="360"/>
        <w:rPr>
          <w:rFonts w:ascii="Times New Roman" w:hAnsi="Times New Roman"/>
          <w:b/>
        </w:rPr>
      </w:pPr>
      <w:r w:rsidRPr="001F2938">
        <w:rPr>
          <w:rFonts w:ascii="Times New Roman" w:hAnsi="Times New Roman"/>
        </w:rPr>
        <w:t>Periodically</w:t>
      </w:r>
      <w:r w:rsidR="0097461C" w:rsidRPr="001F2938">
        <w:rPr>
          <w:rFonts w:ascii="Times New Roman" w:hAnsi="Times New Roman"/>
        </w:rPr>
        <w:t xml:space="preserve">, </w:t>
      </w:r>
      <w:r w:rsidR="00321188">
        <w:rPr>
          <w:rFonts w:ascii="Times New Roman" w:hAnsi="Times New Roman"/>
        </w:rPr>
        <w:t>(</w:t>
      </w:r>
      <w:r w:rsidR="0097461C" w:rsidRPr="001F2938">
        <w:rPr>
          <w:rFonts w:ascii="Times New Roman" w:hAnsi="Times New Roman"/>
        </w:rPr>
        <w:t xml:space="preserve">likely less than </w:t>
      </w:r>
      <w:r w:rsidR="00E60800">
        <w:rPr>
          <w:rFonts w:ascii="Times New Roman" w:hAnsi="Times New Roman"/>
        </w:rPr>
        <w:t>annually</w:t>
      </w:r>
      <w:r w:rsidR="00321188">
        <w:rPr>
          <w:rFonts w:ascii="Times New Roman" w:hAnsi="Times New Roman"/>
        </w:rPr>
        <w:t>)</w:t>
      </w:r>
      <w:r w:rsidRPr="001F2938">
        <w:rPr>
          <w:rFonts w:ascii="Times New Roman" w:hAnsi="Times New Roman"/>
        </w:rPr>
        <w:t>: information that the Administrator may reasonably require in carrying out the critical use exemption program under Section 604(d)(6) of the Clean Air Act</w:t>
      </w:r>
      <w:r w:rsidR="0097461C" w:rsidRPr="001F2938">
        <w:rPr>
          <w:rFonts w:ascii="Times New Roman" w:hAnsi="Times New Roman"/>
        </w:rPr>
        <w:t xml:space="preserve"> including </w:t>
      </w:r>
      <w:r w:rsidR="00321188">
        <w:rPr>
          <w:rFonts w:ascii="Times New Roman" w:hAnsi="Times New Roman"/>
        </w:rPr>
        <w:t>management and composition of pre-phaseout inventory</w:t>
      </w:r>
      <w:r w:rsidR="0097461C" w:rsidRPr="001F2938">
        <w:rPr>
          <w:rFonts w:ascii="Times New Roman" w:hAnsi="Times New Roman"/>
        </w:rPr>
        <w:t xml:space="preserve">, </w:t>
      </w:r>
      <w:r w:rsidR="00321188">
        <w:rPr>
          <w:rFonts w:ascii="Times New Roman" w:hAnsi="Times New Roman"/>
        </w:rPr>
        <w:t xml:space="preserve">price </w:t>
      </w:r>
      <w:r w:rsidR="0097461C" w:rsidRPr="001F2938">
        <w:rPr>
          <w:rFonts w:ascii="Times New Roman" w:hAnsi="Times New Roman"/>
        </w:rPr>
        <w:t xml:space="preserve">of methyl bromide and its alternatives, </w:t>
      </w:r>
      <w:r w:rsidR="00683ED3">
        <w:rPr>
          <w:rFonts w:ascii="Times New Roman" w:hAnsi="Times New Roman"/>
        </w:rPr>
        <w:t xml:space="preserve">and </w:t>
      </w:r>
      <w:r w:rsidR="0097461C" w:rsidRPr="001F2938">
        <w:rPr>
          <w:rFonts w:ascii="Times New Roman" w:hAnsi="Times New Roman"/>
        </w:rPr>
        <w:t>fumigant emissio</w:t>
      </w:r>
      <w:r w:rsidR="00321188">
        <w:rPr>
          <w:rFonts w:ascii="Times New Roman" w:hAnsi="Times New Roman"/>
        </w:rPr>
        <w:t>ns reductions practices.</w:t>
      </w:r>
      <w:r w:rsidR="0011094A">
        <w:rPr>
          <w:rFonts w:ascii="Times New Roman" w:hAnsi="Times New Roman"/>
        </w:rPr>
        <w:t xml:space="preserve"> </w:t>
      </w:r>
      <w:r w:rsidR="0097461C" w:rsidRPr="001F2938">
        <w:rPr>
          <w:rFonts w:ascii="Times New Roman" w:hAnsi="Times New Roman"/>
        </w:rPr>
        <w:t>EPA may also use the information gathering authority under Section 114 of the Clean Air Act to ensure compliance with existing regulations under the critical use exemption program.</w:t>
      </w:r>
      <w:r w:rsidR="0011094A">
        <w:rPr>
          <w:rFonts w:ascii="Times New Roman" w:hAnsi="Times New Roman"/>
        </w:rPr>
        <w:t xml:space="preserve"> </w:t>
      </w:r>
    </w:p>
    <w:p w14:paraId="7BAD1F15" w14:textId="77777777" w:rsidR="00EA018D" w:rsidRPr="001F2938" w:rsidRDefault="00EA018D">
      <w:pPr>
        <w:rPr>
          <w:rFonts w:ascii="Times New Roman" w:hAnsi="Times New Roman"/>
        </w:rPr>
      </w:pPr>
    </w:p>
    <w:p w14:paraId="3B8E5FFE" w14:textId="77777777" w:rsidR="00662453" w:rsidRPr="001F2938" w:rsidRDefault="00662453" w:rsidP="00662453">
      <w:pPr>
        <w:rPr>
          <w:rFonts w:ascii="Times New Roman" w:hAnsi="Times New Roman"/>
          <w:b/>
        </w:rPr>
      </w:pPr>
      <w:r w:rsidRPr="001F2938">
        <w:rPr>
          <w:rFonts w:ascii="Times New Roman" w:hAnsi="Times New Roman"/>
          <w:b/>
        </w:rPr>
        <w:t>Exporters</w:t>
      </w:r>
    </w:p>
    <w:p w14:paraId="60055462" w14:textId="77777777" w:rsidR="00662453" w:rsidRPr="001F2938" w:rsidRDefault="00662453" w:rsidP="001F2938">
      <w:pPr>
        <w:numPr>
          <w:ilvl w:val="0"/>
          <w:numId w:val="3"/>
        </w:numPr>
        <w:tabs>
          <w:tab w:val="clear" w:pos="288"/>
          <w:tab w:val="num" w:pos="720"/>
        </w:tabs>
        <w:ind w:left="720" w:hanging="270"/>
        <w:rPr>
          <w:rFonts w:ascii="Times New Roman" w:hAnsi="Times New Roman"/>
        </w:rPr>
      </w:pPr>
      <w:r w:rsidRPr="001F2938">
        <w:rPr>
          <w:rFonts w:ascii="Times New Roman" w:hAnsi="Times New Roman"/>
        </w:rPr>
        <w:t>Quarterly: names and addresses of the exporter and the recipient of the exports, and the exporter’s Employer Identification Number;</w:t>
      </w:r>
    </w:p>
    <w:p w14:paraId="47832DE2" w14:textId="77777777" w:rsidR="00662453" w:rsidRPr="001F2938" w:rsidRDefault="00662453" w:rsidP="001F2938">
      <w:pPr>
        <w:numPr>
          <w:ilvl w:val="0"/>
          <w:numId w:val="3"/>
        </w:numPr>
        <w:tabs>
          <w:tab w:val="clear" w:pos="288"/>
          <w:tab w:val="num" w:pos="720"/>
        </w:tabs>
        <w:ind w:left="720"/>
        <w:rPr>
          <w:rFonts w:ascii="Times New Roman" w:hAnsi="Times New Roman"/>
        </w:rPr>
      </w:pPr>
      <w:r w:rsidRPr="001F2938">
        <w:rPr>
          <w:rFonts w:ascii="Times New Roman" w:hAnsi="Times New Roman"/>
        </w:rPr>
        <w:t xml:space="preserve">Quarterly: the quantity of </w:t>
      </w:r>
      <w:r w:rsidR="001F2938" w:rsidRPr="001F2938">
        <w:rPr>
          <w:rFonts w:ascii="Times New Roman" w:hAnsi="Times New Roman"/>
        </w:rPr>
        <w:t>methyl bromide</w:t>
      </w:r>
      <w:r w:rsidRPr="001F2938">
        <w:rPr>
          <w:rFonts w:ascii="Times New Roman" w:hAnsi="Times New Roman"/>
        </w:rPr>
        <w:t xml:space="preserve"> exported </w:t>
      </w:r>
      <w:r w:rsidR="00805599">
        <w:rPr>
          <w:rFonts w:ascii="Times New Roman" w:hAnsi="Times New Roman"/>
        </w:rPr>
        <w:t>under each exemption</w:t>
      </w:r>
      <w:r w:rsidRPr="001F2938">
        <w:rPr>
          <w:rFonts w:ascii="Times New Roman" w:hAnsi="Times New Roman"/>
        </w:rPr>
        <w:t>; the date on which, and the port from which, the controlled substances were exported from the United States or its territories;</w:t>
      </w:r>
      <w:r w:rsidR="001F2938" w:rsidRPr="001F2938">
        <w:rPr>
          <w:rFonts w:ascii="Times New Roman" w:hAnsi="Times New Roman"/>
        </w:rPr>
        <w:t xml:space="preserve"> and</w:t>
      </w:r>
      <w:r w:rsidRPr="001F2938">
        <w:rPr>
          <w:rFonts w:ascii="Times New Roman" w:hAnsi="Times New Roman"/>
        </w:rPr>
        <w:t xml:space="preserve"> the country to which the contr</w:t>
      </w:r>
      <w:r w:rsidR="001F2938" w:rsidRPr="001F2938">
        <w:rPr>
          <w:rFonts w:ascii="Times New Roman" w:hAnsi="Times New Roman"/>
        </w:rPr>
        <w:t>olled substances were exported.</w:t>
      </w:r>
    </w:p>
    <w:p w14:paraId="0E8421BA" w14:textId="77777777" w:rsidR="001F2938" w:rsidRPr="001F2938" w:rsidRDefault="001F2938" w:rsidP="001F2938">
      <w:pPr>
        <w:pStyle w:val="Level1"/>
        <w:tabs>
          <w:tab w:val="left" w:pos="-1440"/>
        </w:tabs>
        <w:ind w:left="0" w:firstLine="0"/>
        <w:rPr>
          <w:rFonts w:ascii="Times New Roman" w:hAnsi="Times New Roman"/>
        </w:rPr>
      </w:pPr>
    </w:p>
    <w:p w14:paraId="14C47D0C" w14:textId="77777777" w:rsidR="0053666D" w:rsidRDefault="0053666D" w:rsidP="001F2938">
      <w:pPr>
        <w:pStyle w:val="Level1"/>
        <w:tabs>
          <w:tab w:val="left" w:pos="-1440"/>
        </w:tabs>
        <w:ind w:left="0" w:firstLine="0"/>
        <w:rPr>
          <w:rFonts w:ascii="Times New Roman" w:hAnsi="Times New Roman"/>
          <w:b/>
        </w:rPr>
      </w:pPr>
    </w:p>
    <w:p w14:paraId="7E0EA240" w14:textId="77777777" w:rsidR="001F2938" w:rsidRPr="001F2938" w:rsidRDefault="00EA018D" w:rsidP="001F2938">
      <w:pPr>
        <w:pStyle w:val="Level1"/>
        <w:tabs>
          <w:tab w:val="left" w:pos="-1440"/>
        </w:tabs>
        <w:ind w:left="0" w:firstLine="0"/>
        <w:rPr>
          <w:rFonts w:ascii="Times New Roman" w:hAnsi="Times New Roman"/>
          <w:b/>
        </w:rPr>
      </w:pPr>
      <w:r w:rsidRPr="001F2938">
        <w:rPr>
          <w:rFonts w:ascii="Times New Roman" w:hAnsi="Times New Roman"/>
          <w:b/>
        </w:rPr>
        <w:lastRenderedPageBreak/>
        <w:t>Distributors</w:t>
      </w:r>
      <w:r w:rsidR="001912A4">
        <w:rPr>
          <w:rFonts w:ascii="Times New Roman" w:hAnsi="Times New Roman"/>
          <w:b/>
        </w:rPr>
        <w:t xml:space="preserve"> and Applicators</w:t>
      </w:r>
    </w:p>
    <w:p w14:paraId="12736E9C" w14:textId="77777777" w:rsidR="001F2938" w:rsidRPr="001F2938" w:rsidRDefault="00EA018D"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Annually: the total amount an</w:t>
      </w:r>
      <w:r w:rsidR="001912A4">
        <w:rPr>
          <w:rFonts w:ascii="Times New Roman" w:hAnsi="Times New Roman"/>
        </w:rPr>
        <w:t>d type of methyl bromide purchased</w:t>
      </w:r>
      <w:r w:rsidRPr="001F2938">
        <w:rPr>
          <w:rFonts w:ascii="Times New Roman" w:hAnsi="Times New Roman"/>
        </w:rPr>
        <w:t>;</w:t>
      </w:r>
    </w:p>
    <w:p w14:paraId="716705CD" w14:textId="77777777" w:rsidR="001F2938" w:rsidRPr="001F2938" w:rsidRDefault="0050601D"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Annually: the total amount and type of methyl bromide so</w:t>
      </w:r>
      <w:r w:rsidR="001912A4">
        <w:rPr>
          <w:rFonts w:ascii="Times New Roman" w:hAnsi="Times New Roman"/>
        </w:rPr>
        <w:t>ld directly to critical uses</w:t>
      </w:r>
      <w:r w:rsidRPr="001F2938">
        <w:rPr>
          <w:rFonts w:ascii="Times New Roman" w:hAnsi="Times New Roman"/>
        </w:rPr>
        <w:t xml:space="preserve">; </w:t>
      </w:r>
    </w:p>
    <w:p w14:paraId="18566CFB" w14:textId="77777777" w:rsidR="001F2938" w:rsidRPr="001F2938" w:rsidRDefault="00EA018D"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 xml:space="preserve">Annually: the total amount </w:t>
      </w:r>
      <w:r w:rsidR="0050601D" w:rsidRPr="001F2938">
        <w:rPr>
          <w:rFonts w:ascii="Times New Roman" w:hAnsi="Times New Roman"/>
        </w:rPr>
        <w:t>a</w:t>
      </w:r>
      <w:r w:rsidRPr="001F2938">
        <w:rPr>
          <w:rFonts w:ascii="Times New Roman" w:hAnsi="Times New Roman"/>
        </w:rPr>
        <w:t xml:space="preserve">nd type </w:t>
      </w:r>
      <w:r w:rsidR="0050601D" w:rsidRPr="001F2938">
        <w:rPr>
          <w:rFonts w:ascii="Times New Roman" w:hAnsi="Times New Roman"/>
        </w:rPr>
        <w:t xml:space="preserve">of critical use methyl bromide </w:t>
      </w:r>
      <w:r w:rsidRPr="001F2938">
        <w:rPr>
          <w:rFonts w:ascii="Times New Roman" w:hAnsi="Times New Roman"/>
        </w:rPr>
        <w:t>held in inventory for themselves o</w:t>
      </w:r>
      <w:r w:rsidR="001912A4">
        <w:rPr>
          <w:rFonts w:ascii="Times New Roman" w:hAnsi="Times New Roman"/>
        </w:rPr>
        <w:t>r on behalf of a third party</w:t>
      </w:r>
      <w:r w:rsidRPr="001F2938">
        <w:rPr>
          <w:rFonts w:ascii="Times New Roman" w:hAnsi="Times New Roman"/>
        </w:rPr>
        <w:t>;</w:t>
      </w:r>
    </w:p>
    <w:p w14:paraId="469F950D" w14:textId="77777777" w:rsidR="001F2938" w:rsidRPr="001F2938" w:rsidRDefault="0062616C" w:rsidP="001F2938">
      <w:pPr>
        <w:pStyle w:val="Level1"/>
        <w:numPr>
          <w:ilvl w:val="0"/>
          <w:numId w:val="4"/>
        </w:numPr>
        <w:tabs>
          <w:tab w:val="clear" w:pos="288"/>
          <w:tab w:val="left" w:pos="-1440"/>
          <w:tab w:val="num" w:pos="720"/>
        </w:tabs>
        <w:ind w:left="720"/>
        <w:rPr>
          <w:rFonts w:ascii="Times New Roman" w:hAnsi="Times New Roman"/>
        </w:rPr>
      </w:pPr>
      <w:r w:rsidRPr="001F2938">
        <w:rPr>
          <w:rFonts w:ascii="Times New Roman" w:hAnsi="Times New Roman"/>
        </w:rPr>
        <w:t>Annually: the total amount of methyl bromide that was produced/imported prior to January 1, 2005, that is held in inventory for themselves o</w:t>
      </w:r>
      <w:r w:rsidR="001912A4">
        <w:rPr>
          <w:rFonts w:ascii="Times New Roman" w:hAnsi="Times New Roman"/>
        </w:rPr>
        <w:t>r on behalf of a third party</w:t>
      </w:r>
      <w:r w:rsidRPr="001F2938">
        <w:rPr>
          <w:rFonts w:ascii="Times New Roman" w:hAnsi="Times New Roman"/>
        </w:rPr>
        <w:t>;</w:t>
      </w:r>
    </w:p>
    <w:p w14:paraId="7325F294" w14:textId="410664D8" w:rsidR="00683ED3" w:rsidRPr="001F2938" w:rsidRDefault="00683ED3" w:rsidP="006D3FB5">
      <w:pPr>
        <w:pStyle w:val="Level1"/>
        <w:numPr>
          <w:ilvl w:val="0"/>
          <w:numId w:val="4"/>
        </w:numPr>
        <w:tabs>
          <w:tab w:val="clear" w:pos="288"/>
          <w:tab w:val="left" w:pos="-1440"/>
          <w:tab w:val="num" w:pos="720"/>
        </w:tabs>
        <w:ind w:left="720"/>
        <w:rPr>
          <w:rFonts w:ascii="Times New Roman" w:hAnsi="Times New Roman"/>
          <w:b/>
        </w:rPr>
      </w:pPr>
      <w:r w:rsidRPr="001F2938">
        <w:rPr>
          <w:rFonts w:ascii="Times New Roman" w:hAnsi="Times New Roman"/>
        </w:rPr>
        <w:t xml:space="preserve">Periodically, </w:t>
      </w:r>
      <w:r>
        <w:rPr>
          <w:rFonts w:ascii="Times New Roman" w:hAnsi="Times New Roman"/>
        </w:rPr>
        <w:t>(</w:t>
      </w:r>
      <w:r w:rsidRPr="001F2938">
        <w:rPr>
          <w:rFonts w:ascii="Times New Roman" w:hAnsi="Times New Roman"/>
        </w:rPr>
        <w:t xml:space="preserve">likely less than </w:t>
      </w:r>
      <w:r>
        <w:rPr>
          <w:rFonts w:ascii="Times New Roman" w:hAnsi="Times New Roman"/>
        </w:rPr>
        <w:t>annually)</w:t>
      </w:r>
      <w:r w:rsidRPr="001F2938">
        <w:rPr>
          <w:rFonts w:ascii="Times New Roman" w:hAnsi="Times New Roman"/>
        </w:rPr>
        <w:t xml:space="preserve">: information that the Administrator may reasonably require in carrying out the critical use exemption program under Section 604(d)(6) of the Clean Air Act including </w:t>
      </w:r>
      <w:r>
        <w:rPr>
          <w:rFonts w:ascii="Times New Roman" w:hAnsi="Times New Roman"/>
        </w:rPr>
        <w:t>management and composition of pre-phaseout inventory</w:t>
      </w:r>
      <w:r w:rsidRPr="001F2938">
        <w:rPr>
          <w:rFonts w:ascii="Times New Roman" w:hAnsi="Times New Roman"/>
        </w:rPr>
        <w:t xml:space="preserve">, </w:t>
      </w:r>
      <w:r>
        <w:rPr>
          <w:rFonts w:ascii="Times New Roman" w:hAnsi="Times New Roman"/>
        </w:rPr>
        <w:t xml:space="preserve">price </w:t>
      </w:r>
      <w:r w:rsidRPr="001F2938">
        <w:rPr>
          <w:rFonts w:ascii="Times New Roman" w:hAnsi="Times New Roman"/>
        </w:rPr>
        <w:t xml:space="preserve">of methyl bromide and its alternatives, </w:t>
      </w:r>
      <w:r>
        <w:rPr>
          <w:rFonts w:ascii="Times New Roman" w:hAnsi="Times New Roman"/>
        </w:rPr>
        <w:t xml:space="preserve">and </w:t>
      </w:r>
      <w:r w:rsidRPr="001F2938">
        <w:rPr>
          <w:rFonts w:ascii="Times New Roman" w:hAnsi="Times New Roman"/>
        </w:rPr>
        <w:t>fumigant emissio</w:t>
      </w:r>
      <w:r>
        <w:rPr>
          <w:rFonts w:ascii="Times New Roman" w:hAnsi="Times New Roman"/>
        </w:rPr>
        <w:t>ns reductions practices.</w:t>
      </w:r>
      <w:r w:rsidR="0011094A">
        <w:rPr>
          <w:rFonts w:ascii="Times New Roman" w:hAnsi="Times New Roman"/>
        </w:rPr>
        <w:t xml:space="preserve"> </w:t>
      </w:r>
      <w:r w:rsidRPr="001F2938">
        <w:rPr>
          <w:rFonts w:ascii="Times New Roman" w:hAnsi="Times New Roman"/>
        </w:rPr>
        <w:t>EPA may also use the information gathering authority under Section 114 of the Clean Air Act to ensure compliance with existing regulations under the critical use exemption program.</w:t>
      </w:r>
      <w:r w:rsidR="0011094A">
        <w:rPr>
          <w:rFonts w:ascii="Times New Roman" w:hAnsi="Times New Roman"/>
        </w:rPr>
        <w:t xml:space="preserve"> </w:t>
      </w:r>
    </w:p>
    <w:p w14:paraId="11D81653" w14:textId="77777777" w:rsidR="00811A56" w:rsidRPr="001F2938" w:rsidRDefault="00811A56">
      <w:pPr>
        <w:rPr>
          <w:rFonts w:ascii="Times New Roman" w:hAnsi="Times New Roman"/>
        </w:rPr>
      </w:pPr>
    </w:p>
    <w:p w14:paraId="29DD19B0" w14:textId="134C9D43" w:rsidR="00EA018D" w:rsidRPr="001F2938" w:rsidRDefault="00862C5B">
      <w:pPr>
        <w:rPr>
          <w:rFonts w:ascii="Times New Roman" w:hAnsi="Times New Roman"/>
        </w:rPr>
      </w:pPr>
      <w:r w:rsidRPr="001F2938">
        <w:rPr>
          <w:rFonts w:ascii="Times New Roman" w:hAnsi="Times New Roman"/>
        </w:rPr>
        <w:t>(iii</w:t>
      </w:r>
      <w:r w:rsidR="00EA018D" w:rsidRPr="001F2938">
        <w:rPr>
          <w:rFonts w:ascii="Times New Roman" w:hAnsi="Times New Roman"/>
        </w:rPr>
        <w:t>)</w:t>
      </w:r>
      <w:r w:rsidR="0011094A">
        <w:rPr>
          <w:rFonts w:ascii="Times New Roman" w:hAnsi="Times New Roman"/>
        </w:rPr>
        <w:t xml:space="preserve"> </w:t>
      </w:r>
      <w:r w:rsidR="00EA018D" w:rsidRPr="001F2938">
        <w:rPr>
          <w:rFonts w:ascii="Times New Roman" w:hAnsi="Times New Roman"/>
        </w:rPr>
        <w:t>Recordkeeping</w:t>
      </w:r>
    </w:p>
    <w:p w14:paraId="222F3CDF" w14:textId="77777777" w:rsidR="00EA018D" w:rsidRPr="001F2938" w:rsidRDefault="00EA018D">
      <w:pPr>
        <w:rPr>
          <w:rFonts w:ascii="Times New Roman" w:hAnsi="Times New Roman"/>
        </w:rPr>
      </w:pPr>
    </w:p>
    <w:p w14:paraId="093EF8E1" w14:textId="77777777" w:rsidR="00CB0B4C" w:rsidRDefault="00CB0B4C" w:rsidP="001F2938">
      <w:pPr>
        <w:pStyle w:val="Level1"/>
        <w:tabs>
          <w:tab w:val="left" w:pos="-1440"/>
        </w:tabs>
        <w:ind w:left="0" w:firstLine="0"/>
        <w:rPr>
          <w:rFonts w:ascii="Times New Roman" w:hAnsi="Times New Roman"/>
          <w:b/>
        </w:rPr>
      </w:pPr>
      <w:r>
        <w:rPr>
          <w:rFonts w:ascii="Times New Roman" w:hAnsi="Times New Roman"/>
          <w:b/>
        </w:rPr>
        <w:t>EPA is requiring the following record</w:t>
      </w:r>
      <w:r w:rsidR="004B404C">
        <w:rPr>
          <w:rFonts w:ascii="Times New Roman" w:hAnsi="Times New Roman"/>
          <w:b/>
        </w:rPr>
        <w:t>s are kept for three years.</w:t>
      </w:r>
    </w:p>
    <w:p w14:paraId="4FDE7640" w14:textId="77777777" w:rsidR="001F2938" w:rsidRPr="001F2938" w:rsidRDefault="00EA018D" w:rsidP="001F2938">
      <w:pPr>
        <w:pStyle w:val="Level1"/>
        <w:tabs>
          <w:tab w:val="left" w:pos="-1440"/>
        </w:tabs>
        <w:ind w:left="0" w:firstLine="0"/>
        <w:rPr>
          <w:rFonts w:ascii="Times New Roman" w:hAnsi="Times New Roman"/>
          <w:b/>
        </w:rPr>
      </w:pPr>
      <w:r w:rsidRPr="001F2938">
        <w:rPr>
          <w:rFonts w:ascii="Times New Roman" w:hAnsi="Times New Roman"/>
          <w:b/>
        </w:rPr>
        <w:t>Produce</w:t>
      </w:r>
      <w:r w:rsidR="001F2938" w:rsidRPr="001F2938">
        <w:rPr>
          <w:rFonts w:ascii="Times New Roman" w:hAnsi="Times New Roman"/>
          <w:b/>
        </w:rPr>
        <w:t xml:space="preserve">rs, </w:t>
      </w:r>
      <w:r w:rsidRPr="001F2938">
        <w:rPr>
          <w:rFonts w:ascii="Times New Roman" w:hAnsi="Times New Roman"/>
          <w:b/>
        </w:rPr>
        <w:t>importers</w:t>
      </w:r>
      <w:r w:rsidR="001F2938" w:rsidRPr="001F2938">
        <w:rPr>
          <w:rFonts w:ascii="Times New Roman" w:hAnsi="Times New Roman"/>
          <w:b/>
        </w:rPr>
        <w:t>, and exporters</w:t>
      </w:r>
    </w:p>
    <w:p w14:paraId="246B5D07" w14:textId="77777777" w:rsidR="001F2938" w:rsidRPr="001F2938" w:rsidRDefault="00A938BF" w:rsidP="001F2938">
      <w:pPr>
        <w:pStyle w:val="Level1"/>
        <w:numPr>
          <w:ilvl w:val="0"/>
          <w:numId w:val="8"/>
        </w:numPr>
        <w:tabs>
          <w:tab w:val="clear" w:pos="288"/>
          <w:tab w:val="left" w:pos="-1440"/>
          <w:tab w:val="num" w:pos="720"/>
        </w:tabs>
        <w:ind w:left="720"/>
        <w:rPr>
          <w:rFonts w:ascii="Times New Roman" w:hAnsi="Times New Roman"/>
        </w:rPr>
      </w:pPr>
      <w:r>
        <w:rPr>
          <w:rFonts w:ascii="Times New Roman" w:hAnsi="Times New Roman"/>
        </w:rPr>
        <w:t>Self-</w:t>
      </w:r>
      <w:r w:rsidR="00EA018D" w:rsidRPr="001F2938">
        <w:rPr>
          <w:rFonts w:ascii="Times New Roman" w:hAnsi="Times New Roman"/>
        </w:rPr>
        <w:t>certification form for each sale that indicates the buyer will only sell</w:t>
      </w:r>
      <w:r w:rsidR="004B404C">
        <w:rPr>
          <w:rFonts w:ascii="Times New Roman" w:hAnsi="Times New Roman"/>
        </w:rPr>
        <w:t xml:space="preserve"> or </w:t>
      </w:r>
      <w:r w:rsidR="00EA018D" w:rsidRPr="001F2938">
        <w:rPr>
          <w:rFonts w:ascii="Times New Roman" w:hAnsi="Times New Roman"/>
        </w:rPr>
        <w:t>use methyl bromide for approved critical uses;</w:t>
      </w:r>
    </w:p>
    <w:p w14:paraId="45DC9EF9" w14:textId="77777777" w:rsidR="001F2938" w:rsidRPr="001F2938" w:rsidRDefault="00EA018D" w:rsidP="001F2938">
      <w:pPr>
        <w:pStyle w:val="Level1"/>
        <w:numPr>
          <w:ilvl w:val="0"/>
          <w:numId w:val="8"/>
        </w:numPr>
        <w:tabs>
          <w:tab w:val="clear" w:pos="288"/>
          <w:tab w:val="left" w:pos="-1440"/>
          <w:tab w:val="num" w:pos="720"/>
        </w:tabs>
        <w:ind w:left="720"/>
        <w:rPr>
          <w:rFonts w:ascii="Times New Roman" w:hAnsi="Times New Roman"/>
        </w:rPr>
      </w:pPr>
      <w:r w:rsidRPr="001F2938">
        <w:rPr>
          <w:rFonts w:ascii="Times New Roman" w:hAnsi="Times New Roman"/>
        </w:rPr>
        <w:t xml:space="preserve">Order forms </w:t>
      </w:r>
      <w:r w:rsidR="00A938BF">
        <w:rPr>
          <w:rFonts w:ascii="Times New Roman" w:hAnsi="Times New Roman"/>
        </w:rPr>
        <w:t>and invoices for methyl bromide.</w:t>
      </w:r>
    </w:p>
    <w:p w14:paraId="3BCB9099" w14:textId="77777777" w:rsidR="000E7D79" w:rsidRPr="001F2938" w:rsidRDefault="000E7D79">
      <w:pPr>
        <w:rPr>
          <w:rFonts w:ascii="Times New Roman" w:hAnsi="Times New Roman"/>
        </w:rPr>
      </w:pPr>
    </w:p>
    <w:p w14:paraId="0B7704C4" w14:textId="77777777" w:rsidR="001F2938" w:rsidRPr="001F2938" w:rsidRDefault="00EA018D" w:rsidP="001F2938">
      <w:pPr>
        <w:pStyle w:val="Level1"/>
        <w:tabs>
          <w:tab w:val="left" w:pos="-1440"/>
        </w:tabs>
        <w:ind w:left="0" w:firstLine="0"/>
        <w:rPr>
          <w:rFonts w:ascii="Times New Roman" w:hAnsi="Times New Roman"/>
          <w:b/>
        </w:rPr>
      </w:pPr>
      <w:r w:rsidRPr="001F2938">
        <w:rPr>
          <w:rFonts w:ascii="Times New Roman" w:hAnsi="Times New Roman"/>
          <w:b/>
        </w:rPr>
        <w:t>Distributors</w:t>
      </w:r>
      <w:r w:rsidR="001912A4">
        <w:rPr>
          <w:rFonts w:ascii="Times New Roman" w:hAnsi="Times New Roman"/>
          <w:b/>
        </w:rPr>
        <w:t xml:space="preserve"> and Applicators</w:t>
      </w:r>
    </w:p>
    <w:p w14:paraId="6FFE9C1B" w14:textId="77777777" w:rsidR="001F2938" w:rsidRPr="001F2938" w:rsidRDefault="00A938BF" w:rsidP="001F2938">
      <w:pPr>
        <w:pStyle w:val="Level1"/>
        <w:numPr>
          <w:ilvl w:val="0"/>
          <w:numId w:val="7"/>
        </w:numPr>
        <w:tabs>
          <w:tab w:val="clear" w:pos="288"/>
          <w:tab w:val="left" w:pos="-1440"/>
          <w:tab w:val="num" w:pos="720"/>
        </w:tabs>
        <w:ind w:left="720"/>
        <w:rPr>
          <w:rFonts w:ascii="Times New Roman" w:hAnsi="Times New Roman"/>
        </w:rPr>
      </w:pPr>
      <w:r>
        <w:rPr>
          <w:rFonts w:ascii="Times New Roman" w:hAnsi="Times New Roman"/>
        </w:rPr>
        <w:t>Self-</w:t>
      </w:r>
      <w:r w:rsidR="00EA018D" w:rsidRPr="001F2938">
        <w:rPr>
          <w:rFonts w:ascii="Times New Roman" w:hAnsi="Times New Roman"/>
        </w:rPr>
        <w:t>certification form for each sale that indicates the buyer will only sell/use the methyl bromide for approved critical uses;</w:t>
      </w:r>
    </w:p>
    <w:p w14:paraId="15B7ADE6" w14:textId="77777777" w:rsidR="001F2938" w:rsidRPr="001F2938" w:rsidRDefault="00EA018D" w:rsidP="001F2938">
      <w:pPr>
        <w:pStyle w:val="Level1"/>
        <w:numPr>
          <w:ilvl w:val="0"/>
          <w:numId w:val="7"/>
        </w:numPr>
        <w:tabs>
          <w:tab w:val="clear" w:pos="288"/>
          <w:tab w:val="left" w:pos="-1440"/>
          <w:tab w:val="num" w:pos="720"/>
        </w:tabs>
        <w:ind w:left="720"/>
        <w:rPr>
          <w:rFonts w:ascii="Times New Roman" w:hAnsi="Times New Roman"/>
        </w:rPr>
      </w:pPr>
      <w:r w:rsidRPr="001F2938">
        <w:rPr>
          <w:rFonts w:ascii="Times New Roman" w:hAnsi="Times New Roman"/>
        </w:rPr>
        <w:t xml:space="preserve">Order forms </w:t>
      </w:r>
      <w:r w:rsidR="00A938BF">
        <w:rPr>
          <w:rFonts w:ascii="Times New Roman" w:hAnsi="Times New Roman"/>
        </w:rPr>
        <w:t>and invoices for methyl bromide.</w:t>
      </w:r>
    </w:p>
    <w:p w14:paraId="42970E39" w14:textId="77777777" w:rsidR="00EA018D" w:rsidRPr="00877602" w:rsidRDefault="00EA018D">
      <w:pPr>
        <w:rPr>
          <w:rFonts w:ascii="Times New Roman" w:hAnsi="Times New Roman"/>
        </w:rPr>
      </w:pPr>
    </w:p>
    <w:p w14:paraId="380966FE" w14:textId="77777777" w:rsidR="00EA018D" w:rsidRPr="00877602" w:rsidRDefault="00EA018D">
      <w:pPr>
        <w:tabs>
          <w:tab w:val="left" w:pos="-1440"/>
        </w:tabs>
        <w:ind w:left="720" w:hanging="720"/>
        <w:rPr>
          <w:rFonts w:ascii="Times New Roman" w:hAnsi="Times New Roman"/>
        </w:rPr>
      </w:pPr>
      <w:r w:rsidRPr="00877602">
        <w:rPr>
          <w:rFonts w:ascii="Times New Roman" w:hAnsi="Times New Roman"/>
        </w:rPr>
        <w:t>5.</w:t>
      </w:r>
      <w:r w:rsidRPr="00877602">
        <w:rPr>
          <w:rFonts w:ascii="Times New Roman" w:hAnsi="Times New Roman"/>
        </w:rPr>
        <w:tab/>
      </w:r>
      <w:r w:rsidRPr="00877602">
        <w:rPr>
          <w:rFonts w:ascii="Times New Roman" w:hAnsi="Times New Roman"/>
          <w:u w:val="single"/>
        </w:rPr>
        <w:t>The Information Collected, Agency Activities, Collection Methodology, and Information Management</w:t>
      </w:r>
    </w:p>
    <w:p w14:paraId="5BC0E049" w14:textId="77777777" w:rsidR="00EA018D" w:rsidRPr="00877602" w:rsidRDefault="00EA018D">
      <w:pPr>
        <w:rPr>
          <w:rFonts w:ascii="Times New Roman" w:hAnsi="Times New Roman"/>
        </w:rPr>
      </w:pPr>
    </w:p>
    <w:p w14:paraId="11692B56" w14:textId="77777777" w:rsidR="00EA018D" w:rsidRDefault="00EA018D">
      <w:pPr>
        <w:rPr>
          <w:rFonts w:ascii="Times New Roman" w:hAnsi="Times New Roman"/>
        </w:rPr>
      </w:pPr>
      <w:r w:rsidRPr="00877602">
        <w:rPr>
          <w:rFonts w:ascii="Times New Roman" w:hAnsi="Times New Roman"/>
        </w:rPr>
        <w:t>a)</w:t>
      </w:r>
      <w:r w:rsidRPr="00877602">
        <w:rPr>
          <w:rFonts w:ascii="Times New Roman" w:hAnsi="Times New Roman"/>
        </w:rPr>
        <w:tab/>
        <w:t>Agency Activities</w:t>
      </w:r>
    </w:p>
    <w:p w14:paraId="0AB03B6B" w14:textId="77777777" w:rsidR="00724FB7" w:rsidRDefault="00724FB7">
      <w:pPr>
        <w:rPr>
          <w:rFonts w:ascii="Times New Roman" w:hAnsi="Times New Roman"/>
        </w:rPr>
      </w:pPr>
    </w:p>
    <w:p w14:paraId="25E41BB0" w14:textId="77777777" w:rsidR="00724FB7" w:rsidRDefault="00724FB7">
      <w:pPr>
        <w:rPr>
          <w:rFonts w:ascii="Times New Roman" w:hAnsi="Times New Roman"/>
        </w:rPr>
      </w:pPr>
      <w:r>
        <w:rPr>
          <w:rFonts w:ascii="Times New Roman" w:hAnsi="Times New Roman"/>
        </w:rPr>
        <w:t>(i)</w:t>
      </w:r>
      <w:r>
        <w:rPr>
          <w:rFonts w:ascii="Times New Roman" w:hAnsi="Times New Roman"/>
        </w:rPr>
        <w:tab/>
        <w:t>Applications</w:t>
      </w:r>
    </w:p>
    <w:p w14:paraId="3B070209" w14:textId="77777777" w:rsidR="00724FB7" w:rsidRDefault="00724FB7" w:rsidP="00724FB7">
      <w:pPr>
        <w:rPr>
          <w:rFonts w:ascii="Times New Roman" w:hAnsi="Times New Roman"/>
        </w:rPr>
      </w:pPr>
    </w:p>
    <w:p w14:paraId="16E5D79B" w14:textId="5B64ACE2" w:rsidR="00724FB7" w:rsidRPr="00724FB7" w:rsidRDefault="00724FB7" w:rsidP="00724FB7">
      <w:pPr>
        <w:rPr>
          <w:rFonts w:ascii="Times New Roman" w:hAnsi="Times New Roman"/>
        </w:rPr>
      </w:pPr>
      <w:r>
        <w:rPr>
          <w:rFonts w:ascii="Times New Roman" w:hAnsi="Times New Roman"/>
        </w:rPr>
        <w:tab/>
        <w:t>Submitted critical use exemption a</w:t>
      </w:r>
      <w:r w:rsidRPr="00724FB7">
        <w:rPr>
          <w:rFonts w:ascii="Times New Roman" w:hAnsi="Times New Roman"/>
        </w:rPr>
        <w:t xml:space="preserve">pplications </w:t>
      </w:r>
      <w:r>
        <w:rPr>
          <w:rFonts w:ascii="Times New Roman" w:hAnsi="Times New Roman"/>
        </w:rPr>
        <w:t>are</w:t>
      </w:r>
      <w:r w:rsidRPr="00724FB7">
        <w:rPr>
          <w:rFonts w:ascii="Times New Roman" w:hAnsi="Times New Roman"/>
        </w:rPr>
        <w:t xml:space="preserve"> receiv</w:t>
      </w:r>
      <w:r>
        <w:rPr>
          <w:rFonts w:ascii="Times New Roman" w:hAnsi="Times New Roman"/>
        </w:rPr>
        <w:t>ed by the Stratospheric Program</w:t>
      </w:r>
      <w:r w:rsidRPr="00724FB7">
        <w:rPr>
          <w:rFonts w:ascii="Times New Roman" w:hAnsi="Times New Roman"/>
        </w:rPr>
        <w:t xml:space="preserve"> Implementation Branch (SPIB), of the Stratospheric Protection Division (SPD) of the Office of Atmospheric Programs (OAP).</w:t>
      </w:r>
      <w:r w:rsidR="0011094A">
        <w:rPr>
          <w:rFonts w:ascii="Times New Roman" w:hAnsi="Times New Roman"/>
        </w:rPr>
        <w:t xml:space="preserve"> </w:t>
      </w:r>
      <w:r w:rsidRPr="00724FB7">
        <w:rPr>
          <w:rFonts w:ascii="Times New Roman" w:hAnsi="Times New Roman"/>
        </w:rPr>
        <w:t>The Biological and Economic Assessment Division (BEAD) of the Office of Pesticide Programs</w:t>
      </w:r>
      <w:r>
        <w:rPr>
          <w:rFonts w:ascii="Times New Roman" w:hAnsi="Times New Roman"/>
        </w:rPr>
        <w:t xml:space="preserve"> (OPP) conducts a technical review of the applications</w:t>
      </w:r>
      <w:r w:rsidRPr="00724FB7">
        <w:rPr>
          <w:rFonts w:ascii="Times New Roman" w:hAnsi="Times New Roman"/>
        </w:rPr>
        <w:t>.</w:t>
      </w:r>
      <w:r w:rsidR="0011094A">
        <w:rPr>
          <w:rFonts w:ascii="Times New Roman" w:hAnsi="Times New Roman"/>
        </w:rPr>
        <w:t xml:space="preserve"> </w:t>
      </w:r>
      <w:r>
        <w:rPr>
          <w:rFonts w:ascii="Times New Roman" w:hAnsi="Times New Roman"/>
        </w:rPr>
        <w:t>B</w:t>
      </w:r>
      <w:r w:rsidRPr="00724FB7">
        <w:rPr>
          <w:rFonts w:ascii="Times New Roman" w:hAnsi="Times New Roman"/>
        </w:rPr>
        <w:t xml:space="preserve">oth a biologist and an economist </w:t>
      </w:r>
      <w:r>
        <w:rPr>
          <w:rFonts w:ascii="Times New Roman" w:hAnsi="Times New Roman"/>
        </w:rPr>
        <w:t xml:space="preserve">review each </w:t>
      </w:r>
      <w:r w:rsidRPr="00724FB7">
        <w:rPr>
          <w:rFonts w:ascii="Times New Roman" w:hAnsi="Times New Roman"/>
        </w:rPr>
        <w:t>application, and the applications are grouped according to agricultural sector.</w:t>
      </w:r>
      <w:r w:rsidR="0011094A">
        <w:rPr>
          <w:rFonts w:ascii="Times New Roman" w:hAnsi="Times New Roman"/>
        </w:rPr>
        <w:t xml:space="preserve"> </w:t>
      </w:r>
      <w:r w:rsidRPr="00724FB7">
        <w:rPr>
          <w:rFonts w:ascii="Times New Roman" w:hAnsi="Times New Roman"/>
        </w:rPr>
        <w:t>Specifically, the review determines whether or not there is sufficient information to support the contention that “no technically or economically feasible alternatives exist” for the specified methyl bromide use. The review also determines if a lack of methyl bromide availability would cause a significant market disruption.</w:t>
      </w:r>
      <w:r w:rsidR="0011094A">
        <w:rPr>
          <w:rFonts w:ascii="Times New Roman" w:hAnsi="Times New Roman"/>
        </w:rPr>
        <w:t xml:space="preserve"> </w:t>
      </w:r>
      <w:r w:rsidRPr="00724FB7">
        <w:rPr>
          <w:rFonts w:ascii="Times New Roman" w:hAnsi="Times New Roman"/>
        </w:rPr>
        <w:t>These requirements for critical use exemptions were agreed to by the Parties to the Protocol at their Seventh Meeting, and are delineated in Decision IX/6, as well as Section 604(d) of the Clean Air Act (CAA).</w:t>
      </w:r>
      <w:r w:rsidR="0011094A">
        <w:rPr>
          <w:rFonts w:ascii="Times New Roman" w:hAnsi="Times New Roman"/>
        </w:rPr>
        <w:t xml:space="preserve"> </w:t>
      </w:r>
      <w:r>
        <w:rPr>
          <w:rFonts w:ascii="Times New Roman" w:hAnsi="Times New Roman"/>
        </w:rPr>
        <w:t xml:space="preserve">This review may require </w:t>
      </w:r>
      <w:r w:rsidRPr="00724FB7">
        <w:rPr>
          <w:rFonts w:ascii="Times New Roman" w:hAnsi="Times New Roman"/>
        </w:rPr>
        <w:t>additional c</w:t>
      </w:r>
      <w:r>
        <w:rPr>
          <w:rFonts w:ascii="Times New Roman" w:hAnsi="Times New Roman"/>
        </w:rPr>
        <w:t xml:space="preserve">onsultation with </w:t>
      </w:r>
      <w:r>
        <w:rPr>
          <w:rFonts w:ascii="Times New Roman" w:hAnsi="Times New Roman"/>
        </w:rPr>
        <w:lastRenderedPageBreak/>
        <w:t>the applicant</w:t>
      </w:r>
      <w:r w:rsidRPr="00724FB7">
        <w:rPr>
          <w:rFonts w:ascii="Times New Roman" w:hAnsi="Times New Roman"/>
        </w:rPr>
        <w:t>s if further clarification is needed</w:t>
      </w:r>
      <w:r>
        <w:rPr>
          <w:rFonts w:ascii="Times New Roman" w:hAnsi="Times New Roman"/>
        </w:rPr>
        <w:t>.</w:t>
      </w:r>
    </w:p>
    <w:p w14:paraId="0A8D21F7" w14:textId="536BB572" w:rsidR="00724FB7" w:rsidRPr="00724FB7" w:rsidRDefault="00724FB7" w:rsidP="00724FB7">
      <w:pPr>
        <w:rPr>
          <w:rFonts w:ascii="Times New Roman" w:hAnsi="Times New Roman"/>
        </w:rPr>
      </w:pPr>
      <w:r>
        <w:rPr>
          <w:rFonts w:ascii="Times New Roman" w:hAnsi="Times New Roman"/>
        </w:rPr>
        <w:tab/>
      </w:r>
      <w:r w:rsidRPr="00724FB7">
        <w:rPr>
          <w:rFonts w:ascii="Times New Roman" w:hAnsi="Times New Roman"/>
        </w:rPr>
        <w:t xml:space="preserve">EPA, in consultation with the </w:t>
      </w:r>
      <w:r>
        <w:rPr>
          <w:rFonts w:ascii="Times New Roman" w:hAnsi="Times New Roman"/>
        </w:rPr>
        <w:t xml:space="preserve">U.S. Department </w:t>
      </w:r>
      <w:r w:rsidRPr="00724FB7">
        <w:rPr>
          <w:rFonts w:ascii="Times New Roman" w:hAnsi="Times New Roman"/>
        </w:rPr>
        <w:t>of Agriculture and the Department of State, compile</w:t>
      </w:r>
      <w:r>
        <w:rPr>
          <w:rFonts w:ascii="Times New Roman" w:hAnsi="Times New Roman"/>
        </w:rPr>
        <w:t>s</w:t>
      </w:r>
      <w:r w:rsidRPr="00724FB7">
        <w:rPr>
          <w:rFonts w:ascii="Times New Roman" w:hAnsi="Times New Roman"/>
        </w:rPr>
        <w:t xml:space="preserve"> a nomination package containing all </w:t>
      </w:r>
      <w:r w:rsidR="00A938BF">
        <w:rPr>
          <w:rFonts w:ascii="Times New Roman" w:hAnsi="Times New Roman"/>
        </w:rPr>
        <w:t xml:space="preserve">the critical </w:t>
      </w:r>
      <w:r w:rsidRPr="00724FB7">
        <w:rPr>
          <w:rFonts w:ascii="Times New Roman" w:hAnsi="Times New Roman"/>
        </w:rPr>
        <w:t>uses to be nominated by the U.S.</w:t>
      </w:r>
      <w:r w:rsidR="0011094A">
        <w:rPr>
          <w:rFonts w:ascii="Times New Roman" w:hAnsi="Times New Roman"/>
        </w:rPr>
        <w:t xml:space="preserve"> </w:t>
      </w:r>
      <w:r w:rsidRPr="00724FB7">
        <w:rPr>
          <w:rFonts w:ascii="Times New Roman" w:hAnsi="Times New Roman"/>
        </w:rPr>
        <w:t xml:space="preserve">This package </w:t>
      </w:r>
      <w:r>
        <w:rPr>
          <w:rFonts w:ascii="Times New Roman" w:hAnsi="Times New Roman"/>
        </w:rPr>
        <w:t>is</w:t>
      </w:r>
      <w:r w:rsidRPr="00724FB7">
        <w:rPr>
          <w:rFonts w:ascii="Times New Roman" w:hAnsi="Times New Roman"/>
        </w:rPr>
        <w:t xml:space="preserve"> submitted to the Ozone Secretariat of the Protocol, reviewed by MBTOC and TEAP, and later authorized by the Pa</w:t>
      </w:r>
      <w:r w:rsidR="006B68E7">
        <w:rPr>
          <w:rFonts w:ascii="Times New Roman" w:hAnsi="Times New Roman"/>
        </w:rPr>
        <w:t>rties at their annual meeting. Typically, EPA must respond to one or two rounds of questions from MBTOC as that body conducts a technical review of the U.S. Nomination.</w:t>
      </w:r>
    </w:p>
    <w:p w14:paraId="756ED2F3" w14:textId="41160D02" w:rsidR="00E44069" w:rsidRDefault="00724FB7" w:rsidP="00724FB7">
      <w:pPr>
        <w:rPr>
          <w:rFonts w:ascii="Times New Roman" w:hAnsi="Times New Roman"/>
        </w:rPr>
      </w:pPr>
      <w:r>
        <w:rPr>
          <w:rFonts w:ascii="Times New Roman" w:hAnsi="Times New Roman"/>
        </w:rPr>
        <w:tab/>
      </w:r>
      <w:r w:rsidRPr="00724FB7">
        <w:rPr>
          <w:rFonts w:ascii="Times New Roman" w:hAnsi="Times New Roman"/>
        </w:rPr>
        <w:t xml:space="preserve">In order to complete the </w:t>
      </w:r>
      <w:r w:rsidR="002F0585">
        <w:rPr>
          <w:rFonts w:ascii="Times New Roman" w:hAnsi="Times New Roman"/>
        </w:rPr>
        <w:t xml:space="preserve">application </w:t>
      </w:r>
      <w:r w:rsidRPr="00724FB7">
        <w:rPr>
          <w:rFonts w:ascii="Times New Roman" w:hAnsi="Times New Roman"/>
        </w:rPr>
        <w:t>process, EPA:</w:t>
      </w:r>
    </w:p>
    <w:p w14:paraId="379FB3A8" w14:textId="760B36BB"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Publish</w:t>
      </w:r>
      <w:r w:rsidR="005511A4">
        <w:rPr>
          <w:rFonts w:ascii="Times New Roman" w:hAnsi="Times New Roman"/>
        </w:rPr>
        <w:t>es</w:t>
      </w:r>
      <w:r w:rsidRPr="00724FB7">
        <w:rPr>
          <w:rFonts w:ascii="Times New Roman" w:hAnsi="Times New Roman"/>
        </w:rPr>
        <w:t xml:space="preserve"> a Federal Register notice announcing the availability of applications</w:t>
      </w:r>
      <w:r w:rsidR="00A938BF">
        <w:rPr>
          <w:rFonts w:ascii="Times New Roman" w:hAnsi="Times New Roman"/>
        </w:rPr>
        <w:t>;</w:t>
      </w:r>
    </w:p>
    <w:p w14:paraId="04BC05C8" w14:textId="42273CD2"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Collect</w:t>
      </w:r>
      <w:r w:rsidR="005511A4">
        <w:rPr>
          <w:rFonts w:ascii="Times New Roman" w:hAnsi="Times New Roman"/>
        </w:rPr>
        <w:t>s</w:t>
      </w:r>
      <w:r w:rsidRPr="00724FB7">
        <w:rPr>
          <w:rFonts w:ascii="Times New Roman" w:hAnsi="Times New Roman"/>
        </w:rPr>
        <w:t>, compile</w:t>
      </w:r>
      <w:r w:rsidR="005511A4">
        <w:rPr>
          <w:rFonts w:ascii="Times New Roman" w:hAnsi="Times New Roman"/>
        </w:rPr>
        <w:t>s</w:t>
      </w:r>
      <w:r w:rsidRPr="00724FB7">
        <w:rPr>
          <w:rFonts w:ascii="Times New Roman" w:hAnsi="Times New Roman"/>
        </w:rPr>
        <w:t>, and analyze</w:t>
      </w:r>
      <w:r w:rsidR="005511A4">
        <w:rPr>
          <w:rFonts w:ascii="Times New Roman" w:hAnsi="Times New Roman"/>
        </w:rPr>
        <w:t>s</w:t>
      </w:r>
      <w:r w:rsidRPr="00724FB7">
        <w:rPr>
          <w:rFonts w:ascii="Times New Roman" w:hAnsi="Times New Roman"/>
        </w:rPr>
        <w:t xml:space="preserve"> submitted applications</w:t>
      </w:r>
      <w:r w:rsidR="00A938BF">
        <w:rPr>
          <w:rFonts w:ascii="Times New Roman" w:hAnsi="Times New Roman"/>
        </w:rPr>
        <w:t>;</w:t>
      </w:r>
    </w:p>
    <w:p w14:paraId="3C3683A7" w14:textId="39523698"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Review</w:t>
      </w:r>
      <w:r w:rsidR="005511A4">
        <w:rPr>
          <w:rFonts w:ascii="Times New Roman" w:hAnsi="Times New Roman"/>
        </w:rPr>
        <w:t>s</w:t>
      </w:r>
      <w:r w:rsidRPr="00724FB7">
        <w:rPr>
          <w:rFonts w:ascii="Times New Roman" w:hAnsi="Times New Roman"/>
        </w:rPr>
        <w:t xml:space="preserve"> applications for completeness and inform</w:t>
      </w:r>
      <w:r w:rsidR="005511A4">
        <w:rPr>
          <w:rFonts w:ascii="Times New Roman" w:hAnsi="Times New Roman"/>
        </w:rPr>
        <w:t>s</w:t>
      </w:r>
      <w:r w:rsidRPr="00724FB7">
        <w:rPr>
          <w:rFonts w:ascii="Times New Roman" w:hAnsi="Times New Roman"/>
        </w:rPr>
        <w:t xml:space="preserve"> applicants if application is not complete</w:t>
      </w:r>
      <w:r w:rsidR="00A938BF">
        <w:rPr>
          <w:rFonts w:ascii="Times New Roman" w:hAnsi="Times New Roman"/>
        </w:rPr>
        <w:t>;</w:t>
      </w:r>
    </w:p>
    <w:p w14:paraId="126567C6" w14:textId="220534DF"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Review</w:t>
      </w:r>
      <w:r w:rsidR="005511A4">
        <w:rPr>
          <w:rFonts w:ascii="Times New Roman" w:hAnsi="Times New Roman"/>
        </w:rPr>
        <w:t>s</w:t>
      </w:r>
      <w:r w:rsidRPr="00724FB7">
        <w:rPr>
          <w:rFonts w:ascii="Times New Roman" w:hAnsi="Times New Roman"/>
        </w:rPr>
        <w:t xml:space="preserve"> applications for critical need for methyl bromide (e.g., data supporting a finding that there is no technically or economically feasible alternative)</w:t>
      </w:r>
      <w:r w:rsidR="00A938BF">
        <w:rPr>
          <w:rFonts w:ascii="Times New Roman" w:hAnsi="Times New Roman"/>
        </w:rPr>
        <w:t>;</w:t>
      </w:r>
    </w:p>
    <w:p w14:paraId="574AE30E" w14:textId="3CCA05B6" w:rsidR="00724FB7" w:rsidRPr="00724FB7" w:rsidRDefault="00724FB7" w:rsidP="00160E4A">
      <w:pPr>
        <w:pStyle w:val="Level1"/>
        <w:numPr>
          <w:ilvl w:val="0"/>
          <w:numId w:val="10"/>
        </w:numPr>
        <w:tabs>
          <w:tab w:val="left" w:pos="-1440"/>
        </w:tabs>
        <w:ind w:left="720"/>
        <w:rPr>
          <w:rFonts w:ascii="Times New Roman" w:hAnsi="Times New Roman"/>
        </w:rPr>
      </w:pPr>
      <w:r w:rsidRPr="00724FB7">
        <w:rPr>
          <w:rFonts w:ascii="Times New Roman" w:hAnsi="Times New Roman"/>
        </w:rPr>
        <w:t>Compile</w:t>
      </w:r>
      <w:r w:rsidR="005511A4">
        <w:rPr>
          <w:rFonts w:ascii="Times New Roman" w:hAnsi="Times New Roman"/>
        </w:rPr>
        <w:t>s</w:t>
      </w:r>
      <w:r w:rsidRPr="00724FB7">
        <w:rPr>
          <w:rFonts w:ascii="Times New Roman" w:hAnsi="Times New Roman"/>
        </w:rPr>
        <w:t xml:space="preserve"> applications into U.S. nomination package for submission to the Ozone Secretariat</w:t>
      </w:r>
    </w:p>
    <w:p w14:paraId="6EF57EE7" w14:textId="77777777" w:rsidR="00724FB7" w:rsidRDefault="00724FB7">
      <w:pPr>
        <w:rPr>
          <w:rFonts w:ascii="Times New Roman" w:hAnsi="Times New Roman"/>
        </w:rPr>
      </w:pPr>
    </w:p>
    <w:p w14:paraId="5B12568F" w14:textId="77777777" w:rsidR="00724FB7" w:rsidRPr="00877602" w:rsidRDefault="00724FB7">
      <w:pPr>
        <w:rPr>
          <w:rFonts w:ascii="Times New Roman" w:hAnsi="Times New Roman"/>
        </w:rPr>
      </w:pPr>
      <w:r>
        <w:rPr>
          <w:rFonts w:ascii="Times New Roman" w:hAnsi="Times New Roman"/>
        </w:rPr>
        <w:t>(ii)</w:t>
      </w:r>
      <w:r>
        <w:rPr>
          <w:rFonts w:ascii="Times New Roman" w:hAnsi="Times New Roman"/>
        </w:rPr>
        <w:tab/>
        <w:t>Reported Data</w:t>
      </w:r>
    </w:p>
    <w:p w14:paraId="698F827D" w14:textId="77777777" w:rsidR="00EA018D" w:rsidRDefault="00EA018D">
      <w:pPr>
        <w:rPr>
          <w:rFonts w:ascii="Times New Roman" w:hAnsi="Times New Roman"/>
        </w:rPr>
      </w:pPr>
    </w:p>
    <w:p w14:paraId="418DEDBF" w14:textId="77777777" w:rsidR="006D0AA5" w:rsidRPr="00724FB7" w:rsidRDefault="007A26A9" w:rsidP="00B90D8D">
      <w:pPr>
        <w:ind w:firstLine="720"/>
        <w:rPr>
          <w:rFonts w:ascii="Times New Roman" w:hAnsi="Times New Roman"/>
        </w:rPr>
      </w:pPr>
      <w:r>
        <w:rPr>
          <w:rFonts w:ascii="Times New Roman" w:hAnsi="Times New Roman"/>
        </w:rPr>
        <w:t>Reported data are received by the Stratospheric Program Implementation Branch (SPIB), of the Stratospheric Protection Division (SPD) of the Office of Atmospheric Programs (OAP).</w:t>
      </w:r>
    </w:p>
    <w:p w14:paraId="7CE68748" w14:textId="77777777" w:rsidR="00EA018D" w:rsidRPr="00724FB7" w:rsidRDefault="00EA018D" w:rsidP="00160E4A">
      <w:pPr>
        <w:pStyle w:val="Level1"/>
        <w:numPr>
          <w:ilvl w:val="0"/>
          <w:numId w:val="11"/>
        </w:numPr>
        <w:tabs>
          <w:tab w:val="left" w:pos="-1440"/>
        </w:tabs>
        <w:ind w:left="720"/>
        <w:rPr>
          <w:rFonts w:ascii="Times New Roman" w:hAnsi="Times New Roman"/>
        </w:rPr>
      </w:pPr>
      <w:r w:rsidRPr="00724FB7">
        <w:rPr>
          <w:rFonts w:ascii="Times New Roman" w:hAnsi="Times New Roman"/>
        </w:rPr>
        <w:t xml:space="preserve">All reported data </w:t>
      </w:r>
      <w:r w:rsidR="00F5607F">
        <w:rPr>
          <w:rFonts w:ascii="Times New Roman" w:hAnsi="Times New Roman"/>
        </w:rPr>
        <w:t>are</w:t>
      </w:r>
      <w:r w:rsidRPr="00724FB7">
        <w:rPr>
          <w:rFonts w:ascii="Times New Roman" w:hAnsi="Times New Roman"/>
        </w:rPr>
        <w:t xml:space="preserve"> reviewed by EPA</w:t>
      </w:r>
      <w:r w:rsidR="006B68E7">
        <w:rPr>
          <w:rFonts w:ascii="Times New Roman" w:hAnsi="Times New Roman"/>
        </w:rPr>
        <w:t xml:space="preserve"> for completeness and accuracy, </w:t>
      </w:r>
      <w:r w:rsidR="00A938BF">
        <w:rPr>
          <w:rFonts w:ascii="Times New Roman" w:hAnsi="Times New Roman"/>
        </w:rPr>
        <w:t>potentially</w:t>
      </w:r>
      <w:r w:rsidR="006B68E7">
        <w:rPr>
          <w:rFonts w:ascii="Times New Roman" w:hAnsi="Times New Roman"/>
        </w:rPr>
        <w:t xml:space="preserve"> through follow-up with the reporting entity</w:t>
      </w:r>
      <w:r w:rsidRPr="00724FB7">
        <w:rPr>
          <w:rFonts w:ascii="Times New Roman" w:hAnsi="Times New Roman"/>
        </w:rPr>
        <w:t>.</w:t>
      </w:r>
    </w:p>
    <w:p w14:paraId="32E0DFA0" w14:textId="77777777" w:rsidR="00EA018D" w:rsidRPr="00724FB7" w:rsidRDefault="00EA018D" w:rsidP="00160E4A">
      <w:pPr>
        <w:pStyle w:val="Level1"/>
        <w:numPr>
          <w:ilvl w:val="0"/>
          <w:numId w:val="11"/>
        </w:numPr>
        <w:tabs>
          <w:tab w:val="left" w:pos="-1440"/>
        </w:tabs>
        <w:ind w:left="720"/>
        <w:rPr>
          <w:rFonts w:ascii="Times New Roman" w:hAnsi="Times New Roman"/>
        </w:rPr>
      </w:pPr>
      <w:r w:rsidRPr="00724FB7">
        <w:rPr>
          <w:rFonts w:ascii="Times New Roman" w:hAnsi="Times New Roman"/>
        </w:rPr>
        <w:t xml:space="preserve">EPA </w:t>
      </w:r>
      <w:r w:rsidR="007A26A9">
        <w:rPr>
          <w:rFonts w:ascii="Times New Roman" w:hAnsi="Times New Roman"/>
        </w:rPr>
        <w:t>e</w:t>
      </w:r>
      <w:r w:rsidRPr="00724FB7">
        <w:rPr>
          <w:rFonts w:ascii="Times New Roman" w:hAnsi="Times New Roman"/>
        </w:rPr>
        <w:t>nsure</w:t>
      </w:r>
      <w:r w:rsidR="00975857">
        <w:rPr>
          <w:rFonts w:ascii="Times New Roman" w:hAnsi="Times New Roman"/>
        </w:rPr>
        <w:t>s</w:t>
      </w:r>
      <w:r w:rsidRPr="00724FB7">
        <w:rPr>
          <w:rFonts w:ascii="Times New Roman" w:hAnsi="Times New Roman"/>
        </w:rPr>
        <w:t xml:space="preserve"> that compliance has been maintained with U.S. production and consumption levels of exempted material at the national and sector levels.</w:t>
      </w:r>
    </w:p>
    <w:p w14:paraId="77EFCA5F" w14:textId="77777777" w:rsidR="00EA018D" w:rsidRPr="00724FB7" w:rsidRDefault="00EA018D" w:rsidP="00160E4A">
      <w:pPr>
        <w:pStyle w:val="Level1"/>
        <w:numPr>
          <w:ilvl w:val="0"/>
          <w:numId w:val="11"/>
        </w:numPr>
        <w:tabs>
          <w:tab w:val="left" w:pos="-1440"/>
        </w:tabs>
        <w:ind w:left="720"/>
        <w:rPr>
          <w:rFonts w:ascii="Times New Roman" w:hAnsi="Times New Roman"/>
        </w:rPr>
      </w:pPr>
      <w:r w:rsidRPr="00724FB7">
        <w:rPr>
          <w:rFonts w:ascii="Times New Roman" w:hAnsi="Times New Roman"/>
        </w:rPr>
        <w:t>EPA report</w:t>
      </w:r>
      <w:r w:rsidR="00975857">
        <w:rPr>
          <w:rFonts w:ascii="Times New Roman" w:hAnsi="Times New Roman"/>
        </w:rPr>
        <w:t>s</w:t>
      </w:r>
      <w:r w:rsidRPr="00724FB7">
        <w:rPr>
          <w:rFonts w:ascii="Times New Roman" w:hAnsi="Times New Roman"/>
        </w:rPr>
        <w:t xml:space="preserve"> annually to the Ozone Secretariat, through the U.S. Department of State, on U.S. compliance with allowable production and consumption levels.</w:t>
      </w:r>
    </w:p>
    <w:p w14:paraId="4533A921" w14:textId="77777777" w:rsidR="00EA018D" w:rsidRPr="00407C91" w:rsidRDefault="00EA018D" w:rsidP="00160E4A">
      <w:pPr>
        <w:pStyle w:val="Level1"/>
        <w:numPr>
          <w:ilvl w:val="0"/>
          <w:numId w:val="11"/>
        </w:numPr>
        <w:tabs>
          <w:tab w:val="left" w:pos="-1440"/>
        </w:tabs>
        <w:ind w:left="720"/>
        <w:rPr>
          <w:rFonts w:ascii="Times New Roman" w:hAnsi="Times New Roman"/>
        </w:rPr>
      </w:pPr>
      <w:r w:rsidRPr="00407C91">
        <w:rPr>
          <w:rFonts w:ascii="Times New Roman" w:hAnsi="Times New Roman"/>
        </w:rPr>
        <w:t xml:space="preserve">EPA </w:t>
      </w:r>
      <w:r w:rsidR="00FA40C0" w:rsidRPr="00407C91">
        <w:rPr>
          <w:rFonts w:ascii="Times New Roman" w:hAnsi="Times New Roman"/>
        </w:rPr>
        <w:t xml:space="preserve">uses data on actual use levels </w:t>
      </w:r>
      <w:r w:rsidR="00407C91">
        <w:rPr>
          <w:rFonts w:ascii="Times New Roman" w:hAnsi="Times New Roman"/>
        </w:rPr>
        <w:t xml:space="preserve">and </w:t>
      </w:r>
      <w:r w:rsidR="00FA40C0" w:rsidRPr="00407C91">
        <w:rPr>
          <w:rFonts w:ascii="Times New Roman" w:hAnsi="Times New Roman"/>
        </w:rPr>
        <w:t xml:space="preserve">material in inventory to </w:t>
      </w:r>
      <w:r w:rsidR="00407C91">
        <w:rPr>
          <w:rFonts w:ascii="Times New Roman" w:hAnsi="Times New Roman"/>
        </w:rPr>
        <w:t xml:space="preserve">adjust future nomination and allocation </w:t>
      </w:r>
      <w:r w:rsidR="001A11ED">
        <w:rPr>
          <w:rFonts w:ascii="Times New Roman" w:hAnsi="Times New Roman"/>
        </w:rPr>
        <w:t>amounts</w:t>
      </w:r>
      <w:r w:rsidR="00407C91">
        <w:rPr>
          <w:rFonts w:ascii="Times New Roman" w:hAnsi="Times New Roman"/>
        </w:rPr>
        <w:t>.</w:t>
      </w:r>
      <w:r w:rsidR="00407C91" w:rsidRPr="00407C91" w:rsidDel="00407C91">
        <w:rPr>
          <w:rFonts w:ascii="Times New Roman" w:hAnsi="Times New Roman"/>
        </w:rPr>
        <w:t xml:space="preserve"> </w:t>
      </w:r>
    </w:p>
    <w:p w14:paraId="69EC3253" w14:textId="77777777" w:rsidR="00EA018D" w:rsidRPr="00724FB7" w:rsidRDefault="00A938BF" w:rsidP="00160E4A">
      <w:pPr>
        <w:pStyle w:val="Level1"/>
        <w:numPr>
          <w:ilvl w:val="0"/>
          <w:numId w:val="11"/>
        </w:numPr>
        <w:tabs>
          <w:tab w:val="left" w:pos="-1440"/>
        </w:tabs>
        <w:ind w:left="720"/>
        <w:rPr>
          <w:rFonts w:ascii="Times New Roman" w:hAnsi="Times New Roman"/>
        </w:rPr>
      </w:pPr>
      <w:r>
        <w:rPr>
          <w:rFonts w:ascii="Times New Roman" w:hAnsi="Times New Roman"/>
        </w:rPr>
        <w:t>EPA maintains the d</w:t>
      </w:r>
      <w:r w:rsidR="00EA018D" w:rsidRPr="00407C91">
        <w:rPr>
          <w:rFonts w:ascii="Times New Roman" w:hAnsi="Times New Roman"/>
        </w:rPr>
        <w:t xml:space="preserve">ata </w:t>
      </w:r>
      <w:r w:rsidR="00DD41DE">
        <w:rPr>
          <w:rFonts w:ascii="Times New Roman" w:hAnsi="Times New Roman"/>
        </w:rPr>
        <w:t xml:space="preserve">in </w:t>
      </w:r>
      <w:r>
        <w:rPr>
          <w:rFonts w:ascii="Times New Roman" w:hAnsi="Times New Roman"/>
        </w:rPr>
        <w:t>an</w:t>
      </w:r>
      <w:r w:rsidR="00DD41DE">
        <w:rPr>
          <w:rFonts w:ascii="Times New Roman" w:hAnsi="Times New Roman"/>
        </w:rPr>
        <w:t xml:space="preserve"> </w:t>
      </w:r>
      <w:r w:rsidR="001A11ED">
        <w:rPr>
          <w:rFonts w:ascii="Times New Roman" w:hAnsi="Times New Roman"/>
        </w:rPr>
        <w:t xml:space="preserve">electronic </w:t>
      </w:r>
      <w:r w:rsidR="00DD41DE">
        <w:rPr>
          <w:rFonts w:ascii="Times New Roman" w:hAnsi="Times New Roman"/>
        </w:rPr>
        <w:t>tracking system and file room</w:t>
      </w:r>
      <w:r w:rsidR="00EA018D" w:rsidRPr="00724FB7">
        <w:rPr>
          <w:rFonts w:ascii="Times New Roman" w:hAnsi="Times New Roman"/>
        </w:rPr>
        <w:t>.</w:t>
      </w:r>
    </w:p>
    <w:p w14:paraId="2553841A" w14:textId="77777777" w:rsidR="00724FB7" w:rsidRPr="00724FB7" w:rsidRDefault="00724FB7" w:rsidP="00724FB7">
      <w:pPr>
        <w:rPr>
          <w:rFonts w:ascii="Times New Roman" w:hAnsi="Times New Roman"/>
        </w:rPr>
      </w:pPr>
    </w:p>
    <w:p w14:paraId="0FFFAD25" w14:textId="77777777" w:rsidR="00EA018D" w:rsidRPr="00877602" w:rsidRDefault="00EA018D">
      <w:pPr>
        <w:rPr>
          <w:rFonts w:ascii="Times New Roman" w:hAnsi="Times New Roman"/>
        </w:rPr>
      </w:pPr>
      <w:r w:rsidRPr="00877602">
        <w:rPr>
          <w:rFonts w:ascii="Times New Roman" w:hAnsi="Times New Roman"/>
        </w:rPr>
        <w:t>b)</w:t>
      </w:r>
      <w:r w:rsidRPr="00877602">
        <w:rPr>
          <w:rFonts w:ascii="Times New Roman" w:hAnsi="Times New Roman"/>
        </w:rPr>
        <w:tab/>
        <w:t>Collection and Methodology and Management</w:t>
      </w:r>
    </w:p>
    <w:p w14:paraId="5EA213CB" w14:textId="77777777" w:rsidR="00EA018D" w:rsidRDefault="00EA018D">
      <w:pPr>
        <w:rPr>
          <w:rFonts w:ascii="Times New Roman" w:hAnsi="Times New Roman"/>
        </w:rPr>
      </w:pPr>
    </w:p>
    <w:p w14:paraId="0ADE4B29" w14:textId="77777777" w:rsidR="00A96CB3" w:rsidRDefault="00A96CB3">
      <w:pPr>
        <w:rPr>
          <w:rFonts w:ascii="Times New Roman" w:hAnsi="Times New Roman"/>
        </w:rPr>
      </w:pPr>
      <w:r>
        <w:rPr>
          <w:rFonts w:ascii="Times New Roman" w:hAnsi="Times New Roman"/>
        </w:rPr>
        <w:t>(i)</w:t>
      </w:r>
      <w:r>
        <w:rPr>
          <w:rFonts w:ascii="Times New Roman" w:hAnsi="Times New Roman"/>
        </w:rPr>
        <w:tab/>
        <w:t>Applications</w:t>
      </w:r>
    </w:p>
    <w:p w14:paraId="0CF61367" w14:textId="77777777" w:rsidR="00A96CB3" w:rsidRDefault="00A96CB3">
      <w:pPr>
        <w:rPr>
          <w:rFonts w:ascii="Times New Roman" w:hAnsi="Times New Roman"/>
        </w:rPr>
      </w:pPr>
      <w:r>
        <w:rPr>
          <w:rFonts w:ascii="Times New Roman" w:hAnsi="Times New Roman"/>
        </w:rPr>
        <w:tab/>
      </w:r>
    </w:p>
    <w:p w14:paraId="57531009" w14:textId="779C6885" w:rsidR="00A96CB3" w:rsidRDefault="00A96CB3">
      <w:pPr>
        <w:rPr>
          <w:rFonts w:ascii="Times New Roman" w:hAnsi="Times New Roman"/>
        </w:rPr>
      </w:pPr>
      <w:r>
        <w:rPr>
          <w:rFonts w:ascii="Times New Roman" w:hAnsi="Times New Roman"/>
        </w:rPr>
        <w:tab/>
      </w:r>
      <w:r w:rsidRPr="00A96CB3">
        <w:rPr>
          <w:rFonts w:ascii="Times New Roman" w:hAnsi="Times New Roman"/>
        </w:rPr>
        <w:t xml:space="preserve">When applications for methyl bromide critical uses are received by EPA, they </w:t>
      </w:r>
      <w:r w:rsidR="009339AA">
        <w:rPr>
          <w:rFonts w:ascii="Times New Roman" w:hAnsi="Times New Roman"/>
        </w:rPr>
        <w:t xml:space="preserve">are </w:t>
      </w:r>
      <w:r w:rsidRPr="00A96CB3">
        <w:rPr>
          <w:rFonts w:ascii="Times New Roman" w:hAnsi="Times New Roman"/>
        </w:rPr>
        <w:t>assigned a CUE number and tracked in a spreadsheet as active submissions through the process, after which applications become historical files.</w:t>
      </w:r>
      <w:r w:rsidR="0011094A">
        <w:rPr>
          <w:rFonts w:ascii="Times New Roman" w:hAnsi="Times New Roman"/>
        </w:rPr>
        <w:t xml:space="preserve"> </w:t>
      </w:r>
    </w:p>
    <w:p w14:paraId="289B1D43" w14:textId="77777777" w:rsidR="00A96CB3" w:rsidRDefault="00A96CB3">
      <w:pPr>
        <w:rPr>
          <w:rFonts w:ascii="Times New Roman" w:hAnsi="Times New Roman"/>
        </w:rPr>
      </w:pPr>
    </w:p>
    <w:p w14:paraId="61BE4DB5" w14:textId="77777777" w:rsidR="00A96CB3" w:rsidRDefault="00A96CB3">
      <w:pPr>
        <w:rPr>
          <w:rFonts w:ascii="Times New Roman" w:hAnsi="Times New Roman"/>
        </w:rPr>
      </w:pPr>
      <w:r>
        <w:rPr>
          <w:rFonts w:ascii="Times New Roman" w:hAnsi="Times New Roman"/>
        </w:rPr>
        <w:t>(ii)</w:t>
      </w:r>
      <w:r>
        <w:rPr>
          <w:rFonts w:ascii="Times New Roman" w:hAnsi="Times New Roman"/>
        </w:rPr>
        <w:tab/>
        <w:t>Reported Data</w:t>
      </w:r>
    </w:p>
    <w:p w14:paraId="5CB805B3" w14:textId="77777777" w:rsidR="00A96CB3" w:rsidRPr="00A96CB3" w:rsidRDefault="00A96CB3">
      <w:pPr>
        <w:rPr>
          <w:rFonts w:ascii="Times New Roman" w:hAnsi="Times New Roman"/>
        </w:rPr>
      </w:pPr>
    </w:p>
    <w:p w14:paraId="1ABF81EA" w14:textId="547998A1" w:rsidR="00EA018D" w:rsidRDefault="00EA018D">
      <w:pPr>
        <w:ind w:firstLine="720"/>
        <w:rPr>
          <w:rFonts w:ascii="Times New Roman" w:hAnsi="Times New Roman"/>
        </w:rPr>
      </w:pPr>
      <w:r w:rsidRPr="00877602">
        <w:rPr>
          <w:rFonts w:ascii="Times New Roman" w:hAnsi="Times New Roman"/>
        </w:rPr>
        <w:t xml:space="preserve">Data </w:t>
      </w:r>
      <w:r w:rsidR="007C33A0">
        <w:rPr>
          <w:rFonts w:ascii="Times New Roman" w:hAnsi="Times New Roman"/>
        </w:rPr>
        <w:t xml:space="preserve">are </w:t>
      </w:r>
      <w:r w:rsidRPr="00877602">
        <w:rPr>
          <w:rFonts w:ascii="Times New Roman" w:hAnsi="Times New Roman"/>
        </w:rPr>
        <w:t xml:space="preserve">tracked by industry </w:t>
      </w:r>
      <w:r w:rsidR="00D94D9A" w:rsidRPr="00877602">
        <w:rPr>
          <w:rFonts w:ascii="Times New Roman" w:hAnsi="Times New Roman"/>
        </w:rPr>
        <w:t xml:space="preserve">and </w:t>
      </w:r>
      <w:r w:rsidR="007C33A0">
        <w:rPr>
          <w:rFonts w:ascii="Times New Roman" w:hAnsi="Times New Roman"/>
        </w:rPr>
        <w:t xml:space="preserve">are </w:t>
      </w:r>
      <w:r w:rsidR="00D94D9A" w:rsidRPr="00877602">
        <w:rPr>
          <w:rFonts w:ascii="Times New Roman" w:hAnsi="Times New Roman"/>
        </w:rPr>
        <w:t>provided to EPA on a q</w:t>
      </w:r>
      <w:r w:rsidRPr="00877602">
        <w:rPr>
          <w:rFonts w:ascii="Times New Roman" w:hAnsi="Times New Roman"/>
        </w:rPr>
        <w:t xml:space="preserve">uarterly </w:t>
      </w:r>
      <w:r w:rsidR="00D94D9A" w:rsidRPr="00877602">
        <w:rPr>
          <w:rFonts w:ascii="Times New Roman" w:hAnsi="Times New Roman"/>
        </w:rPr>
        <w:t>and/or</w:t>
      </w:r>
      <w:r w:rsidRPr="00877602">
        <w:rPr>
          <w:rFonts w:ascii="Times New Roman" w:hAnsi="Times New Roman"/>
        </w:rPr>
        <w:t xml:space="preserve"> annual </w:t>
      </w:r>
      <w:r w:rsidR="00D94D9A" w:rsidRPr="00877602">
        <w:rPr>
          <w:rFonts w:ascii="Times New Roman" w:hAnsi="Times New Roman"/>
        </w:rPr>
        <w:t>basis on forms provided by the Agency on EPA’s website</w:t>
      </w:r>
      <w:r w:rsidR="00A96CB3">
        <w:rPr>
          <w:rFonts w:ascii="Times New Roman" w:hAnsi="Times New Roman"/>
        </w:rPr>
        <w:t xml:space="preserve"> (www.epa.gov/ozone/record/mbr.html)</w:t>
      </w:r>
      <w:r w:rsidRPr="00877602">
        <w:rPr>
          <w:rFonts w:ascii="Times New Roman" w:hAnsi="Times New Roman"/>
        </w:rPr>
        <w:t>.</w:t>
      </w:r>
      <w:r w:rsidR="0011094A">
        <w:rPr>
          <w:rFonts w:ascii="Times New Roman" w:hAnsi="Times New Roman"/>
        </w:rPr>
        <w:t xml:space="preserve"> </w:t>
      </w:r>
      <w:r w:rsidRPr="00877602">
        <w:rPr>
          <w:rFonts w:ascii="Times New Roman" w:hAnsi="Times New Roman"/>
        </w:rPr>
        <w:t>EPA will use our electronic tracking system to update company specific and overall U.S.</w:t>
      </w:r>
      <w:r w:rsidR="00D94D9A" w:rsidRPr="00877602">
        <w:rPr>
          <w:rFonts w:ascii="Times New Roman" w:hAnsi="Times New Roman"/>
        </w:rPr>
        <w:t xml:space="preserve"> compliance with production, </w:t>
      </w:r>
      <w:r w:rsidRPr="00877602">
        <w:rPr>
          <w:rFonts w:ascii="Times New Roman" w:hAnsi="Times New Roman"/>
        </w:rPr>
        <w:t>consumption</w:t>
      </w:r>
      <w:r w:rsidR="00D94D9A" w:rsidRPr="00877602">
        <w:rPr>
          <w:rFonts w:ascii="Times New Roman" w:hAnsi="Times New Roman"/>
        </w:rPr>
        <w:t>, and use</w:t>
      </w:r>
      <w:r w:rsidRPr="00877602">
        <w:rPr>
          <w:rFonts w:ascii="Times New Roman" w:hAnsi="Times New Roman"/>
        </w:rPr>
        <w:t xml:space="preserve">. Confidential business information </w:t>
      </w:r>
      <w:r w:rsidR="00C95995">
        <w:rPr>
          <w:rFonts w:ascii="Times New Roman" w:hAnsi="Times New Roman"/>
        </w:rPr>
        <w:t xml:space="preserve">are </w:t>
      </w:r>
      <w:r w:rsidRPr="00877602">
        <w:rPr>
          <w:rFonts w:ascii="Times New Roman" w:hAnsi="Times New Roman"/>
        </w:rPr>
        <w:t>stored in appropriately controlled areas.</w:t>
      </w:r>
    </w:p>
    <w:p w14:paraId="64B51339" w14:textId="77777777" w:rsidR="00C601DF" w:rsidRDefault="00C601DF" w:rsidP="00C601DF">
      <w:pPr>
        <w:rPr>
          <w:rFonts w:ascii="Times New Roman" w:hAnsi="Times New Roman"/>
        </w:rPr>
      </w:pPr>
    </w:p>
    <w:p w14:paraId="50FDEF94" w14:textId="77777777" w:rsidR="0053666D" w:rsidRDefault="0053666D" w:rsidP="00C601DF">
      <w:pPr>
        <w:rPr>
          <w:rFonts w:ascii="Times New Roman" w:hAnsi="Times New Roman"/>
        </w:rPr>
      </w:pPr>
    </w:p>
    <w:p w14:paraId="101CA0B0" w14:textId="75236454" w:rsidR="00C601DF" w:rsidRDefault="00C601DF" w:rsidP="00B90D8D">
      <w:pPr>
        <w:ind w:firstLine="720"/>
        <w:rPr>
          <w:rFonts w:ascii="Times New Roman" w:hAnsi="Times New Roman"/>
        </w:rPr>
      </w:pPr>
      <w:r>
        <w:rPr>
          <w:rFonts w:ascii="Times New Roman" w:hAnsi="Times New Roman"/>
        </w:rPr>
        <w:lastRenderedPageBreak/>
        <w:t>The reporting forms for this collection were updated as follows during this renewal:</w:t>
      </w:r>
    </w:p>
    <w:p w14:paraId="0FDEE5D2" w14:textId="12F4DBB3" w:rsidR="00C601DF" w:rsidRDefault="00C601DF" w:rsidP="00C601DF">
      <w:pPr>
        <w:numPr>
          <w:ilvl w:val="0"/>
          <w:numId w:val="18"/>
        </w:numPr>
        <w:tabs>
          <w:tab w:val="left" w:pos="720"/>
        </w:tabs>
        <w:ind w:hanging="1080"/>
        <w:rPr>
          <w:rFonts w:ascii="Times New Roman" w:hAnsi="Times New Roman"/>
        </w:rPr>
      </w:pPr>
      <w:r>
        <w:rPr>
          <w:rFonts w:ascii="Times New Roman" w:hAnsi="Times New Roman"/>
        </w:rPr>
        <w:t>Removed references to critical stock allowances</w:t>
      </w:r>
    </w:p>
    <w:p w14:paraId="664D1A01" w14:textId="79D4ED95" w:rsidR="00C601DF" w:rsidRPr="00C601DF" w:rsidRDefault="00C601DF" w:rsidP="00C601DF">
      <w:pPr>
        <w:numPr>
          <w:ilvl w:val="0"/>
          <w:numId w:val="18"/>
        </w:numPr>
        <w:tabs>
          <w:tab w:val="left" w:pos="720"/>
        </w:tabs>
        <w:ind w:hanging="1080"/>
        <w:rPr>
          <w:rFonts w:ascii="Times New Roman" w:hAnsi="Times New Roman"/>
        </w:rPr>
      </w:pPr>
      <w:r>
        <w:rPr>
          <w:rFonts w:ascii="Times New Roman" w:hAnsi="Times New Roman"/>
        </w:rPr>
        <w:t>Removed references to Article 5 production and export</w:t>
      </w:r>
    </w:p>
    <w:p w14:paraId="3FE7B856" w14:textId="77777777" w:rsidR="00EA018D" w:rsidRPr="00877602" w:rsidRDefault="00EA018D">
      <w:pPr>
        <w:rPr>
          <w:rFonts w:ascii="Times New Roman" w:hAnsi="Times New Roman"/>
        </w:rPr>
      </w:pPr>
    </w:p>
    <w:p w14:paraId="37979C46" w14:textId="77777777" w:rsidR="00EA018D" w:rsidRPr="00877602" w:rsidRDefault="00EA018D">
      <w:pPr>
        <w:rPr>
          <w:rFonts w:ascii="Times New Roman" w:hAnsi="Times New Roman"/>
        </w:rPr>
      </w:pPr>
      <w:r w:rsidRPr="00877602">
        <w:rPr>
          <w:rFonts w:ascii="Times New Roman" w:hAnsi="Times New Roman"/>
        </w:rPr>
        <w:t>c)</w:t>
      </w:r>
      <w:r w:rsidRPr="00877602">
        <w:rPr>
          <w:rFonts w:ascii="Times New Roman" w:hAnsi="Times New Roman"/>
        </w:rPr>
        <w:tab/>
        <w:t>Small Entity Flexibility</w:t>
      </w:r>
    </w:p>
    <w:p w14:paraId="4E530BE3" w14:textId="77777777" w:rsidR="00F35536" w:rsidRPr="00877602" w:rsidRDefault="00F35536">
      <w:pPr>
        <w:rPr>
          <w:rFonts w:ascii="Times New Roman" w:hAnsi="Times New Roman"/>
        </w:rPr>
      </w:pPr>
    </w:p>
    <w:p w14:paraId="62FBD0DD" w14:textId="77777777" w:rsidR="004E6E31" w:rsidRDefault="00F35536" w:rsidP="00017F51">
      <w:pPr>
        <w:ind w:firstLine="720"/>
        <w:rPr>
          <w:rFonts w:ascii="Times New Roman" w:hAnsi="Times New Roman"/>
        </w:rPr>
      </w:pPr>
      <w:r>
        <w:rPr>
          <w:rFonts w:ascii="Times New Roman" w:hAnsi="Times New Roman"/>
        </w:rPr>
        <w:t>This</w:t>
      </w:r>
      <w:r w:rsidR="00EA018D" w:rsidRPr="00877602">
        <w:rPr>
          <w:rFonts w:ascii="Times New Roman" w:hAnsi="Times New Roman"/>
        </w:rPr>
        <w:t xml:space="preserve"> information collection </w:t>
      </w:r>
      <w:r>
        <w:rPr>
          <w:rFonts w:ascii="Times New Roman" w:hAnsi="Times New Roman"/>
        </w:rPr>
        <w:t>is authorized by statute under S</w:t>
      </w:r>
      <w:r w:rsidR="00EA018D" w:rsidRPr="00877602">
        <w:rPr>
          <w:rFonts w:ascii="Times New Roman" w:hAnsi="Times New Roman"/>
        </w:rPr>
        <w:t>ection 604 of the Clean Air Act and is required in order to ensure U.S. compliance with international treaty obligations under the Montreal</w:t>
      </w:r>
      <w:r>
        <w:rPr>
          <w:rFonts w:ascii="Times New Roman" w:hAnsi="Times New Roman"/>
        </w:rPr>
        <w:t xml:space="preserve"> Protocol. </w:t>
      </w:r>
    </w:p>
    <w:p w14:paraId="7188A079" w14:textId="4E1303E4" w:rsidR="00F35536" w:rsidRDefault="00713BDE" w:rsidP="004E6E31">
      <w:pPr>
        <w:ind w:firstLine="720"/>
        <w:rPr>
          <w:rFonts w:ascii="Times New Roman" w:hAnsi="Times New Roman"/>
        </w:rPr>
      </w:pPr>
      <w:r>
        <w:rPr>
          <w:rFonts w:ascii="Times New Roman" w:hAnsi="Times New Roman"/>
        </w:rPr>
        <w:t>Methyl bromide was phased out under the Montreal Protocol and the Clean Air Act in 2005, except for limited exemptions. T</w:t>
      </w:r>
      <w:r w:rsidR="004E6E31" w:rsidRPr="00F35536">
        <w:rPr>
          <w:rFonts w:ascii="Times New Roman" w:hAnsi="Times New Roman"/>
        </w:rPr>
        <w:t>he</w:t>
      </w:r>
      <w:r w:rsidR="004E6E31">
        <w:rPr>
          <w:rFonts w:ascii="Times New Roman" w:hAnsi="Times New Roman"/>
        </w:rPr>
        <w:t xml:space="preserve"> application</w:t>
      </w:r>
      <w:r w:rsidR="004E6E31" w:rsidRPr="00F35536">
        <w:rPr>
          <w:rFonts w:ascii="Times New Roman" w:hAnsi="Times New Roman"/>
        </w:rPr>
        <w:t xml:space="preserve"> information collection provide</w:t>
      </w:r>
      <w:r w:rsidR="004E6E31">
        <w:rPr>
          <w:rFonts w:ascii="Times New Roman" w:hAnsi="Times New Roman"/>
        </w:rPr>
        <w:t>s</w:t>
      </w:r>
      <w:r w:rsidR="004E6E31" w:rsidRPr="00F35536">
        <w:rPr>
          <w:rFonts w:ascii="Times New Roman" w:hAnsi="Times New Roman"/>
        </w:rPr>
        <w:t xml:space="preserve"> meaningful relief for those users of methyl bromide who do not have technically or economically feasible alternatives</w:t>
      </w:r>
      <w:r w:rsidR="004E6E31">
        <w:rPr>
          <w:rFonts w:ascii="Times New Roman" w:hAnsi="Times New Roman"/>
        </w:rPr>
        <w:t>.</w:t>
      </w:r>
      <w:r w:rsidR="0011094A">
        <w:rPr>
          <w:rFonts w:ascii="Times New Roman" w:hAnsi="Times New Roman"/>
        </w:rPr>
        <w:t xml:space="preserve"> </w:t>
      </w:r>
      <w:r w:rsidR="00F35536" w:rsidRPr="00F35536">
        <w:rPr>
          <w:rFonts w:ascii="Times New Roman" w:hAnsi="Times New Roman"/>
        </w:rPr>
        <w:t>Applying for the exemption is voluntary</w:t>
      </w:r>
      <w:r w:rsidR="004E6E31">
        <w:rPr>
          <w:rFonts w:ascii="Times New Roman" w:hAnsi="Times New Roman"/>
        </w:rPr>
        <w:t xml:space="preserve"> and o</w:t>
      </w:r>
      <w:r w:rsidR="00F35536" w:rsidRPr="00F35536">
        <w:rPr>
          <w:rFonts w:ascii="Times New Roman" w:hAnsi="Times New Roman"/>
        </w:rPr>
        <w:t xml:space="preserve">nly those entities that believe they have </w:t>
      </w:r>
      <w:r>
        <w:rPr>
          <w:rFonts w:ascii="Times New Roman" w:hAnsi="Times New Roman"/>
        </w:rPr>
        <w:t>a critical use</w:t>
      </w:r>
      <w:r w:rsidR="00F35536" w:rsidRPr="00F35536">
        <w:rPr>
          <w:rFonts w:ascii="Times New Roman" w:hAnsi="Times New Roman"/>
        </w:rPr>
        <w:t xml:space="preserve"> will submit an application.</w:t>
      </w:r>
      <w:r w:rsidR="0011094A">
        <w:rPr>
          <w:rFonts w:ascii="Times New Roman" w:hAnsi="Times New Roman"/>
        </w:rPr>
        <w:t xml:space="preserve"> </w:t>
      </w:r>
      <w:r w:rsidR="00F35536" w:rsidRPr="00F35536">
        <w:rPr>
          <w:rFonts w:ascii="Times New Roman" w:hAnsi="Times New Roman"/>
        </w:rPr>
        <w:t>While the exemption itself will relieve burden on affected entities, the burden on all affected entities associated with applying for the exemption, and especially the burden on small entities, has been reduced to every extent possible.</w:t>
      </w:r>
      <w:r w:rsidR="0011094A">
        <w:rPr>
          <w:rFonts w:ascii="Times New Roman" w:hAnsi="Times New Roman"/>
        </w:rPr>
        <w:t xml:space="preserve"> </w:t>
      </w:r>
      <w:r>
        <w:rPr>
          <w:rFonts w:ascii="Times New Roman" w:hAnsi="Times New Roman"/>
        </w:rPr>
        <w:t>EPA encouraged</w:t>
      </w:r>
      <w:r w:rsidR="00F35536" w:rsidRPr="00F35536">
        <w:rPr>
          <w:rFonts w:ascii="Times New Roman" w:hAnsi="Times New Roman"/>
        </w:rPr>
        <w:t xml:space="preserve"> small businesses to participate in and/or form representative organizations that will serve to aid in gathering information a</w:t>
      </w:r>
      <w:r w:rsidR="004E6E31">
        <w:rPr>
          <w:rFonts w:ascii="Times New Roman" w:hAnsi="Times New Roman"/>
        </w:rPr>
        <w:t>nd completion of applications.</w:t>
      </w:r>
      <w:r>
        <w:rPr>
          <w:rFonts w:ascii="Times New Roman" w:hAnsi="Times New Roman"/>
        </w:rPr>
        <w:t xml:space="preserve"> Today, most applications received are submitted by such organizations.</w:t>
      </w:r>
    </w:p>
    <w:p w14:paraId="21813B45" w14:textId="0C21DC54" w:rsidR="00EA018D" w:rsidRDefault="00F35536" w:rsidP="004E6E31">
      <w:pPr>
        <w:ind w:firstLine="720"/>
        <w:rPr>
          <w:rFonts w:ascii="Times New Roman" w:hAnsi="Times New Roman"/>
        </w:rPr>
      </w:pPr>
      <w:r>
        <w:rPr>
          <w:rFonts w:ascii="Times New Roman" w:hAnsi="Times New Roman"/>
        </w:rPr>
        <w:t>Bearing in mind</w:t>
      </w:r>
      <w:r w:rsidR="00EA018D" w:rsidRPr="00877602">
        <w:rPr>
          <w:rFonts w:ascii="Times New Roman" w:hAnsi="Times New Roman"/>
        </w:rPr>
        <w:t xml:space="preserve"> U.S. obligations</w:t>
      </w:r>
      <w:r w:rsidR="004E6E31">
        <w:rPr>
          <w:rFonts w:ascii="Times New Roman" w:hAnsi="Times New Roman"/>
        </w:rPr>
        <w:t xml:space="preserve"> under the Protocol</w:t>
      </w:r>
      <w:r w:rsidR="00EA018D" w:rsidRPr="00877602">
        <w:rPr>
          <w:rFonts w:ascii="Times New Roman" w:hAnsi="Times New Roman"/>
        </w:rPr>
        <w:t>, EPA designed a</w:t>
      </w:r>
      <w:r w:rsidR="004E6E31">
        <w:rPr>
          <w:rFonts w:ascii="Times New Roman" w:hAnsi="Times New Roman"/>
        </w:rPr>
        <w:t xml:space="preserve"> reporting and recordkeeping</w:t>
      </w:r>
      <w:r w:rsidR="00EA018D" w:rsidRPr="00877602">
        <w:rPr>
          <w:rFonts w:ascii="Times New Roman" w:hAnsi="Times New Roman"/>
        </w:rPr>
        <w:t xml:space="preserve"> system that would remove almost all burden from the end users of methyl bromide, </w:t>
      </w:r>
      <w:r w:rsidR="004E6E31">
        <w:rPr>
          <w:rFonts w:ascii="Times New Roman" w:hAnsi="Times New Roman"/>
        </w:rPr>
        <w:t xml:space="preserve">some of whom are small entities. This program seeks to place the burden </w:t>
      </w:r>
      <w:r w:rsidR="004E6E31" w:rsidRPr="00877602">
        <w:rPr>
          <w:rFonts w:ascii="Times New Roman" w:hAnsi="Times New Roman"/>
        </w:rPr>
        <w:t>instead on chemical manufacturers, distributors</w:t>
      </w:r>
      <w:r w:rsidR="00713BDE">
        <w:rPr>
          <w:rFonts w:ascii="Times New Roman" w:hAnsi="Times New Roman"/>
        </w:rPr>
        <w:t>,</w:t>
      </w:r>
      <w:r w:rsidR="004E6E31" w:rsidRPr="00877602">
        <w:rPr>
          <w:rFonts w:ascii="Times New Roman" w:hAnsi="Times New Roman"/>
        </w:rPr>
        <w:t xml:space="preserve"> and applicators</w:t>
      </w:r>
      <w:r w:rsidR="00713BDE">
        <w:rPr>
          <w:rFonts w:ascii="Times New Roman" w:hAnsi="Times New Roman"/>
        </w:rPr>
        <w:t xml:space="preserve"> </w:t>
      </w:r>
      <w:r w:rsidR="004E6E31" w:rsidRPr="00877602">
        <w:rPr>
          <w:rFonts w:ascii="Times New Roman" w:hAnsi="Times New Roman"/>
        </w:rPr>
        <w:t>who are not small entities.</w:t>
      </w:r>
      <w:r w:rsidR="0011094A">
        <w:rPr>
          <w:rFonts w:ascii="Times New Roman" w:hAnsi="Times New Roman"/>
        </w:rPr>
        <w:t xml:space="preserve"> </w:t>
      </w:r>
      <w:r w:rsidR="004E6E31" w:rsidRPr="00877602">
        <w:rPr>
          <w:rFonts w:ascii="Times New Roman" w:hAnsi="Times New Roman"/>
        </w:rPr>
        <w:t>EPA created a system that requires end</w:t>
      </w:r>
      <w:r w:rsidR="00A938BF">
        <w:rPr>
          <w:rFonts w:ascii="Times New Roman" w:hAnsi="Times New Roman"/>
        </w:rPr>
        <w:t xml:space="preserve"> users to sign a short form (1 page</w:t>
      </w:r>
      <w:r w:rsidR="004E6E31" w:rsidRPr="00877602">
        <w:rPr>
          <w:rFonts w:ascii="Times New Roman" w:hAnsi="Times New Roman"/>
        </w:rPr>
        <w:t xml:space="preserve"> in length) certifying that they are buying the exempted material for an allowable use and will use it accordingly. </w:t>
      </w:r>
      <w:r w:rsidR="004E6E31">
        <w:rPr>
          <w:rFonts w:ascii="Times New Roman" w:hAnsi="Times New Roman"/>
        </w:rPr>
        <w:t>T</w:t>
      </w:r>
      <w:r w:rsidR="004E6E31" w:rsidRPr="00877602">
        <w:rPr>
          <w:rFonts w:ascii="Times New Roman" w:hAnsi="Times New Roman"/>
        </w:rPr>
        <w:t xml:space="preserve">he form </w:t>
      </w:r>
      <w:r w:rsidR="00FF5DF7">
        <w:rPr>
          <w:rFonts w:ascii="Times New Roman" w:hAnsi="Times New Roman"/>
        </w:rPr>
        <w:t xml:space="preserve">is </w:t>
      </w:r>
      <w:r w:rsidR="004E6E31" w:rsidRPr="00877602">
        <w:rPr>
          <w:rFonts w:ascii="Times New Roman" w:hAnsi="Times New Roman"/>
        </w:rPr>
        <w:t>kept by the supplier, not the end user.</w:t>
      </w:r>
      <w:r w:rsidR="004E6E31">
        <w:rPr>
          <w:rFonts w:ascii="Times New Roman" w:hAnsi="Times New Roman"/>
        </w:rPr>
        <w:t xml:space="preserve"> </w:t>
      </w:r>
      <w:r w:rsidR="004E6E31" w:rsidRPr="00877602">
        <w:rPr>
          <w:rFonts w:ascii="Times New Roman" w:hAnsi="Times New Roman"/>
        </w:rPr>
        <w:t xml:space="preserve">Participation in this </w:t>
      </w:r>
      <w:r w:rsidR="004E6E31">
        <w:rPr>
          <w:rFonts w:ascii="Times New Roman" w:hAnsi="Times New Roman"/>
        </w:rPr>
        <w:t>exemption program</w:t>
      </w:r>
      <w:r w:rsidR="004E6E31" w:rsidRPr="00877602">
        <w:rPr>
          <w:rFonts w:ascii="Times New Roman" w:hAnsi="Times New Roman"/>
        </w:rPr>
        <w:t xml:space="preserve"> is voluntary and constitutes a benefit.</w:t>
      </w:r>
    </w:p>
    <w:p w14:paraId="75CB7C89" w14:textId="77777777" w:rsidR="004E6E31" w:rsidRPr="00877602" w:rsidRDefault="004E6E31" w:rsidP="004E6E31">
      <w:pPr>
        <w:ind w:firstLine="720"/>
        <w:rPr>
          <w:rFonts w:ascii="Times New Roman" w:hAnsi="Times New Roman"/>
        </w:rPr>
      </w:pPr>
    </w:p>
    <w:p w14:paraId="1A7595FF" w14:textId="77777777" w:rsidR="00EA018D" w:rsidRPr="00877602" w:rsidRDefault="00EA018D">
      <w:pPr>
        <w:rPr>
          <w:rFonts w:ascii="Times New Roman" w:hAnsi="Times New Roman"/>
        </w:rPr>
      </w:pPr>
      <w:r w:rsidRPr="00877602">
        <w:rPr>
          <w:rFonts w:ascii="Times New Roman" w:hAnsi="Times New Roman"/>
        </w:rPr>
        <w:t>d)</w:t>
      </w:r>
      <w:r w:rsidRPr="00877602">
        <w:rPr>
          <w:rFonts w:ascii="Times New Roman" w:hAnsi="Times New Roman"/>
        </w:rPr>
        <w:tab/>
        <w:t xml:space="preserve"> Collection Schedule</w:t>
      </w:r>
    </w:p>
    <w:p w14:paraId="2C0825CA" w14:textId="77777777" w:rsidR="004E6E31" w:rsidRDefault="004E6E31" w:rsidP="004E6E31">
      <w:pPr>
        <w:rPr>
          <w:rFonts w:ascii="Times New Roman" w:hAnsi="Times New Roman"/>
        </w:rPr>
      </w:pPr>
    </w:p>
    <w:p w14:paraId="4F9E7B2B" w14:textId="77777777" w:rsidR="004E6E31" w:rsidRDefault="004E6E31" w:rsidP="004E6E31">
      <w:pPr>
        <w:rPr>
          <w:rFonts w:ascii="Times New Roman" w:hAnsi="Times New Roman"/>
        </w:rPr>
      </w:pPr>
      <w:r>
        <w:rPr>
          <w:rFonts w:ascii="Times New Roman" w:hAnsi="Times New Roman"/>
        </w:rPr>
        <w:t>(i)</w:t>
      </w:r>
      <w:r>
        <w:rPr>
          <w:rFonts w:ascii="Times New Roman" w:hAnsi="Times New Roman"/>
        </w:rPr>
        <w:tab/>
        <w:t>Applications</w:t>
      </w:r>
    </w:p>
    <w:p w14:paraId="0DE7F0B9" w14:textId="77777777" w:rsidR="004E6E31" w:rsidRDefault="004E6E31" w:rsidP="004E6E31">
      <w:pPr>
        <w:rPr>
          <w:rFonts w:ascii="Times New Roman" w:hAnsi="Times New Roman"/>
        </w:rPr>
      </w:pPr>
    </w:p>
    <w:p w14:paraId="160AA35B" w14:textId="36717F7C" w:rsidR="004E6E31" w:rsidRDefault="004E6E31" w:rsidP="004E6E31">
      <w:pPr>
        <w:rPr>
          <w:rFonts w:ascii="Times New Roman" w:hAnsi="Times New Roman"/>
        </w:rPr>
      </w:pPr>
      <w:r>
        <w:rPr>
          <w:rFonts w:ascii="Times New Roman" w:hAnsi="Times New Roman"/>
        </w:rPr>
        <w:tab/>
      </w:r>
      <w:r w:rsidRPr="004E6E31">
        <w:rPr>
          <w:rFonts w:ascii="Times New Roman" w:hAnsi="Times New Roman"/>
        </w:rPr>
        <w:t>EPA</w:t>
      </w:r>
      <w:r w:rsidR="008B1FE7">
        <w:rPr>
          <w:rFonts w:ascii="Times New Roman" w:hAnsi="Times New Roman"/>
        </w:rPr>
        <w:t xml:space="preserve"> annually</w:t>
      </w:r>
      <w:r w:rsidRPr="004E6E31">
        <w:rPr>
          <w:rFonts w:ascii="Times New Roman" w:hAnsi="Times New Roman"/>
        </w:rPr>
        <w:t xml:space="preserve"> publishes </w:t>
      </w:r>
      <w:r w:rsidR="008B1FE7">
        <w:rPr>
          <w:rFonts w:ascii="Times New Roman" w:hAnsi="Times New Roman"/>
        </w:rPr>
        <w:t xml:space="preserve">a notice </w:t>
      </w:r>
      <w:r w:rsidRPr="004E6E31">
        <w:rPr>
          <w:rFonts w:ascii="Times New Roman" w:hAnsi="Times New Roman"/>
        </w:rPr>
        <w:t>in t</w:t>
      </w:r>
      <w:r w:rsidR="00713BDE">
        <w:rPr>
          <w:rFonts w:ascii="Times New Roman" w:hAnsi="Times New Roman"/>
        </w:rPr>
        <w:t xml:space="preserve">he Federal Register </w:t>
      </w:r>
      <w:r w:rsidRPr="004E6E31">
        <w:rPr>
          <w:rFonts w:ascii="Times New Roman" w:hAnsi="Times New Roman"/>
        </w:rPr>
        <w:t>announcing the availability of the pre-plant</w:t>
      </w:r>
      <w:r w:rsidR="00DF6EB8">
        <w:rPr>
          <w:rFonts w:ascii="Times New Roman" w:hAnsi="Times New Roman"/>
        </w:rPr>
        <w:t xml:space="preserve"> and post-harvest applications.</w:t>
      </w:r>
      <w:r w:rsidR="0011094A">
        <w:rPr>
          <w:rFonts w:ascii="Times New Roman" w:hAnsi="Times New Roman"/>
        </w:rPr>
        <w:t xml:space="preserve"> </w:t>
      </w:r>
      <w:r w:rsidRPr="004E6E31">
        <w:rPr>
          <w:rFonts w:ascii="Times New Roman" w:hAnsi="Times New Roman"/>
        </w:rPr>
        <w:t>Entities have 90 days from the date of publication to submit an application.</w:t>
      </w:r>
      <w:r w:rsidR="0011094A">
        <w:rPr>
          <w:rFonts w:ascii="Times New Roman" w:hAnsi="Times New Roman"/>
        </w:rPr>
        <w:t xml:space="preserve"> </w:t>
      </w:r>
      <w:r w:rsidR="00DF6EB8">
        <w:rPr>
          <w:rFonts w:ascii="Times New Roman" w:hAnsi="Times New Roman"/>
        </w:rPr>
        <w:t>A</w:t>
      </w:r>
      <w:r w:rsidRPr="004E6E31">
        <w:rPr>
          <w:rFonts w:ascii="Times New Roman" w:hAnsi="Times New Roman"/>
        </w:rPr>
        <w:t>pplications for exemptions are requested with three years of anticipation due to the international process and EPA’s notice-and</w:t>
      </w:r>
      <w:r w:rsidR="008B1FE7">
        <w:rPr>
          <w:rFonts w:ascii="Times New Roman" w:hAnsi="Times New Roman"/>
        </w:rPr>
        <w:t xml:space="preserve">-comment rulemaking procedures. </w:t>
      </w:r>
      <w:r w:rsidRPr="004E6E31">
        <w:rPr>
          <w:rFonts w:ascii="Times New Roman" w:hAnsi="Times New Roman"/>
        </w:rPr>
        <w:t>For example, the first time EPA requested applications, in May 2002, the exemptions were requested for</w:t>
      </w:r>
      <w:r w:rsidR="00DF6EB8">
        <w:rPr>
          <w:rFonts w:ascii="Times New Roman" w:hAnsi="Times New Roman"/>
        </w:rPr>
        <w:t xml:space="preserve"> the use of methyl bromide during</w:t>
      </w:r>
      <w:r w:rsidRPr="004E6E31">
        <w:rPr>
          <w:rFonts w:ascii="Times New Roman" w:hAnsi="Times New Roman"/>
        </w:rPr>
        <w:t xml:space="preserve"> the 2005 calendar year.</w:t>
      </w:r>
      <w:r w:rsidR="0011094A">
        <w:rPr>
          <w:rFonts w:ascii="Times New Roman" w:hAnsi="Times New Roman"/>
        </w:rPr>
        <w:t xml:space="preserve"> </w:t>
      </w:r>
      <w:r w:rsidRPr="004E6E31">
        <w:rPr>
          <w:rFonts w:ascii="Times New Roman" w:hAnsi="Times New Roman"/>
        </w:rPr>
        <w:t xml:space="preserve">The applications requested in May 2003 were for </w:t>
      </w:r>
      <w:r w:rsidR="008B1FE7">
        <w:rPr>
          <w:rFonts w:ascii="Times New Roman" w:hAnsi="Times New Roman"/>
        </w:rPr>
        <w:t xml:space="preserve">use in </w:t>
      </w:r>
      <w:r w:rsidRPr="004E6E31">
        <w:rPr>
          <w:rFonts w:ascii="Times New Roman" w:hAnsi="Times New Roman"/>
        </w:rPr>
        <w:t>the 2006 calendar year, etc.</w:t>
      </w:r>
      <w:r w:rsidR="0011094A">
        <w:rPr>
          <w:rFonts w:ascii="Times New Roman" w:hAnsi="Times New Roman"/>
        </w:rPr>
        <w:t xml:space="preserve"> </w:t>
      </w:r>
      <w:r w:rsidRPr="004E6E31">
        <w:rPr>
          <w:rFonts w:ascii="Times New Roman" w:hAnsi="Times New Roman"/>
        </w:rPr>
        <w:t>Once applications are submitted to EPA, the following schedule takes place:</w:t>
      </w:r>
    </w:p>
    <w:p w14:paraId="31298BBD" w14:textId="77777777" w:rsidR="009F2318" w:rsidRPr="009F2318" w:rsidRDefault="009F2318"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August, Year 1</w:t>
      </w:r>
      <w:r>
        <w:rPr>
          <w:rFonts w:ascii="Times New Roman" w:hAnsi="Times New Roman"/>
        </w:rPr>
        <w:t>: Applications due</w:t>
      </w:r>
    </w:p>
    <w:p w14:paraId="21E2958C" w14:textId="77777777" w:rsidR="009F2318" w:rsidRPr="009F2318" w:rsidRDefault="009F2318"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September-December, Year 1</w:t>
      </w:r>
      <w:r>
        <w:rPr>
          <w:rFonts w:ascii="Times New Roman" w:hAnsi="Times New Roman"/>
        </w:rPr>
        <w:t xml:space="preserve">: </w:t>
      </w:r>
      <w:r w:rsidR="004E6E31" w:rsidRPr="009F2318">
        <w:rPr>
          <w:rFonts w:ascii="Times New Roman" w:hAnsi="Times New Roman"/>
        </w:rPr>
        <w:t>Review of applications and developm</w:t>
      </w:r>
      <w:r w:rsidR="008B1FE7">
        <w:rPr>
          <w:rFonts w:ascii="Times New Roman" w:hAnsi="Times New Roman"/>
        </w:rPr>
        <w:t>ent of U.S. nomination</w:t>
      </w:r>
    </w:p>
    <w:p w14:paraId="0C8FE511" w14:textId="77777777" w:rsidR="009F2318" w:rsidRPr="009F2318"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January, Year 2</w:t>
      </w:r>
      <w:r>
        <w:rPr>
          <w:rFonts w:ascii="Times New Roman" w:hAnsi="Times New Roman"/>
        </w:rPr>
        <w:t xml:space="preserve">: </w:t>
      </w:r>
      <w:r w:rsidR="004E6E31" w:rsidRPr="009F2318">
        <w:rPr>
          <w:rFonts w:ascii="Times New Roman" w:hAnsi="Times New Roman"/>
        </w:rPr>
        <w:t>Inter-Agenc</w:t>
      </w:r>
      <w:r>
        <w:rPr>
          <w:rFonts w:ascii="Times New Roman" w:hAnsi="Times New Roman"/>
        </w:rPr>
        <w:t>y review of nomination package</w:t>
      </w:r>
    </w:p>
    <w:p w14:paraId="0753826A" w14:textId="77777777" w:rsidR="009F2318" w:rsidRPr="009F2318" w:rsidRDefault="008B1FE7" w:rsidP="00160E4A">
      <w:pPr>
        <w:pStyle w:val="Level1"/>
        <w:numPr>
          <w:ilvl w:val="0"/>
          <w:numId w:val="12"/>
        </w:numPr>
        <w:tabs>
          <w:tab w:val="left" w:pos="-1440"/>
        </w:tabs>
        <w:ind w:left="720"/>
        <w:rPr>
          <w:rFonts w:ascii="Times New Roman" w:hAnsi="Times New Roman"/>
        </w:rPr>
      </w:pPr>
      <w:r>
        <w:rPr>
          <w:rFonts w:ascii="Times New Roman" w:hAnsi="Times New Roman"/>
        </w:rPr>
        <w:t>January 24</w:t>
      </w:r>
      <w:r w:rsidR="00BB3266" w:rsidRPr="009F2318">
        <w:rPr>
          <w:rFonts w:ascii="Times New Roman" w:hAnsi="Times New Roman"/>
        </w:rPr>
        <w:t>, Year 2</w:t>
      </w:r>
      <w:r w:rsidR="00BB3266">
        <w:rPr>
          <w:rFonts w:ascii="Times New Roman" w:hAnsi="Times New Roman"/>
        </w:rPr>
        <w:t xml:space="preserve">: </w:t>
      </w:r>
      <w:r w:rsidR="004E6E31" w:rsidRPr="009F2318">
        <w:rPr>
          <w:rFonts w:ascii="Times New Roman" w:hAnsi="Times New Roman"/>
        </w:rPr>
        <w:t xml:space="preserve">U.S. nomination </w:t>
      </w:r>
      <w:r w:rsidR="00BB3266">
        <w:rPr>
          <w:rFonts w:ascii="Times New Roman" w:hAnsi="Times New Roman"/>
        </w:rPr>
        <w:t>submitted to Ozone Secretariat</w:t>
      </w:r>
    </w:p>
    <w:p w14:paraId="29BEC9B1" w14:textId="77777777" w:rsidR="009F2318" w:rsidRPr="009F2318"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February-June, Year 2</w:t>
      </w:r>
      <w:r>
        <w:rPr>
          <w:rFonts w:ascii="Times New Roman" w:hAnsi="Times New Roman"/>
        </w:rPr>
        <w:t xml:space="preserve">: </w:t>
      </w:r>
      <w:r w:rsidR="004E6E31" w:rsidRPr="009F2318">
        <w:rPr>
          <w:rFonts w:ascii="Times New Roman" w:hAnsi="Times New Roman"/>
        </w:rPr>
        <w:t>Adv</w:t>
      </w:r>
      <w:r>
        <w:rPr>
          <w:rFonts w:ascii="Times New Roman" w:hAnsi="Times New Roman"/>
        </w:rPr>
        <w:t>isory body (MBTOC/TEAP) review</w:t>
      </w:r>
    </w:p>
    <w:p w14:paraId="174C5316" w14:textId="77777777" w:rsidR="00BB3266"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November-December, Year 2</w:t>
      </w:r>
      <w:r>
        <w:rPr>
          <w:rFonts w:ascii="Times New Roman" w:hAnsi="Times New Roman"/>
        </w:rPr>
        <w:t xml:space="preserve">: </w:t>
      </w:r>
      <w:r w:rsidR="004E6E31" w:rsidRPr="009F2318">
        <w:rPr>
          <w:rFonts w:ascii="Times New Roman" w:hAnsi="Times New Roman"/>
        </w:rPr>
        <w:t>Pa</w:t>
      </w:r>
      <w:r>
        <w:rPr>
          <w:rFonts w:ascii="Times New Roman" w:hAnsi="Times New Roman"/>
        </w:rPr>
        <w:t>rties authorize critical uses</w:t>
      </w:r>
    </w:p>
    <w:p w14:paraId="661C26EA" w14:textId="77777777" w:rsidR="004E6E31" w:rsidRPr="009F2318" w:rsidRDefault="00BB3266" w:rsidP="00160E4A">
      <w:pPr>
        <w:pStyle w:val="Level1"/>
        <w:numPr>
          <w:ilvl w:val="0"/>
          <w:numId w:val="12"/>
        </w:numPr>
        <w:tabs>
          <w:tab w:val="left" w:pos="-1440"/>
        </w:tabs>
        <w:ind w:left="720"/>
        <w:rPr>
          <w:rFonts w:ascii="Times New Roman" w:hAnsi="Times New Roman"/>
        </w:rPr>
      </w:pPr>
      <w:r w:rsidRPr="009F2318">
        <w:rPr>
          <w:rFonts w:ascii="Times New Roman" w:hAnsi="Times New Roman"/>
        </w:rPr>
        <w:t>January-December, Year 3</w:t>
      </w:r>
      <w:r>
        <w:rPr>
          <w:rFonts w:ascii="Times New Roman" w:hAnsi="Times New Roman"/>
        </w:rPr>
        <w:t xml:space="preserve">: </w:t>
      </w:r>
      <w:r w:rsidR="004E6E31" w:rsidRPr="009F2318">
        <w:rPr>
          <w:rFonts w:ascii="Times New Roman" w:hAnsi="Times New Roman"/>
        </w:rPr>
        <w:t>EP</w:t>
      </w:r>
      <w:r w:rsidR="008B1FE7">
        <w:rPr>
          <w:rFonts w:ascii="Times New Roman" w:hAnsi="Times New Roman"/>
        </w:rPr>
        <w:t>A publishes critical uses and allocates allowances</w:t>
      </w:r>
      <w:r w:rsidR="004E6E31" w:rsidRPr="009F2318">
        <w:rPr>
          <w:rFonts w:ascii="Times New Roman" w:hAnsi="Times New Roman"/>
        </w:rPr>
        <w:t xml:space="preserve"> in</w:t>
      </w:r>
      <w:r>
        <w:rPr>
          <w:rFonts w:ascii="Times New Roman" w:hAnsi="Times New Roman"/>
        </w:rPr>
        <w:t xml:space="preserve"> notice-</w:t>
      </w:r>
      <w:r>
        <w:rPr>
          <w:rFonts w:ascii="Times New Roman" w:hAnsi="Times New Roman"/>
        </w:rPr>
        <w:lastRenderedPageBreak/>
        <w:t>and-comment rulemaking</w:t>
      </w:r>
    </w:p>
    <w:p w14:paraId="610DDA7D" w14:textId="77777777" w:rsidR="004E6E31" w:rsidRPr="004E6E31" w:rsidRDefault="004E6E31" w:rsidP="004E6E31">
      <w:pPr>
        <w:rPr>
          <w:rFonts w:ascii="Times New Roman" w:hAnsi="Times New Roman"/>
        </w:rPr>
      </w:pPr>
    </w:p>
    <w:p w14:paraId="6B83D46F" w14:textId="0B96E79D" w:rsidR="004E6E31" w:rsidRDefault="009F2318" w:rsidP="004E6E31">
      <w:pPr>
        <w:rPr>
          <w:rFonts w:ascii="Times New Roman" w:hAnsi="Times New Roman"/>
        </w:rPr>
      </w:pPr>
      <w:r>
        <w:rPr>
          <w:rFonts w:ascii="Times New Roman" w:hAnsi="Times New Roman"/>
        </w:rPr>
        <w:tab/>
      </w:r>
      <w:r w:rsidR="004E6E31" w:rsidRPr="004E6E31">
        <w:rPr>
          <w:rFonts w:ascii="Times New Roman" w:hAnsi="Times New Roman"/>
        </w:rPr>
        <w:t>Subsequent collection schedules depend on the timetables established by the Parties.</w:t>
      </w:r>
      <w:r w:rsidR="0011094A">
        <w:rPr>
          <w:rFonts w:ascii="Times New Roman" w:hAnsi="Times New Roman"/>
        </w:rPr>
        <w:t xml:space="preserve"> </w:t>
      </w:r>
      <w:r w:rsidR="004E6E31" w:rsidRPr="004E6E31">
        <w:rPr>
          <w:rFonts w:ascii="Times New Roman" w:hAnsi="Times New Roman"/>
        </w:rPr>
        <w:t>In some instances additional (“Extraordinary”) meetings have been required, delaying the schedule.</w:t>
      </w:r>
    </w:p>
    <w:p w14:paraId="3B799D29" w14:textId="77777777" w:rsidR="004E6E31" w:rsidRDefault="004E6E31" w:rsidP="004E6E31">
      <w:pPr>
        <w:rPr>
          <w:rFonts w:ascii="Times New Roman" w:hAnsi="Times New Roman"/>
        </w:rPr>
      </w:pPr>
    </w:p>
    <w:p w14:paraId="438F0B08" w14:textId="77777777" w:rsidR="004E6E31" w:rsidRDefault="004E6E31" w:rsidP="004E6E31">
      <w:pPr>
        <w:rPr>
          <w:rFonts w:ascii="Times New Roman" w:hAnsi="Times New Roman"/>
        </w:rPr>
      </w:pPr>
      <w:r>
        <w:rPr>
          <w:rFonts w:ascii="Times New Roman" w:hAnsi="Times New Roman"/>
        </w:rPr>
        <w:t>(ii)</w:t>
      </w:r>
      <w:r>
        <w:rPr>
          <w:rFonts w:ascii="Times New Roman" w:hAnsi="Times New Roman"/>
        </w:rPr>
        <w:tab/>
        <w:t>Reported Data</w:t>
      </w:r>
    </w:p>
    <w:p w14:paraId="61A70347" w14:textId="77777777" w:rsidR="009F2318" w:rsidRPr="004E6E31" w:rsidRDefault="009F2318" w:rsidP="004E6E31">
      <w:pPr>
        <w:rPr>
          <w:rFonts w:ascii="Times New Roman" w:hAnsi="Times New Roman"/>
        </w:rPr>
      </w:pPr>
    </w:p>
    <w:p w14:paraId="5F359EAC" w14:textId="340B5755" w:rsidR="00EA018D" w:rsidRPr="00877602" w:rsidRDefault="00EA018D">
      <w:pPr>
        <w:ind w:firstLine="720"/>
        <w:rPr>
          <w:rFonts w:ascii="Times New Roman" w:hAnsi="Times New Roman"/>
        </w:rPr>
      </w:pPr>
      <w:r w:rsidRPr="00877602">
        <w:rPr>
          <w:rFonts w:ascii="Times New Roman" w:hAnsi="Times New Roman"/>
        </w:rPr>
        <w:t>The information is to be submitted on a</w:t>
      </w:r>
      <w:r w:rsidR="0062329C" w:rsidRPr="00877602">
        <w:rPr>
          <w:rFonts w:ascii="Times New Roman" w:hAnsi="Times New Roman"/>
        </w:rPr>
        <w:t>n</w:t>
      </w:r>
      <w:r w:rsidRPr="00877602">
        <w:rPr>
          <w:rFonts w:ascii="Times New Roman" w:hAnsi="Times New Roman"/>
        </w:rPr>
        <w:t xml:space="preserve"> annual or</w:t>
      </w:r>
      <w:r w:rsidR="008B1FE7">
        <w:rPr>
          <w:rFonts w:ascii="Times New Roman" w:hAnsi="Times New Roman"/>
        </w:rPr>
        <w:t xml:space="preserve"> quarterly basis (see section 5</w:t>
      </w:r>
      <w:r w:rsidRPr="00877602">
        <w:rPr>
          <w:rFonts w:ascii="Times New Roman" w:hAnsi="Times New Roman"/>
        </w:rPr>
        <w:t xml:space="preserve">a) to EPA beginning in </w:t>
      </w:r>
      <w:r w:rsidR="009F2318" w:rsidRPr="00A53112">
        <w:rPr>
          <w:rFonts w:ascii="Times New Roman" w:hAnsi="Times New Roman"/>
        </w:rPr>
        <w:t xml:space="preserve">the </w:t>
      </w:r>
      <w:r w:rsidR="00A938BF">
        <w:rPr>
          <w:rFonts w:ascii="Times New Roman" w:hAnsi="Times New Roman"/>
        </w:rPr>
        <w:t>second quarter of 2015</w:t>
      </w:r>
      <w:r w:rsidRPr="00877602">
        <w:rPr>
          <w:rFonts w:ascii="Times New Roman" w:hAnsi="Times New Roman"/>
        </w:rPr>
        <w:t xml:space="preserve"> and continuing for the life of the exemption.</w:t>
      </w:r>
      <w:r w:rsidR="0011094A">
        <w:rPr>
          <w:rFonts w:ascii="Times New Roman" w:hAnsi="Times New Roman"/>
        </w:rPr>
        <w:t xml:space="preserve"> </w:t>
      </w:r>
    </w:p>
    <w:p w14:paraId="27150B32" w14:textId="77777777" w:rsidR="00EA018D" w:rsidRPr="00877602" w:rsidRDefault="00EA018D">
      <w:pPr>
        <w:rPr>
          <w:rFonts w:ascii="Times New Roman" w:hAnsi="Times New Roman"/>
        </w:rPr>
      </w:pPr>
    </w:p>
    <w:p w14:paraId="6D5B476A" w14:textId="77777777" w:rsidR="00EA018D" w:rsidRPr="00877602" w:rsidRDefault="00EA018D">
      <w:pPr>
        <w:rPr>
          <w:rFonts w:ascii="Times New Roman" w:hAnsi="Times New Roman"/>
        </w:rPr>
      </w:pPr>
      <w:r w:rsidRPr="00877602">
        <w:rPr>
          <w:rFonts w:ascii="Times New Roman" w:hAnsi="Times New Roman"/>
        </w:rPr>
        <w:t>6)</w:t>
      </w:r>
      <w:r w:rsidRPr="00877602">
        <w:rPr>
          <w:rFonts w:ascii="Times New Roman" w:hAnsi="Times New Roman"/>
        </w:rPr>
        <w:tab/>
      </w:r>
      <w:r w:rsidRPr="00877602">
        <w:rPr>
          <w:rFonts w:ascii="Times New Roman" w:hAnsi="Times New Roman"/>
          <w:u w:val="single"/>
        </w:rPr>
        <w:t>Estimating the Burden and Cost of Collection</w:t>
      </w:r>
    </w:p>
    <w:p w14:paraId="61CFADEF" w14:textId="77777777" w:rsidR="00EA018D" w:rsidRPr="00877602" w:rsidRDefault="00EA018D">
      <w:pPr>
        <w:rPr>
          <w:rFonts w:ascii="Times New Roman" w:hAnsi="Times New Roman"/>
        </w:rPr>
      </w:pPr>
    </w:p>
    <w:p w14:paraId="7750908C" w14:textId="77777777" w:rsidR="00EA018D" w:rsidRPr="00877602" w:rsidRDefault="00EA018D">
      <w:pPr>
        <w:rPr>
          <w:rFonts w:ascii="Times New Roman" w:hAnsi="Times New Roman"/>
        </w:rPr>
      </w:pPr>
      <w:r w:rsidRPr="00877602">
        <w:rPr>
          <w:rFonts w:ascii="Times New Roman" w:hAnsi="Times New Roman"/>
        </w:rPr>
        <w:t>a)</w:t>
      </w:r>
      <w:r w:rsidRPr="00877602">
        <w:rPr>
          <w:rFonts w:ascii="Times New Roman" w:hAnsi="Times New Roman"/>
        </w:rPr>
        <w:tab/>
        <w:t>Estimating the Burden</w:t>
      </w:r>
    </w:p>
    <w:p w14:paraId="68C64C2F" w14:textId="77777777" w:rsidR="00EA018D" w:rsidRDefault="00EA018D">
      <w:pPr>
        <w:rPr>
          <w:rFonts w:ascii="Times New Roman" w:hAnsi="Times New Roman"/>
        </w:rPr>
      </w:pPr>
    </w:p>
    <w:p w14:paraId="1A6594B2" w14:textId="6084A36F" w:rsidR="00E127F3" w:rsidRDefault="00145364" w:rsidP="00145364">
      <w:pPr>
        <w:ind w:firstLine="720"/>
        <w:rPr>
          <w:rFonts w:ascii="Times New Roman" w:hAnsi="Times New Roman"/>
        </w:rPr>
      </w:pPr>
      <w:r w:rsidRPr="00877602">
        <w:rPr>
          <w:rFonts w:ascii="Times New Roman" w:hAnsi="Times New Roman"/>
        </w:rPr>
        <w:t xml:space="preserve">The basis of the </w:t>
      </w:r>
      <w:r w:rsidR="0044497D">
        <w:rPr>
          <w:rFonts w:ascii="Times New Roman" w:hAnsi="Times New Roman"/>
        </w:rPr>
        <w:t xml:space="preserve">burden </w:t>
      </w:r>
      <w:r w:rsidRPr="00877602">
        <w:rPr>
          <w:rFonts w:ascii="Times New Roman" w:hAnsi="Times New Roman"/>
        </w:rPr>
        <w:t>analysis is</w:t>
      </w:r>
      <w:r w:rsidR="00A0587E">
        <w:rPr>
          <w:rFonts w:ascii="Times New Roman" w:hAnsi="Times New Roman"/>
        </w:rPr>
        <w:t xml:space="preserve"> </w:t>
      </w:r>
      <w:r w:rsidR="00A0587E" w:rsidRPr="00877602">
        <w:rPr>
          <w:rFonts w:ascii="Times New Roman" w:hAnsi="Times New Roman"/>
        </w:rPr>
        <w:t>EPA</w:t>
      </w:r>
      <w:r w:rsidR="00A0587E">
        <w:rPr>
          <w:rFonts w:ascii="Times New Roman" w:hAnsi="Times New Roman"/>
        </w:rPr>
        <w:t>’s</w:t>
      </w:r>
      <w:r w:rsidR="00A0587E" w:rsidRPr="00877602">
        <w:rPr>
          <w:rFonts w:ascii="Times New Roman" w:hAnsi="Times New Roman"/>
        </w:rPr>
        <w:t xml:space="preserve"> experience</w:t>
      </w:r>
      <w:r w:rsidR="00A0587E">
        <w:rPr>
          <w:rFonts w:ascii="Times New Roman" w:hAnsi="Times New Roman"/>
        </w:rPr>
        <w:t xml:space="preserve"> with</w:t>
      </w:r>
      <w:r w:rsidR="00A0587E" w:rsidRPr="00877602">
        <w:rPr>
          <w:rFonts w:ascii="Times New Roman" w:hAnsi="Times New Roman"/>
        </w:rPr>
        <w:t xml:space="preserve"> implementing </w:t>
      </w:r>
      <w:r w:rsidR="00A0587E">
        <w:rPr>
          <w:rFonts w:ascii="Times New Roman" w:hAnsi="Times New Roman"/>
        </w:rPr>
        <w:t>the critical use exemption program</w:t>
      </w:r>
      <w:r w:rsidR="00A0587E" w:rsidRPr="00877602">
        <w:rPr>
          <w:rFonts w:ascii="Times New Roman" w:hAnsi="Times New Roman"/>
        </w:rPr>
        <w:t xml:space="preserve"> </w:t>
      </w:r>
      <w:r w:rsidR="00E127F3">
        <w:rPr>
          <w:rFonts w:ascii="Times New Roman" w:hAnsi="Times New Roman"/>
        </w:rPr>
        <w:t>since 2002 and EPA’s previous ICR analyse</w:t>
      </w:r>
      <w:r w:rsidR="006B5C69">
        <w:rPr>
          <w:rFonts w:ascii="Times New Roman" w:hAnsi="Times New Roman"/>
        </w:rPr>
        <w:t>s</w:t>
      </w:r>
      <w:r w:rsidR="00E127F3">
        <w:rPr>
          <w:rFonts w:ascii="Times New Roman" w:hAnsi="Times New Roman"/>
        </w:rPr>
        <w:t xml:space="preserve"> for the CUE program</w:t>
      </w:r>
      <w:r w:rsidR="006B5C69">
        <w:rPr>
          <w:rFonts w:ascii="Times New Roman" w:hAnsi="Times New Roman"/>
        </w:rPr>
        <w:t>.</w:t>
      </w:r>
      <w:r w:rsidR="0011094A">
        <w:rPr>
          <w:rFonts w:ascii="Times New Roman" w:hAnsi="Times New Roman"/>
        </w:rPr>
        <w:t xml:space="preserve"> </w:t>
      </w:r>
      <w:r w:rsidR="00E127F3">
        <w:rPr>
          <w:rFonts w:ascii="Times New Roman" w:hAnsi="Times New Roman"/>
        </w:rPr>
        <w:t xml:space="preserve">EPA expects </w:t>
      </w:r>
      <w:r w:rsidR="00F752C9">
        <w:rPr>
          <w:rFonts w:ascii="Times New Roman" w:hAnsi="Times New Roman"/>
        </w:rPr>
        <w:t xml:space="preserve">that </w:t>
      </w:r>
      <w:r w:rsidR="00E127F3">
        <w:rPr>
          <w:rFonts w:ascii="Times New Roman" w:hAnsi="Times New Roman"/>
        </w:rPr>
        <w:t xml:space="preserve">the burden estimate </w:t>
      </w:r>
      <w:r w:rsidR="00F752C9">
        <w:rPr>
          <w:rFonts w:ascii="Times New Roman" w:hAnsi="Times New Roman"/>
        </w:rPr>
        <w:t xml:space="preserve">is </w:t>
      </w:r>
      <w:r w:rsidR="00E127F3">
        <w:rPr>
          <w:rFonts w:ascii="Times New Roman" w:hAnsi="Times New Roman"/>
        </w:rPr>
        <w:t>conservative</w:t>
      </w:r>
      <w:r w:rsidR="00E44069">
        <w:rPr>
          <w:rFonts w:ascii="Times New Roman" w:hAnsi="Times New Roman"/>
        </w:rPr>
        <w:t>ly high</w:t>
      </w:r>
      <w:r w:rsidR="00E127F3">
        <w:rPr>
          <w:rFonts w:ascii="Times New Roman" w:hAnsi="Times New Roman"/>
        </w:rPr>
        <w:t xml:space="preserve"> as the Agency </w:t>
      </w:r>
      <w:r w:rsidR="006B5C69">
        <w:rPr>
          <w:rFonts w:ascii="Times New Roman" w:hAnsi="Times New Roman"/>
        </w:rPr>
        <w:t>believes that the respondents are familiar with EPA’s regulations and likely have an established system for com</w:t>
      </w:r>
      <w:r w:rsidR="008B1FE7">
        <w:rPr>
          <w:rFonts w:ascii="Times New Roman" w:hAnsi="Times New Roman"/>
        </w:rPr>
        <w:t>plying with those requirements.</w:t>
      </w:r>
    </w:p>
    <w:p w14:paraId="4606408A" w14:textId="294705EE" w:rsidR="00A94309" w:rsidRPr="00877602" w:rsidRDefault="00A0587E" w:rsidP="006B5C69">
      <w:pPr>
        <w:ind w:firstLine="720"/>
        <w:rPr>
          <w:rFonts w:ascii="Times New Roman" w:hAnsi="Times New Roman"/>
        </w:rPr>
      </w:pPr>
      <w:r>
        <w:rPr>
          <w:rFonts w:ascii="Times New Roman" w:hAnsi="Times New Roman"/>
        </w:rPr>
        <w:t xml:space="preserve">The burden analyzed is that associated </w:t>
      </w:r>
      <w:r w:rsidRPr="00877602">
        <w:rPr>
          <w:rFonts w:ascii="Times New Roman" w:hAnsi="Times New Roman"/>
        </w:rPr>
        <w:t xml:space="preserve">with the </w:t>
      </w:r>
      <w:r>
        <w:rPr>
          <w:rFonts w:ascii="Times New Roman" w:hAnsi="Times New Roman"/>
        </w:rPr>
        <w:t xml:space="preserve">application, </w:t>
      </w:r>
      <w:r w:rsidRPr="00877602">
        <w:rPr>
          <w:rFonts w:ascii="Times New Roman" w:hAnsi="Times New Roman"/>
        </w:rPr>
        <w:t>reporting</w:t>
      </w:r>
      <w:r>
        <w:rPr>
          <w:rFonts w:ascii="Times New Roman" w:hAnsi="Times New Roman"/>
        </w:rPr>
        <w:t>,</w:t>
      </w:r>
      <w:r w:rsidRPr="00877602">
        <w:rPr>
          <w:rFonts w:ascii="Times New Roman" w:hAnsi="Times New Roman"/>
        </w:rPr>
        <w:t xml:space="preserve"> and recordkeeping requirements</w:t>
      </w:r>
      <w:r>
        <w:rPr>
          <w:rFonts w:ascii="Times New Roman" w:hAnsi="Times New Roman"/>
        </w:rPr>
        <w:t xml:space="preserve"> of the program</w:t>
      </w:r>
      <w:r w:rsidRPr="00877602">
        <w:rPr>
          <w:rFonts w:ascii="Times New Roman" w:hAnsi="Times New Roman"/>
        </w:rPr>
        <w:t>.</w:t>
      </w:r>
      <w:r w:rsidR="00E127F3">
        <w:rPr>
          <w:rFonts w:ascii="Times New Roman" w:hAnsi="Times New Roman"/>
        </w:rPr>
        <w:t xml:space="preserve"> </w:t>
      </w:r>
      <w:r>
        <w:rPr>
          <w:rFonts w:ascii="Times New Roman" w:hAnsi="Times New Roman"/>
        </w:rPr>
        <w:t>As in previous ICR</w:t>
      </w:r>
      <w:r w:rsidR="008B1FE7">
        <w:rPr>
          <w:rFonts w:ascii="Times New Roman" w:hAnsi="Times New Roman"/>
        </w:rPr>
        <w:t>s</w:t>
      </w:r>
      <w:r>
        <w:rPr>
          <w:rFonts w:ascii="Times New Roman" w:hAnsi="Times New Roman"/>
        </w:rPr>
        <w:t xml:space="preserve">, EPA identified </w:t>
      </w:r>
      <w:r w:rsidR="00145364" w:rsidRPr="00877602">
        <w:rPr>
          <w:rFonts w:ascii="Times New Roman" w:hAnsi="Times New Roman"/>
        </w:rPr>
        <w:t xml:space="preserve">the steps involved </w:t>
      </w:r>
      <w:r w:rsidR="00306E30">
        <w:rPr>
          <w:rFonts w:ascii="Times New Roman" w:hAnsi="Times New Roman"/>
        </w:rPr>
        <w:t xml:space="preserve">in applying for and </w:t>
      </w:r>
      <w:r w:rsidR="00145364" w:rsidRPr="00877602">
        <w:rPr>
          <w:rFonts w:ascii="Times New Roman" w:hAnsi="Times New Roman"/>
        </w:rPr>
        <w:t>complying with the requirements</w:t>
      </w:r>
      <w:r w:rsidR="00145364">
        <w:rPr>
          <w:rFonts w:ascii="Times New Roman" w:hAnsi="Times New Roman"/>
        </w:rPr>
        <w:t xml:space="preserve"> of the CUE program</w:t>
      </w:r>
      <w:r w:rsidR="00145364" w:rsidRPr="00877602">
        <w:rPr>
          <w:rFonts w:ascii="Times New Roman" w:hAnsi="Times New Roman"/>
        </w:rPr>
        <w:t xml:space="preserve">. </w:t>
      </w:r>
      <w:r w:rsidR="006B5C69">
        <w:rPr>
          <w:rFonts w:ascii="Times New Roman" w:hAnsi="Times New Roman"/>
        </w:rPr>
        <w:t>This includes</w:t>
      </w:r>
      <w:r w:rsidR="006B5C69" w:rsidRPr="00BB3266">
        <w:rPr>
          <w:rFonts w:ascii="Times New Roman" w:hAnsi="Times New Roman"/>
        </w:rPr>
        <w:t xml:space="preserve"> </w:t>
      </w:r>
      <w:r w:rsidR="006B5C69">
        <w:rPr>
          <w:rFonts w:ascii="Times New Roman" w:hAnsi="Times New Roman"/>
        </w:rPr>
        <w:t>identifying</w:t>
      </w:r>
      <w:r w:rsidR="006B5C69" w:rsidRPr="00BB3266">
        <w:rPr>
          <w:rFonts w:ascii="Times New Roman" w:hAnsi="Times New Roman"/>
        </w:rPr>
        <w:t xml:space="preserve"> the principal information needed to support U.S. nominations </w:t>
      </w:r>
      <w:r w:rsidR="006B5C69">
        <w:rPr>
          <w:rFonts w:ascii="Times New Roman" w:hAnsi="Times New Roman"/>
        </w:rPr>
        <w:t>to Parties to the Protocol.</w:t>
      </w:r>
      <w:r w:rsidR="0011094A">
        <w:rPr>
          <w:rFonts w:ascii="Times New Roman" w:hAnsi="Times New Roman"/>
        </w:rPr>
        <w:t xml:space="preserve"> </w:t>
      </w:r>
      <w:r w:rsidRPr="00BB3266">
        <w:rPr>
          <w:rFonts w:ascii="Times New Roman" w:hAnsi="Times New Roman"/>
        </w:rPr>
        <w:t>The burden has been estimated by identifying the number of times the step will be undertaken and the number of hours required to complete each step.</w:t>
      </w:r>
    </w:p>
    <w:p w14:paraId="78E6B9BB" w14:textId="77777777" w:rsidR="00017F51" w:rsidRPr="00877602" w:rsidRDefault="00017F51">
      <w:pPr>
        <w:rPr>
          <w:rFonts w:ascii="Times New Roman" w:hAnsi="Times New Roman"/>
        </w:rPr>
      </w:pPr>
    </w:p>
    <w:p w14:paraId="467045B3" w14:textId="77777777" w:rsidR="00EA018D" w:rsidRDefault="00EA018D" w:rsidP="006B5C69">
      <w:pPr>
        <w:tabs>
          <w:tab w:val="left" w:pos="-1440"/>
        </w:tabs>
        <w:ind w:left="720" w:hanging="720"/>
        <w:rPr>
          <w:rFonts w:ascii="Times New Roman" w:hAnsi="Times New Roman"/>
        </w:rPr>
      </w:pPr>
      <w:r w:rsidRPr="00877602">
        <w:rPr>
          <w:rFonts w:ascii="Times New Roman" w:hAnsi="Times New Roman"/>
        </w:rPr>
        <w:t xml:space="preserve">b) </w:t>
      </w:r>
      <w:r w:rsidRPr="00877602">
        <w:rPr>
          <w:rFonts w:ascii="Times New Roman" w:hAnsi="Times New Roman"/>
        </w:rPr>
        <w:tab/>
        <w:t>Estimating the Respondent Cost</w:t>
      </w:r>
    </w:p>
    <w:p w14:paraId="5C2ECD26" w14:textId="77777777" w:rsidR="006B5C69" w:rsidRDefault="006B5C69" w:rsidP="006B5C69">
      <w:pPr>
        <w:tabs>
          <w:tab w:val="left" w:pos="-1440"/>
        </w:tabs>
        <w:ind w:left="720" w:hanging="720"/>
        <w:rPr>
          <w:rFonts w:ascii="Times New Roman" w:hAnsi="Times New Roman"/>
        </w:rPr>
      </w:pPr>
    </w:p>
    <w:p w14:paraId="0A8124F1" w14:textId="77777777" w:rsidR="006B5C69" w:rsidRDefault="006B5C69" w:rsidP="006B5C69">
      <w:pPr>
        <w:tabs>
          <w:tab w:val="left" w:pos="-1440"/>
        </w:tabs>
        <w:ind w:left="720" w:hanging="720"/>
        <w:rPr>
          <w:rFonts w:ascii="Times New Roman" w:hAnsi="Times New Roman"/>
        </w:rPr>
      </w:pPr>
      <w:r>
        <w:rPr>
          <w:rFonts w:ascii="Times New Roman" w:hAnsi="Times New Roman"/>
        </w:rPr>
        <w:t>i)</w:t>
      </w:r>
      <w:r>
        <w:rPr>
          <w:rFonts w:ascii="Times New Roman" w:hAnsi="Times New Roman"/>
        </w:rPr>
        <w:tab/>
        <w:t>Applications</w:t>
      </w:r>
    </w:p>
    <w:p w14:paraId="1772E7E0" w14:textId="77777777" w:rsidR="006B5C69" w:rsidRDefault="006B5C69" w:rsidP="006B5C69">
      <w:pPr>
        <w:tabs>
          <w:tab w:val="left" w:pos="-1440"/>
        </w:tabs>
        <w:ind w:left="720" w:hanging="720"/>
        <w:rPr>
          <w:rFonts w:ascii="Times New Roman" w:hAnsi="Times New Roman"/>
        </w:rPr>
      </w:pPr>
    </w:p>
    <w:p w14:paraId="2E364A4D" w14:textId="3C663A76" w:rsidR="004179C4" w:rsidRDefault="006B5C69" w:rsidP="00D6301F">
      <w:pPr>
        <w:ind w:firstLine="720"/>
        <w:rPr>
          <w:rFonts w:ascii="Times New Roman" w:hAnsi="Times New Roman"/>
        </w:rPr>
      </w:pPr>
      <w:r w:rsidRPr="006B5C69">
        <w:rPr>
          <w:rFonts w:ascii="Times New Roman" w:hAnsi="Times New Roman"/>
        </w:rPr>
        <w:t xml:space="preserve">To determine the respondent cost, </w:t>
      </w:r>
      <w:r w:rsidR="00FE6386">
        <w:rPr>
          <w:rFonts w:ascii="Times New Roman" w:hAnsi="Times New Roman"/>
        </w:rPr>
        <w:t>E</w:t>
      </w:r>
      <w:r w:rsidR="00FE6386" w:rsidRPr="00FE6386">
        <w:rPr>
          <w:rFonts w:ascii="Times New Roman" w:hAnsi="Times New Roman"/>
        </w:rPr>
        <w:t>PA used an hourly industry wage rate of $</w:t>
      </w:r>
      <w:r w:rsidR="00FE6386">
        <w:rPr>
          <w:rFonts w:ascii="Times New Roman" w:hAnsi="Times New Roman"/>
        </w:rPr>
        <w:t>67.57.</w:t>
      </w:r>
      <w:r w:rsidR="00FE6386" w:rsidRPr="00FE6386">
        <w:rPr>
          <w:rFonts w:ascii="Times New Roman" w:hAnsi="Times New Roman"/>
        </w:rPr>
        <w:t xml:space="preserve"> </w:t>
      </w:r>
      <w:r w:rsidR="00FE6386" w:rsidRPr="00881CF1">
        <w:rPr>
          <w:rFonts w:ascii="Times New Roman" w:hAnsi="Times New Roman"/>
        </w:rPr>
        <w:t>This is the estimated hourly mean wage rate for management within the Management, Scientific, and Technical Consulting Services sector (541600 Series NAICS code)</w:t>
      </w:r>
      <w:r w:rsidR="00D6301F">
        <w:rPr>
          <w:rFonts w:ascii="Times New Roman" w:hAnsi="Times New Roman"/>
        </w:rPr>
        <w:t xml:space="preserve"> </w:t>
      </w:r>
      <w:r w:rsidR="00D6301F" w:rsidRPr="00881CF1">
        <w:rPr>
          <w:rFonts w:ascii="Times New Roman" w:hAnsi="Times New Roman"/>
        </w:rPr>
        <w:t>and is based on the</w:t>
      </w:r>
      <w:r w:rsidR="00D6301F">
        <w:rPr>
          <w:rFonts w:ascii="Times New Roman" w:hAnsi="Times New Roman"/>
        </w:rPr>
        <w:t xml:space="preserve"> May 2013</w:t>
      </w:r>
      <w:r w:rsidR="00D6301F" w:rsidRPr="00881CF1">
        <w:rPr>
          <w:rFonts w:ascii="Times New Roman" w:hAnsi="Times New Roman"/>
        </w:rPr>
        <w:t xml:space="preserve"> National Industry-Specific Occupational Employment and Wage Estimates from the Bureau of Labor Statistics (BLS) at </w:t>
      </w:r>
      <w:r w:rsidR="00D6301F" w:rsidRPr="00D6301F">
        <w:rPr>
          <w:rFonts w:ascii="Times New Roman" w:hAnsi="Times New Roman"/>
        </w:rPr>
        <w:t>http://www.bls.gov/oes/current/naics4_541600.htm</w:t>
      </w:r>
      <w:r w:rsidR="00FE6386" w:rsidRPr="00881CF1">
        <w:rPr>
          <w:rFonts w:ascii="Times New Roman" w:hAnsi="Times New Roman"/>
        </w:rPr>
        <w:t>.</w:t>
      </w:r>
      <w:r w:rsidR="0011094A">
        <w:rPr>
          <w:rFonts w:ascii="Times New Roman" w:hAnsi="Times New Roman"/>
        </w:rPr>
        <w:t xml:space="preserve"> </w:t>
      </w:r>
      <w:r w:rsidR="00FE6386" w:rsidRPr="00FE6386">
        <w:rPr>
          <w:rFonts w:ascii="Times New Roman" w:hAnsi="Times New Roman"/>
        </w:rPr>
        <w:t>EPA added 110 percent to the hourly industry wage rate to reflect additional costs for overhead and fringe, increasing the wage rate to $</w:t>
      </w:r>
      <w:r w:rsidR="00D6301F">
        <w:rPr>
          <w:rFonts w:ascii="Times New Roman" w:hAnsi="Times New Roman"/>
        </w:rPr>
        <w:t>141.90</w:t>
      </w:r>
      <w:r w:rsidR="00FE6386" w:rsidRPr="00FE6386">
        <w:rPr>
          <w:rFonts w:ascii="Times New Roman" w:hAnsi="Times New Roman"/>
        </w:rPr>
        <w:t xml:space="preserve"> per hour.</w:t>
      </w:r>
      <w:r w:rsidR="00D6301F">
        <w:rPr>
          <w:rFonts w:ascii="Times New Roman" w:hAnsi="Times New Roman"/>
        </w:rPr>
        <w:t xml:space="preserve"> </w:t>
      </w:r>
      <w:r w:rsidR="00D65736">
        <w:rPr>
          <w:rFonts w:ascii="Times New Roman" w:hAnsi="Times New Roman"/>
        </w:rPr>
        <w:t xml:space="preserve">EPA anticipates this rate to overestimate the burden on the whole universe of respondents, as </w:t>
      </w:r>
      <w:r w:rsidR="00833C95">
        <w:rPr>
          <w:rFonts w:ascii="Times New Roman" w:hAnsi="Times New Roman"/>
        </w:rPr>
        <w:t>the wage rates are lower for g</w:t>
      </w:r>
      <w:r w:rsidR="00D86252">
        <w:rPr>
          <w:rFonts w:ascii="Times New Roman" w:hAnsi="Times New Roman"/>
        </w:rPr>
        <w:t xml:space="preserve">rowers, applicators, and other respondents </w:t>
      </w:r>
      <w:r w:rsidR="00833C95">
        <w:rPr>
          <w:rFonts w:ascii="Times New Roman" w:hAnsi="Times New Roman"/>
        </w:rPr>
        <w:t xml:space="preserve">within the Critical Use Exemption program. </w:t>
      </w:r>
    </w:p>
    <w:p w14:paraId="73CD4236" w14:textId="095BCB81" w:rsidR="00E127F3" w:rsidRDefault="006B5C69">
      <w:pPr>
        <w:ind w:firstLine="720"/>
        <w:rPr>
          <w:rFonts w:ascii="Times New Roman" w:hAnsi="Times New Roman" w:cs="Courier"/>
        </w:rPr>
      </w:pPr>
      <w:r w:rsidRPr="006B5C69">
        <w:rPr>
          <w:rFonts w:ascii="Times New Roman" w:hAnsi="Times New Roman"/>
        </w:rPr>
        <w:t>Burden hours needed to complete each application that is forwar</w:t>
      </w:r>
      <w:r w:rsidR="00BD50F3">
        <w:rPr>
          <w:rFonts w:ascii="Times New Roman" w:hAnsi="Times New Roman"/>
        </w:rPr>
        <w:t xml:space="preserve">ded to EPA is estimated to be </w:t>
      </w:r>
      <w:r w:rsidR="00FD2053" w:rsidRPr="00A2299D">
        <w:rPr>
          <w:rFonts w:ascii="Times New Roman" w:hAnsi="Times New Roman"/>
        </w:rPr>
        <w:t>3</w:t>
      </w:r>
      <w:r w:rsidR="006C40B0" w:rsidRPr="00A2299D">
        <w:rPr>
          <w:rFonts w:ascii="Times New Roman" w:hAnsi="Times New Roman"/>
        </w:rPr>
        <w:t>8</w:t>
      </w:r>
      <w:r w:rsidRPr="006B5C69">
        <w:rPr>
          <w:rFonts w:ascii="Times New Roman" w:hAnsi="Times New Roman"/>
        </w:rPr>
        <w:t>.</w:t>
      </w:r>
      <w:r w:rsidR="0011094A">
        <w:rPr>
          <w:rFonts w:ascii="Times New Roman" w:hAnsi="Times New Roman"/>
        </w:rPr>
        <w:t xml:space="preserve"> </w:t>
      </w:r>
      <w:r w:rsidR="007C5EAA">
        <w:rPr>
          <w:rFonts w:ascii="Times New Roman" w:hAnsi="Times New Roman"/>
        </w:rPr>
        <w:t>The number of applications has been declining from a maxim</w:t>
      </w:r>
      <w:r w:rsidR="007C5EAA" w:rsidRPr="00600E5B">
        <w:rPr>
          <w:rFonts w:ascii="Times New Roman" w:hAnsi="Times New Roman"/>
        </w:rPr>
        <w:t>um of 6</w:t>
      </w:r>
      <w:r w:rsidR="00600E5B" w:rsidRPr="00600E5B">
        <w:rPr>
          <w:rFonts w:ascii="Times New Roman" w:hAnsi="Times New Roman"/>
        </w:rPr>
        <w:t>3</w:t>
      </w:r>
      <w:r w:rsidR="00085B0D">
        <w:rPr>
          <w:rFonts w:ascii="Times New Roman" w:hAnsi="Times New Roman"/>
        </w:rPr>
        <w:t xml:space="preserve"> for 2006</w:t>
      </w:r>
      <w:r w:rsidR="007C5EAA" w:rsidRPr="00600E5B">
        <w:rPr>
          <w:rFonts w:ascii="Times New Roman" w:hAnsi="Times New Roman"/>
        </w:rPr>
        <w:t xml:space="preserve"> to </w:t>
      </w:r>
      <w:r w:rsidR="00273DCD">
        <w:rPr>
          <w:rFonts w:ascii="Times New Roman" w:hAnsi="Times New Roman"/>
        </w:rPr>
        <w:t>7</w:t>
      </w:r>
      <w:r w:rsidR="007C5EAA">
        <w:rPr>
          <w:rFonts w:ascii="Times New Roman" w:hAnsi="Times New Roman"/>
        </w:rPr>
        <w:t xml:space="preserve"> applications </w:t>
      </w:r>
      <w:r w:rsidR="00C6662A">
        <w:rPr>
          <w:rFonts w:ascii="Times New Roman" w:hAnsi="Times New Roman"/>
        </w:rPr>
        <w:t>for the 2017</w:t>
      </w:r>
      <w:r w:rsidR="00881CF1">
        <w:rPr>
          <w:rFonts w:ascii="Times New Roman" w:hAnsi="Times New Roman"/>
        </w:rPr>
        <w:t xml:space="preserve"> control period. </w:t>
      </w:r>
      <w:r w:rsidR="0038145B">
        <w:rPr>
          <w:rFonts w:ascii="Times New Roman" w:hAnsi="Times New Roman" w:cs="Courier"/>
        </w:rPr>
        <w:t xml:space="preserve">EPA </w:t>
      </w:r>
      <w:r w:rsidR="00F5607F">
        <w:rPr>
          <w:rFonts w:ascii="Times New Roman" w:hAnsi="Times New Roman" w:cs="Courier"/>
        </w:rPr>
        <w:t>does not anticipate</w:t>
      </w:r>
      <w:r w:rsidR="0038145B">
        <w:rPr>
          <w:rFonts w:ascii="Times New Roman" w:hAnsi="Times New Roman" w:cs="Courier"/>
        </w:rPr>
        <w:t xml:space="preserve"> new users or groups to submit applications</w:t>
      </w:r>
      <w:r w:rsidR="00273DCD">
        <w:rPr>
          <w:rFonts w:ascii="Times New Roman" w:hAnsi="Times New Roman" w:cs="Courier"/>
        </w:rPr>
        <w:t>, though groups that have submitted in the past may reapply. T</w:t>
      </w:r>
      <w:r w:rsidR="007C5EAA">
        <w:rPr>
          <w:rFonts w:ascii="Times New Roman" w:hAnsi="Times New Roman" w:cs="Courier"/>
        </w:rPr>
        <w:t xml:space="preserve">herefore EPA is conservatively estimating </w:t>
      </w:r>
      <w:r w:rsidR="00273DCD">
        <w:rPr>
          <w:rFonts w:ascii="Times New Roman" w:hAnsi="Times New Roman" w:cs="Courier"/>
        </w:rPr>
        <w:t>15</w:t>
      </w:r>
      <w:r w:rsidR="007C5EAA">
        <w:rPr>
          <w:rFonts w:ascii="Times New Roman" w:hAnsi="Times New Roman" w:cs="Courier"/>
        </w:rPr>
        <w:t xml:space="preserve"> applicants for </w:t>
      </w:r>
      <w:r w:rsidR="00273DCD">
        <w:rPr>
          <w:rFonts w:ascii="Times New Roman" w:hAnsi="Times New Roman" w:cs="Courier"/>
        </w:rPr>
        <w:t>future control periods</w:t>
      </w:r>
      <w:r w:rsidR="007C5EAA">
        <w:rPr>
          <w:rFonts w:ascii="Times New Roman" w:hAnsi="Times New Roman" w:cs="Courier"/>
        </w:rPr>
        <w:t xml:space="preserve">. </w:t>
      </w:r>
      <w:r w:rsidR="00482E79">
        <w:rPr>
          <w:rFonts w:ascii="Times New Roman" w:hAnsi="Times New Roman" w:cs="Courier"/>
        </w:rPr>
        <w:t xml:space="preserve">Total </w:t>
      </w:r>
      <w:r w:rsidR="00BD50F3" w:rsidRPr="0038145B">
        <w:rPr>
          <w:rFonts w:ascii="Times New Roman" w:hAnsi="Times New Roman" w:cs="Courier"/>
        </w:rPr>
        <w:t xml:space="preserve">burden hours have decreased from </w:t>
      </w:r>
      <w:r w:rsidR="00273DCD">
        <w:rPr>
          <w:rFonts w:ascii="Times New Roman" w:hAnsi="Times New Roman" w:cs="Courier"/>
        </w:rPr>
        <w:t xml:space="preserve">the </w:t>
      </w:r>
      <w:r w:rsidR="00BD50F3" w:rsidRPr="0038145B">
        <w:rPr>
          <w:rFonts w:ascii="Times New Roman" w:hAnsi="Times New Roman" w:cs="Courier"/>
        </w:rPr>
        <w:t>previo</w:t>
      </w:r>
      <w:r w:rsidR="00273DCD">
        <w:rPr>
          <w:rFonts w:ascii="Times New Roman" w:hAnsi="Times New Roman" w:cs="Courier"/>
        </w:rPr>
        <w:t>us ICR</w:t>
      </w:r>
      <w:r w:rsidR="00FD2053">
        <w:rPr>
          <w:rFonts w:ascii="Times New Roman" w:hAnsi="Times New Roman" w:cs="Courier"/>
        </w:rPr>
        <w:t xml:space="preserve"> as</w:t>
      </w:r>
      <w:r w:rsidR="004B4F5A" w:rsidRPr="0038145B">
        <w:rPr>
          <w:rFonts w:ascii="Times New Roman" w:hAnsi="Times New Roman" w:cs="Courier"/>
        </w:rPr>
        <w:t xml:space="preserve"> </w:t>
      </w:r>
      <w:r w:rsidR="00273DCD">
        <w:rPr>
          <w:rFonts w:ascii="Times New Roman" w:hAnsi="Times New Roman" w:cs="Courier"/>
        </w:rPr>
        <w:t>it</w:t>
      </w:r>
      <w:r w:rsidR="004B4F5A" w:rsidRPr="0038145B">
        <w:rPr>
          <w:rFonts w:ascii="Times New Roman" w:hAnsi="Times New Roman" w:cs="Courier"/>
        </w:rPr>
        <w:t xml:space="preserve"> estimated </w:t>
      </w:r>
      <w:r w:rsidR="00600E5B">
        <w:rPr>
          <w:rFonts w:ascii="Times New Roman" w:hAnsi="Times New Roman" w:cs="Courier"/>
        </w:rPr>
        <w:t>40</w:t>
      </w:r>
      <w:r w:rsidR="00FD2053">
        <w:rPr>
          <w:rFonts w:ascii="Times New Roman" w:hAnsi="Times New Roman" w:cs="Courier"/>
        </w:rPr>
        <w:t xml:space="preserve"> respondents.</w:t>
      </w:r>
      <w:r w:rsidR="0011094A">
        <w:rPr>
          <w:rFonts w:ascii="Times New Roman" w:hAnsi="Times New Roman" w:cs="Courier"/>
        </w:rPr>
        <w:t xml:space="preserve"> </w:t>
      </w:r>
      <w:r w:rsidR="009E61CB">
        <w:rPr>
          <w:rFonts w:ascii="Times New Roman" w:hAnsi="Times New Roman"/>
        </w:rPr>
        <w:t xml:space="preserve">EPA believes that the number of </w:t>
      </w:r>
      <w:r w:rsidR="009E61CB">
        <w:rPr>
          <w:rFonts w:ascii="Times New Roman" w:hAnsi="Times New Roman"/>
        </w:rPr>
        <w:lastRenderedPageBreak/>
        <w:t>hours may be an overestimate as there have been</w:t>
      </w:r>
      <w:r w:rsidR="009E61CB" w:rsidRPr="006B5C69">
        <w:rPr>
          <w:rFonts w:ascii="Times New Roman" w:hAnsi="Times New Roman"/>
        </w:rPr>
        <w:t xml:space="preserve"> minimal formatting /data changes to the application form, encouragem</w:t>
      </w:r>
      <w:r w:rsidR="005511A4">
        <w:rPr>
          <w:rFonts w:ascii="Times New Roman" w:hAnsi="Times New Roman"/>
        </w:rPr>
        <w:t>ent of electronic submissions,</w:t>
      </w:r>
      <w:r w:rsidR="009E61CB" w:rsidRPr="006B5C69">
        <w:rPr>
          <w:rFonts w:ascii="Times New Roman" w:hAnsi="Times New Roman"/>
        </w:rPr>
        <w:t xml:space="preserve"> frequent communication with stakeholders, and </w:t>
      </w:r>
      <w:r w:rsidR="00631557">
        <w:rPr>
          <w:rFonts w:ascii="Times New Roman" w:hAnsi="Times New Roman"/>
        </w:rPr>
        <w:t>eleven</w:t>
      </w:r>
      <w:r w:rsidR="009E61CB">
        <w:rPr>
          <w:rFonts w:ascii="Times New Roman" w:hAnsi="Times New Roman"/>
        </w:rPr>
        <w:t xml:space="preserve"> years of implementation.</w:t>
      </w:r>
      <w:r w:rsidR="00FD2053" w:rsidRPr="00FD2053">
        <w:rPr>
          <w:rFonts w:ascii="Times New Roman" w:hAnsi="Times New Roman" w:cs="Courier"/>
        </w:rPr>
        <w:t xml:space="preserve"> </w:t>
      </w:r>
      <w:r w:rsidR="00FD2053">
        <w:rPr>
          <w:rFonts w:ascii="Times New Roman" w:hAnsi="Times New Roman" w:cs="Courier"/>
        </w:rPr>
        <w:t xml:space="preserve">EPA has </w:t>
      </w:r>
      <w:r w:rsidR="00482E79">
        <w:rPr>
          <w:rFonts w:ascii="Times New Roman" w:hAnsi="Times New Roman" w:cs="Courier"/>
        </w:rPr>
        <w:t xml:space="preserve">also </w:t>
      </w:r>
      <w:r w:rsidR="00FD2053">
        <w:rPr>
          <w:rFonts w:ascii="Times New Roman" w:hAnsi="Times New Roman" w:cs="Courier"/>
        </w:rPr>
        <w:t xml:space="preserve">found that the </w:t>
      </w:r>
      <w:r w:rsidR="00FD2053" w:rsidRPr="00795F38">
        <w:rPr>
          <w:rFonts w:ascii="Times New Roman" w:hAnsi="Times New Roman" w:cs="Courier"/>
        </w:rPr>
        <w:t xml:space="preserve">majority of users have applied through their consortia, and </w:t>
      </w:r>
      <w:r w:rsidR="00FD2053">
        <w:rPr>
          <w:rFonts w:ascii="Times New Roman" w:hAnsi="Times New Roman" w:cs="Courier"/>
        </w:rPr>
        <w:t>that these</w:t>
      </w:r>
      <w:r w:rsidR="00FD2053" w:rsidRPr="00795F38">
        <w:rPr>
          <w:rFonts w:ascii="Times New Roman" w:hAnsi="Times New Roman" w:cs="Courier"/>
        </w:rPr>
        <w:t xml:space="preserve"> c</w:t>
      </w:r>
      <w:r w:rsidR="00FD2053">
        <w:rPr>
          <w:rFonts w:ascii="Times New Roman" w:hAnsi="Times New Roman" w:cs="Courier"/>
        </w:rPr>
        <w:t>onsortia represent many growers.</w:t>
      </w:r>
    </w:p>
    <w:p w14:paraId="24721472" w14:textId="77777777" w:rsidR="006B5C69" w:rsidRDefault="006B5C69" w:rsidP="006B5C69">
      <w:pPr>
        <w:rPr>
          <w:rFonts w:ascii="Times New Roman" w:hAnsi="Times New Roman"/>
        </w:rPr>
      </w:pPr>
    </w:p>
    <w:p w14:paraId="47871296" w14:textId="77777777" w:rsidR="006B5C69" w:rsidRDefault="006B5C69" w:rsidP="006B5C69">
      <w:pPr>
        <w:rPr>
          <w:rFonts w:ascii="Times New Roman" w:hAnsi="Times New Roman"/>
        </w:rPr>
      </w:pPr>
      <w:r>
        <w:rPr>
          <w:rFonts w:ascii="Times New Roman" w:hAnsi="Times New Roman"/>
        </w:rPr>
        <w:t>ii)</w:t>
      </w:r>
      <w:r>
        <w:rPr>
          <w:rFonts w:ascii="Times New Roman" w:hAnsi="Times New Roman"/>
        </w:rPr>
        <w:tab/>
        <w:t>Reported Data</w:t>
      </w:r>
    </w:p>
    <w:p w14:paraId="23E0CEAC" w14:textId="77777777" w:rsidR="006B5C69" w:rsidRPr="00877602" w:rsidRDefault="006B5C69" w:rsidP="006B5C69">
      <w:pPr>
        <w:rPr>
          <w:rFonts w:ascii="Times New Roman" w:hAnsi="Times New Roman"/>
        </w:rPr>
      </w:pPr>
    </w:p>
    <w:p w14:paraId="02656F95" w14:textId="46926DF4" w:rsidR="00FD2053" w:rsidRPr="00FD2053" w:rsidRDefault="00FE6386" w:rsidP="00FE6386">
      <w:pPr>
        <w:ind w:firstLine="720"/>
        <w:rPr>
          <w:rFonts w:ascii="Times New Roman" w:hAnsi="Times New Roman"/>
        </w:rPr>
      </w:pPr>
      <w:r w:rsidRPr="00FE6386">
        <w:rPr>
          <w:rFonts w:ascii="Times New Roman" w:hAnsi="Times New Roman"/>
        </w:rPr>
        <w:t>To determine the labor costs associated with recordkeeping and reporting, EPA used an hourly industry wage rate of $</w:t>
      </w:r>
      <w:r>
        <w:rPr>
          <w:rFonts w:ascii="Times New Roman" w:hAnsi="Times New Roman"/>
        </w:rPr>
        <w:t>52.24</w:t>
      </w:r>
      <w:r w:rsidRPr="00FE6386">
        <w:rPr>
          <w:rFonts w:ascii="Times New Roman" w:hAnsi="Times New Roman"/>
        </w:rPr>
        <w:t>.</w:t>
      </w:r>
      <w:r w:rsidR="0011094A">
        <w:rPr>
          <w:rFonts w:ascii="Times New Roman" w:hAnsi="Times New Roman"/>
        </w:rPr>
        <w:t xml:space="preserve"> </w:t>
      </w:r>
      <w:r w:rsidRPr="00FE6386">
        <w:rPr>
          <w:rFonts w:ascii="Times New Roman" w:hAnsi="Times New Roman"/>
        </w:rPr>
        <w:t>This is the average hourly wage rate for professional and related persons derived from the Bureau of Labor Statistics Employer Cost and Employee Compensation Table 2 (http://www.bls.gov/news.rel</w:t>
      </w:r>
      <w:r>
        <w:rPr>
          <w:rFonts w:ascii="Times New Roman" w:hAnsi="Times New Roman"/>
        </w:rPr>
        <w:t>ease/ecec.t02.htm ), March 2014</w:t>
      </w:r>
      <w:r w:rsidR="00631557">
        <w:rPr>
          <w:rFonts w:ascii="Times New Roman" w:hAnsi="Times New Roman"/>
        </w:rPr>
        <w:t xml:space="preserve">. </w:t>
      </w:r>
      <w:r w:rsidRPr="00FE6386">
        <w:rPr>
          <w:rFonts w:ascii="Times New Roman" w:hAnsi="Times New Roman"/>
        </w:rPr>
        <w:t>EPA added 110 percent to the hourly industry wage rate to reflect additional costs for overhead and fringe, increasing the wage rate to $</w:t>
      </w:r>
      <w:r>
        <w:rPr>
          <w:rFonts w:ascii="Times New Roman" w:hAnsi="Times New Roman"/>
        </w:rPr>
        <w:t>109.70</w:t>
      </w:r>
      <w:r w:rsidR="00631557">
        <w:rPr>
          <w:rFonts w:ascii="Times New Roman" w:hAnsi="Times New Roman"/>
        </w:rPr>
        <w:t xml:space="preserve"> per hour. </w:t>
      </w:r>
      <w:r w:rsidR="00EA018D" w:rsidRPr="00877602">
        <w:rPr>
          <w:rFonts w:ascii="Times New Roman" w:hAnsi="Times New Roman"/>
        </w:rPr>
        <w:t>Some activities, such as rule familiarization, are one time activities therefore total respondent burden hours indicated in Table II (below) may be overestimated.</w:t>
      </w:r>
      <w:r w:rsidR="00631557">
        <w:rPr>
          <w:rFonts w:ascii="Times New Roman" w:hAnsi="Times New Roman"/>
        </w:rPr>
        <w:t xml:space="preserve"> </w:t>
      </w:r>
      <w:r w:rsidR="008805A6" w:rsidRPr="000F041F">
        <w:rPr>
          <w:rFonts w:ascii="Times New Roman" w:hAnsi="Times New Roman"/>
        </w:rPr>
        <w:t xml:space="preserve">This </w:t>
      </w:r>
      <w:r w:rsidR="000108B5" w:rsidRPr="000F041F">
        <w:rPr>
          <w:rFonts w:ascii="Times New Roman" w:hAnsi="Times New Roman"/>
        </w:rPr>
        <w:t>renewal</w:t>
      </w:r>
      <w:r w:rsidR="00FA566D" w:rsidRPr="000F041F">
        <w:rPr>
          <w:rFonts w:ascii="Times New Roman" w:hAnsi="Times New Roman"/>
        </w:rPr>
        <w:t xml:space="preserve">, as compared to the </w:t>
      </w:r>
      <w:r w:rsidR="000108B5" w:rsidRPr="000F041F">
        <w:rPr>
          <w:rFonts w:ascii="Times New Roman" w:hAnsi="Times New Roman"/>
        </w:rPr>
        <w:t xml:space="preserve">existing </w:t>
      </w:r>
      <w:r w:rsidR="00FA566D" w:rsidRPr="000F041F">
        <w:rPr>
          <w:rFonts w:ascii="Times New Roman" w:hAnsi="Times New Roman"/>
        </w:rPr>
        <w:t>ICR,</w:t>
      </w:r>
      <w:r w:rsidR="008805A6" w:rsidRPr="000F041F">
        <w:rPr>
          <w:rFonts w:ascii="Times New Roman" w:hAnsi="Times New Roman"/>
        </w:rPr>
        <w:t xml:space="preserve"> </w:t>
      </w:r>
      <w:r w:rsidR="00E81735" w:rsidRPr="000F041F">
        <w:rPr>
          <w:rFonts w:ascii="Times New Roman" w:hAnsi="Times New Roman"/>
        </w:rPr>
        <w:t>reduces the</w:t>
      </w:r>
      <w:r w:rsidR="008805A6" w:rsidRPr="000F041F">
        <w:rPr>
          <w:rFonts w:ascii="Times New Roman" w:hAnsi="Times New Roman"/>
        </w:rPr>
        <w:t xml:space="preserve"> expected </w:t>
      </w:r>
      <w:r w:rsidR="000108B5" w:rsidRPr="000F041F">
        <w:rPr>
          <w:rFonts w:ascii="Times New Roman" w:hAnsi="Times New Roman"/>
        </w:rPr>
        <w:t xml:space="preserve">burden for the </w:t>
      </w:r>
      <w:r w:rsidR="008805A6" w:rsidRPr="000F041F">
        <w:rPr>
          <w:rFonts w:ascii="Times New Roman" w:hAnsi="Times New Roman"/>
        </w:rPr>
        <w:t>respondents compiling and reporting data on an annual basis</w:t>
      </w:r>
      <w:r w:rsidR="00D055A9" w:rsidRPr="000F041F">
        <w:rPr>
          <w:rFonts w:ascii="Times New Roman" w:hAnsi="Times New Roman"/>
        </w:rPr>
        <w:t>. T</w:t>
      </w:r>
      <w:r w:rsidR="00E81735" w:rsidRPr="000F041F">
        <w:rPr>
          <w:rFonts w:ascii="Times New Roman" w:hAnsi="Times New Roman"/>
        </w:rPr>
        <w:t>he number of distributors of methyl bromide has decreased as the amount of critical use methyl bromide sold in the U.S. has decreased</w:t>
      </w:r>
      <w:r w:rsidR="008805A6" w:rsidRPr="000F041F">
        <w:rPr>
          <w:rFonts w:ascii="Times New Roman" w:hAnsi="Times New Roman"/>
        </w:rPr>
        <w:t>.</w:t>
      </w:r>
      <w:r w:rsidR="0011094A">
        <w:rPr>
          <w:rFonts w:ascii="Times New Roman" w:hAnsi="Times New Roman"/>
        </w:rPr>
        <w:t xml:space="preserve"> </w:t>
      </w:r>
      <w:r w:rsidR="00FD2053" w:rsidRPr="00EC564E">
        <w:rPr>
          <w:rFonts w:ascii="Times New Roman" w:hAnsi="Times New Roman" w:cs="Courier"/>
        </w:rPr>
        <w:t xml:space="preserve">As discussed above, the number of applications submitted the </w:t>
      </w:r>
      <w:r w:rsidR="00631557">
        <w:rPr>
          <w:rFonts w:ascii="Times New Roman" w:hAnsi="Times New Roman" w:cs="Courier"/>
        </w:rPr>
        <w:t xml:space="preserve">last three years has declined. </w:t>
      </w:r>
      <w:r w:rsidR="00FD2053" w:rsidRPr="00EC564E">
        <w:rPr>
          <w:rFonts w:ascii="Times New Roman" w:hAnsi="Times New Roman" w:cs="Courier"/>
        </w:rPr>
        <w:t xml:space="preserve">This corresponds to a similar decrease in the end user universe which EPA now estimates to be </w:t>
      </w:r>
      <w:r w:rsidR="000261AD" w:rsidRPr="00EC564E">
        <w:rPr>
          <w:rFonts w:ascii="Times New Roman" w:hAnsi="Times New Roman" w:cs="Courier"/>
        </w:rPr>
        <w:t xml:space="preserve">approximately </w:t>
      </w:r>
      <w:r w:rsidR="00FD2053" w:rsidRPr="00631557">
        <w:rPr>
          <w:rFonts w:ascii="Times New Roman" w:hAnsi="Times New Roman" w:cs="Courier"/>
        </w:rPr>
        <w:t>1</w:t>
      </w:r>
      <w:r w:rsidR="009A22CA">
        <w:rPr>
          <w:rFonts w:ascii="Times New Roman" w:hAnsi="Times New Roman" w:cs="Courier"/>
        </w:rPr>
        <w:t>,</w:t>
      </w:r>
      <w:r w:rsidR="00EC564E" w:rsidRPr="00631557">
        <w:rPr>
          <w:rFonts w:ascii="Times New Roman" w:hAnsi="Times New Roman" w:cs="Courier"/>
        </w:rPr>
        <w:t>0</w:t>
      </w:r>
      <w:r w:rsidR="00FD2053" w:rsidRPr="00631557">
        <w:rPr>
          <w:rFonts w:ascii="Times New Roman" w:hAnsi="Times New Roman" w:cs="Courier"/>
        </w:rPr>
        <w:t>00</w:t>
      </w:r>
      <w:r w:rsidR="00FD2053" w:rsidRPr="00EC564E">
        <w:rPr>
          <w:rFonts w:ascii="Times New Roman" w:hAnsi="Times New Roman" w:cs="Courier"/>
        </w:rPr>
        <w:t>.</w:t>
      </w:r>
      <w:r w:rsidR="0011094A">
        <w:rPr>
          <w:rFonts w:ascii="Times New Roman" w:hAnsi="Times New Roman" w:cs="Courier"/>
        </w:rPr>
        <w:t xml:space="preserve"> </w:t>
      </w:r>
    </w:p>
    <w:p w14:paraId="08766B78" w14:textId="77777777" w:rsidR="00980F17" w:rsidRDefault="00980F17" w:rsidP="00980F17">
      <w:pPr>
        <w:rPr>
          <w:rFonts w:ascii="Times New Roman" w:hAnsi="Times New Roman"/>
        </w:rPr>
      </w:pPr>
    </w:p>
    <w:p w14:paraId="420580E2" w14:textId="77777777" w:rsidR="00D055A9" w:rsidRDefault="00EA018D" w:rsidP="002B668C">
      <w:pPr>
        <w:jc w:val="center"/>
        <w:rPr>
          <w:rFonts w:ascii="Times New Roman" w:hAnsi="Times New Roman"/>
          <w:b/>
          <w:bCs/>
        </w:rPr>
      </w:pPr>
      <w:r w:rsidRPr="00127391">
        <w:rPr>
          <w:rFonts w:ascii="Times New Roman" w:hAnsi="Times New Roman"/>
          <w:b/>
          <w:bCs/>
        </w:rPr>
        <w:t>TABLE II- RESPONDENT BURDEN HOURS PER YEAR</w:t>
      </w:r>
    </w:p>
    <w:tbl>
      <w:tblPr>
        <w:tblW w:w="8920" w:type="dxa"/>
        <w:tblLook w:val="04A0" w:firstRow="1" w:lastRow="0" w:firstColumn="1" w:lastColumn="0" w:noHBand="0" w:noVBand="1"/>
      </w:tblPr>
      <w:tblGrid>
        <w:gridCol w:w="3934"/>
        <w:gridCol w:w="1306"/>
        <w:gridCol w:w="1400"/>
        <w:gridCol w:w="1200"/>
        <w:gridCol w:w="1080"/>
      </w:tblGrid>
      <w:tr w:rsidR="000E180E" w:rsidRPr="000E180E" w14:paraId="4B91343B" w14:textId="77777777" w:rsidTr="001D45E4">
        <w:trPr>
          <w:trHeight w:val="510"/>
        </w:trPr>
        <w:tc>
          <w:tcPr>
            <w:tcW w:w="3934" w:type="dxa"/>
            <w:tcBorders>
              <w:top w:val="single" w:sz="8" w:space="0" w:color="auto"/>
              <w:left w:val="single" w:sz="8" w:space="0" w:color="auto"/>
              <w:bottom w:val="single" w:sz="4" w:space="0" w:color="auto"/>
              <w:right w:val="single" w:sz="4" w:space="0" w:color="auto"/>
            </w:tcBorders>
            <w:shd w:val="clear" w:color="auto" w:fill="auto"/>
            <w:hideMark/>
          </w:tcPr>
          <w:p w14:paraId="020CF112"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Collection Activity</w:t>
            </w:r>
          </w:p>
        </w:tc>
        <w:tc>
          <w:tcPr>
            <w:tcW w:w="1306" w:type="dxa"/>
            <w:tcBorders>
              <w:top w:val="single" w:sz="8" w:space="0" w:color="auto"/>
              <w:left w:val="nil"/>
              <w:bottom w:val="single" w:sz="4" w:space="0" w:color="auto"/>
              <w:right w:val="single" w:sz="4" w:space="0" w:color="auto"/>
            </w:tcBorders>
            <w:shd w:val="clear" w:color="auto" w:fill="auto"/>
            <w:hideMark/>
          </w:tcPr>
          <w:p w14:paraId="4588E3F4"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No. of Respondents</w:t>
            </w:r>
          </w:p>
        </w:tc>
        <w:tc>
          <w:tcPr>
            <w:tcW w:w="1400" w:type="dxa"/>
            <w:tcBorders>
              <w:top w:val="single" w:sz="8" w:space="0" w:color="auto"/>
              <w:left w:val="nil"/>
              <w:bottom w:val="single" w:sz="4" w:space="0" w:color="auto"/>
              <w:right w:val="single" w:sz="4" w:space="0" w:color="auto"/>
            </w:tcBorders>
            <w:shd w:val="clear" w:color="auto" w:fill="auto"/>
            <w:hideMark/>
          </w:tcPr>
          <w:p w14:paraId="2F9DEC20"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Total No. of Responses</w:t>
            </w:r>
          </w:p>
        </w:tc>
        <w:tc>
          <w:tcPr>
            <w:tcW w:w="1200" w:type="dxa"/>
            <w:tcBorders>
              <w:top w:val="single" w:sz="8" w:space="0" w:color="auto"/>
              <w:left w:val="nil"/>
              <w:bottom w:val="single" w:sz="4" w:space="0" w:color="auto"/>
              <w:right w:val="single" w:sz="4" w:space="0" w:color="auto"/>
            </w:tcBorders>
            <w:shd w:val="clear" w:color="auto" w:fill="auto"/>
            <w:hideMark/>
          </w:tcPr>
          <w:p w14:paraId="587841FE"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Hours per Response</w:t>
            </w:r>
          </w:p>
        </w:tc>
        <w:tc>
          <w:tcPr>
            <w:tcW w:w="1080" w:type="dxa"/>
            <w:tcBorders>
              <w:top w:val="single" w:sz="8" w:space="0" w:color="auto"/>
              <w:left w:val="nil"/>
              <w:bottom w:val="single" w:sz="4" w:space="0" w:color="auto"/>
              <w:right w:val="single" w:sz="8" w:space="0" w:color="auto"/>
            </w:tcBorders>
            <w:shd w:val="clear" w:color="auto" w:fill="auto"/>
            <w:hideMark/>
          </w:tcPr>
          <w:p w14:paraId="18889A39"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Total Hours</w:t>
            </w:r>
          </w:p>
        </w:tc>
      </w:tr>
      <w:tr w:rsidR="000E180E" w:rsidRPr="000E180E" w14:paraId="7C516ADE" w14:textId="77777777" w:rsidTr="000E180E">
        <w:trPr>
          <w:trHeight w:val="315"/>
        </w:trPr>
        <w:tc>
          <w:tcPr>
            <w:tcW w:w="8920" w:type="dxa"/>
            <w:gridSpan w:val="5"/>
            <w:tcBorders>
              <w:top w:val="single" w:sz="4" w:space="0" w:color="auto"/>
              <w:left w:val="single" w:sz="8" w:space="0" w:color="auto"/>
              <w:bottom w:val="double" w:sz="6" w:space="0" w:color="auto"/>
              <w:right w:val="single" w:sz="8" w:space="0" w:color="000000"/>
            </w:tcBorders>
            <w:shd w:val="clear" w:color="auto" w:fill="auto"/>
            <w:hideMark/>
          </w:tcPr>
          <w:p w14:paraId="1C8D85C4" w14:textId="77777777" w:rsidR="000E180E" w:rsidRPr="000E180E" w:rsidRDefault="000E180E" w:rsidP="000E180E">
            <w:pPr>
              <w:widowControl/>
              <w:autoSpaceDE/>
              <w:autoSpaceDN/>
              <w:adjustRightInd/>
              <w:rPr>
                <w:rFonts w:ascii="Times New Roman" w:hAnsi="Times New Roman"/>
                <w:b/>
                <w:bCs/>
              </w:rPr>
            </w:pPr>
            <w:r w:rsidRPr="000E180E">
              <w:rPr>
                <w:rFonts w:ascii="Times New Roman" w:hAnsi="Times New Roman"/>
                <w:b/>
                <w:bCs/>
              </w:rPr>
              <w:t>i)  Applications</w:t>
            </w:r>
          </w:p>
        </w:tc>
      </w:tr>
      <w:tr w:rsidR="000E180E" w:rsidRPr="000E180E" w14:paraId="1732E1CE" w14:textId="77777777" w:rsidTr="001D45E4">
        <w:trPr>
          <w:trHeight w:val="270"/>
        </w:trPr>
        <w:tc>
          <w:tcPr>
            <w:tcW w:w="3934" w:type="dxa"/>
            <w:tcBorders>
              <w:top w:val="nil"/>
              <w:left w:val="single" w:sz="8" w:space="0" w:color="auto"/>
              <w:bottom w:val="single" w:sz="4" w:space="0" w:color="auto"/>
              <w:right w:val="single" w:sz="4" w:space="0" w:color="auto"/>
            </w:tcBorders>
            <w:shd w:val="clear" w:color="auto" w:fill="auto"/>
            <w:hideMark/>
          </w:tcPr>
          <w:p w14:paraId="5A7DCF77"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Read CAA Request for applications</w:t>
            </w:r>
          </w:p>
        </w:tc>
        <w:tc>
          <w:tcPr>
            <w:tcW w:w="1306" w:type="dxa"/>
            <w:tcBorders>
              <w:top w:val="nil"/>
              <w:left w:val="nil"/>
              <w:bottom w:val="single" w:sz="4" w:space="0" w:color="auto"/>
              <w:right w:val="single" w:sz="4" w:space="0" w:color="auto"/>
            </w:tcBorders>
            <w:shd w:val="clear" w:color="auto" w:fill="auto"/>
            <w:hideMark/>
          </w:tcPr>
          <w:p w14:paraId="278CFC25"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400" w:type="dxa"/>
            <w:tcBorders>
              <w:top w:val="nil"/>
              <w:left w:val="nil"/>
              <w:bottom w:val="single" w:sz="4" w:space="0" w:color="auto"/>
              <w:right w:val="single" w:sz="4" w:space="0" w:color="auto"/>
            </w:tcBorders>
            <w:shd w:val="clear" w:color="auto" w:fill="auto"/>
            <w:hideMark/>
          </w:tcPr>
          <w:p w14:paraId="66B1F134"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200" w:type="dxa"/>
            <w:tcBorders>
              <w:top w:val="nil"/>
              <w:left w:val="nil"/>
              <w:bottom w:val="single" w:sz="4" w:space="0" w:color="auto"/>
              <w:right w:val="single" w:sz="4" w:space="0" w:color="auto"/>
            </w:tcBorders>
            <w:shd w:val="clear" w:color="auto" w:fill="auto"/>
            <w:hideMark/>
          </w:tcPr>
          <w:p w14:paraId="537F48F5"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14:paraId="551EBC83"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7.5</w:t>
            </w:r>
          </w:p>
        </w:tc>
      </w:tr>
      <w:tr w:rsidR="000E180E" w:rsidRPr="000E180E" w14:paraId="3280185C" w14:textId="77777777" w:rsidTr="001D45E4">
        <w:trPr>
          <w:trHeight w:val="510"/>
        </w:trPr>
        <w:tc>
          <w:tcPr>
            <w:tcW w:w="3934" w:type="dxa"/>
            <w:tcBorders>
              <w:top w:val="nil"/>
              <w:left w:val="single" w:sz="8" w:space="0" w:color="auto"/>
              <w:bottom w:val="single" w:sz="4" w:space="0" w:color="auto"/>
              <w:right w:val="single" w:sz="4" w:space="0" w:color="auto"/>
            </w:tcBorders>
            <w:shd w:val="clear" w:color="auto" w:fill="auto"/>
            <w:hideMark/>
          </w:tcPr>
          <w:p w14:paraId="160D6B1D"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Process, compile, and review the requested data for accuracy and appropriateness</w:t>
            </w:r>
          </w:p>
        </w:tc>
        <w:tc>
          <w:tcPr>
            <w:tcW w:w="1306" w:type="dxa"/>
            <w:tcBorders>
              <w:top w:val="nil"/>
              <w:left w:val="nil"/>
              <w:bottom w:val="single" w:sz="4" w:space="0" w:color="auto"/>
              <w:right w:val="single" w:sz="4" w:space="0" w:color="auto"/>
            </w:tcBorders>
            <w:shd w:val="clear" w:color="auto" w:fill="auto"/>
            <w:hideMark/>
          </w:tcPr>
          <w:p w14:paraId="1BD2F1C2"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400" w:type="dxa"/>
            <w:tcBorders>
              <w:top w:val="nil"/>
              <w:left w:val="nil"/>
              <w:bottom w:val="single" w:sz="4" w:space="0" w:color="auto"/>
              <w:right w:val="single" w:sz="4" w:space="0" w:color="auto"/>
            </w:tcBorders>
            <w:shd w:val="clear" w:color="auto" w:fill="auto"/>
            <w:hideMark/>
          </w:tcPr>
          <w:p w14:paraId="06915820"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200" w:type="dxa"/>
            <w:tcBorders>
              <w:top w:val="nil"/>
              <w:left w:val="nil"/>
              <w:bottom w:val="single" w:sz="4" w:space="0" w:color="auto"/>
              <w:right w:val="single" w:sz="4" w:space="0" w:color="auto"/>
            </w:tcBorders>
            <w:shd w:val="clear" w:color="auto" w:fill="auto"/>
            <w:hideMark/>
          </w:tcPr>
          <w:p w14:paraId="10EE8364"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30</w:t>
            </w:r>
          </w:p>
        </w:tc>
        <w:tc>
          <w:tcPr>
            <w:tcW w:w="1080" w:type="dxa"/>
            <w:tcBorders>
              <w:top w:val="nil"/>
              <w:left w:val="nil"/>
              <w:bottom w:val="single" w:sz="4" w:space="0" w:color="auto"/>
              <w:right w:val="single" w:sz="8" w:space="0" w:color="auto"/>
            </w:tcBorders>
            <w:shd w:val="clear" w:color="auto" w:fill="auto"/>
            <w:hideMark/>
          </w:tcPr>
          <w:p w14:paraId="29335CE9"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450</w:t>
            </w:r>
          </w:p>
        </w:tc>
      </w:tr>
      <w:tr w:rsidR="000E180E" w:rsidRPr="000E180E" w14:paraId="755B22D2" w14:textId="77777777" w:rsidTr="001D45E4">
        <w:trPr>
          <w:trHeight w:val="510"/>
        </w:trPr>
        <w:tc>
          <w:tcPr>
            <w:tcW w:w="3934" w:type="dxa"/>
            <w:tcBorders>
              <w:top w:val="nil"/>
              <w:left w:val="single" w:sz="8" w:space="0" w:color="auto"/>
              <w:bottom w:val="single" w:sz="4" w:space="0" w:color="auto"/>
              <w:right w:val="single" w:sz="4" w:space="0" w:color="auto"/>
            </w:tcBorders>
            <w:shd w:val="clear" w:color="auto" w:fill="auto"/>
            <w:hideMark/>
          </w:tcPr>
          <w:p w14:paraId="7733405C"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Generate application correspondence (and any follow-up information requested)</w:t>
            </w:r>
          </w:p>
        </w:tc>
        <w:tc>
          <w:tcPr>
            <w:tcW w:w="1306" w:type="dxa"/>
            <w:tcBorders>
              <w:top w:val="nil"/>
              <w:left w:val="nil"/>
              <w:bottom w:val="single" w:sz="4" w:space="0" w:color="auto"/>
              <w:right w:val="single" w:sz="4" w:space="0" w:color="auto"/>
            </w:tcBorders>
            <w:shd w:val="clear" w:color="auto" w:fill="auto"/>
            <w:hideMark/>
          </w:tcPr>
          <w:p w14:paraId="0438F972"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400" w:type="dxa"/>
            <w:tcBorders>
              <w:top w:val="nil"/>
              <w:left w:val="nil"/>
              <w:bottom w:val="single" w:sz="4" w:space="0" w:color="auto"/>
              <w:right w:val="single" w:sz="4" w:space="0" w:color="auto"/>
            </w:tcBorders>
            <w:shd w:val="clear" w:color="auto" w:fill="auto"/>
            <w:hideMark/>
          </w:tcPr>
          <w:p w14:paraId="18C62CCF"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200" w:type="dxa"/>
            <w:tcBorders>
              <w:top w:val="nil"/>
              <w:left w:val="nil"/>
              <w:bottom w:val="single" w:sz="4" w:space="0" w:color="auto"/>
              <w:right w:val="single" w:sz="4" w:space="0" w:color="auto"/>
            </w:tcBorders>
            <w:shd w:val="clear" w:color="auto" w:fill="auto"/>
            <w:hideMark/>
          </w:tcPr>
          <w:p w14:paraId="05B1C2FD"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7</w:t>
            </w:r>
          </w:p>
        </w:tc>
        <w:tc>
          <w:tcPr>
            <w:tcW w:w="1080" w:type="dxa"/>
            <w:tcBorders>
              <w:top w:val="nil"/>
              <w:left w:val="nil"/>
              <w:bottom w:val="single" w:sz="4" w:space="0" w:color="auto"/>
              <w:right w:val="single" w:sz="8" w:space="0" w:color="auto"/>
            </w:tcBorders>
            <w:shd w:val="clear" w:color="auto" w:fill="auto"/>
            <w:hideMark/>
          </w:tcPr>
          <w:p w14:paraId="0F9229D2"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105</w:t>
            </w:r>
          </w:p>
        </w:tc>
      </w:tr>
      <w:tr w:rsidR="000E180E" w:rsidRPr="000E180E" w14:paraId="6A54A7FA" w14:textId="77777777" w:rsidTr="001D45E4">
        <w:trPr>
          <w:trHeight w:val="270"/>
        </w:trPr>
        <w:tc>
          <w:tcPr>
            <w:tcW w:w="3934" w:type="dxa"/>
            <w:tcBorders>
              <w:top w:val="nil"/>
              <w:left w:val="single" w:sz="8" w:space="0" w:color="auto"/>
              <w:bottom w:val="single" w:sz="4" w:space="0" w:color="auto"/>
              <w:right w:val="single" w:sz="4" w:space="0" w:color="auto"/>
            </w:tcBorders>
            <w:shd w:val="clear" w:color="auto" w:fill="auto"/>
            <w:hideMark/>
          </w:tcPr>
          <w:p w14:paraId="4453C1B5"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Store, file, or maintain the information</w:t>
            </w:r>
          </w:p>
        </w:tc>
        <w:tc>
          <w:tcPr>
            <w:tcW w:w="1306" w:type="dxa"/>
            <w:tcBorders>
              <w:top w:val="nil"/>
              <w:left w:val="nil"/>
              <w:bottom w:val="nil"/>
              <w:right w:val="single" w:sz="4" w:space="0" w:color="auto"/>
            </w:tcBorders>
            <w:shd w:val="clear" w:color="auto" w:fill="auto"/>
            <w:hideMark/>
          </w:tcPr>
          <w:p w14:paraId="5C3B1A7D"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400" w:type="dxa"/>
            <w:tcBorders>
              <w:top w:val="nil"/>
              <w:left w:val="nil"/>
              <w:bottom w:val="nil"/>
              <w:right w:val="single" w:sz="4" w:space="0" w:color="auto"/>
            </w:tcBorders>
            <w:shd w:val="clear" w:color="auto" w:fill="auto"/>
            <w:hideMark/>
          </w:tcPr>
          <w:p w14:paraId="6274102A"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200" w:type="dxa"/>
            <w:tcBorders>
              <w:top w:val="nil"/>
              <w:left w:val="nil"/>
              <w:bottom w:val="single" w:sz="4" w:space="0" w:color="auto"/>
              <w:right w:val="single" w:sz="4" w:space="0" w:color="auto"/>
            </w:tcBorders>
            <w:shd w:val="clear" w:color="auto" w:fill="auto"/>
            <w:hideMark/>
          </w:tcPr>
          <w:p w14:paraId="199D0489"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14:paraId="37C3B71D"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7.5</w:t>
            </w:r>
          </w:p>
        </w:tc>
      </w:tr>
      <w:tr w:rsidR="000E180E" w:rsidRPr="000E180E" w14:paraId="4FFFEBA6" w14:textId="77777777" w:rsidTr="001D45E4">
        <w:trPr>
          <w:trHeight w:val="270"/>
        </w:trPr>
        <w:tc>
          <w:tcPr>
            <w:tcW w:w="3934" w:type="dxa"/>
            <w:tcBorders>
              <w:top w:val="single" w:sz="8" w:space="0" w:color="auto"/>
              <w:left w:val="single" w:sz="8" w:space="0" w:color="auto"/>
              <w:bottom w:val="single" w:sz="8" w:space="0" w:color="auto"/>
              <w:right w:val="single" w:sz="4" w:space="0" w:color="auto"/>
            </w:tcBorders>
            <w:shd w:val="clear" w:color="auto" w:fill="auto"/>
            <w:hideMark/>
          </w:tcPr>
          <w:p w14:paraId="4CBD16DC"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Total burden for applications</w:t>
            </w:r>
          </w:p>
        </w:tc>
        <w:tc>
          <w:tcPr>
            <w:tcW w:w="1306" w:type="dxa"/>
            <w:tcBorders>
              <w:top w:val="single" w:sz="8" w:space="0" w:color="auto"/>
              <w:left w:val="nil"/>
              <w:bottom w:val="single" w:sz="8" w:space="0" w:color="auto"/>
              <w:right w:val="single" w:sz="4" w:space="0" w:color="auto"/>
            </w:tcBorders>
            <w:shd w:val="clear" w:color="auto" w:fill="auto"/>
            <w:hideMark/>
          </w:tcPr>
          <w:p w14:paraId="0D22C520" w14:textId="77777777" w:rsidR="000E180E" w:rsidRPr="000E180E" w:rsidRDefault="000E180E" w:rsidP="000E180E">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15</w:t>
            </w:r>
          </w:p>
        </w:tc>
        <w:tc>
          <w:tcPr>
            <w:tcW w:w="1400" w:type="dxa"/>
            <w:tcBorders>
              <w:top w:val="single" w:sz="8" w:space="0" w:color="auto"/>
              <w:left w:val="nil"/>
              <w:bottom w:val="single" w:sz="8" w:space="0" w:color="auto"/>
              <w:right w:val="single" w:sz="4" w:space="0" w:color="auto"/>
            </w:tcBorders>
            <w:shd w:val="clear" w:color="auto" w:fill="auto"/>
            <w:hideMark/>
          </w:tcPr>
          <w:p w14:paraId="09F10FE1" w14:textId="77777777" w:rsidR="000E180E" w:rsidRPr="000E180E" w:rsidRDefault="000E180E" w:rsidP="000E180E">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15</w:t>
            </w:r>
          </w:p>
        </w:tc>
        <w:tc>
          <w:tcPr>
            <w:tcW w:w="1200" w:type="dxa"/>
            <w:tcBorders>
              <w:top w:val="single" w:sz="8" w:space="0" w:color="auto"/>
              <w:left w:val="nil"/>
              <w:bottom w:val="single" w:sz="8" w:space="0" w:color="auto"/>
              <w:right w:val="single" w:sz="4" w:space="0" w:color="auto"/>
            </w:tcBorders>
            <w:shd w:val="clear" w:color="auto" w:fill="auto"/>
            <w:hideMark/>
          </w:tcPr>
          <w:p w14:paraId="7FFAE780" w14:textId="77777777" w:rsidR="000E180E" w:rsidRPr="000E180E" w:rsidRDefault="000E180E" w:rsidP="000E180E">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38</w:t>
            </w:r>
          </w:p>
        </w:tc>
        <w:tc>
          <w:tcPr>
            <w:tcW w:w="1080" w:type="dxa"/>
            <w:tcBorders>
              <w:top w:val="single" w:sz="8" w:space="0" w:color="auto"/>
              <w:left w:val="nil"/>
              <w:bottom w:val="single" w:sz="8" w:space="0" w:color="auto"/>
              <w:right w:val="single" w:sz="8" w:space="0" w:color="auto"/>
            </w:tcBorders>
            <w:shd w:val="clear" w:color="auto" w:fill="auto"/>
            <w:hideMark/>
          </w:tcPr>
          <w:p w14:paraId="5790259D" w14:textId="77777777" w:rsidR="000E180E" w:rsidRPr="000E180E" w:rsidRDefault="000E180E" w:rsidP="000E180E">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570</w:t>
            </w:r>
          </w:p>
        </w:tc>
      </w:tr>
      <w:tr w:rsidR="000E180E" w:rsidRPr="000E180E" w14:paraId="28610024" w14:textId="77777777" w:rsidTr="000E180E">
        <w:trPr>
          <w:trHeight w:val="270"/>
        </w:trPr>
        <w:tc>
          <w:tcPr>
            <w:tcW w:w="8920" w:type="dxa"/>
            <w:gridSpan w:val="5"/>
            <w:tcBorders>
              <w:top w:val="single" w:sz="8" w:space="0" w:color="auto"/>
              <w:left w:val="single" w:sz="8" w:space="0" w:color="auto"/>
              <w:bottom w:val="single" w:sz="8" w:space="0" w:color="auto"/>
              <w:right w:val="single" w:sz="8" w:space="0" w:color="000000"/>
            </w:tcBorders>
            <w:shd w:val="clear" w:color="000000" w:fill="C0C0C0"/>
            <w:hideMark/>
          </w:tcPr>
          <w:p w14:paraId="2800238F" w14:textId="77777777" w:rsidR="000E180E" w:rsidRPr="000E180E" w:rsidRDefault="000E180E" w:rsidP="000E180E">
            <w:pPr>
              <w:widowControl/>
              <w:autoSpaceDE/>
              <w:autoSpaceDN/>
              <w:adjustRightInd/>
              <w:rPr>
                <w:rFonts w:ascii="Times New Roman" w:hAnsi="Times New Roman"/>
                <w:b/>
                <w:bCs/>
                <w:sz w:val="20"/>
                <w:szCs w:val="20"/>
              </w:rPr>
            </w:pPr>
            <w:r w:rsidRPr="000E180E">
              <w:rPr>
                <w:rFonts w:ascii="Times New Roman" w:hAnsi="Times New Roman"/>
                <w:b/>
                <w:bCs/>
                <w:sz w:val="20"/>
                <w:szCs w:val="20"/>
              </w:rPr>
              <w:t> </w:t>
            </w:r>
          </w:p>
        </w:tc>
      </w:tr>
      <w:tr w:rsidR="000E180E" w:rsidRPr="000E180E" w14:paraId="71C12D81" w14:textId="77777777" w:rsidTr="000E180E">
        <w:trPr>
          <w:trHeight w:val="345"/>
        </w:trPr>
        <w:tc>
          <w:tcPr>
            <w:tcW w:w="8920" w:type="dxa"/>
            <w:gridSpan w:val="5"/>
            <w:tcBorders>
              <w:top w:val="nil"/>
              <w:left w:val="single" w:sz="8" w:space="0" w:color="auto"/>
              <w:bottom w:val="double" w:sz="6" w:space="0" w:color="auto"/>
              <w:right w:val="single" w:sz="8" w:space="0" w:color="000000"/>
            </w:tcBorders>
            <w:shd w:val="clear" w:color="auto" w:fill="auto"/>
            <w:hideMark/>
          </w:tcPr>
          <w:p w14:paraId="2C4F1ABA" w14:textId="77777777" w:rsidR="000E180E" w:rsidRPr="000E180E" w:rsidRDefault="000E180E" w:rsidP="000E180E">
            <w:pPr>
              <w:widowControl/>
              <w:autoSpaceDE/>
              <w:autoSpaceDN/>
              <w:adjustRightInd/>
              <w:rPr>
                <w:rFonts w:ascii="Times New Roman" w:hAnsi="Times New Roman"/>
                <w:b/>
                <w:bCs/>
              </w:rPr>
            </w:pPr>
            <w:r w:rsidRPr="000E180E">
              <w:rPr>
                <w:rFonts w:ascii="Times New Roman" w:hAnsi="Times New Roman"/>
                <w:b/>
                <w:bCs/>
              </w:rPr>
              <w:t>ii)  Recordkeeping and Reporting</w:t>
            </w:r>
          </w:p>
        </w:tc>
      </w:tr>
      <w:tr w:rsidR="000E180E" w:rsidRPr="000E180E" w14:paraId="7809488F" w14:textId="77777777" w:rsidTr="001D45E4">
        <w:trPr>
          <w:trHeight w:val="270"/>
        </w:trPr>
        <w:tc>
          <w:tcPr>
            <w:tcW w:w="3934" w:type="dxa"/>
            <w:tcBorders>
              <w:top w:val="nil"/>
              <w:left w:val="single" w:sz="8" w:space="0" w:color="auto"/>
              <w:bottom w:val="single" w:sz="4" w:space="0" w:color="auto"/>
              <w:right w:val="single" w:sz="4" w:space="0" w:color="auto"/>
            </w:tcBorders>
            <w:shd w:val="clear" w:color="auto" w:fill="auto"/>
            <w:hideMark/>
          </w:tcPr>
          <w:p w14:paraId="1AFBA933"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Rule Familiarization</w:t>
            </w:r>
          </w:p>
        </w:tc>
        <w:tc>
          <w:tcPr>
            <w:tcW w:w="1306" w:type="dxa"/>
            <w:tcBorders>
              <w:top w:val="nil"/>
              <w:left w:val="nil"/>
              <w:bottom w:val="single" w:sz="4" w:space="0" w:color="auto"/>
              <w:right w:val="single" w:sz="4" w:space="0" w:color="auto"/>
            </w:tcBorders>
            <w:shd w:val="clear" w:color="auto" w:fill="auto"/>
            <w:hideMark/>
          </w:tcPr>
          <w:p w14:paraId="4396BC67"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400" w:type="dxa"/>
            <w:tcBorders>
              <w:top w:val="nil"/>
              <w:left w:val="nil"/>
              <w:bottom w:val="single" w:sz="4" w:space="0" w:color="auto"/>
              <w:right w:val="single" w:sz="4" w:space="0" w:color="auto"/>
            </w:tcBorders>
            <w:shd w:val="clear" w:color="auto" w:fill="auto"/>
            <w:hideMark/>
          </w:tcPr>
          <w:p w14:paraId="08C6A213"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200" w:type="dxa"/>
            <w:tcBorders>
              <w:top w:val="nil"/>
              <w:left w:val="nil"/>
              <w:bottom w:val="single" w:sz="4" w:space="0" w:color="auto"/>
              <w:right w:val="single" w:sz="4" w:space="0" w:color="auto"/>
            </w:tcBorders>
            <w:shd w:val="clear" w:color="auto" w:fill="auto"/>
            <w:hideMark/>
          </w:tcPr>
          <w:p w14:paraId="47446089"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2</w:t>
            </w:r>
          </w:p>
        </w:tc>
        <w:tc>
          <w:tcPr>
            <w:tcW w:w="1080" w:type="dxa"/>
            <w:tcBorders>
              <w:top w:val="single" w:sz="4" w:space="0" w:color="auto"/>
              <w:left w:val="nil"/>
              <w:bottom w:val="single" w:sz="4" w:space="0" w:color="auto"/>
              <w:right w:val="single" w:sz="8" w:space="0" w:color="auto"/>
            </w:tcBorders>
            <w:shd w:val="clear" w:color="auto" w:fill="auto"/>
            <w:hideMark/>
          </w:tcPr>
          <w:p w14:paraId="25383300"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100</w:t>
            </w:r>
          </w:p>
        </w:tc>
      </w:tr>
      <w:tr w:rsidR="000E180E" w:rsidRPr="000E180E" w14:paraId="6E1DA9EF" w14:textId="77777777" w:rsidTr="001D45E4">
        <w:trPr>
          <w:trHeight w:val="255"/>
        </w:trPr>
        <w:tc>
          <w:tcPr>
            <w:tcW w:w="3934" w:type="dxa"/>
            <w:tcBorders>
              <w:top w:val="nil"/>
              <w:left w:val="single" w:sz="8" w:space="0" w:color="auto"/>
              <w:bottom w:val="single" w:sz="4" w:space="0" w:color="auto"/>
              <w:right w:val="single" w:sz="4" w:space="0" w:color="auto"/>
            </w:tcBorders>
            <w:shd w:val="clear" w:color="auto" w:fill="auto"/>
            <w:hideMark/>
          </w:tcPr>
          <w:p w14:paraId="173193AF"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Data Compilation (quarterly basis)</w:t>
            </w:r>
          </w:p>
        </w:tc>
        <w:tc>
          <w:tcPr>
            <w:tcW w:w="1306" w:type="dxa"/>
            <w:tcBorders>
              <w:top w:val="nil"/>
              <w:left w:val="nil"/>
              <w:bottom w:val="single" w:sz="4" w:space="0" w:color="auto"/>
              <w:right w:val="single" w:sz="4" w:space="0" w:color="auto"/>
            </w:tcBorders>
            <w:shd w:val="clear" w:color="auto" w:fill="auto"/>
            <w:hideMark/>
          </w:tcPr>
          <w:p w14:paraId="63FB4C41"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4</w:t>
            </w:r>
          </w:p>
        </w:tc>
        <w:tc>
          <w:tcPr>
            <w:tcW w:w="1400" w:type="dxa"/>
            <w:tcBorders>
              <w:top w:val="nil"/>
              <w:left w:val="nil"/>
              <w:bottom w:val="single" w:sz="4" w:space="0" w:color="auto"/>
              <w:right w:val="single" w:sz="4" w:space="0" w:color="auto"/>
            </w:tcBorders>
            <w:shd w:val="clear" w:color="auto" w:fill="auto"/>
            <w:hideMark/>
          </w:tcPr>
          <w:p w14:paraId="3AA955D8"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16</w:t>
            </w:r>
          </w:p>
        </w:tc>
        <w:tc>
          <w:tcPr>
            <w:tcW w:w="1200" w:type="dxa"/>
            <w:tcBorders>
              <w:top w:val="nil"/>
              <w:left w:val="nil"/>
              <w:bottom w:val="single" w:sz="4" w:space="0" w:color="auto"/>
              <w:right w:val="single" w:sz="4" w:space="0" w:color="auto"/>
            </w:tcBorders>
            <w:shd w:val="clear" w:color="auto" w:fill="auto"/>
            <w:hideMark/>
          </w:tcPr>
          <w:p w14:paraId="0D4F1F75" w14:textId="412DE297" w:rsidR="000E180E" w:rsidRPr="000E180E" w:rsidRDefault="001D45E4" w:rsidP="000E180E">
            <w:pPr>
              <w:widowControl/>
              <w:autoSpaceDE/>
              <w:autoSpaceDN/>
              <w:adjustRightInd/>
              <w:jc w:val="right"/>
              <w:rPr>
                <w:rFonts w:ascii="Times New Roman" w:hAnsi="Times New Roman"/>
                <w:sz w:val="20"/>
                <w:szCs w:val="20"/>
              </w:rPr>
            </w:pPr>
            <w:r>
              <w:rPr>
                <w:rFonts w:ascii="Times New Roman" w:hAnsi="Times New Roman"/>
                <w:sz w:val="20"/>
                <w:szCs w:val="20"/>
              </w:rPr>
              <w:t>3.75</w:t>
            </w:r>
          </w:p>
        </w:tc>
        <w:tc>
          <w:tcPr>
            <w:tcW w:w="1080" w:type="dxa"/>
            <w:tcBorders>
              <w:top w:val="nil"/>
              <w:left w:val="nil"/>
              <w:bottom w:val="single" w:sz="4" w:space="0" w:color="auto"/>
              <w:right w:val="single" w:sz="8" w:space="0" w:color="auto"/>
            </w:tcBorders>
            <w:shd w:val="clear" w:color="auto" w:fill="auto"/>
            <w:hideMark/>
          </w:tcPr>
          <w:p w14:paraId="2F7672C5"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60</w:t>
            </w:r>
          </w:p>
        </w:tc>
      </w:tr>
      <w:tr w:rsidR="000E180E" w:rsidRPr="000E180E" w14:paraId="010F9DB5" w14:textId="77777777" w:rsidTr="001D45E4">
        <w:trPr>
          <w:trHeight w:val="255"/>
        </w:trPr>
        <w:tc>
          <w:tcPr>
            <w:tcW w:w="3934" w:type="dxa"/>
            <w:tcBorders>
              <w:top w:val="nil"/>
              <w:left w:val="single" w:sz="8" w:space="0" w:color="auto"/>
              <w:bottom w:val="single" w:sz="4" w:space="0" w:color="auto"/>
              <w:right w:val="single" w:sz="4" w:space="0" w:color="auto"/>
            </w:tcBorders>
            <w:shd w:val="clear" w:color="auto" w:fill="auto"/>
            <w:hideMark/>
          </w:tcPr>
          <w:p w14:paraId="030D22C6"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Data Compilation (annual basis)</w:t>
            </w:r>
          </w:p>
        </w:tc>
        <w:tc>
          <w:tcPr>
            <w:tcW w:w="1306" w:type="dxa"/>
            <w:tcBorders>
              <w:top w:val="nil"/>
              <w:left w:val="nil"/>
              <w:bottom w:val="single" w:sz="4" w:space="0" w:color="auto"/>
              <w:right w:val="single" w:sz="4" w:space="0" w:color="auto"/>
            </w:tcBorders>
            <w:shd w:val="clear" w:color="auto" w:fill="auto"/>
            <w:hideMark/>
          </w:tcPr>
          <w:p w14:paraId="29FBBD9A"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400" w:type="dxa"/>
            <w:tcBorders>
              <w:top w:val="nil"/>
              <w:left w:val="nil"/>
              <w:bottom w:val="single" w:sz="4" w:space="0" w:color="auto"/>
              <w:right w:val="single" w:sz="4" w:space="0" w:color="auto"/>
            </w:tcBorders>
            <w:shd w:val="clear" w:color="auto" w:fill="auto"/>
            <w:hideMark/>
          </w:tcPr>
          <w:p w14:paraId="39A59537"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200" w:type="dxa"/>
            <w:tcBorders>
              <w:top w:val="nil"/>
              <w:left w:val="nil"/>
              <w:bottom w:val="single" w:sz="4" w:space="0" w:color="auto"/>
              <w:right w:val="single" w:sz="4" w:space="0" w:color="auto"/>
            </w:tcBorders>
            <w:shd w:val="clear" w:color="auto" w:fill="auto"/>
            <w:hideMark/>
          </w:tcPr>
          <w:p w14:paraId="205A286A" w14:textId="7F5B03A1" w:rsidR="000E180E" w:rsidRPr="000E180E" w:rsidRDefault="000E180E" w:rsidP="001D45E4">
            <w:pPr>
              <w:widowControl/>
              <w:autoSpaceDE/>
              <w:autoSpaceDN/>
              <w:adjustRightInd/>
              <w:jc w:val="right"/>
              <w:rPr>
                <w:rFonts w:ascii="Times New Roman" w:hAnsi="Times New Roman"/>
                <w:sz w:val="20"/>
                <w:szCs w:val="20"/>
              </w:rPr>
            </w:pPr>
            <w:r w:rsidRPr="000E180E">
              <w:rPr>
                <w:rFonts w:ascii="Times New Roman" w:hAnsi="Times New Roman"/>
                <w:sz w:val="20"/>
                <w:szCs w:val="20"/>
              </w:rPr>
              <w:t>8</w:t>
            </w:r>
            <w:r w:rsidR="001D45E4">
              <w:rPr>
                <w:rFonts w:ascii="Times New Roman" w:hAnsi="Times New Roman"/>
                <w:sz w:val="20"/>
                <w:szCs w:val="20"/>
              </w:rPr>
              <w:t>.5</w:t>
            </w:r>
          </w:p>
        </w:tc>
        <w:tc>
          <w:tcPr>
            <w:tcW w:w="1080" w:type="dxa"/>
            <w:tcBorders>
              <w:top w:val="nil"/>
              <w:left w:val="nil"/>
              <w:bottom w:val="single" w:sz="4" w:space="0" w:color="auto"/>
              <w:right w:val="single" w:sz="8" w:space="0" w:color="auto"/>
            </w:tcBorders>
            <w:shd w:val="clear" w:color="auto" w:fill="auto"/>
            <w:hideMark/>
          </w:tcPr>
          <w:p w14:paraId="3DCD1E49" w14:textId="185AA016" w:rsidR="000E180E" w:rsidRPr="000E180E" w:rsidRDefault="001D45E4" w:rsidP="000E180E">
            <w:pPr>
              <w:widowControl/>
              <w:autoSpaceDE/>
              <w:autoSpaceDN/>
              <w:adjustRightInd/>
              <w:jc w:val="right"/>
              <w:rPr>
                <w:rFonts w:ascii="Times New Roman" w:hAnsi="Times New Roman"/>
                <w:sz w:val="20"/>
                <w:szCs w:val="20"/>
              </w:rPr>
            </w:pPr>
            <w:r>
              <w:rPr>
                <w:rFonts w:ascii="Times New Roman" w:hAnsi="Times New Roman"/>
                <w:sz w:val="20"/>
                <w:szCs w:val="20"/>
              </w:rPr>
              <w:t>425</w:t>
            </w:r>
          </w:p>
        </w:tc>
      </w:tr>
      <w:tr w:rsidR="000E180E" w:rsidRPr="000E180E" w14:paraId="36DF09CB" w14:textId="77777777" w:rsidTr="001D45E4">
        <w:trPr>
          <w:trHeight w:val="255"/>
        </w:trPr>
        <w:tc>
          <w:tcPr>
            <w:tcW w:w="3934" w:type="dxa"/>
            <w:tcBorders>
              <w:top w:val="nil"/>
              <w:left w:val="single" w:sz="8" w:space="0" w:color="auto"/>
              <w:bottom w:val="single" w:sz="4" w:space="0" w:color="auto"/>
              <w:right w:val="single" w:sz="4" w:space="0" w:color="auto"/>
            </w:tcBorders>
            <w:shd w:val="clear" w:color="auto" w:fill="auto"/>
            <w:hideMark/>
          </w:tcPr>
          <w:p w14:paraId="4F21CB4C"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Data Reporting (quarterly basis)</w:t>
            </w:r>
          </w:p>
        </w:tc>
        <w:tc>
          <w:tcPr>
            <w:tcW w:w="1306" w:type="dxa"/>
            <w:tcBorders>
              <w:top w:val="nil"/>
              <w:left w:val="nil"/>
              <w:bottom w:val="single" w:sz="4" w:space="0" w:color="auto"/>
              <w:right w:val="single" w:sz="4" w:space="0" w:color="auto"/>
            </w:tcBorders>
            <w:shd w:val="clear" w:color="auto" w:fill="auto"/>
            <w:hideMark/>
          </w:tcPr>
          <w:p w14:paraId="5E80F255"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4</w:t>
            </w:r>
          </w:p>
        </w:tc>
        <w:tc>
          <w:tcPr>
            <w:tcW w:w="1400" w:type="dxa"/>
            <w:tcBorders>
              <w:top w:val="nil"/>
              <w:left w:val="nil"/>
              <w:bottom w:val="single" w:sz="4" w:space="0" w:color="auto"/>
              <w:right w:val="single" w:sz="4" w:space="0" w:color="auto"/>
            </w:tcBorders>
            <w:shd w:val="clear" w:color="auto" w:fill="auto"/>
            <w:hideMark/>
          </w:tcPr>
          <w:p w14:paraId="13DD9660"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16</w:t>
            </w:r>
          </w:p>
        </w:tc>
        <w:tc>
          <w:tcPr>
            <w:tcW w:w="1200" w:type="dxa"/>
            <w:tcBorders>
              <w:top w:val="nil"/>
              <w:left w:val="nil"/>
              <w:bottom w:val="single" w:sz="4" w:space="0" w:color="auto"/>
              <w:right w:val="single" w:sz="4" w:space="0" w:color="auto"/>
            </w:tcBorders>
            <w:shd w:val="clear" w:color="auto" w:fill="auto"/>
            <w:hideMark/>
          </w:tcPr>
          <w:p w14:paraId="36DE9F24"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14:paraId="158BFFBF"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8</w:t>
            </w:r>
          </w:p>
        </w:tc>
      </w:tr>
      <w:tr w:rsidR="000E180E" w:rsidRPr="000E180E" w14:paraId="6ABD43E9" w14:textId="77777777" w:rsidTr="001D45E4">
        <w:trPr>
          <w:trHeight w:val="255"/>
        </w:trPr>
        <w:tc>
          <w:tcPr>
            <w:tcW w:w="3934" w:type="dxa"/>
            <w:tcBorders>
              <w:top w:val="nil"/>
              <w:left w:val="single" w:sz="8" w:space="0" w:color="auto"/>
              <w:bottom w:val="single" w:sz="4" w:space="0" w:color="auto"/>
              <w:right w:val="single" w:sz="4" w:space="0" w:color="auto"/>
            </w:tcBorders>
            <w:shd w:val="clear" w:color="auto" w:fill="auto"/>
            <w:hideMark/>
          </w:tcPr>
          <w:p w14:paraId="25878E8F"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Data Reporting (annual basis)</w:t>
            </w:r>
          </w:p>
        </w:tc>
        <w:tc>
          <w:tcPr>
            <w:tcW w:w="1306" w:type="dxa"/>
            <w:tcBorders>
              <w:top w:val="nil"/>
              <w:left w:val="nil"/>
              <w:bottom w:val="single" w:sz="4" w:space="0" w:color="auto"/>
              <w:right w:val="single" w:sz="4" w:space="0" w:color="auto"/>
            </w:tcBorders>
            <w:shd w:val="clear" w:color="auto" w:fill="auto"/>
            <w:hideMark/>
          </w:tcPr>
          <w:p w14:paraId="5C74C74F"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400" w:type="dxa"/>
            <w:tcBorders>
              <w:top w:val="nil"/>
              <w:left w:val="nil"/>
              <w:bottom w:val="single" w:sz="4" w:space="0" w:color="auto"/>
              <w:right w:val="single" w:sz="4" w:space="0" w:color="auto"/>
            </w:tcBorders>
            <w:shd w:val="clear" w:color="auto" w:fill="auto"/>
            <w:hideMark/>
          </w:tcPr>
          <w:p w14:paraId="070F06DB"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200" w:type="dxa"/>
            <w:tcBorders>
              <w:top w:val="nil"/>
              <w:left w:val="nil"/>
              <w:bottom w:val="single" w:sz="4" w:space="0" w:color="auto"/>
              <w:right w:val="single" w:sz="4" w:space="0" w:color="auto"/>
            </w:tcBorders>
            <w:shd w:val="clear" w:color="auto" w:fill="auto"/>
            <w:hideMark/>
          </w:tcPr>
          <w:p w14:paraId="6686BB46"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w:t>
            </w:r>
          </w:p>
        </w:tc>
        <w:tc>
          <w:tcPr>
            <w:tcW w:w="1080" w:type="dxa"/>
            <w:tcBorders>
              <w:top w:val="nil"/>
              <w:left w:val="nil"/>
              <w:bottom w:val="single" w:sz="4" w:space="0" w:color="auto"/>
              <w:right w:val="single" w:sz="8" w:space="0" w:color="auto"/>
            </w:tcBorders>
            <w:shd w:val="clear" w:color="auto" w:fill="auto"/>
            <w:hideMark/>
          </w:tcPr>
          <w:p w14:paraId="59CB63B7"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r>
      <w:tr w:rsidR="000E180E" w:rsidRPr="000E180E" w14:paraId="6029030C" w14:textId="77777777" w:rsidTr="001D45E4">
        <w:trPr>
          <w:trHeight w:val="255"/>
        </w:trPr>
        <w:tc>
          <w:tcPr>
            <w:tcW w:w="3934" w:type="dxa"/>
            <w:tcBorders>
              <w:top w:val="nil"/>
              <w:left w:val="single" w:sz="8" w:space="0" w:color="auto"/>
              <w:bottom w:val="single" w:sz="4" w:space="0" w:color="auto"/>
              <w:right w:val="single" w:sz="4" w:space="0" w:color="auto"/>
            </w:tcBorders>
            <w:shd w:val="clear" w:color="auto" w:fill="auto"/>
            <w:hideMark/>
          </w:tcPr>
          <w:p w14:paraId="79E33914"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Reporting on Allowance Trading Activities</w:t>
            </w:r>
          </w:p>
        </w:tc>
        <w:tc>
          <w:tcPr>
            <w:tcW w:w="1306" w:type="dxa"/>
            <w:tcBorders>
              <w:top w:val="nil"/>
              <w:left w:val="nil"/>
              <w:bottom w:val="single" w:sz="4" w:space="0" w:color="auto"/>
              <w:right w:val="single" w:sz="4" w:space="0" w:color="auto"/>
            </w:tcBorders>
            <w:shd w:val="clear" w:color="auto" w:fill="auto"/>
            <w:hideMark/>
          </w:tcPr>
          <w:p w14:paraId="1D11A2A3"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4</w:t>
            </w:r>
          </w:p>
        </w:tc>
        <w:tc>
          <w:tcPr>
            <w:tcW w:w="1400" w:type="dxa"/>
            <w:tcBorders>
              <w:top w:val="nil"/>
              <w:left w:val="nil"/>
              <w:bottom w:val="single" w:sz="4" w:space="0" w:color="auto"/>
              <w:right w:val="single" w:sz="4" w:space="0" w:color="auto"/>
            </w:tcBorders>
            <w:shd w:val="clear" w:color="auto" w:fill="auto"/>
            <w:hideMark/>
          </w:tcPr>
          <w:p w14:paraId="4899101F"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32</w:t>
            </w:r>
          </w:p>
        </w:tc>
        <w:tc>
          <w:tcPr>
            <w:tcW w:w="1200" w:type="dxa"/>
            <w:tcBorders>
              <w:top w:val="nil"/>
              <w:left w:val="nil"/>
              <w:bottom w:val="single" w:sz="4" w:space="0" w:color="auto"/>
              <w:right w:val="single" w:sz="4" w:space="0" w:color="auto"/>
            </w:tcBorders>
            <w:shd w:val="clear" w:color="auto" w:fill="auto"/>
            <w:hideMark/>
          </w:tcPr>
          <w:p w14:paraId="330C44FD"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0.5</w:t>
            </w:r>
          </w:p>
        </w:tc>
        <w:tc>
          <w:tcPr>
            <w:tcW w:w="1080" w:type="dxa"/>
            <w:tcBorders>
              <w:top w:val="nil"/>
              <w:left w:val="nil"/>
              <w:bottom w:val="single" w:sz="4" w:space="0" w:color="auto"/>
              <w:right w:val="single" w:sz="8" w:space="0" w:color="auto"/>
            </w:tcBorders>
            <w:shd w:val="clear" w:color="auto" w:fill="auto"/>
            <w:hideMark/>
          </w:tcPr>
          <w:p w14:paraId="78BF5B93"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16</w:t>
            </w:r>
          </w:p>
        </w:tc>
      </w:tr>
      <w:tr w:rsidR="000E180E" w:rsidRPr="000E180E" w14:paraId="495FCAE2" w14:textId="77777777" w:rsidTr="001D45E4">
        <w:trPr>
          <w:trHeight w:val="510"/>
        </w:trPr>
        <w:tc>
          <w:tcPr>
            <w:tcW w:w="3934" w:type="dxa"/>
            <w:tcBorders>
              <w:top w:val="nil"/>
              <w:left w:val="single" w:sz="8" w:space="0" w:color="auto"/>
              <w:bottom w:val="nil"/>
              <w:right w:val="single" w:sz="4" w:space="0" w:color="auto"/>
            </w:tcBorders>
            <w:shd w:val="clear" w:color="auto" w:fill="auto"/>
            <w:hideMark/>
          </w:tcPr>
          <w:p w14:paraId="2066CBE3"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Responding to periodic questions regarding CUE program and fumigation industry</w:t>
            </w:r>
          </w:p>
        </w:tc>
        <w:tc>
          <w:tcPr>
            <w:tcW w:w="1306" w:type="dxa"/>
            <w:tcBorders>
              <w:top w:val="nil"/>
              <w:left w:val="nil"/>
              <w:bottom w:val="nil"/>
              <w:right w:val="single" w:sz="4" w:space="0" w:color="auto"/>
            </w:tcBorders>
            <w:shd w:val="clear" w:color="auto" w:fill="auto"/>
            <w:hideMark/>
          </w:tcPr>
          <w:p w14:paraId="22A885DA"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400" w:type="dxa"/>
            <w:tcBorders>
              <w:top w:val="nil"/>
              <w:left w:val="nil"/>
              <w:bottom w:val="nil"/>
              <w:right w:val="single" w:sz="4" w:space="0" w:color="auto"/>
            </w:tcBorders>
            <w:shd w:val="clear" w:color="auto" w:fill="auto"/>
            <w:hideMark/>
          </w:tcPr>
          <w:p w14:paraId="3623D37D"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200" w:type="dxa"/>
            <w:tcBorders>
              <w:top w:val="nil"/>
              <w:left w:val="nil"/>
              <w:bottom w:val="nil"/>
              <w:right w:val="single" w:sz="4" w:space="0" w:color="auto"/>
            </w:tcBorders>
            <w:shd w:val="clear" w:color="auto" w:fill="auto"/>
            <w:hideMark/>
          </w:tcPr>
          <w:p w14:paraId="17752D57"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w:t>
            </w:r>
          </w:p>
        </w:tc>
        <w:tc>
          <w:tcPr>
            <w:tcW w:w="1080" w:type="dxa"/>
            <w:tcBorders>
              <w:top w:val="nil"/>
              <w:left w:val="nil"/>
              <w:bottom w:val="nil"/>
              <w:right w:val="single" w:sz="8" w:space="0" w:color="auto"/>
            </w:tcBorders>
            <w:shd w:val="clear" w:color="auto" w:fill="auto"/>
            <w:hideMark/>
          </w:tcPr>
          <w:p w14:paraId="05592EA9"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r>
      <w:tr w:rsidR="000E180E" w:rsidRPr="000E180E" w14:paraId="49EB70CC" w14:textId="77777777" w:rsidTr="001D45E4">
        <w:trPr>
          <w:trHeight w:val="525"/>
        </w:trPr>
        <w:tc>
          <w:tcPr>
            <w:tcW w:w="3934" w:type="dxa"/>
            <w:tcBorders>
              <w:top w:val="single" w:sz="4" w:space="0" w:color="auto"/>
              <w:left w:val="single" w:sz="8" w:space="0" w:color="auto"/>
              <w:bottom w:val="nil"/>
              <w:right w:val="single" w:sz="4" w:space="0" w:color="auto"/>
            </w:tcBorders>
            <w:shd w:val="clear" w:color="auto" w:fill="auto"/>
            <w:hideMark/>
          </w:tcPr>
          <w:p w14:paraId="7AF7107F" w14:textId="77777777" w:rsidR="000E180E" w:rsidRPr="000E180E" w:rsidRDefault="000E180E" w:rsidP="000E180E">
            <w:pPr>
              <w:widowControl/>
              <w:autoSpaceDE/>
              <w:autoSpaceDN/>
              <w:adjustRightInd/>
              <w:rPr>
                <w:rFonts w:ascii="Times New Roman" w:hAnsi="Times New Roman"/>
                <w:sz w:val="20"/>
                <w:szCs w:val="20"/>
              </w:rPr>
            </w:pPr>
            <w:r w:rsidRPr="000E180E">
              <w:rPr>
                <w:rFonts w:ascii="Times New Roman" w:hAnsi="Times New Roman"/>
                <w:sz w:val="20"/>
                <w:szCs w:val="20"/>
              </w:rPr>
              <w:t xml:space="preserve">Self-certification Activities by Producers, Importers, and Distributors </w:t>
            </w:r>
          </w:p>
        </w:tc>
        <w:tc>
          <w:tcPr>
            <w:tcW w:w="1306" w:type="dxa"/>
            <w:tcBorders>
              <w:top w:val="single" w:sz="4" w:space="0" w:color="auto"/>
              <w:left w:val="nil"/>
              <w:bottom w:val="nil"/>
              <w:right w:val="single" w:sz="4" w:space="0" w:color="auto"/>
            </w:tcBorders>
            <w:shd w:val="clear" w:color="auto" w:fill="auto"/>
            <w:hideMark/>
          </w:tcPr>
          <w:p w14:paraId="7340D484"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400" w:type="dxa"/>
            <w:tcBorders>
              <w:top w:val="single" w:sz="4" w:space="0" w:color="auto"/>
              <w:left w:val="nil"/>
              <w:bottom w:val="nil"/>
              <w:right w:val="single" w:sz="4" w:space="0" w:color="auto"/>
            </w:tcBorders>
            <w:shd w:val="clear" w:color="auto" w:fill="auto"/>
            <w:hideMark/>
          </w:tcPr>
          <w:p w14:paraId="1925B9E0"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50</w:t>
            </w:r>
          </w:p>
        </w:tc>
        <w:tc>
          <w:tcPr>
            <w:tcW w:w="1200" w:type="dxa"/>
            <w:tcBorders>
              <w:top w:val="single" w:sz="4" w:space="0" w:color="auto"/>
              <w:left w:val="nil"/>
              <w:bottom w:val="nil"/>
              <w:right w:val="single" w:sz="4" w:space="0" w:color="auto"/>
            </w:tcBorders>
            <w:shd w:val="clear" w:color="auto" w:fill="auto"/>
            <w:hideMark/>
          </w:tcPr>
          <w:p w14:paraId="57588BD5"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0.25</w:t>
            </w:r>
          </w:p>
        </w:tc>
        <w:tc>
          <w:tcPr>
            <w:tcW w:w="1080" w:type="dxa"/>
            <w:tcBorders>
              <w:top w:val="single" w:sz="4" w:space="0" w:color="auto"/>
              <w:left w:val="nil"/>
              <w:bottom w:val="nil"/>
              <w:right w:val="single" w:sz="8" w:space="0" w:color="auto"/>
            </w:tcBorders>
            <w:shd w:val="clear" w:color="auto" w:fill="auto"/>
            <w:hideMark/>
          </w:tcPr>
          <w:p w14:paraId="7AF952D3" w14:textId="77777777" w:rsidR="000E180E" w:rsidRPr="000E180E" w:rsidRDefault="000E180E" w:rsidP="000E180E">
            <w:pPr>
              <w:widowControl/>
              <w:autoSpaceDE/>
              <w:autoSpaceDN/>
              <w:adjustRightInd/>
              <w:jc w:val="right"/>
              <w:rPr>
                <w:rFonts w:ascii="Times New Roman" w:hAnsi="Times New Roman"/>
                <w:sz w:val="20"/>
                <w:szCs w:val="20"/>
              </w:rPr>
            </w:pPr>
            <w:r w:rsidRPr="000E180E">
              <w:rPr>
                <w:rFonts w:ascii="Times New Roman" w:hAnsi="Times New Roman"/>
                <w:sz w:val="20"/>
                <w:szCs w:val="20"/>
              </w:rPr>
              <w:t>12.5</w:t>
            </w:r>
          </w:p>
        </w:tc>
      </w:tr>
      <w:tr w:rsidR="001D45E4" w:rsidRPr="000E180E" w14:paraId="65C708E9" w14:textId="77777777" w:rsidTr="001D45E4">
        <w:trPr>
          <w:trHeight w:val="525"/>
        </w:trPr>
        <w:tc>
          <w:tcPr>
            <w:tcW w:w="3934" w:type="dxa"/>
            <w:tcBorders>
              <w:top w:val="single" w:sz="8" w:space="0" w:color="auto"/>
              <w:left w:val="single" w:sz="8" w:space="0" w:color="auto"/>
              <w:bottom w:val="single" w:sz="8" w:space="0" w:color="auto"/>
              <w:right w:val="single" w:sz="4" w:space="0" w:color="auto"/>
            </w:tcBorders>
            <w:shd w:val="clear" w:color="auto" w:fill="auto"/>
          </w:tcPr>
          <w:p w14:paraId="68531D98" w14:textId="5A9933A8" w:rsidR="001D45E4" w:rsidRPr="000E180E" w:rsidRDefault="001D45E4" w:rsidP="001D45E4">
            <w:pPr>
              <w:widowControl/>
              <w:autoSpaceDE/>
              <w:autoSpaceDN/>
              <w:adjustRightInd/>
              <w:rPr>
                <w:rFonts w:ascii="Times New Roman" w:hAnsi="Times New Roman"/>
                <w:b/>
                <w:bCs/>
                <w:sz w:val="20"/>
                <w:szCs w:val="20"/>
              </w:rPr>
            </w:pPr>
            <w:r w:rsidRPr="000E180E">
              <w:rPr>
                <w:rFonts w:ascii="Times New Roman" w:hAnsi="Times New Roman"/>
                <w:b/>
                <w:bCs/>
                <w:sz w:val="20"/>
                <w:szCs w:val="20"/>
              </w:rPr>
              <w:lastRenderedPageBreak/>
              <w:t xml:space="preserve">Total Burden for Producers, Importers, and Distributors </w:t>
            </w:r>
          </w:p>
        </w:tc>
        <w:tc>
          <w:tcPr>
            <w:tcW w:w="1306" w:type="dxa"/>
            <w:tcBorders>
              <w:top w:val="single" w:sz="8" w:space="0" w:color="auto"/>
              <w:left w:val="nil"/>
              <w:bottom w:val="single" w:sz="8" w:space="0" w:color="auto"/>
              <w:right w:val="single" w:sz="4" w:space="0" w:color="auto"/>
            </w:tcBorders>
            <w:shd w:val="clear" w:color="auto" w:fill="auto"/>
          </w:tcPr>
          <w:p w14:paraId="57A3481A" w14:textId="425FA5D9"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54</w:t>
            </w:r>
          </w:p>
        </w:tc>
        <w:tc>
          <w:tcPr>
            <w:tcW w:w="1400" w:type="dxa"/>
            <w:tcBorders>
              <w:top w:val="single" w:sz="8" w:space="0" w:color="auto"/>
              <w:left w:val="nil"/>
              <w:bottom w:val="single" w:sz="8" w:space="0" w:color="auto"/>
              <w:right w:val="single" w:sz="4" w:space="0" w:color="auto"/>
            </w:tcBorders>
            <w:shd w:val="clear" w:color="auto" w:fill="auto"/>
          </w:tcPr>
          <w:p w14:paraId="2E11FF43" w14:textId="6A6A4C4C"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314</w:t>
            </w:r>
          </w:p>
        </w:tc>
        <w:tc>
          <w:tcPr>
            <w:tcW w:w="1200" w:type="dxa"/>
            <w:tcBorders>
              <w:top w:val="single" w:sz="8" w:space="0" w:color="auto"/>
              <w:left w:val="nil"/>
              <w:bottom w:val="single" w:sz="8" w:space="0" w:color="auto"/>
              <w:right w:val="single" w:sz="4" w:space="0" w:color="auto"/>
            </w:tcBorders>
            <w:shd w:val="clear" w:color="auto" w:fill="auto"/>
          </w:tcPr>
          <w:p w14:paraId="037A83D0" w14:textId="0AFDF0FB"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2.19</w:t>
            </w:r>
          </w:p>
        </w:tc>
        <w:tc>
          <w:tcPr>
            <w:tcW w:w="1080" w:type="dxa"/>
            <w:tcBorders>
              <w:top w:val="single" w:sz="8" w:space="0" w:color="auto"/>
              <w:left w:val="nil"/>
              <w:bottom w:val="single" w:sz="8" w:space="0" w:color="auto"/>
              <w:right w:val="single" w:sz="8" w:space="0" w:color="auto"/>
            </w:tcBorders>
            <w:shd w:val="clear" w:color="auto" w:fill="auto"/>
          </w:tcPr>
          <w:p w14:paraId="0E1F6735" w14:textId="4B1279D7"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721.5</w:t>
            </w:r>
          </w:p>
        </w:tc>
      </w:tr>
      <w:tr w:rsidR="001D45E4" w:rsidRPr="000E180E" w14:paraId="48D23374" w14:textId="77777777" w:rsidTr="001D45E4">
        <w:trPr>
          <w:trHeight w:val="270"/>
        </w:trPr>
        <w:tc>
          <w:tcPr>
            <w:tcW w:w="3934" w:type="dxa"/>
            <w:tcBorders>
              <w:top w:val="nil"/>
              <w:left w:val="single" w:sz="8" w:space="0" w:color="auto"/>
              <w:bottom w:val="single" w:sz="4" w:space="0" w:color="auto"/>
              <w:right w:val="single" w:sz="4" w:space="0" w:color="auto"/>
            </w:tcBorders>
            <w:shd w:val="clear" w:color="auto" w:fill="auto"/>
            <w:hideMark/>
          </w:tcPr>
          <w:p w14:paraId="1FADB660" w14:textId="77777777" w:rsidR="001D45E4" w:rsidRPr="000E180E" w:rsidRDefault="001D45E4" w:rsidP="001D45E4">
            <w:pPr>
              <w:widowControl/>
              <w:autoSpaceDE/>
              <w:autoSpaceDN/>
              <w:adjustRightInd/>
              <w:rPr>
                <w:rFonts w:ascii="Times New Roman" w:hAnsi="Times New Roman"/>
                <w:sz w:val="20"/>
                <w:szCs w:val="20"/>
              </w:rPr>
            </w:pPr>
            <w:r w:rsidRPr="000E180E">
              <w:rPr>
                <w:rFonts w:ascii="Times New Roman" w:hAnsi="Times New Roman"/>
                <w:sz w:val="20"/>
                <w:szCs w:val="20"/>
              </w:rPr>
              <w:t xml:space="preserve">Self-certification Activities by End Users </w:t>
            </w:r>
          </w:p>
        </w:tc>
        <w:tc>
          <w:tcPr>
            <w:tcW w:w="1306" w:type="dxa"/>
            <w:tcBorders>
              <w:top w:val="nil"/>
              <w:left w:val="nil"/>
              <w:bottom w:val="single" w:sz="4" w:space="0" w:color="auto"/>
              <w:right w:val="single" w:sz="4" w:space="0" w:color="auto"/>
            </w:tcBorders>
            <w:shd w:val="clear" w:color="auto" w:fill="auto"/>
            <w:hideMark/>
          </w:tcPr>
          <w:p w14:paraId="663A51A5" w14:textId="77777777" w:rsidR="001D45E4" w:rsidRPr="000E180E" w:rsidRDefault="001D45E4" w:rsidP="001D45E4">
            <w:pPr>
              <w:widowControl/>
              <w:autoSpaceDE/>
              <w:autoSpaceDN/>
              <w:adjustRightInd/>
              <w:jc w:val="right"/>
              <w:rPr>
                <w:rFonts w:ascii="Times New Roman" w:hAnsi="Times New Roman"/>
                <w:sz w:val="20"/>
                <w:szCs w:val="20"/>
              </w:rPr>
            </w:pPr>
            <w:r w:rsidRPr="000E180E">
              <w:rPr>
                <w:rFonts w:ascii="Times New Roman" w:hAnsi="Times New Roman"/>
                <w:sz w:val="20"/>
                <w:szCs w:val="20"/>
              </w:rPr>
              <w:t>1,000</w:t>
            </w:r>
          </w:p>
        </w:tc>
        <w:tc>
          <w:tcPr>
            <w:tcW w:w="1400" w:type="dxa"/>
            <w:tcBorders>
              <w:top w:val="nil"/>
              <w:left w:val="nil"/>
              <w:bottom w:val="single" w:sz="4" w:space="0" w:color="auto"/>
              <w:right w:val="single" w:sz="4" w:space="0" w:color="auto"/>
            </w:tcBorders>
            <w:shd w:val="clear" w:color="auto" w:fill="auto"/>
            <w:hideMark/>
          </w:tcPr>
          <w:p w14:paraId="665B1FCC" w14:textId="77777777" w:rsidR="001D45E4" w:rsidRPr="000E180E" w:rsidRDefault="001D45E4" w:rsidP="001D45E4">
            <w:pPr>
              <w:widowControl/>
              <w:autoSpaceDE/>
              <w:autoSpaceDN/>
              <w:adjustRightInd/>
              <w:jc w:val="right"/>
              <w:rPr>
                <w:rFonts w:ascii="Times New Roman" w:hAnsi="Times New Roman"/>
                <w:sz w:val="20"/>
                <w:szCs w:val="20"/>
              </w:rPr>
            </w:pPr>
            <w:r w:rsidRPr="000E180E">
              <w:rPr>
                <w:rFonts w:ascii="Times New Roman" w:hAnsi="Times New Roman"/>
                <w:sz w:val="20"/>
                <w:szCs w:val="20"/>
              </w:rPr>
              <w:t>1,300</w:t>
            </w:r>
          </w:p>
        </w:tc>
        <w:tc>
          <w:tcPr>
            <w:tcW w:w="1200" w:type="dxa"/>
            <w:tcBorders>
              <w:top w:val="nil"/>
              <w:left w:val="nil"/>
              <w:bottom w:val="single" w:sz="4" w:space="0" w:color="auto"/>
              <w:right w:val="single" w:sz="4" w:space="0" w:color="auto"/>
            </w:tcBorders>
            <w:shd w:val="clear" w:color="auto" w:fill="auto"/>
            <w:hideMark/>
          </w:tcPr>
          <w:p w14:paraId="50DFD4C9" w14:textId="77777777" w:rsidR="001D45E4" w:rsidRPr="000E180E" w:rsidRDefault="001D45E4" w:rsidP="001D45E4">
            <w:pPr>
              <w:widowControl/>
              <w:autoSpaceDE/>
              <w:autoSpaceDN/>
              <w:adjustRightInd/>
              <w:jc w:val="right"/>
              <w:rPr>
                <w:rFonts w:ascii="Times New Roman" w:hAnsi="Times New Roman"/>
                <w:sz w:val="20"/>
                <w:szCs w:val="20"/>
              </w:rPr>
            </w:pPr>
            <w:r w:rsidRPr="000E180E">
              <w:rPr>
                <w:rFonts w:ascii="Times New Roman" w:hAnsi="Times New Roman"/>
                <w:sz w:val="20"/>
                <w:szCs w:val="20"/>
              </w:rPr>
              <w:t>0.25</w:t>
            </w:r>
          </w:p>
        </w:tc>
        <w:tc>
          <w:tcPr>
            <w:tcW w:w="1080" w:type="dxa"/>
            <w:tcBorders>
              <w:top w:val="nil"/>
              <w:left w:val="nil"/>
              <w:bottom w:val="single" w:sz="4" w:space="0" w:color="auto"/>
              <w:right w:val="single" w:sz="8" w:space="0" w:color="auto"/>
            </w:tcBorders>
            <w:shd w:val="clear" w:color="auto" w:fill="auto"/>
            <w:hideMark/>
          </w:tcPr>
          <w:p w14:paraId="35F310A4" w14:textId="77777777" w:rsidR="001D45E4" w:rsidRPr="000E180E" w:rsidRDefault="001D45E4" w:rsidP="001D45E4">
            <w:pPr>
              <w:widowControl/>
              <w:autoSpaceDE/>
              <w:autoSpaceDN/>
              <w:adjustRightInd/>
              <w:jc w:val="right"/>
              <w:rPr>
                <w:rFonts w:ascii="Times New Roman" w:hAnsi="Times New Roman"/>
                <w:sz w:val="20"/>
                <w:szCs w:val="20"/>
              </w:rPr>
            </w:pPr>
            <w:r w:rsidRPr="000E180E">
              <w:rPr>
                <w:rFonts w:ascii="Times New Roman" w:hAnsi="Times New Roman"/>
                <w:sz w:val="20"/>
                <w:szCs w:val="20"/>
              </w:rPr>
              <w:t>325</w:t>
            </w:r>
          </w:p>
        </w:tc>
      </w:tr>
      <w:tr w:rsidR="001D45E4" w:rsidRPr="000E180E" w14:paraId="5516E2E4" w14:textId="77777777" w:rsidTr="001D45E4">
        <w:trPr>
          <w:trHeight w:val="420"/>
        </w:trPr>
        <w:tc>
          <w:tcPr>
            <w:tcW w:w="3934" w:type="dxa"/>
            <w:tcBorders>
              <w:top w:val="single" w:sz="8" w:space="0" w:color="auto"/>
              <w:left w:val="single" w:sz="8" w:space="0" w:color="auto"/>
              <w:bottom w:val="single" w:sz="8" w:space="0" w:color="auto"/>
              <w:right w:val="single" w:sz="4" w:space="0" w:color="auto"/>
            </w:tcBorders>
            <w:shd w:val="clear" w:color="auto" w:fill="auto"/>
          </w:tcPr>
          <w:p w14:paraId="430CB4BE" w14:textId="312D975A" w:rsidR="001D45E4" w:rsidRPr="000E180E" w:rsidRDefault="001D45E4" w:rsidP="001D45E4">
            <w:pPr>
              <w:widowControl/>
              <w:autoSpaceDE/>
              <w:autoSpaceDN/>
              <w:adjustRightInd/>
              <w:rPr>
                <w:rFonts w:ascii="Times New Roman" w:hAnsi="Times New Roman"/>
                <w:b/>
                <w:bCs/>
                <w:sz w:val="20"/>
                <w:szCs w:val="20"/>
              </w:rPr>
            </w:pPr>
            <w:r w:rsidRPr="000E180E">
              <w:rPr>
                <w:rFonts w:ascii="Times New Roman" w:hAnsi="Times New Roman"/>
                <w:b/>
                <w:bCs/>
                <w:sz w:val="20"/>
                <w:szCs w:val="20"/>
              </w:rPr>
              <w:t>Total Burden for End Users</w:t>
            </w:r>
          </w:p>
        </w:tc>
        <w:tc>
          <w:tcPr>
            <w:tcW w:w="1306" w:type="dxa"/>
            <w:tcBorders>
              <w:top w:val="single" w:sz="8" w:space="0" w:color="auto"/>
              <w:left w:val="nil"/>
              <w:bottom w:val="single" w:sz="8" w:space="0" w:color="auto"/>
              <w:right w:val="single" w:sz="4" w:space="0" w:color="auto"/>
            </w:tcBorders>
            <w:shd w:val="clear" w:color="auto" w:fill="auto"/>
          </w:tcPr>
          <w:p w14:paraId="597EC16D" w14:textId="3D14240C"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1,000</w:t>
            </w:r>
          </w:p>
        </w:tc>
        <w:tc>
          <w:tcPr>
            <w:tcW w:w="1400" w:type="dxa"/>
            <w:tcBorders>
              <w:top w:val="single" w:sz="8" w:space="0" w:color="auto"/>
              <w:left w:val="nil"/>
              <w:bottom w:val="single" w:sz="8" w:space="0" w:color="auto"/>
              <w:right w:val="single" w:sz="4" w:space="0" w:color="auto"/>
            </w:tcBorders>
            <w:shd w:val="clear" w:color="auto" w:fill="auto"/>
          </w:tcPr>
          <w:p w14:paraId="6ECF5BB8" w14:textId="48B7BDB8"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1,300</w:t>
            </w:r>
          </w:p>
        </w:tc>
        <w:tc>
          <w:tcPr>
            <w:tcW w:w="1200" w:type="dxa"/>
            <w:tcBorders>
              <w:top w:val="single" w:sz="8" w:space="0" w:color="auto"/>
              <w:left w:val="nil"/>
              <w:bottom w:val="single" w:sz="8" w:space="0" w:color="auto"/>
              <w:right w:val="single" w:sz="4" w:space="0" w:color="auto"/>
            </w:tcBorders>
            <w:shd w:val="clear" w:color="auto" w:fill="auto"/>
          </w:tcPr>
          <w:p w14:paraId="23FE9BFB" w14:textId="4BF6221F"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0.25</w:t>
            </w:r>
          </w:p>
        </w:tc>
        <w:tc>
          <w:tcPr>
            <w:tcW w:w="1080" w:type="dxa"/>
            <w:tcBorders>
              <w:top w:val="single" w:sz="8" w:space="0" w:color="auto"/>
              <w:left w:val="nil"/>
              <w:bottom w:val="single" w:sz="8" w:space="0" w:color="auto"/>
              <w:right w:val="single" w:sz="8" w:space="0" w:color="auto"/>
            </w:tcBorders>
            <w:shd w:val="clear" w:color="auto" w:fill="auto"/>
          </w:tcPr>
          <w:p w14:paraId="79B2A2A7" w14:textId="3C87D6C7" w:rsidR="001D45E4" w:rsidRPr="000E180E" w:rsidRDefault="001D45E4" w:rsidP="001D45E4">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325</w:t>
            </w:r>
          </w:p>
        </w:tc>
      </w:tr>
      <w:tr w:rsidR="001D45E4" w:rsidRPr="000E180E" w14:paraId="259BF815" w14:textId="77777777" w:rsidTr="001D45E4">
        <w:trPr>
          <w:trHeight w:val="270"/>
        </w:trPr>
        <w:tc>
          <w:tcPr>
            <w:tcW w:w="3934" w:type="dxa"/>
            <w:tcBorders>
              <w:top w:val="nil"/>
              <w:left w:val="single" w:sz="8" w:space="0" w:color="auto"/>
              <w:bottom w:val="single" w:sz="8" w:space="0" w:color="auto"/>
              <w:right w:val="single" w:sz="4" w:space="0" w:color="auto"/>
            </w:tcBorders>
            <w:shd w:val="clear" w:color="auto" w:fill="auto"/>
            <w:vAlign w:val="bottom"/>
            <w:hideMark/>
          </w:tcPr>
          <w:p w14:paraId="6A0B3957" w14:textId="77777777" w:rsidR="001D45E4" w:rsidRPr="000E180E" w:rsidRDefault="001D45E4" w:rsidP="001D45E4">
            <w:pPr>
              <w:widowControl/>
              <w:autoSpaceDE/>
              <w:autoSpaceDN/>
              <w:adjustRightInd/>
              <w:rPr>
                <w:rFonts w:ascii="Arial" w:hAnsi="Arial" w:cs="Arial"/>
                <w:b/>
                <w:bCs/>
                <w:sz w:val="20"/>
                <w:szCs w:val="20"/>
              </w:rPr>
            </w:pPr>
            <w:r w:rsidRPr="000E180E">
              <w:rPr>
                <w:rFonts w:ascii="Arial" w:hAnsi="Arial" w:cs="Arial"/>
                <w:b/>
                <w:bCs/>
                <w:sz w:val="20"/>
                <w:szCs w:val="20"/>
              </w:rPr>
              <w:t>COMBINED TOTAL BURDEN HOURS</w:t>
            </w:r>
          </w:p>
        </w:tc>
        <w:tc>
          <w:tcPr>
            <w:tcW w:w="1306" w:type="dxa"/>
            <w:tcBorders>
              <w:top w:val="nil"/>
              <w:left w:val="nil"/>
              <w:bottom w:val="single" w:sz="8" w:space="0" w:color="auto"/>
              <w:right w:val="single" w:sz="4" w:space="0" w:color="auto"/>
            </w:tcBorders>
            <w:shd w:val="clear" w:color="auto" w:fill="auto"/>
            <w:noWrap/>
            <w:vAlign w:val="bottom"/>
            <w:hideMark/>
          </w:tcPr>
          <w:p w14:paraId="4BA3A9C1" w14:textId="77777777" w:rsidR="001D45E4" w:rsidRPr="000E180E" w:rsidRDefault="001D45E4" w:rsidP="001D45E4">
            <w:pPr>
              <w:widowControl/>
              <w:autoSpaceDE/>
              <w:autoSpaceDN/>
              <w:adjustRightInd/>
              <w:jc w:val="right"/>
              <w:rPr>
                <w:rFonts w:ascii="Arial" w:hAnsi="Arial" w:cs="Arial"/>
                <w:b/>
                <w:bCs/>
                <w:sz w:val="20"/>
                <w:szCs w:val="20"/>
              </w:rPr>
            </w:pPr>
            <w:r w:rsidRPr="000E180E">
              <w:rPr>
                <w:rFonts w:ascii="Arial" w:hAnsi="Arial" w:cs="Arial"/>
                <w:b/>
                <w:bCs/>
                <w:sz w:val="20"/>
                <w:szCs w:val="20"/>
              </w:rPr>
              <w:t>1,069</w:t>
            </w:r>
          </w:p>
        </w:tc>
        <w:tc>
          <w:tcPr>
            <w:tcW w:w="1400" w:type="dxa"/>
            <w:tcBorders>
              <w:top w:val="nil"/>
              <w:left w:val="nil"/>
              <w:bottom w:val="single" w:sz="8" w:space="0" w:color="auto"/>
              <w:right w:val="single" w:sz="4" w:space="0" w:color="auto"/>
            </w:tcBorders>
            <w:shd w:val="clear" w:color="auto" w:fill="auto"/>
            <w:noWrap/>
            <w:vAlign w:val="bottom"/>
            <w:hideMark/>
          </w:tcPr>
          <w:p w14:paraId="60B42136" w14:textId="77777777" w:rsidR="001D45E4" w:rsidRPr="000E180E" w:rsidRDefault="001D45E4" w:rsidP="001D45E4">
            <w:pPr>
              <w:widowControl/>
              <w:autoSpaceDE/>
              <w:autoSpaceDN/>
              <w:adjustRightInd/>
              <w:jc w:val="right"/>
              <w:rPr>
                <w:rFonts w:ascii="Arial" w:hAnsi="Arial" w:cs="Arial"/>
                <w:b/>
                <w:bCs/>
                <w:sz w:val="20"/>
                <w:szCs w:val="20"/>
              </w:rPr>
            </w:pPr>
            <w:r w:rsidRPr="000E180E">
              <w:rPr>
                <w:rFonts w:ascii="Arial" w:hAnsi="Arial" w:cs="Arial"/>
                <w:b/>
                <w:bCs/>
                <w:sz w:val="20"/>
                <w:szCs w:val="20"/>
              </w:rPr>
              <w:t>1,629</w:t>
            </w:r>
          </w:p>
        </w:tc>
        <w:tc>
          <w:tcPr>
            <w:tcW w:w="1200" w:type="dxa"/>
            <w:tcBorders>
              <w:top w:val="nil"/>
              <w:left w:val="nil"/>
              <w:bottom w:val="single" w:sz="8" w:space="0" w:color="auto"/>
              <w:right w:val="single" w:sz="4" w:space="0" w:color="auto"/>
            </w:tcBorders>
            <w:shd w:val="clear" w:color="auto" w:fill="auto"/>
            <w:noWrap/>
            <w:vAlign w:val="bottom"/>
            <w:hideMark/>
          </w:tcPr>
          <w:p w14:paraId="796AF51F" w14:textId="67BC2EAD" w:rsidR="001D45E4" w:rsidRPr="000E180E" w:rsidRDefault="001D45E4" w:rsidP="001D45E4">
            <w:pPr>
              <w:widowControl/>
              <w:autoSpaceDE/>
              <w:autoSpaceDN/>
              <w:adjustRightInd/>
              <w:jc w:val="right"/>
              <w:rPr>
                <w:rFonts w:ascii="Arial" w:hAnsi="Arial" w:cs="Arial"/>
                <w:b/>
                <w:bCs/>
                <w:sz w:val="20"/>
                <w:szCs w:val="20"/>
              </w:rPr>
            </w:pPr>
            <w:r>
              <w:rPr>
                <w:rFonts w:ascii="Arial" w:hAnsi="Arial" w:cs="Arial"/>
                <w:b/>
                <w:bCs/>
                <w:sz w:val="20"/>
                <w:szCs w:val="20"/>
              </w:rPr>
              <w:t>40.44</w:t>
            </w:r>
          </w:p>
        </w:tc>
        <w:tc>
          <w:tcPr>
            <w:tcW w:w="1080" w:type="dxa"/>
            <w:tcBorders>
              <w:top w:val="nil"/>
              <w:left w:val="nil"/>
              <w:bottom w:val="single" w:sz="8" w:space="0" w:color="auto"/>
              <w:right w:val="single" w:sz="8" w:space="0" w:color="auto"/>
            </w:tcBorders>
            <w:shd w:val="clear" w:color="auto" w:fill="auto"/>
            <w:noWrap/>
            <w:vAlign w:val="bottom"/>
            <w:hideMark/>
          </w:tcPr>
          <w:p w14:paraId="174AA4AB" w14:textId="39579603" w:rsidR="001D45E4" w:rsidRPr="000E180E" w:rsidRDefault="001D45E4" w:rsidP="001D45E4">
            <w:pPr>
              <w:widowControl/>
              <w:autoSpaceDE/>
              <w:autoSpaceDN/>
              <w:adjustRightInd/>
              <w:jc w:val="right"/>
              <w:rPr>
                <w:rFonts w:ascii="Arial" w:hAnsi="Arial" w:cs="Arial"/>
                <w:b/>
                <w:bCs/>
                <w:sz w:val="20"/>
                <w:szCs w:val="20"/>
              </w:rPr>
            </w:pPr>
            <w:r>
              <w:rPr>
                <w:rFonts w:ascii="Arial" w:hAnsi="Arial" w:cs="Arial"/>
                <w:b/>
                <w:bCs/>
                <w:sz w:val="20"/>
                <w:szCs w:val="20"/>
              </w:rPr>
              <w:t>1616.5</w:t>
            </w:r>
          </w:p>
        </w:tc>
      </w:tr>
    </w:tbl>
    <w:p w14:paraId="0F868CB9" w14:textId="77777777" w:rsidR="002B668C" w:rsidRDefault="002B668C" w:rsidP="00127391">
      <w:pPr>
        <w:rPr>
          <w:rFonts w:ascii="Times New Roman" w:hAnsi="Times New Roman" w:cs="Courier"/>
        </w:rPr>
      </w:pPr>
    </w:p>
    <w:p w14:paraId="37D156FF" w14:textId="77777777" w:rsidR="00EA018D" w:rsidRPr="00877602" w:rsidRDefault="00877F41" w:rsidP="00F850C7">
      <w:pPr>
        <w:ind w:firstLine="720"/>
        <w:rPr>
          <w:rFonts w:ascii="Times New Roman" w:hAnsi="Times New Roman" w:cs="Courier"/>
        </w:rPr>
      </w:pPr>
      <w:r w:rsidRPr="00877602">
        <w:rPr>
          <w:rFonts w:ascii="Times New Roman" w:hAnsi="Times New Roman" w:cs="Courier"/>
        </w:rPr>
        <w:t>There are no capital and operating costs associated this action</w:t>
      </w:r>
      <w:r w:rsidR="00A94309" w:rsidRPr="00877602">
        <w:rPr>
          <w:rFonts w:ascii="Times New Roman" w:hAnsi="Times New Roman" w:cs="Courier"/>
        </w:rPr>
        <w:t>.</w:t>
      </w:r>
    </w:p>
    <w:p w14:paraId="75033A8B" w14:textId="77777777" w:rsidR="00954555" w:rsidRPr="00877602" w:rsidRDefault="00954555" w:rsidP="00F850C7">
      <w:pPr>
        <w:ind w:firstLine="720"/>
        <w:rPr>
          <w:rFonts w:ascii="Times New Roman" w:hAnsi="Times New Roman" w:cs="Courier"/>
        </w:rPr>
      </w:pPr>
    </w:p>
    <w:p w14:paraId="17E9D265" w14:textId="77777777" w:rsidR="00EA018D" w:rsidRPr="00877602" w:rsidRDefault="00A94309" w:rsidP="00A94309">
      <w:pPr>
        <w:jc w:val="center"/>
        <w:rPr>
          <w:rFonts w:ascii="Times New Roman" w:hAnsi="Times New Roman" w:cs="Courier"/>
        </w:rPr>
      </w:pPr>
      <w:r w:rsidRPr="00877602">
        <w:rPr>
          <w:rFonts w:ascii="Times New Roman" w:hAnsi="Times New Roman" w:cs="Courier"/>
          <w:b/>
        </w:rPr>
        <w:t>TABLE III- CAPITAL AND OPERATING COSTS</w:t>
      </w:r>
    </w:p>
    <w:p w14:paraId="003935C0" w14:textId="77777777" w:rsidR="00EA018D" w:rsidRPr="00877602" w:rsidRDefault="00EA018D">
      <w:pPr>
        <w:rPr>
          <w:rFonts w:ascii="Times New Roman" w:hAnsi="Times New Roman" w:cs="Courie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440"/>
        <w:gridCol w:w="1800"/>
        <w:gridCol w:w="2160"/>
      </w:tblGrid>
      <w:tr w:rsidR="00A94309" w:rsidRPr="00E67443" w14:paraId="75F300DF" w14:textId="77777777" w:rsidTr="003E3937">
        <w:tc>
          <w:tcPr>
            <w:tcW w:w="3510" w:type="dxa"/>
          </w:tcPr>
          <w:p w14:paraId="2DCFBE0C" w14:textId="77777777"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Activity</w:t>
            </w:r>
          </w:p>
        </w:tc>
        <w:tc>
          <w:tcPr>
            <w:tcW w:w="1440" w:type="dxa"/>
          </w:tcPr>
          <w:p w14:paraId="15BAAE27" w14:textId="77777777"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No of Entities Affected</w:t>
            </w:r>
          </w:p>
        </w:tc>
        <w:tc>
          <w:tcPr>
            <w:tcW w:w="1800" w:type="dxa"/>
          </w:tcPr>
          <w:p w14:paraId="35B7BD39" w14:textId="77777777"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Estimated Annual Cost</w:t>
            </w:r>
            <w:r w:rsidR="003E3937">
              <w:rPr>
                <w:rFonts w:ascii="Times New Roman" w:hAnsi="Times New Roman" w:cs="Courier"/>
                <w:b/>
                <w:sz w:val="20"/>
                <w:szCs w:val="20"/>
              </w:rPr>
              <w:t xml:space="preserve"> </w:t>
            </w:r>
            <w:r w:rsidRPr="00E67443">
              <w:rPr>
                <w:rFonts w:ascii="Times New Roman" w:hAnsi="Times New Roman" w:cs="Courier"/>
                <w:b/>
                <w:sz w:val="20"/>
                <w:szCs w:val="20"/>
              </w:rPr>
              <w:t>per entity</w:t>
            </w:r>
          </w:p>
        </w:tc>
        <w:tc>
          <w:tcPr>
            <w:tcW w:w="2160" w:type="dxa"/>
          </w:tcPr>
          <w:p w14:paraId="64E3103E" w14:textId="77777777" w:rsidR="00A94309" w:rsidRPr="00E67443" w:rsidRDefault="00A94309">
            <w:pPr>
              <w:rPr>
                <w:rFonts w:ascii="Times New Roman" w:hAnsi="Times New Roman" w:cs="Courier"/>
                <w:b/>
                <w:sz w:val="20"/>
                <w:szCs w:val="20"/>
              </w:rPr>
            </w:pPr>
            <w:r w:rsidRPr="00E67443">
              <w:rPr>
                <w:rFonts w:ascii="Times New Roman" w:hAnsi="Times New Roman" w:cs="Courier"/>
                <w:b/>
                <w:sz w:val="20"/>
                <w:szCs w:val="20"/>
              </w:rPr>
              <w:t>Total Estimated Annual Cost</w:t>
            </w:r>
          </w:p>
        </w:tc>
      </w:tr>
      <w:tr w:rsidR="005626E2" w:rsidRPr="00E67443" w14:paraId="6CF470AE" w14:textId="77777777" w:rsidTr="003E3937">
        <w:tc>
          <w:tcPr>
            <w:tcW w:w="3510" w:type="dxa"/>
          </w:tcPr>
          <w:p w14:paraId="06756FDD" w14:textId="77777777" w:rsidR="005626E2" w:rsidRPr="00E67443" w:rsidRDefault="005626E2" w:rsidP="000E7B43">
            <w:pPr>
              <w:rPr>
                <w:rFonts w:ascii="Times New Roman" w:hAnsi="Times New Roman" w:cs="Courier"/>
                <w:b/>
                <w:sz w:val="20"/>
                <w:szCs w:val="20"/>
              </w:rPr>
            </w:pPr>
            <w:r w:rsidRPr="00E67443">
              <w:rPr>
                <w:rFonts w:ascii="Times New Roman" w:hAnsi="Times New Roman" w:cs="Courier"/>
                <w:b/>
                <w:sz w:val="20"/>
                <w:szCs w:val="20"/>
              </w:rPr>
              <w:t>TOTAL CAPITAL AND OPERATING COSTS</w:t>
            </w:r>
          </w:p>
        </w:tc>
        <w:tc>
          <w:tcPr>
            <w:tcW w:w="1440" w:type="dxa"/>
          </w:tcPr>
          <w:p w14:paraId="625126B5" w14:textId="77777777" w:rsidR="005626E2" w:rsidRPr="00E67443" w:rsidRDefault="00877F41" w:rsidP="000E7B43">
            <w:pPr>
              <w:rPr>
                <w:rFonts w:ascii="Times New Roman" w:hAnsi="Times New Roman" w:cs="Courier"/>
                <w:sz w:val="20"/>
                <w:szCs w:val="20"/>
              </w:rPr>
            </w:pPr>
            <w:r w:rsidRPr="00E67443">
              <w:rPr>
                <w:rFonts w:ascii="Times New Roman" w:hAnsi="Times New Roman" w:cs="Courier"/>
                <w:sz w:val="20"/>
                <w:szCs w:val="20"/>
              </w:rPr>
              <w:t>0</w:t>
            </w:r>
          </w:p>
        </w:tc>
        <w:tc>
          <w:tcPr>
            <w:tcW w:w="1800" w:type="dxa"/>
          </w:tcPr>
          <w:p w14:paraId="5E46DB26" w14:textId="77777777" w:rsidR="005626E2" w:rsidRPr="00E67443" w:rsidRDefault="00877F41" w:rsidP="000E7B43">
            <w:pPr>
              <w:rPr>
                <w:rFonts w:ascii="Times New Roman" w:hAnsi="Times New Roman" w:cs="Courier"/>
                <w:sz w:val="20"/>
                <w:szCs w:val="20"/>
              </w:rPr>
            </w:pPr>
            <w:r w:rsidRPr="00E67443">
              <w:rPr>
                <w:rFonts w:ascii="Times New Roman" w:hAnsi="Times New Roman" w:cs="Courier"/>
                <w:sz w:val="20"/>
                <w:szCs w:val="20"/>
              </w:rPr>
              <w:t>0</w:t>
            </w:r>
          </w:p>
        </w:tc>
        <w:tc>
          <w:tcPr>
            <w:tcW w:w="2160" w:type="dxa"/>
          </w:tcPr>
          <w:p w14:paraId="5F522223" w14:textId="77777777" w:rsidR="005626E2" w:rsidRPr="00E67443" w:rsidRDefault="00877F41" w:rsidP="000E7B43">
            <w:pPr>
              <w:rPr>
                <w:rFonts w:ascii="Times New Roman" w:hAnsi="Times New Roman" w:cs="Courier"/>
                <w:sz w:val="20"/>
                <w:szCs w:val="20"/>
              </w:rPr>
            </w:pPr>
            <w:r w:rsidRPr="00E67443">
              <w:rPr>
                <w:rFonts w:ascii="Times New Roman" w:hAnsi="Times New Roman" w:cs="Courier"/>
                <w:sz w:val="20"/>
                <w:szCs w:val="20"/>
              </w:rPr>
              <w:t>0</w:t>
            </w:r>
          </w:p>
        </w:tc>
      </w:tr>
    </w:tbl>
    <w:p w14:paraId="7893A67D" w14:textId="77777777" w:rsidR="00EA018D" w:rsidRPr="00877602" w:rsidRDefault="00EA018D">
      <w:pPr>
        <w:rPr>
          <w:rFonts w:ascii="Times New Roman" w:hAnsi="Times New Roman" w:cs="Courier"/>
        </w:rPr>
      </w:pPr>
    </w:p>
    <w:p w14:paraId="5366FD2C" w14:textId="77777777" w:rsidR="00EA018D" w:rsidRPr="00877602" w:rsidRDefault="00EA018D">
      <w:pPr>
        <w:rPr>
          <w:rFonts w:ascii="Times New Roman" w:hAnsi="Times New Roman" w:cs="Courier"/>
        </w:rPr>
      </w:pPr>
      <w:r w:rsidRPr="00877602">
        <w:rPr>
          <w:rFonts w:ascii="Times New Roman" w:hAnsi="Times New Roman" w:cs="Courier"/>
        </w:rPr>
        <w:t>c)</w:t>
      </w:r>
      <w:r w:rsidRPr="00877602">
        <w:rPr>
          <w:rFonts w:ascii="Times New Roman" w:hAnsi="Times New Roman" w:cs="Courier"/>
        </w:rPr>
        <w:tab/>
        <w:t>Estimating Agency Burden and Cost</w:t>
      </w:r>
    </w:p>
    <w:p w14:paraId="310B7340" w14:textId="77777777" w:rsidR="00EA018D" w:rsidRDefault="00EA018D">
      <w:pPr>
        <w:rPr>
          <w:rFonts w:ascii="Times New Roman" w:hAnsi="Times New Roman" w:cs="Courier"/>
        </w:rPr>
      </w:pPr>
    </w:p>
    <w:p w14:paraId="1F51382B" w14:textId="46E7E958" w:rsidR="00795F38" w:rsidRDefault="00252940">
      <w:pPr>
        <w:rPr>
          <w:rFonts w:ascii="Times New Roman" w:hAnsi="Times New Roman" w:cs="Courier"/>
        </w:rPr>
      </w:pPr>
      <w:r>
        <w:rPr>
          <w:rFonts w:ascii="Times New Roman" w:hAnsi="Times New Roman" w:cs="Courier"/>
        </w:rPr>
        <w:tab/>
      </w:r>
      <w:r w:rsidRPr="00795F38">
        <w:rPr>
          <w:rFonts w:ascii="Times New Roman" w:hAnsi="Times New Roman" w:cs="Courier"/>
        </w:rPr>
        <w:t xml:space="preserve">The estimated cost to the Federal Government of the critical use exemption process </w:t>
      </w:r>
      <w:r w:rsidR="00631557">
        <w:rPr>
          <w:rFonts w:ascii="Times New Roman" w:hAnsi="Times New Roman" w:cs="Courier"/>
        </w:rPr>
        <w:t>consists of two components.</w:t>
      </w:r>
      <w:r w:rsidRPr="00795F38">
        <w:rPr>
          <w:rFonts w:ascii="Times New Roman" w:hAnsi="Times New Roman" w:cs="Courier"/>
        </w:rPr>
        <w:t xml:space="preserve"> The first is </w:t>
      </w:r>
      <w:r w:rsidR="002001A5">
        <w:rPr>
          <w:rFonts w:ascii="Times New Roman" w:hAnsi="Times New Roman" w:cs="Courier"/>
        </w:rPr>
        <w:t>the</w:t>
      </w:r>
      <w:r w:rsidRPr="00795F38">
        <w:rPr>
          <w:rFonts w:ascii="Times New Roman" w:hAnsi="Times New Roman" w:cs="Courier"/>
        </w:rPr>
        <w:t xml:space="preserve"> number of hours and costs incurred by the Agen</w:t>
      </w:r>
      <w:r w:rsidR="00631557">
        <w:rPr>
          <w:rFonts w:ascii="Times New Roman" w:hAnsi="Times New Roman" w:cs="Courier"/>
        </w:rPr>
        <w:t xml:space="preserve">cy to review each application. </w:t>
      </w:r>
      <w:r w:rsidRPr="00795F38">
        <w:rPr>
          <w:rFonts w:ascii="Times New Roman" w:hAnsi="Times New Roman" w:cs="Courier"/>
        </w:rPr>
        <w:t xml:space="preserve">The </w:t>
      </w:r>
      <w:r>
        <w:rPr>
          <w:rFonts w:ascii="Times New Roman" w:hAnsi="Times New Roman" w:cs="Courier"/>
        </w:rPr>
        <w:t>second</w:t>
      </w:r>
      <w:r w:rsidRPr="00795F38">
        <w:rPr>
          <w:rFonts w:ascii="Times New Roman" w:hAnsi="Times New Roman" w:cs="Courier"/>
        </w:rPr>
        <w:t xml:space="preserve"> is </w:t>
      </w:r>
      <w:r w:rsidR="008805A6">
        <w:rPr>
          <w:rFonts w:ascii="Times New Roman" w:hAnsi="Times New Roman" w:cs="Courier"/>
        </w:rPr>
        <w:t>the</w:t>
      </w:r>
      <w:r w:rsidRPr="00795F38">
        <w:rPr>
          <w:rFonts w:ascii="Times New Roman" w:hAnsi="Times New Roman" w:cs="Courier"/>
        </w:rPr>
        <w:t xml:space="preserve"> number of hours and costs incurred by the Agency </w:t>
      </w:r>
      <w:r w:rsidRPr="00877602">
        <w:rPr>
          <w:rFonts w:ascii="Times New Roman" w:hAnsi="Times New Roman" w:cs="Courier"/>
        </w:rPr>
        <w:t xml:space="preserve">in reviewing </w:t>
      </w:r>
      <w:r w:rsidR="00ED4F60">
        <w:rPr>
          <w:rFonts w:ascii="Times New Roman" w:hAnsi="Times New Roman" w:cs="Courier"/>
        </w:rPr>
        <w:t>reported</w:t>
      </w:r>
      <w:r w:rsidRPr="00877602">
        <w:rPr>
          <w:rFonts w:ascii="Times New Roman" w:hAnsi="Times New Roman" w:cs="Courier"/>
        </w:rPr>
        <w:t xml:space="preserve"> data, </w:t>
      </w:r>
      <w:r w:rsidR="008805A6">
        <w:rPr>
          <w:rFonts w:ascii="Times New Roman" w:hAnsi="Times New Roman" w:cs="Courier"/>
        </w:rPr>
        <w:t>preparing nominations,</w:t>
      </w:r>
      <w:r w:rsidR="008805A6" w:rsidRPr="00877602">
        <w:rPr>
          <w:rFonts w:ascii="Times New Roman" w:hAnsi="Times New Roman" w:cs="Courier"/>
        </w:rPr>
        <w:t xml:space="preserve"> </w:t>
      </w:r>
      <w:r w:rsidRPr="00877602">
        <w:rPr>
          <w:rFonts w:ascii="Times New Roman" w:hAnsi="Times New Roman" w:cs="Courier"/>
        </w:rPr>
        <w:t xml:space="preserve">submitting data to the Ozone Secretariat on U.S. compliance, </w:t>
      </w:r>
      <w:r w:rsidR="008805A6" w:rsidRPr="00877602">
        <w:rPr>
          <w:rFonts w:ascii="Times New Roman" w:hAnsi="Times New Roman" w:cs="Courier"/>
        </w:rPr>
        <w:t>distributing critical use allowances</w:t>
      </w:r>
      <w:r w:rsidR="00FC7CE1">
        <w:rPr>
          <w:rFonts w:ascii="Times New Roman" w:hAnsi="Times New Roman" w:cs="Courier"/>
        </w:rPr>
        <w:t xml:space="preserve">, </w:t>
      </w:r>
      <w:r w:rsidRPr="00877602">
        <w:rPr>
          <w:rFonts w:ascii="Times New Roman" w:hAnsi="Times New Roman" w:cs="Courier"/>
        </w:rPr>
        <w:t>and developing guidance for regulated entities.</w:t>
      </w:r>
    </w:p>
    <w:p w14:paraId="09E47BE7" w14:textId="68C4F1E9" w:rsidR="00A74339" w:rsidRPr="00795F38" w:rsidRDefault="00A74339" w:rsidP="00A74339">
      <w:pPr>
        <w:ind w:firstLine="720"/>
        <w:rPr>
          <w:rFonts w:ascii="Times New Roman" w:hAnsi="Times New Roman" w:cs="Courier"/>
        </w:rPr>
      </w:pPr>
      <w:r w:rsidRPr="00127391">
        <w:rPr>
          <w:rFonts w:ascii="Times New Roman" w:hAnsi="Times New Roman" w:cs="Courier"/>
        </w:rPr>
        <w:t xml:space="preserve">The calculations below are based on combined OAR/OPP experience implementing the CUE program over the past </w:t>
      </w:r>
      <w:r w:rsidR="00ED4F60">
        <w:rPr>
          <w:rFonts w:ascii="Times New Roman" w:hAnsi="Times New Roman" w:cs="Courier"/>
        </w:rPr>
        <w:t>twelve</w:t>
      </w:r>
      <w:r w:rsidRPr="00127391">
        <w:rPr>
          <w:rFonts w:ascii="Times New Roman" w:hAnsi="Times New Roman" w:cs="Courier"/>
        </w:rPr>
        <w:t xml:space="preserve"> yea</w:t>
      </w:r>
      <w:r w:rsidR="00631557">
        <w:rPr>
          <w:rFonts w:ascii="Times New Roman" w:hAnsi="Times New Roman" w:cs="Courier"/>
        </w:rPr>
        <w:t xml:space="preserve">rs. </w:t>
      </w:r>
      <w:r w:rsidR="00FB2121" w:rsidRPr="00631557">
        <w:rPr>
          <w:rFonts w:ascii="Times New Roman" w:hAnsi="Times New Roman" w:cs="Courier"/>
        </w:rPr>
        <w:t xml:space="preserve">The Agency burden in reviewing </w:t>
      </w:r>
      <w:r w:rsidR="00631557" w:rsidRPr="00631557">
        <w:rPr>
          <w:rFonts w:ascii="Times New Roman" w:hAnsi="Times New Roman" w:cs="Courier"/>
        </w:rPr>
        <w:t>each application remains the same as the previous ICR but the total burden</w:t>
      </w:r>
      <w:r w:rsidR="00FB2121" w:rsidRPr="00631557">
        <w:rPr>
          <w:rFonts w:ascii="Times New Roman" w:hAnsi="Times New Roman" w:cs="Courier"/>
        </w:rPr>
        <w:t xml:space="preserve"> has decreased </w:t>
      </w:r>
      <w:r w:rsidR="00631557" w:rsidRPr="00631557">
        <w:rPr>
          <w:rFonts w:ascii="Times New Roman" w:hAnsi="Times New Roman" w:cs="Courier"/>
        </w:rPr>
        <w:t xml:space="preserve">as the </w:t>
      </w:r>
      <w:r w:rsidR="00FB2121" w:rsidRPr="00631557">
        <w:rPr>
          <w:rFonts w:ascii="Times New Roman" w:hAnsi="Times New Roman" w:cs="Courier"/>
        </w:rPr>
        <w:t>numbe</w:t>
      </w:r>
      <w:r w:rsidR="00FB2121" w:rsidRPr="00127391">
        <w:rPr>
          <w:rFonts w:ascii="Times New Roman" w:hAnsi="Times New Roman" w:cs="Courier"/>
        </w:rPr>
        <w:t xml:space="preserve">r of sectors applying to the program has decreased. </w:t>
      </w:r>
      <w:r w:rsidRPr="00127391">
        <w:rPr>
          <w:rFonts w:ascii="Times New Roman" w:hAnsi="Times New Roman" w:cs="Courier"/>
        </w:rPr>
        <w:t xml:space="preserve">The values </w:t>
      </w:r>
      <w:r w:rsidR="00221E6D" w:rsidRPr="00127391">
        <w:rPr>
          <w:rFonts w:ascii="Times New Roman" w:hAnsi="Times New Roman" w:cs="Courier"/>
        </w:rPr>
        <w:t xml:space="preserve">in this renewal </w:t>
      </w:r>
      <w:r w:rsidR="00912C82" w:rsidRPr="00127391">
        <w:rPr>
          <w:rFonts w:ascii="Times New Roman" w:hAnsi="Times New Roman" w:cs="Courier"/>
        </w:rPr>
        <w:t xml:space="preserve">for recordkeeping and reporting </w:t>
      </w:r>
      <w:r w:rsidR="00221E6D" w:rsidRPr="00127391">
        <w:rPr>
          <w:rFonts w:ascii="Times New Roman" w:hAnsi="Times New Roman" w:cs="Courier"/>
        </w:rPr>
        <w:t>are</w:t>
      </w:r>
      <w:r w:rsidR="00FB2121" w:rsidRPr="00127391">
        <w:rPr>
          <w:rFonts w:ascii="Times New Roman" w:hAnsi="Times New Roman" w:cs="Courier"/>
        </w:rPr>
        <w:t xml:space="preserve"> also</w:t>
      </w:r>
      <w:r w:rsidR="00221E6D" w:rsidRPr="00127391">
        <w:rPr>
          <w:rFonts w:ascii="Times New Roman" w:hAnsi="Times New Roman" w:cs="Courier"/>
        </w:rPr>
        <w:t xml:space="preserve"> less than the sum of the burdens listed in </w:t>
      </w:r>
      <w:r w:rsidR="00127391">
        <w:rPr>
          <w:rFonts w:ascii="Times New Roman" w:hAnsi="Times New Roman" w:cs="Courier"/>
        </w:rPr>
        <w:t xml:space="preserve">the prior ICR. </w:t>
      </w:r>
    </w:p>
    <w:p w14:paraId="1D71FBD3" w14:textId="5047E464" w:rsidR="00FB7389" w:rsidRPr="008805A6" w:rsidRDefault="00980F17" w:rsidP="008805A6">
      <w:pPr>
        <w:rPr>
          <w:rFonts w:ascii="Times New Roman" w:hAnsi="Times New Roman" w:cs="Courier"/>
        </w:rPr>
      </w:pPr>
      <w:r>
        <w:rPr>
          <w:rFonts w:ascii="Times New Roman" w:hAnsi="Times New Roman" w:cs="Courier"/>
        </w:rPr>
        <w:tab/>
      </w:r>
      <w:r w:rsidR="00795F38" w:rsidRPr="00795F38">
        <w:rPr>
          <w:rFonts w:ascii="Times New Roman" w:hAnsi="Times New Roman" w:cs="Courier"/>
        </w:rPr>
        <w:t xml:space="preserve">The hourly wage rates for EPA clerical, technical and managerial </w:t>
      </w:r>
      <w:r w:rsidR="00EC3E2A">
        <w:rPr>
          <w:rFonts w:ascii="Times New Roman" w:hAnsi="Times New Roman" w:cs="Courier"/>
        </w:rPr>
        <w:t xml:space="preserve">staff were derived from the </w:t>
      </w:r>
      <w:r w:rsidR="00ED4F60">
        <w:rPr>
          <w:rFonts w:ascii="Times New Roman" w:hAnsi="Times New Roman" w:cs="Courier"/>
        </w:rPr>
        <w:t>2014</w:t>
      </w:r>
      <w:r w:rsidR="00795F38" w:rsidRPr="00BB39C6">
        <w:rPr>
          <w:rFonts w:ascii="Times New Roman" w:hAnsi="Times New Roman" w:cs="Courier"/>
        </w:rPr>
        <w:t xml:space="preserve"> OPM</w:t>
      </w:r>
      <w:r w:rsidR="00795F38" w:rsidRPr="00795F38">
        <w:rPr>
          <w:rFonts w:ascii="Times New Roman" w:hAnsi="Times New Roman" w:cs="Courier"/>
        </w:rPr>
        <w:t xml:space="preserve"> </w:t>
      </w:r>
      <w:r w:rsidR="00BB39C6">
        <w:rPr>
          <w:rFonts w:ascii="Times New Roman" w:hAnsi="Times New Roman" w:cs="Courier"/>
        </w:rPr>
        <w:t xml:space="preserve">pay table </w:t>
      </w:r>
      <w:r w:rsidR="00795F38" w:rsidRPr="00795F38">
        <w:rPr>
          <w:rFonts w:ascii="Times New Roman" w:hAnsi="Times New Roman" w:cs="Courier"/>
        </w:rPr>
        <w:t xml:space="preserve">multiplied </w:t>
      </w:r>
      <w:r w:rsidR="00795F38" w:rsidRPr="00A53112">
        <w:rPr>
          <w:rFonts w:ascii="Times New Roman" w:hAnsi="Times New Roman" w:cs="Courier"/>
        </w:rPr>
        <w:t>by 1.6, the</w:t>
      </w:r>
      <w:r w:rsidR="00795F38" w:rsidRPr="00795F38">
        <w:rPr>
          <w:rFonts w:ascii="Times New Roman" w:hAnsi="Times New Roman" w:cs="Courier"/>
        </w:rPr>
        <w:t xml:space="preserve"> standard government benefits multiplier.</w:t>
      </w:r>
      <w:r w:rsidR="0011094A">
        <w:rPr>
          <w:rFonts w:ascii="Times New Roman" w:hAnsi="Times New Roman" w:cs="Courier"/>
        </w:rPr>
        <w:t xml:space="preserve"> </w:t>
      </w:r>
      <w:r w:rsidR="00795F38" w:rsidRPr="00795F38">
        <w:rPr>
          <w:rFonts w:ascii="Times New Roman" w:hAnsi="Times New Roman" w:cs="Courier"/>
        </w:rPr>
        <w:t>The hourly wage rates are as follows:</w:t>
      </w:r>
      <w:r w:rsidR="0011094A">
        <w:rPr>
          <w:rFonts w:ascii="Times New Roman" w:hAnsi="Times New Roman" w:cs="Courier"/>
        </w:rPr>
        <w:t xml:space="preserve"> </w:t>
      </w:r>
      <w:r w:rsidR="00795F38" w:rsidRPr="00795F38">
        <w:rPr>
          <w:rFonts w:ascii="Times New Roman" w:hAnsi="Times New Roman" w:cs="Courier"/>
        </w:rPr>
        <w:t>EPA estimates an average ho</w:t>
      </w:r>
      <w:r w:rsidR="00EC3E2A">
        <w:rPr>
          <w:rFonts w:ascii="Times New Roman" w:hAnsi="Times New Roman" w:cs="Courier"/>
        </w:rPr>
        <w:t>urly labor cost of $</w:t>
      </w:r>
      <w:r w:rsidR="00ED4F60">
        <w:rPr>
          <w:rFonts w:ascii="Times New Roman" w:hAnsi="Times New Roman" w:cs="Courier"/>
        </w:rPr>
        <w:t>95.82</w:t>
      </w:r>
      <w:r w:rsidR="00EC3E2A">
        <w:rPr>
          <w:rFonts w:ascii="Times New Roman" w:hAnsi="Times New Roman" w:cs="Courier"/>
        </w:rPr>
        <w:t xml:space="preserve"> (GS-15</w:t>
      </w:r>
      <w:r w:rsidR="00795F38" w:rsidRPr="00795F38">
        <w:rPr>
          <w:rFonts w:ascii="Times New Roman" w:hAnsi="Times New Roman" w:cs="Courier"/>
        </w:rPr>
        <w:t xml:space="preserve"> </w:t>
      </w:r>
      <w:r w:rsidR="00263C41">
        <w:rPr>
          <w:rFonts w:ascii="Times New Roman" w:hAnsi="Times New Roman" w:cs="Courier"/>
        </w:rPr>
        <w:t>level) for managerial costs, $</w:t>
      </w:r>
      <w:r w:rsidR="00ED4F60">
        <w:rPr>
          <w:rFonts w:ascii="Times New Roman" w:hAnsi="Times New Roman" w:cs="Courier"/>
        </w:rPr>
        <w:t>68.94</w:t>
      </w:r>
      <w:r w:rsidR="00263C41">
        <w:rPr>
          <w:rFonts w:ascii="Times New Roman" w:hAnsi="Times New Roman" w:cs="Courier"/>
        </w:rPr>
        <w:t xml:space="preserve"> (GS-13</w:t>
      </w:r>
      <w:r w:rsidR="00795F38" w:rsidRPr="00795F38">
        <w:rPr>
          <w:rFonts w:ascii="Times New Roman" w:hAnsi="Times New Roman" w:cs="Courier"/>
        </w:rPr>
        <w:t xml:space="preserve"> lev</w:t>
      </w:r>
      <w:r w:rsidR="00263C41">
        <w:rPr>
          <w:rFonts w:ascii="Times New Roman" w:hAnsi="Times New Roman" w:cs="Courier"/>
        </w:rPr>
        <w:t>el) for technical staff, and $</w:t>
      </w:r>
      <w:r w:rsidR="00ED4F60">
        <w:rPr>
          <w:rFonts w:ascii="Times New Roman" w:hAnsi="Times New Roman" w:cs="Courier"/>
        </w:rPr>
        <w:t>32.69</w:t>
      </w:r>
      <w:r w:rsidR="00795F38" w:rsidRPr="00795F38">
        <w:rPr>
          <w:rFonts w:ascii="Times New Roman" w:hAnsi="Times New Roman" w:cs="Courier"/>
        </w:rPr>
        <w:t xml:space="preserve"> (GS-</w:t>
      </w:r>
      <w:r w:rsidR="00ED4F60">
        <w:rPr>
          <w:rFonts w:ascii="Times New Roman" w:hAnsi="Times New Roman" w:cs="Courier"/>
        </w:rPr>
        <w:t>7</w:t>
      </w:r>
      <w:r w:rsidR="00795F38" w:rsidRPr="00795F38">
        <w:rPr>
          <w:rFonts w:ascii="Times New Roman" w:hAnsi="Times New Roman" w:cs="Courier"/>
        </w:rPr>
        <w:t xml:space="preserve"> level) for clerical sta</w:t>
      </w:r>
      <w:r w:rsidR="00EC3E2A">
        <w:rPr>
          <w:rFonts w:ascii="Times New Roman" w:hAnsi="Times New Roman" w:cs="Courier"/>
        </w:rPr>
        <w:t xml:space="preserve">ff based on </w:t>
      </w:r>
      <w:r w:rsidR="00ED4F60">
        <w:rPr>
          <w:rFonts w:ascii="Times New Roman" w:hAnsi="Times New Roman" w:cs="Courier"/>
        </w:rPr>
        <w:t>2014</w:t>
      </w:r>
      <w:r w:rsidR="00795F38" w:rsidRPr="00795F38">
        <w:rPr>
          <w:rFonts w:ascii="Times New Roman" w:hAnsi="Times New Roman" w:cs="Courier"/>
        </w:rPr>
        <w:t xml:space="preserve"> figures.</w:t>
      </w:r>
      <w:r w:rsidR="0011094A">
        <w:rPr>
          <w:rFonts w:ascii="Times New Roman" w:hAnsi="Times New Roman" w:cs="Courier"/>
        </w:rPr>
        <w:t xml:space="preserve"> </w:t>
      </w:r>
      <w:r w:rsidR="00795F38" w:rsidRPr="00795F38">
        <w:rPr>
          <w:rFonts w:ascii="Times New Roman" w:hAnsi="Times New Roman" w:cs="Courier"/>
        </w:rPr>
        <w:t>While the number of occurrences of each activity is shown per application, EPA intends to continue grouping applications according to agricultural sectors.</w:t>
      </w:r>
      <w:r w:rsidR="0011094A">
        <w:rPr>
          <w:rFonts w:ascii="Times New Roman" w:hAnsi="Times New Roman" w:cs="Courier"/>
        </w:rPr>
        <w:t xml:space="preserve"> </w:t>
      </w:r>
      <w:r w:rsidR="00795F38" w:rsidRPr="00795F38">
        <w:rPr>
          <w:rFonts w:ascii="Times New Roman" w:hAnsi="Times New Roman" w:cs="Courier"/>
        </w:rPr>
        <w:t xml:space="preserve">Each hour of extramural (contractor) time is valued at </w:t>
      </w:r>
      <w:r w:rsidR="00912C82" w:rsidRPr="0053582C">
        <w:rPr>
          <w:rFonts w:ascii="Times New Roman" w:hAnsi="Times New Roman" w:cs="Courier"/>
        </w:rPr>
        <w:t>$</w:t>
      </w:r>
      <w:r w:rsidR="007D4D41" w:rsidRPr="0053582C">
        <w:rPr>
          <w:rFonts w:ascii="Times New Roman" w:hAnsi="Times New Roman" w:cs="Courier"/>
        </w:rPr>
        <w:t>1</w:t>
      </w:r>
      <w:r w:rsidR="0053582C" w:rsidRPr="0053582C">
        <w:rPr>
          <w:rFonts w:ascii="Times New Roman" w:hAnsi="Times New Roman" w:cs="Courier"/>
        </w:rPr>
        <w:t>32</w:t>
      </w:r>
      <w:r w:rsidR="00795F38" w:rsidRPr="0053582C">
        <w:rPr>
          <w:rFonts w:ascii="Times New Roman" w:hAnsi="Times New Roman" w:cs="Courier"/>
        </w:rPr>
        <w:t>.00</w:t>
      </w:r>
      <w:r w:rsidR="00795F38" w:rsidRPr="00A53112">
        <w:rPr>
          <w:rFonts w:ascii="Times New Roman" w:hAnsi="Times New Roman" w:cs="Courier"/>
        </w:rPr>
        <w:t xml:space="preserve"> per hour</w:t>
      </w:r>
      <w:r w:rsidR="00795F38" w:rsidRPr="00795F38">
        <w:rPr>
          <w:rFonts w:ascii="Times New Roman" w:hAnsi="Times New Roman" w:cs="Courier"/>
        </w:rPr>
        <w:t xml:space="preserve"> including overhead and fringe</w:t>
      </w:r>
      <w:r w:rsidR="00E653B6">
        <w:rPr>
          <w:rFonts w:ascii="Times New Roman" w:hAnsi="Times New Roman" w:cs="Courier"/>
        </w:rPr>
        <w:t xml:space="preserve"> benefits</w:t>
      </w:r>
      <w:r w:rsidR="00795F38" w:rsidRPr="00795F38">
        <w:rPr>
          <w:rFonts w:ascii="Times New Roman" w:hAnsi="Times New Roman" w:cs="Courier"/>
        </w:rPr>
        <w:t>.</w:t>
      </w:r>
      <w:r w:rsidR="0011094A">
        <w:rPr>
          <w:rFonts w:ascii="Times New Roman" w:hAnsi="Times New Roman" w:cs="Courier"/>
        </w:rPr>
        <w:t xml:space="preserve"> </w:t>
      </w:r>
    </w:p>
    <w:p w14:paraId="38D69C41" w14:textId="77777777" w:rsidR="00FB7389" w:rsidRPr="00877602" w:rsidRDefault="00FB7389" w:rsidP="00F6278D">
      <w:pPr>
        <w:ind w:firstLine="720"/>
        <w:jc w:val="center"/>
        <w:rPr>
          <w:rFonts w:ascii="Times New Roman" w:hAnsi="Times New Roman" w:cs="Courier"/>
          <w:b/>
        </w:rPr>
      </w:pPr>
    </w:p>
    <w:p w14:paraId="1C3531D9" w14:textId="77777777" w:rsidR="00127391" w:rsidRDefault="00F6278D" w:rsidP="00127391">
      <w:pPr>
        <w:ind w:firstLine="720"/>
        <w:jc w:val="center"/>
        <w:rPr>
          <w:rFonts w:ascii="Times New Roman" w:hAnsi="Times New Roman" w:cs="Courier"/>
          <w:b/>
        </w:rPr>
      </w:pPr>
      <w:r w:rsidRPr="00127391">
        <w:rPr>
          <w:rFonts w:ascii="Times New Roman" w:hAnsi="Times New Roman" w:cs="Courier"/>
          <w:b/>
        </w:rPr>
        <w:t>TABLE IV- AGENCY BURDEN HOURS</w:t>
      </w:r>
    </w:p>
    <w:tbl>
      <w:tblPr>
        <w:tblW w:w="9480" w:type="dxa"/>
        <w:tblLook w:val="04A0" w:firstRow="1" w:lastRow="0" w:firstColumn="1" w:lastColumn="0" w:noHBand="0" w:noVBand="1"/>
      </w:tblPr>
      <w:tblGrid>
        <w:gridCol w:w="3658"/>
        <w:gridCol w:w="1094"/>
        <w:gridCol w:w="1205"/>
        <w:gridCol w:w="1316"/>
        <w:gridCol w:w="980"/>
        <w:gridCol w:w="1227"/>
      </w:tblGrid>
      <w:tr w:rsidR="00085B0D" w:rsidRPr="00085B0D" w14:paraId="486EFEC0" w14:textId="77777777" w:rsidTr="00155C11">
        <w:trPr>
          <w:trHeight w:val="780"/>
        </w:trPr>
        <w:tc>
          <w:tcPr>
            <w:tcW w:w="3658" w:type="dxa"/>
            <w:tcBorders>
              <w:top w:val="single" w:sz="8" w:space="0" w:color="auto"/>
              <w:left w:val="single" w:sz="8" w:space="0" w:color="auto"/>
              <w:bottom w:val="single" w:sz="8" w:space="0" w:color="auto"/>
              <w:right w:val="single" w:sz="4" w:space="0" w:color="auto"/>
            </w:tcBorders>
            <w:shd w:val="clear" w:color="auto" w:fill="auto"/>
            <w:hideMark/>
          </w:tcPr>
          <w:p w14:paraId="5C559E7C"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c>
          <w:tcPr>
            <w:tcW w:w="1094" w:type="dxa"/>
            <w:tcBorders>
              <w:top w:val="single" w:sz="8" w:space="0" w:color="auto"/>
              <w:left w:val="nil"/>
              <w:bottom w:val="single" w:sz="8" w:space="0" w:color="auto"/>
              <w:right w:val="single" w:sz="4" w:space="0" w:color="auto"/>
            </w:tcBorders>
            <w:shd w:val="clear" w:color="auto" w:fill="auto"/>
            <w:hideMark/>
          </w:tcPr>
          <w:p w14:paraId="5BADE06C"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No. of Responses</w:t>
            </w:r>
          </w:p>
        </w:tc>
        <w:tc>
          <w:tcPr>
            <w:tcW w:w="1205" w:type="dxa"/>
            <w:tcBorders>
              <w:top w:val="single" w:sz="8" w:space="0" w:color="auto"/>
              <w:left w:val="nil"/>
              <w:bottom w:val="single" w:sz="8" w:space="0" w:color="auto"/>
              <w:right w:val="single" w:sz="4" w:space="0" w:color="auto"/>
            </w:tcBorders>
            <w:shd w:val="clear" w:color="auto" w:fill="auto"/>
            <w:hideMark/>
          </w:tcPr>
          <w:p w14:paraId="38878639"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Managerial hours per response</w:t>
            </w:r>
          </w:p>
        </w:tc>
        <w:tc>
          <w:tcPr>
            <w:tcW w:w="1316" w:type="dxa"/>
            <w:tcBorders>
              <w:top w:val="single" w:sz="8" w:space="0" w:color="auto"/>
              <w:left w:val="nil"/>
              <w:bottom w:val="single" w:sz="8" w:space="0" w:color="auto"/>
              <w:right w:val="single" w:sz="4" w:space="0" w:color="auto"/>
            </w:tcBorders>
            <w:shd w:val="clear" w:color="auto" w:fill="auto"/>
            <w:hideMark/>
          </w:tcPr>
          <w:p w14:paraId="4234FD44"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Technical hours per response</w:t>
            </w:r>
          </w:p>
        </w:tc>
        <w:tc>
          <w:tcPr>
            <w:tcW w:w="980" w:type="dxa"/>
            <w:tcBorders>
              <w:top w:val="single" w:sz="8" w:space="0" w:color="auto"/>
              <w:left w:val="nil"/>
              <w:bottom w:val="single" w:sz="8" w:space="0" w:color="auto"/>
              <w:right w:val="single" w:sz="4" w:space="0" w:color="auto"/>
            </w:tcBorders>
            <w:shd w:val="clear" w:color="auto" w:fill="auto"/>
            <w:hideMark/>
          </w:tcPr>
          <w:p w14:paraId="05E4FB43"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Clerical hours per response</w:t>
            </w:r>
          </w:p>
        </w:tc>
        <w:tc>
          <w:tcPr>
            <w:tcW w:w="1227" w:type="dxa"/>
            <w:tcBorders>
              <w:top w:val="single" w:sz="8" w:space="0" w:color="auto"/>
              <w:left w:val="nil"/>
              <w:bottom w:val="single" w:sz="8" w:space="0" w:color="auto"/>
              <w:right w:val="single" w:sz="8" w:space="0" w:color="auto"/>
            </w:tcBorders>
            <w:shd w:val="clear" w:color="auto" w:fill="auto"/>
            <w:hideMark/>
          </w:tcPr>
          <w:p w14:paraId="3C87FFD9"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Extramural hours per response</w:t>
            </w:r>
          </w:p>
        </w:tc>
      </w:tr>
      <w:tr w:rsidR="00085B0D" w:rsidRPr="00085B0D" w14:paraId="77D2B72F" w14:textId="77777777" w:rsidTr="00085B0D">
        <w:trPr>
          <w:trHeight w:val="330"/>
        </w:trPr>
        <w:tc>
          <w:tcPr>
            <w:tcW w:w="9480" w:type="dxa"/>
            <w:gridSpan w:val="6"/>
            <w:tcBorders>
              <w:top w:val="single" w:sz="8" w:space="0" w:color="auto"/>
              <w:left w:val="single" w:sz="8" w:space="0" w:color="auto"/>
              <w:bottom w:val="double" w:sz="6" w:space="0" w:color="auto"/>
              <w:right w:val="single" w:sz="8" w:space="0" w:color="000000"/>
            </w:tcBorders>
            <w:shd w:val="clear" w:color="auto" w:fill="auto"/>
            <w:hideMark/>
          </w:tcPr>
          <w:p w14:paraId="652FDA33" w14:textId="77777777" w:rsidR="00085B0D" w:rsidRPr="00085B0D" w:rsidRDefault="00085B0D" w:rsidP="00085B0D">
            <w:pPr>
              <w:widowControl/>
              <w:autoSpaceDE/>
              <w:autoSpaceDN/>
              <w:adjustRightInd/>
              <w:rPr>
                <w:rFonts w:ascii="Times New Roman" w:hAnsi="Times New Roman"/>
                <w:b/>
                <w:bCs/>
              </w:rPr>
            </w:pPr>
            <w:r w:rsidRPr="00085B0D">
              <w:rPr>
                <w:rFonts w:ascii="Times New Roman" w:hAnsi="Times New Roman"/>
                <w:b/>
                <w:bCs/>
              </w:rPr>
              <w:t>i)  Applications</w:t>
            </w:r>
          </w:p>
        </w:tc>
      </w:tr>
      <w:tr w:rsidR="00085B0D" w:rsidRPr="00085B0D" w14:paraId="669E6207" w14:textId="77777777" w:rsidTr="00155C11">
        <w:trPr>
          <w:trHeight w:val="525"/>
        </w:trPr>
        <w:tc>
          <w:tcPr>
            <w:tcW w:w="3658" w:type="dxa"/>
            <w:tcBorders>
              <w:top w:val="nil"/>
              <w:left w:val="single" w:sz="8" w:space="0" w:color="auto"/>
              <w:bottom w:val="single" w:sz="4" w:space="0" w:color="auto"/>
              <w:right w:val="single" w:sz="4" w:space="0" w:color="auto"/>
            </w:tcBorders>
            <w:shd w:val="clear" w:color="auto" w:fill="auto"/>
            <w:hideMark/>
          </w:tcPr>
          <w:p w14:paraId="69CA6C0D"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Read and review the applications for completeness; make appropriate amount of electronic/paper copies</w:t>
            </w:r>
          </w:p>
        </w:tc>
        <w:tc>
          <w:tcPr>
            <w:tcW w:w="1094" w:type="dxa"/>
            <w:tcBorders>
              <w:top w:val="nil"/>
              <w:left w:val="nil"/>
              <w:bottom w:val="single" w:sz="4" w:space="0" w:color="auto"/>
              <w:right w:val="single" w:sz="4" w:space="0" w:color="auto"/>
            </w:tcBorders>
            <w:shd w:val="clear" w:color="auto" w:fill="auto"/>
            <w:hideMark/>
          </w:tcPr>
          <w:p w14:paraId="15A010C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1205" w:type="dxa"/>
            <w:tcBorders>
              <w:top w:val="nil"/>
              <w:left w:val="nil"/>
              <w:bottom w:val="single" w:sz="4" w:space="0" w:color="auto"/>
              <w:right w:val="single" w:sz="4" w:space="0" w:color="auto"/>
            </w:tcBorders>
            <w:shd w:val="clear" w:color="auto" w:fill="auto"/>
            <w:hideMark/>
          </w:tcPr>
          <w:p w14:paraId="38B17FC2"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316" w:type="dxa"/>
            <w:tcBorders>
              <w:top w:val="nil"/>
              <w:left w:val="nil"/>
              <w:bottom w:val="single" w:sz="4" w:space="0" w:color="auto"/>
              <w:right w:val="single" w:sz="4" w:space="0" w:color="auto"/>
            </w:tcBorders>
            <w:shd w:val="clear" w:color="auto" w:fill="auto"/>
            <w:hideMark/>
          </w:tcPr>
          <w:p w14:paraId="0C7F15E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980" w:type="dxa"/>
            <w:tcBorders>
              <w:top w:val="nil"/>
              <w:left w:val="nil"/>
              <w:bottom w:val="single" w:sz="4" w:space="0" w:color="auto"/>
              <w:right w:val="single" w:sz="4" w:space="0" w:color="auto"/>
            </w:tcBorders>
            <w:shd w:val="clear" w:color="auto" w:fill="auto"/>
            <w:hideMark/>
          </w:tcPr>
          <w:p w14:paraId="02785CB9"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1227" w:type="dxa"/>
            <w:tcBorders>
              <w:top w:val="nil"/>
              <w:left w:val="nil"/>
              <w:bottom w:val="single" w:sz="4" w:space="0" w:color="auto"/>
              <w:right w:val="single" w:sz="8" w:space="0" w:color="auto"/>
            </w:tcBorders>
            <w:shd w:val="clear" w:color="auto" w:fill="auto"/>
            <w:hideMark/>
          </w:tcPr>
          <w:p w14:paraId="5E89C6D9"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2AF13DD6" w14:textId="77777777" w:rsidTr="00155C11">
        <w:trPr>
          <w:trHeight w:val="255"/>
        </w:trPr>
        <w:tc>
          <w:tcPr>
            <w:tcW w:w="3658" w:type="dxa"/>
            <w:tcBorders>
              <w:top w:val="nil"/>
              <w:left w:val="single" w:sz="8" w:space="0" w:color="auto"/>
              <w:bottom w:val="single" w:sz="4" w:space="0" w:color="auto"/>
              <w:right w:val="single" w:sz="4" w:space="0" w:color="auto"/>
            </w:tcBorders>
            <w:shd w:val="clear" w:color="auto" w:fill="auto"/>
            <w:hideMark/>
          </w:tcPr>
          <w:p w14:paraId="6523864D"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Review information submitted for accuracy</w:t>
            </w:r>
          </w:p>
        </w:tc>
        <w:tc>
          <w:tcPr>
            <w:tcW w:w="1094" w:type="dxa"/>
            <w:tcBorders>
              <w:top w:val="nil"/>
              <w:left w:val="nil"/>
              <w:bottom w:val="single" w:sz="4" w:space="0" w:color="auto"/>
              <w:right w:val="single" w:sz="4" w:space="0" w:color="auto"/>
            </w:tcBorders>
            <w:shd w:val="clear" w:color="auto" w:fill="auto"/>
            <w:hideMark/>
          </w:tcPr>
          <w:p w14:paraId="1EE4170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1205" w:type="dxa"/>
            <w:tcBorders>
              <w:top w:val="nil"/>
              <w:left w:val="nil"/>
              <w:bottom w:val="single" w:sz="4" w:space="0" w:color="auto"/>
              <w:right w:val="single" w:sz="4" w:space="0" w:color="auto"/>
            </w:tcBorders>
            <w:shd w:val="clear" w:color="auto" w:fill="auto"/>
            <w:hideMark/>
          </w:tcPr>
          <w:p w14:paraId="2F55612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316" w:type="dxa"/>
            <w:tcBorders>
              <w:top w:val="nil"/>
              <w:left w:val="nil"/>
              <w:bottom w:val="single" w:sz="4" w:space="0" w:color="auto"/>
              <w:right w:val="single" w:sz="4" w:space="0" w:color="auto"/>
            </w:tcBorders>
            <w:shd w:val="clear" w:color="auto" w:fill="auto"/>
            <w:hideMark/>
          </w:tcPr>
          <w:p w14:paraId="797E0D88"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10</w:t>
            </w:r>
          </w:p>
        </w:tc>
        <w:tc>
          <w:tcPr>
            <w:tcW w:w="980" w:type="dxa"/>
            <w:tcBorders>
              <w:top w:val="nil"/>
              <w:left w:val="nil"/>
              <w:bottom w:val="single" w:sz="4" w:space="0" w:color="auto"/>
              <w:right w:val="single" w:sz="4" w:space="0" w:color="auto"/>
            </w:tcBorders>
            <w:shd w:val="clear" w:color="auto" w:fill="auto"/>
            <w:hideMark/>
          </w:tcPr>
          <w:p w14:paraId="73DA02D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0DAC6D7E"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29BB38AA" w14:textId="77777777" w:rsidTr="00155C11">
        <w:trPr>
          <w:trHeight w:val="765"/>
        </w:trPr>
        <w:tc>
          <w:tcPr>
            <w:tcW w:w="3658" w:type="dxa"/>
            <w:tcBorders>
              <w:top w:val="nil"/>
              <w:left w:val="single" w:sz="8" w:space="0" w:color="auto"/>
              <w:bottom w:val="single" w:sz="4" w:space="0" w:color="auto"/>
              <w:right w:val="single" w:sz="4" w:space="0" w:color="auto"/>
            </w:tcBorders>
            <w:shd w:val="clear" w:color="auto" w:fill="auto"/>
            <w:hideMark/>
          </w:tcPr>
          <w:p w14:paraId="03DE0407"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lastRenderedPageBreak/>
              <w:t>Perform economic and technical analysis and compile nomination on proposed exemption to the Ozone Secretariat</w:t>
            </w:r>
          </w:p>
        </w:tc>
        <w:tc>
          <w:tcPr>
            <w:tcW w:w="1094" w:type="dxa"/>
            <w:tcBorders>
              <w:top w:val="nil"/>
              <w:left w:val="nil"/>
              <w:bottom w:val="single" w:sz="4" w:space="0" w:color="auto"/>
              <w:right w:val="single" w:sz="4" w:space="0" w:color="auto"/>
            </w:tcBorders>
            <w:shd w:val="clear" w:color="auto" w:fill="auto"/>
            <w:hideMark/>
          </w:tcPr>
          <w:p w14:paraId="774D2661"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1205" w:type="dxa"/>
            <w:tcBorders>
              <w:top w:val="nil"/>
              <w:left w:val="nil"/>
              <w:bottom w:val="single" w:sz="4" w:space="0" w:color="auto"/>
              <w:right w:val="single" w:sz="4" w:space="0" w:color="auto"/>
            </w:tcBorders>
            <w:shd w:val="clear" w:color="auto" w:fill="auto"/>
            <w:hideMark/>
          </w:tcPr>
          <w:p w14:paraId="65C64D0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5</w:t>
            </w:r>
          </w:p>
        </w:tc>
        <w:tc>
          <w:tcPr>
            <w:tcW w:w="1316" w:type="dxa"/>
            <w:tcBorders>
              <w:top w:val="nil"/>
              <w:left w:val="nil"/>
              <w:bottom w:val="single" w:sz="4" w:space="0" w:color="auto"/>
              <w:right w:val="single" w:sz="4" w:space="0" w:color="auto"/>
            </w:tcBorders>
            <w:shd w:val="clear" w:color="auto" w:fill="auto"/>
            <w:hideMark/>
          </w:tcPr>
          <w:p w14:paraId="0385CDB4"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40</w:t>
            </w:r>
          </w:p>
        </w:tc>
        <w:tc>
          <w:tcPr>
            <w:tcW w:w="980" w:type="dxa"/>
            <w:tcBorders>
              <w:top w:val="nil"/>
              <w:left w:val="nil"/>
              <w:bottom w:val="single" w:sz="4" w:space="0" w:color="auto"/>
              <w:right w:val="single" w:sz="4" w:space="0" w:color="auto"/>
            </w:tcBorders>
            <w:shd w:val="clear" w:color="auto" w:fill="auto"/>
            <w:hideMark/>
          </w:tcPr>
          <w:p w14:paraId="3F3122CB"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45</w:t>
            </w:r>
          </w:p>
        </w:tc>
        <w:tc>
          <w:tcPr>
            <w:tcW w:w="1227" w:type="dxa"/>
            <w:tcBorders>
              <w:top w:val="nil"/>
              <w:left w:val="nil"/>
              <w:bottom w:val="single" w:sz="4" w:space="0" w:color="auto"/>
              <w:right w:val="single" w:sz="8" w:space="0" w:color="auto"/>
            </w:tcBorders>
            <w:shd w:val="clear" w:color="auto" w:fill="auto"/>
            <w:hideMark/>
          </w:tcPr>
          <w:p w14:paraId="5B10AC9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6E6FE294" w14:textId="77777777" w:rsidTr="00155C11">
        <w:trPr>
          <w:trHeight w:val="765"/>
        </w:trPr>
        <w:tc>
          <w:tcPr>
            <w:tcW w:w="3658" w:type="dxa"/>
            <w:tcBorders>
              <w:top w:val="nil"/>
              <w:left w:val="single" w:sz="8" w:space="0" w:color="auto"/>
              <w:bottom w:val="single" w:sz="4" w:space="0" w:color="auto"/>
              <w:right w:val="single" w:sz="4" w:space="0" w:color="auto"/>
            </w:tcBorders>
            <w:shd w:val="clear" w:color="auto" w:fill="auto"/>
            <w:hideMark/>
          </w:tcPr>
          <w:p w14:paraId="0E7990A0"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Respond to questions on Nomination from MBTOC/TEAP (advisory bodies to Parties to Protocol)</w:t>
            </w:r>
          </w:p>
        </w:tc>
        <w:tc>
          <w:tcPr>
            <w:tcW w:w="1094" w:type="dxa"/>
            <w:tcBorders>
              <w:top w:val="nil"/>
              <w:left w:val="nil"/>
              <w:bottom w:val="single" w:sz="4" w:space="0" w:color="auto"/>
              <w:right w:val="single" w:sz="4" w:space="0" w:color="auto"/>
            </w:tcBorders>
            <w:shd w:val="clear" w:color="auto" w:fill="auto"/>
            <w:hideMark/>
          </w:tcPr>
          <w:p w14:paraId="68AE0CC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1205" w:type="dxa"/>
            <w:tcBorders>
              <w:top w:val="nil"/>
              <w:left w:val="nil"/>
              <w:bottom w:val="single" w:sz="4" w:space="0" w:color="auto"/>
              <w:right w:val="single" w:sz="4" w:space="0" w:color="auto"/>
            </w:tcBorders>
            <w:shd w:val="clear" w:color="auto" w:fill="auto"/>
            <w:hideMark/>
          </w:tcPr>
          <w:p w14:paraId="782E545C"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2</w:t>
            </w:r>
          </w:p>
        </w:tc>
        <w:tc>
          <w:tcPr>
            <w:tcW w:w="1316" w:type="dxa"/>
            <w:tcBorders>
              <w:top w:val="nil"/>
              <w:left w:val="nil"/>
              <w:bottom w:val="single" w:sz="4" w:space="0" w:color="auto"/>
              <w:right w:val="single" w:sz="4" w:space="0" w:color="auto"/>
            </w:tcBorders>
            <w:shd w:val="clear" w:color="auto" w:fill="auto"/>
            <w:hideMark/>
          </w:tcPr>
          <w:p w14:paraId="24675498"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10</w:t>
            </w:r>
          </w:p>
        </w:tc>
        <w:tc>
          <w:tcPr>
            <w:tcW w:w="980" w:type="dxa"/>
            <w:tcBorders>
              <w:top w:val="nil"/>
              <w:left w:val="nil"/>
              <w:bottom w:val="single" w:sz="4" w:space="0" w:color="auto"/>
              <w:right w:val="single" w:sz="4" w:space="0" w:color="auto"/>
            </w:tcBorders>
            <w:shd w:val="clear" w:color="auto" w:fill="auto"/>
            <w:hideMark/>
          </w:tcPr>
          <w:p w14:paraId="2B2518C5"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49341755"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0E585709" w14:textId="77777777" w:rsidTr="00155C11">
        <w:trPr>
          <w:trHeight w:val="255"/>
        </w:trPr>
        <w:tc>
          <w:tcPr>
            <w:tcW w:w="3658" w:type="dxa"/>
            <w:tcBorders>
              <w:top w:val="nil"/>
              <w:left w:val="single" w:sz="8" w:space="0" w:color="auto"/>
              <w:bottom w:val="single" w:sz="4" w:space="0" w:color="auto"/>
              <w:right w:val="single" w:sz="4" w:space="0" w:color="auto"/>
            </w:tcBorders>
            <w:shd w:val="clear" w:color="auto" w:fill="auto"/>
            <w:hideMark/>
          </w:tcPr>
          <w:p w14:paraId="55544BA3"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Final decision on each sector</w:t>
            </w:r>
          </w:p>
        </w:tc>
        <w:tc>
          <w:tcPr>
            <w:tcW w:w="1094" w:type="dxa"/>
            <w:tcBorders>
              <w:top w:val="nil"/>
              <w:left w:val="nil"/>
              <w:bottom w:val="single" w:sz="4" w:space="0" w:color="auto"/>
              <w:right w:val="single" w:sz="4" w:space="0" w:color="auto"/>
            </w:tcBorders>
            <w:shd w:val="clear" w:color="auto" w:fill="auto"/>
            <w:hideMark/>
          </w:tcPr>
          <w:p w14:paraId="1DE6A06E"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12</w:t>
            </w:r>
          </w:p>
        </w:tc>
        <w:tc>
          <w:tcPr>
            <w:tcW w:w="1205" w:type="dxa"/>
            <w:tcBorders>
              <w:top w:val="nil"/>
              <w:left w:val="nil"/>
              <w:bottom w:val="single" w:sz="4" w:space="0" w:color="auto"/>
              <w:right w:val="single" w:sz="4" w:space="0" w:color="auto"/>
            </w:tcBorders>
            <w:shd w:val="clear" w:color="auto" w:fill="auto"/>
            <w:hideMark/>
          </w:tcPr>
          <w:p w14:paraId="33A56B3C"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10</w:t>
            </w:r>
          </w:p>
        </w:tc>
        <w:tc>
          <w:tcPr>
            <w:tcW w:w="1316" w:type="dxa"/>
            <w:tcBorders>
              <w:top w:val="nil"/>
              <w:left w:val="nil"/>
              <w:bottom w:val="single" w:sz="4" w:space="0" w:color="auto"/>
              <w:right w:val="single" w:sz="4" w:space="0" w:color="auto"/>
            </w:tcBorders>
            <w:shd w:val="clear" w:color="auto" w:fill="auto"/>
            <w:hideMark/>
          </w:tcPr>
          <w:p w14:paraId="6C0FBD61"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980" w:type="dxa"/>
            <w:tcBorders>
              <w:top w:val="nil"/>
              <w:left w:val="nil"/>
              <w:bottom w:val="single" w:sz="4" w:space="0" w:color="auto"/>
              <w:right w:val="single" w:sz="4" w:space="0" w:color="auto"/>
            </w:tcBorders>
            <w:shd w:val="clear" w:color="auto" w:fill="auto"/>
            <w:hideMark/>
          </w:tcPr>
          <w:p w14:paraId="32E11140"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7F5F8403"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5DFEB67E" w14:textId="77777777" w:rsidTr="00155C11">
        <w:trPr>
          <w:trHeight w:val="270"/>
        </w:trPr>
        <w:tc>
          <w:tcPr>
            <w:tcW w:w="3658" w:type="dxa"/>
            <w:tcBorders>
              <w:top w:val="nil"/>
              <w:left w:val="single" w:sz="8" w:space="0" w:color="auto"/>
              <w:bottom w:val="nil"/>
              <w:right w:val="single" w:sz="4" w:space="0" w:color="auto"/>
            </w:tcBorders>
            <w:shd w:val="clear" w:color="auto" w:fill="auto"/>
            <w:hideMark/>
          </w:tcPr>
          <w:p w14:paraId="6E0FB621"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Store, file, and maintain applications</w:t>
            </w:r>
          </w:p>
        </w:tc>
        <w:tc>
          <w:tcPr>
            <w:tcW w:w="1094" w:type="dxa"/>
            <w:tcBorders>
              <w:top w:val="nil"/>
              <w:left w:val="nil"/>
              <w:bottom w:val="nil"/>
              <w:right w:val="single" w:sz="4" w:space="0" w:color="auto"/>
            </w:tcBorders>
            <w:shd w:val="clear" w:color="auto" w:fill="auto"/>
            <w:hideMark/>
          </w:tcPr>
          <w:p w14:paraId="6BCB033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1205" w:type="dxa"/>
            <w:tcBorders>
              <w:top w:val="nil"/>
              <w:left w:val="nil"/>
              <w:bottom w:val="nil"/>
              <w:right w:val="single" w:sz="4" w:space="0" w:color="auto"/>
            </w:tcBorders>
            <w:shd w:val="clear" w:color="auto" w:fill="auto"/>
            <w:hideMark/>
          </w:tcPr>
          <w:p w14:paraId="6647AFFE"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316" w:type="dxa"/>
            <w:tcBorders>
              <w:top w:val="nil"/>
              <w:left w:val="nil"/>
              <w:bottom w:val="nil"/>
              <w:right w:val="single" w:sz="4" w:space="0" w:color="auto"/>
            </w:tcBorders>
            <w:shd w:val="clear" w:color="auto" w:fill="auto"/>
            <w:hideMark/>
          </w:tcPr>
          <w:p w14:paraId="6737A113"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980" w:type="dxa"/>
            <w:tcBorders>
              <w:top w:val="nil"/>
              <w:left w:val="nil"/>
              <w:bottom w:val="nil"/>
              <w:right w:val="single" w:sz="4" w:space="0" w:color="auto"/>
            </w:tcBorders>
            <w:shd w:val="clear" w:color="auto" w:fill="auto"/>
            <w:hideMark/>
          </w:tcPr>
          <w:p w14:paraId="5C2B5521"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1227" w:type="dxa"/>
            <w:tcBorders>
              <w:top w:val="nil"/>
              <w:left w:val="nil"/>
              <w:bottom w:val="nil"/>
              <w:right w:val="single" w:sz="8" w:space="0" w:color="auto"/>
            </w:tcBorders>
            <w:shd w:val="clear" w:color="auto" w:fill="auto"/>
            <w:hideMark/>
          </w:tcPr>
          <w:p w14:paraId="056DBD2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62A705AD" w14:textId="77777777" w:rsidTr="00155C11">
        <w:trPr>
          <w:trHeight w:val="270"/>
        </w:trPr>
        <w:tc>
          <w:tcPr>
            <w:tcW w:w="3658" w:type="dxa"/>
            <w:tcBorders>
              <w:top w:val="single" w:sz="8" w:space="0" w:color="auto"/>
              <w:left w:val="single" w:sz="8" w:space="0" w:color="auto"/>
              <w:bottom w:val="single" w:sz="8" w:space="0" w:color="auto"/>
              <w:right w:val="single" w:sz="4" w:space="0" w:color="auto"/>
            </w:tcBorders>
            <w:shd w:val="clear" w:color="auto" w:fill="auto"/>
            <w:hideMark/>
          </w:tcPr>
          <w:p w14:paraId="0FABEF7F"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per response (applications)</w:t>
            </w:r>
          </w:p>
        </w:tc>
        <w:tc>
          <w:tcPr>
            <w:tcW w:w="1094" w:type="dxa"/>
            <w:tcBorders>
              <w:top w:val="single" w:sz="8" w:space="0" w:color="auto"/>
              <w:left w:val="nil"/>
              <w:bottom w:val="single" w:sz="8" w:space="0" w:color="auto"/>
              <w:right w:val="single" w:sz="4" w:space="0" w:color="auto"/>
            </w:tcBorders>
            <w:shd w:val="clear" w:color="auto" w:fill="auto"/>
            <w:hideMark/>
          </w:tcPr>
          <w:p w14:paraId="520F87F1"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 </w:t>
            </w:r>
          </w:p>
        </w:tc>
        <w:tc>
          <w:tcPr>
            <w:tcW w:w="1205" w:type="dxa"/>
            <w:tcBorders>
              <w:top w:val="single" w:sz="8" w:space="0" w:color="auto"/>
              <w:left w:val="nil"/>
              <w:bottom w:val="single" w:sz="8" w:space="0" w:color="auto"/>
              <w:right w:val="single" w:sz="4" w:space="0" w:color="auto"/>
            </w:tcBorders>
            <w:shd w:val="clear" w:color="auto" w:fill="auto"/>
            <w:hideMark/>
          </w:tcPr>
          <w:p w14:paraId="38DF1A38"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17</w:t>
            </w:r>
          </w:p>
        </w:tc>
        <w:tc>
          <w:tcPr>
            <w:tcW w:w="1316" w:type="dxa"/>
            <w:tcBorders>
              <w:top w:val="single" w:sz="8" w:space="0" w:color="auto"/>
              <w:left w:val="nil"/>
              <w:bottom w:val="single" w:sz="8" w:space="0" w:color="auto"/>
              <w:right w:val="single" w:sz="4" w:space="0" w:color="auto"/>
            </w:tcBorders>
            <w:shd w:val="clear" w:color="auto" w:fill="auto"/>
            <w:hideMark/>
          </w:tcPr>
          <w:p w14:paraId="61FD9EDF"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77</w:t>
            </w:r>
          </w:p>
        </w:tc>
        <w:tc>
          <w:tcPr>
            <w:tcW w:w="980" w:type="dxa"/>
            <w:tcBorders>
              <w:top w:val="single" w:sz="8" w:space="0" w:color="auto"/>
              <w:left w:val="nil"/>
              <w:bottom w:val="single" w:sz="8" w:space="0" w:color="auto"/>
              <w:right w:val="single" w:sz="4" w:space="0" w:color="auto"/>
            </w:tcBorders>
            <w:shd w:val="clear" w:color="auto" w:fill="auto"/>
            <w:hideMark/>
          </w:tcPr>
          <w:p w14:paraId="59C4CA9E"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47</w:t>
            </w:r>
          </w:p>
        </w:tc>
        <w:tc>
          <w:tcPr>
            <w:tcW w:w="1227" w:type="dxa"/>
            <w:tcBorders>
              <w:top w:val="single" w:sz="8" w:space="0" w:color="auto"/>
              <w:left w:val="nil"/>
              <w:bottom w:val="single" w:sz="8" w:space="0" w:color="auto"/>
              <w:right w:val="single" w:sz="8" w:space="0" w:color="auto"/>
            </w:tcBorders>
            <w:shd w:val="clear" w:color="auto" w:fill="auto"/>
            <w:hideMark/>
          </w:tcPr>
          <w:p w14:paraId="6D9E0808"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0</w:t>
            </w:r>
          </w:p>
        </w:tc>
      </w:tr>
      <w:tr w:rsidR="00085B0D" w:rsidRPr="00085B0D" w14:paraId="2C949ADA" w14:textId="77777777" w:rsidTr="00155C11">
        <w:trPr>
          <w:trHeight w:val="270"/>
        </w:trPr>
        <w:tc>
          <w:tcPr>
            <w:tcW w:w="3658" w:type="dxa"/>
            <w:tcBorders>
              <w:top w:val="nil"/>
              <w:left w:val="single" w:sz="8" w:space="0" w:color="auto"/>
              <w:bottom w:val="nil"/>
              <w:right w:val="single" w:sz="4" w:space="0" w:color="auto"/>
            </w:tcBorders>
            <w:shd w:val="clear" w:color="auto" w:fill="auto"/>
            <w:hideMark/>
          </w:tcPr>
          <w:p w14:paraId="3C91B7E8"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per year (applications)</w:t>
            </w:r>
          </w:p>
        </w:tc>
        <w:tc>
          <w:tcPr>
            <w:tcW w:w="1094" w:type="dxa"/>
            <w:tcBorders>
              <w:top w:val="nil"/>
              <w:left w:val="nil"/>
              <w:bottom w:val="nil"/>
              <w:right w:val="single" w:sz="4" w:space="0" w:color="auto"/>
            </w:tcBorders>
            <w:shd w:val="clear" w:color="auto" w:fill="auto"/>
            <w:hideMark/>
          </w:tcPr>
          <w:p w14:paraId="3D491500"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 </w:t>
            </w:r>
          </w:p>
        </w:tc>
        <w:tc>
          <w:tcPr>
            <w:tcW w:w="1205" w:type="dxa"/>
            <w:tcBorders>
              <w:top w:val="nil"/>
              <w:left w:val="nil"/>
              <w:bottom w:val="nil"/>
              <w:right w:val="single" w:sz="4" w:space="0" w:color="auto"/>
            </w:tcBorders>
            <w:shd w:val="clear" w:color="auto" w:fill="auto"/>
            <w:hideMark/>
          </w:tcPr>
          <w:p w14:paraId="37B7730C"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225</w:t>
            </w:r>
          </w:p>
        </w:tc>
        <w:tc>
          <w:tcPr>
            <w:tcW w:w="1316" w:type="dxa"/>
            <w:tcBorders>
              <w:top w:val="nil"/>
              <w:left w:val="nil"/>
              <w:bottom w:val="nil"/>
              <w:right w:val="single" w:sz="4" w:space="0" w:color="auto"/>
            </w:tcBorders>
            <w:shd w:val="clear" w:color="auto" w:fill="auto"/>
            <w:hideMark/>
          </w:tcPr>
          <w:p w14:paraId="13C5693B"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1,110</w:t>
            </w:r>
          </w:p>
        </w:tc>
        <w:tc>
          <w:tcPr>
            <w:tcW w:w="980" w:type="dxa"/>
            <w:tcBorders>
              <w:top w:val="nil"/>
              <w:left w:val="nil"/>
              <w:bottom w:val="nil"/>
              <w:right w:val="single" w:sz="4" w:space="0" w:color="auto"/>
            </w:tcBorders>
            <w:shd w:val="clear" w:color="auto" w:fill="auto"/>
            <w:hideMark/>
          </w:tcPr>
          <w:p w14:paraId="1762B60E"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705</w:t>
            </w:r>
          </w:p>
        </w:tc>
        <w:tc>
          <w:tcPr>
            <w:tcW w:w="1227" w:type="dxa"/>
            <w:tcBorders>
              <w:top w:val="nil"/>
              <w:left w:val="nil"/>
              <w:bottom w:val="nil"/>
              <w:right w:val="single" w:sz="8" w:space="0" w:color="auto"/>
            </w:tcBorders>
            <w:shd w:val="clear" w:color="auto" w:fill="auto"/>
            <w:hideMark/>
          </w:tcPr>
          <w:p w14:paraId="40EF04B6"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0</w:t>
            </w:r>
          </w:p>
        </w:tc>
      </w:tr>
      <w:tr w:rsidR="00085B0D" w:rsidRPr="00085B0D" w14:paraId="55D1A72D" w14:textId="77777777" w:rsidTr="00085B0D">
        <w:trPr>
          <w:trHeight w:val="270"/>
        </w:trPr>
        <w:tc>
          <w:tcPr>
            <w:tcW w:w="9480" w:type="dxa"/>
            <w:gridSpan w:val="6"/>
            <w:tcBorders>
              <w:top w:val="single" w:sz="8" w:space="0" w:color="auto"/>
              <w:left w:val="single" w:sz="8" w:space="0" w:color="auto"/>
              <w:bottom w:val="single" w:sz="8" w:space="0" w:color="auto"/>
              <w:right w:val="single" w:sz="8" w:space="0" w:color="000000"/>
            </w:tcBorders>
            <w:shd w:val="clear" w:color="000000" w:fill="C0C0C0"/>
            <w:hideMark/>
          </w:tcPr>
          <w:p w14:paraId="5C0563C7"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r>
      <w:tr w:rsidR="00085B0D" w:rsidRPr="00085B0D" w14:paraId="201612AB" w14:textId="77777777" w:rsidTr="00085B0D">
        <w:trPr>
          <w:trHeight w:val="330"/>
        </w:trPr>
        <w:tc>
          <w:tcPr>
            <w:tcW w:w="9480" w:type="dxa"/>
            <w:gridSpan w:val="6"/>
            <w:tcBorders>
              <w:top w:val="nil"/>
              <w:left w:val="single" w:sz="8" w:space="0" w:color="auto"/>
              <w:bottom w:val="double" w:sz="6" w:space="0" w:color="auto"/>
              <w:right w:val="single" w:sz="8" w:space="0" w:color="000000"/>
            </w:tcBorders>
            <w:shd w:val="clear" w:color="auto" w:fill="auto"/>
            <w:hideMark/>
          </w:tcPr>
          <w:p w14:paraId="67075A0A" w14:textId="77777777" w:rsidR="00085B0D" w:rsidRPr="00085B0D" w:rsidRDefault="00085B0D" w:rsidP="00085B0D">
            <w:pPr>
              <w:widowControl/>
              <w:autoSpaceDE/>
              <w:autoSpaceDN/>
              <w:adjustRightInd/>
              <w:rPr>
                <w:rFonts w:ascii="Times New Roman" w:hAnsi="Times New Roman"/>
                <w:b/>
                <w:bCs/>
              </w:rPr>
            </w:pPr>
            <w:r w:rsidRPr="00085B0D">
              <w:rPr>
                <w:rFonts w:ascii="Times New Roman" w:hAnsi="Times New Roman"/>
                <w:b/>
                <w:bCs/>
              </w:rPr>
              <w:t>i)  Reporting and Recordkeeping</w:t>
            </w:r>
          </w:p>
        </w:tc>
      </w:tr>
      <w:tr w:rsidR="00085B0D" w:rsidRPr="00085B0D" w14:paraId="0CAA4E07" w14:textId="77777777" w:rsidTr="00155C11">
        <w:trPr>
          <w:trHeight w:val="270"/>
        </w:trPr>
        <w:tc>
          <w:tcPr>
            <w:tcW w:w="3658" w:type="dxa"/>
            <w:tcBorders>
              <w:top w:val="single" w:sz="4" w:space="0" w:color="auto"/>
              <w:left w:val="single" w:sz="8" w:space="0" w:color="auto"/>
              <w:bottom w:val="single" w:sz="4" w:space="0" w:color="auto"/>
              <w:right w:val="single" w:sz="4" w:space="0" w:color="auto"/>
            </w:tcBorders>
            <w:shd w:val="clear" w:color="auto" w:fill="auto"/>
            <w:hideMark/>
          </w:tcPr>
          <w:p w14:paraId="09D6E638"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Process annual reports</w:t>
            </w:r>
          </w:p>
        </w:tc>
        <w:tc>
          <w:tcPr>
            <w:tcW w:w="1094" w:type="dxa"/>
            <w:tcBorders>
              <w:top w:val="single" w:sz="4" w:space="0" w:color="auto"/>
              <w:left w:val="nil"/>
              <w:bottom w:val="single" w:sz="4" w:space="0" w:color="auto"/>
              <w:right w:val="single" w:sz="4" w:space="0" w:color="auto"/>
            </w:tcBorders>
            <w:shd w:val="clear" w:color="auto" w:fill="auto"/>
            <w:hideMark/>
          </w:tcPr>
          <w:p w14:paraId="144A9962" w14:textId="7022D1E5" w:rsidR="00085B0D" w:rsidRPr="00085B0D" w:rsidRDefault="00155C11" w:rsidP="00085B0D">
            <w:pPr>
              <w:widowControl/>
              <w:autoSpaceDE/>
              <w:autoSpaceDN/>
              <w:adjustRightInd/>
              <w:jc w:val="right"/>
              <w:rPr>
                <w:rFonts w:ascii="Times New Roman" w:hAnsi="Times New Roman"/>
                <w:sz w:val="20"/>
                <w:szCs w:val="20"/>
              </w:rPr>
            </w:pPr>
            <w:r>
              <w:rPr>
                <w:rFonts w:ascii="Times New Roman" w:hAnsi="Times New Roman"/>
                <w:sz w:val="20"/>
                <w:szCs w:val="20"/>
              </w:rPr>
              <w:t>50</w:t>
            </w:r>
          </w:p>
        </w:tc>
        <w:tc>
          <w:tcPr>
            <w:tcW w:w="1205" w:type="dxa"/>
            <w:tcBorders>
              <w:top w:val="single" w:sz="4" w:space="0" w:color="auto"/>
              <w:left w:val="nil"/>
              <w:bottom w:val="single" w:sz="4" w:space="0" w:color="auto"/>
              <w:right w:val="single" w:sz="4" w:space="0" w:color="auto"/>
            </w:tcBorders>
            <w:shd w:val="clear" w:color="auto" w:fill="auto"/>
            <w:hideMark/>
          </w:tcPr>
          <w:p w14:paraId="0CEB106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c>
          <w:tcPr>
            <w:tcW w:w="1316" w:type="dxa"/>
            <w:tcBorders>
              <w:top w:val="single" w:sz="4" w:space="0" w:color="auto"/>
              <w:left w:val="nil"/>
              <w:bottom w:val="single" w:sz="4" w:space="0" w:color="auto"/>
              <w:right w:val="single" w:sz="4" w:space="0" w:color="auto"/>
            </w:tcBorders>
            <w:shd w:val="clear" w:color="auto" w:fill="auto"/>
            <w:hideMark/>
          </w:tcPr>
          <w:p w14:paraId="30E21EE8"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980" w:type="dxa"/>
            <w:tcBorders>
              <w:top w:val="single" w:sz="4" w:space="0" w:color="auto"/>
              <w:left w:val="nil"/>
              <w:bottom w:val="single" w:sz="4" w:space="0" w:color="auto"/>
              <w:right w:val="single" w:sz="4" w:space="0" w:color="auto"/>
            </w:tcBorders>
            <w:shd w:val="clear" w:color="auto" w:fill="auto"/>
            <w:hideMark/>
          </w:tcPr>
          <w:p w14:paraId="6DC8870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single" w:sz="4" w:space="0" w:color="auto"/>
              <w:left w:val="nil"/>
              <w:bottom w:val="single" w:sz="4" w:space="0" w:color="auto"/>
              <w:right w:val="single" w:sz="8" w:space="0" w:color="auto"/>
            </w:tcBorders>
            <w:shd w:val="clear" w:color="auto" w:fill="auto"/>
            <w:hideMark/>
          </w:tcPr>
          <w:p w14:paraId="40F185E4"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r>
      <w:tr w:rsidR="00085B0D" w:rsidRPr="00085B0D" w14:paraId="27CA9E4D" w14:textId="77777777" w:rsidTr="00155C11">
        <w:trPr>
          <w:trHeight w:val="255"/>
        </w:trPr>
        <w:tc>
          <w:tcPr>
            <w:tcW w:w="3658" w:type="dxa"/>
            <w:tcBorders>
              <w:top w:val="nil"/>
              <w:left w:val="single" w:sz="8" w:space="0" w:color="auto"/>
              <w:bottom w:val="single" w:sz="4" w:space="0" w:color="auto"/>
              <w:right w:val="single" w:sz="4" w:space="0" w:color="auto"/>
            </w:tcBorders>
            <w:shd w:val="clear" w:color="auto" w:fill="auto"/>
            <w:hideMark/>
          </w:tcPr>
          <w:p w14:paraId="7C801FFB"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Process quarterly reports</w:t>
            </w:r>
          </w:p>
        </w:tc>
        <w:tc>
          <w:tcPr>
            <w:tcW w:w="1094" w:type="dxa"/>
            <w:tcBorders>
              <w:top w:val="nil"/>
              <w:left w:val="nil"/>
              <w:bottom w:val="single" w:sz="4" w:space="0" w:color="auto"/>
              <w:right w:val="single" w:sz="4" w:space="0" w:color="auto"/>
            </w:tcBorders>
            <w:shd w:val="clear" w:color="auto" w:fill="auto"/>
            <w:hideMark/>
          </w:tcPr>
          <w:p w14:paraId="5A57DE49" w14:textId="02DB321C" w:rsidR="00085B0D" w:rsidRPr="00085B0D" w:rsidRDefault="00155C11" w:rsidP="00085B0D">
            <w:pPr>
              <w:widowControl/>
              <w:autoSpaceDE/>
              <w:autoSpaceDN/>
              <w:adjustRightInd/>
              <w:jc w:val="right"/>
              <w:rPr>
                <w:rFonts w:ascii="Times New Roman" w:hAnsi="Times New Roman"/>
                <w:sz w:val="20"/>
                <w:szCs w:val="20"/>
              </w:rPr>
            </w:pPr>
            <w:r>
              <w:rPr>
                <w:rFonts w:ascii="Times New Roman" w:hAnsi="Times New Roman"/>
                <w:sz w:val="20"/>
                <w:szCs w:val="20"/>
              </w:rPr>
              <w:t>16</w:t>
            </w:r>
          </w:p>
        </w:tc>
        <w:tc>
          <w:tcPr>
            <w:tcW w:w="1205" w:type="dxa"/>
            <w:tcBorders>
              <w:top w:val="nil"/>
              <w:left w:val="nil"/>
              <w:bottom w:val="single" w:sz="4" w:space="0" w:color="auto"/>
              <w:right w:val="single" w:sz="4" w:space="0" w:color="auto"/>
            </w:tcBorders>
            <w:shd w:val="clear" w:color="auto" w:fill="auto"/>
            <w:hideMark/>
          </w:tcPr>
          <w:p w14:paraId="77F78B54"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c>
          <w:tcPr>
            <w:tcW w:w="1316" w:type="dxa"/>
            <w:tcBorders>
              <w:top w:val="nil"/>
              <w:left w:val="nil"/>
              <w:bottom w:val="single" w:sz="4" w:space="0" w:color="auto"/>
              <w:right w:val="single" w:sz="4" w:space="0" w:color="auto"/>
            </w:tcBorders>
            <w:shd w:val="clear" w:color="auto" w:fill="auto"/>
            <w:hideMark/>
          </w:tcPr>
          <w:p w14:paraId="6EA91C89"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980" w:type="dxa"/>
            <w:tcBorders>
              <w:top w:val="nil"/>
              <w:left w:val="nil"/>
              <w:bottom w:val="single" w:sz="4" w:space="0" w:color="auto"/>
              <w:right w:val="single" w:sz="4" w:space="0" w:color="auto"/>
            </w:tcBorders>
            <w:shd w:val="clear" w:color="auto" w:fill="auto"/>
            <w:hideMark/>
          </w:tcPr>
          <w:p w14:paraId="68B899E5"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0CF4D63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r>
      <w:tr w:rsidR="00085B0D" w:rsidRPr="00085B0D" w14:paraId="7C2FFD9C" w14:textId="77777777" w:rsidTr="00155C11">
        <w:trPr>
          <w:trHeight w:val="255"/>
        </w:trPr>
        <w:tc>
          <w:tcPr>
            <w:tcW w:w="3658" w:type="dxa"/>
            <w:tcBorders>
              <w:top w:val="nil"/>
              <w:left w:val="single" w:sz="8" w:space="0" w:color="auto"/>
              <w:bottom w:val="single" w:sz="4" w:space="0" w:color="auto"/>
              <w:right w:val="single" w:sz="4" w:space="0" w:color="auto"/>
            </w:tcBorders>
            <w:shd w:val="clear" w:color="auto" w:fill="auto"/>
            <w:hideMark/>
          </w:tcPr>
          <w:p w14:paraId="2327AACB"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Report to the Ozone Secretariat</w:t>
            </w:r>
          </w:p>
        </w:tc>
        <w:tc>
          <w:tcPr>
            <w:tcW w:w="1094" w:type="dxa"/>
            <w:tcBorders>
              <w:top w:val="nil"/>
              <w:left w:val="nil"/>
              <w:bottom w:val="single" w:sz="4" w:space="0" w:color="auto"/>
              <w:right w:val="single" w:sz="4" w:space="0" w:color="auto"/>
            </w:tcBorders>
            <w:shd w:val="clear" w:color="auto" w:fill="auto"/>
            <w:hideMark/>
          </w:tcPr>
          <w:p w14:paraId="43CFF7C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1205" w:type="dxa"/>
            <w:tcBorders>
              <w:top w:val="nil"/>
              <w:left w:val="nil"/>
              <w:bottom w:val="single" w:sz="4" w:space="0" w:color="auto"/>
              <w:right w:val="single" w:sz="4" w:space="0" w:color="auto"/>
            </w:tcBorders>
            <w:shd w:val="clear" w:color="auto" w:fill="auto"/>
            <w:hideMark/>
          </w:tcPr>
          <w:p w14:paraId="1C615274"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c>
          <w:tcPr>
            <w:tcW w:w="1316" w:type="dxa"/>
            <w:tcBorders>
              <w:top w:val="nil"/>
              <w:left w:val="nil"/>
              <w:bottom w:val="single" w:sz="4" w:space="0" w:color="auto"/>
              <w:right w:val="single" w:sz="4" w:space="0" w:color="auto"/>
            </w:tcBorders>
            <w:shd w:val="clear" w:color="auto" w:fill="auto"/>
            <w:hideMark/>
          </w:tcPr>
          <w:p w14:paraId="5CA4F8B7"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10</w:t>
            </w:r>
          </w:p>
        </w:tc>
        <w:tc>
          <w:tcPr>
            <w:tcW w:w="980" w:type="dxa"/>
            <w:tcBorders>
              <w:top w:val="nil"/>
              <w:left w:val="nil"/>
              <w:bottom w:val="single" w:sz="4" w:space="0" w:color="auto"/>
              <w:right w:val="single" w:sz="4" w:space="0" w:color="auto"/>
            </w:tcBorders>
            <w:shd w:val="clear" w:color="auto" w:fill="auto"/>
            <w:hideMark/>
          </w:tcPr>
          <w:p w14:paraId="3FE676B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0766574E"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r>
      <w:tr w:rsidR="00085B0D" w:rsidRPr="00085B0D" w14:paraId="7153FB82" w14:textId="77777777" w:rsidTr="00155C11">
        <w:trPr>
          <w:trHeight w:val="255"/>
        </w:trPr>
        <w:tc>
          <w:tcPr>
            <w:tcW w:w="3658" w:type="dxa"/>
            <w:tcBorders>
              <w:top w:val="nil"/>
              <w:left w:val="single" w:sz="8" w:space="0" w:color="auto"/>
              <w:bottom w:val="nil"/>
              <w:right w:val="single" w:sz="4" w:space="0" w:color="auto"/>
            </w:tcBorders>
            <w:shd w:val="clear" w:color="auto" w:fill="auto"/>
            <w:hideMark/>
          </w:tcPr>
          <w:p w14:paraId="5821454D"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Provide Guidance</w:t>
            </w:r>
          </w:p>
        </w:tc>
        <w:tc>
          <w:tcPr>
            <w:tcW w:w="1094" w:type="dxa"/>
            <w:tcBorders>
              <w:top w:val="nil"/>
              <w:left w:val="nil"/>
              <w:bottom w:val="nil"/>
              <w:right w:val="single" w:sz="4" w:space="0" w:color="auto"/>
            </w:tcBorders>
            <w:shd w:val="clear" w:color="auto" w:fill="auto"/>
            <w:hideMark/>
          </w:tcPr>
          <w:p w14:paraId="0F6C9017"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30</w:t>
            </w:r>
          </w:p>
        </w:tc>
        <w:tc>
          <w:tcPr>
            <w:tcW w:w="1205" w:type="dxa"/>
            <w:tcBorders>
              <w:top w:val="nil"/>
              <w:left w:val="nil"/>
              <w:bottom w:val="nil"/>
              <w:right w:val="single" w:sz="4" w:space="0" w:color="auto"/>
            </w:tcBorders>
            <w:shd w:val="clear" w:color="auto" w:fill="auto"/>
            <w:hideMark/>
          </w:tcPr>
          <w:p w14:paraId="52E07229"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c>
          <w:tcPr>
            <w:tcW w:w="1316" w:type="dxa"/>
            <w:tcBorders>
              <w:top w:val="nil"/>
              <w:left w:val="nil"/>
              <w:bottom w:val="nil"/>
              <w:right w:val="single" w:sz="4" w:space="0" w:color="auto"/>
            </w:tcBorders>
            <w:shd w:val="clear" w:color="auto" w:fill="auto"/>
            <w:hideMark/>
          </w:tcPr>
          <w:p w14:paraId="07886464"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w:t>
            </w:r>
          </w:p>
        </w:tc>
        <w:tc>
          <w:tcPr>
            <w:tcW w:w="980" w:type="dxa"/>
            <w:tcBorders>
              <w:top w:val="nil"/>
              <w:left w:val="nil"/>
              <w:bottom w:val="nil"/>
              <w:right w:val="single" w:sz="4" w:space="0" w:color="auto"/>
            </w:tcBorders>
            <w:shd w:val="clear" w:color="auto" w:fill="auto"/>
            <w:hideMark/>
          </w:tcPr>
          <w:p w14:paraId="16800D79"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499196D3"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696A8C4F" w14:textId="77777777" w:rsidTr="00155C11">
        <w:trPr>
          <w:trHeight w:val="525"/>
        </w:trPr>
        <w:tc>
          <w:tcPr>
            <w:tcW w:w="3658" w:type="dxa"/>
            <w:tcBorders>
              <w:top w:val="single" w:sz="4" w:space="0" w:color="auto"/>
              <w:left w:val="single" w:sz="8" w:space="0" w:color="auto"/>
              <w:bottom w:val="single" w:sz="8" w:space="0" w:color="auto"/>
              <w:right w:val="single" w:sz="4" w:space="0" w:color="auto"/>
            </w:tcBorders>
            <w:shd w:val="clear" w:color="auto" w:fill="auto"/>
            <w:hideMark/>
          </w:tcPr>
          <w:p w14:paraId="3DE4A8C8"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Seek information on CUE program and fumigation industry</w:t>
            </w:r>
          </w:p>
        </w:tc>
        <w:tc>
          <w:tcPr>
            <w:tcW w:w="1094" w:type="dxa"/>
            <w:tcBorders>
              <w:top w:val="single" w:sz="4" w:space="0" w:color="auto"/>
              <w:left w:val="nil"/>
              <w:bottom w:val="single" w:sz="8" w:space="0" w:color="auto"/>
              <w:right w:val="single" w:sz="4" w:space="0" w:color="auto"/>
            </w:tcBorders>
            <w:shd w:val="clear" w:color="auto" w:fill="auto"/>
            <w:hideMark/>
          </w:tcPr>
          <w:p w14:paraId="082BD28E"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75</w:t>
            </w:r>
          </w:p>
        </w:tc>
        <w:tc>
          <w:tcPr>
            <w:tcW w:w="1205" w:type="dxa"/>
            <w:tcBorders>
              <w:top w:val="single" w:sz="4" w:space="0" w:color="auto"/>
              <w:left w:val="nil"/>
              <w:bottom w:val="single" w:sz="8" w:space="0" w:color="auto"/>
              <w:right w:val="single" w:sz="4" w:space="0" w:color="auto"/>
            </w:tcBorders>
            <w:shd w:val="clear" w:color="auto" w:fill="auto"/>
            <w:hideMark/>
          </w:tcPr>
          <w:p w14:paraId="14395985"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c>
          <w:tcPr>
            <w:tcW w:w="1316" w:type="dxa"/>
            <w:tcBorders>
              <w:top w:val="single" w:sz="4" w:space="0" w:color="auto"/>
              <w:left w:val="nil"/>
              <w:bottom w:val="single" w:sz="8" w:space="0" w:color="auto"/>
              <w:right w:val="single" w:sz="4" w:space="0" w:color="auto"/>
            </w:tcBorders>
            <w:shd w:val="clear" w:color="auto" w:fill="auto"/>
            <w:hideMark/>
          </w:tcPr>
          <w:p w14:paraId="772C052D"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0.25</w:t>
            </w:r>
          </w:p>
        </w:tc>
        <w:tc>
          <w:tcPr>
            <w:tcW w:w="980" w:type="dxa"/>
            <w:tcBorders>
              <w:top w:val="single" w:sz="4" w:space="0" w:color="auto"/>
              <w:left w:val="nil"/>
              <w:bottom w:val="single" w:sz="8" w:space="0" w:color="auto"/>
              <w:right w:val="single" w:sz="4" w:space="0" w:color="auto"/>
            </w:tcBorders>
            <w:shd w:val="clear" w:color="auto" w:fill="auto"/>
            <w:hideMark/>
          </w:tcPr>
          <w:p w14:paraId="6ECF829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227" w:type="dxa"/>
            <w:tcBorders>
              <w:top w:val="nil"/>
              <w:left w:val="nil"/>
              <w:bottom w:val="single" w:sz="4" w:space="0" w:color="auto"/>
              <w:right w:val="single" w:sz="8" w:space="0" w:color="auto"/>
            </w:tcBorders>
            <w:shd w:val="clear" w:color="auto" w:fill="auto"/>
            <w:hideMark/>
          </w:tcPr>
          <w:p w14:paraId="29D19C6B"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r>
      <w:tr w:rsidR="00085B0D" w:rsidRPr="00085B0D" w14:paraId="00C82E8B" w14:textId="77777777" w:rsidTr="00155C11">
        <w:trPr>
          <w:trHeight w:val="525"/>
        </w:trPr>
        <w:tc>
          <w:tcPr>
            <w:tcW w:w="3658" w:type="dxa"/>
            <w:tcBorders>
              <w:top w:val="nil"/>
              <w:left w:val="single" w:sz="8" w:space="0" w:color="auto"/>
              <w:bottom w:val="single" w:sz="8" w:space="0" w:color="auto"/>
              <w:right w:val="single" w:sz="4" w:space="0" w:color="auto"/>
            </w:tcBorders>
            <w:shd w:val="clear" w:color="auto" w:fill="auto"/>
            <w:hideMark/>
          </w:tcPr>
          <w:p w14:paraId="3795B1EE"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per response (recordkeeping and reporting)</w:t>
            </w:r>
          </w:p>
        </w:tc>
        <w:tc>
          <w:tcPr>
            <w:tcW w:w="1094" w:type="dxa"/>
            <w:tcBorders>
              <w:top w:val="nil"/>
              <w:left w:val="nil"/>
              <w:bottom w:val="single" w:sz="8" w:space="0" w:color="auto"/>
              <w:right w:val="single" w:sz="4" w:space="0" w:color="auto"/>
            </w:tcBorders>
            <w:shd w:val="clear" w:color="auto" w:fill="auto"/>
            <w:hideMark/>
          </w:tcPr>
          <w:p w14:paraId="04D7BB46"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 </w:t>
            </w:r>
          </w:p>
        </w:tc>
        <w:tc>
          <w:tcPr>
            <w:tcW w:w="1205" w:type="dxa"/>
            <w:tcBorders>
              <w:top w:val="nil"/>
              <w:left w:val="nil"/>
              <w:bottom w:val="single" w:sz="8" w:space="0" w:color="auto"/>
              <w:right w:val="single" w:sz="4" w:space="0" w:color="auto"/>
            </w:tcBorders>
            <w:shd w:val="clear" w:color="auto" w:fill="auto"/>
            <w:hideMark/>
          </w:tcPr>
          <w:p w14:paraId="63382EAA"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1.25</w:t>
            </w:r>
          </w:p>
        </w:tc>
        <w:tc>
          <w:tcPr>
            <w:tcW w:w="1316" w:type="dxa"/>
            <w:tcBorders>
              <w:top w:val="nil"/>
              <w:left w:val="nil"/>
              <w:bottom w:val="single" w:sz="8" w:space="0" w:color="auto"/>
              <w:right w:val="single" w:sz="4" w:space="0" w:color="auto"/>
            </w:tcBorders>
            <w:shd w:val="clear" w:color="auto" w:fill="auto"/>
            <w:hideMark/>
          </w:tcPr>
          <w:p w14:paraId="7D631F79"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13.25</w:t>
            </w:r>
          </w:p>
        </w:tc>
        <w:tc>
          <w:tcPr>
            <w:tcW w:w="980" w:type="dxa"/>
            <w:tcBorders>
              <w:top w:val="nil"/>
              <w:left w:val="nil"/>
              <w:bottom w:val="single" w:sz="8" w:space="0" w:color="auto"/>
              <w:right w:val="single" w:sz="4" w:space="0" w:color="auto"/>
            </w:tcBorders>
            <w:shd w:val="clear" w:color="auto" w:fill="auto"/>
            <w:hideMark/>
          </w:tcPr>
          <w:p w14:paraId="5EBB5E7D"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0</w:t>
            </w:r>
          </w:p>
        </w:tc>
        <w:tc>
          <w:tcPr>
            <w:tcW w:w="1227" w:type="dxa"/>
            <w:tcBorders>
              <w:top w:val="single" w:sz="8" w:space="0" w:color="auto"/>
              <w:left w:val="nil"/>
              <w:bottom w:val="single" w:sz="8" w:space="0" w:color="auto"/>
              <w:right w:val="single" w:sz="8" w:space="0" w:color="auto"/>
            </w:tcBorders>
            <w:shd w:val="clear" w:color="auto" w:fill="auto"/>
            <w:hideMark/>
          </w:tcPr>
          <w:p w14:paraId="5524D33A"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1.5</w:t>
            </w:r>
          </w:p>
        </w:tc>
      </w:tr>
      <w:tr w:rsidR="00085B0D" w:rsidRPr="00085B0D" w14:paraId="07CFB52E" w14:textId="77777777" w:rsidTr="00155C11">
        <w:trPr>
          <w:trHeight w:val="270"/>
        </w:trPr>
        <w:tc>
          <w:tcPr>
            <w:tcW w:w="3658" w:type="dxa"/>
            <w:tcBorders>
              <w:top w:val="nil"/>
              <w:left w:val="single" w:sz="8" w:space="0" w:color="auto"/>
              <w:bottom w:val="single" w:sz="8" w:space="0" w:color="auto"/>
              <w:right w:val="single" w:sz="4" w:space="0" w:color="auto"/>
            </w:tcBorders>
            <w:shd w:val="clear" w:color="auto" w:fill="auto"/>
            <w:hideMark/>
          </w:tcPr>
          <w:p w14:paraId="1AAE2F23"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per year (recordkeeping and reporting)</w:t>
            </w:r>
          </w:p>
        </w:tc>
        <w:tc>
          <w:tcPr>
            <w:tcW w:w="1094" w:type="dxa"/>
            <w:tcBorders>
              <w:top w:val="nil"/>
              <w:left w:val="nil"/>
              <w:bottom w:val="nil"/>
              <w:right w:val="single" w:sz="4" w:space="0" w:color="auto"/>
            </w:tcBorders>
            <w:shd w:val="clear" w:color="auto" w:fill="auto"/>
            <w:hideMark/>
          </w:tcPr>
          <w:p w14:paraId="275324BD"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 </w:t>
            </w:r>
          </w:p>
        </w:tc>
        <w:tc>
          <w:tcPr>
            <w:tcW w:w="1205" w:type="dxa"/>
            <w:tcBorders>
              <w:top w:val="nil"/>
              <w:left w:val="nil"/>
              <w:bottom w:val="nil"/>
              <w:right w:val="single" w:sz="4" w:space="0" w:color="auto"/>
            </w:tcBorders>
            <w:shd w:val="clear" w:color="auto" w:fill="auto"/>
            <w:hideMark/>
          </w:tcPr>
          <w:p w14:paraId="3BB52F87" w14:textId="2E1E0FA6" w:rsidR="00085B0D" w:rsidRPr="00085B0D" w:rsidRDefault="00155C11" w:rsidP="00085B0D">
            <w:pPr>
              <w:widowControl/>
              <w:autoSpaceDE/>
              <w:autoSpaceDN/>
              <w:adjustRightInd/>
              <w:jc w:val="right"/>
              <w:rPr>
                <w:rFonts w:ascii="Times New Roman" w:hAnsi="Times New Roman"/>
                <w:b/>
                <w:bCs/>
                <w:sz w:val="20"/>
                <w:szCs w:val="20"/>
              </w:rPr>
            </w:pPr>
            <w:r>
              <w:rPr>
                <w:rFonts w:ascii="Times New Roman" w:hAnsi="Times New Roman"/>
                <w:b/>
                <w:bCs/>
                <w:sz w:val="20"/>
                <w:szCs w:val="20"/>
              </w:rPr>
              <w:t>43</w:t>
            </w:r>
          </w:p>
        </w:tc>
        <w:tc>
          <w:tcPr>
            <w:tcW w:w="1316" w:type="dxa"/>
            <w:tcBorders>
              <w:top w:val="nil"/>
              <w:left w:val="nil"/>
              <w:bottom w:val="nil"/>
              <w:right w:val="single" w:sz="4" w:space="0" w:color="auto"/>
            </w:tcBorders>
            <w:shd w:val="clear" w:color="auto" w:fill="auto"/>
            <w:hideMark/>
          </w:tcPr>
          <w:p w14:paraId="30ED2D77" w14:textId="524B24FA" w:rsidR="00085B0D" w:rsidRPr="00085B0D" w:rsidRDefault="00155C11"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124.75</w:t>
            </w:r>
          </w:p>
        </w:tc>
        <w:tc>
          <w:tcPr>
            <w:tcW w:w="980" w:type="dxa"/>
            <w:tcBorders>
              <w:top w:val="nil"/>
              <w:left w:val="nil"/>
              <w:bottom w:val="nil"/>
              <w:right w:val="single" w:sz="4" w:space="0" w:color="auto"/>
            </w:tcBorders>
            <w:shd w:val="clear" w:color="auto" w:fill="auto"/>
            <w:hideMark/>
          </w:tcPr>
          <w:p w14:paraId="15F6011B" w14:textId="77777777" w:rsidR="00085B0D" w:rsidRPr="00085B0D" w:rsidRDefault="00085B0D"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0</w:t>
            </w:r>
          </w:p>
        </w:tc>
        <w:tc>
          <w:tcPr>
            <w:tcW w:w="1227" w:type="dxa"/>
            <w:tcBorders>
              <w:top w:val="nil"/>
              <w:left w:val="nil"/>
              <w:bottom w:val="nil"/>
              <w:right w:val="single" w:sz="8" w:space="0" w:color="auto"/>
            </w:tcBorders>
            <w:shd w:val="clear" w:color="auto" w:fill="auto"/>
            <w:hideMark/>
          </w:tcPr>
          <w:p w14:paraId="1995183E" w14:textId="27D67B37" w:rsidR="00085B0D" w:rsidRPr="00085B0D" w:rsidRDefault="00155C11" w:rsidP="00085B0D">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17.5</w:t>
            </w:r>
          </w:p>
        </w:tc>
      </w:tr>
      <w:tr w:rsidR="00085B0D" w:rsidRPr="00085B0D" w14:paraId="5E41E613" w14:textId="77777777" w:rsidTr="00085B0D">
        <w:trPr>
          <w:trHeight w:val="270"/>
        </w:trPr>
        <w:tc>
          <w:tcPr>
            <w:tcW w:w="9480" w:type="dxa"/>
            <w:gridSpan w:val="6"/>
            <w:tcBorders>
              <w:top w:val="single" w:sz="8" w:space="0" w:color="auto"/>
              <w:left w:val="single" w:sz="8" w:space="0" w:color="auto"/>
              <w:bottom w:val="single" w:sz="8" w:space="0" w:color="auto"/>
              <w:right w:val="single" w:sz="8" w:space="0" w:color="000000"/>
            </w:tcBorders>
            <w:shd w:val="clear" w:color="000000" w:fill="C0C0C0"/>
            <w:hideMark/>
          </w:tcPr>
          <w:p w14:paraId="46665118"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r>
      <w:tr w:rsidR="00155C11" w:rsidRPr="00085B0D" w14:paraId="1A2B4952" w14:textId="77777777" w:rsidTr="00155C11">
        <w:trPr>
          <w:trHeight w:val="270"/>
        </w:trPr>
        <w:tc>
          <w:tcPr>
            <w:tcW w:w="3658" w:type="dxa"/>
            <w:tcBorders>
              <w:top w:val="nil"/>
              <w:left w:val="single" w:sz="8" w:space="0" w:color="auto"/>
              <w:bottom w:val="single" w:sz="8" w:space="0" w:color="auto"/>
              <w:right w:val="single" w:sz="4" w:space="0" w:color="auto"/>
            </w:tcBorders>
            <w:shd w:val="clear" w:color="auto" w:fill="auto"/>
            <w:hideMark/>
          </w:tcPr>
          <w:p w14:paraId="2124575F" w14:textId="77777777" w:rsidR="00155C11" w:rsidRPr="00085B0D" w:rsidRDefault="00155C11" w:rsidP="00155C11">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FOR ALL AGENCY ACTION PER YEAR</w:t>
            </w:r>
          </w:p>
        </w:tc>
        <w:tc>
          <w:tcPr>
            <w:tcW w:w="1094" w:type="dxa"/>
            <w:tcBorders>
              <w:top w:val="nil"/>
              <w:left w:val="nil"/>
              <w:bottom w:val="single" w:sz="8" w:space="0" w:color="auto"/>
              <w:right w:val="single" w:sz="4" w:space="0" w:color="auto"/>
            </w:tcBorders>
            <w:shd w:val="clear" w:color="auto" w:fill="auto"/>
            <w:noWrap/>
            <w:vAlign w:val="bottom"/>
            <w:hideMark/>
          </w:tcPr>
          <w:p w14:paraId="0A38A3A4" w14:textId="77777777" w:rsidR="00155C11" w:rsidRPr="00085B0D" w:rsidRDefault="00155C11" w:rsidP="00155C11">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c>
          <w:tcPr>
            <w:tcW w:w="1205" w:type="dxa"/>
            <w:tcBorders>
              <w:top w:val="nil"/>
              <w:left w:val="nil"/>
              <w:bottom w:val="single" w:sz="8" w:space="0" w:color="auto"/>
              <w:right w:val="single" w:sz="4" w:space="0" w:color="auto"/>
            </w:tcBorders>
            <w:shd w:val="clear" w:color="auto" w:fill="auto"/>
            <w:noWrap/>
            <w:vAlign w:val="bottom"/>
            <w:hideMark/>
          </w:tcPr>
          <w:p w14:paraId="39EA9309" w14:textId="6A41B223" w:rsidR="00155C11" w:rsidRPr="00085B0D" w:rsidRDefault="00155C11" w:rsidP="00155C11">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268</w:t>
            </w:r>
          </w:p>
        </w:tc>
        <w:tc>
          <w:tcPr>
            <w:tcW w:w="1316" w:type="dxa"/>
            <w:tcBorders>
              <w:top w:val="nil"/>
              <w:left w:val="nil"/>
              <w:bottom w:val="single" w:sz="8" w:space="0" w:color="auto"/>
              <w:right w:val="single" w:sz="4" w:space="0" w:color="auto"/>
            </w:tcBorders>
            <w:shd w:val="clear" w:color="auto" w:fill="auto"/>
            <w:noWrap/>
            <w:vAlign w:val="bottom"/>
            <w:hideMark/>
          </w:tcPr>
          <w:p w14:paraId="77178C8B" w14:textId="7599B5CF" w:rsidR="00155C11" w:rsidRPr="00085B0D" w:rsidRDefault="00155C11" w:rsidP="00155C11">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1,235</w:t>
            </w:r>
          </w:p>
        </w:tc>
        <w:tc>
          <w:tcPr>
            <w:tcW w:w="980" w:type="dxa"/>
            <w:tcBorders>
              <w:top w:val="nil"/>
              <w:left w:val="nil"/>
              <w:bottom w:val="single" w:sz="8" w:space="0" w:color="auto"/>
              <w:right w:val="single" w:sz="4" w:space="0" w:color="auto"/>
            </w:tcBorders>
            <w:shd w:val="clear" w:color="auto" w:fill="auto"/>
            <w:noWrap/>
            <w:vAlign w:val="bottom"/>
            <w:hideMark/>
          </w:tcPr>
          <w:p w14:paraId="5D77AD40" w14:textId="5C264A04" w:rsidR="00155C11" w:rsidRPr="00085B0D" w:rsidRDefault="00155C11" w:rsidP="00155C11">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705</w:t>
            </w:r>
          </w:p>
        </w:tc>
        <w:tc>
          <w:tcPr>
            <w:tcW w:w="1227" w:type="dxa"/>
            <w:tcBorders>
              <w:top w:val="nil"/>
              <w:left w:val="nil"/>
              <w:bottom w:val="single" w:sz="8" w:space="0" w:color="auto"/>
              <w:right w:val="single" w:sz="8" w:space="0" w:color="auto"/>
            </w:tcBorders>
            <w:shd w:val="clear" w:color="auto" w:fill="auto"/>
            <w:noWrap/>
            <w:vAlign w:val="bottom"/>
            <w:hideMark/>
          </w:tcPr>
          <w:p w14:paraId="533E5AB9" w14:textId="24E0CC2C" w:rsidR="00155C11" w:rsidRPr="00085B0D" w:rsidRDefault="00155C11" w:rsidP="00155C11">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18</w:t>
            </w:r>
          </w:p>
        </w:tc>
      </w:tr>
    </w:tbl>
    <w:p w14:paraId="79097793" w14:textId="77777777" w:rsidR="00DC38AD" w:rsidRDefault="00DC38AD">
      <w:pPr>
        <w:rPr>
          <w:rFonts w:ascii="Times New Roman" w:hAnsi="Times New Roman" w:cs="Courier"/>
        </w:rPr>
      </w:pPr>
    </w:p>
    <w:p w14:paraId="7B3D4839" w14:textId="77777777" w:rsidR="00EA018D" w:rsidRPr="00877602" w:rsidRDefault="00EA018D">
      <w:pPr>
        <w:rPr>
          <w:rFonts w:ascii="Times New Roman" w:hAnsi="Times New Roman" w:cs="Courier"/>
        </w:rPr>
      </w:pPr>
      <w:r w:rsidRPr="00877602">
        <w:rPr>
          <w:rFonts w:ascii="Times New Roman" w:hAnsi="Times New Roman" w:cs="Courier"/>
        </w:rPr>
        <w:t>d)</w:t>
      </w:r>
      <w:r w:rsidRPr="00877602">
        <w:rPr>
          <w:rFonts w:ascii="Times New Roman" w:hAnsi="Times New Roman" w:cs="Courier"/>
        </w:rPr>
        <w:tab/>
      </w:r>
      <w:r w:rsidR="00BE1296" w:rsidRPr="00877602">
        <w:rPr>
          <w:rFonts w:ascii="Times New Roman" w:hAnsi="Times New Roman" w:cs="Courier"/>
        </w:rPr>
        <w:t>Estimating the Respondent Universe</w:t>
      </w:r>
    </w:p>
    <w:p w14:paraId="79089C6D" w14:textId="77777777" w:rsidR="00C5630D" w:rsidRDefault="00C5630D" w:rsidP="00260DA4">
      <w:pPr>
        <w:pStyle w:val="Level1"/>
        <w:tabs>
          <w:tab w:val="left" w:pos="-1440"/>
        </w:tabs>
        <w:ind w:left="0" w:firstLine="0"/>
        <w:rPr>
          <w:rFonts w:ascii="Times New Roman" w:hAnsi="Times New Roman"/>
        </w:rPr>
      </w:pPr>
    </w:p>
    <w:p w14:paraId="5A660D30" w14:textId="13B76E17" w:rsidR="00C5630D" w:rsidRPr="00721298" w:rsidRDefault="00C5630D" w:rsidP="00260DA4">
      <w:pPr>
        <w:pStyle w:val="Level1"/>
        <w:tabs>
          <w:tab w:val="left" w:pos="-1440"/>
        </w:tabs>
        <w:ind w:left="0" w:firstLine="0"/>
        <w:rPr>
          <w:rFonts w:ascii="Times New Roman" w:hAnsi="Times New Roman"/>
        </w:rPr>
      </w:pPr>
      <w:r>
        <w:rPr>
          <w:rFonts w:ascii="Times New Roman" w:hAnsi="Times New Roman"/>
        </w:rPr>
        <w:tab/>
      </w:r>
      <w:r w:rsidRPr="00877602">
        <w:rPr>
          <w:rFonts w:ascii="Times New Roman" w:hAnsi="Times New Roman"/>
        </w:rPr>
        <w:t>EPA</w:t>
      </w:r>
      <w:r>
        <w:rPr>
          <w:rFonts w:ascii="Times New Roman" w:hAnsi="Times New Roman"/>
        </w:rPr>
        <w:t>’s estimate of the</w:t>
      </w:r>
      <w:r w:rsidRPr="00877602">
        <w:rPr>
          <w:rFonts w:ascii="Times New Roman" w:hAnsi="Times New Roman"/>
        </w:rPr>
        <w:t xml:space="preserve"> number of regulated entities </w:t>
      </w:r>
      <w:r>
        <w:rPr>
          <w:rFonts w:ascii="Times New Roman" w:hAnsi="Times New Roman"/>
        </w:rPr>
        <w:t>is based</w:t>
      </w:r>
      <w:r w:rsidRPr="00877602">
        <w:rPr>
          <w:rFonts w:ascii="Times New Roman" w:hAnsi="Times New Roman"/>
        </w:rPr>
        <w:t xml:space="preserve"> upon </w:t>
      </w:r>
      <w:r>
        <w:rPr>
          <w:rFonts w:ascii="Times New Roman" w:hAnsi="Times New Roman"/>
        </w:rPr>
        <w:t xml:space="preserve">the Agency’s </w:t>
      </w:r>
      <w:r w:rsidRPr="00877602">
        <w:rPr>
          <w:rFonts w:ascii="Times New Roman" w:hAnsi="Times New Roman"/>
        </w:rPr>
        <w:t xml:space="preserve">experience regulating </w:t>
      </w:r>
      <w:r>
        <w:rPr>
          <w:rFonts w:ascii="Times New Roman" w:hAnsi="Times New Roman"/>
        </w:rPr>
        <w:t>those</w:t>
      </w:r>
      <w:r w:rsidRPr="00877602">
        <w:rPr>
          <w:rFonts w:ascii="Times New Roman" w:hAnsi="Times New Roman"/>
        </w:rPr>
        <w:t xml:space="preserve"> entities</w:t>
      </w:r>
      <w:r>
        <w:rPr>
          <w:rFonts w:ascii="Times New Roman" w:hAnsi="Times New Roman"/>
        </w:rPr>
        <w:t xml:space="preserve"> under the CUE program for the last </w:t>
      </w:r>
      <w:r w:rsidR="0053582C">
        <w:rPr>
          <w:rFonts w:ascii="Times New Roman" w:hAnsi="Times New Roman"/>
        </w:rPr>
        <w:t>twelve</w:t>
      </w:r>
      <w:r>
        <w:rPr>
          <w:rFonts w:ascii="Times New Roman" w:hAnsi="Times New Roman"/>
        </w:rPr>
        <w:t xml:space="preserve"> years. This program does not </w:t>
      </w:r>
      <w:r w:rsidR="00C257EA">
        <w:rPr>
          <w:rFonts w:ascii="Times New Roman" w:hAnsi="Times New Roman"/>
        </w:rPr>
        <w:t>require reporting from</w:t>
      </w:r>
      <w:r>
        <w:rPr>
          <w:rFonts w:ascii="Times New Roman" w:hAnsi="Times New Roman"/>
        </w:rPr>
        <w:t xml:space="preserve"> end users of methyl bromide, but the Agency </w:t>
      </w:r>
      <w:r w:rsidR="009C1091">
        <w:rPr>
          <w:rFonts w:ascii="Times New Roman" w:hAnsi="Times New Roman"/>
        </w:rPr>
        <w:t xml:space="preserve">is able to make an estimation </w:t>
      </w:r>
      <w:r w:rsidR="009C1091" w:rsidRPr="00C5630D">
        <w:rPr>
          <w:rFonts w:ascii="Times New Roman" w:hAnsi="Times New Roman"/>
        </w:rPr>
        <w:t>based on self</w:t>
      </w:r>
      <w:r w:rsidR="00631557">
        <w:rPr>
          <w:rFonts w:ascii="Times New Roman" w:hAnsi="Times New Roman"/>
        </w:rPr>
        <w:t>-</w:t>
      </w:r>
      <w:r w:rsidR="009C1091" w:rsidRPr="00721298">
        <w:rPr>
          <w:rFonts w:ascii="Times New Roman" w:hAnsi="Times New Roman"/>
        </w:rPr>
        <w:t>reported data from entities who requested an exemption.</w:t>
      </w:r>
    </w:p>
    <w:p w14:paraId="1814D391" w14:textId="09B1CB82" w:rsidR="009C1091" w:rsidRPr="00631557" w:rsidRDefault="009C1091" w:rsidP="00721298">
      <w:pPr>
        <w:rPr>
          <w:rFonts w:ascii="Times New Roman" w:hAnsi="Times New Roman"/>
        </w:rPr>
      </w:pPr>
      <w:r w:rsidRPr="00721298">
        <w:rPr>
          <w:rFonts w:ascii="Times New Roman" w:hAnsi="Times New Roman"/>
        </w:rPr>
        <w:tab/>
        <w:t xml:space="preserve">As mentioned above, the number of applications </w:t>
      </w:r>
      <w:r w:rsidR="007C5EAA">
        <w:rPr>
          <w:rFonts w:ascii="Times New Roman" w:hAnsi="Times New Roman"/>
        </w:rPr>
        <w:t xml:space="preserve">has been declining, and </w:t>
      </w:r>
      <w:r w:rsidR="007C5EAA" w:rsidRPr="00631557">
        <w:rPr>
          <w:rFonts w:ascii="Times New Roman" w:hAnsi="Times New Roman"/>
        </w:rPr>
        <w:t xml:space="preserve">was </w:t>
      </w:r>
      <w:r w:rsidR="009A22CA">
        <w:rPr>
          <w:rFonts w:ascii="Times New Roman" w:hAnsi="Times New Roman"/>
        </w:rPr>
        <w:t>7</w:t>
      </w:r>
      <w:r w:rsidR="007C5EAA" w:rsidRPr="00631557">
        <w:rPr>
          <w:rFonts w:ascii="Times New Roman" w:hAnsi="Times New Roman"/>
        </w:rPr>
        <w:t xml:space="preserve"> </w:t>
      </w:r>
      <w:r w:rsidR="00C6662A">
        <w:rPr>
          <w:rFonts w:ascii="Times New Roman" w:hAnsi="Times New Roman"/>
        </w:rPr>
        <w:t>for the 2017</w:t>
      </w:r>
      <w:r w:rsidR="0053582C" w:rsidRPr="00631557">
        <w:rPr>
          <w:rFonts w:ascii="Times New Roman" w:hAnsi="Times New Roman"/>
        </w:rPr>
        <w:t xml:space="preserve"> control period</w:t>
      </w:r>
      <w:r w:rsidRPr="00631557">
        <w:rPr>
          <w:rFonts w:ascii="Times New Roman" w:hAnsi="Times New Roman"/>
        </w:rPr>
        <w:t>.</w:t>
      </w:r>
      <w:r w:rsidR="0011094A">
        <w:rPr>
          <w:rFonts w:ascii="Times New Roman" w:hAnsi="Times New Roman"/>
        </w:rPr>
        <w:t xml:space="preserve"> </w:t>
      </w:r>
      <w:r w:rsidR="007C5EAA" w:rsidRPr="00631557">
        <w:rPr>
          <w:rFonts w:ascii="Times New Roman" w:hAnsi="Times New Roman"/>
        </w:rPr>
        <w:t xml:space="preserve">The number of applicants for the exemption is much less </w:t>
      </w:r>
      <w:r w:rsidRPr="00631557">
        <w:rPr>
          <w:rFonts w:ascii="Times New Roman" w:hAnsi="Times New Roman"/>
        </w:rPr>
        <w:t xml:space="preserve">than the estimated end user universe of </w:t>
      </w:r>
      <w:r w:rsidR="00127391" w:rsidRPr="00631557">
        <w:rPr>
          <w:rFonts w:ascii="Times New Roman" w:hAnsi="Times New Roman"/>
        </w:rPr>
        <w:t>1</w:t>
      </w:r>
      <w:r w:rsidR="00F74A9D" w:rsidRPr="00631557">
        <w:rPr>
          <w:rFonts w:ascii="Times New Roman" w:hAnsi="Times New Roman"/>
        </w:rPr>
        <w:t>,</w:t>
      </w:r>
      <w:r w:rsidR="0053582C" w:rsidRPr="00631557">
        <w:rPr>
          <w:rFonts w:ascii="Times New Roman" w:hAnsi="Times New Roman"/>
        </w:rPr>
        <w:t>000</w:t>
      </w:r>
      <w:r w:rsidRPr="00631557">
        <w:rPr>
          <w:rFonts w:ascii="Times New Roman" w:hAnsi="Times New Roman"/>
        </w:rPr>
        <w:t xml:space="preserve"> as the majority of end users apply through their consortia, not individually. </w:t>
      </w:r>
      <w:r w:rsidR="00003BE5" w:rsidRPr="00631557">
        <w:rPr>
          <w:rFonts w:ascii="Times New Roman" w:hAnsi="Times New Roman"/>
        </w:rPr>
        <w:t>EPA continues to encourage u</w:t>
      </w:r>
      <w:r w:rsidR="00721298" w:rsidRPr="00631557">
        <w:rPr>
          <w:rFonts w:ascii="Times New Roman" w:hAnsi="Times New Roman"/>
        </w:rPr>
        <w:t xml:space="preserve">sers </w:t>
      </w:r>
      <w:r w:rsidR="00003BE5" w:rsidRPr="00631557">
        <w:rPr>
          <w:rFonts w:ascii="Times New Roman" w:hAnsi="Times New Roman"/>
        </w:rPr>
        <w:t>with similar</w:t>
      </w:r>
      <w:r w:rsidR="00721298" w:rsidRPr="00631557">
        <w:rPr>
          <w:rFonts w:ascii="Times New Roman" w:hAnsi="Times New Roman"/>
        </w:rPr>
        <w:t xml:space="preserve"> circumstances to utilize grower and user organizations to aid in completion of the application, thereby reducing both the burden on applicants (particularly small businesses) and the Agency.</w:t>
      </w:r>
      <w:r w:rsidR="0011094A">
        <w:rPr>
          <w:rFonts w:ascii="Times New Roman" w:hAnsi="Times New Roman"/>
        </w:rPr>
        <w:t xml:space="preserve"> </w:t>
      </w:r>
      <w:r w:rsidR="00721298" w:rsidRPr="00631557">
        <w:rPr>
          <w:rFonts w:ascii="Times New Roman" w:hAnsi="Times New Roman"/>
        </w:rPr>
        <w:t>The registrat</w:t>
      </w:r>
      <w:r w:rsidR="002B668C" w:rsidRPr="00631557">
        <w:rPr>
          <w:rFonts w:ascii="Times New Roman" w:hAnsi="Times New Roman"/>
        </w:rPr>
        <w:t xml:space="preserve">ion of additional alternatives </w:t>
      </w:r>
      <w:r w:rsidR="00721298" w:rsidRPr="00631557">
        <w:rPr>
          <w:rFonts w:ascii="Times New Roman" w:hAnsi="Times New Roman"/>
        </w:rPr>
        <w:t xml:space="preserve">in the U.S. </w:t>
      </w:r>
      <w:r w:rsidR="00C257EA" w:rsidRPr="00631557">
        <w:rPr>
          <w:rFonts w:ascii="Times New Roman" w:hAnsi="Times New Roman"/>
        </w:rPr>
        <w:t>has</w:t>
      </w:r>
      <w:r w:rsidR="00721298" w:rsidRPr="00631557">
        <w:rPr>
          <w:rFonts w:ascii="Times New Roman" w:hAnsi="Times New Roman"/>
        </w:rPr>
        <w:t xml:space="preserve"> also result</w:t>
      </w:r>
      <w:r w:rsidR="00C257EA" w:rsidRPr="00631557">
        <w:rPr>
          <w:rFonts w:ascii="Times New Roman" w:hAnsi="Times New Roman"/>
        </w:rPr>
        <w:t>ed</w:t>
      </w:r>
      <w:r w:rsidR="00721298" w:rsidRPr="00631557">
        <w:rPr>
          <w:rFonts w:ascii="Times New Roman" w:hAnsi="Times New Roman"/>
        </w:rPr>
        <w:t xml:space="preserve"> in fewer applications received.</w:t>
      </w:r>
      <w:r w:rsidR="0011094A">
        <w:rPr>
          <w:rFonts w:ascii="Times New Roman" w:hAnsi="Times New Roman"/>
        </w:rPr>
        <w:t xml:space="preserve"> </w:t>
      </w:r>
    </w:p>
    <w:p w14:paraId="72050F14" w14:textId="2AA4E48D" w:rsidR="00F63CD9" w:rsidRPr="00721298" w:rsidRDefault="009C1091" w:rsidP="00721298">
      <w:pPr>
        <w:pStyle w:val="Level1"/>
        <w:tabs>
          <w:tab w:val="left" w:pos="-1440"/>
        </w:tabs>
        <w:ind w:left="0" w:firstLine="0"/>
        <w:rPr>
          <w:rFonts w:ascii="Times New Roman" w:hAnsi="Times New Roman"/>
        </w:rPr>
      </w:pPr>
      <w:r w:rsidRPr="00631557">
        <w:rPr>
          <w:rFonts w:ascii="Times New Roman" w:hAnsi="Times New Roman"/>
        </w:rPr>
        <w:tab/>
      </w:r>
      <w:r w:rsidR="00C5630D" w:rsidRPr="00631557">
        <w:rPr>
          <w:rFonts w:ascii="Times New Roman" w:hAnsi="Times New Roman"/>
        </w:rPr>
        <w:t xml:space="preserve">There are 4 producers and importers of methyl bromide </w:t>
      </w:r>
      <w:r w:rsidR="00003BE5" w:rsidRPr="00631557">
        <w:rPr>
          <w:rFonts w:ascii="Times New Roman" w:hAnsi="Times New Roman"/>
        </w:rPr>
        <w:t xml:space="preserve">who report quarterly and up to </w:t>
      </w:r>
      <w:r w:rsidR="000F041F" w:rsidRPr="00631557">
        <w:rPr>
          <w:rFonts w:ascii="Times New Roman" w:hAnsi="Times New Roman"/>
        </w:rPr>
        <w:t>50</w:t>
      </w:r>
      <w:r w:rsidR="00127391" w:rsidRPr="00631557">
        <w:rPr>
          <w:rFonts w:ascii="Times New Roman" w:hAnsi="Times New Roman"/>
        </w:rPr>
        <w:t xml:space="preserve"> </w:t>
      </w:r>
      <w:r w:rsidR="00C5630D" w:rsidRPr="00631557">
        <w:rPr>
          <w:rFonts w:ascii="Times New Roman" w:hAnsi="Times New Roman"/>
        </w:rPr>
        <w:t xml:space="preserve">distributors/ applicators of methyl bromide who </w:t>
      </w:r>
      <w:r w:rsidR="00003BE5" w:rsidRPr="00631557">
        <w:rPr>
          <w:rFonts w:ascii="Times New Roman" w:hAnsi="Times New Roman"/>
        </w:rPr>
        <w:t xml:space="preserve">may </w:t>
      </w:r>
      <w:r w:rsidR="00C5630D" w:rsidRPr="00631557">
        <w:rPr>
          <w:rFonts w:ascii="Times New Roman" w:hAnsi="Times New Roman"/>
        </w:rPr>
        <w:t>report annually</w:t>
      </w:r>
      <w:r w:rsidR="00721298" w:rsidRPr="00631557">
        <w:rPr>
          <w:rFonts w:ascii="Times New Roman" w:hAnsi="Times New Roman"/>
        </w:rPr>
        <w:t xml:space="preserve">. </w:t>
      </w:r>
      <w:r w:rsidR="00CC055D" w:rsidRPr="00631557">
        <w:rPr>
          <w:rFonts w:ascii="Times New Roman" w:hAnsi="Times New Roman"/>
        </w:rPr>
        <w:t>Thus the total number of r</w:t>
      </w:r>
      <w:r w:rsidR="00F66444" w:rsidRPr="00631557">
        <w:rPr>
          <w:rFonts w:ascii="Times New Roman" w:hAnsi="Times New Roman"/>
        </w:rPr>
        <w:t xml:space="preserve">espondents is estimated to be </w:t>
      </w:r>
      <w:r w:rsidR="000F041F" w:rsidRPr="00631557">
        <w:rPr>
          <w:rFonts w:ascii="Times New Roman" w:hAnsi="Times New Roman"/>
        </w:rPr>
        <w:t>1,0</w:t>
      </w:r>
      <w:r w:rsidR="009A22CA">
        <w:rPr>
          <w:rFonts w:ascii="Times New Roman" w:hAnsi="Times New Roman"/>
        </w:rPr>
        <w:t>69</w:t>
      </w:r>
      <w:r w:rsidR="00F66444" w:rsidRPr="00631557">
        <w:rPr>
          <w:rFonts w:ascii="Times New Roman" w:hAnsi="Times New Roman"/>
        </w:rPr>
        <w:t xml:space="preserve"> (</w:t>
      </w:r>
      <w:r w:rsidR="0053582C" w:rsidRPr="00631557">
        <w:rPr>
          <w:rFonts w:ascii="Times New Roman" w:hAnsi="Times New Roman"/>
        </w:rPr>
        <w:t>1</w:t>
      </w:r>
      <w:r w:rsidR="009A22CA">
        <w:rPr>
          <w:rFonts w:ascii="Times New Roman" w:hAnsi="Times New Roman"/>
        </w:rPr>
        <w:t>,</w:t>
      </w:r>
      <w:r w:rsidR="0053582C" w:rsidRPr="00631557">
        <w:rPr>
          <w:rFonts w:ascii="Times New Roman" w:hAnsi="Times New Roman"/>
        </w:rPr>
        <w:t>000</w:t>
      </w:r>
      <w:r w:rsidR="00003BE5" w:rsidRPr="00631557">
        <w:rPr>
          <w:rFonts w:ascii="Times New Roman" w:hAnsi="Times New Roman"/>
        </w:rPr>
        <w:t xml:space="preserve"> end users, </w:t>
      </w:r>
      <w:r w:rsidR="009A22CA">
        <w:rPr>
          <w:rFonts w:ascii="Times New Roman" w:hAnsi="Times New Roman"/>
        </w:rPr>
        <w:t>15</w:t>
      </w:r>
      <w:r w:rsidR="00721298" w:rsidRPr="00631557">
        <w:rPr>
          <w:rFonts w:ascii="Times New Roman" w:hAnsi="Times New Roman"/>
        </w:rPr>
        <w:t xml:space="preserve"> applicants,</w:t>
      </w:r>
      <w:r w:rsidR="00003BE5" w:rsidRPr="00631557">
        <w:rPr>
          <w:rFonts w:ascii="Times New Roman" w:hAnsi="Times New Roman"/>
        </w:rPr>
        <w:t xml:space="preserve"> </w:t>
      </w:r>
      <w:r w:rsidR="000F041F" w:rsidRPr="00631557">
        <w:rPr>
          <w:rFonts w:ascii="Times New Roman" w:hAnsi="Times New Roman"/>
        </w:rPr>
        <w:t>50</w:t>
      </w:r>
      <w:r w:rsidR="00721298" w:rsidRPr="00631557">
        <w:rPr>
          <w:rFonts w:ascii="Times New Roman" w:hAnsi="Times New Roman"/>
        </w:rPr>
        <w:t xml:space="preserve"> distributors/applicators, and</w:t>
      </w:r>
      <w:r w:rsidR="00F66444" w:rsidRPr="00631557">
        <w:rPr>
          <w:rFonts w:ascii="Times New Roman" w:hAnsi="Times New Roman"/>
        </w:rPr>
        <w:t xml:space="preserve"> 4</w:t>
      </w:r>
      <w:r w:rsidR="00721298" w:rsidRPr="00631557">
        <w:rPr>
          <w:rFonts w:ascii="Times New Roman" w:hAnsi="Times New Roman"/>
        </w:rPr>
        <w:t xml:space="preserve"> producers/importers</w:t>
      </w:r>
      <w:r w:rsidR="00F66444" w:rsidRPr="00631557">
        <w:rPr>
          <w:rFonts w:ascii="Times New Roman" w:hAnsi="Times New Roman"/>
        </w:rPr>
        <w:t>)</w:t>
      </w:r>
      <w:r w:rsidR="00CC055D" w:rsidRPr="00631557">
        <w:rPr>
          <w:rFonts w:ascii="Times New Roman" w:hAnsi="Times New Roman"/>
        </w:rPr>
        <w:t>.</w:t>
      </w:r>
    </w:p>
    <w:p w14:paraId="47207551" w14:textId="77777777" w:rsidR="00F63CD9" w:rsidRDefault="00F63CD9">
      <w:pPr>
        <w:rPr>
          <w:rFonts w:ascii="Times New Roman" w:hAnsi="Times New Roman" w:cs="Courier"/>
        </w:rPr>
      </w:pPr>
    </w:p>
    <w:p w14:paraId="6ADF7CB9" w14:textId="77777777" w:rsidR="0053666D" w:rsidRDefault="0053666D">
      <w:pPr>
        <w:rPr>
          <w:rFonts w:ascii="Times New Roman" w:hAnsi="Times New Roman" w:cs="Courier"/>
        </w:rPr>
      </w:pPr>
    </w:p>
    <w:p w14:paraId="1AC0B7DA" w14:textId="77777777" w:rsidR="0053666D" w:rsidRPr="00877602" w:rsidRDefault="0053666D">
      <w:pPr>
        <w:rPr>
          <w:rFonts w:ascii="Times New Roman" w:hAnsi="Times New Roman" w:cs="Courier"/>
        </w:rPr>
      </w:pPr>
    </w:p>
    <w:p w14:paraId="4341726D" w14:textId="77777777" w:rsidR="00F63CD9" w:rsidRPr="00877602" w:rsidRDefault="00F63CD9">
      <w:pPr>
        <w:rPr>
          <w:rFonts w:ascii="Times New Roman" w:hAnsi="Times New Roman" w:cs="Courier"/>
        </w:rPr>
      </w:pPr>
      <w:r w:rsidRPr="00877602">
        <w:rPr>
          <w:rFonts w:ascii="Times New Roman" w:hAnsi="Times New Roman" w:cs="Courier"/>
        </w:rPr>
        <w:lastRenderedPageBreak/>
        <w:t>e)</w:t>
      </w:r>
      <w:r w:rsidRPr="00877602">
        <w:rPr>
          <w:rFonts w:ascii="Times New Roman" w:hAnsi="Times New Roman" w:cs="Courier"/>
        </w:rPr>
        <w:tab/>
        <w:t>Bottom Line Burden Hours and Cost Tables</w:t>
      </w:r>
    </w:p>
    <w:p w14:paraId="40CF9CCF" w14:textId="77777777" w:rsidR="00493081" w:rsidRPr="00877602" w:rsidRDefault="00493081">
      <w:pPr>
        <w:rPr>
          <w:rFonts w:ascii="Times New Roman" w:hAnsi="Times New Roman" w:cs="Courier"/>
        </w:rPr>
      </w:pPr>
    </w:p>
    <w:p w14:paraId="77BF8989" w14:textId="5F058521" w:rsidR="005626E2" w:rsidRPr="00877602" w:rsidRDefault="00610C03" w:rsidP="00017F51">
      <w:pPr>
        <w:ind w:firstLine="720"/>
        <w:rPr>
          <w:rFonts w:ascii="Times New Roman" w:hAnsi="Times New Roman" w:cs="Courier"/>
        </w:rPr>
      </w:pPr>
      <w:r w:rsidRPr="00877602">
        <w:rPr>
          <w:rFonts w:ascii="Times New Roman" w:hAnsi="Times New Roman" w:cs="Courier"/>
        </w:rPr>
        <w:t xml:space="preserve">i) </w:t>
      </w:r>
      <w:r w:rsidR="00C42C0F" w:rsidRPr="00877602">
        <w:rPr>
          <w:rFonts w:ascii="Times New Roman" w:hAnsi="Times New Roman" w:cs="Courier"/>
        </w:rPr>
        <w:t xml:space="preserve">The burden </w:t>
      </w:r>
      <w:r w:rsidR="00F63CD9" w:rsidRPr="00877602">
        <w:rPr>
          <w:rFonts w:ascii="Times New Roman" w:hAnsi="Times New Roman" w:cs="Courier"/>
        </w:rPr>
        <w:t xml:space="preserve">hour portion of the respondent </w:t>
      </w:r>
      <w:r w:rsidR="00493081">
        <w:rPr>
          <w:rFonts w:ascii="Times New Roman" w:hAnsi="Times New Roman" w:cs="Courier"/>
        </w:rPr>
        <w:t xml:space="preserve">application, </w:t>
      </w:r>
      <w:r w:rsidR="00F63CD9" w:rsidRPr="00877602">
        <w:rPr>
          <w:rFonts w:ascii="Times New Roman" w:hAnsi="Times New Roman" w:cs="Courier"/>
        </w:rPr>
        <w:t>reporting</w:t>
      </w:r>
      <w:r w:rsidR="00493081">
        <w:rPr>
          <w:rFonts w:ascii="Times New Roman" w:hAnsi="Times New Roman" w:cs="Courier"/>
        </w:rPr>
        <w:t>, and recordkeeping</w:t>
      </w:r>
      <w:r w:rsidR="00F63CD9" w:rsidRPr="00877602">
        <w:rPr>
          <w:rFonts w:ascii="Times New Roman" w:hAnsi="Times New Roman" w:cs="Courier"/>
        </w:rPr>
        <w:t xml:space="preserve"> burden </w:t>
      </w:r>
      <w:r w:rsidRPr="00877602">
        <w:rPr>
          <w:rFonts w:ascii="Times New Roman" w:hAnsi="Times New Roman" w:cs="Courier"/>
        </w:rPr>
        <w:t>and operating/capital costs are</w:t>
      </w:r>
      <w:r w:rsidR="00F63CD9" w:rsidRPr="00877602">
        <w:rPr>
          <w:rFonts w:ascii="Times New Roman" w:hAnsi="Times New Roman" w:cs="Courier"/>
        </w:rPr>
        <w:t xml:space="preserve"> estimated in Table</w:t>
      </w:r>
      <w:r w:rsidRPr="00877602">
        <w:rPr>
          <w:rFonts w:ascii="Times New Roman" w:hAnsi="Times New Roman" w:cs="Courier"/>
        </w:rPr>
        <w:t>s</w:t>
      </w:r>
      <w:r w:rsidR="00F63CD9" w:rsidRPr="00877602">
        <w:rPr>
          <w:rFonts w:ascii="Times New Roman" w:hAnsi="Times New Roman" w:cs="Courier"/>
        </w:rPr>
        <w:t xml:space="preserve"> I</w:t>
      </w:r>
      <w:r w:rsidRPr="00877602">
        <w:rPr>
          <w:rFonts w:ascii="Times New Roman" w:hAnsi="Times New Roman" w:cs="Courier"/>
        </w:rPr>
        <w:t>I and III respectively</w:t>
      </w:r>
      <w:r w:rsidR="00F63CD9" w:rsidRPr="00877602">
        <w:rPr>
          <w:rFonts w:ascii="Times New Roman" w:hAnsi="Times New Roman" w:cs="Courier"/>
        </w:rPr>
        <w:t>.</w:t>
      </w:r>
      <w:r w:rsidR="005626E2" w:rsidRPr="00877602">
        <w:rPr>
          <w:rFonts w:ascii="Times New Roman" w:hAnsi="Times New Roman" w:cs="Courier"/>
        </w:rPr>
        <w:t xml:space="preserve"> The </w:t>
      </w:r>
      <w:r w:rsidRPr="00877602">
        <w:rPr>
          <w:rFonts w:ascii="Times New Roman" w:hAnsi="Times New Roman" w:cs="Courier"/>
        </w:rPr>
        <w:t xml:space="preserve">dollar estimate </w:t>
      </w:r>
      <w:r w:rsidRPr="00631557">
        <w:rPr>
          <w:rFonts w:ascii="Times New Roman" w:hAnsi="Times New Roman" w:cs="Courier"/>
        </w:rPr>
        <w:t>associated with this burden is d</w:t>
      </w:r>
      <w:r w:rsidR="005626E2" w:rsidRPr="00631557">
        <w:rPr>
          <w:rFonts w:ascii="Times New Roman" w:hAnsi="Times New Roman" w:cs="Courier"/>
        </w:rPr>
        <w:t>isplayed in Table V</w:t>
      </w:r>
      <w:r w:rsidRPr="00631557">
        <w:rPr>
          <w:rFonts w:ascii="Times New Roman" w:hAnsi="Times New Roman" w:cs="Courier"/>
        </w:rPr>
        <w:t xml:space="preserve"> below</w:t>
      </w:r>
      <w:r w:rsidR="005626E2" w:rsidRPr="00631557">
        <w:rPr>
          <w:rFonts w:ascii="Times New Roman" w:hAnsi="Times New Roman" w:cs="Courier"/>
        </w:rPr>
        <w:t>.</w:t>
      </w:r>
      <w:r w:rsidR="00493081" w:rsidRPr="00631557">
        <w:rPr>
          <w:rFonts w:ascii="Times New Roman" w:hAnsi="Times New Roman" w:cs="Courier"/>
        </w:rPr>
        <w:t xml:space="preserve"> The total annual labor cost burden is </w:t>
      </w:r>
      <w:r w:rsidR="00106A16" w:rsidRPr="00631557">
        <w:rPr>
          <w:rFonts w:ascii="Times New Roman" w:hAnsi="Times New Roman" w:cs="Courier"/>
        </w:rPr>
        <w:t>$</w:t>
      </w:r>
      <w:r w:rsidR="00155C11">
        <w:rPr>
          <w:rFonts w:ascii="Times New Roman" w:hAnsi="Times New Roman" w:cs="Courier"/>
        </w:rPr>
        <w:t>191,886</w:t>
      </w:r>
      <w:r w:rsidR="00493081" w:rsidRPr="00631557">
        <w:rPr>
          <w:rFonts w:ascii="Times New Roman" w:hAnsi="Times New Roman" w:cs="Courier"/>
        </w:rPr>
        <w:t>.</w:t>
      </w:r>
      <w:r w:rsidR="0011094A">
        <w:rPr>
          <w:rFonts w:ascii="Times New Roman" w:hAnsi="Times New Roman" w:cs="Courier"/>
        </w:rPr>
        <w:t xml:space="preserve"> </w:t>
      </w:r>
    </w:p>
    <w:p w14:paraId="0A0C52E5" w14:textId="77777777" w:rsidR="005626E2" w:rsidRPr="00877602" w:rsidRDefault="005626E2">
      <w:pPr>
        <w:rPr>
          <w:rFonts w:ascii="Times New Roman" w:hAnsi="Times New Roman" w:cs="Courier"/>
        </w:rPr>
      </w:pPr>
    </w:p>
    <w:p w14:paraId="15D4D411" w14:textId="77777777" w:rsidR="002B668C" w:rsidRDefault="00F63CD9" w:rsidP="002B668C">
      <w:pPr>
        <w:jc w:val="center"/>
        <w:rPr>
          <w:rFonts w:ascii="Times New Roman" w:hAnsi="Times New Roman" w:cs="Courier"/>
          <w:b/>
        </w:rPr>
      </w:pPr>
      <w:r w:rsidRPr="002B668C">
        <w:rPr>
          <w:rFonts w:ascii="Times New Roman" w:hAnsi="Times New Roman" w:cs="Courier"/>
          <w:b/>
        </w:rPr>
        <w:t>TABLE V- RESPONDENT BURDEN HOURS AND COSTS</w:t>
      </w:r>
    </w:p>
    <w:p w14:paraId="17631C2C" w14:textId="77777777" w:rsidR="00155C11" w:rsidRDefault="00155C11" w:rsidP="002B668C">
      <w:pPr>
        <w:jc w:val="center"/>
        <w:rPr>
          <w:rFonts w:ascii="Times New Roman" w:hAnsi="Times New Roman" w:cs="Courier"/>
          <w:b/>
        </w:rPr>
      </w:pPr>
    </w:p>
    <w:tbl>
      <w:tblPr>
        <w:tblW w:w="9420" w:type="dxa"/>
        <w:tblLook w:val="04A0" w:firstRow="1" w:lastRow="0" w:firstColumn="1" w:lastColumn="0" w:noHBand="0" w:noVBand="1"/>
      </w:tblPr>
      <w:tblGrid>
        <w:gridCol w:w="3680"/>
        <w:gridCol w:w="1480"/>
        <w:gridCol w:w="1720"/>
        <w:gridCol w:w="1180"/>
        <w:gridCol w:w="1360"/>
      </w:tblGrid>
      <w:tr w:rsidR="00C601DF" w:rsidRPr="000E180E" w14:paraId="5568BF48" w14:textId="77777777" w:rsidTr="00996883">
        <w:trPr>
          <w:trHeight w:val="510"/>
        </w:trPr>
        <w:tc>
          <w:tcPr>
            <w:tcW w:w="3680" w:type="dxa"/>
            <w:tcBorders>
              <w:top w:val="single" w:sz="8" w:space="0" w:color="auto"/>
              <w:left w:val="single" w:sz="8" w:space="0" w:color="auto"/>
              <w:bottom w:val="single" w:sz="4" w:space="0" w:color="auto"/>
              <w:right w:val="single" w:sz="4" w:space="0" w:color="auto"/>
            </w:tcBorders>
            <w:shd w:val="clear" w:color="auto" w:fill="auto"/>
            <w:hideMark/>
          </w:tcPr>
          <w:p w14:paraId="243829DE" w14:textId="77777777" w:rsidR="00C601DF" w:rsidRPr="000E180E" w:rsidRDefault="00C601DF" w:rsidP="00996883">
            <w:pPr>
              <w:widowControl/>
              <w:autoSpaceDE/>
              <w:autoSpaceDN/>
              <w:adjustRightInd/>
              <w:jc w:val="center"/>
              <w:rPr>
                <w:rFonts w:ascii="Times New Roman" w:hAnsi="Times New Roman"/>
                <w:b/>
                <w:bCs/>
                <w:sz w:val="20"/>
                <w:szCs w:val="20"/>
              </w:rPr>
            </w:pPr>
            <w:r w:rsidRPr="000E180E">
              <w:rPr>
                <w:rFonts w:ascii="Times New Roman" w:hAnsi="Times New Roman"/>
                <w:b/>
                <w:bCs/>
                <w:sz w:val="20"/>
                <w:szCs w:val="20"/>
              </w:rPr>
              <w:t>Response</w:t>
            </w:r>
          </w:p>
        </w:tc>
        <w:tc>
          <w:tcPr>
            <w:tcW w:w="1480" w:type="dxa"/>
            <w:tcBorders>
              <w:top w:val="single" w:sz="8" w:space="0" w:color="auto"/>
              <w:left w:val="nil"/>
              <w:bottom w:val="single" w:sz="4" w:space="0" w:color="auto"/>
              <w:right w:val="single" w:sz="4" w:space="0" w:color="auto"/>
            </w:tcBorders>
            <w:shd w:val="clear" w:color="auto" w:fill="auto"/>
            <w:hideMark/>
          </w:tcPr>
          <w:p w14:paraId="19AAF69A" w14:textId="77777777" w:rsidR="00C601DF" w:rsidRPr="000E180E" w:rsidRDefault="00C601DF" w:rsidP="00996883">
            <w:pPr>
              <w:widowControl/>
              <w:autoSpaceDE/>
              <w:autoSpaceDN/>
              <w:adjustRightInd/>
              <w:jc w:val="center"/>
              <w:rPr>
                <w:rFonts w:ascii="Times New Roman" w:hAnsi="Times New Roman"/>
                <w:b/>
                <w:bCs/>
                <w:sz w:val="20"/>
                <w:szCs w:val="20"/>
              </w:rPr>
            </w:pPr>
            <w:r w:rsidRPr="000E180E">
              <w:rPr>
                <w:rFonts w:ascii="Times New Roman" w:hAnsi="Times New Roman"/>
                <w:b/>
                <w:bCs/>
                <w:sz w:val="20"/>
                <w:szCs w:val="20"/>
              </w:rPr>
              <w:t>No of Responses</w:t>
            </w:r>
          </w:p>
        </w:tc>
        <w:tc>
          <w:tcPr>
            <w:tcW w:w="1720" w:type="dxa"/>
            <w:tcBorders>
              <w:top w:val="single" w:sz="8" w:space="0" w:color="auto"/>
              <w:left w:val="nil"/>
              <w:bottom w:val="single" w:sz="4" w:space="0" w:color="auto"/>
              <w:right w:val="single" w:sz="4" w:space="0" w:color="auto"/>
            </w:tcBorders>
            <w:shd w:val="clear" w:color="auto" w:fill="auto"/>
            <w:hideMark/>
          </w:tcPr>
          <w:p w14:paraId="4EC33A53" w14:textId="77777777" w:rsidR="00C601DF" w:rsidRPr="000E180E" w:rsidRDefault="00C601DF" w:rsidP="00996883">
            <w:pPr>
              <w:widowControl/>
              <w:autoSpaceDE/>
              <w:autoSpaceDN/>
              <w:adjustRightInd/>
              <w:jc w:val="center"/>
              <w:rPr>
                <w:rFonts w:ascii="Times New Roman" w:hAnsi="Times New Roman"/>
                <w:b/>
                <w:bCs/>
                <w:sz w:val="20"/>
                <w:szCs w:val="20"/>
              </w:rPr>
            </w:pPr>
            <w:r w:rsidRPr="000E180E">
              <w:rPr>
                <w:rFonts w:ascii="Times New Roman" w:hAnsi="Times New Roman"/>
                <w:b/>
                <w:bCs/>
                <w:sz w:val="20"/>
                <w:szCs w:val="20"/>
              </w:rPr>
              <w:t>Hours per response</w:t>
            </w:r>
          </w:p>
        </w:tc>
        <w:tc>
          <w:tcPr>
            <w:tcW w:w="1180" w:type="dxa"/>
            <w:tcBorders>
              <w:top w:val="single" w:sz="8" w:space="0" w:color="auto"/>
              <w:left w:val="nil"/>
              <w:bottom w:val="single" w:sz="4" w:space="0" w:color="auto"/>
              <w:right w:val="single" w:sz="4" w:space="0" w:color="auto"/>
            </w:tcBorders>
            <w:shd w:val="clear" w:color="auto" w:fill="auto"/>
            <w:hideMark/>
          </w:tcPr>
          <w:p w14:paraId="32A16DD3" w14:textId="77777777" w:rsidR="00C601DF" w:rsidRPr="000E180E" w:rsidRDefault="00C601DF" w:rsidP="00996883">
            <w:pPr>
              <w:widowControl/>
              <w:autoSpaceDE/>
              <w:autoSpaceDN/>
              <w:adjustRightInd/>
              <w:jc w:val="center"/>
              <w:rPr>
                <w:rFonts w:ascii="Times New Roman" w:hAnsi="Times New Roman"/>
                <w:b/>
                <w:bCs/>
                <w:sz w:val="20"/>
                <w:szCs w:val="20"/>
              </w:rPr>
            </w:pPr>
            <w:r w:rsidRPr="000E180E">
              <w:rPr>
                <w:rFonts w:ascii="Times New Roman" w:hAnsi="Times New Roman"/>
                <w:b/>
                <w:bCs/>
                <w:sz w:val="20"/>
                <w:szCs w:val="20"/>
              </w:rPr>
              <w:t>Cost/Hour</w:t>
            </w:r>
          </w:p>
        </w:tc>
        <w:tc>
          <w:tcPr>
            <w:tcW w:w="1360" w:type="dxa"/>
            <w:tcBorders>
              <w:top w:val="single" w:sz="8" w:space="0" w:color="auto"/>
              <w:left w:val="nil"/>
              <w:bottom w:val="single" w:sz="4" w:space="0" w:color="auto"/>
              <w:right w:val="single" w:sz="8" w:space="0" w:color="auto"/>
            </w:tcBorders>
            <w:shd w:val="clear" w:color="auto" w:fill="auto"/>
            <w:hideMark/>
          </w:tcPr>
          <w:p w14:paraId="75FF122A" w14:textId="77777777" w:rsidR="00C601DF" w:rsidRPr="000E180E" w:rsidRDefault="00C601DF" w:rsidP="00996883">
            <w:pPr>
              <w:widowControl/>
              <w:autoSpaceDE/>
              <w:autoSpaceDN/>
              <w:adjustRightInd/>
              <w:jc w:val="center"/>
              <w:rPr>
                <w:rFonts w:ascii="Times New Roman" w:hAnsi="Times New Roman"/>
                <w:b/>
                <w:bCs/>
                <w:sz w:val="20"/>
                <w:szCs w:val="20"/>
              </w:rPr>
            </w:pPr>
            <w:r w:rsidRPr="000E180E">
              <w:rPr>
                <w:rFonts w:ascii="Times New Roman" w:hAnsi="Times New Roman"/>
                <w:b/>
                <w:bCs/>
                <w:sz w:val="20"/>
                <w:szCs w:val="20"/>
              </w:rPr>
              <w:t>Total Cost</w:t>
            </w:r>
          </w:p>
        </w:tc>
      </w:tr>
      <w:tr w:rsidR="00C601DF" w:rsidRPr="000E180E" w14:paraId="1735D5F5" w14:textId="77777777" w:rsidTr="00996883">
        <w:trPr>
          <w:trHeight w:val="255"/>
        </w:trPr>
        <w:tc>
          <w:tcPr>
            <w:tcW w:w="3680" w:type="dxa"/>
            <w:tcBorders>
              <w:top w:val="nil"/>
              <w:left w:val="single" w:sz="8" w:space="0" w:color="auto"/>
              <w:bottom w:val="single" w:sz="4" w:space="0" w:color="auto"/>
              <w:right w:val="single" w:sz="4" w:space="0" w:color="auto"/>
            </w:tcBorders>
            <w:shd w:val="clear" w:color="auto" w:fill="auto"/>
            <w:hideMark/>
          </w:tcPr>
          <w:p w14:paraId="2E7F07E5" w14:textId="77777777" w:rsidR="00C601DF" w:rsidRPr="000E180E" w:rsidRDefault="00C601DF" w:rsidP="00996883">
            <w:pPr>
              <w:widowControl/>
              <w:autoSpaceDE/>
              <w:autoSpaceDN/>
              <w:adjustRightInd/>
              <w:rPr>
                <w:rFonts w:ascii="Times New Roman" w:hAnsi="Times New Roman"/>
                <w:sz w:val="20"/>
                <w:szCs w:val="20"/>
              </w:rPr>
            </w:pPr>
            <w:r w:rsidRPr="000E180E">
              <w:rPr>
                <w:rFonts w:ascii="Times New Roman" w:hAnsi="Times New Roman"/>
                <w:sz w:val="20"/>
                <w:szCs w:val="20"/>
              </w:rPr>
              <w:t>Applications</w:t>
            </w:r>
          </w:p>
        </w:tc>
        <w:tc>
          <w:tcPr>
            <w:tcW w:w="1480" w:type="dxa"/>
            <w:tcBorders>
              <w:top w:val="nil"/>
              <w:left w:val="nil"/>
              <w:bottom w:val="single" w:sz="4" w:space="0" w:color="auto"/>
              <w:right w:val="single" w:sz="4" w:space="0" w:color="auto"/>
            </w:tcBorders>
            <w:shd w:val="clear" w:color="auto" w:fill="auto"/>
            <w:hideMark/>
          </w:tcPr>
          <w:p w14:paraId="5A5EB4C1"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15</w:t>
            </w:r>
          </w:p>
        </w:tc>
        <w:tc>
          <w:tcPr>
            <w:tcW w:w="1720" w:type="dxa"/>
            <w:tcBorders>
              <w:top w:val="nil"/>
              <w:left w:val="nil"/>
              <w:bottom w:val="single" w:sz="4" w:space="0" w:color="auto"/>
              <w:right w:val="single" w:sz="4" w:space="0" w:color="auto"/>
            </w:tcBorders>
            <w:shd w:val="clear" w:color="auto" w:fill="auto"/>
            <w:hideMark/>
          </w:tcPr>
          <w:p w14:paraId="7E4944C6"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38</w:t>
            </w:r>
          </w:p>
        </w:tc>
        <w:tc>
          <w:tcPr>
            <w:tcW w:w="1180" w:type="dxa"/>
            <w:tcBorders>
              <w:top w:val="nil"/>
              <w:left w:val="nil"/>
              <w:bottom w:val="single" w:sz="4" w:space="0" w:color="auto"/>
              <w:right w:val="single" w:sz="4" w:space="0" w:color="auto"/>
            </w:tcBorders>
            <w:shd w:val="clear" w:color="auto" w:fill="auto"/>
            <w:hideMark/>
          </w:tcPr>
          <w:p w14:paraId="5BE05903"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 xml:space="preserve">$141.90 </w:t>
            </w:r>
          </w:p>
        </w:tc>
        <w:tc>
          <w:tcPr>
            <w:tcW w:w="1360" w:type="dxa"/>
            <w:tcBorders>
              <w:top w:val="nil"/>
              <w:left w:val="nil"/>
              <w:bottom w:val="single" w:sz="4" w:space="0" w:color="auto"/>
              <w:right w:val="single" w:sz="8" w:space="0" w:color="auto"/>
            </w:tcBorders>
            <w:shd w:val="clear" w:color="auto" w:fill="auto"/>
            <w:hideMark/>
          </w:tcPr>
          <w:p w14:paraId="48C3B64F"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 xml:space="preserve">$80,883 </w:t>
            </w:r>
          </w:p>
        </w:tc>
      </w:tr>
      <w:tr w:rsidR="00C601DF" w:rsidRPr="000E180E" w14:paraId="069CA304" w14:textId="77777777" w:rsidTr="00996883">
        <w:trPr>
          <w:trHeight w:val="255"/>
        </w:trPr>
        <w:tc>
          <w:tcPr>
            <w:tcW w:w="3680" w:type="dxa"/>
            <w:tcBorders>
              <w:top w:val="nil"/>
              <w:left w:val="single" w:sz="8" w:space="0" w:color="auto"/>
              <w:bottom w:val="single" w:sz="4" w:space="0" w:color="auto"/>
              <w:right w:val="single" w:sz="4" w:space="0" w:color="auto"/>
            </w:tcBorders>
            <w:shd w:val="clear" w:color="auto" w:fill="auto"/>
            <w:hideMark/>
          </w:tcPr>
          <w:p w14:paraId="075DE901" w14:textId="77777777" w:rsidR="00C601DF" w:rsidRPr="000E180E" w:rsidRDefault="00C601DF" w:rsidP="00996883">
            <w:pPr>
              <w:widowControl/>
              <w:autoSpaceDE/>
              <w:autoSpaceDN/>
              <w:adjustRightInd/>
              <w:rPr>
                <w:rFonts w:ascii="Times New Roman" w:hAnsi="Times New Roman"/>
                <w:sz w:val="20"/>
                <w:szCs w:val="20"/>
              </w:rPr>
            </w:pPr>
            <w:r w:rsidRPr="000E180E">
              <w:rPr>
                <w:rFonts w:ascii="Times New Roman" w:hAnsi="Times New Roman"/>
                <w:sz w:val="20"/>
                <w:szCs w:val="20"/>
              </w:rPr>
              <w:t xml:space="preserve">Producers, Importers, and Distributors </w:t>
            </w:r>
          </w:p>
        </w:tc>
        <w:tc>
          <w:tcPr>
            <w:tcW w:w="1480" w:type="dxa"/>
            <w:tcBorders>
              <w:top w:val="nil"/>
              <w:left w:val="nil"/>
              <w:bottom w:val="single" w:sz="4" w:space="0" w:color="auto"/>
              <w:right w:val="single" w:sz="4" w:space="0" w:color="auto"/>
            </w:tcBorders>
            <w:shd w:val="clear" w:color="auto" w:fill="auto"/>
            <w:hideMark/>
          </w:tcPr>
          <w:p w14:paraId="38C08C67"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314</w:t>
            </w:r>
          </w:p>
        </w:tc>
        <w:tc>
          <w:tcPr>
            <w:tcW w:w="1720" w:type="dxa"/>
            <w:tcBorders>
              <w:top w:val="nil"/>
              <w:left w:val="nil"/>
              <w:bottom w:val="single" w:sz="4" w:space="0" w:color="auto"/>
              <w:right w:val="single" w:sz="4" w:space="0" w:color="auto"/>
            </w:tcBorders>
            <w:shd w:val="clear" w:color="auto" w:fill="auto"/>
            <w:hideMark/>
          </w:tcPr>
          <w:p w14:paraId="4DD7185E"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2.19</w:t>
            </w:r>
          </w:p>
        </w:tc>
        <w:tc>
          <w:tcPr>
            <w:tcW w:w="1180" w:type="dxa"/>
            <w:tcBorders>
              <w:top w:val="nil"/>
              <w:left w:val="nil"/>
              <w:bottom w:val="single" w:sz="4" w:space="0" w:color="auto"/>
              <w:right w:val="single" w:sz="4" w:space="0" w:color="auto"/>
            </w:tcBorders>
            <w:shd w:val="clear" w:color="auto" w:fill="auto"/>
            <w:hideMark/>
          </w:tcPr>
          <w:p w14:paraId="4FCEBCE4"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 xml:space="preserve">$109.70 </w:t>
            </w:r>
          </w:p>
        </w:tc>
        <w:tc>
          <w:tcPr>
            <w:tcW w:w="1360" w:type="dxa"/>
            <w:tcBorders>
              <w:top w:val="nil"/>
              <w:left w:val="nil"/>
              <w:bottom w:val="single" w:sz="4" w:space="0" w:color="auto"/>
              <w:right w:val="single" w:sz="8" w:space="0" w:color="auto"/>
            </w:tcBorders>
            <w:shd w:val="clear" w:color="auto" w:fill="auto"/>
            <w:hideMark/>
          </w:tcPr>
          <w:p w14:paraId="49316280"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 xml:space="preserve">$75,350 </w:t>
            </w:r>
          </w:p>
        </w:tc>
      </w:tr>
      <w:tr w:rsidR="00C601DF" w:rsidRPr="000E180E" w14:paraId="13F35423" w14:textId="77777777" w:rsidTr="00996883">
        <w:trPr>
          <w:trHeight w:val="270"/>
        </w:trPr>
        <w:tc>
          <w:tcPr>
            <w:tcW w:w="3680" w:type="dxa"/>
            <w:tcBorders>
              <w:top w:val="nil"/>
              <w:left w:val="single" w:sz="8" w:space="0" w:color="auto"/>
              <w:bottom w:val="single" w:sz="4" w:space="0" w:color="auto"/>
              <w:right w:val="single" w:sz="4" w:space="0" w:color="auto"/>
            </w:tcBorders>
            <w:shd w:val="clear" w:color="auto" w:fill="auto"/>
            <w:hideMark/>
          </w:tcPr>
          <w:p w14:paraId="4226941D" w14:textId="77777777" w:rsidR="00C601DF" w:rsidRPr="000E180E" w:rsidRDefault="00C601DF" w:rsidP="00996883">
            <w:pPr>
              <w:widowControl/>
              <w:autoSpaceDE/>
              <w:autoSpaceDN/>
              <w:adjustRightInd/>
              <w:rPr>
                <w:rFonts w:ascii="Times New Roman" w:hAnsi="Times New Roman"/>
                <w:sz w:val="20"/>
                <w:szCs w:val="20"/>
              </w:rPr>
            </w:pPr>
            <w:r w:rsidRPr="000E180E">
              <w:rPr>
                <w:rFonts w:ascii="Times New Roman" w:hAnsi="Times New Roman"/>
                <w:sz w:val="20"/>
                <w:szCs w:val="20"/>
              </w:rPr>
              <w:t>End-users (self-certification)</w:t>
            </w:r>
          </w:p>
        </w:tc>
        <w:tc>
          <w:tcPr>
            <w:tcW w:w="1480" w:type="dxa"/>
            <w:tcBorders>
              <w:top w:val="nil"/>
              <w:left w:val="nil"/>
              <w:bottom w:val="single" w:sz="4" w:space="0" w:color="auto"/>
              <w:right w:val="single" w:sz="4" w:space="0" w:color="auto"/>
            </w:tcBorders>
            <w:shd w:val="clear" w:color="auto" w:fill="auto"/>
            <w:hideMark/>
          </w:tcPr>
          <w:p w14:paraId="5D0CF732"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1,300</w:t>
            </w:r>
          </w:p>
        </w:tc>
        <w:tc>
          <w:tcPr>
            <w:tcW w:w="1720" w:type="dxa"/>
            <w:tcBorders>
              <w:top w:val="nil"/>
              <w:left w:val="nil"/>
              <w:bottom w:val="single" w:sz="4" w:space="0" w:color="auto"/>
              <w:right w:val="single" w:sz="4" w:space="0" w:color="auto"/>
            </w:tcBorders>
            <w:shd w:val="clear" w:color="auto" w:fill="auto"/>
            <w:hideMark/>
          </w:tcPr>
          <w:p w14:paraId="55743120"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0.25</w:t>
            </w:r>
          </w:p>
        </w:tc>
        <w:tc>
          <w:tcPr>
            <w:tcW w:w="1180" w:type="dxa"/>
            <w:tcBorders>
              <w:top w:val="nil"/>
              <w:left w:val="nil"/>
              <w:bottom w:val="single" w:sz="4" w:space="0" w:color="auto"/>
              <w:right w:val="single" w:sz="4" w:space="0" w:color="auto"/>
            </w:tcBorders>
            <w:shd w:val="clear" w:color="auto" w:fill="auto"/>
            <w:hideMark/>
          </w:tcPr>
          <w:p w14:paraId="658D6B0B"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 xml:space="preserve">$109.70 </w:t>
            </w:r>
          </w:p>
        </w:tc>
        <w:tc>
          <w:tcPr>
            <w:tcW w:w="1360" w:type="dxa"/>
            <w:tcBorders>
              <w:top w:val="nil"/>
              <w:left w:val="nil"/>
              <w:bottom w:val="single" w:sz="4" w:space="0" w:color="auto"/>
              <w:right w:val="single" w:sz="8" w:space="0" w:color="auto"/>
            </w:tcBorders>
            <w:shd w:val="clear" w:color="auto" w:fill="auto"/>
            <w:hideMark/>
          </w:tcPr>
          <w:p w14:paraId="7D507DB4" w14:textId="77777777" w:rsidR="00C601DF" w:rsidRPr="000E180E" w:rsidRDefault="00C601DF" w:rsidP="00996883">
            <w:pPr>
              <w:widowControl/>
              <w:autoSpaceDE/>
              <w:autoSpaceDN/>
              <w:adjustRightInd/>
              <w:jc w:val="right"/>
              <w:rPr>
                <w:rFonts w:ascii="Times New Roman" w:hAnsi="Times New Roman"/>
                <w:sz w:val="20"/>
                <w:szCs w:val="20"/>
              </w:rPr>
            </w:pPr>
            <w:r w:rsidRPr="000E180E">
              <w:rPr>
                <w:rFonts w:ascii="Times New Roman" w:hAnsi="Times New Roman"/>
                <w:sz w:val="20"/>
                <w:szCs w:val="20"/>
              </w:rPr>
              <w:t xml:space="preserve">$35,653 </w:t>
            </w:r>
          </w:p>
        </w:tc>
      </w:tr>
      <w:tr w:rsidR="00C601DF" w:rsidRPr="000E180E" w14:paraId="046B7180" w14:textId="77777777" w:rsidTr="00996883">
        <w:trPr>
          <w:trHeight w:val="270"/>
        </w:trPr>
        <w:tc>
          <w:tcPr>
            <w:tcW w:w="3680" w:type="dxa"/>
            <w:tcBorders>
              <w:top w:val="single" w:sz="8" w:space="0" w:color="auto"/>
              <w:left w:val="single" w:sz="8" w:space="0" w:color="auto"/>
              <w:bottom w:val="single" w:sz="8" w:space="0" w:color="auto"/>
              <w:right w:val="single" w:sz="4" w:space="0" w:color="auto"/>
            </w:tcBorders>
            <w:shd w:val="clear" w:color="auto" w:fill="auto"/>
            <w:hideMark/>
          </w:tcPr>
          <w:p w14:paraId="78EF6BFF" w14:textId="77777777" w:rsidR="00C601DF" w:rsidRPr="000E180E" w:rsidRDefault="00C601DF" w:rsidP="00996883">
            <w:pPr>
              <w:widowControl/>
              <w:autoSpaceDE/>
              <w:autoSpaceDN/>
              <w:adjustRightInd/>
              <w:rPr>
                <w:rFonts w:ascii="Times New Roman" w:hAnsi="Times New Roman"/>
                <w:b/>
                <w:bCs/>
                <w:sz w:val="20"/>
                <w:szCs w:val="20"/>
              </w:rPr>
            </w:pPr>
            <w:r w:rsidRPr="000E180E">
              <w:rPr>
                <w:rFonts w:ascii="Times New Roman" w:hAnsi="Times New Roman"/>
                <w:b/>
                <w:bCs/>
                <w:sz w:val="20"/>
                <w:szCs w:val="20"/>
              </w:rPr>
              <w:t>Total</w:t>
            </w:r>
          </w:p>
        </w:tc>
        <w:tc>
          <w:tcPr>
            <w:tcW w:w="1480" w:type="dxa"/>
            <w:tcBorders>
              <w:top w:val="single" w:sz="8" w:space="0" w:color="auto"/>
              <w:left w:val="nil"/>
              <w:bottom w:val="single" w:sz="8" w:space="0" w:color="auto"/>
              <w:right w:val="single" w:sz="4" w:space="0" w:color="auto"/>
            </w:tcBorders>
            <w:shd w:val="clear" w:color="auto" w:fill="auto"/>
            <w:hideMark/>
          </w:tcPr>
          <w:p w14:paraId="140F1910" w14:textId="77777777" w:rsidR="00C601DF" w:rsidRPr="000E180E" w:rsidRDefault="00C601DF" w:rsidP="00996883">
            <w:pPr>
              <w:widowControl/>
              <w:autoSpaceDE/>
              <w:autoSpaceDN/>
              <w:adjustRightInd/>
              <w:rPr>
                <w:rFonts w:ascii="Times New Roman" w:hAnsi="Times New Roman"/>
                <w:sz w:val="20"/>
                <w:szCs w:val="20"/>
              </w:rPr>
            </w:pPr>
            <w:r w:rsidRPr="000E180E">
              <w:rPr>
                <w:rFonts w:ascii="Times New Roman" w:hAnsi="Times New Roman"/>
                <w:sz w:val="20"/>
                <w:szCs w:val="20"/>
              </w:rPr>
              <w:t> </w:t>
            </w:r>
          </w:p>
        </w:tc>
        <w:tc>
          <w:tcPr>
            <w:tcW w:w="1720" w:type="dxa"/>
            <w:tcBorders>
              <w:top w:val="single" w:sz="8" w:space="0" w:color="auto"/>
              <w:left w:val="nil"/>
              <w:bottom w:val="single" w:sz="8" w:space="0" w:color="auto"/>
              <w:right w:val="single" w:sz="4" w:space="0" w:color="auto"/>
            </w:tcBorders>
            <w:shd w:val="clear" w:color="auto" w:fill="auto"/>
            <w:hideMark/>
          </w:tcPr>
          <w:p w14:paraId="2241455E" w14:textId="77777777" w:rsidR="00C601DF" w:rsidRPr="000E180E" w:rsidRDefault="00C601DF" w:rsidP="00996883">
            <w:pPr>
              <w:widowControl/>
              <w:autoSpaceDE/>
              <w:autoSpaceDN/>
              <w:adjustRightInd/>
              <w:rPr>
                <w:rFonts w:ascii="Times New Roman" w:hAnsi="Times New Roman"/>
                <w:sz w:val="20"/>
                <w:szCs w:val="20"/>
              </w:rPr>
            </w:pPr>
            <w:r w:rsidRPr="000E180E">
              <w:rPr>
                <w:rFonts w:ascii="Times New Roman" w:hAnsi="Times New Roman"/>
                <w:sz w:val="20"/>
                <w:szCs w:val="20"/>
              </w:rPr>
              <w:t> </w:t>
            </w:r>
          </w:p>
        </w:tc>
        <w:tc>
          <w:tcPr>
            <w:tcW w:w="1180" w:type="dxa"/>
            <w:tcBorders>
              <w:top w:val="single" w:sz="8" w:space="0" w:color="auto"/>
              <w:left w:val="nil"/>
              <w:bottom w:val="single" w:sz="8" w:space="0" w:color="auto"/>
              <w:right w:val="single" w:sz="4" w:space="0" w:color="auto"/>
            </w:tcBorders>
            <w:shd w:val="clear" w:color="auto" w:fill="auto"/>
            <w:hideMark/>
          </w:tcPr>
          <w:p w14:paraId="3D0EF6B9" w14:textId="77777777" w:rsidR="00C601DF" w:rsidRPr="000E180E" w:rsidRDefault="00C601DF" w:rsidP="00996883">
            <w:pPr>
              <w:widowControl/>
              <w:autoSpaceDE/>
              <w:autoSpaceDN/>
              <w:adjustRightInd/>
              <w:rPr>
                <w:rFonts w:ascii="Times New Roman" w:hAnsi="Times New Roman"/>
                <w:sz w:val="20"/>
                <w:szCs w:val="20"/>
              </w:rPr>
            </w:pPr>
            <w:r w:rsidRPr="000E180E">
              <w:rPr>
                <w:rFonts w:ascii="Times New Roman" w:hAnsi="Times New Roman"/>
                <w:sz w:val="20"/>
                <w:szCs w:val="20"/>
              </w:rPr>
              <w:t> </w:t>
            </w:r>
          </w:p>
        </w:tc>
        <w:tc>
          <w:tcPr>
            <w:tcW w:w="1360" w:type="dxa"/>
            <w:tcBorders>
              <w:top w:val="single" w:sz="8" w:space="0" w:color="auto"/>
              <w:left w:val="nil"/>
              <w:bottom w:val="single" w:sz="8" w:space="0" w:color="auto"/>
              <w:right w:val="single" w:sz="8" w:space="0" w:color="auto"/>
            </w:tcBorders>
            <w:shd w:val="clear" w:color="auto" w:fill="auto"/>
            <w:hideMark/>
          </w:tcPr>
          <w:p w14:paraId="021BED4E" w14:textId="77777777" w:rsidR="00C601DF" w:rsidRPr="000E180E" w:rsidRDefault="00C601DF" w:rsidP="00996883">
            <w:pPr>
              <w:widowControl/>
              <w:autoSpaceDE/>
              <w:autoSpaceDN/>
              <w:adjustRightInd/>
              <w:jc w:val="right"/>
              <w:rPr>
                <w:rFonts w:ascii="Times New Roman" w:hAnsi="Times New Roman"/>
                <w:b/>
                <w:bCs/>
                <w:sz w:val="20"/>
                <w:szCs w:val="20"/>
              </w:rPr>
            </w:pPr>
            <w:r w:rsidRPr="000E180E">
              <w:rPr>
                <w:rFonts w:ascii="Times New Roman" w:hAnsi="Times New Roman"/>
                <w:b/>
                <w:bCs/>
                <w:sz w:val="20"/>
                <w:szCs w:val="20"/>
              </w:rPr>
              <w:t xml:space="preserve">$191,886 </w:t>
            </w:r>
          </w:p>
        </w:tc>
      </w:tr>
    </w:tbl>
    <w:p w14:paraId="7CF61263" w14:textId="77777777" w:rsidR="00A002BF" w:rsidRDefault="00A002BF">
      <w:pPr>
        <w:rPr>
          <w:rFonts w:ascii="Times New Roman" w:hAnsi="Times New Roman" w:cs="Courier"/>
        </w:rPr>
      </w:pPr>
    </w:p>
    <w:p w14:paraId="072C5109" w14:textId="026AB33B" w:rsidR="00106A16" w:rsidRPr="002B668C" w:rsidRDefault="00F850C7">
      <w:pPr>
        <w:rPr>
          <w:rFonts w:ascii="Times New Roman" w:hAnsi="Times New Roman" w:cs="Courier"/>
        </w:rPr>
      </w:pPr>
      <w:r w:rsidRPr="00877602">
        <w:rPr>
          <w:rFonts w:ascii="Times New Roman" w:hAnsi="Times New Roman" w:cs="Courier"/>
        </w:rPr>
        <w:tab/>
      </w:r>
      <w:r w:rsidR="00610C03" w:rsidRPr="00877602">
        <w:rPr>
          <w:rFonts w:ascii="Times New Roman" w:hAnsi="Times New Roman" w:cs="Courier"/>
        </w:rPr>
        <w:t xml:space="preserve">ii) </w:t>
      </w:r>
      <w:r w:rsidR="00106A16" w:rsidRPr="00106A16">
        <w:rPr>
          <w:rFonts w:ascii="Times New Roman" w:hAnsi="Times New Roman" w:cs="Courier"/>
        </w:rPr>
        <w:t>Agency burden is repo</w:t>
      </w:r>
      <w:r w:rsidR="00106A16">
        <w:rPr>
          <w:rFonts w:ascii="Times New Roman" w:hAnsi="Times New Roman" w:cs="Courier"/>
        </w:rPr>
        <w:t>rted in Table I</w:t>
      </w:r>
      <w:r w:rsidR="00003BE5">
        <w:rPr>
          <w:rFonts w:ascii="Times New Roman" w:hAnsi="Times New Roman" w:cs="Courier"/>
        </w:rPr>
        <w:t>V</w:t>
      </w:r>
      <w:r w:rsidR="00631557">
        <w:rPr>
          <w:rFonts w:ascii="Times New Roman" w:hAnsi="Times New Roman" w:cs="Courier"/>
        </w:rPr>
        <w:t>.</w:t>
      </w:r>
      <w:r w:rsidR="00106A16">
        <w:rPr>
          <w:rFonts w:ascii="Times New Roman" w:hAnsi="Times New Roman" w:cs="Courier"/>
        </w:rPr>
        <w:t xml:space="preserve"> This includes technical review of each application as well as </w:t>
      </w:r>
      <w:r w:rsidR="00106A16" w:rsidRPr="00877602">
        <w:rPr>
          <w:rFonts w:ascii="Times New Roman" w:hAnsi="Times New Roman" w:cs="Courier"/>
        </w:rPr>
        <w:t xml:space="preserve">distributing critical use allowances, reviewing reporting data, submitting data to the Ozone Secretariat on U.S. compliance, </w:t>
      </w:r>
      <w:r w:rsidR="00106A16">
        <w:rPr>
          <w:rFonts w:ascii="Times New Roman" w:hAnsi="Times New Roman" w:cs="Courier"/>
        </w:rPr>
        <w:t>preparing nominations</w:t>
      </w:r>
      <w:r w:rsidR="00106A16" w:rsidRPr="00631557">
        <w:rPr>
          <w:rFonts w:ascii="Times New Roman" w:hAnsi="Times New Roman" w:cs="Courier"/>
        </w:rPr>
        <w:t>, and developing guidance for regulated entities. The total annual labor cost burden</w:t>
      </w:r>
      <w:r w:rsidR="006F65DF" w:rsidRPr="00631557">
        <w:rPr>
          <w:rFonts w:ascii="Times New Roman" w:hAnsi="Times New Roman" w:cs="Courier"/>
        </w:rPr>
        <w:t xml:space="preserve"> below in Table VI</w:t>
      </w:r>
      <w:r w:rsidR="00106A16" w:rsidRPr="00631557">
        <w:rPr>
          <w:rFonts w:ascii="Times New Roman" w:hAnsi="Times New Roman" w:cs="Courier"/>
        </w:rPr>
        <w:t xml:space="preserve"> is $</w:t>
      </w:r>
      <w:r w:rsidR="000F041F" w:rsidRPr="00631557">
        <w:rPr>
          <w:rFonts w:ascii="Times New Roman" w:hAnsi="Times New Roman" w:cs="Courier"/>
        </w:rPr>
        <w:t>8,474</w:t>
      </w:r>
      <w:r w:rsidR="00945E96" w:rsidRPr="00631557">
        <w:rPr>
          <w:rFonts w:ascii="Times New Roman" w:hAnsi="Times New Roman" w:cs="Courier"/>
        </w:rPr>
        <w:t xml:space="preserve"> per application and $</w:t>
      </w:r>
      <w:r w:rsidR="002B668C" w:rsidRPr="00631557">
        <w:rPr>
          <w:rFonts w:ascii="Times New Roman" w:hAnsi="Times New Roman" w:cs="Courier"/>
        </w:rPr>
        <w:t>1,</w:t>
      </w:r>
      <w:r w:rsidR="000F041F" w:rsidRPr="00631557">
        <w:rPr>
          <w:rFonts w:ascii="Times New Roman" w:hAnsi="Times New Roman" w:cs="Courier"/>
        </w:rPr>
        <w:t>231</w:t>
      </w:r>
      <w:r w:rsidR="00A53112" w:rsidRPr="00631557">
        <w:rPr>
          <w:rFonts w:ascii="Times New Roman" w:hAnsi="Times New Roman" w:cs="Courier"/>
        </w:rPr>
        <w:t xml:space="preserve"> per recordkeeping and reporting response.</w:t>
      </w:r>
      <w:r w:rsidR="00631557" w:rsidRPr="00631557">
        <w:rPr>
          <w:rFonts w:ascii="Times New Roman" w:hAnsi="Times New Roman" w:cs="Courier"/>
        </w:rPr>
        <w:t xml:space="preserve"> </w:t>
      </w:r>
      <w:r w:rsidR="00497B34" w:rsidRPr="00631557">
        <w:rPr>
          <w:rFonts w:ascii="Times New Roman" w:hAnsi="Times New Roman" w:cs="Courier"/>
        </w:rPr>
        <w:t xml:space="preserve">Total </w:t>
      </w:r>
      <w:r w:rsidR="004E44B9" w:rsidRPr="00631557">
        <w:rPr>
          <w:rFonts w:ascii="Times New Roman" w:hAnsi="Times New Roman" w:cs="Courier"/>
        </w:rPr>
        <w:t xml:space="preserve">annual </w:t>
      </w:r>
      <w:r w:rsidR="00497B34" w:rsidRPr="00631557">
        <w:rPr>
          <w:rFonts w:ascii="Times New Roman" w:hAnsi="Times New Roman" w:cs="Courier"/>
        </w:rPr>
        <w:t xml:space="preserve">cost to the Agency is </w:t>
      </w:r>
      <w:r w:rsidR="00C601DF" w:rsidRPr="00631557">
        <w:rPr>
          <w:rFonts w:ascii="Times New Roman" w:hAnsi="Times New Roman" w:cs="Courier"/>
        </w:rPr>
        <w:t>$</w:t>
      </w:r>
      <w:r w:rsidR="00C601DF">
        <w:rPr>
          <w:rFonts w:ascii="Times New Roman" w:hAnsi="Times New Roman" w:cs="Courier"/>
        </w:rPr>
        <w:t>136,160</w:t>
      </w:r>
      <w:r w:rsidR="002B668C" w:rsidRPr="00631557">
        <w:rPr>
          <w:rFonts w:ascii="Times New Roman" w:hAnsi="Times New Roman" w:cs="Courier"/>
        </w:rPr>
        <w:t>.</w:t>
      </w:r>
    </w:p>
    <w:p w14:paraId="4A2D7D7E" w14:textId="77777777" w:rsidR="00610C03" w:rsidRPr="002B668C" w:rsidRDefault="00610C03">
      <w:pPr>
        <w:rPr>
          <w:rFonts w:ascii="Times New Roman" w:hAnsi="Times New Roman" w:cs="Courier"/>
        </w:rPr>
      </w:pPr>
    </w:p>
    <w:p w14:paraId="4E341F97" w14:textId="77777777" w:rsidR="00610C03" w:rsidRDefault="00610C03" w:rsidP="00610C03">
      <w:pPr>
        <w:jc w:val="center"/>
        <w:rPr>
          <w:rFonts w:ascii="Times New Roman" w:hAnsi="Times New Roman" w:cs="Courier"/>
          <w:b/>
        </w:rPr>
      </w:pPr>
      <w:r w:rsidRPr="002B668C">
        <w:rPr>
          <w:rFonts w:ascii="Times New Roman" w:hAnsi="Times New Roman" w:cs="Courier"/>
          <w:b/>
        </w:rPr>
        <w:t xml:space="preserve">TABLE VI- </w:t>
      </w:r>
      <w:r w:rsidR="0080783C" w:rsidRPr="002B668C">
        <w:rPr>
          <w:rFonts w:ascii="Times New Roman" w:hAnsi="Times New Roman" w:cs="Courier"/>
          <w:b/>
        </w:rPr>
        <w:t xml:space="preserve">ANNUAL </w:t>
      </w:r>
      <w:r w:rsidRPr="002B668C">
        <w:rPr>
          <w:rFonts w:ascii="Times New Roman" w:hAnsi="Times New Roman" w:cs="Courier"/>
          <w:b/>
        </w:rPr>
        <w:t>AGENCY BURDEN HOURS AND COSTS</w:t>
      </w:r>
    </w:p>
    <w:tbl>
      <w:tblPr>
        <w:tblW w:w="10297" w:type="dxa"/>
        <w:tblLook w:val="04A0" w:firstRow="1" w:lastRow="0" w:firstColumn="1" w:lastColumn="0" w:noHBand="0" w:noVBand="1"/>
      </w:tblPr>
      <w:tblGrid>
        <w:gridCol w:w="1700"/>
        <w:gridCol w:w="1516"/>
        <w:gridCol w:w="1616"/>
        <w:gridCol w:w="1516"/>
        <w:gridCol w:w="1316"/>
        <w:gridCol w:w="1616"/>
        <w:gridCol w:w="1017"/>
      </w:tblGrid>
      <w:tr w:rsidR="00155C11" w:rsidRPr="00085B0D" w14:paraId="4DF52021" w14:textId="77777777" w:rsidTr="00155C11">
        <w:trPr>
          <w:trHeight w:val="765"/>
        </w:trPr>
        <w:tc>
          <w:tcPr>
            <w:tcW w:w="1700" w:type="dxa"/>
            <w:tcBorders>
              <w:top w:val="single" w:sz="8" w:space="0" w:color="auto"/>
              <w:left w:val="single" w:sz="8" w:space="0" w:color="auto"/>
              <w:bottom w:val="nil"/>
              <w:right w:val="single" w:sz="4" w:space="0" w:color="auto"/>
            </w:tcBorders>
            <w:shd w:val="clear" w:color="auto" w:fill="auto"/>
            <w:hideMark/>
          </w:tcPr>
          <w:p w14:paraId="14FD6DB9"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 </w:t>
            </w:r>
          </w:p>
        </w:tc>
        <w:tc>
          <w:tcPr>
            <w:tcW w:w="1516" w:type="dxa"/>
            <w:tcBorders>
              <w:top w:val="single" w:sz="8" w:space="0" w:color="auto"/>
              <w:left w:val="nil"/>
              <w:bottom w:val="nil"/>
              <w:right w:val="single" w:sz="4" w:space="0" w:color="auto"/>
            </w:tcBorders>
            <w:shd w:val="clear" w:color="auto" w:fill="auto"/>
            <w:hideMark/>
          </w:tcPr>
          <w:p w14:paraId="59671232"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Managerial Hours Annual Total</w:t>
            </w:r>
          </w:p>
        </w:tc>
        <w:tc>
          <w:tcPr>
            <w:tcW w:w="1616" w:type="dxa"/>
            <w:tcBorders>
              <w:top w:val="single" w:sz="8" w:space="0" w:color="auto"/>
              <w:left w:val="nil"/>
              <w:bottom w:val="nil"/>
              <w:right w:val="single" w:sz="4" w:space="0" w:color="auto"/>
            </w:tcBorders>
            <w:shd w:val="clear" w:color="auto" w:fill="auto"/>
            <w:hideMark/>
          </w:tcPr>
          <w:p w14:paraId="6231E6A6"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Technical Hours Annual  Total</w:t>
            </w:r>
          </w:p>
        </w:tc>
        <w:tc>
          <w:tcPr>
            <w:tcW w:w="1516" w:type="dxa"/>
            <w:tcBorders>
              <w:top w:val="single" w:sz="8" w:space="0" w:color="auto"/>
              <w:left w:val="nil"/>
              <w:bottom w:val="nil"/>
              <w:right w:val="single" w:sz="4" w:space="0" w:color="auto"/>
            </w:tcBorders>
            <w:shd w:val="clear" w:color="auto" w:fill="auto"/>
            <w:hideMark/>
          </w:tcPr>
          <w:p w14:paraId="2F6A4A05"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xml:space="preserve">Clerical Hours Annual Total </w:t>
            </w:r>
          </w:p>
        </w:tc>
        <w:tc>
          <w:tcPr>
            <w:tcW w:w="1316" w:type="dxa"/>
            <w:tcBorders>
              <w:top w:val="single" w:sz="8" w:space="0" w:color="auto"/>
              <w:left w:val="nil"/>
              <w:bottom w:val="nil"/>
              <w:right w:val="single" w:sz="4" w:space="0" w:color="auto"/>
            </w:tcBorders>
            <w:shd w:val="clear" w:color="auto" w:fill="auto"/>
            <w:hideMark/>
          </w:tcPr>
          <w:p w14:paraId="1BA661E2"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Extramural Hours Annual Total</w:t>
            </w:r>
          </w:p>
        </w:tc>
        <w:tc>
          <w:tcPr>
            <w:tcW w:w="1616" w:type="dxa"/>
            <w:tcBorders>
              <w:top w:val="single" w:sz="8" w:space="0" w:color="auto"/>
              <w:left w:val="nil"/>
              <w:bottom w:val="nil"/>
              <w:right w:val="single" w:sz="4" w:space="0" w:color="auto"/>
            </w:tcBorders>
            <w:shd w:val="clear" w:color="auto" w:fill="auto"/>
            <w:hideMark/>
          </w:tcPr>
          <w:p w14:paraId="5905DA31" w14:textId="77777777" w:rsidR="00085B0D" w:rsidRPr="00085B0D" w:rsidRDefault="00085B0D" w:rsidP="00155C11">
            <w:pPr>
              <w:widowControl/>
              <w:autoSpaceDE/>
              <w:autoSpaceDN/>
              <w:adjustRightInd/>
              <w:ind w:right="102"/>
              <w:rPr>
                <w:rFonts w:ascii="Times New Roman" w:hAnsi="Times New Roman"/>
                <w:b/>
                <w:bCs/>
                <w:sz w:val="20"/>
                <w:szCs w:val="20"/>
              </w:rPr>
            </w:pPr>
            <w:r w:rsidRPr="00085B0D">
              <w:rPr>
                <w:rFonts w:ascii="Times New Roman" w:hAnsi="Times New Roman"/>
                <w:b/>
                <w:bCs/>
                <w:sz w:val="20"/>
                <w:szCs w:val="20"/>
              </w:rPr>
              <w:t>Total Agency Hours per Response</w:t>
            </w:r>
          </w:p>
        </w:tc>
        <w:tc>
          <w:tcPr>
            <w:tcW w:w="1017" w:type="dxa"/>
            <w:tcBorders>
              <w:top w:val="single" w:sz="8" w:space="0" w:color="auto"/>
              <w:left w:val="nil"/>
              <w:bottom w:val="nil"/>
              <w:right w:val="single" w:sz="8" w:space="0" w:color="auto"/>
            </w:tcBorders>
            <w:shd w:val="clear" w:color="auto" w:fill="auto"/>
            <w:hideMark/>
          </w:tcPr>
          <w:p w14:paraId="50906164"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Agency Costs per Response</w:t>
            </w:r>
          </w:p>
        </w:tc>
      </w:tr>
      <w:tr w:rsidR="00155C11" w:rsidRPr="00085B0D" w14:paraId="1312657F" w14:textId="77777777" w:rsidTr="00155C11">
        <w:trPr>
          <w:trHeight w:val="255"/>
        </w:trPr>
        <w:tc>
          <w:tcPr>
            <w:tcW w:w="1700" w:type="dxa"/>
            <w:tcBorders>
              <w:top w:val="nil"/>
              <w:left w:val="single" w:sz="8" w:space="0" w:color="auto"/>
              <w:bottom w:val="single" w:sz="4" w:space="0" w:color="auto"/>
              <w:right w:val="single" w:sz="4" w:space="0" w:color="auto"/>
            </w:tcBorders>
            <w:shd w:val="clear" w:color="auto" w:fill="auto"/>
            <w:hideMark/>
          </w:tcPr>
          <w:p w14:paraId="4FDE73EB"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c>
          <w:tcPr>
            <w:tcW w:w="1516" w:type="dxa"/>
            <w:tcBorders>
              <w:top w:val="nil"/>
              <w:left w:val="nil"/>
              <w:bottom w:val="single" w:sz="4" w:space="0" w:color="auto"/>
              <w:right w:val="single" w:sz="4" w:space="0" w:color="auto"/>
            </w:tcBorders>
            <w:shd w:val="clear" w:color="auto" w:fill="auto"/>
            <w:hideMark/>
          </w:tcPr>
          <w:p w14:paraId="2411E7B9"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$95.82</w:t>
            </w:r>
          </w:p>
        </w:tc>
        <w:tc>
          <w:tcPr>
            <w:tcW w:w="1616" w:type="dxa"/>
            <w:tcBorders>
              <w:top w:val="nil"/>
              <w:left w:val="nil"/>
              <w:bottom w:val="single" w:sz="4" w:space="0" w:color="auto"/>
              <w:right w:val="single" w:sz="4" w:space="0" w:color="auto"/>
            </w:tcBorders>
            <w:shd w:val="clear" w:color="auto" w:fill="auto"/>
            <w:hideMark/>
          </w:tcPr>
          <w:p w14:paraId="5DF36684"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$68.94</w:t>
            </w:r>
          </w:p>
        </w:tc>
        <w:tc>
          <w:tcPr>
            <w:tcW w:w="1516" w:type="dxa"/>
            <w:tcBorders>
              <w:top w:val="nil"/>
              <w:left w:val="nil"/>
              <w:bottom w:val="single" w:sz="4" w:space="0" w:color="auto"/>
              <w:right w:val="single" w:sz="4" w:space="0" w:color="auto"/>
            </w:tcBorders>
            <w:shd w:val="clear" w:color="auto" w:fill="auto"/>
            <w:hideMark/>
          </w:tcPr>
          <w:p w14:paraId="5DB0CCA3"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$32.69</w:t>
            </w:r>
          </w:p>
        </w:tc>
        <w:tc>
          <w:tcPr>
            <w:tcW w:w="1316" w:type="dxa"/>
            <w:tcBorders>
              <w:top w:val="nil"/>
              <w:left w:val="nil"/>
              <w:bottom w:val="single" w:sz="4" w:space="0" w:color="auto"/>
              <w:right w:val="single" w:sz="4" w:space="0" w:color="auto"/>
            </w:tcBorders>
            <w:shd w:val="clear" w:color="auto" w:fill="auto"/>
            <w:hideMark/>
          </w:tcPr>
          <w:p w14:paraId="62A77EA0"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$132.00</w:t>
            </w:r>
          </w:p>
        </w:tc>
        <w:tc>
          <w:tcPr>
            <w:tcW w:w="1616" w:type="dxa"/>
            <w:tcBorders>
              <w:top w:val="nil"/>
              <w:left w:val="nil"/>
              <w:bottom w:val="single" w:sz="4" w:space="0" w:color="auto"/>
              <w:right w:val="single" w:sz="4" w:space="0" w:color="auto"/>
            </w:tcBorders>
            <w:shd w:val="clear" w:color="auto" w:fill="auto"/>
            <w:hideMark/>
          </w:tcPr>
          <w:p w14:paraId="4EB1B22A"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c>
          <w:tcPr>
            <w:tcW w:w="1017" w:type="dxa"/>
            <w:tcBorders>
              <w:top w:val="nil"/>
              <w:left w:val="nil"/>
              <w:bottom w:val="single" w:sz="4" w:space="0" w:color="auto"/>
              <w:right w:val="single" w:sz="8" w:space="0" w:color="auto"/>
            </w:tcBorders>
            <w:shd w:val="clear" w:color="auto" w:fill="auto"/>
            <w:hideMark/>
          </w:tcPr>
          <w:p w14:paraId="120CE0A2"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r>
      <w:tr w:rsidR="00085B0D" w:rsidRPr="00085B0D" w14:paraId="13951E8A" w14:textId="77777777" w:rsidTr="00155C11">
        <w:trPr>
          <w:trHeight w:val="270"/>
        </w:trPr>
        <w:tc>
          <w:tcPr>
            <w:tcW w:w="10297" w:type="dxa"/>
            <w:gridSpan w:val="7"/>
            <w:tcBorders>
              <w:top w:val="single" w:sz="4" w:space="0" w:color="auto"/>
              <w:left w:val="single" w:sz="8" w:space="0" w:color="auto"/>
              <w:bottom w:val="double" w:sz="6" w:space="0" w:color="auto"/>
              <w:right w:val="single" w:sz="8" w:space="0" w:color="000000"/>
            </w:tcBorders>
            <w:shd w:val="clear" w:color="000000" w:fill="C0C0C0"/>
            <w:hideMark/>
          </w:tcPr>
          <w:p w14:paraId="43CC66EB"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Part I.  Hours per response</w:t>
            </w:r>
          </w:p>
        </w:tc>
      </w:tr>
      <w:tr w:rsidR="00155C11" w:rsidRPr="00085B0D" w14:paraId="07F14B19" w14:textId="77777777" w:rsidTr="00155C11">
        <w:trPr>
          <w:trHeight w:val="270"/>
        </w:trPr>
        <w:tc>
          <w:tcPr>
            <w:tcW w:w="1700" w:type="dxa"/>
            <w:tcBorders>
              <w:top w:val="nil"/>
              <w:left w:val="single" w:sz="8" w:space="0" w:color="auto"/>
              <w:bottom w:val="single" w:sz="4" w:space="0" w:color="auto"/>
              <w:right w:val="single" w:sz="4" w:space="0" w:color="auto"/>
            </w:tcBorders>
            <w:shd w:val="clear" w:color="auto" w:fill="auto"/>
            <w:hideMark/>
          </w:tcPr>
          <w:p w14:paraId="5AC14D74"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 xml:space="preserve">     -Application</w:t>
            </w:r>
          </w:p>
        </w:tc>
        <w:tc>
          <w:tcPr>
            <w:tcW w:w="1516" w:type="dxa"/>
            <w:tcBorders>
              <w:top w:val="nil"/>
              <w:left w:val="nil"/>
              <w:bottom w:val="single" w:sz="4" w:space="0" w:color="auto"/>
              <w:right w:val="single" w:sz="4" w:space="0" w:color="auto"/>
            </w:tcBorders>
            <w:shd w:val="clear" w:color="auto" w:fill="auto"/>
            <w:hideMark/>
          </w:tcPr>
          <w:p w14:paraId="44C53342"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17</w:t>
            </w:r>
          </w:p>
        </w:tc>
        <w:tc>
          <w:tcPr>
            <w:tcW w:w="1616" w:type="dxa"/>
            <w:tcBorders>
              <w:top w:val="nil"/>
              <w:left w:val="nil"/>
              <w:bottom w:val="single" w:sz="4" w:space="0" w:color="auto"/>
              <w:right w:val="single" w:sz="4" w:space="0" w:color="auto"/>
            </w:tcBorders>
            <w:shd w:val="clear" w:color="auto" w:fill="auto"/>
            <w:hideMark/>
          </w:tcPr>
          <w:p w14:paraId="5C4C35D4"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77</w:t>
            </w:r>
          </w:p>
        </w:tc>
        <w:tc>
          <w:tcPr>
            <w:tcW w:w="1516" w:type="dxa"/>
            <w:tcBorders>
              <w:top w:val="nil"/>
              <w:left w:val="nil"/>
              <w:bottom w:val="single" w:sz="4" w:space="0" w:color="auto"/>
              <w:right w:val="single" w:sz="4" w:space="0" w:color="auto"/>
            </w:tcBorders>
            <w:shd w:val="clear" w:color="auto" w:fill="auto"/>
            <w:hideMark/>
          </w:tcPr>
          <w:p w14:paraId="72B9F17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47</w:t>
            </w:r>
          </w:p>
        </w:tc>
        <w:tc>
          <w:tcPr>
            <w:tcW w:w="1316" w:type="dxa"/>
            <w:tcBorders>
              <w:top w:val="nil"/>
              <w:left w:val="nil"/>
              <w:bottom w:val="single" w:sz="4" w:space="0" w:color="auto"/>
              <w:right w:val="single" w:sz="4" w:space="0" w:color="auto"/>
            </w:tcBorders>
            <w:shd w:val="clear" w:color="auto" w:fill="auto"/>
            <w:hideMark/>
          </w:tcPr>
          <w:p w14:paraId="627127D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616" w:type="dxa"/>
            <w:tcBorders>
              <w:top w:val="nil"/>
              <w:left w:val="nil"/>
              <w:bottom w:val="single" w:sz="4" w:space="0" w:color="auto"/>
              <w:right w:val="single" w:sz="4" w:space="0" w:color="auto"/>
            </w:tcBorders>
            <w:shd w:val="clear" w:color="auto" w:fill="auto"/>
            <w:hideMark/>
          </w:tcPr>
          <w:p w14:paraId="2A123335"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141</w:t>
            </w:r>
          </w:p>
        </w:tc>
        <w:tc>
          <w:tcPr>
            <w:tcW w:w="1017" w:type="dxa"/>
            <w:tcBorders>
              <w:top w:val="nil"/>
              <w:left w:val="nil"/>
              <w:bottom w:val="single" w:sz="4" w:space="0" w:color="auto"/>
              <w:right w:val="single" w:sz="8" w:space="0" w:color="auto"/>
            </w:tcBorders>
            <w:shd w:val="clear" w:color="auto" w:fill="auto"/>
            <w:hideMark/>
          </w:tcPr>
          <w:p w14:paraId="17433267"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$8,474</w:t>
            </w:r>
          </w:p>
        </w:tc>
      </w:tr>
      <w:tr w:rsidR="00155C11" w:rsidRPr="00085B0D" w14:paraId="3394CD4C" w14:textId="77777777" w:rsidTr="00155C11">
        <w:trPr>
          <w:trHeight w:val="525"/>
        </w:trPr>
        <w:tc>
          <w:tcPr>
            <w:tcW w:w="1700" w:type="dxa"/>
            <w:tcBorders>
              <w:top w:val="nil"/>
              <w:left w:val="single" w:sz="8" w:space="0" w:color="auto"/>
              <w:bottom w:val="nil"/>
              <w:right w:val="single" w:sz="4" w:space="0" w:color="auto"/>
            </w:tcBorders>
            <w:shd w:val="clear" w:color="auto" w:fill="auto"/>
            <w:hideMark/>
          </w:tcPr>
          <w:p w14:paraId="4EDAC1F7"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 xml:space="preserve">     -Recordkeeping and reporting</w:t>
            </w:r>
          </w:p>
        </w:tc>
        <w:tc>
          <w:tcPr>
            <w:tcW w:w="1516" w:type="dxa"/>
            <w:tcBorders>
              <w:top w:val="nil"/>
              <w:left w:val="nil"/>
              <w:bottom w:val="nil"/>
              <w:right w:val="single" w:sz="4" w:space="0" w:color="auto"/>
            </w:tcBorders>
            <w:shd w:val="clear" w:color="auto" w:fill="auto"/>
            <w:noWrap/>
            <w:vAlign w:val="bottom"/>
            <w:hideMark/>
          </w:tcPr>
          <w:p w14:paraId="3950104D"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1.25</w:t>
            </w:r>
          </w:p>
        </w:tc>
        <w:tc>
          <w:tcPr>
            <w:tcW w:w="1616" w:type="dxa"/>
            <w:tcBorders>
              <w:top w:val="nil"/>
              <w:left w:val="nil"/>
              <w:bottom w:val="nil"/>
              <w:right w:val="single" w:sz="4" w:space="0" w:color="auto"/>
            </w:tcBorders>
            <w:shd w:val="clear" w:color="auto" w:fill="auto"/>
            <w:noWrap/>
            <w:vAlign w:val="bottom"/>
            <w:hideMark/>
          </w:tcPr>
          <w:p w14:paraId="4F8E1F35"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13.25</w:t>
            </w:r>
          </w:p>
        </w:tc>
        <w:tc>
          <w:tcPr>
            <w:tcW w:w="1516" w:type="dxa"/>
            <w:tcBorders>
              <w:top w:val="nil"/>
              <w:left w:val="nil"/>
              <w:bottom w:val="nil"/>
              <w:right w:val="single" w:sz="4" w:space="0" w:color="auto"/>
            </w:tcBorders>
            <w:shd w:val="clear" w:color="auto" w:fill="auto"/>
            <w:noWrap/>
            <w:vAlign w:val="bottom"/>
            <w:hideMark/>
          </w:tcPr>
          <w:p w14:paraId="1A5007CD"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316" w:type="dxa"/>
            <w:tcBorders>
              <w:top w:val="nil"/>
              <w:left w:val="nil"/>
              <w:bottom w:val="nil"/>
              <w:right w:val="single" w:sz="4" w:space="0" w:color="auto"/>
            </w:tcBorders>
            <w:shd w:val="clear" w:color="auto" w:fill="auto"/>
            <w:noWrap/>
            <w:vAlign w:val="bottom"/>
            <w:hideMark/>
          </w:tcPr>
          <w:p w14:paraId="0B480B42"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1.5</w:t>
            </w:r>
          </w:p>
        </w:tc>
        <w:tc>
          <w:tcPr>
            <w:tcW w:w="1616" w:type="dxa"/>
            <w:tcBorders>
              <w:top w:val="nil"/>
              <w:left w:val="nil"/>
              <w:bottom w:val="nil"/>
              <w:right w:val="single" w:sz="4" w:space="0" w:color="auto"/>
            </w:tcBorders>
            <w:shd w:val="clear" w:color="auto" w:fill="auto"/>
            <w:noWrap/>
            <w:vAlign w:val="bottom"/>
            <w:hideMark/>
          </w:tcPr>
          <w:p w14:paraId="65E496E6"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16</w:t>
            </w:r>
          </w:p>
        </w:tc>
        <w:tc>
          <w:tcPr>
            <w:tcW w:w="1017" w:type="dxa"/>
            <w:tcBorders>
              <w:top w:val="nil"/>
              <w:left w:val="nil"/>
              <w:bottom w:val="nil"/>
              <w:right w:val="single" w:sz="8" w:space="0" w:color="auto"/>
            </w:tcBorders>
            <w:shd w:val="clear" w:color="auto" w:fill="auto"/>
            <w:vAlign w:val="bottom"/>
            <w:hideMark/>
          </w:tcPr>
          <w:p w14:paraId="0D7DF10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$1,231</w:t>
            </w:r>
          </w:p>
        </w:tc>
      </w:tr>
      <w:tr w:rsidR="00085B0D" w:rsidRPr="00085B0D" w14:paraId="58C0DB9D" w14:textId="77777777" w:rsidTr="00155C11">
        <w:trPr>
          <w:trHeight w:val="270"/>
        </w:trPr>
        <w:tc>
          <w:tcPr>
            <w:tcW w:w="10297" w:type="dxa"/>
            <w:gridSpan w:val="7"/>
            <w:tcBorders>
              <w:top w:val="single" w:sz="8" w:space="0" w:color="auto"/>
              <w:left w:val="single" w:sz="8" w:space="0" w:color="auto"/>
              <w:bottom w:val="double" w:sz="6" w:space="0" w:color="auto"/>
              <w:right w:val="single" w:sz="8" w:space="0" w:color="000000"/>
            </w:tcBorders>
            <w:shd w:val="clear" w:color="000000" w:fill="C0C0C0"/>
            <w:hideMark/>
          </w:tcPr>
          <w:p w14:paraId="6E94AD14" w14:textId="77777777" w:rsidR="00085B0D" w:rsidRPr="00085B0D" w:rsidRDefault="00085B0D" w:rsidP="00085B0D">
            <w:pPr>
              <w:widowControl/>
              <w:autoSpaceDE/>
              <w:autoSpaceDN/>
              <w:adjustRightInd/>
              <w:rPr>
                <w:rFonts w:ascii="Times New Roman" w:hAnsi="Times New Roman"/>
                <w:b/>
                <w:bCs/>
                <w:sz w:val="20"/>
                <w:szCs w:val="20"/>
              </w:rPr>
            </w:pPr>
            <w:r w:rsidRPr="00085B0D">
              <w:rPr>
                <w:rFonts w:ascii="Times New Roman" w:hAnsi="Times New Roman"/>
                <w:b/>
                <w:bCs/>
                <w:sz w:val="20"/>
                <w:szCs w:val="20"/>
              </w:rPr>
              <w:t>Part II. Hours per year</w:t>
            </w:r>
          </w:p>
        </w:tc>
      </w:tr>
      <w:tr w:rsidR="00155C11" w:rsidRPr="00085B0D" w14:paraId="09FD8854" w14:textId="77777777" w:rsidTr="00155C11">
        <w:trPr>
          <w:trHeight w:val="270"/>
        </w:trPr>
        <w:tc>
          <w:tcPr>
            <w:tcW w:w="1700" w:type="dxa"/>
            <w:tcBorders>
              <w:top w:val="nil"/>
              <w:left w:val="single" w:sz="8" w:space="0" w:color="auto"/>
              <w:bottom w:val="single" w:sz="4" w:space="0" w:color="auto"/>
              <w:right w:val="single" w:sz="4" w:space="0" w:color="auto"/>
            </w:tcBorders>
            <w:shd w:val="clear" w:color="auto" w:fill="auto"/>
            <w:hideMark/>
          </w:tcPr>
          <w:p w14:paraId="79B5FFE8"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 xml:space="preserve">     -Application</w:t>
            </w:r>
          </w:p>
        </w:tc>
        <w:tc>
          <w:tcPr>
            <w:tcW w:w="1516" w:type="dxa"/>
            <w:tcBorders>
              <w:top w:val="nil"/>
              <w:left w:val="nil"/>
              <w:bottom w:val="single" w:sz="4" w:space="0" w:color="auto"/>
              <w:right w:val="single" w:sz="4" w:space="0" w:color="auto"/>
            </w:tcBorders>
            <w:shd w:val="clear" w:color="auto" w:fill="auto"/>
            <w:noWrap/>
            <w:vAlign w:val="bottom"/>
            <w:hideMark/>
          </w:tcPr>
          <w:p w14:paraId="56275A5F"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225</w:t>
            </w:r>
          </w:p>
        </w:tc>
        <w:tc>
          <w:tcPr>
            <w:tcW w:w="1616" w:type="dxa"/>
            <w:tcBorders>
              <w:top w:val="nil"/>
              <w:left w:val="nil"/>
              <w:bottom w:val="single" w:sz="4" w:space="0" w:color="auto"/>
              <w:right w:val="single" w:sz="4" w:space="0" w:color="auto"/>
            </w:tcBorders>
            <w:shd w:val="clear" w:color="auto" w:fill="auto"/>
            <w:noWrap/>
            <w:vAlign w:val="bottom"/>
            <w:hideMark/>
          </w:tcPr>
          <w:p w14:paraId="3EC2C85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1110</w:t>
            </w:r>
          </w:p>
        </w:tc>
        <w:tc>
          <w:tcPr>
            <w:tcW w:w="1516" w:type="dxa"/>
            <w:tcBorders>
              <w:top w:val="nil"/>
              <w:left w:val="nil"/>
              <w:bottom w:val="single" w:sz="4" w:space="0" w:color="auto"/>
              <w:right w:val="single" w:sz="4" w:space="0" w:color="auto"/>
            </w:tcBorders>
            <w:shd w:val="clear" w:color="auto" w:fill="auto"/>
            <w:noWrap/>
            <w:vAlign w:val="bottom"/>
            <w:hideMark/>
          </w:tcPr>
          <w:p w14:paraId="518CF65E"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705</w:t>
            </w:r>
          </w:p>
        </w:tc>
        <w:tc>
          <w:tcPr>
            <w:tcW w:w="1316" w:type="dxa"/>
            <w:tcBorders>
              <w:top w:val="nil"/>
              <w:left w:val="nil"/>
              <w:bottom w:val="single" w:sz="4" w:space="0" w:color="auto"/>
              <w:right w:val="single" w:sz="4" w:space="0" w:color="auto"/>
            </w:tcBorders>
            <w:shd w:val="clear" w:color="auto" w:fill="auto"/>
            <w:noWrap/>
            <w:vAlign w:val="bottom"/>
            <w:hideMark/>
          </w:tcPr>
          <w:p w14:paraId="27D44D8A"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616" w:type="dxa"/>
            <w:tcBorders>
              <w:top w:val="nil"/>
              <w:left w:val="nil"/>
              <w:bottom w:val="single" w:sz="4" w:space="0" w:color="auto"/>
              <w:right w:val="nil"/>
            </w:tcBorders>
            <w:shd w:val="clear" w:color="auto" w:fill="auto"/>
            <w:noWrap/>
            <w:vAlign w:val="bottom"/>
            <w:hideMark/>
          </w:tcPr>
          <w:p w14:paraId="16AF755C" w14:textId="77777777" w:rsidR="00085B0D" w:rsidRPr="00085B0D" w:rsidRDefault="00085B0D" w:rsidP="00085B0D">
            <w:pPr>
              <w:widowControl/>
              <w:autoSpaceDE/>
              <w:autoSpaceDN/>
              <w:adjustRightInd/>
              <w:jc w:val="right"/>
              <w:rPr>
                <w:rFonts w:ascii="Times New Roman" w:hAnsi="Times New Roman"/>
                <w:sz w:val="20"/>
                <w:szCs w:val="20"/>
              </w:rPr>
            </w:pPr>
            <w:r w:rsidRPr="00085B0D">
              <w:rPr>
                <w:rFonts w:ascii="Times New Roman" w:hAnsi="Times New Roman"/>
                <w:sz w:val="20"/>
                <w:szCs w:val="20"/>
              </w:rPr>
              <w:t>2040</w:t>
            </w:r>
          </w:p>
        </w:tc>
        <w:tc>
          <w:tcPr>
            <w:tcW w:w="1017" w:type="dxa"/>
            <w:tcBorders>
              <w:top w:val="double" w:sz="6" w:space="0" w:color="auto"/>
              <w:left w:val="single" w:sz="4" w:space="0" w:color="auto"/>
              <w:bottom w:val="nil"/>
              <w:right w:val="single" w:sz="8" w:space="0" w:color="auto"/>
            </w:tcBorders>
            <w:shd w:val="clear" w:color="auto" w:fill="auto"/>
            <w:vAlign w:val="bottom"/>
            <w:hideMark/>
          </w:tcPr>
          <w:p w14:paraId="6436162C" w14:textId="77777777" w:rsidR="00085B0D" w:rsidRPr="00085B0D" w:rsidRDefault="00085B0D" w:rsidP="00085B0D">
            <w:pPr>
              <w:widowControl/>
              <w:autoSpaceDE/>
              <w:autoSpaceDN/>
              <w:adjustRightInd/>
              <w:rPr>
                <w:rFonts w:ascii="Times New Roman" w:hAnsi="Times New Roman"/>
                <w:sz w:val="20"/>
                <w:szCs w:val="20"/>
              </w:rPr>
            </w:pPr>
            <w:r w:rsidRPr="00085B0D">
              <w:rPr>
                <w:rFonts w:ascii="Times New Roman" w:hAnsi="Times New Roman"/>
                <w:sz w:val="20"/>
                <w:szCs w:val="20"/>
              </w:rPr>
              <w:t> </w:t>
            </w:r>
          </w:p>
        </w:tc>
      </w:tr>
      <w:tr w:rsidR="00155C11" w:rsidRPr="00085B0D" w14:paraId="18CCA804" w14:textId="77777777" w:rsidTr="00155C11">
        <w:trPr>
          <w:trHeight w:val="525"/>
        </w:trPr>
        <w:tc>
          <w:tcPr>
            <w:tcW w:w="1700" w:type="dxa"/>
            <w:tcBorders>
              <w:top w:val="nil"/>
              <w:left w:val="single" w:sz="8" w:space="0" w:color="auto"/>
              <w:bottom w:val="single" w:sz="4" w:space="0" w:color="auto"/>
              <w:right w:val="single" w:sz="4" w:space="0" w:color="auto"/>
            </w:tcBorders>
            <w:shd w:val="clear" w:color="auto" w:fill="auto"/>
            <w:hideMark/>
          </w:tcPr>
          <w:p w14:paraId="5E63B908" w14:textId="77777777" w:rsidR="00155C11" w:rsidRPr="00085B0D" w:rsidRDefault="00155C11" w:rsidP="00155C11">
            <w:pPr>
              <w:widowControl/>
              <w:autoSpaceDE/>
              <w:autoSpaceDN/>
              <w:adjustRightInd/>
              <w:rPr>
                <w:rFonts w:ascii="Times New Roman" w:hAnsi="Times New Roman"/>
                <w:sz w:val="20"/>
                <w:szCs w:val="20"/>
              </w:rPr>
            </w:pPr>
            <w:r w:rsidRPr="00085B0D">
              <w:rPr>
                <w:rFonts w:ascii="Times New Roman" w:hAnsi="Times New Roman"/>
                <w:sz w:val="20"/>
                <w:szCs w:val="20"/>
              </w:rPr>
              <w:t xml:space="preserve">     -Recordkeeping and reporting</w:t>
            </w:r>
          </w:p>
        </w:tc>
        <w:tc>
          <w:tcPr>
            <w:tcW w:w="1516" w:type="dxa"/>
            <w:tcBorders>
              <w:top w:val="nil"/>
              <w:left w:val="nil"/>
              <w:bottom w:val="single" w:sz="4" w:space="0" w:color="auto"/>
              <w:right w:val="single" w:sz="4" w:space="0" w:color="auto"/>
            </w:tcBorders>
            <w:shd w:val="clear" w:color="auto" w:fill="auto"/>
            <w:noWrap/>
            <w:vAlign w:val="bottom"/>
            <w:hideMark/>
          </w:tcPr>
          <w:p w14:paraId="32BE62CA" w14:textId="526A8146"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43.00</w:t>
            </w:r>
          </w:p>
        </w:tc>
        <w:tc>
          <w:tcPr>
            <w:tcW w:w="1616" w:type="dxa"/>
            <w:tcBorders>
              <w:top w:val="nil"/>
              <w:left w:val="nil"/>
              <w:bottom w:val="single" w:sz="4" w:space="0" w:color="auto"/>
              <w:right w:val="single" w:sz="4" w:space="0" w:color="auto"/>
            </w:tcBorders>
            <w:shd w:val="clear" w:color="auto" w:fill="auto"/>
            <w:noWrap/>
            <w:vAlign w:val="bottom"/>
            <w:hideMark/>
          </w:tcPr>
          <w:p w14:paraId="4CE0B506" w14:textId="5AEE4607"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124.75</w:t>
            </w:r>
          </w:p>
        </w:tc>
        <w:tc>
          <w:tcPr>
            <w:tcW w:w="1516" w:type="dxa"/>
            <w:tcBorders>
              <w:top w:val="nil"/>
              <w:left w:val="nil"/>
              <w:bottom w:val="single" w:sz="4" w:space="0" w:color="auto"/>
              <w:right w:val="single" w:sz="4" w:space="0" w:color="auto"/>
            </w:tcBorders>
            <w:shd w:val="clear" w:color="auto" w:fill="auto"/>
            <w:noWrap/>
            <w:vAlign w:val="bottom"/>
            <w:hideMark/>
          </w:tcPr>
          <w:p w14:paraId="638D989F" w14:textId="4DCA1ED6"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14:paraId="4A24E5C0" w14:textId="02016518"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17.50</w:t>
            </w:r>
          </w:p>
        </w:tc>
        <w:tc>
          <w:tcPr>
            <w:tcW w:w="1616" w:type="dxa"/>
            <w:tcBorders>
              <w:top w:val="nil"/>
              <w:left w:val="nil"/>
              <w:bottom w:val="single" w:sz="4" w:space="0" w:color="auto"/>
              <w:right w:val="nil"/>
            </w:tcBorders>
            <w:shd w:val="clear" w:color="auto" w:fill="auto"/>
            <w:noWrap/>
            <w:vAlign w:val="bottom"/>
            <w:hideMark/>
          </w:tcPr>
          <w:p w14:paraId="048ED65D" w14:textId="0A900870"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185.25</w:t>
            </w:r>
          </w:p>
        </w:tc>
        <w:tc>
          <w:tcPr>
            <w:tcW w:w="1017" w:type="dxa"/>
            <w:tcBorders>
              <w:top w:val="nil"/>
              <w:left w:val="single" w:sz="4" w:space="0" w:color="auto"/>
              <w:bottom w:val="nil"/>
              <w:right w:val="single" w:sz="8" w:space="0" w:color="auto"/>
            </w:tcBorders>
            <w:shd w:val="clear" w:color="auto" w:fill="auto"/>
            <w:vAlign w:val="bottom"/>
            <w:hideMark/>
          </w:tcPr>
          <w:p w14:paraId="76C25891" w14:textId="77777777" w:rsidR="00155C11" w:rsidRPr="00085B0D" w:rsidRDefault="00155C11" w:rsidP="00155C11">
            <w:pPr>
              <w:widowControl/>
              <w:autoSpaceDE/>
              <w:autoSpaceDN/>
              <w:adjustRightInd/>
              <w:rPr>
                <w:rFonts w:ascii="Times New Roman" w:hAnsi="Times New Roman"/>
                <w:sz w:val="20"/>
                <w:szCs w:val="20"/>
              </w:rPr>
            </w:pPr>
            <w:r w:rsidRPr="00085B0D">
              <w:rPr>
                <w:rFonts w:ascii="Times New Roman" w:hAnsi="Times New Roman"/>
                <w:sz w:val="20"/>
                <w:szCs w:val="20"/>
              </w:rPr>
              <w:t> </w:t>
            </w:r>
          </w:p>
        </w:tc>
      </w:tr>
      <w:tr w:rsidR="00155C11" w:rsidRPr="00085B0D" w14:paraId="073BD2E8" w14:textId="77777777" w:rsidTr="00155C11">
        <w:trPr>
          <w:trHeight w:val="270"/>
        </w:trPr>
        <w:tc>
          <w:tcPr>
            <w:tcW w:w="1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E56664F" w14:textId="77777777" w:rsidR="00155C11" w:rsidRPr="00085B0D" w:rsidRDefault="00155C11" w:rsidP="00155C11">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HOURS</w:t>
            </w:r>
          </w:p>
        </w:tc>
        <w:tc>
          <w:tcPr>
            <w:tcW w:w="1516" w:type="dxa"/>
            <w:tcBorders>
              <w:top w:val="single" w:sz="8" w:space="0" w:color="auto"/>
              <w:left w:val="nil"/>
              <w:bottom w:val="single" w:sz="8" w:space="0" w:color="auto"/>
              <w:right w:val="single" w:sz="4" w:space="0" w:color="auto"/>
            </w:tcBorders>
            <w:shd w:val="clear" w:color="auto" w:fill="auto"/>
            <w:hideMark/>
          </w:tcPr>
          <w:p w14:paraId="539FE221" w14:textId="52A06570"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268.00</w:t>
            </w:r>
          </w:p>
        </w:tc>
        <w:tc>
          <w:tcPr>
            <w:tcW w:w="1616" w:type="dxa"/>
            <w:tcBorders>
              <w:top w:val="single" w:sz="8" w:space="0" w:color="auto"/>
              <w:left w:val="nil"/>
              <w:bottom w:val="single" w:sz="8" w:space="0" w:color="auto"/>
              <w:right w:val="single" w:sz="4" w:space="0" w:color="auto"/>
            </w:tcBorders>
            <w:shd w:val="clear" w:color="auto" w:fill="auto"/>
            <w:hideMark/>
          </w:tcPr>
          <w:p w14:paraId="37B2E887" w14:textId="6E6065B9"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1,234.75</w:t>
            </w:r>
          </w:p>
        </w:tc>
        <w:tc>
          <w:tcPr>
            <w:tcW w:w="1516" w:type="dxa"/>
            <w:tcBorders>
              <w:top w:val="single" w:sz="8" w:space="0" w:color="auto"/>
              <w:left w:val="nil"/>
              <w:bottom w:val="single" w:sz="8" w:space="0" w:color="auto"/>
              <w:right w:val="single" w:sz="4" w:space="0" w:color="auto"/>
            </w:tcBorders>
            <w:shd w:val="clear" w:color="auto" w:fill="auto"/>
            <w:hideMark/>
          </w:tcPr>
          <w:p w14:paraId="658F4308" w14:textId="032B5848"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705</w:t>
            </w:r>
          </w:p>
        </w:tc>
        <w:tc>
          <w:tcPr>
            <w:tcW w:w="1316" w:type="dxa"/>
            <w:tcBorders>
              <w:top w:val="single" w:sz="8" w:space="0" w:color="auto"/>
              <w:left w:val="nil"/>
              <w:bottom w:val="single" w:sz="8" w:space="0" w:color="auto"/>
              <w:right w:val="single" w:sz="4" w:space="0" w:color="auto"/>
            </w:tcBorders>
            <w:shd w:val="clear" w:color="auto" w:fill="auto"/>
            <w:hideMark/>
          </w:tcPr>
          <w:p w14:paraId="440B6864" w14:textId="30E66F30"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17.50</w:t>
            </w:r>
          </w:p>
        </w:tc>
        <w:tc>
          <w:tcPr>
            <w:tcW w:w="1616" w:type="dxa"/>
            <w:tcBorders>
              <w:top w:val="single" w:sz="8" w:space="0" w:color="auto"/>
              <w:left w:val="nil"/>
              <w:bottom w:val="single" w:sz="8" w:space="0" w:color="auto"/>
              <w:right w:val="nil"/>
            </w:tcBorders>
            <w:shd w:val="clear" w:color="auto" w:fill="auto"/>
            <w:hideMark/>
          </w:tcPr>
          <w:p w14:paraId="04B0A00B" w14:textId="134464A7" w:rsidR="00155C11" w:rsidRPr="00085B0D" w:rsidRDefault="00155C11" w:rsidP="00155C11">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2,225.25</w:t>
            </w:r>
          </w:p>
        </w:tc>
        <w:tc>
          <w:tcPr>
            <w:tcW w:w="1017" w:type="dxa"/>
            <w:tcBorders>
              <w:top w:val="nil"/>
              <w:left w:val="single" w:sz="4" w:space="0" w:color="auto"/>
              <w:bottom w:val="nil"/>
              <w:right w:val="single" w:sz="8" w:space="0" w:color="auto"/>
            </w:tcBorders>
            <w:shd w:val="clear" w:color="auto" w:fill="auto"/>
            <w:noWrap/>
            <w:vAlign w:val="bottom"/>
            <w:hideMark/>
          </w:tcPr>
          <w:p w14:paraId="06F88610" w14:textId="77777777" w:rsidR="00155C11" w:rsidRPr="00085B0D" w:rsidRDefault="00155C11" w:rsidP="00155C11">
            <w:pPr>
              <w:widowControl/>
              <w:autoSpaceDE/>
              <w:autoSpaceDN/>
              <w:adjustRightInd/>
              <w:rPr>
                <w:rFonts w:ascii="Times New Roman" w:hAnsi="Times New Roman"/>
                <w:b/>
                <w:bCs/>
                <w:sz w:val="20"/>
                <w:szCs w:val="20"/>
              </w:rPr>
            </w:pPr>
            <w:r w:rsidRPr="00085B0D">
              <w:rPr>
                <w:rFonts w:ascii="Times New Roman" w:hAnsi="Times New Roman"/>
                <w:b/>
                <w:bCs/>
                <w:sz w:val="20"/>
                <w:szCs w:val="20"/>
              </w:rPr>
              <w:t> </w:t>
            </w:r>
          </w:p>
        </w:tc>
      </w:tr>
      <w:tr w:rsidR="00155C11" w:rsidRPr="00085B0D" w14:paraId="69C2ACB3" w14:textId="77777777" w:rsidTr="00155C11">
        <w:trPr>
          <w:trHeight w:val="270"/>
        </w:trPr>
        <w:tc>
          <w:tcPr>
            <w:tcW w:w="1700" w:type="dxa"/>
            <w:tcBorders>
              <w:top w:val="nil"/>
              <w:left w:val="single" w:sz="8" w:space="0" w:color="auto"/>
              <w:bottom w:val="single" w:sz="8" w:space="0" w:color="auto"/>
              <w:right w:val="single" w:sz="4" w:space="0" w:color="auto"/>
            </w:tcBorders>
            <w:shd w:val="clear" w:color="auto" w:fill="auto"/>
            <w:hideMark/>
          </w:tcPr>
          <w:p w14:paraId="1D16BF83" w14:textId="77777777" w:rsidR="00155C11" w:rsidRPr="00085B0D" w:rsidRDefault="00155C11" w:rsidP="00155C11">
            <w:pPr>
              <w:widowControl/>
              <w:autoSpaceDE/>
              <w:autoSpaceDN/>
              <w:adjustRightInd/>
              <w:rPr>
                <w:rFonts w:ascii="Times New Roman" w:hAnsi="Times New Roman"/>
                <w:b/>
                <w:bCs/>
                <w:sz w:val="20"/>
                <w:szCs w:val="20"/>
              </w:rPr>
            </w:pPr>
            <w:r w:rsidRPr="00085B0D">
              <w:rPr>
                <w:rFonts w:ascii="Times New Roman" w:hAnsi="Times New Roman"/>
                <w:b/>
                <w:bCs/>
                <w:sz w:val="20"/>
                <w:szCs w:val="20"/>
              </w:rPr>
              <w:t>TOTAL COSTS</w:t>
            </w:r>
          </w:p>
        </w:tc>
        <w:tc>
          <w:tcPr>
            <w:tcW w:w="1516" w:type="dxa"/>
            <w:tcBorders>
              <w:top w:val="nil"/>
              <w:left w:val="nil"/>
              <w:bottom w:val="single" w:sz="8" w:space="0" w:color="auto"/>
              <w:right w:val="single" w:sz="4" w:space="0" w:color="auto"/>
            </w:tcBorders>
            <w:shd w:val="clear" w:color="auto" w:fill="auto"/>
            <w:noWrap/>
            <w:vAlign w:val="bottom"/>
            <w:hideMark/>
          </w:tcPr>
          <w:p w14:paraId="0CBDC508" w14:textId="41D6077A"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$25,680</w:t>
            </w:r>
          </w:p>
        </w:tc>
        <w:tc>
          <w:tcPr>
            <w:tcW w:w="1616" w:type="dxa"/>
            <w:tcBorders>
              <w:top w:val="nil"/>
              <w:left w:val="nil"/>
              <w:bottom w:val="single" w:sz="8" w:space="0" w:color="auto"/>
              <w:right w:val="single" w:sz="4" w:space="0" w:color="auto"/>
            </w:tcBorders>
            <w:shd w:val="clear" w:color="auto" w:fill="auto"/>
            <w:noWrap/>
            <w:vAlign w:val="bottom"/>
            <w:hideMark/>
          </w:tcPr>
          <w:p w14:paraId="673C7F79" w14:textId="4AE99E9F"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$85,124</w:t>
            </w:r>
          </w:p>
        </w:tc>
        <w:tc>
          <w:tcPr>
            <w:tcW w:w="1516" w:type="dxa"/>
            <w:tcBorders>
              <w:top w:val="nil"/>
              <w:left w:val="nil"/>
              <w:bottom w:val="single" w:sz="8" w:space="0" w:color="auto"/>
              <w:right w:val="single" w:sz="4" w:space="0" w:color="auto"/>
            </w:tcBorders>
            <w:shd w:val="clear" w:color="auto" w:fill="auto"/>
            <w:noWrap/>
            <w:vAlign w:val="bottom"/>
            <w:hideMark/>
          </w:tcPr>
          <w:p w14:paraId="16F32E4F" w14:textId="7F7728A7"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$23,046</w:t>
            </w:r>
          </w:p>
        </w:tc>
        <w:tc>
          <w:tcPr>
            <w:tcW w:w="1316" w:type="dxa"/>
            <w:tcBorders>
              <w:top w:val="nil"/>
              <w:left w:val="nil"/>
              <w:bottom w:val="single" w:sz="8" w:space="0" w:color="auto"/>
              <w:right w:val="single" w:sz="4" w:space="0" w:color="auto"/>
            </w:tcBorders>
            <w:shd w:val="clear" w:color="auto" w:fill="auto"/>
            <w:noWrap/>
            <w:vAlign w:val="bottom"/>
            <w:hideMark/>
          </w:tcPr>
          <w:p w14:paraId="0A444F04" w14:textId="195F8847" w:rsidR="00155C11" w:rsidRPr="00085B0D" w:rsidRDefault="00155C11" w:rsidP="00155C11">
            <w:pPr>
              <w:widowControl/>
              <w:autoSpaceDE/>
              <w:autoSpaceDN/>
              <w:adjustRightInd/>
              <w:jc w:val="right"/>
              <w:rPr>
                <w:rFonts w:ascii="Times New Roman" w:hAnsi="Times New Roman"/>
                <w:sz w:val="20"/>
                <w:szCs w:val="20"/>
              </w:rPr>
            </w:pPr>
            <w:r w:rsidRPr="00085B0D">
              <w:rPr>
                <w:rFonts w:ascii="Times New Roman" w:hAnsi="Times New Roman"/>
                <w:sz w:val="20"/>
                <w:szCs w:val="20"/>
              </w:rPr>
              <w:t>$2,310</w:t>
            </w:r>
          </w:p>
        </w:tc>
        <w:tc>
          <w:tcPr>
            <w:tcW w:w="1616" w:type="dxa"/>
            <w:tcBorders>
              <w:top w:val="nil"/>
              <w:left w:val="nil"/>
              <w:bottom w:val="single" w:sz="8" w:space="0" w:color="auto"/>
              <w:right w:val="nil"/>
            </w:tcBorders>
            <w:shd w:val="clear" w:color="auto" w:fill="auto"/>
            <w:noWrap/>
            <w:vAlign w:val="bottom"/>
            <w:hideMark/>
          </w:tcPr>
          <w:p w14:paraId="7997F669" w14:textId="00FBDE25" w:rsidR="00155C11" w:rsidRPr="00085B0D" w:rsidRDefault="00155C11" w:rsidP="00155C11">
            <w:pPr>
              <w:widowControl/>
              <w:autoSpaceDE/>
              <w:autoSpaceDN/>
              <w:adjustRightInd/>
              <w:jc w:val="right"/>
              <w:rPr>
                <w:rFonts w:ascii="Times New Roman" w:hAnsi="Times New Roman"/>
                <w:b/>
                <w:bCs/>
                <w:sz w:val="20"/>
                <w:szCs w:val="20"/>
              </w:rPr>
            </w:pPr>
            <w:r w:rsidRPr="00085B0D">
              <w:rPr>
                <w:rFonts w:ascii="Times New Roman" w:hAnsi="Times New Roman"/>
                <w:b/>
                <w:bCs/>
                <w:sz w:val="20"/>
                <w:szCs w:val="20"/>
              </w:rPr>
              <w:t>$136,160</w:t>
            </w:r>
          </w:p>
        </w:tc>
        <w:tc>
          <w:tcPr>
            <w:tcW w:w="1017" w:type="dxa"/>
            <w:tcBorders>
              <w:top w:val="nil"/>
              <w:left w:val="single" w:sz="4" w:space="0" w:color="auto"/>
              <w:bottom w:val="single" w:sz="8" w:space="0" w:color="auto"/>
              <w:right w:val="single" w:sz="8" w:space="0" w:color="auto"/>
            </w:tcBorders>
            <w:shd w:val="clear" w:color="auto" w:fill="auto"/>
            <w:noWrap/>
            <w:vAlign w:val="bottom"/>
            <w:hideMark/>
          </w:tcPr>
          <w:p w14:paraId="55D50F8E" w14:textId="77777777" w:rsidR="00155C11" w:rsidRPr="00085B0D" w:rsidRDefault="00155C11" w:rsidP="00155C11">
            <w:pPr>
              <w:widowControl/>
              <w:autoSpaceDE/>
              <w:autoSpaceDN/>
              <w:adjustRightInd/>
              <w:rPr>
                <w:rFonts w:ascii="Arial" w:hAnsi="Arial" w:cs="Arial"/>
                <w:sz w:val="20"/>
                <w:szCs w:val="20"/>
              </w:rPr>
            </w:pPr>
            <w:r w:rsidRPr="00085B0D">
              <w:rPr>
                <w:rFonts w:ascii="Arial" w:hAnsi="Arial" w:cs="Arial"/>
                <w:sz w:val="20"/>
                <w:szCs w:val="20"/>
              </w:rPr>
              <w:t> </w:t>
            </w:r>
          </w:p>
        </w:tc>
      </w:tr>
    </w:tbl>
    <w:p w14:paraId="40ACD55F" w14:textId="77777777" w:rsidR="00462413" w:rsidRDefault="00462413">
      <w:pPr>
        <w:rPr>
          <w:rFonts w:ascii="Times New Roman" w:hAnsi="Times New Roman" w:cs="Courier"/>
        </w:rPr>
      </w:pPr>
    </w:p>
    <w:p w14:paraId="1C9ED475" w14:textId="77777777" w:rsidR="0080783C" w:rsidRPr="00877602" w:rsidRDefault="0080783C">
      <w:pPr>
        <w:rPr>
          <w:rFonts w:ascii="Times New Roman" w:hAnsi="Times New Roman" w:cs="Courier"/>
        </w:rPr>
      </w:pPr>
      <w:r w:rsidRPr="00877602">
        <w:rPr>
          <w:rFonts w:ascii="Times New Roman" w:hAnsi="Times New Roman" w:cs="Courier"/>
        </w:rPr>
        <w:t>f)</w:t>
      </w:r>
      <w:r w:rsidRPr="00877602">
        <w:rPr>
          <w:rFonts w:ascii="Times New Roman" w:hAnsi="Times New Roman" w:cs="Courier"/>
        </w:rPr>
        <w:tab/>
        <w:t>Reasons for Change in Burden</w:t>
      </w:r>
    </w:p>
    <w:p w14:paraId="14494BF9" w14:textId="77777777" w:rsidR="0080783C" w:rsidRPr="00877602" w:rsidRDefault="0080783C">
      <w:pPr>
        <w:rPr>
          <w:rFonts w:ascii="Times New Roman" w:hAnsi="Times New Roman" w:cs="Courier"/>
        </w:rPr>
      </w:pPr>
    </w:p>
    <w:p w14:paraId="7BAC5CCB" w14:textId="5985D674" w:rsidR="00C601DF" w:rsidRDefault="0000093A" w:rsidP="00770BDF">
      <w:pPr>
        <w:rPr>
          <w:rFonts w:ascii="Times New Roman" w:hAnsi="Times New Roman" w:cs="Courier"/>
        </w:rPr>
      </w:pPr>
      <w:r>
        <w:rPr>
          <w:rFonts w:ascii="Times New Roman" w:hAnsi="Times New Roman" w:cs="Courier"/>
        </w:rPr>
        <w:tab/>
      </w:r>
      <w:r w:rsidR="00917C97" w:rsidRPr="00917C97">
        <w:rPr>
          <w:rFonts w:ascii="Times New Roman" w:hAnsi="Times New Roman" w:cs="Courier"/>
        </w:rPr>
        <w:t xml:space="preserve">There is a decrease </w:t>
      </w:r>
      <w:r w:rsidR="00917C97" w:rsidRPr="00631557">
        <w:rPr>
          <w:rFonts w:ascii="Times New Roman" w:hAnsi="Times New Roman" w:cs="Courier"/>
        </w:rPr>
        <w:t xml:space="preserve">of </w:t>
      </w:r>
      <w:r w:rsidR="00155C11">
        <w:rPr>
          <w:rFonts w:ascii="Times New Roman" w:hAnsi="Times New Roman" w:cs="Courier"/>
        </w:rPr>
        <w:t xml:space="preserve">1,641.5 </w:t>
      </w:r>
      <w:r w:rsidR="00917C97" w:rsidRPr="00631557">
        <w:rPr>
          <w:rFonts w:ascii="Times New Roman" w:hAnsi="Times New Roman" w:cs="Courier"/>
        </w:rPr>
        <w:t>hours in the total estimated respondent burden compared with the bur</w:t>
      </w:r>
      <w:r w:rsidR="00C257EA" w:rsidRPr="00631557">
        <w:rPr>
          <w:rFonts w:ascii="Times New Roman" w:hAnsi="Times New Roman" w:cs="Courier"/>
        </w:rPr>
        <w:t>den currently approved by OMB</w:t>
      </w:r>
      <w:r w:rsidR="002B668C" w:rsidRPr="00631557">
        <w:rPr>
          <w:rFonts w:ascii="Times New Roman" w:hAnsi="Times New Roman" w:cs="Courier"/>
        </w:rPr>
        <w:t xml:space="preserve">. </w:t>
      </w:r>
      <w:r w:rsidR="00917C97" w:rsidRPr="00631557">
        <w:rPr>
          <w:rFonts w:ascii="Times New Roman" w:hAnsi="Times New Roman" w:cs="Courier"/>
        </w:rPr>
        <w:t>T</w:t>
      </w:r>
      <w:r w:rsidR="00917C97" w:rsidRPr="00917C97">
        <w:rPr>
          <w:rFonts w:ascii="Times New Roman" w:hAnsi="Times New Roman" w:cs="Courier"/>
        </w:rPr>
        <w:t xml:space="preserve">he </w:t>
      </w:r>
      <w:r w:rsidR="00A75999">
        <w:rPr>
          <w:rFonts w:ascii="Times New Roman" w:hAnsi="Times New Roman" w:cs="Courier"/>
        </w:rPr>
        <w:t xml:space="preserve">primary </w:t>
      </w:r>
      <w:r w:rsidR="00917C97" w:rsidRPr="00917C97">
        <w:rPr>
          <w:rFonts w:ascii="Times New Roman" w:hAnsi="Times New Roman" w:cs="Courier"/>
        </w:rPr>
        <w:t xml:space="preserve">reason for the decrease in burden hours </w:t>
      </w:r>
      <w:r w:rsidR="00A75999">
        <w:rPr>
          <w:rFonts w:ascii="Times New Roman" w:hAnsi="Times New Roman" w:cs="Courier"/>
        </w:rPr>
        <w:t>is</w:t>
      </w:r>
      <w:r w:rsidR="00FD2053">
        <w:rPr>
          <w:rFonts w:ascii="Times New Roman" w:hAnsi="Times New Roman" w:cs="Courier"/>
        </w:rPr>
        <w:t xml:space="preserve"> a decre</w:t>
      </w:r>
      <w:r w:rsidR="00A75999">
        <w:rPr>
          <w:rFonts w:ascii="Times New Roman" w:hAnsi="Times New Roman" w:cs="Courier"/>
        </w:rPr>
        <w:t>ase in the number of applicants</w:t>
      </w:r>
      <w:r w:rsidR="00770BDF">
        <w:rPr>
          <w:rFonts w:ascii="Times New Roman" w:hAnsi="Times New Roman" w:cs="Courier"/>
        </w:rPr>
        <w:t xml:space="preserve"> </w:t>
      </w:r>
      <w:r w:rsidR="00155C11">
        <w:rPr>
          <w:rFonts w:ascii="Times New Roman" w:hAnsi="Times New Roman" w:cs="Courier"/>
        </w:rPr>
        <w:t xml:space="preserve">(from 40 to 15) </w:t>
      </w:r>
      <w:r w:rsidR="00770BDF">
        <w:rPr>
          <w:rFonts w:ascii="Times New Roman" w:hAnsi="Times New Roman" w:cs="Courier"/>
        </w:rPr>
        <w:t xml:space="preserve">and </w:t>
      </w:r>
      <w:r w:rsidR="00FD2053">
        <w:rPr>
          <w:rFonts w:ascii="Times New Roman" w:hAnsi="Times New Roman" w:cs="Courier"/>
        </w:rPr>
        <w:t>end users</w:t>
      </w:r>
      <w:r w:rsidR="00A2299D">
        <w:rPr>
          <w:rFonts w:ascii="Times New Roman" w:hAnsi="Times New Roman" w:cs="Courier"/>
        </w:rPr>
        <w:t xml:space="preserve"> </w:t>
      </w:r>
      <w:r w:rsidR="00155C11">
        <w:rPr>
          <w:rFonts w:ascii="Times New Roman" w:hAnsi="Times New Roman" w:cs="Courier"/>
        </w:rPr>
        <w:t>(from 1,800 to 1,000)</w:t>
      </w:r>
      <w:r w:rsidR="00054578">
        <w:rPr>
          <w:rFonts w:ascii="Times New Roman" w:hAnsi="Times New Roman" w:cs="Courier"/>
        </w:rPr>
        <w:t xml:space="preserve"> </w:t>
      </w:r>
      <w:r w:rsidR="00A2299D">
        <w:rPr>
          <w:rFonts w:ascii="Times New Roman" w:hAnsi="Times New Roman" w:cs="Courier"/>
        </w:rPr>
        <w:t xml:space="preserve">as well as </w:t>
      </w:r>
      <w:r w:rsidR="00A2299D">
        <w:rPr>
          <w:rFonts w:ascii="Times New Roman" w:hAnsi="Times New Roman" w:cs="Courier"/>
        </w:rPr>
        <w:lastRenderedPageBreak/>
        <w:t>distributors</w:t>
      </w:r>
      <w:r w:rsidR="00054578">
        <w:rPr>
          <w:rFonts w:ascii="Times New Roman" w:hAnsi="Times New Roman" w:cs="Courier"/>
        </w:rPr>
        <w:t xml:space="preserve"> </w:t>
      </w:r>
      <w:r w:rsidR="00155C11">
        <w:rPr>
          <w:rFonts w:ascii="Times New Roman" w:hAnsi="Times New Roman" w:cs="Courier"/>
        </w:rPr>
        <w:t>(from 75 to 50)</w:t>
      </w:r>
      <w:r w:rsidR="00A2299D">
        <w:rPr>
          <w:rFonts w:ascii="Times New Roman" w:hAnsi="Times New Roman" w:cs="Courier"/>
        </w:rPr>
        <w:t xml:space="preserve"> of methyl bromide</w:t>
      </w:r>
      <w:r w:rsidR="00FD2053">
        <w:rPr>
          <w:rFonts w:ascii="Times New Roman" w:hAnsi="Times New Roman" w:cs="Courier"/>
        </w:rPr>
        <w:t xml:space="preserve">. </w:t>
      </w:r>
    </w:p>
    <w:p w14:paraId="6EC1F8F8" w14:textId="77777777" w:rsidR="00C601DF" w:rsidRPr="00054578" w:rsidRDefault="00C601DF" w:rsidP="00C601DF">
      <w:pPr>
        <w:ind w:firstLine="720"/>
        <w:rPr>
          <w:rFonts w:ascii="Times New Roman" w:hAnsi="Times New Roman" w:cs="Courier"/>
        </w:rPr>
      </w:pPr>
      <w:r>
        <w:rPr>
          <w:rFonts w:ascii="Times New Roman" w:hAnsi="Times New Roman" w:cs="Courier"/>
        </w:rPr>
        <w:t xml:space="preserve">Second, </w:t>
      </w:r>
      <w:r w:rsidR="00054578">
        <w:rPr>
          <w:rFonts w:ascii="Times New Roman" w:hAnsi="Times New Roman" w:cs="Courier"/>
        </w:rPr>
        <w:t>t</w:t>
      </w:r>
      <w:r w:rsidR="00770BDF">
        <w:rPr>
          <w:rFonts w:ascii="Times New Roman" w:hAnsi="Times New Roman" w:cs="Courier"/>
        </w:rPr>
        <w:t xml:space="preserve">he CUE Allocation rule for 2014/2015 removed minor reporting and recordkeeping </w:t>
      </w:r>
      <w:r w:rsidR="00770BDF" w:rsidRPr="00770BDF">
        <w:rPr>
          <w:rFonts w:ascii="Times New Roman" w:hAnsi="Times New Roman" w:cs="Courier"/>
        </w:rPr>
        <w:t>requirements related to critical stock allowances</w:t>
      </w:r>
      <w:r w:rsidR="00770BDF">
        <w:rPr>
          <w:rFonts w:ascii="Times New Roman" w:hAnsi="Times New Roman" w:cs="Courier"/>
        </w:rPr>
        <w:t>.</w:t>
      </w:r>
      <w:r w:rsidR="009A22CA">
        <w:rPr>
          <w:rFonts w:ascii="Times New Roman" w:hAnsi="Times New Roman" w:cs="Courier"/>
        </w:rPr>
        <w:t xml:space="preserve"> </w:t>
      </w:r>
      <w:r w:rsidRPr="00054578">
        <w:rPr>
          <w:rFonts w:ascii="Times New Roman" w:hAnsi="Times New Roman" w:cs="Courier"/>
        </w:rPr>
        <w:t xml:space="preserve">Specifically </w:t>
      </w:r>
      <w:r>
        <w:rPr>
          <w:rFonts w:ascii="Times New Roman" w:hAnsi="Times New Roman" w:cs="Courier"/>
        </w:rPr>
        <w:t>these were</w:t>
      </w:r>
      <w:r w:rsidRPr="00054578">
        <w:rPr>
          <w:rFonts w:ascii="Times New Roman" w:hAnsi="Times New Roman" w:cs="Courier"/>
        </w:rPr>
        <w:t xml:space="preserve"> as follows:</w:t>
      </w:r>
    </w:p>
    <w:p w14:paraId="227922E7" w14:textId="77777777" w:rsidR="00C601DF" w:rsidRPr="00054578" w:rsidRDefault="00C601DF" w:rsidP="00C601DF">
      <w:pPr>
        <w:numPr>
          <w:ilvl w:val="0"/>
          <w:numId w:val="17"/>
        </w:numPr>
        <w:rPr>
          <w:rFonts w:ascii="Times New Roman" w:hAnsi="Times New Roman" w:cs="Courier"/>
        </w:rPr>
      </w:pPr>
      <w:r w:rsidRPr="00054578">
        <w:rPr>
          <w:rFonts w:ascii="Times New Roman" w:hAnsi="Times New Roman" w:cs="Courier"/>
        </w:rPr>
        <w:t>Quarterly reporting from producers</w:t>
      </w:r>
      <w:r>
        <w:rPr>
          <w:rFonts w:ascii="Times New Roman" w:hAnsi="Times New Roman" w:cs="Courier"/>
        </w:rPr>
        <w:t xml:space="preserve"> and importers</w:t>
      </w:r>
      <w:r w:rsidRPr="00054578">
        <w:rPr>
          <w:rFonts w:ascii="Times New Roman" w:hAnsi="Times New Roman" w:cs="Courier"/>
        </w:rPr>
        <w:t xml:space="preserve"> of methyl bromide regarding the number of expended and unexpended critical stock allowances;</w:t>
      </w:r>
    </w:p>
    <w:p w14:paraId="1C3CC579" w14:textId="77777777" w:rsidR="00C601DF" w:rsidRPr="00054578" w:rsidRDefault="00C601DF" w:rsidP="00C601DF">
      <w:pPr>
        <w:numPr>
          <w:ilvl w:val="0"/>
          <w:numId w:val="17"/>
        </w:numPr>
        <w:rPr>
          <w:rFonts w:ascii="Times New Roman" w:hAnsi="Times New Roman" w:cs="Courier"/>
        </w:rPr>
      </w:pPr>
      <w:r w:rsidRPr="00054578">
        <w:rPr>
          <w:rFonts w:ascii="Times New Roman" w:hAnsi="Times New Roman" w:cs="Courier"/>
        </w:rPr>
        <w:t>Annual reporting from distributors</w:t>
      </w:r>
      <w:r>
        <w:rPr>
          <w:rFonts w:ascii="Times New Roman" w:hAnsi="Times New Roman" w:cs="Courier"/>
        </w:rPr>
        <w:t xml:space="preserve"> and</w:t>
      </w:r>
      <w:r w:rsidRPr="00054578">
        <w:rPr>
          <w:rFonts w:ascii="Times New Roman" w:hAnsi="Times New Roman" w:cs="Courier"/>
        </w:rPr>
        <w:t xml:space="preserve"> third party applicators of methyl bromide regarding the number of expended and unexpended critical stock allowances</w:t>
      </w:r>
      <w:r>
        <w:rPr>
          <w:rFonts w:ascii="Times New Roman" w:hAnsi="Times New Roman" w:cs="Courier"/>
        </w:rPr>
        <w:t>.</w:t>
      </w:r>
    </w:p>
    <w:p w14:paraId="2D332192" w14:textId="5C327615" w:rsidR="00054578" w:rsidRDefault="00C601DF" w:rsidP="00C601DF">
      <w:pPr>
        <w:ind w:firstLine="720"/>
        <w:rPr>
          <w:rFonts w:ascii="Times New Roman" w:hAnsi="Times New Roman" w:cs="Courier"/>
        </w:rPr>
      </w:pPr>
      <w:r w:rsidRPr="00054578">
        <w:rPr>
          <w:rFonts w:ascii="Times New Roman" w:hAnsi="Times New Roman" w:cs="Courier"/>
        </w:rPr>
        <w:t>There are two dozen companies that had received critical stock allowances under the critical use exemption program. Many of these companies have merged or have sold their stocks of methyl bromide and thus did not have critical stock allowances to report. At most, EPA estimates that ten companies may have their burden reduced by half an hour annually, for a reduction of 5 hours total.</w:t>
      </w:r>
    </w:p>
    <w:p w14:paraId="2C92EA3D" w14:textId="77777777" w:rsidR="00C601DF" w:rsidRDefault="00C601DF" w:rsidP="00C601DF">
      <w:pPr>
        <w:ind w:firstLine="720"/>
        <w:rPr>
          <w:rFonts w:ascii="Times New Roman" w:hAnsi="Times New Roman" w:cs="Courier"/>
        </w:rPr>
      </w:pPr>
      <w:r>
        <w:rPr>
          <w:rFonts w:ascii="Times New Roman" w:hAnsi="Times New Roman" w:cs="Courier"/>
        </w:rPr>
        <w:t xml:space="preserve">Third, EPA estimates a minor reduction in recordkeeping and reporting burden as of January 1, 2015, when an exemption under the Clean Air Act and the Montreal Protocol expired. At that date, methyl bromide was phased out in developing countries. Therefore, certain reporting requirements related to the production and export of methyl bromide to those countries no longer are applicable. </w:t>
      </w:r>
      <w:r w:rsidRPr="00054578">
        <w:rPr>
          <w:rFonts w:ascii="Times New Roman" w:hAnsi="Times New Roman" w:cs="Courier"/>
        </w:rPr>
        <w:t xml:space="preserve">EPA estimates that </w:t>
      </w:r>
      <w:r>
        <w:rPr>
          <w:rFonts w:ascii="Times New Roman" w:hAnsi="Times New Roman" w:cs="Courier"/>
        </w:rPr>
        <w:t>4</w:t>
      </w:r>
      <w:r w:rsidRPr="00054578">
        <w:rPr>
          <w:rFonts w:ascii="Times New Roman" w:hAnsi="Times New Roman" w:cs="Courier"/>
        </w:rPr>
        <w:t xml:space="preserve"> companies may have their burden reduced by an hour annually, for a reduction of </w:t>
      </w:r>
      <w:r>
        <w:rPr>
          <w:rFonts w:ascii="Times New Roman" w:hAnsi="Times New Roman" w:cs="Courier"/>
        </w:rPr>
        <w:t>4</w:t>
      </w:r>
      <w:r w:rsidRPr="00054578">
        <w:rPr>
          <w:rFonts w:ascii="Times New Roman" w:hAnsi="Times New Roman" w:cs="Courier"/>
        </w:rPr>
        <w:t xml:space="preserve"> hours total.</w:t>
      </w:r>
    </w:p>
    <w:p w14:paraId="66DB4674" w14:textId="77777777" w:rsidR="0000093A" w:rsidRPr="00877602" w:rsidRDefault="0000093A">
      <w:pPr>
        <w:rPr>
          <w:rFonts w:ascii="Times New Roman" w:hAnsi="Times New Roman" w:cs="Courier"/>
        </w:rPr>
      </w:pPr>
    </w:p>
    <w:p w14:paraId="052AB3F3" w14:textId="77777777" w:rsidR="00610C03" w:rsidRPr="00877602" w:rsidRDefault="0080783C">
      <w:pPr>
        <w:rPr>
          <w:rFonts w:ascii="Times New Roman" w:hAnsi="Times New Roman" w:cs="Courier"/>
        </w:rPr>
      </w:pPr>
      <w:r w:rsidRPr="00877602">
        <w:rPr>
          <w:rFonts w:ascii="Times New Roman" w:hAnsi="Times New Roman" w:cs="Courier"/>
        </w:rPr>
        <w:t>g)</w:t>
      </w:r>
      <w:r w:rsidRPr="00877602">
        <w:rPr>
          <w:rFonts w:ascii="Times New Roman" w:hAnsi="Times New Roman" w:cs="Courier"/>
        </w:rPr>
        <w:tab/>
        <w:t>Burden Statement</w:t>
      </w:r>
    </w:p>
    <w:p w14:paraId="524622A8" w14:textId="77777777" w:rsidR="00610C03" w:rsidRDefault="00610C03">
      <w:pPr>
        <w:rPr>
          <w:rFonts w:ascii="Times New Roman" w:hAnsi="Times New Roman" w:cs="Courier"/>
        </w:rPr>
      </w:pPr>
    </w:p>
    <w:p w14:paraId="67AC5567" w14:textId="611EE527" w:rsidR="00432F3F" w:rsidRDefault="00D140F0">
      <w:pPr>
        <w:rPr>
          <w:rFonts w:ascii="Times New Roman" w:hAnsi="Times New Roman"/>
        </w:rPr>
      </w:pPr>
      <w:r w:rsidRPr="00877602">
        <w:rPr>
          <w:rFonts w:ascii="Times New Roman" w:hAnsi="Times New Roman" w:cs="Courier"/>
        </w:rPr>
        <w:tab/>
      </w:r>
      <w:r w:rsidR="001A30EF" w:rsidRPr="001A30EF">
        <w:rPr>
          <w:rFonts w:ascii="Times New Roman" w:hAnsi="Times New Roman"/>
        </w:rPr>
        <w:t>The ann</w:t>
      </w:r>
      <w:r w:rsidR="001A30EF" w:rsidRPr="00631557">
        <w:rPr>
          <w:rFonts w:ascii="Times New Roman" w:hAnsi="Times New Roman"/>
        </w:rPr>
        <w:t xml:space="preserve">ual public reporting and recordkeeping burden for this collection of information is estimated to average </w:t>
      </w:r>
      <w:r w:rsidR="00CB1498" w:rsidRPr="00631557">
        <w:rPr>
          <w:rFonts w:ascii="Times New Roman" w:hAnsi="Times New Roman"/>
        </w:rPr>
        <w:t>1</w:t>
      </w:r>
      <w:r w:rsidR="00A2299D" w:rsidRPr="00631557">
        <w:rPr>
          <w:rFonts w:ascii="Times New Roman" w:hAnsi="Times New Roman"/>
        </w:rPr>
        <w:t>.</w:t>
      </w:r>
      <w:r w:rsidR="0018090F">
        <w:rPr>
          <w:rFonts w:ascii="Times New Roman" w:hAnsi="Times New Roman"/>
        </w:rPr>
        <w:t>0</w:t>
      </w:r>
      <w:r w:rsidR="001A30EF" w:rsidRPr="00631557">
        <w:rPr>
          <w:rFonts w:ascii="Times New Roman" w:hAnsi="Times New Roman"/>
        </w:rPr>
        <w:t xml:space="preserve"> hour</w:t>
      </w:r>
      <w:r w:rsidR="00A2299D" w:rsidRPr="00631557">
        <w:rPr>
          <w:rFonts w:ascii="Times New Roman" w:hAnsi="Times New Roman"/>
        </w:rPr>
        <w:t>s</w:t>
      </w:r>
      <w:r w:rsidR="001A30EF" w:rsidRPr="00631557">
        <w:rPr>
          <w:rFonts w:ascii="Times New Roman" w:hAnsi="Times New Roman"/>
        </w:rPr>
        <w:t xml:space="preserve"> per </w:t>
      </w:r>
      <w:r w:rsidR="00D45CD4" w:rsidRPr="00631557">
        <w:rPr>
          <w:rFonts w:ascii="Times New Roman" w:hAnsi="Times New Roman"/>
        </w:rPr>
        <w:t>response</w:t>
      </w:r>
      <w:r w:rsidR="001A30EF" w:rsidRPr="00631557">
        <w:rPr>
          <w:rFonts w:ascii="Times New Roman" w:hAnsi="Times New Roman"/>
        </w:rPr>
        <w:t>.</w:t>
      </w:r>
      <w:r w:rsidR="0011094A">
        <w:rPr>
          <w:rFonts w:ascii="Times New Roman" w:hAnsi="Times New Roman"/>
        </w:rPr>
        <w:t xml:space="preserve"> </w:t>
      </w:r>
      <w:r w:rsidRPr="00631557">
        <w:rPr>
          <w:rFonts w:ascii="Times New Roman" w:hAnsi="Times New Roman"/>
        </w:rPr>
        <w:t>Burden means the total time, effort, or financial resources expended by per</w:t>
      </w:r>
      <w:r w:rsidRPr="00877602">
        <w:rPr>
          <w:rFonts w:ascii="Times New Roman" w:hAnsi="Times New Roman"/>
        </w:rPr>
        <w:t>sons to generate, maintain, retain, or disclose or provide information to or for a Federal agency.</w:t>
      </w:r>
      <w:r w:rsidR="0011094A">
        <w:rPr>
          <w:rFonts w:ascii="Times New Roman" w:hAnsi="Times New Roman"/>
        </w:rPr>
        <w:t xml:space="preserve"> </w:t>
      </w:r>
      <w:r w:rsidRPr="00877602">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11094A">
        <w:rPr>
          <w:rFonts w:ascii="Times New Roman" w:hAnsi="Times New Roman"/>
        </w:rPr>
        <w:t xml:space="preserve"> </w:t>
      </w:r>
      <w:r w:rsidRPr="00877602">
        <w:rPr>
          <w:rFonts w:ascii="Times New Roman" w:hAnsi="Times New Roman"/>
        </w:rPr>
        <w:t>An agency may not conduct or sponsor, and a person is not required to respond to, a collection of information unless it displays a currently valid OMB control number.</w:t>
      </w:r>
      <w:r w:rsidR="0011094A">
        <w:rPr>
          <w:rFonts w:ascii="Times New Roman" w:hAnsi="Times New Roman"/>
        </w:rPr>
        <w:t xml:space="preserve"> </w:t>
      </w:r>
      <w:r w:rsidRPr="00877602">
        <w:rPr>
          <w:rFonts w:ascii="Times New Roman" w:hAnsi="Times New Roman"/>
        </w:rPr>
        <w:t>The OMB control numbers for EPA's re</w:t>
      </w:r>
      <w:r>
        <w:rPr>
          <w:rFonts w:ascii="Times New Roman" w:hAnsi="Times New Roman"/>
        </w:rPr>
        <w:t>gulations are listed in 40 CFR Part 9 and 48 CFR C</w:t>
      </w:r>
      <w:r w:rsidRPr="00877602">
        <w:rPr>
          <w:rFonts w:ascii="Times New Roman" w:hAnsi="Times New Roman"/>
        </w:rPr>
        <w:t>hapter 15.</w:t>
      </w:r>
      <w:r w:rsidR="0011094A">
        <w:rPr>
          <w:rFonts w:ascii="Times New Roman" w:hAnsi="Times New Roman"/>
        </w:rPr>
        <w:t xml:space="preserve">  </w:t>
      </w:r>
      <w:r w:rsidRPr="00877602">
        <w:rPr>
          <w:rFonts w:ascii="Times New Roman" w:hAnsi="Times New Roman"/>
        </w:rPr>
        <w:t xml:space="preserve"> </w:t>
      </w:r>
    </w:p>
    <w:p w14:paraId="59555078" w14:textId="512CCB84" w:rsidR="001E5FAA" w:rsidRPr="001E5FAA" w:rsidRDefault="001E5FAA">
      <w:pPr>
        <w:rPr>
          <w:rFonts w:ascii="Times New Roman" w:hAnsi="Times New Roman"/>
        </w:rPr>
      </w:pPr>
      <w:r w:rsidRPr="001E5FAA">
        <w:rPr>
          <w:rFonts w:ascii="Times New Roman" w:hAnsi="Times New Roman"/>
        </w:rPr>
        <w:tab/>
        <w:t>To comment on the Agency's need for this information, the accuracy of the provided burden estimates, and any suggested methods for minimizing respondent burden, including the use of aut</w:t>
      </w:r>
      <w:r w:rsidRPr="00DB2244">
        <w:rPr>
          <w:rFonts w:ascii="Times New Roman" w:hAnsi="Times New Roman"/>
        </w:rPr>
        <w:t>omated collection techniques, EPA has established a public docket for this ICR under Docket ID No</w:t>
      </w:r>
      <w:r w:rsidR="00766846" w:rsidRPr="00DB2244">
        <w:rPr>
          <w:rFonts w:ascii="Times New Roman" w:hAnsi="Times New Roman"/>
        </w:rPr>
        <w:t>. EPA-HQ-OAR-</w:t>
      </w:r>
      <w:r w:rsidR="00DB2244" w:rsidRPr="00DB2244">
        <w:rPr>
          <w:rFonts w:ascii="Times New Roman" w:hAnsi="Times New Roman"/>
        </w:rPr>
        <w:t>2014-0743</w:t>
      </w:r>
      <w:r w:rsidRPr="00DB2244">
        <w:rPr>
          <w:rFonts w:ascii="Times New Roman" w:hAnsi="Times New Roman"/>
        </w:rPr>
        <w:t>, which is available for public viewing at the Air and Radiation Docket and Information Center in the EPA Docket Center (EPA/DC), EPA West, Room 3334, 1301 Constitution Ave., NW, Washington, DC. The EPA Docket Center Public Reading Room is open from 8:30 a.m. to 4:30 p.m., Monday through Friday, excluding legal holidays.</w:t>
      </w:r>
      <w:r w:rsidR="0011094A">
        <w:rPr>
          <w:rFonts w:ascii="Times New Roman" w:hAnsi="Times New Roman"/>
        </w:rPr>
        <w:t xml:space="preserve"> </w:t>
      </w:r>
      <w:r w:rsidRPr="00DB2244">
        <w:rPr>
          <w:rFonts w:ascii="Times New Roman" w:hAnsi="Times New Roman"/>
        </w:rPr>
        <w:t>The telephone number for the Reading Room is (202) 566-1744, and the telephone number for the Air and Radiation Docket and Information Center is (202) 566-1742.</w:t>
      </w:r>
      <w:r w:rsidR="0011094A">
        <w:rPr>
          <w:rFonts w:ascii="Times New Roman" w:hAnsi="Times New Roman"/>
        </w:rPr>
        <w:t xml:space="preserve"> </w:t>
      </w:r>
      <w:r w:rsidRPr="00DB2244">
        <w:rPr>
          <w:rFonts w:ascii="Times New Roman" w:hAnsi="Times New Roman"/>
        </w:rPr>
        <w:t>An electronic version of the public docket is available at www.regulations.gov.</w:t>
      </w:r>
      <w:r w:rsidR="0011094A">
        <w:rPr>
          <w:rFonts w:ascii="Times New Roman" w:hAnsi="Times New Roman"/>
        </w:rPr>
        <w:t xml:space="preserve"> </w:t>
      </w:r>
      <w:r w:rsidRPr="00DB2244">
        <w:rPr>
          <w:rFonts w:ascii="Times New Roman" w:hAnsi="Times New Roman"/>
        </w:rPr>
        <w:t>This site can be used to submit or view public comments, access the index listing of the contents of the public docket, and to access those documents in the public docket that are available electronically.</w:t>
      </w:r>
      <w:r w:rsidR="0011094A">
        <w:rPr>
          <w:rFonts w:ascii="Times New Roman" w:hAnsi="Times New Roman"/>
        </w:rPr>
        <w:t xml:space="preserve"> </w:t>
      </w:r>
      <w:r w:rsidRPr="00DB2244">
        <w:rPr>
          <w:rFonts w:ascii="Times New Roman" w:hAnsi="Times New Roman"/>
        </w:rPr>
        <w:t>When in the system, select “search,” then key in the Docket ID Number identified above.</w:t>
      </w:r>
      <w:r w:rsidR="0011094A">
        <w:rPr>
          <w:rFonts w:ascii="Times New Roman" w:hAnsi="Times New Roman"/>
        </w:rPr>
        <w:t xml:space="preserve"> </w:t>
      </w:r>
      <w:r w:rsidRPr="00DB2244">
        <w:rPr>
          <w:rFonts w:ascii="Times New Roman" w:hAnsi="Times New Roman"/>
        </w:rPr>
        <w:t xml:space="preserve">Also, you can send comments to the Office of </w:t>
      </w:r>
      <w:r w:rsidRPr="00DB2244">
        <w:rPr>
          <w:rFonts w:ascii="Times New Roman" w:hAnsi="Times New Roman"/>
        </w:rPr>
        <w:lastRenderedPageBreak/>
        <w:t>Information and Regulatory Affairs, Office of Management and Budget, 725 17th Street, NW, Washington, DC 20503, Attention: Desk Office for EPA.</w:t>
      </w:r>
      <w:r w:rsidR="0011094A">
        <w:rPr>
          <w:rFonts w:ascii="Times New Roman" w:hAnsi="Times New Roman"/>
        </w:rPr>
        <w:t xml:space="preserve"> </w:t>
      </w:r>
      <w:r w:rsidRPr="00DB2244">
        <w:rPr>
          <w:rFonts w:ascii="Times New Roman" w:hAnsi="Times New Roman"/>
        </w:rPr>
        <w:t>Please include the EPA Docket ID No</w:t>
      </w:r>
      <w:r w:rsidR="00766846" w:rsidRPr="00DB2244">
        <w:rPr>
          <w:rFonts w:ascii="Times New Roman" w:hAnsi="Times New Roman"/>
        </w:rPr>
        <w:t>. EPA</w:t>
      </w:r>
      <w:r w:rsidR="00072CF4" w:rsidRPr="00DB2244">
        <w:rPr>
          <w:rFonts w:ascii="Times New Roman" w:hAnsi="Times New Roman"/>
        </w:rPr>
        <w:t>-HQ-OAR-</w:t>
      </w:r>
      <w:r w:rsidR="00DB2244" w:rsidRPr="00DB2244">
        <w:rPr>
          <w:rFonts w:ascii="Times New Roman" w:hAnsi="Times New Roman"/>
        </w:rPr>
        <w:t>2014-0743</w:t>
      </w:r>
      <w:r w:rsidRPr="001E5FAA">
        <w:rPr>
          <w:rFonts w:ascii="Times New Roman" w:hAnsi="Times New Roman"/>
        </w:rPr>
        <w:t xml:space="preserve"> and OMB control </w:t>
      </w:r>
      <w:r w:rsidRPr="00250E46">
        <w:rPr>
          <w:rFonts w:ascii="Times New Roman" w:hAnsi="Times New Roman"/>
        </w:rPr>
        <w:t xml:space="preserve">number </w:t>
      </w:r>
      <w:r w:rsidR="00D05054" w:rsidRPr="00250E46">
        <w:rPr>
          <w:rFonts w:ascii="Times New Roman" w:hAnsi="Times New Roman"/>
        </w:rPr>
        <w:t>2060-0</w:t>
      </w:r>
      <w:r w:rsidR="00250E46" w:rsidRPr="00250E46">
        <w:rPr>
          <w:rFonts w:ascii="Times New Roman" w:hAnsi="Times New Roman"/>
        </w:rPr>
        <w:t>482</w:t>
      </w:r>
      <w:r w:rsidRPr="00250E46">
        <w:rPr>
          <w:rFonts w:ascii="Times New Roman" w:hAnsi="Times New Roman"/>
        </w:rPr>
        <w:t xml:space="preserve"> in any</w:t>
      </w:r>
      <w:r w:rsidRPr="001E5FAA">
        <w:rPr>
          <w:rFonts w:ascii="Times New Roman" w:hAnsi="Times New Roman"/>
        </w:rPr>
        <w:t xml:space="preserve"> correspondence.</w:t>
      </w:r>
    </w:p>
    <w:p w14:paraId="38FCF5B1" w14:textId="77777777" w:rsidR="001A30EF" w:rsidRDefault="001A30EF" w:rsidP="007956DC">
      <w:pPr>
        <w:rPr>
          <w:rFonts w:ascii="Times New Roman" w:hAnsi="Times New Roman"/>
          <w:u w:val="single"/>
        </w:rPr>
      </w:pPr>
    </w:p>
    <w:p w14:paraId="5B6A68EE" w14:textId="77777777" w:rsidR="00D01078" w:rsidRPr="00877602" w:rsidRDefault="00D01078" w:rsidP="007956DC">
      <w:pPr>
        <w:rPr>
          <w:rFonts w:ascii="Times New Roman" w:hAnsi="Times New Roman"/>
          <w:u w:val="single"/>
        </w:rPr>
      </w:pPr>
      <w:r w:rsidRPr="00877602">
        <w:rPr>
          <w:rFonts w:ascii="Times New Roman" w:hAnsi="Times New Roman"/>
          <w:u w:val="single"/>
        </w:rPr>
        <w:t>Part B of the Supporting Statement</w:t>
      </w:r>
    </w:p>
    <w:p w14:paraId="1C48664D" w14:textId="77777777" w:rsidR="00D01078" w:rsidRPr="00877602" w:rsidRDefault="00D01078" w:rsidP="007956DC">
      <w:pPr>
        <w:rPr>
          <w:rFonts w:ascii="Times New Roman" w:hAnsi="Times New Roman"/>
          <w:u w:val="single"/>
        </w:rPr>
      </w:pPr>
    </w:p>
    <w:p w14:paraId="20896AC5" w14:textId="77777777" w:rsidR="00D01078" w:rsidRPr="00877602" w:rsidRDefault="00D01078" w:rsidP="00D01078">
      <w:pPr>
        <w:ind w:firstLine="720"/>
        <w:rPr>
          <w:rFonts w:ascii="Times New Roman" w:hAnsi="Times New Roman"/>
        </w:rPr>
      </w:pPr>
      <w:r w:rsidRPr="00877602">
        <w:rPr>
          <w:rFonts w:ascii="Times New Roman" w:hAnsi="Times New Roman"/>
        </w:rPr>
        <w:t>This Section is not applicable.</w:t>
      </w:r>
    </w:p>
    <w:sectPr w:rsidR="00D01078" w:rsidRPr="00877602" w:rsidSect="0062329C">
      <w:footerReference w:type="default" r:id="rId8"/>
      <w:pgSz w:w="12240" w:h="15840"/>
      <w:pgMar w:top="1440" w:right="1080" w:bottom="126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E4AA7" w14:textId="77777777" w:rsidR="00212836" w:rsidRDefault="00212836">
      <w:r>
        <w:separator/>
      </w:r>
    </w:p>
  </w:endnote>
  <w:endnote w:type="continuationSeparator" w:id="0">
    <w:p w14:paraId="59280611" w14:textId="77777777" w:rsidR="00212836" w:rsidRDefault="0021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0503" w14:textId="77777777" w:rsidR="001D45E4" w:rsidRPr="00DC1EFB" w:rsidRDefault="001D45E4" w:rsidP="00DC1EFB">
    <w:pPr>
      <w:jc w:val="center"/>
      <w:rPr>
        <w:rFonts w:ascii="Times New Roman" w:hAnsi="Times New Roman"/>
      </w:rPr>
    </w:pPr>
    <w:r w:rsidRPr="00DC1EFB">
      <w:rPr>
        <w:rStyle w:val="PageNumber"/>
        <w:rFonts w:ascii="Times New Roman" w:hAnsi="Times New Roman"/>
      </w:rPr>
      <w:fldChar w:fldCharType="begin"/>
    </w:r>
    <w:r w:rsidRPr="00DC1EFB">
      <w:rPr>
        <w:rStyle w:val="PageNumber"/>
        <w:rFonts w:ascii="Times New Roman" w:hAnsi="Times New Roman"/>
      </w:rPr>
      <w:instrText xml:space="preserve"> PAGE </w:instrText>
    </w:r>
    <w:r w:rsidRPr="00DC1EFB">
      <w:rPr>
        <w:rStyle w:val="PageNumber"/>
        <w:rFonts w:ascii="Times New Roman" w:hAnsi="Times New Roman"/>
      </w:rPr>
      <w:fldChar w:fldCharType="separate"/>
    </w:r>
    <w:r w:rsidR="000E2FB7">
      <w:rPr>
        <w:rStyle w:val="PageNumber"/>
        <w:rFonts w:ascii="Times New Roman" w:hAnsi="Times New Roman"/>
        <w:noProof/>
      </w:rPr>
      <w:t>2</w:t>
    </w:r>
    <w:r w:rsidRPr="00DC1EFB">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110D2" w14:textId="77777777" w:rsidR="00212836" w:rsidRDefault="00212836">
      <w:r>
        <w:separator/>
      </w:r>
    </w:p>
  </w:footnote>
  <w:footnote w:type="continuationSeparator" w:id="0">
    <w:p w14:paraId="16E2A157" w14:textId="77777777" w:rsidR="00212836" w:rsidRDefault="00212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285E5E"/>
    <w:lvl w:ilvl="0">
      <w:numFmt w:val="decimal"/>
      <w:lvlText w:val="*"/>
      <w:lvlJc w:val="left"/>
    </w:lvl>
  </w:abstractNum>
  <w:abstractNum w:abstractNumId="1">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9ED0D36"/>
    <w:multiLevelType w:val="hybridMultilevel"/>
    <w:tmpl w:val="11AC4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0C0520"/>
    <w:multiLevelType w:val="hybridMultilevel"/>
    <w:tmpl w:val="A9A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E7DC5"/>
    <w:multiLevelType w:val="hybridMultilevel"/>
    <w:tmpl w:val="6906758A"/>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250598"/>
    <w:multiLevelType w:val="hybridMultilevel"/>
    <w:tmpl w:val="84287414"/>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9925E8"/>
    <w:multiLevelType w:val="hybridMultilevel"/>
    <w:tmpl w:val="BB704132"/>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BA5586"/>
    <w:multiLevelType w:val="hybridMultilevel"/>
    <w:tmpl w:val="CF1842E4"/>
    <w:lvl w:ilvl="0" w:tplc="C2E45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A11A80"/>
    <w:multiLevelType w:val="hybridMultilevel"/>
    <w:tmpl w:val="C8144146"/>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7D0FD9"/>
    <w:multiLevelType w:val="hybridMultilevel"/>
    <w:tmpl w:val="3D847558"/>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A3520F"/>
    <w:multiLevelType w:val="hybridMultilevel"/>
    <w:tmpl w:val="BC7A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FA1EF4"/>
    <w:multiLevelType w:val="hybridMultilevel"/>
    <w:tmpl w:val="71869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5B4666"/>
    <w:multiLevelType w:val="hybridMultilevel"/>
    <w:tmpl w:val="5DB212E0"/>
    <w:lvl w:ilvl="0" w:tplc="1D42A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E90EC6"/>
    <w:multiLevelType w:val="hybridMultilevel"/>
    <w:tmpl w:val="0D4C7086"/>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85705"/>
    <w:multiLevelType w:val="hybridMultilevel"/>
    <w:tmpl w:val="2FD8E1D0"/>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295F33"/>
    <w:multiLevelType w:val="hybridMultilevel"/>
    <w:tmpl w:val="F8FCA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BA616B"/>
    <w:multiLevelType w:val="hybridMultilevel"/>
    <w:tmpl w:val="236C5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F36788"/>
    <w:multiLevelType w:val="hybridMultilevel"/>
    <w:tmpl w:val="2A94C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1C49D7"/>
    <w:multiLevelType w:val="hybridMultilevel"/>
    <w:tmpl w:val="24D0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Courier" w:hAnsi="Courier" w:hint="default"/>
        </w:rPr>
      </w:lvl>
    </w:lvlOverride>
  </w:num>
  <w:num w:numId="2">
    <w:abstractNumId w:val="6"/>
  </w:num>
  <w:num w:numId="3">
    <w:abstractNumId w:val="10"/>
  </w:num>
  <w:num w:numId="4">
    <w:abstractNumId w:val="7"/>
  </w:num>
  <w:num w:numId="5">
    <w:abstractNumId w:val="9"/>
  </w:num>
  <w:num w:numId="6">
    <w:abstractNumId w:val="14"/>
  </w:num>
  <w:num w:numId="7">
    <w:abstractNumId w:val="5"/>
  </w:num>
  <w:num w:numId="8">
    <w:abstractNumId w:val="15"/>
  </w:num>
  <w:num w:numId="9">
    <w:abstractNumId w:val="11"/>
  </w:num>
  <w:num w:numId="10">
    <w:abstractNumId w:val="16"/>
  </w:num>
  <w:num w:numId="11">
    <w:abstractNumId w:val="19"/>
  </w:num>
  <w:num w:numId="12">
    <w:abstractNumId w:val="18"/>
  </w:num>
  <w:num w:numId="13">
    <w:abstractNumId w:val="17"/>
  </w:num>
  <w:num w:numId="14">
    <w:abstractNumId w:val="8"/>
  </w:num>
  <w:num w:numId="15">
    <w:abstractNumId w:val="12"/>
  </w:num>
  <w:num w:numId="16">
    <w:abstractNumId w:val="13"/>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8D"/>
    <w:rsid w:val="0000093A"/>
    <w:rsid w:val="00003BE5"/>
    <w:rsid w:val="000108B5"/>
    <w:rsid w:val="00010D54"/>
    <w:rsid w:val="00017F51"/>
    <w:rsid w:val="00023425"/>
    <w:rsid w:val="000261AD"/>
    <w:rsid w:val="00026D2F"/>
    <w:rsid w:val="00040ED3"/>
    <w:rsid w:val="00044A1E"/>
    <w:rsid w:val="00054578"/>
    <w:rsid w:val="00060451"/>
    <w:rsid w:val="00062AA8"/>
    <w:rsid w:val="00072CF4"/>
    <w:rsid w:val="00076588"/>
    <w:rsid w:val="00080944"/>
    <w:rsid w:val="00085B0D"/>
    <w:rsid w:val="000D08F9"/>
    <w:rsid w:val="000D249F"/>
    <w:rsid w:val="000E180E"/>
    <w:rsid w:val="000E2FB7"/>
    <w:rsid w:val="000E7B43"/>
    <w:rsid w:val="000E7D79"/>
    <w:rsid w:val="000F041F"/>
    <w:rsid w:val="000F61B5"/>
    <w:rsid w:val="0010463A"/>
    <w:rsid w:val="00106A16"/>
    <w:rsid w:val="0011094A"/>
    <w:rsid w:val="00116182"/>
    <w:rsid w:val="00123635"/>
    <w:rsid w:val="00127391"/>
    <w:rsid w:val="00130505"/>
    <w:rsid w:val="00137CF0"/>
    <w:rsid w:val="00140290"/>
    <w:rsid w:val="00145364"/>
    <w:rsid w:val="00154E8B"/>
    <w:rsid w:val="00155C11"/>
    <w:rsid w:val="00156CF7"/>
    <w:rsid w:val="00160E4A"/>
    <w:rsid w:val="00172D03"/>
    <w:rsid w:val="001735BC"/>
    <w:rsid w:val="00173810"/>
    <w:rsid w:val="0018090F"/>
    <w:rsid w:val="0018356D"/>
    <w:rsid w:val="001912A4"/>
    <w:rsid w:val="001A061F"/>
    <w:rsid w:val="001A11ED"/>
    <w:rsid w:val="001A30EF"/>
    <w:rsid w:val="001A530D"/>
    <w:rsid w:val="001D45E4"/>
    <w:rsid w:val="001E1E0C"/>
    <w:rsid w:val="001E5FAA"/>
    <w:rsid w:val="001E64D6"/>
    <w:rsid w:val="001E6ECB"/>
    <w:rsid w:val="001E7E3D"/>
    <w:rsid w:val="001F2938"/>
    <w:rsid w:val="001F436E"/>
    <w:rsid w:val="002001A5"/>
    <w:rsid w:val="00200C3A"/>
    <w:rsid w:val="00212836"/>
    <w:rsid w:val="00221E6D"/>
    <w:rsid w:val="002230E0"/>
    <w:rsid w:val="002355FB"/>
    <w:rsid w:val="002432AA"/>
    <w:rsid w:val="00245E64"/>
    <w:rsid w:val="00250E46"/>
    <w:rsid w:val="00252940"/>
    <w:rsid w:val="00260DA4"/>
    <w:rsid w:val="00262803"/>
    <w:rsid w:val="00263C41"/>
    <w:rsid w:val="00265CA5"/>
    <w:rsid w:val="00273DCD"/>
    <w:rsid w:val="00293A74"/>
    <w:rsid w:val="0029586B"/>
    <w:rsid w:val="002A29C3"/>
    <w:rsid w:val="002A740E"/>
    <w:rsid w:val="002A7633"/>
    <w:rsid w:val="002B668C"/>
    <w:rsid w:val="002D04A8"/>
    <w:rsid w:val="002E078F"/>
    <w:rsid w:val="002F0585"/>
    <w:rsid w:val="00306E30"/>
    <w:rsid w:val="003155DA"/>
    <w:rsid w:val="003206A5"/>
    <w:rsid w:val="00321188"/>
    <w:rsid w:val="003227E2"/>
    <w:rsid w:val="00366D1B"/>
    <w:rsid w:val="0038145B"/>
    <w:rsid w:val="00386F1F"/>
    <w:rsid w:val="003963D2"/>
    <w:rsid w:val="003A5007"/>
    <w:rsid w:val="003B207F"/>
    <w:rsid w:val="003B23E0"/>
    <w:rsid w:val="003E3937"/>
    <w:rsid w:val="003F09C5"/>
    <w:rsid w:val="00407C91"/>
    <w:rsid w:val="004179C4"/>
    <w:rsid w:val="00420500"/>
    <w:rsid w:val="00420680"/>
    <w:rsid w:val="00426455"/>
    <w:rsid w:val="00432F3F"/>
    <w:rsid w:val="00434DFF"/>
    <w:rsid w:val="0044497D"/>
    <w:rsid w:val="00445CA9"/>
    <w:rsid w:val="00462413"/>
    <w:rsid w:val="00463F37"/>
    <w:rsid w:val="004659A7"/>
    <w:rsid w:val="004739FF"/>
    <w:rsid w:val="00482E79"/>
    <w:rsid w:val="00493081"/>
    <w:rsid w:val="00497B34"/>
    <w:rsid w:val="004A2AD1"/>
    <w:rsid w:val="004B404C"/>
    <w:rsid w:val="004B4293"/>
    <w:rsid w:val="004B4A23"/>
    <w:rsid w:val="004B4F5A"/>
    <w:rsid w:val="004B731D"/>
    <w:rsid w:val="004C2F28"/>
    <w:rsid w:val="004C6A2C"/>
    <w:rsid w:val="004E44B9"/>
    <w:rsid w:val="004E60A9"/>
    <w:rsid w:val="004E6E31"/>
    <w:rsid w:val="004E786D"/>
    <w:rsid w:val="004F2A88"/>
    <w:rsid w:val="004F3C56"/>
    <w:rsid w:val="0050601D"/>
    <w:rsid w:val="00513EE2"/>
    <w:rsid w:val="00533211"/>
    <w:rsid w:val="00534DE6"/>
    <w:rsid w:val="0053582C"/>
    <w:rsid w:val="0053666D"/>
    <w:rsid w:val="005511A4"/>
    <w:rsid w:val="0056037B"/>
    <w:rsid w:val="005625AA"/>
    <w:rsid w:val="005626E2"/>
    <w:rsid w:val="00563396"/>
    <w:rsid w:val="00574603"/>
    <w:rsid w:val="005750DD"/>
    <w:rsid w:val="00584224"/>
    <w:rsid w:val="005A10AD"/>
    <w:rsid w:val="005A43FC"/>
    <w:rsid w:val="005A7896"/>
    <w:rsid w:val="005B4A2A"/>
    <w:rsid w:val="005B4B11"/>
    <w:rsid w:val="005C3B96"/>
    <w:rsid w:val="005C4549"/>
    <w:rsid w:val="005D6D3F"/>
    <w:rsid w:val="00600E5B"/>
    <w:rsid w:val="006038A6"/>
    <w:rsid w:val="00610C03"/>
    <w:rsid w:val="0062329C"/>
    <w:rsid w:val="0062616C"/>
    <w:rsid w:val="00631557"/>
    <w:rsid w:val="006568B7"/>
    <w:rsid w:val="00662453"/>
    <w:rsid w:val="00662B11"/>
    <w:rsid w:val="00665942"/>
    <w:rsid w:val="00674F1A"/>
    <w:rsid w:val="00680FC1"/>
    <w:rsid w:val="00683ED3"/>
    <w:rsid w:val="00684BBD"/>
    <w:rsid w:val="006857A7"/>
    <w:rsid w:val="006942BC"/>
    <w:rsid w:val="006A2EAF"/>
    <w:rsid w:val="006B5C69"/>
    <w:rsid w:val="006B68E7"/>
    <w:rsid w:val="006C40B0"/>
    <w:rsid w:val="006C4E84"/>
    <w:rsid w:val="006D0AA5"/>
    <w:rsid w:val="006D3FB5"/>
    <w:rsid w:val="006D4F3A"/>
    <w:rsid w:val="006F65DF"/>
    <w:rsid w:val="006F6D6D"/>
    <w:rsid w:val="0070381E"/>
    <w:rsid w:val="00713BDE"/>
    <w:rsid w:val="00715ED0"/>
    <w:rsid w:val="00721298"/>
    <w:rsid w:val="00724FB7"/>
    <w:rsid w:val="00766846"/>
    <w:rsid w:val="00770BDF"/>
    <w:rsid w:val="00786DA1"/>
    <w:rsid w:val="007956DC"/>
    <w:rsid w:val="00795F38"/>
    <w:rsid w:val="007A010F"/>
    <w:rsid w:val="007A26A9"/>
    <w:rsid w:val="007A5D1A"/>
    <w:rsid w:val="007C23B1"/>
    <w:rsid w:val="007C33A0"/>
    <w:rsid w:val="007C3C76"/>
    <w:rsid w:val="007C5EAA"/>
    <w:rsid w:val="007D4D41"/>
    <w:rsid w:val="007D543B"/>
    <w:rsid w:val="007D5E37"/>
    <w:rsid w:val="007D6585"/>
    <w:rsid w:val="007E2508"/>
    <w:rsid w:val="007E4C88"/>
    <w:rsid w:val="007F5ECB"/>
    <w:rsid w:val="00805599"/>
    <w:rsid w:val="0080661D"/>
    <w:rsid w:val="00807213"/>
    <w:rsid w:val="0080783C"/>
    <w:rsid w:val="00811430"/>
    <w:rsid w:val="00811A56"/>
    <w:rsid w:val="00823A8B"/>
    <w:rsid w:val="008323D0"/>
    <w:rsid w:val="00833C95"/>
    <w:rsid w:val="0084340A"/>
    <w:rsid w:val="00857090"/>
    <w:rsid w:val="00862C5B"/>
    <w:rsid w:val="00877602"/>
    <w:rsid w:val="00877F41"/>
    <w:rsid w:val="008805A6"/>
    <w:rsid w:val="00881CF1"/>
    <w:rsid w:val="00881F46"/>
    <w:rsid w:val="008864AC"/>
    <w:rsid w:val="008919A8"/>
    <w:rsid w:val="00892497"/>
    <w:rsid w:val="008A4A1E"/>
    <w:rsid w:val="008B1FE7"/>
    <w:rsid w:val="008D258C"/>
    <w:rsid w:val="008E0569"/>
    <w:rsid w:val="008E0C52"/>
    <w:rsid w:val="008F059F"/>
    <w:rsid w:val="008F3E13"/>
    <w:rsid w:val="008F72E7"/>
    <w:rsid w:val="00912C82"/>
    <w:rsid w:val="00913BFD"/>
    <w:rsid w:val="00914872"/>
    <w:rsid w:val="00917C97"/>
    <w:rsid w:val="0092114B"/>
    <w:rsid w:val="00927104"/>
    <w:rsid w:val="00927D44"/>
    <w:rsid w:val="00927E59"/>
    <w:rsid w:val="009339AA"/>
    <w:rsid w:val="00945E96"/>
    <w:rsid w:val="00947063"/>
    <w:rsid w:val="00953F15"/>
    <w:rsid w:val="00954555"/>
    <w:rsid w:val="00970DC5"/>
    <w:rsid w:val="0097104F"/>
    <w:rsid w:val="0097461C"/>
    <w:rsid w:val="00975857"/>
    <w:rsid w:val="00980F17"/>
    <w:rsid w:val="00992299"/>
    <w:rsid w:val="00997DCA"/>
    <w:rsid w:val="009A22CA"/>
    <w:rsid w:val="009B5E5A"/>
    <w:rsid w:val="009C1091"/>
    <w:rsid w:val="009E61CB"/>
    <w:rsid w:val="009F2318"/>
    <w:rsid w:val="009F5B1C"/>
    <w:rsid w:val="00A002BF"/>
    <w:rsid w:val="00A036ED"/>
    <w:rsid w:val="00A0587E"/>
    <w:rsid w:val="00A21B91"/>
    <w:rsid w:val="00A2299D"/>
    <w:rsid w:val="00A42970"/>
    <w:rsid w:val="00A5310F"/>
    <w:rsid w:val="00A53112"/>
    <w:rsid w:val="00A536A0"/>
    <w:rsid w:val="00A74339"/>
    <w:rsid w:val="00A745AE"/>
    <w:rsid w:val="00A75999"/>
    <w:rsid w:val="00A8182F"/>
    <w:rsid w:val="00A818B5"/>
    <w:rsid w:val="00A938BF"/>
    <w:rsid w:val="00A94309"/>
    <w:rsid w:val="00A95969"/>
    <w:rsid w:val="00A96CB3"/>
    <w:rsid w:val="00AA3651"/>
    <w:rsid w:val="00AA64A8"/>
    <w:rsid w:val="00AB3F24"/>
    <w:rsid w:val="00AB41EA"/>
    <w:rsid w:val="00AC5AF1"/>
    <w:rsid w:val="00AC5C80"/>
    <w:rsid w:val="00AC73A6"/>
    <w:rsid w:val="00AD290B"/>
    <w:rsid w:val="00AE40F4"/>
    <w:rsid w:val="00B0107A"/>
    <w:rsid w:val="00B144C2"/>
    <w:rsid w:val="00B3298E"/>
    <w:rsid w:val="00B449DA"/>
    <w:rsid w:val="00B44D93"/>
    <w:rsid w:val="00B90D8D"/>
    <w:rsid w:val="00B92286"/>
    <w:rsid w:val="00BA50B7"/>
    <w:rsid w:val="00BB0254"/>
    <w:rsid w:val="00BB2A6D"/>
    <w:rsid w:val="00BB3266"/>
    <w:rsid w:val="00BB39C6"/>
    <w:rsid w:val="00BB6E78"/>
    <w:rsid w:val="00BD50F3"/>
    <w:rsid w:val="00BE1296"/>
    <w:rsid w:val="00BF1189"/>
    <w:rsid w:val="00BF345A"/>
    <w:rsid w:val="00C257EA"/>
    <w:rsid w:val="00C41DE5"/>
    <w:rsid w:val="00C42C0F"/>
    <w:rsid w:val="00C52F08"/>
    <w:rsid w:val="00C54EC3"/>
    <w:rsid w:val="00C5630D"/>
    <w:rsid w:val="00C601DF"/>
    <w:rsid w:val="00C61298"/>
    <w:rsid w:val="00C6662A"/>
    <w:rsid w:val="00C74359"/>
    <w:rsid w:val="00C75985"/>
    <w:rsid w:val="00C837F7"/>
    <w:rsid w:val="00C91B8C"/>
    <w:rsid w:val="00C92B47"/>
    <w:rsid w:val="00C95995"/>
    <w:rsid w:val="00CB0B4C"/>
    <w:rsid w:val="00CB1498"/>
    <w:rsid w:val="00CC055D"/>
    <w:rsid w:val="00CC12D8"/>
    <w:rsid w:val="00CD4C44"/>
    <w:rsid w:val="00CE5808"/>
    <w:rsid w:val="00CF11C7"/>
    <w:rsid w:val="00CF532D"/>
    <w:rsid w:val="00D00CF3"/>
    <w:rsid w:val="00D01078"/>
    <w:rsid w:val="00D05054"/>
    <w:rsid w:val="00D055A9"/>
    <w:rsid w:val="00D10B31"/>
    <w:rsid w:val="00D10DD1"/>
    <w:rsid w:val="00D13B6E"/>
    <w:rsid w:val="00D140F0"/>
    <w:rsid w:val="00D14779"/>
    <w:rsid w:val="00D14BA6"/>
    <w:rsid w:val="00D17A51"/>
    <w:rsid w:val="00D27ACA"/>
    <w:rsid w:val="00D325A1"/>
    <w:rsid w:val="00D45CD4"/>
    <w:rsid w:val="00D50C2A"/>
    <w:rsid w:val="00D53469"/>
    <w:rsid w:val="00D62746"/>
    <w:rsid w:val="00D6301F"/>
    <w:rsid w:val="00D65736"/>
    <w:rsid w:val="00D724AE"/>
    <w:rsid w:val="00D82E5D"/>
    <w:rsid w:val="00D86252"/>
    <w:rsid w:val="00D86259"/>
    <w:rsid w:val="00D94D9A"/>
    <w:rsid w:val="00DA49D2"/>
    <w:rsid w:val="00DB2244"/>
    <w:rsid w:val="00DB2276"/>
    <w:rsid w:val="00DC1EFB"/>
    <w:rsid w:val="00DC38AD"/>
    <w:rsid w:val="00DD3AC9"/>
    <w:rsid w:val="00DD41DE"/>
    <w:rsid w:val="00DD465A"/>
    <w:rsid w:val="00DF6EB8"/>
    <w:rsid w:val="00E05528"/>
    <w:rsid w:val="00E0653F"/>
    <w:rsid w:val="00E127F3"/>
    <w:rsid w:val="00E238EF"/>
    <w:rsid w:val="00E26AD5"/>
    <w:rsid w:val="00E35601"/>
    <w:rsid w:val="00E44069"/>
    <w:rsid w:val="00E50293"/>
    <w:rsid w:val="00E5097A"/>
    <w:rsid w:val="00E563A7"/>
    <w:rsid w:val="00E60800"/>
    <w:rsid w:val="00E653B6"/>
    <w:rsid w:val="00E67443"/>
    <w:rsid w:val="00E74487"/>
    <w:rsid w:val="00E81735"/>
    <w:rsid w:val="00E828E7"/>
    <w:rsid w:val="00E973CF"/>
    <w:rsid w:val="00EA018D"/>
    <w:rsid w:val="00EA7764"/>
    <w:rsid w:val="00EB33C2"/>
    <w:rsid w:val="00EC13F2"/>
    <w:rsid w:val="00EC3E2A"/>
    <w:rsid w:val="00EC564E"/>
    <w:rsid w:val="00EC6CD7"/>
    <w:rsid w:val="00ED4F60"/>
    <w:rsid w:val="00ED5F90"/>
    <w:rsid w:val="00ED689D"/>
    <w:rsid w:val="00EE671C"/>
    <w:rsid w:val="00F158C2"/>
    <w:rsid w:val="00F23AD8"/>
    <w:rsid w:val="00F24903"/>
    <w:rsid w:val="00F35536"/>
    <w:rsid w:val="00F41373"/>
    <w:rsid w:val="00F43E03"/>
    <w:rsid w:val="00F45186"/>
    <w:rsid w:val="00F513E4"/>
    <w:rsid w:val="00F5607F"/>
    <w:rsid w:val="00F565EC"/>
    <w:rsid w:val="00F6278D"/>
    <w:rsid w:val="00F62A3E"/>
    <w:rsid w:val="00F63CD9"/>
    <w:rsid w:val="00F66444"/>
    <w:rsid w:val="00F7269E"/>
    <w:rsid w:val="00F74A26"/>
    <w:rsid w:val="00F74A9D"/>
    <w:rsid w:val="00F752C9"/>
    <w:rsid w:val="00F773D0"/>
    <w:rsid w:val="00F8454E"/>
    <w:rsid w:val="00F850C7"/>
    <w:rsid w:val="00F92B91"/>
    <w:rsid w:val="00FA0740"/>
    <w:rsid w:val="00FA40C0"/>
    <w:rsid w:val="00FA566D"/>
    <w:rsid w:val="00FA575F"/>
    <w:rsid w:val="00FA6C60"/>
    <w:rsid w:val="00FB2121"/>
    <w:rsid w:val="00FB7389"/>
    <w:rsid w:val="00FC7CE1"/>
    <w:rsid w:val="00FD2053"/>
    <w:rsid w:val="00FE18E0"/>
    <w:rsid w:val="00FE2CF5"/>
    <w:rsid w:val="00FE3E6C"/>
    <w:rsid w:val="00FE6386"/>
    <w:rsid w:val="00FF2126"/>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4CD4B6"/>
  <w15:docId w15:val="{0A1B4B68-15B5-4BD0-9EA8-E546D921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6E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6ED"/>
  </w:style>
  <w:style w:type="character" w:customStyle="1" w:styleId="Hypertext">
    <w:name w:val="Hypertext"/>
    <w:rsid w:val="00A036ED"/>
    <w:rPr>
      <w:color w:val="0000FF"/>
      <w:u w:val="single"/>
    </w:rPr>
  </w:style>
  <w:style w:type="paragraph" w:customStyle="1" w:styleId="Level1">
    <w:name w:val="Level 1"/>
    <w:basedOn w:val="Normal"/>
    <w:rsid w:val="00A036ED"/>
    <w:pPr>
      <w:ind w:left="1440" w:hanging="720"/>
    </w:pPr>
  </w:style>
  <w:style w:type="paragraph" w:customStyle="1" w:styleId="Level3">
    <w:name w:val="Level 3"/>
    <w:basedOn w:val="Normal"/>
    <w:rsid w:val="00A036ED"/>
    <w:pPr>
      <w:ind w:left="2160" w:hanging="720"/>
    </w:pPr>
  </w:style>
  <w:style w:type="table" w:styleId="TableGrid">
    <w:name w:val="Table Grid"/>
    <w:basedOn w:val="TableNormal"/>
    <w:rsid w:val="00A943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091"/>
    <w:pPr>
      <w:tabs>
        <w:tab w:val="center" w:pos="4320"/>
        <w:tab w:val="right" w:pos="8640"/>
      </w:tabs>
    </w:pPr>
  </w:style>
  <w:style w:type="paragraph" w:styleId="Footer">
    <w:name w:val="footer"/>
    <w:basedOn w:val="Normal"/>
    <w:rsid w:val="009C1091"/>
    <w:pPr>
      <w:tabs>
        <w:tab w:val="center" w:pos="4320"/>
        <w:tab w:val="right" w:pos="8640"/>
      </w:tabs>
    </w:pPr>
  </w:style>
  <w:style w:type="character" w:styleId="CommentReference">
    <w:name w:val="annotation reference"/>
    <w:basedOn w:val="DefaultParagraphFont"/>
    <w:semiHidden/>
    <w:rsid w:val="00D140F0"/>
    <w:rPr>
      <w:sz w:val="16"/>
      <w:szCs w:val="16"/>
    </w:rPr>
  </w:style>
  <w:style w:type="paragraph" w:styleId="CommentText">
    <w:name w:val="annotation text"/>
    <w:basedOn w:val="Normal"/>
    <w:semiHidden/>
    <w:rsid w:val="00D140F0"/>
    <w:rPr>
      <w:sz w:val="20"/>
      <w:szCs w:val="20"/>
    </w:rPr>
  </w:style>
  <w:style w:type="paragraph" w:styleId="CommentSubject">
    <w:name w:val="annotation subject"/>
    <w:basedOn w:val="CommentText"/>
    <w:next w:val="CommentText"/>
    <w:semiHidden/>
    <w:rsid w:val="00D140F0"/>
    <w:rPr>
      <w:b/>
      <w:bCs/>
    </w:rPr>
  </w:style>
  <w:style w:type="paragraph" w:styleId="BalloonText">
    <w:name w:val="Balloon Text"/>
    <w:basedOn w:val="Normal"/>
    <w:semiHidden/>
    <w:rsid w:val="00D140F0"/>
    <w:rPr>
      <w:rFonts w:ascii="Tahoma" w:hAnsi="Tahoma" w:cs="Tahoma"/>
      <w:sz w:val="16"/>
      <w:szCs w:val="16"/>
    </w:rPr>
  </w:style>
  <w:style w:type="character" w:styleId="PageNumber">
    <w:name w:val="page number"/>
    <w:basedOn w:val="DefaultParagraphFont"/>
    <w:rsid w:val="00DC1EFB"/>
  </w:style>
  <w:style w:type="paragraph" w:styleId="Revision">
    <w:name w:val="Revision"/>
    <w:hidden/>
    <w:uiPriority w:val="99"/>
    <w:semiHidden/>
    <w:rsid w:val="00155C1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4904">
      <w:bodyDiv w:val="1"/>
      <w:marLeft w:val="0"/>
      <w:marRight w:val="0"/>
      <w:marTop w:val="0"/>
      <w:marBottom w:val="0"/>
      <w:divBdr>
        <w:top w:val="none" w:sz="0" w:space="0" w:color="auto"/>
        <w:left w:val="none" w:sz="0" w:space="0" w:color="auto"/>
        <w:bottom w:val="none" w:sz="0" w:space="0" w:color="auto"/>
        <w:right w:val="none" w:sz="0" w:space="0" w:color="auto"/>
      </w:divBdr>
    </w:div>
    <w:div w:id="27033316">
      <w:bodyDiv w:val="1"/>
      <w:marLeft w:val="0"/>
      <w:marRight w:val="0"/>
      <w:marTop w:val="0"/>
      <w:marBottom w:val="0"/>
      <w:divBdr>
        <w:top w:val="none" w:sz="0" w:space="0" w:color="auto"/>
        <w:left w:val="none" w:sz="0" w:space="0" w:color="auto"/>
        <w:bottom w:val="none" w:sz="0" w:space="0" w:color="auto"/>
        <w:right w:val="none" w:sz="0" w:space="0" w:color="auto"/>
      </w:divBdr>
    </w:div>
    <w:div w:id="32391813">
      <w:bodyDiv w:val="1"/>
      <w:marLeft w:val="0"/>
      <w:marRight w:val="0"/>
      <w:marTop w:val="0"/>
      <w:marBottom w:val="0"/>
      <w:divBdr>
        <w:top w:val="none" w:sz="0" w:space="0" w:color="auto"/>
        <w:left w:val="none" w:sz="0" w:space="0" w:color="auto"/>
        <w:bottom w:val="none" w:sz="0" w:space="0" w:color="auto"/>
        <w:right w:val="none" w:sz="0" w:space="0" w:color="auto"/>
      </w:divBdr>
    </w:div>
    <w:div w:id="34701093">
      <w:bodyDiv w:val="1"/>
      <w:marLeft w:val="0"/>
      <w:marRight w:val="0"/>
      <w:marTop w:val="0"/>
      <w:marBottom w:val="0"/>
      <w:divBdr>
        <w:top w:val="none" w:sz="0" w:space="0" w:color="auto"/>
        <w:left w:val="none" w:sz="0" w:space="0" w:color="auto"/>
        <w:bottom w:val="none" w:sz="0" w:space="0" w:color="auto"/>
        <w:right w:val="none" w:sz="0" w:space="0" w:color="auto"/>
      </w:divBdr>
    </w:div>
    <w:div w:id="54013496">
      <w:bodyDiv w:val="1"/>
      <w:marLeft w:val="0"/>
      <w:marRight w:val="0"/>
      <w:marTop w:val="0"/>
      <w:marBottom w:val="0"/>
      <w:divBdr>
        <w:top w:val="none" w:sz="0" w:space="0" w:color="auto"/>
        <w:left w:val="none" w:sz="0" w:space="0" w:color="auto"/>
        <w:bottom w:val="none" w:sz="0" w:space="0" w:color="auto"/>
        <w:right w:val="none" w:sz="0" w:space="0" w:color="auto"/>
      </w:divBdr>
    </w:div>
    <w:div w:id="98448330">
      <w:bodyDiv w:val="1"/>
      <w:marLeft w:val="0"/>
      <w:marRight w:val="0"/>
      <w:marTop w:val="0"/>
      <w:marBottom w:val="0"/>
      <w:divBdr>
        <w:top w:val="none" w:sz="0" w:space="0" w:color="auto"/>
        <w:left w:val="none" w:sz="0" w:space="0" w:color="auto"/>
        <w:bottom w:val="none" w:sz="0" w:space="0" w:color="auto"/>
        <w:right w:val="none" w:sz="0" w:space="0" w:color="auto"/>
      </w:divBdr>
    </w:div>
    <w:div w:id="104352095">
      <w:bodyDiv w:val="1"/>
      <w:marLeft w:val="0"/>
      <w:marRight w:val="0"/>
      <w:marTop w:val="0"/>
      <w:marBottom w:val="0"/>
      <w:divBdr>
        <w:top w:val="none" w:sz="0" w:space="0" w:color="auto"/>
        <w:left w:val="none" w:sz="0" w:space="0" w:color="auto"/>
        <w:bottom w:val="none" w:sz="0" w:space="0" w:color="auto"/>
        <w:right w:val="none" w:sz="0" w:space="0" w:color="auto"/>
      </w:divBdr>
    </w:div>
    <w:div w:id="153187780">
      <w:bodyDiv w:val="1"/>
      <w:marLeft w:val="0"/>
      <w:marRight w:val="0"/>
      <w:marTop w:val="0"/>
      <w:marBottom w:val="0"/>
      <w:divBdr>
        <w:top w:val="none" w:sz="0" w:space="0" w:color="auto"/>
        <w:left w:val="none" w:sz="0" w:space="0" w:color="auto"/>
        <w:bottom w:val="none" w:sz="0" w:space="0" w:color="auto"/>
        <w:right w:val="none" w:sz="0" w:space="0" w:color="auto"/>
      </w:divBdr>
    </w:div>
    <w:div w:id="159739146">
      <w:bodyDiv w:val="1"/>
      <w:marLeft w:val="0"/>
      <w:marRight w:val="0"/>
      <w:marTop w:val="0"/>
      <w:marBottom w:val="0"/>
      <w:divBdr>
        <w:top w:val="none" w:sz="0" w:space="0" w:color="auto"/>
        <w:left w:val="none" w:sz="0" w:space="0" w:color="auto"/>
        <w:bottom w:val="none" w:sz="0" w:space="0" w:color="auto"/>
        <w:right w:val="none" w:sz="0" w:space="0" w:color="auto"/>
      </w:divBdr>
    </w:div>
    <w:div w:id="174417314">
      <w:bodyDiv w:val="1"/>
      <w:marLeft w:val="0"/>
      <w:marRight w:val="0"/>
      <w:marTop w:val="0"/>
      <w:marBottom w:val="0"/>
      <w:divBdr>
        <w:top w:val="none" w:sz="0" w:space="0" w:color="auto"/>
        <w:left w:val="none" w:sz="0" w:space="0" w:color="auto"/>
        <w:bottom w:val="none" w:sz="0" w:space="0" w:color="auto"/>
        <w:right w:val="none" w:sz="0" w:space="0" w:color="auto"/>
      </w:divBdr>
    </w:div>
    <w:div w:id="179398819">
      <w:bodyDiv w:val="1"/>
      <w:marLeft w:val="0"/>
      <w:marRight w:val="0"/>
      <w:marTop w:val="0"/>
      <w:marBottom w:val="0"/>
      <w:divBdr>
        <w:top w:val="none" w:sz="0" w:space="0" w:color="auto"/>
        <w:left w:val="none" w:sz="0" w:space="0" w:color="auto"/>
        <w:bottom w:val="none" w:sz="0" w:space="0" w:color="auto"/>
        <w:right w:val="none" w:sz="0" w:space="0" w:color="auto"/>
      </w:divBdr>
    </w:div>
    <w:div w:id="184753065">
      <w:bodyDiv w:val="1"/>
      <w:marLeft w:val="0"/>
      <w:marRight w:val="0"/>
      <w:marTop w:val="0"/>
      <w:marBottom w:val="0"/>
      <w:divBdr>
        <w:top w:val="none" w:sz="0" w:space="0" w:color="auto"/>
        <w:left w:val="none" w:sz="0" w:space="0" w:color="auto"/>
        <w:bottom w:val="none" w:sz="0" w:space="0" w:color="auto"/>
        <w:right w:val="none" w:sz="0" w:space="0" w:color="auto"/>
      </w:divBdr>
    </w:div>
    <w:div w:id="195393573">
      <w:bodyDiv w:val="1"/>
      <w:marLeft w:val="0"/>
      <w:marRight w:val="0"/>
      <w:marTop w:val="0"/>
      <w:marBottom w:val="0"/>
      <w:divBdr>
        <w:top w:val="none" w:sz="0" w:space="0" w:color="auto"/>
        <w:left w:val="none" w:sz="0" w:space="0" w:color="auto"/>
        <w:bottom w:val="none" w:sz="0" w:space="0" w:color="auto"/>
        <w:right w:val="none" w:sz="0" w:space="0" w:color="auto"/>
      </w:divBdr>
    </w:div>
    <w:div w:id="258605373">
      <w:bodyDiv w:val="1"/>
      <w:marLeft w:val="0"/>
      <w:marRight w:val="0"/>
      <w:marTop w:val="0"/>
      <w:marBottom w:val="0"/>
      <w:divBdr>
        <w:top w:val="none" w:sz="0" w:space="0" w:color="auto"/>
        <w:left w:val="none" w:sz="0" w:space="0" w:color="auto"/>
        <w:bottom w:val="none" w:sz="0" w:space="0" w:color="auto"/>
        <w:right w:val="none" w:sz="0" w:space="0" w:color="auto"/>
      </w:divBdr>
    </w:div>
    <w:div w:id="289365249">
      <w:bodyDiv w:val="1"/>
      <w:marLeft w:val="0"/>
      <w:marRight w:val="0"/>
      <w:marTop w:val="0"/>
      <w:marBottom w:val="0"/>
      <w:divBdr>
        <w:top w:val="none" w:sz="0" w:space="0" w:color="auto"/>
        <w:left w:val="none" w:sz="0" w:space="0" w:color="auto"/>
        <w:bottom w:val="none" w:sz="0" w:space="0" w:color="auto"/>
        <w:right w:val="none" w:sz="0" w:space="0" w:color="auto"/>
      </w:divBdr>
    </w:div>
    <w:div w:id="322901011">
      <w:bodyDiv w:val="1"/>
      <w:marLeft w:val="0"/>
      <w:marRight w:val="0"/>
      <w:marTop w:val="0"/>
      <w:marBottom w:val="0"/>
      <w:divBdr>
        <w:top w:val="none" w:sz="0" w:space="0" w:color="auto"/>
        <w:left w:val="none" w:sz="0" w:space="0" w:color="auto"/>
        <w:bottom w:val="none" w:sz="0" w:space="0" w:color="auto"/>
        <w:right w:val="none" w:sz="0" w:space="0" w:color="auto"/>
      </w:divBdr>
    </w:div>
    <w:div w:id="333345279">
      <w:bodyDiv w:val="1"/>
      <w:marLeft w:val="0"/>
      <w:marRight w:val="0"/>
      <w:marTop w:val="0"/>
      <w:marBottom w:val="0"/>
      <w:divBdr>
        <w:top w:val="none" w:sz="0" w:space="0" w:color="auto"/>
        <w:left w:val="none" w:sz="0" w:space="0" w:color="auto"/>
        <w:bottom w:val="none" w:sz="0" w:space="0" w:color="auto"/>
        <w:right w:val="none" w:sz="0" w:space="0" w:color="auto"/>
      </w:divBdr>
    </w:div>
    <w:div w:id="338043794">
      <w:bodyDiv w:val="1"/>
      <w:marLeft w:val="0"/>
      <w:marRight w:val="0"/>
      <w:marTop w:val="0"/>
      <w:marBottom w:val="0"/>
      <w:divBdr>
        <w:top w:val="none" w:sz="0" w:space="0" w:color="auto"/>
        <w:left w:val="none" w:sz="0" w:space="0" w:color="auto"/>
        <w:bottom w:val="none" w:sz="0" w:space="0" w:color="auto"/>
        <w:right w:val="none" w:sz="0" w:space="0" w:color="auto"/>
      </w:divBdr>
    </w:div>
    <w:div w:id="353194155">
      <w:bodyDiv w:val="1"/>
      <w:marLeft w:val="0"/>
      <w:marRight w:val="0"/>
      <w:marTop w:val="0"/>
      <w:marBottom w:val="0"/>
      <w:divBdr>
        <w:top w:val="none" w:sz="0" w:space="0" w:color="auto"/>
        <w:left w:val="none" w:sz="0" w:space="0" w:color="auto"/>
        <w:bottom w:val="none" w:sz="0" w:space="0" w:color="auto"/>
        <w:right w:val="none" w:sz="0" w:space="0" w:color="auto"/>
      </w:divBdr>
    </w:div>
    <w:div w:id="403259976">
      <w:bodyDiv w:val="1"/>
      <w:marLeft w:val="0"/>
      <w:marRight w:val="0"/>
      <w:marTop w:val="0"/>
      <w:marBottom w:val="0"/>
      <w:divBdr>
        <w:top w:val="none" w:sz="0" w:space="0" w:color="auto"/>
        <w:left w:val="none" w:sz="0" w:space="0" w:color="auto"/>
        <w:bottom w:val="none" w:sz="0" w:space="0" w:color="auto"/>
        <w:right w:val="none" w:sz="0" w:space="0" w:color="auto"/>
      </w:divBdr>
    </w:div>
    <w:div w:id="403648427">
      <w:bodyDiv w:val="1"/>
      <w:marLeft w:val="0"/>
      <w:marRight w:val="0"/>
      <w:marTop w:val="0"/>
      <w:marBottom w:val="0"/>
      <w:divBdr>
        <w:top w:val="none" w:sz="0" w:space="0" w:color="auto"/>
        <w:left w:val="none" w:sz="0" w:space="0" w:color="auto"/>
        <w:bottom w:val="none" w:sz="0" w:space="0" w:color="auto"/>
        <w:right w:val="none" w:sz="0" w:space="0" w:color="auto"/>
      </w:divBdr>
    </w:div>
    <w:div w:id="409083946">
      <w:bodyDiv w:val="1"/>
      <w:marLeft w:val="0"/>
      <w:marRight w:val="0"/>
      <w:marTop w:val="0"/>
      <w:marBottom w:val="0"/>
      <w:divBdr>
        <w:top w:val="none" w:sz="0" w:space="0" w:color="auto"/>
        <w:left w:val="none" w:sz="0" w:space="0" w:color="auto"/>
        <w:bottom w:val="none" w:sz="0" w:space="0" w:color="auto"/>
        <w:right w:val="none" w:sz="0" w:space="0" w:color="auto"/>
      </w:divBdr>
    </w:div>
    <w:div w:id="438526772">
      <w:bodyDiv w:val="1"/>
      <w:marLeft w:val="0"/>
      <w:marRight w:val="0"/>
      <w:marTop w:val="0"/>
      <w:marBottom w:val="0"/>
      <w:divBdr>
        <w:top w:val="none" w:sz="0" w:space="0" w:color="auto"/>
        <w:left w:val="none" w:sz="0" w:space="0" w:color="auto"/>
        <w:bottom w:val="none" w:sz="0" w:space="0" w:color="auto"/>
        <w:right w:val="none" w:sz="0" w:space="0" w:color="auto"/>
      </w:divBdr>
    </w:div>
    <w:div w:id="486289381">
      <w:bodyDiv w:val="1"/>
      <w:marLeft w:val="0"/>
      <w:marRight w:val="0"/>
      <w:marTop w:val="0"/>
      <w:marBottom w:val="0"/>
      <w:divBdr>
        <w:top w:val="none" w:sz="0" w:space="0" w:color="auto"/>
        <w:left w:val="none" w:sz="0" w:space="0" w:color="auto"/>
        <w:bottom w:val="none" w:sz="0" w:space="0" w:color="auto"/>
        <w:right w:val="none" w:sz="0" w:space="0" w:color="auto"/>
      </w:divBdr>
    </w:div>
    <w:div w:id="532621120">
      <w:bodyDiv w:val="1"/>
      <w:marLeft w:val="0"/>
      <w:marRight w:val="0"/>
      <w:marTop w:val="0"/>
      <w:marBottom w:val="0"/>
      <w:divBdr>
        <w:top w:val="none" w:sz="0" w:space="0" w:color="auto"/>
        <w:left w:val="none" w:sz="0" w:space="0" w:color="auto"/>
        <w:bottom w:val="none" w:sz="0" w:space="0" w:color="auto"/>
        <w:right w:val="none" w:sz="0" w:space="0" w:color="auto"/>
      </w:divBdr>
    </w:div>
    <w:div w:id="532888425">
      <w:bodyDiv w:val="1"/>
      <w:marLeft w:val="0"/>
      <w:marRight w:val="0"/>
      <w:marTop w:val="0"/>
      <w:marBottom w:val="0"/>
      <w:divBdr>
        <w:top w:val="none" w:sz="0" w:space="0" w:color="auto"/>
        <w:left w:val="none" w:sz="0" w:space="0" w:color="auto"/>
        <w:bottom w:val="none" w:sz="0" w:space="0" w:color="auto"/>
        <w:right w:val="none" w:sz="0" w:space="0" w:color="auto"/>
      </w:divBdr>
    </w:div>
    <w:div w:id="537359642">
      <w:bodyDiv w:val="1"/>
      <w:marLeft w:val="0"/>
      <w:marRight w:val="0"/>
      <w:marTop w:val="0"/>
      <w:marBottom w:val="0"/>
      <w:divBdr>
        <w:top w:val="none" w:sz="0" w:space="0" w:color="auto"/>
        <w:left w:val="none" w:sz="0" w:space="0" w:color="auto"/>
        <w:bottom w:val="none" w:sz="0" w:space="0" w:color="auto"/>
        <w:right w:val="none" w:sz="0" w:space="0" w:color="auto"/>
      </w:divBdr>
    </w:div>
    <w:div w:id="539783007">
      <w:bodyDiv w:val="1"/>
      <w:marLeft w:val="0"/>
      <w:marRight w:val="0"/>
      <w:marTop w:val="0"/>
      <w:marBottom w:val="0"/>
      <w:divBdr>
        <w:top w:val="none" w:sz="0" w:space="0" w:color="auto"/>
        <w:left w:val="none" w:sz="0" w:space="0" w:color="auto"/>
        <w:bottom w:val="none" w:sz="0" w:space="0" w:color="auto"/>
        <w:right w:val="none" w:sz="0" w:space="0" w:color="auto"/>
      </w:divBdr>
    </w:div>
    <w:div w:id="556749638">
      <w:bodyDiv w:val="1"/>
      <w:marLeft w:val="0"/>
      <w:marRight w:val="0"/>
      <w:marTop w:val="0"/>
      <w:marBottom w:val="0"/>
      <w:divBdr>
        <w:top w:val="none" w:sz="0" w:space="0" w:color="auto"/>
        <w:left w:val="none" w:sz="0" w:space="0" w:color="auto"/>
        <w:bottom w:val="none" w:sz="0" w:space="0" w:color="auto"/>
        <w:right w:val="none" w:sz="0" w:space="0" w:color="auto"/>
      </w:divBdr>
    </w:div>
    <w:div w:id="567151353">
      <w:bodyDiv w:val="1"/>
      <w:marLeft w:val="0"/>
      <w:marRight w:val="0"/>
      <w:marTop w:val="0"/>
      <w:marBottom w:val="0"/>
      <w:divBdr>
        <w:top w:val="none" w:sz="0" w:space="0" w:color="auto"/>
        <w:left w:val="none" w:sz="0" w:space="0" w:color="auto"/>
        <w:bottom w:val="none" w:sz="0" w:space="0" w:color="auto"/>
        <w:right w:val="none" w:sz="0" w:space="0" w:color="auto"/>
      </w:divBdr>
    </w:div>
    <w:div w:id="581793058">
      <w:bodyDiv w:val="1"/>
      <w:marLeft w:val="0"/>
      <w:marRight w:val="0"/>
      <w:marTop w:val="0"/>
      <w:marBottom w:val="0"/>
      <w:divBdr>
        <w:top w:val="none" w:sz="0" w:space="0" w:color="auto"/>
        <w:left w:val="none" w:sz="0" w:space="0" w:color="auto"/>
        <w:bottom w:val="none" w:sz="0" w:space="0" w:color="auto"/>
        <w:right w:val="none" w:sz="0" w:space="0" w:color="auto"/>
      </w:divBdr>
    </w:div>
    <w:div w:id="605188845">
      <w:bodyDiv w:val="1"/>
      <w:marLeft w:val="0"/>
      <w:marRight w:val="0"/>
      <w:marTop w:val="0"/>
      <w:marBottom w:val="0"/>
      <w:divBdr>
        <w:top w:val="none" w:sz="0" w:space="0" w:color="auto"/>
        <w:left w:val="none" w:sz="0" w:space="0" w:color="auto"/>
        <w:bottom w:val="none" w:sz="0" w:space="0" w:color="auto"/>
        <w:right w:val="none" w:sz="0" w:space="0" w:color="auto"/>
      </w:divBdr>
    </w:div>
    <w:div w:id="621159326">
      <w:bodyDiv w:val="1"/>
      <w:marLeft w:val="0"/>
      <w:marRight w:val="0"/>
      <w:marTop w:val="0"/>
      <w:marBottom w:val="0"/>
      <w:divBdr>
        <w:top w:val="none" w:sz="0" w:space="0" w:color="auto"/>
        <w:left w:val="none" w:sz="0" w:space="0" w:color="auto"/>
        <w:bottom w:val="none" w:sz="0" w:space="0" w:color="auto"/>
        <w:right w:val="none" w:sz="0" w:space="0" w:color="auto"/>
      </w:divBdr>
    </w:div>
    <w:div w:id="627125040">
      <w:bodyDiv w:val="1"/>
      <w:marLeft w:val="0"/>
      <w:marRight w:val="0"/>
      <w:marTop w:val="0"/>
      <w:marBottom w:val="0"/>
      <w:divBdr>
        <w:top w:val="none" w:sz="0" w:space="0" w:color="auto"/>
        <w:left w:val="none" w:sz="0" w:space="0" w:color="auto"/>
        <w:bottom w:val="none" w:sz="0" w:space="0" w:color="auto"/>
        <w:right w:val="none" w:sz="0" w:space="0" w:color="auto"/>
      </w:divBdr>
    </w:div>
    <w:div w:id="666443479">
      <w:bodyDiv w:val="1"/>
      <w:marLeft w:val="0"/>
      <w:marRight w:val="0"/>
      <w:marTop w:val="0"/>
      <w:marBottom w:val="0"/>
      <w:divBdr>
        <w:top w:val="none" w:sz="0" w:space="0" w:color="auto"/>
        <w:left w:val="none" w:sz="0" w:space="0" w:color="auto"/>
        <w:bottom w:val="none" w:sz="0" w:space="0" w:color="auto"/>
        <w:right w:val="none" w:sz="0" w:space="0" w:color="auto"/>
      </w:divBdr>
    </w:div>
    <w:div w:id="669716040">
      <w:bodyDiv w:val="1"/>
      <w:marLeft w:val="0"/>
      <w:marRight w:val="0"/>
      <w:marTop w:val="0"/>
      <w:marBottom w:val="0"/>
      <w:divBdr>
        <w:top w:val="none" w:sz="0" w:space="0" w:color="auto"/>
        <w:left w:val="none" w:sz="0" w:space="0" w:color="auto"/>
        <w:bottom w:val="none" w:sz="0" w:space="0" w:color="auto"/>
        <w:right w:val="none" w:sz="0" w:space="0" w:color="auto"/>
      </w:divBdr>
    </w:div>
    <w:div w:id="678772527">
      <w:bodyDiv w:val="1"/>
      <w:marLeft w:val="0"/>
      <w:marRight w:val="0"/>
      <w:marTop w:val="0"/>
      <w:marBottom w:val="0"/>
      <w:divBdr>
        <w:top w:val="none" w:sz="0" w:space="0" w:color="auto"/>
        <w:left w:val="none" w:sz="0" w:space="0" w:color="auto"/>
        <w:bottom w:val="none" w:sz="0" w:space="0" w:color="auto"/>
        <w:right w:val="none" w:sz="0" w:space="0" w:color="auto"/>
      </w:divBdr>
    </w:div>
    <w:div w:id="688525470">
      <w:bodyDiv w:val="1"/>
      <w:marLeft w:val="0"/>
      <w:marRight w:val="0"/>
      <w:marTop w:val="0"/>
      <w:marBottom w:val="0"/>
      <w:divBdr>
        <w:top w:val="none" w:sz="0" w:space="0" w:color="auto"/>
        <w:left w:val="none" w:sz="0" w:space="0" w:color="auto"/>
        <w:bottom w:val="none" w:sz="0" w:space="0" w:color="auto"/>
        <w:right w:val="none" w:sz="0" w:space="0" w:color="auto"/>
      </w:divBdr>
    </w:div>
    <w:div w:id="699473408">
      <w:bodyDiv w:val="1"/>
      <w:marLeft w:val="0"/>
      <w:marRight w:val="0"/>
      <w:marTop w:val="0"/>
      <w:marBottom w:val="0"/>
      <w:divBdr>
        <w:top w:val="none" w:sz="0" w:space="0" w:color="auto"/>
        <w:left w:val="none" w:sz="0" w:space="0" w:color="auto"/>
        <w:bottom w:val="none" w:sz="0" w:space="0" w:color="auto"/>
        <w:right w:val="none" w:sz="0" w:space="0" w:color="auto"/>
      </w:divBdr>
    </w:div>
    <w:div w:id="704017414">
      <w:bodyDiv w:val="1"/>
      <w:marLeft w:val="0"/>
      <w:marRight w:val="0"/>
      <w:marTop w:val="0"/>
      <w:marBottom w:val="0"/>
      <w:divBdr>
        <w:top w:val="none" w:sz="0" w:space="0" w:color="auto"/>
        <w:left w:val="none" w:sz="0" w:space="0" w:color="auto"/>
        <w:bottom w:val="none" w:sz="0" w:space="0" w:color="auto"/>
        <w:right w:val="none" w:sz="0" w:space="0" w:color="auto"/>
      </w:divBdr>
    </w:div>
    <w:div w:id="723941873">
      <w:bodyDiv w:val="1"/>
      <w:marLeft w:val="0"/>
      <w:marRight w:val="0"/>
      <w:marTop w:val="0"/>
      <w:marBottom w:val="0"/>
      <w:divBdr>
        <w:top w:val="none" w:sz="0" w:space="0" w:color="auto"/>
        <w:left w:val="none" w:sz="0" w:space="0" w:color="auto"/>
        <w:bottom w:val="none" w:sz="0" w:space="0" w:color="auto"/>
        <w:right w:val="none" w:sz="0" w:space="0" w:color="auto"/>
      </w:divBdr>
    </w:div>
    <w:div w:id="725110390">
      <w:bodyDiv w:val="1"/>
      <w:marLeft w:val="0"/>
      <w:marRight w:val="0"/>
      <w:marTop w:val="0"/>
      <w:marBottom w:val="0"/>
      <w:divBdr>
        <w:top w:val="none" w:sz="0" w:space="0" w:color="auto"/>
        <w:left w:val="none" w:sz="0" w:space="0" w:color="auto"/>
        <w:bottom w:val="none" w:sz="0" w:space="0" w:color="auto"/>
        <w:right w:val="none" w:sz="0" w:space="0" w:color="auto"/>
      </w:divBdr>
    </w:div>
    <w:div w:id="731196193">
      <w:bodyDiv w:val="1"/>
      <w:marLeft w:val="0"/>
      <w:marRight w:val="0"/>
      <w:marTop w:val="0"/>
      <w:marBottom w:val="0"/>
      <w:divBdr>
        <w:top w:val="none" w:sz="0" w:space="0" w:color="auto"/>
        <w:left w:val="none" w:sz="0" w:space="0" w:color="auto"/>
        <w:bottom w:val="none" w:sz="0" w:space="0" w:color="auto"/>
        <w:right w:val="none" w:sz="0" w:space="0" w:color="auto"/>
      </w:divBdr>
    </w:div>
    <w:div w:id="765884346">
      <w:bodyDiv w:val="1"/>
      <w:marLeft w:val="0"/>
      <w:marRight w:val="0"/>
      <w:marTop w:val="0"/>
      <w:marBottom w:val="0"/>
      <w:divBdr>
        <w:top w:val="none" w:sz="0" w:space="0" w:color="auto"/>
        <w:left w:val="none" w:sz="0" w:space="0" w:color="auto"/>
        <w:bottom w:val="none" w:sz="0" w:space="0" w:color="auto"/>
        <w:right w:val="none" w:sz="0" w:space="0" w:color="auto"/>
      </w:divBdr>
    </w:div>
    <w:div w:id="776413602">
      <w:bodyDiv w:val="1"/>
      <w:marLeft w:val="0"/>
      <w:marRight w:val="0"/>
      <w:marTop w:val="0"/>
      <w:marBottom w:val="0"/>
      <w:divBdr>
        <w:top w:val="none" w:sz="0" w:space="0" w:color="auto"/>
        <w:left w:val="none" w:sz="0" w:space="0" w:color="auto"/>
        <w:bottom w:val="none" w:sz="0" w:space="0" w:color="auto"/>
        <w:right w:val="none" w:sz="0" w:space="0" w:color="auto"/>
      </w:divBdr>
    </w:div>
    <w:div w:id="805053042">
      <w:bodyDiv w:val="1"/>
      <w:marLeft w:val="0"/>
      <w:marRight w:val="0"/>
      <w:marTop w:val="0"/>
      <w:marBottom w:val="0"/>
      <w:divBdr>
        <w:top w:val="none" w:sz="0" w:space="0" w:color="auto"/>
        <w:left w:val="none" w:sz="0" w:space="0" w:color="auto"/>
        <w:bottom w:val="none" w:sz="0" w:space="0" w:color="auto"/>
        <w:right w:val="none" w:sz="0" w:space="0" w:color="auto"/>
      </w:divBdr>
    </w:div>
    <w:div w:id="813527763">
      <w:bodyDiv w:val="1"/>
      <w:marLeft w:val="0"/>
      <w:marRight w:val="0"/>
      <w:marTop w:val="0"/>
      <w:marBottom w:val="0"/>
      <w:divBdr>
        <w:top w:val="none" w:sz="0" w:space="0" w:color="auto"/>
        <w:left w:val="none" w:sz="0" w:space="0" w:color="auto"/>
        <w:bottom w:val="none" w:sz="0" w:space="0" w:color="auto"/>
        <w:right w:val="none" w:sz="0" w:space="0" w:color="auto"/>
      </w:divBdr>
    </w:div>
    <w:div w:id="815605909">
      <w:bodyDiv w:val="1"/>
      <w:marLeft w:val="0"/>
      <w:marRight w:val="0"/>
      <w:marTop w:val="0"/>
      <w:marBottom w:val="0"/>
      <w:divBdr>
        <w:top w:val="none" w:sz="0" w:space="0" w:color="auto"/>
        <w:left w:val="none" w:sz="0" w:space="0" w:color="auto"/>
        <w:bottom w:val="none" w:sz="0" w:space="0" w:color="auto"/>
        <w:right w:val="none" w:sz="0" w:space="0" w:color="auto"/>
      </w:divBdr>
    </w:div>
    <w:div w:id="819350489">
      <w:bodyDiv w:val="1"/>
      <w:marLeft w:val="0"/>
      <w:marRight w:val="0"/>
      <w:marTop w:val="0"/>
      <w:marBottom w:val="0"/>
      <w:divBdr>
        <w:top w:val="none" w:sz="0" w:space="0" w:color="auto"/>
        <w:left w:val="none" w:sz="0" w:space="0" w:color="auto"/>
        <w:bottom w:val="none" w:sz="0" w:space="0" w:color="auto"/>
        <w:right w:val="none" w:sz="0" w:space="0" w:color="auto"/>
      </w:divBdr>
    </w:div>
    <w:div w:id="823593313">
      <w:bodyDiv w:val="1"/>
      <w:marLeft w:val="0"/>
      <w:marRight w:val="0"/>
      <w:marTop w:val="0"/>
      <w:marBottom w:val="0"/>
      <w:divBdr>
        <w:top w:val="none" w:sz="0" w:space="0" w:color="auto"/>
        <w:left w:val="none" w:sz="0" w:space="0" w:color="auto"/>
        <w:bottom w:val="none" w:sz="0" w:space="0" w:color="auto"/>
        <w:right w:val="none" w:sz="0" w:space="0" w:color="auto"/>
      </w:divBdr>
    </w:div>
    <w:div w:id="861698824">
      <w:bodyDiv w:val="1"/>
      <w:marLeft w:val="0"/>
      <w:marRight w:val="0"/>
      <w:marTop w:val="0"/>
      <w:marBottom w:val="0"/>
      <w:divBdr>
        <w:top w:val="none" w:sz="0" w:space="0" w:color="auto"/>
        <w:left w:val="none" w:sz="0" w:space="0" w:color="auto"/>
        <w:bottom w:val="none" w:sz="0" w:space="0" w:color="auto"/>
        <w:right w:val="none" w:sz="0" w:space="0" w:color="auto"/>
      </w:divBdr>
    </w:div>
    <w:div w:id="878278448">
      <w:bodyDiv w:val="1"/>
      <w:marLeft w:val="0"/>
      <w:marRight w:val="0"/>
      <w:marTop w:val="0"/>
      <w:marBottom w:val="0"/>
      <w:divBdr>
        <w:top w:val="none" w:sz="0" w:space="0" w:color="auto"/>
        <w:left w:val="none" w:sz="0" w:space="0" w:color="auto"/>
        <w:bottom w:val="none" w:sz="0" w:space="0" w:color="auto"/>
        <w:right w:val="none" w:sz="0" w:space="0" w:color="auto"/>
      </w:divBdr>
    </w:div>
    <w:div w:id="892470174">
      <w:bodyDiv w:val="1"/>
      <w:marLeft w:val="0"/>
      <w:marRight w:val="0"/>
      <w:marTop w:val="0"/>
      <w:marBottom w:val="0"/>
      <w:divBdr>
        <w:top w:val="none" w:sz="0" w:space="0" w:color="auto"/>
        <w:left w:val="none" w:sz="0" w:space="0" w:color="auto"/>
        <w:bottom w:val="none" w:sz="0" w:space="0" w:color="auto"/>
        <w:right w:val="none" w:sz="0" w:space="0" w:color="auto"/>
      </w:divBdr>
    </w:div>
    <w:div w:id="943924147">
      <w:bodyDiv w:val="1"/>
      <w:marLeft w:val="0"/>
      <w:marRight w:val="0"/>
      <w:marTop w:val="0"/>
      <w:marBottom w:val="0"/>
      <w:divBdr>
        <w:top w:val="none" w:sz="0" w:space="0" w:color="auto"/>
        <w:left w:val="none" w:sz="0" w:space="0" w:color="auto"/>
        <w:bottom w:val="none" w:sz="0" w:space="0" w:color="auto"/>
        <w:right w:val="none" w:sz="0" w:space="0" w:color="auto"/>
      </w:divBdr>
    </w:div>
    <w:div w:id="961761697">
      <w:bodyDiv w:val="1"/>
      <w:marLeft w:val="0"/>
      <w:marRight w:val="0"/>
      <w:marTop w:val="0"/>
      <w:marBottom w:val="0"/>
      <w:divBdr>
        <w:top w:val="none" w:sz="0" w:space="0" w:color="auto"/>
        <w:left w:val="none" w:sz="0" w:space="0" w:color="auto"/>
        <w:bottom w:val="none" w:sz="0" w:space="0" w:color="auto"/>
        <w:right w:val="none" w:sz="0" w:space="0" w:color="auto"/>
      </w:divBdr>
    </w:div>
    <w:div w:id="974062465">
      <w:bodyDiv w:val="1"/>
      <w:marLeft w:val="0"/>
      <w:marRight w:val="0"/>
      <w:marTop w:val="0"/>
      <w:marBottom w:val="0"/>
      <w:divBdr>
        <w:top w:val="none" w:sz="0" w:space="0" w:color="auto"/>
        <w:left w:val="none" w:sz="0" w:space="0" w:color="auto"/>
        <w:bottom w:val="none" w:sz="0" w:space="0" w:color="auto"/>
        <w:right w:val="none" w:sz="0" w:space="0" w:color="auto"/>
      </w:divBdr>
    </w:div>
    <w:div w:id="980185576">
      <w:bodyDiv w:val="1"/>
      <w:marLeft w:val="0"/>
      <w:marRight w:val="0"/>
      <w:marTop w:val="0"/>
      <w:marBottom w:val="0"/>
      <w:divBdr>
        <w:top w:val="none" w:sz="0" w:space="0" w:color="auto"/>
        <w:left w:val="none" w:sz="0" w:space="0" w:color="auto"/>
        <w:bottom w:val="none" w:sz="0" w:space="0" w:color="auto"/>
        <w:right w:val="none" w:sz="0" w:space="0" w:color="auto"/>
      </w:divBdr>
    </w:div>
    <w:div w:id="997265710">
      <w:bodyDiv w:val="1"/>
      <w:marLeft w:val="0"/>
      <w:marRight w:val="0"/>
      <w:marTop w:val="0"/>
      <w:marBottom w:val="0"/>
      <w:divBdr>
        <w:top w:val="none" w:sz="0" w:space="0" w:color="auto"/>
        <w:left w:val="none" w:sz="0" w:space="0" w:color="auto"/>
        <w:bottom w:val="none" w:sz="0" w:space="0" w:color="auto"/>
        <w:right w:val="none" w:sz="0" w:space="0" w:color="auto"/>
      </w:divBdr>
    </w:div>
    <w:div w:id="1002319475">
      <w:bodyDiv w:val="1"/>
      <w:marLeft w:val="0"/>
      <w:marRight w:val="0"/>
      <w:marTop w:val="0"/>
      <w:marBottom w:val="0"/>
      <w:divBdr>
        <w:top w:val="none" w:sz="0" w:space="0" w:color="auto"/>
        <w:left w:val="none" w:sz="0" w:space="0" w:color="auto"/>
        <w:bottom w:val="none" w:sz="0" w:space="0" w:color="auto"/>
        <w:right w:val="none" w:sz="0" w:space="0" w:color="auto"/>
      </w:divBdr>
    </w:div>
    <w:div w:id="1034424722">
      <w:bodyDiv w:val="1"/>
      <w:marLeft w:val="0"/>
      <w:marRight w:val="0"/>
      <w:marTop w:val="0"/>
      <w:marBottom w:val="0"/>
      <w:divBdr>
        <w:top w:val="none" w:sz="0" w:space="0" w:color="auto"/>
        <w:left w:val="none" w:sz="0" w:space="0" w:color="auto"/>
        <w:bottom w:val="none" w:sz="0" w:space="0" w:color="auto"/>
        <w:right w:val="none" w:sz="0" w:space="0" w:color="auto"/>
      </w:divBdr>
    </w:div>
    <w:div w:id="1078135206">
      <w:bodyDiv w:val="1"/>
      <w:marLeft w:val="0"/>
      <w:marRight w:val="0"/>
      <w:marTop w:val="0"/>
      <w:marBottom w:val="0"/>
      <w:divBdr>
        <w:top w:val="none" w:sz="0" w:space="0" w:color="auto"/>
        <w:left w:val="none" w:sz="0" w:space="0" w:color="auto"/>
        <w:bottom w:val="none" w:sz="0" w:space="0" w:color="auto"/>
        <w:right w:val="none" w:sz="0" w:space="0" w:color="auto"/>
      </w:divBdr>
    </w:div>
    <w:div w:id="1089615941">
      <w:bodyDiv w:val="1"/>
      <w:marLeft w:val="0"/>
      <w:marRight w:val="0"/>
      <w:marTop w:val="0"/>
      <w:marBottom w:val="0"/>
      <w:divBdr>
        <w:top w:val="none" w:sz="0" w:space="0" w:color="auto"/>
        <w:left w:val="none" w:sz="0" w:space="0" w:color="auto"/>
        <w:bottom w:val="none" w:sz="0" w:space="0" w:color="auto"/>
        <w:right w:val="none" w:sz="0" w:space="0" w:color="auto"/>
      </w:divBdr>
    </w:div>
    <w:div w:id="1112165094">
      <w:bodyDiv w:val="1"/>
      <w:marLeft w:val="0"/>
      <w:marRight w:val="0"/>
      <w:marTop w:val="0"/>
      <w:marBottom w:val="0"/>
      <w:divBdr>
        <w:top w:val="none" w:sz="0" w:space="0" w:color="auto"/>
        <w:left w:val="none" w:sz="0" w:space="0" w:color="auto"/>
        <w:bottom w:val="none" w:sz="0" w:space="0" w:color="auto"/>
        <w:right w:val="none" w:sz="0" w:space="0" w:color="auto"/>
      </w:divBdr>
    </w:div>
    <w:div w:id="1116291388">
      <w:bodyDiv w:val="1"/>
      <w:marLeft w:val="0"/>
      <w:marRight w:val="0"/>
      <w:marTop w:val="0"/>
      <w:marBottom w:val="0"/>
      <w:divBdr>
        <w:top w:val="none" w:sz="0" w:space="0" w:color="auto"/>
        <w:left w:val="none" w:sz="0" w:space="0" w:color="auto"/>
        <w:bottom w:val="none" w:sz="0" w:space="0" w:color="auto"/>
        <w:right w:val="none" w:sz="0" w:space="0" w:color="auto"/>
      </w:divBdr>
    </w:div>
    <w:div w:id="1137528888">
      <w:bodyDiv w:val="1"/>
      <w:marLeft w:val="0"/>
      <w:marRight w:val="0"/>
      <w:marTop w:val="0"/>
      <w:marBottom w:val="0"/>
      <w:divBdr>
        <w:top w:val="none" w:sz="0" w:space="0" w:color="auto"/>
        <w:left w:val="none" w:sz="0" w:space="0" w:color="auto"/>
        <w:bottom w:val="none" w:sz="0" w:space="0" w:color="auto"/>
        <w:right w:val="none" w:sz="0" w:space="0" w:color="auto"/>
      </w:divBdr>
    </w:div>
    <w:div w:id="1141994314">
      <w:bodyDiv w:val="1"/>
      <w:marLeft w:val="0"/>
      <w:marRight w:val="0"/>
      <w:marTop w:val="0"/>
      <w:marBottom w:val="0"/>
      <w:divBdr>
        <w:top w:val="none" w:sz="0" w:space="0" w:color="auto"/>
        <w:left w:val="none" w:sz="0" w:space="0" w:color="auto"/>
        <w:bottom w:val="none" w:sz="0" w:space="0" w:color="auto"/>
        <w:right w:val="none" w:sz="0" w:space="0" w:color="auto"/>
      </w:divBdr>
    </w:div>
    <w:div w:id="1197697855">
      <w:bodyDiv w:val="1"/>
      <w:marLeft w:val="0"/>
      <w:marRight w:val="0"/>
      <w:marTop w:val="0"/>
      <w:marBottom w:val="0"/>
      <w:divBdr>
        <w:top w:val="none" w:sz="0" w:space="0" w:color="auto"/>
        <w:left w:val="none" w:sz="0" w:space="0" w:color="auto"/>
        <w:bottom w:val="none" w:sz="0" w:space="0" w:color="auto"/>
        <w:right w:val="none" w:sz="0" w:space="0" w:color="auto"/>
      </w:divBdr>
    </w:div>
    <w:div w:id="1218202180">
      <w:bodyDiv w:val="1"/>
      <w:marLeft w:val="0"/>
      <w:marRight w:val="0"/>
      <w:marTop w:val="0"/>
      <w:marBottom w:val="0"/>
      <w:divBdr>
        <w:top w:val="none" w:sz="0" w:space="0" w:color="auto"/>
        <w:left w:val="none" w:sz="0" w:space="0" w:color="auto"/>
        <w:bottom w:val="none" w:sz="0" w:space="0" w:color="auto"/>
        <w:right w:val="none" w:sz="0" w:space="0" w:color="auto"/>
      </w:divBdr>
    </w:div>
    <w:div w:id="1219051363">
      <w:bodyDiv w:val="1"/>
      <w:marLeft w:val="0"/>
      <w:marRight w:val="0"/>
      <w:marTop w:val="0"/>
      <w:marBottom w:val="0"/>
      <w:divBdr>
        <w:top w:val="none" w:sz="0" w:space="0" w:color="auto"/>
        <w:left w:val="none" w:sz="0" w:space="0" w:color="auto"/>
        <w:bottom w:val="none" w:sz="0" w:space="0" w:color="auto"/>
        <w:right w:val="none" w:sz="0" w:space="0" w:color="auto"/>
      </w:divBdr>
    </w:div>
    <w:div w:id="1223248275">
      <w:bodyDiv w:val="1"/>
      <w:marLeft w:val="0"/>
      <w:marRight w:val="0"/>
      <w:marTop w:val="0"/>
      <w:marBottom w:val="0"/>
      <w:divBdr>
        <w:top w:val="none" w:sz="0" w:space="0" w:color="auto"/>
        <w:left w:val="none" w:sz="0" w:space="0" w:color="auto"/>
        <w:bottom w:val="none" w:sz="0" w:space="0" w:color="auto"/>
        <w:right w:val="none" w:sz="0" w:space="0" w:color="auto"/>
      </w:divBdr>
    </w:div>
    <w:div w:id="1283414604">
      <w:bodyDiv w:val="1"/>
      <w:marLeft w:val="0"/>
      <w:marRight w:val="0"/>
      <w:marTop w:val="0"/>
      <w:marBottom w:val="0"/>
      <w:divBdr>
        <w:top w:val="none" w:sz="0" w:space="0" w:color="auto"/>
        <w:left w:val="none" w:sz="0" w:space="0" w:color="auto"/>
        <w:bottom w:val="none" w:sz="0" w:space="0" w:color="auto"/>
        <w:right w:val="none" w:sz="0" w:space="0" w:color="auto"/>
      </w:divBdr>
    </w:div>
    <w:div w:id="1290353976">
      <w:bodyDiv w:val="1"/>
      <w:marLeft w:val="0"/>
      <w:marRight w:val="0"/>
      <w:marTop w:val="0"/>
      <w:marBottom w:val="0"/>
      <w:divBdr>
        <w:top w:val="none" w:sz="0" w:space="0" w:color="auto"/>
        <w:left w:val="none" w:sz="0" w:space="0" w:color="auto"/>
        <w:bottom w:val="none" w:sz="0" w:space="0" w:color="auto"/>
        <w:right w:val="none" w:sz="0" w:space="0" w:color="auto"/>
      </w:divBdr>
    </w:div>
    <w:div w:id="1357581767">
      <w:bodyDiv w:val="1"/>
      <w:marLeft w:val="0"/>
      <w:marRight w:val="0"/>
      <w:marTop w:val="0"/>
      <w:marBottom w:val="0"/>
      <w:divBdr>
        <w:top w:val="none" w:sz="0" w:space="0" w:color="auto"/>
        <w:left w:val="none" w:sz="0" w:space="0" w:color="auto"/>
        <w:bottom w:val="none" w:sz="0" w:space="0" w:color="auto"/>
        <w:right w:val="none" w:sz="0" w:space="0" w:color="auto"/>
      </w:divBdr>
    </w:div>
    <w:div w:id="1391996572">
      <w:bodyDiv w:val="1"/>
      <w:marLeft w:val="0"/>
      <w:marRight w:val="0"/>
      <w:marTop w:val="0"/>
      <w:marBottom w:val="0"/>
      <w:divBdr>
        <w:top w:val="none" w:sz="0" w:space="0" w:color="auto"/>
        <w:left w:val="none" w:sz="0" w:space="0" w:color="auto"/>
        <w:bottom w:val="none" w:sz="0" w:space="0" w:color="auto"/>
        <w:right w:val="none" w:sz="0" w:space="0" w:color="auto"/>
      </w:divBdr>
    </w:div>
    <w:div w:id="1407148883">
      <w:bodyDiv w:val="1"/>
      <w:marLeft w:val="0"/>
      <w:marRight w:val="0"/>
      <w:marTop w:val="0"/>
      <w:marBottom w:val="0"/>
      <w:divBdr>
        <w:top w:val="none" w:sz="0" w:space="0" w:color="auto"/>
        <w:left w:val="none" w:sz="0" w:space="0" w:color="auto"/>
        <w:bottom w:val="none" w:sz="0" w:space="0" w:color="auto"/>
        <w:right w:val="none" w:sz="0" w:space="0" w:color="auto"/>
      </w:divBdr>
    </w:div>
    <w:div w:id="1414156643">
      <w:bodyDiv w:val="1"/>
      <w:marLeft w:val="0"/>
      <w:marRight w:val="0"/>
      <w:marTop w:val="0"/>
      <w:marBottom w:val="0"/>
      <w:divBdr>
        <w:top w:val="none" w:sz="0" w:space="0" w:color="auto"/>
        <w:left w:val="none" w:sz="0" w:space="0" w:color="auto"/>
        <w:bottom w:val="none" w:sz="0" w:space="0" w:color="auto"/>
        <w:right w:val="none" w:sz="0" w:space="0" w:color="auto"/>
      </w:divBdr>
    </w:div>
    <w:div w:id="1419060366">
      <w:bodyDiv w:val="1"/>
      <w:marLeft w:val="0"/>
      <w:marRight w:val="0"/>
      <w:marTop w:val="0"/>
      <w:marBottom w:val="0"/>
      <w:divBdr>
        <w:top w:val="none" w:sz="0" w:space="0" w:color="auto"/>
        <w:left w:val="none" w:sz="0" w:space="0" w:color="auto"/>
        <w:bottom w:val="none" w:sz="0" w:space="0" w:color="auto"/>
        <w:right w:val="none" w:sz="0" w:space="0" w:color="auto"/>
      </w:divBdr>
    </w:div>
    <w:div w:id="1431117739">
      <w:bodyDiv w:val="1"/>
      <w:marLeft w:val="0"/>
      <w:marRight w:val="0"/>
      <w:marTop w:val="0"/>
      <w:marBottom w:val="0"/>
      <w:divBdr>
        <w:top w:val="none" w:sz="0" w:space="0" w:color="auto"/>
        <w:left w:val="none" w:sz="0" w:space="0" w:color="auto"/>
        <w:bottom w:val="none" w:sz="0" w:space="0" w:color="auto"/>
        <w:right w:val="none" w:sz="0" w:space="0" w:color="auto"/>
      </w:divBdr>
    </w:div>
    <w:div w:id="1446196886">
      <w:bodyDiv w:val="1"/>
      <w:marLeft w:val="0"/>
      <w:marRight w:val="0"/>
      <w:marTop w:val="0"/>
      <w:marBottom w:val="0"/>
      <w:divBdr>
        <w:top w:val="none" w:sz="0" w:space="0" w:color="auto"/>
        <w:left w:val="none" w:sz="0" w:space="0" w:color="auto"/>
        <w:bottom w:val="none" w:sz="0" w:space="0" w:color="auto"/>
        <w:right w:val="none" w:sz="0" w:space="0" w:color="auto"/>
      </w:divBdr>
    </w:div>
    <w:div w:id="1452242428">
      <w:bodyDiv w:val="1"/>
      <w:marLeft w:val="0"/>
      <w:marRight w:val="0"/>
      <w:marTop w:val="0"/>
      <w:marBottom w:val="0"/>
      <w:divBdr>
        <w:top w:val="none" w:sz="0" w:space="0" w:color="auto"/>
        <w:left w:val="none" w:sz="0" w:space="0" w:color="auto"/>
        <w:bottom w:val="none" w:sz="0" w:space="0" w:color="auto"/>
        <w:right w:val="none" w:sz="0" w:space="0" w:color="auto"/>
      </w:divBdr>
    </w:div>
    <w:div w:id="1471903620">
      <w:bodyDiv w:val="1"/>
      <w:marLeft w:val="0"/>
      <w:marRight w:val="0"/>
      <w:marTop w:val="0"/>
      <w:marBottom w:val="0"/>
      <w:divBdr>
        <w:top w:val="none" w:sz="0" w:space="0" w:color="auto"/>
        <w:left w:val="none" w:sz="0" w:space="0" w:color="auto"/>
        <w:bottom w:val="none" w:sz="0" w:space="0" w:color="auto"/>
        <w:right w:val="none" w:sz="0" w:space="0" w:color="auto"/>
      </w:divBdr>
    </w:div>
    <w:div w:id="1566060648">
      <w:bodyDiv w:val="1"/>
      <w:marLeft w:val="0"/>
      <w:marRight w:val="0"/>
      <w:marTop w:val="0"/>
      <w:marBottom w:val="0"/>
      <w:divBdr>
        <w:top w:val="none" w:sz="0" w:space="0" w:color="auto"/>
        <w:left w:val="none" w:sz="0" w:space="0" w:color="auto"/>
        <w:bottom w:val="none" w:sz="0" w:space="0" w:color="auto"/>
        <w:right w:val="none" w:sz="0" w:space="0" w:color="auto"/>
      </w:divBdr>
    </w:div>
    <w:div w:id="1581671182">
      <w:bodyDiv w:val="1"/>
      <w:marLeft w:val="0"/>
      <w:marRight w:val="0"/>
      <w:marTop w:val="0"/>
      <w:marBottom w:val="0"/>
      <w:divBdr>
        <w:top w:val="none" w:sz="0" w:space="0" w:color="auto"/>
        <w:left w:val="none" w:sz="0" w:space="0" w:color="auto"/>
        <w:bottom w:val="none" w:sz="0" w:space="0" w:color="auto"/>
        <w:right w:val="none" w:sz="0" w:space="0" w:color="auto"/>
      </w:divBdr>
    </w:div>
    <w:div w:id="1586301526">
      <w:bodyDiv w:val="1"/>
      <w:marLeft w:val="0"/>
      <w:marRight w:val="0"/>
      <w:marTop w:val="0"/>
      <w:marBottom w:val="0"/>
      <w:divBdr>
        <w:top w:val="none" w:sz="0" w:space="0" w:color="auto"/>
        <w:left w:val="none" w:sz="0" w:space="0" w:color="auto"/>
        <w:bottom w:val="none" w:sz="0" w:space="0" w:color="auto"/>
        <w:right w:val="none" w:sz="0" w:space="0" w:color="auto"/>
      </w:divBdr>
    </w:div>
    <w:div w:id="1586760731">
      <w:bodyDiv w:val="1"/>
      <w:marLeft w:val="0"/>
      <w:marRight w:val="0"/>
      <w:marTop w:val="0"/>
      <w:marBottom w:val="0"/>
      <w:divBdr>
        <w:top w:val="none" w:sz="0" w:space="0" w:color="auto"/>
        <w:left w:val="none" w:sz="0" w:space="0" w:color="auto"/>
        <w:bottom w:val="none" w:sz="0" w:space="0" w:color="auto"/>
        <w:right w:val="none" w:sz="0" w:space="0" w:color="auto"/>
      </w:divBdr>
    </w:div>
    <w:div w:id="1589581817">
      <w:bodyDiv w:val="1"/>
      <w:marLeft w:val="0"/>
      <w:marRight w:val="0"/>
      <w:marTop w:val="0"/>
      <w:marBottom w:val="0"/>
      <w:divBdr>
        <w:top w:val="none" w:sz="0" w:space="0" w:color="auto"/>
        <w:left w:val="none" w:sz="0" w:space="0" w:color="auto"/>
        <w:bottom w:val="none" w:sz="0" w:space="0" w:color="auto"/>
        <w:right w:val="none" w:sz="0" w:space="0" w:color="auto"/>
      </w:divBdr>
    </w:div>
    <w:div w:id="1607079428">
      <w:bodyDiv w:val="1"/>
      <w:marLeft w:val="0"/>
      <w:marRight w:val="0"/>
      <w:marTop w:val="0"/>
      <w:marBottom w:val="0"/>
      <w:divBdr>
        <w:top w:val="none" w:sz="0" w:space="0" w:color="auto"/>
        <w:left w:val="none" w:sz="0" w:space="0" w:color="auto"/>
        <w:bottom w:val="none" w:sz="0" w:space="0" w:color="auto"/>
        <w:right w:val="none" w:sz="0" w:space="0" w:color="auto"/>
      </w:divBdr>
    </w:div>
    <w:div w:id="1611938856">
      <w:bodyDiv w:val="1"/>
      <w:marLeft w:val="0"/>
      <w:marRight w:val="0"/>
      <w:marTop w:val="0"/>
      <w:marBottom w:val="0"/>
      <w:divBdr>
        <w:top w:val="none" w:sz="0" w:space="0" w:color="auto"/>
        <w:left w:val="none" w:sz="0" w:space="0" w:color="auto"/>
        <w:bottom w:val="none" w:sz="0" w:space="0" w:color="auto"/>
        <w:right w:val="none" w:sz="0" w:space="0" w:color="auto"/>
      </w:divBdr>
    </w:div>
    <w:div w:id="1633822037">
      <w:bodyDiv w:val="1"/>
      <w:marLeft w:val="0"/>
      <w:marRight w:val="0"/>
      <w:marTop w:val="0"/>
      <w:marBottom w:val="0"/>
      <w:divBdr>
        <w:top w:val="none" w:sz="0" w:space="0" w:color="auto"/>
        <w:left w:val="none" w:sz="0" w:space="0" w:color="auto"/>
        <w:bottom w:val="none" w:sz="0" w:space="0" w:color="auto"/>
        <w:right w:val="none" w:sz="0" w:space="0" w:color="auto"/>
      </w:divBdr>
    </w:div>
    <w:div w:id="1666471359">
      <w:bodyDiv w:val="1"/>
      <w:marLeft w:val="0"/>
      <w:marRight w:val="0"/>
      <w:marTop w:val="0"/>
      <w:marBottom w:val="0"/>
      <w:divBdr>
        <w:top w:val="none" w:sz="0" w:space="0" w:color="auto"/>
        <w:left w:val="none" w:sz="0" w:space="0" w:color="auto"/>
        <w:bottom w:val="none" w:sz="0" w:space="0" w:color="auto"/>
        <w:right w:val="none" w:sz="0" w:space="0" w:color="auto"/>
      </w:divBdr>
    </w:div>
    <w:div w:id="1676419085">
      <w:bodyDiv w:val="1"/>
      <w:marLeft w:val="0"/>
      <w:marRight w:val="0"/>
      <w:marTop w:val="0"/>
      <w:marBottom w:val="0"/>
      <w:divBdr>
        <w:top w:val="none" w:sz="0" w:space="0" w:color="auto"/>
        <w:left w:val="none" w:sz="0" w:space="0" w:color="auto"/>
        <w:bottom w:val="none" w:sz="0" w:space="0" w:color="auto"/>
        <w:right w:val="none" w:sz="0" w:space="0" w:color="auto"/>
      </w:divBdr>
    </w:div>
    <w:div w:id="1703169841">
      <w:bodyDiv w:val="1"/>
      <w:marLeft w:val="0"/>
      <w:marRight w:val="0"/>
      <w:marTop w:val="0"/>
      <w:marBottom w:val="0"/>
      <w:divBdr>
        <w:top w:val="none" w:sz="0" w:space="0" w:color="auto"/>
        <w:left w:val="none" w:sz="0" w:space="0" w:color="auto"/>
        <w:bottom w:val="none" w:sz="0" w:space="0" w:color="auto"/>
        <w:right w:val="none" w:sz="0" w:space="0" w:color="auto"/>
      </w:divBdr>
    </w:div>
    <w:div w:id="1715232883">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83065042">
      <w:bodyDiv w:val="1"/>
      <w:marLeft w:val="0"/>
      <w:marRight w:val="0"/>
      <w:marTop w:val="0"/>
      <w:marBottom w:val="0"/>
      <w:divBdr>
        <w:top w:val="none" w:sz="0" w:space="0" w:color="auto"/>
        <w:left w:val="none" w:sz="0" w:space="0" w:color="auto"/>
        <w:bottom w:val="none" w:sz="0" w:space="0" w:color="auto"/>
        <w:right w:val="none" w:sz="0" w:space="0" w:color="auto"/>
      </w:divBdr>
    </w:div>
    <w:div w:id="1799029486">
      <w:bodyDiv w:val="1"/>
      <w:marLeft w:val="0"/>
      <w:marRight w:val="0"/>
      <w:marTop w:val="0"/>
      <w:marBottom w:val="0"/>
      <w:divBdr>
        <w:top w:val="none" w:sz="0" w:space="0" w:color="auto"/>
        <w:left w:val="none" w:sz="0" w:space="0" w:color="auto"/>
        <w:bottom w:val="none" w:sz="0" w:space="0" w:color="auto"/>
        <w:right w:val="none" w:sz="0" w:space="0" w:color="auto"/>
      </w:divBdr>
    </w:div>
    <w:div w:id="1801413267">
      <w:bodyDiv w:val="1"/>
      <w:marLeft w:val="0"/>
      <w:marRight w:val="0"/>
      <w:marTop w:val="0"/>
      <w:marBottom w:val="0"/>
      <w:divBdr>
        <w:top w:val="none" w:sz="0" w:space="0" w:color="auto"/>
        <w:left w:val="none" w:sz="0" w:space="0" w:color="auto"/>
        <w:bottom w:val="none" w:sz="0" w:space="0" w:color="auto"/>
        <w:right w:val="none" w:sz="0" w:space="0" w:color="auto"/>
      </w:divBdr>
    </w:div>
    <w:div w:id="1851677083">
      <w:bodyDiv w:val="1"/>
      <w:marLeft w:val="0"/>
      <w:marRight w:val="0"/>
      <w:marTop w:val="0"/>
      <w:marBottom w:val="0"/>
      <w:divBdr>
        <w:top w:val="none" w:sz="0" w:space="0" w:color="auto"/>
        <w:left w:val="none" w:sz="0" w:space="0" w:color="auto"/>
        <w:bottom w:val="none" w:sz="0" w:space="0" w:color="auto"/>
        <w:right w:val="none" w:sz="0" w:space="0" w:color="auto"/>
      </w:divBdr>
    </w:div>
    <w:div w:id="1916158484">
      <w:bodyDiv w:val="1"/>
      <w:marLeft w:val="0"/>
      <w:marRight w:val="0"/>
      <w:marTop w:val="0"/>
      <w:marBottom w:val="0"/>
      <w:divBdr>
        <w:top w:val="none" w:sz="0" w:space="0" w:color="auto"/>
        <w:left w:val="none" w:sz="0" w:space="0" w:color="auto"/>
        <w:bottom w:val="none" w:sz="0" w:space="0" w:color="auto"/>
        <w:right w:val="none" w:sz="0" w:space="0" w:color="auto"/>
      </w:divBdr>
    </w:div>
    <w:div w:id="1950310228">
      <w:bodyDiv w:val="1"/>
      <w:marLeft w:val="0"/>
      <w:marRight w:val="0"/>
      <w:marTop w:val="0"/>
      <w:marBottom w:val="0"/>
      <w:divBdr>
        <w:top w:val="none" w:sz="0" w:space="0" w:color="auto"/>
        <w:left w:val="none" w:sz="0" w:space="0" w:color="auto"/>
        <w:bottom w:val="none" w:sz="0" w:space="0" w:color="auto"/>
        <w:right w:val="none" w:sz="0" w:space="0" w:color="auto"/>
      </w:divBdr>
    </w:div>
    <w:div w:id="1955819870">
      <w:bodyDiv w:val="1"/>
      <w:marLeft w:val="0"/>
      <w:marRight w:val="0"/>
      <w:marTop w:val="0"/>
      <w:marBottom w:val="0"/>
      <w:divBdr>
        <w:top w:val="none" w:sz="0" w:space="0" w:color="auto"/>
        <w:left w:val="none" w:sz="0" w:space="0" w:color="auto"/>
        <w:bottom w:val="none" w:sz="0" w:space="0" w:color="auto"/>
        <w:right w:val="none" w:sz="0" w:space="0" w:color="auto"/>
      </w:divBdr>
    </w:div>
    <w:div w:id="1963463643">
      <w:bodyDiv w:val="1"/>
      <w:marLeft w:val="0"/>
      <w:marRight w:val="0"/>
      <w:marTop w:val="0"/>
      <w:marBottom w:val="0"/>
      <w:divBdr>
        <w:top w:val="none" w:sz="0" w:space="0" w:color="auto"/>
        <w:left w:val="none" w:sz="0" w:space="0" w:color="auto"/>
        <w:bottom w:val="none" w:sz="0" w:space="0" w:color="auto"/>
        <w:right w:val="none" w:sz="0" w:space="0" w:color="auto"/>
      </w:divBdr>
    </w:div>
    <w:div w:id="1965578765">
      <w:bodyDiv w:val="1"/>
      <w:marLeft w:val="0"/>
      <w:marRight w:val="0"/>
      <w:marTop w:val="0"/>
      <w:marBottom w:val="0"/>
      <w:divBdr>
        <w:top w:val="none" w:sz="0" w:space="0" w:color="auto"/>
        <w:left w:val="none" w:sz="0" w:space="0" w:color="auto"/>
        <w:bottom w:val="none" w:sz="0" w:space="0" w:color="auto"/>
        <w:right w:val="none" w:sz="0" w:space="0" w:color="auto"/>
      </w:divBdr>
    </w:div>
    <w:div w:id="1969893474">
      <w:bodyDiv w:val="1"/>
      <w:marLeft w:val="0"/>
      <w:marRight w:val="0"/>
      <w:marTop w:val="0"/>
      <w:marBottom w:val="0"/>
      <w:divBdr>
        <w:top w:val="none" w:sz="0" w:space="0" w:color="auto"/>
        <w:left w:val="none" w:sz="0" w:space="0" w:color="auto"/>
        <w:bottom w:val="none" w:sz="0" w:space="0" w:color="auto"/>
        <w:right w:val="none" w:sz="0" w:space="0" w:color="auto"/>
      </w:divBdr>
    </w:div>
    <w:div w:id="1970936255">
      <w:bodyDiv w:val="1"/>
      <w:marLeft w:val="0"/>
      <w:marRight w:val="0"/>
      <w:marTop w:val="0"/>
      <w:marBottom w:val="0"/>
      <w:divBdr>
        <w:top w:val="none" w:sz="0" w:space="0" w:color="auto"/>
        <w:left w:val="none" w:sz="0" w:space="0" w:color="auto"/>
        <w:bottom w:val="none" w:sz="0" w:space="0" w:color="auto"/>
        <w:right w:val="none" w:sz="0" w:space="0" w:color="auto"/>
      </w:divBdr>
    </w:div>
    <w:div w:id="1976637922">
      <w:bodyDiv w:val="1"/>
      <w:marLeft w:val="0"/>
      <w:marRight w:val="0"/>
      <w:marTop w:val="0"/>
      <w:marBottom w:val="0"/>
      <w:divBdr>
        <w:top w:val="none" w:sz="0" w:space="0" w:color="auto"/>
        <w:left w:val="none" w:sz="0" w:space="0" w:color="auto"/>
        <w:bottom w:val="none" w:sz="0" w:space="0" w:color="auto"/>
        <w:right w:val="none" w:sz="0" w:space="0" w:color="auto"/>
      </w:divBdr>
    </w:div>
    <w:div w:id="1995064092">
      <w:bodyDiv w:val="1"/>
      <w:marLeft w:val="0"/>
      <w:marRight w:val="0"/>
      <w:marTop w:val="0"/>
      <w:marBottom w:val="0"/>
      <w:divBdr>
        <w:top w:val="none" w:sz="0" w:space="0" w:color="auto"/>
        <w:left w:val="none" w:sz="0" w:space="0" w:color="auto"/>
        <w:bottom w:val="none" w:sz="0" w:space="0" w:color="auto"/>
        <w:right w:val="none" w:sz="0" w:space="0" w:color="auto"/>
      </w:divBdr>
    </w:div>
    <w:div w:id="2003922145">
      <w:bodyDiv w:val="1"/>
      <w:marLeft w:val="0"/>
      <w:marRight w:val="0"/>
      <w:marTop w:val="0"/>
      <w:marBottom w:val="0"/>
      <w:divBdr>
        <w:top w:val="none" w:sz="0" w:space="0" w:color="auto"/>
        <w:left w:val="none" w:sz="0" w:space="0" w:color="auto"/>
        <w:bottom w:val="none" w:sz="0" w:space="0" w:color="auto"/>
        <w:right w:val="none" w:sz="0" w:space="0" w:color="auto"/>
      </w:divBdr>
    </w:div>
    <w:div w:id="2005814071">
      <w:bodyDiv w:val="1"/>
      <w:marLeft w:val="0"/>
      <w:marRight w:val="0"/>
      <w:marTop w:val="0"/>
      <w:marBottom w:val="0"/>
      <w:divBdr>
        <w:top w:val="none" w:sz="0" w:space="0" w:color="auto"/>
        <w:left w:val="none" w:sz="0" w:space="0" w:color="auto"/>
        <w:bottom w:val="none" w:sz="0" w:space="0" w:color="auto"/>
        <w:right w:val="none" w:sz="0" w:space="0" w:color="auto"/>
      </w:divBdr>
    </w:div>
    <w:div w:id="2018652940">
      <w:bodyDiv w:val="1"/>
      <w:marLeft w:val="0"/>
      <w:marRight w:val="0"/>
      <w:marTop w:val="0"/>
      <w:marBottom w:val="0"/>
      <w:divBdr>
        <w:top w:val="none" w:sz="0" w:space="0" w:color="auto"/>
        <w:left w:val="none" w:sz="0" w:space="0" w:color="auto"/>
        <w:bottom w:val="none" w:sz="0" w:space="0" w:color="auto"/>
        <w:right w:val="none" w:sz="0" w:space="0" w:color="auto"/>
      </w:divBdr>
    </w:div>
    <w:div w:id="21247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D60C-E9B4-45B2-8711-F8AF92F5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Dell Computer Corporation</Company>
  <LinksUpToDate>false</LinksUpToDate>
  <CharactersWithSpaces>37050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Preferred Customer</dc:creator>
  <cp:keywords/>
  <dc:description/>
  <cp:lastModifiedBy>Kerwin, Courtney</cp:lastModifiedBy>
  <cp:revision>3</cp:revision>
  <cp:lastPrinted>2011-05-09T16:53:00Z</cp:lastPrinted>
  <dcterms:created xsi:type="dcterms:W3CDTF">2015-08-03T21:11:00Z</dcterms:created>
  <dcterms:modified xsi:type="dcterms:W3CDTF">2015-08-03T21:11:00Z</dcterms:modified>
</cp:coreProperties>
</file>