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9D54" w14:textId="77777777" w:rsidR="0051298C" w:rsidRDefault="0051298C" w:rsidP="00DF2D63">
      <w:pPr>
        <w:widowControl w:val="0"/>
        <w:rPr>
          <w:b/>
        </w:rPr>
      </w:pPr>
    </w:p>
    <w:p w14:paraId="623B96BA" w14:textId="77777777" w:rsidR="0051298C" w:rsidRDefault="0051298C" w:rsidP="000B31C5">
      <w:pPr>
        <w:widowControl w:val="0"/>
        <w:jc w:val="center"/>
        <w:rPr>
          <w:b/>
        </w:rPr>
      </w:pPr>
    </w:p>
    <w:p w14:paraId="23123709" w14:textId="77777777" w:rsidR="0051298C" w:rsidRDefault="0051298C" w:rsidP="000B31C5">
      <w:pPr>
        <w:widowControl w:val="0"/>
        <w:jc w:val="center"/>
        <w:rPr>
          <w:b/>
        </w:rPr>
      </w:pPr>
    </w:p>
    <w:p w14:paraId="0CD62977" w14:textId="77777777" w:rsidR="0051298C" w:rsidRDefault="0051298C" w:rsidP="000B31C5">
      <w:pPr>
        <w:widowControl w:val="0"/>
        <w:jc w:val="center"/>
        <w:rPr>
          <w:b/>
        </w:rPr>
      </w:pPr>
      <w:r>
        <w:rPr>
          <w:b/>
        </w:rPr>
        <w:t>SUPPORTING STATEMENT FOR</w:t>
      </w:r>
    </w:p>
    <w:p w14:paraId="0F0181DD" w14:textId="77777777" w:rsidR="0051298C" w:rsidRDefault="0051298C" w:rsidP="000B31C5">
      <w:pPr>
        <w:widowControl w:val="0"/>
        <w:jc w:val="center"/>
        <w:rPr>
          <w:b/>
        </w:rPr>
      </w:pPr>
    </w:p>
    <w:p w14:paraId="47DFC7A3" w14:textId="77777777" w:rsidR="0051298C" w:rsidRDefault="0051298C" w:rsidP="000B31C5">
      <w:pPr>
        <w:widowControl w:val="0"/>
        <w:jc w:val="center"/>
        <w:rPr>
          <w:b/>
        </w:rPr>
      </w:pPr>
    </w:p>
    <w:p w14:paraId="6EFA9593" w14:textId="77777777" w:rsidR="0051298C" w:rsidRDefault="0051298C" w:rsidP="000B31C5">
      <w:pPr>
        <w:widowControl w:val="0"/>
        <w:jc w:val="center"/>
        <w:rPr>
          <w:b/>
        </w:rPr>
      </w:pPr>
      <w:r>
        <w:rPr>
          <w:b/>
        </w:rPr>
        <w:t>EPA INFORMATION C</w:t>
      </w:r>
      <w:r w:rsidR="000163A6">
        <w:rPr>
          <w:b/>
        </w:rPr>
        <w:t>OLLECTION REQUEST NUMBER 2130.05</w:t>
      </w:r>
    </w:p>
    <w:p w14:paraId="1E490EAF" w14:textId="77777777" w:rsidR="0051298C" w:rsidRDefault="0051298C" w:rsidP="000B31C5">
      <w:pPr>
        <w:widowControl w:val="0"/>
        <w:jc w:val="center"/>
        <w:rPr>
          <w:b/>
        </w:rPr>
      </w:pPr>
    </w:p>
    <w:p w14:paraId="73C500CD" w14:textId="77777777" w:rsidR="0051298C" w:rsidRDefault="0051298C" w:rsidP="000B31C5">
      <w:pPr>
        <w:widowControl w:val="0"/>
        <w:jc w:val="center"/>
        <w:rPr>
          <w:b/>
        </w:rPr>
      </w:pPr>
    </w:p>
    <w:p w14:paraId="67BC9F46" w14:textId="77777777" w:rsidR="0051298C" w:rsidRDefault="0051298C" w:rsidP="000B31C5">
      <w:pPr>
        <w:widowControl w:val="0"/>
        <w:jc w:val="center"/>
        <w:rPr>
          <w:b/>
        </w:rPr>
      </w:pPr>
      <w:r>
        <w:rPr>
          <w:b/>
        </w:rPr>
        <w:t xml:space="preserve">TRANSPORTATION CONFORMITY DETERMINATIONS FOR FEDERALLY FUNDED AND APPROVED TRANSPORTATION PLANS, PROGRAMS AND PROJECTS </w:t>
      </w:r>
    </w:p>
    <w:p w14:paraId="4A37225C" w14:textId="77777777" w:rsidR="0051298C" w:rsidRDefault="0051298C" w:rsidP="000B31C5">
      <w:pPr>
        <w:widowControl w:val="0"/>
        <w:jc w:val="center"/>
        <w:rPr>
          <w:b/>
        </w:rPr>
      </w:pPr>
    </w:p>
    <w:p w14:paraId="402E0CC5" w14:textId="77777777" w:rsidR="0051298C" w:rsidRDefault="0051298C" w:rsidP="000B31C5">
      <w:pPr>
        <w:widowControl w:val="0"/>
        <w:jc w:val="center"/>
        <w:rPr>
          <w:b/>
        </w:rPr>
      </w:pPr>
    </w:p>
    <w:p w14:paraId="41ACCA3E" w14:textId="77777777" w:rsidR="0051298C" w:rsidRPr="0021616C" w:rsidRDefault="003467CD" w:rsidP="000B31C5">
      <w:pPr>
        <w:widowControl w:val="0"/>
        <w:jc w:val="center"/>
        <w:rPr>
          <w:rFonts w:ascii="Times" w:hAnsi="Times"/>
          <w:b/>
          <w:szCs w:val="24"/>
        </w:rPr>
      </w:pPr>
      <w:r>
        <w:rPr>
          <w:b/>
        </w:rPr>
        <w:t>June</w:t>
      </w:r>
      <w:r w:rsidR="00F54266">
        <w:rPr>
          <w:b/>
        </w:rPr>
        <w:t xml:space="preserve"> 2015</w:t>
      </w:r>
      <w:r w:rsidR="0051298C" w:rsidRPr="0021616C">
        <w:rPr>
          <w:b/>
        </w:rPr>
        <w:br w:type="page"/>
      </w:r>
    </w:p>
    <w:p w14:paraId="1CD77CD9" w14:textId="77777777" w:rsidR="0051298C" w:rsidRDefault="0051298C" w:rsidP="002F6AA1">
      <w:pPr>
        <w:pStyle w:val="TOCHeading"/>
        <w:jc w:val="center"/>
      </w:pPr>
      <w:r>
        <w:lastRenderedPageBreak/>
        <w:t>Table of Contents</w:t>
      </w:r>
    </w:p>
    <w:p w14:paraId="11DD5FE2" w14:textId="77777777" w:rsidR="001663EC" w:rsidRDefault="00C73432">
      <w:pPr>
        <w:pStyle w:val="TOC1"/>
        <w:tabs>
          <w:tab w:val="left" w:pos="660"/>
          <w:tab w:val="right" w:leader="dot" w:pos="9350"/>
        </w:tabs>
        <w:rPr>
          <w:rFonts w:asciiTheme="minorHAnsi" w:eastAsiaTheme="minorEastAsia" w:hAnsiTheme="minorHAnsi" w:cstheme="minorBidi"/>
          <w:noProof/>
          <w:sz w:val="22"/>
          <w:szCs w:val="22"/>
        </w:rPr>
      </w:pPr>
      <w:r>
        <w:fldChar w:fldCharType="begin"/>
      </w:r>
      <w:r w:rsidR="0051298C">
        <w:instrText xml:space="preserve"> TOC \o "1-3" \h \z \u </w:instrText>
      </w:r>
      <w:r>
        <w:fldChar w:fldCharType="separate"/>
      </w:r>
      <w:hyperlink w:anchor="_Toc411336336" w:history="1">
        <w:r w:rsidR="001663EC" w:rsidRPr="000C4F56">
          <w:rPr>
            <w:rStyle w:val="Hyperlink"/>
            <w:noProof/>
          </w:rPr>
          <w:t xml:space="preserve">1. </w:t>
        </w:r>
        <w:r w:rsidR="001663EC">
          <w:rPr>
            <w:rFonts w:asciiTheme="minorHAnsi" w:eastAsiaTheme="minorEastAsia" w:hAnsiTheme="minorHAnsi" w:cstheme="minorBidi"/>
            <w:noProof/>
            <w:sz w:val="22"/>
            <w:szCs w:val="22"/>
          </w:rPr>
          <w:tab/>
        </w:r>
        <w:r w:rsidR="001663EC" w:rsidRPr="000C4F56">
          <w:rPr>
            <w:rStyle w:val="Hyperlink"/>
            <w:noProof/>
          </w:rPr>
          <w:t>IDENTIFICATION OF THE INFORMATION COLLECTION</w:t>
        </w:r>
        <w:r w:rsidR="001663EC">
          <w:rPr>
            <w:noProof/>
            <w:webHidden/>
          </w:rPr>
          <w:tab/>
        </w:r>
        <w:r>
          <w:rPr>
            <w:noProof/>
            <w:webHidden/>
          </w:rPr>
          <w:fldChar w:fldCharType="begin"/>
        </w:r>
        <w:r w:rsidR="001663EC">
          <w:rPr>
            <w:noProof/>
            <w:webHidden/>
          </w:rPr>
          <w:instrText xml:space="preserve"> PAGEREF _Toc411336336 \h </w:instrText>
        </w:r>
        <w:r>
          <w:rPr>
            <w:noProof/>
            <w:webHidden/>
          </w:rPr>
        </w:r>
        <w:r>
          <w:rPr>
            <w:noProof/>
            <w:webHidden/>
          </w:rPr>
          <w:fldChar w:fldCharType="separate"/>
        </w:r>
        <w:r w:rsidR="004F3D3E">
          <w:rPr>
            <w:noProof/>
            <w:webHidden/>
          </w:rPr>
          <w:t>3</w:t>
        </w:r>
        <w:r>
          <w:rPr>
            <w:noProof/>
            <w:webHidden/>
          </w:rPr>
          <w:fldChar w:fldCharType="end"/>
        </w:r>
      </w:hyperlink>
    </w:p>
    <w:p w14:paraId="74B42CC7"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37" w:history="1">
        <w:r w:rsidR="001663EC" w:rsidRPr="000C4F56">
          <w:rPr>
            <w:rStyle w:val="Hyperlink"/>
            <w:noProof/>
          </w:rPr>
          <w:t>1(a)</w:t>
        </w:r>
        <w:r w:rsidR="001663EC">
          <w:rPr>
            <w:rFonts w:asciiTheme="minorHAnsi" w:eastAsiaTheme="minorEastAsia" w:hAnsiTheme="minorHAnsi" w:cstheme="minorBidi"/>
            <w:noProof/>
            <w:sz w:val="22"/>
            <w:szCs w:val="22"/>
          </w:rPr>
          <w:tab/>
        </w:r>
        <w:r w:rsidR="001663EC" w:rsidRPr="000C4F56">
          <w:rPr>
            <w:rStyle w:val="Hyperlink"/>
            <w:noProof/>
          </w:rPr>
          <w:t>Title of the Information Collection</w:t>
        </w:r>
        <w:r w:rsidR="001663EC">
          <w:rPr>
            <w:noProof/>
            <w:webHidden/>
          </w:rPr>
          <w:tab/>
        </w:r>
        <w:r w:rsidR="00C73432">
          <w:rPr>
            <w:noProof/>
            <w:webHidden/>
          </w:rPr>
          <w:fldChar w:fldCharType="begin"/>
        </w:r>
        <w:r w:rsidR="001663EC">
          <w:rPr>
            <w:noProof/>
            <w:webHidden/>
          </w:rPr>
          <w:instrText xml:space="preserve"> PAGEREF _Toc411336337 \h </w:instrText>
        </w:r>
        <w:r w:rsidR="00C73432">
          <w:rPr>
            <w:noProof/>
            <w:webHidden/>
          </w:rPr>
        </w:r>
        <w:r w:rsidR="00C73432">
          <w:rPr>
            <w:noProof/>
            <w:webHidden/>
          </w:rPr>
          <w:fldChar w:fldCharType="separate"/>
        </w:r>
        <w:r w:rsidR="004F3D3E">
          <w:rPr>
            <w:noProof/>
            <w:webHidden/>
          </w:rPr>
          <w:t>3</w:t>
        </w:r>
        <w:r w:rsidR="00C73432">
          <w:rPr>
            <w:noProof/>
            <w:webHidden/>
          </w:rPr>
          <w:fldChar w:fldCharType="end"/>
        </w:r>
      </w:hyperlink>
    </w:p>
    <w:p w14:paraId="3F26B9AA"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38" w:history="1">
        <w:r w:rsidR="001663EC" w:rsidRPr="000C4F56">
          <w:rPr>
            <w:rStyle w:val="Hyperlink"/>
            <w:noProof/>
          </w:rPr>
          <w:t>1(b)</w:t>
        </w:r>
        <w:r w:rsidR="001663EC">
          <w:rPr>
            <w:rFonts w:asciiTheme="minorHAnsi" w:eastAsiaTheme="minorEastAsia" w:hAnsiTheme="minorHAnsi" w:cstheme="minorBidi"/>
            <w:noProof/>
            <w:sz w:val="22"/>
            <w:szCs w:val="22"/>
          </w:rPr>
          <w:tab/>
        </w:r>
        <w:r w:rsidR="001663EC" w:rsidRPr="000C4F56">
          <w:rPr>
            <w:rStyle w:val="Hyperlink"/>
            <w:noProof/>
          </w:rPr>
          <w:t>Short Characterization/Abstract</w:t>
        </w:r>
        <w:r w:rsidR="001663EC">
          <w:rPr>
            <w:noProof/>
            <w:webHidden/>
          </w:rPr>
          <w:tab/>
        </w:r>
        <w:r w:rsidR="00C73432">
          <w:rPr>
            <w:noProof/>
            <w:webHidden/>
          </w:rPr>
          <w:fldChar w:fldCharType="begin"/>
        </w:r>
        <w:r w:rsidR="001663EC">
          <w:rPr>
            <w:noProof/>
            <w:webHidden/>
          </w:rPr>
          <w:instrText xml:space="preserve"> PAGEREF _Toc411336338 \h </w:instrText>
        </w:r>
        <w:r w:rsidR="00C73432">
          <w:rPr>
            <w:noProof/>
            <w:webHidden/>
          </w:rPr>
        </w:r>
        <w:r w:rsidR="00C73432">
          <w:rPr>
            <w:noProof/>
            <w:webHidden/>
          </w:rPr>
          <w:fldChar w:fldCharType="separate"/>
        </w:r>
        <w:r w:rsidR="004F3D3E">
          <w:rPr>
            <w:noProof/>
            <w:webHidden/>
          </w:rPr>
          <w:t>3</w:t>
        </w:r>
        <w:r w:rsidR="00C73432">
          <w:rPr>
            <w:noProof/>
            <w:webHidden/>
          </w:rPr>
          <w:fldChar w:fldCharType="end"/>
        </w:r>
      </w:hyperlink>
    </w:p>
    <w:p w14:paraId="4BAD93D6"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39" w:history="1">
        <w:r w:rsidR="001663EC" w:rsidRPr="000C4F56">
          <w:rPr>
            <w:rStyle w:val="Hyperlink"/>
            <w:noProof/>
          </w:rPr>
          <w:t xml:space="preserve">2. </w:t>
        </w:r>
        <w:r w:rsidR="001663EC">
          <w:rPr>
            <w:rFonts w:asciiTheme="minorHAnsi" w:eastAsiaTheme="minorEastAsia" w:hAnsiTheme="minorHAnsi" w:cstheme="minorBidi"/>
            <w:noProof/>
            <w:sz w:val="22"/>
            <w:szCs w:val="22"/>
          </w:rPr>
          <w:tab/>
        </w:r>
        <w:r w:rsidR="001663EC" w:rsidRPr="000C4F56">
          <w:rPr>
            <w:rStyle w:val="Hyperlink"/>
            <w:noProof/>
          </w:rPr>
          <w:t>NEED FOR AND USE OF THE COLLECTION</w:t>
        </w:r>
        <w:r w:rsidR="001663EC">
          <w:rPr>
            <w:noProof/>
            <w:webHidden/>
          </w:rPr>
          <w:tab/>
        </w:r>
        <w:r w:rsidR="00C73432">
          <w:rPr>
            <w:noProof/>
            <w:webHidden/>
          </w:rPr>
          <w:fldChar w:fldCharType="begin"/>
        </w:r>
        <w:r w:rsidR="001663EC">
          <w:rPr>
            <w:noProof/>
            <w:webHidden/>
          </w:rPr>
          <w:instrText xml:space="preserve"> PAGEREF _Toc411336339 \h </w:instrText>
        </w:r>
        <w:r w:rsidR="00C73432">
          <w:rPr>
            <w:noProof/>
            <w:webHidden/>
          </w:rPr>
        </w:r>
        <w:r w:rsidR="00C73432">
          <w:rPr>
            <w:noProof/>
            <w:webHidden/>
          </w:rPr>
          <w:fldChar w:fldCharType="separate"/>
        </w:r>
        <w:r w:rsidR="004F3D3E">
          <w:rPr>
            <w:noProof/>
            <w:webHidden/>
          </w:rPr>
          <w:t>5</w:t>
        </w:r>
        <w:r w:rsidR="00C73432">
          <w:rPr>
            <w:noProof/>
            <w:webHidden/>
          </w:rPr>
          <w:fldChar w:fldCharType="end"/>
        </w:r>
      </w:hyperlink>
    </w:p>
    <w:p w14:paraId="5D0D53DB"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0" w:history="1">
        <w:r w:rsidR="001663EC" w:rsidRPr="000C4F56">
          <w:rPr>
            <w:rStyle w:val="Hyperlink"/>
            <w:noProof/>
          </w:rPr>
          <w:t>2(a)</w:t>
        </w:r>
        <w:r w:rsidR="001663EC">
          <w:rPr>
            <w:rFonts w:asciiTheme="minorHAnsi" w:eastAsiaTheme="minorEastAsia" w:hAnsiTheme="minorHAnsi" w:cstheme="minorBidi"/>
            <w:noProof/>
            <w:sz w:val="22"/>
            <w:szCs w:val="22"/>
          </w:rPr>
          <w:tab/>
        </w:r>
        <w:r w:rsidR="001663EC" w:rsidRPr="000C4F56">
          <w:rPr>
            <w:rStyle w:val="Hyperlink"/>
            <w:noProof/>
          </w:rPr>
          <w:t>Need/Authority for the Collection</w:t>
        </w:r>
        <w:r w:rsidR="001663EC">
          <w:rPr>
            <w:noProof/>
            <w:webHidden/>
          </w:rPr>
          <w:tab/>
        </w:r>
        <w:r w:rsidR="00C73432">
          <w:rPr>
            <w:noProof/>
            <w:webHidden/>
          </w:rPr>
          <w:fldChar w:fldCharType="begin"/>
        </w:r>
        <w:r w:rsidR="001663EC">
          <w:rPr>
            <w:noProof/>
            <w:webHidden/>
          </w:rPr>
          <w:instrText xml:space="preserve"> PAGEREF _Toc411336340 \h </w:instrText>
        </w:r>
        <w:r w:rsidR="00C73432">
          <w:rPr>
            <w:noProof/>
            <w:webHidden/>
          </w:rPr>
        </w:r>
        <w:r w:rsidR="00C73432">
          <w:rPr>
            <w:noProof/>
            <w:webHidden/>
          </w:rPr>
          <w:fldChar w:fldCharType="separate"/>
        </w:r>
        <w:r w:rsidR="004F3D3E">
          <w:rPr>
            <w:noProof/>
            <w:webHidden/>
          </w:rPr>
          <w:t>5</w:t>
        </w:r>
        <w:r w:rsidR="00C73432">
          <w:rPr>
            <w:noProof/>
            <w:webHidden/>
          </w:rPr>
          <w:fldChar w:fldCharType="end"/>
        </w:r>
      </w:hyperlink>
    </w:p>
    <w:p w14:paraId="6356CD9A"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1" w:history="1">
        <w:r w:rsidR="001663EC" w:rsidRPr="000C4F56">
          <w:rPr>
            <w:rStyle w:val="Hyperlink"/>
            <w:noProof/>
          </w:rPr>
          <w:t>2(b)</w:t>
        </w:r>
        <w:r w:rsidR="001663EC">
          <w:rPr>
            <w:rFonts w:asciiTheme="minorHAnsi" w:eastAsiaTheme="minorEastAsia" w:hAnsiTheme="minorHAnsi" w:cstheme="minorBidi"/>
            <w:noProof/>
            <w:sz w:val="22"/>
            <w:szCs w:val="22"/>
          </w:rPr>
          <w:tab/>
        </w:r>
        <w:r w:rsidR="001663EC" w:rsidRPr="000C4F56">
          <w:rPr>
            <w:rStyle w:val="Hyperlink"/>
            <w:noProof/>
          </w:rPr>
          <w:t>Practical Utility/Users of the Data</w:t>
        </w:r>
        <w:r w:rsidR="001663EC">
          <w:rPr>
            <w:noProof/>
            <w:webHidden/>
          </w:rPr>
          <w:tab/>
        </w:r>
        <w:r w:rsidR="00C73432">
          <w:rPr>
            <w:noProof/>
            <w:webHidden/>
          </w:rPr>
          <w:fldChar w:fldCharType="begin"/>
        </w:r>
        <w:r w:rsidR="001663EC">
          <w:rPr>
            <w:noProof/>
            <w:webHidden/>
          </w:rPr>
          <w:instrText xml:space="preserve"> PAGEREF _Toc411336341 \h </w:instrText>
        </w:r>
        <w:r w:rsidR="00C73432">
          <w:rPr>
            <w:noProof/>
            <w:webHidden/>
          </w:rPr>
        </w:r>
        <w:r w:rsidR="00C73432">
          <w:rPr>
            <w:noProof/>
            <w:webHidden/>
          </w:rPr>
          <w:fldChar w:fldCharType="separate"/>
        </w:r>
        <w:r w:rsidR="004F3D3E">
          <w:rPr>
            <w:noProof/>
            <w:webHidden/>
          </w:rPr>
          <w:t>5</w:t>
        </w:r>
        <w:r w:rsidR="00C73432">
          <w:rPr>
            <w:noProof/>
            <w:webHidden/>
          </w:rPr>
          <w:fldChar w:fldCharType="end"/>
        </w:r>
      </w:hyperlink>
    </w:p>
    <w:p w14:paraId="141A6D02"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2" w:history="1">
        <w:r w:rsidR="001663EC" w:rsidRPr="000C4F56">
          <w:rPr>
            <w:rStyle w:val="Hyperlink"/>
            <w:noProof/>
          </w:rPr>
          <w:t xml:space="preserve">3. </w:t>
        </w:r>
        <w:r w:rsidR="001663EC">
          <w:rPr>
            <w:rFonts w:asciiTheme="minorHAnsi" w:eastAsiaTheme="minorEastAsia" w:hAnsiTheme="minorHAnsi" w:cstheme="minorBidi"/>
            <w:noProof/>
            <w:sz w:val="22"/>
            <w:szCs w:val="22"/>
          </w:rPr>
          <w:tab/>
        </w:r>
        <w:r w:rsidR="001663EC" w:rsidRPr="000C4F56">
          <w:rPr>
            <w:rStyle w:val="Hyperlink"/>
            <w:noProof/>
          </w:rPr>
          <w:t>NON-DUPLICATION, CONSULTATIONS, AND OTHER COLLECTION CRITERIA</w:t>
        </w:r>
        <w:r w:rsidR="001663EC">
          <w:rPr>
            <w:noProof/>
            <w:webHidden/>
          </w:rPr>
          <w:tab/>
        </w:r>
        <w:r w:rsidR="00C73432">
          <w:rPr>
            <w:noProof/>
            <w:webHidden/>
          </w:rPr>
          <w:fldChar w:fldCharType="begin"/>
        </w:r>
        <w:r w:rsidR="001663EC">
          <w:rPr>
            <w:noProof/>
            <w:webHidden/>
          </w:rPr>
          <w:instrText xml:space="preserve"> PAGEREF _Toc411336342 \h </w:instrText>
        </w:r>
        <w:r w:rsidR="00C73432">
          <w:rPr>
            <w:noProof/>
            <w:webHidden/>
          </w:rPr>
        </w:r>
        <w:r w:rsidR="00C73432">
          <w:rPr>
            <w:noProof/>
            <w:webHidden/>
          </w:rPr>
          <w:fldChar w:fldCharType="separate"/>
        </w:r>
        <w:r w:rsidR="004F3D3E">
          <w:rPr>
            <w:noProof/>
            <w:webHidden/>
          </w:rPr>
          <w:t>5</w:t>
        </w:r>
        <w:r w:rsidR="00C73432">
          <w:rPr>
            <w:noProof/>
            <w:webHidden/>
          </w:rPr>
          <w:fldChar w:fldCharType="end"/>
        </w:r>
      </w:hyperlink>
    </w:p>
    <w:p w14:paraId="54D493F5"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3" w:history="1">
        <w:r w:rsidR="001663EC" w:rsidRPr="000C4F56">
          <w:rPr>
            <w:rStyle w:val="Hyperlink"/>
            <w:noProof/>
          </w:rPr>
          <w:t>3(a)</w:t>
        </w:r>
        <w:r w:rsidR="001663EC">
          <w:rPr>
            <w:rFonts w:asciiTheme="minorHAnsi" w:eastAsiaTheme="minorEastAsia" w:hAnsiTheme="minorHAnsi" w:cstheme="minorBidi"/>
            <w:noProof/>
            <w:sz w:val="22"/>
            <w:szCs w:val="22"/>
          </w:rPr>
          <w:tab/>
        </w:r>
        <w:r w:rsidR="001663EC" w:rsidRPr="000C4F56">
          <w:rPr>
            <w:rStyle w:val="Hyperlink"/>
            <w:noProof/>
          </w:rPr>
          <w:t>Non-Duplication</w:t>
        </w:r>
        <w:r w:rsidR="001663EC">
          <w:rPr>
            <w:noProof/>
            <w:webHidden/>
          </w:rPr>
          <w:tab/>
        </w:r>
        <w:r w:rsidR="00C73432">
          <w:rPr>
            <w:noProof/>
            <w:webHidden/>
          </w:rPr>
          <w:fldChar w:fldCharType="begin"/>
        </w:r>
        <w:r w:rsidR="001663EC">
          <w:rPr>
            <w:noProof/>
            <w:webHidden/>
          </w:rPr>
          <w:instrText xml:space="preserve"> PAGEREF _Toc411336343 \h </w:instrText>
        </w:r>
        <w:r w:rsidR="00C73432">
          <w:rPr>
            <w:noProof/>
            <w:webHidden/>
          </w:rPr>
        </w:r>
        <w:r w:rsidR="00C73432">
          <w:rPr>
            <w:noProof/>
            <w:webHidden/>
          </w:rPr>
          <w:fldChar w:fldCharType="separate"/>
        </w:r>
        <w:r w:rsidR="004F3D3E">
          <w:rPr>
            <w:noProof/>
            <w:webHidden/>
          </w:rPr>
          <w:t>5</w:t>
        </w:r>
        <w:r w:rsidR="00C73432">
          <w:rPr>
            <w:noProof/>
            <w:webHidden/>
          </w:rPr>
          <w:fldChar w:fldCharType="end"/>
        </w:r>
      </w:hyperlink>
    </w:p>
    <w:p w14:paraId="7A3CFA9D"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4" w:history="1">
        <w:r w:rsidR="001663EC" w:rsidRPr="000C4F56">
          <w:rPr>
            <w:rStyle w:val="Hyperlink"/>
            <w:noProof/>
          </w:rPr>
          <w:t>3(b)</w:t>
        </w:r>
        <w:r w:rsidR="001663EC">
          <w:rPr>
            <w:rFonts w:asciiTheme="minorHAnsi" w:eastAsiaTheme="minorEastAsia" w:hAnsiTheme="minorHAnsi" w:cstheme="minorBidi"/>
            <w:noProof/>
            <w:sz w:val="22"/>
            <w:szCs w:val="22"/>
          </w:rPr>
          <w:tab/>
        </w:r>
        <w:r w:rsidR="001663EC" w:rsidRPr="000C4F56">
          <w:rPr>
            <w:rStyle w:val="Hyperlink"/>
            <w:noProof/>
          </w:rPr>
          <w:t>Public Notice Required Prior to ICR Submission to OMB</w:t>
        </w:r>
        <w:r w:rsidR="001663EC">
          <w:rPr>
            <w:noProof/>
            <w:webHidden/>
          </w:rPr>
          <w:tab/>
        </w:r>
        <w:r w:rsidR="00C73432">
          <w:rPr>
            <w:noProof/>
            <w:webHidden/>
          </w:rPr>
          <w:fldChar w:fldCharType="begin"/>
        </w:r>
        <w:r w:rsidR="001663EC">
          <w:rPr>
            <w:noProof/>
            <w:webHidden/>
          </w:rPr>
          <w:instrText xml:space="preserve"> PAGEREF _Toc411336344 \h </w:instrText>
        </w:r>
        <w:r w:rsidR="00C73432">
          <w:rPr>
            <w:noProof/>
            <w:webHidden/>
          </w:rPr>
        </w:r>
        <w:r w:rsidR="00C73432">
          <w:rPr>
            <w:noProof/>
            <w:webHidden/>
          </w:rPr>
          <w:fldChar w:fldCharType="separate"/>
        </w:r>
        <w:r w:rsidR="004F3D3E">
          <w:rPr>
            <w:noProof/>
            <w:webHidden/>
          </w:rPr>
          <w:t>6</w:t>
        </w:r>
        <w:r w:rsidR="00C73432">
          <w:rPr>
            <w:noProof/>
            <w:webHidden/>
          </w:rPr>
          <w:fldChar w:fldCharType="end"/>
        </w:r>
      </w:hyperlink>
    </w:p>
    <w:p w14:paraId="1067465C"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5" w:history="1">
        <w:r w:rsidR="001663EC" w:rsidRPr="000C4F56">
          <w:rPr>
            <w:rStyle w:val="Hyperlink"/>
            <w:noProof/>
          </w:rPr>
          <w:t>3(c)</w:t>
        </w:r>
        <w:r w:rsidR="001663EC">
          <w:rPr>
            <w:rFonts w:asciiTheme="minorHAnsi" w:eastAsiaTheme="minorEastAsia" w:hAnsiTheme="minorHAnsi" w:cstheme="minorBidi"/>
            <w:noProof/>
            <w:sz w:val="22"/>
            <w:szCs w:val="22"/>
          </w:rPr>
          <w:tab/>
        </w:r>
        <w:r w:rsidR="001663EC" w:rsidRPr="000C4F56">
          <w:rPr>
            <w:rStyle w:val="Hyperlink"/>
            <w:noProof/>
          </w:rPr>
          <w:t>Consultations</w:t>
        </w:r>
        <w:r w:rsidR="001663EC">
          <w:rPr>
            <w:noProof/>
            <w:webHidden/>
          </w:rPr>
          <w:tab/>
        </w:r>
        <w:r w:rsidR="00C73432">
          <w:rPr>
            <w:noProof/>
            <w:webHidden/>
          </w:rPr>
          <w:fldChar w:fldCharType="begin"/>
        </w:r>
        <w:r w:rsidR="001663EC">
          <w:rPr>
            <w:noProof/>
            <w:webHidden/>
          </w:rPr>
          <w:instrText xml:space="preserve"> PAGEREF _Toc411336345 \h </w:instrText>
        </w:r>
        <w:r w:rsidR="00C73432">
          <w:rPr>
            <w:noProof/>
            <w:webHidden/>
          </w:rPr>
        </w:r>
        <w:r w:rsidR="00C73432">
          <w:rPr>
            <w:noProof/>
            <w:webHidden/>
          </w:rPr>
          <w:fldChar w:fldCharType="separate"/>
        </w:r>
        <w:r w:rsidR="004F3D3E">
          <w:rPr>
            <w:noProof/>
            <w:webHidden/>
          </w:rPr>
          <w:t>7</w:t>
        </w:r>
        <w:r w:rsidR="00C73432">
          <w:rPr>
            <w:noProof/>
            <w:webHidden/>
          </w:rPr>
          <w:fldChar w:fldCharType="end"/>
        </w:r>
      </w:hyperlink>
    </w:p>
    <w:p w14:paraId="6502EB7F"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6" w:history="1">
        <w:r w:rsidR="001663EC" w:rsidRPr="000C4F56">
          <w:rPr>
            <w:rStyle w:val="Hyperlink"/>
            <w:noProof/>
          </w:rPr>
          <w:t>3(d)</w:t>
        </w:r>
        <w:r w:rsidR="001663EC">
          <w:rPr>
            <w:rFonts w:asciiTheme="minorHAnsi" w:eastAsiaTheme="minorEastAsia" w:hAnsiTheme="minorHAnsi" w:cstheme="minorBidi"/>
            <w:noProof/>
            <w:sz w:val="22"/>
            <w:szCs w:val="22"/>
          </w:rPr>
          <w:tab/>
        </w:r>
        <w:r w:rsidR="001663EC" w:rsidRPr="000C4F56">
          <w:rPr>
            <w:rStyle w:val="Hyperlink"/>
            <w:noProof/>
          </w:rPr>
          <w:t>Effects of Less Frequent Collection</w:t>
        </w:r>
        <w:r w:rsidR="001663EC">
          <w:rPr>
            <w:noProof/>
            <w:webHidden/>
          </w:rPr>
          <w:tab/>
        </w:r>
        <w:r w:rsidR="00C73432">
          <w:rPr>
            <w:noProof/>
            <w:webHidden/>
          </w:rPr>
          <w:fldChar w:fldCharType="begin"/>
        </w:r>
        <w:r w:rsidR="001663EC">
          <w:rPr>
            <w:noProof/>
            <w:webHidden/>
          </w:rPr>
          <w:instrText xml:space="preserve"> PAGEREF _Toc411336346 \h </w:instrText>
        </w:r>
        <w:r w:rsidR="00C73432">
          <w:rPr>
            <w:noProof/>
            <w:webHidden/>
          </w:rPr>
        </w:r>
        <w:r w:rsidR="00C73432">
          <w:rPr>
            <w:noProof/>
            <w:webHidden/>
          </w:rPr>
          <w:fldChar w:fldCharType="separate"/>
        </w:r>
        <w:r w:rsidR="004F3D3E">
          <w:rPr>
            <w:noProof/>
            <w:webHidden/>
          </w:rPr>
          <w:t>8</w:t>
        </w:r>
        <w:r w:rsidR="00C73432">
          <w:rPr>
            <w:noProof/>
            <w:webHidden/>
          </w:rPr>
          <w:fldChar w:fldCharType="end"/>
        </w:r>
      </w:hyperlink>
    </w:p>
    <w:p w14:paraId="3C114A31"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7" w:history="1">
        <w:r w:rsidR="001663EC" w:rsidRPr="000C4F56">
          <w:rPr>
            <w:rStyle w:val="Hyperlink"/>
            <w:noProof/>
          </w:rPr>
          <w:t>3(e)</w:t>
        </w:r>
        <w:r w:rsidR="001663EC">
          <w:rPr>
            <w:rFonts w:asciiTheme="minorHAnsi" w:eastAsiaTheme="minorEastAsia" w:hAnsiTheme="minorHAnsi" w:cstheme="minorBidi"/>
            <w:noProof/>
            <w:sz w:val="22"/>
            <w:szCs w:val="22"/>
          </w:rPr>
          <w:tab/>
        </w:r>
        <w:r w:rsidR="001663EC" w:rsidRPr="000C4F56">
          <w:rPr>
            <w:rStyle w:val="Hyperlink"/>
            <w:noProof/>
          </w:rPr>
          <w:t>General Guidelines</w:t>
        </w:r>
        <w:r w:rsidR="001663EC">
          <w:rPr>
            <w:noProof/>
            <w:webHidden/>
          </w:rPr>
          <w:tab/>
        </w:r>
        <w:r w:rsidR="00C73432">
          <w:rPr>
            <w:noProof/>
            <w:webHidden/>
          </w:rPr>
          <w:fldChar w:fldCharType="begin"/>
        </w:r>
        <w:r w:rsidR="001663EC">
          <w:rPr>
            <w:noProof/>
            <w:webHidden/>
          </w:rPr>
          <w:instrText xml:space="preserve"> PAGEREF _Toc411336347 \h </w:instrText>
        </w:r>
        <w:r w:rsidR="00C73432">
          <w:rPr>
            <w:noProof/>
            <w:webHidden/>
          </w:rPr>
        </w:r>
        <w:r w:rsidR="00C73432">
          <w:rPr>
            <w:noProof/>
            <w:webHidden/>
          </w:rPr>
          <w:fldChar w:fldCharType="separate"/>
        </w:r>
        <w:r w:rsidR="004F3D3E">
          <w:rPr>
            <w:noProof/>
            <w:webHidden/>
          </w:rPr>
          <w:t>9</w:t>
        </w:r>
        <w:r w:rsidR="00C73432">
          <w:rPr>
            <w:noProof/>
            <w:webHidden/>
          </w:rPr>
          <w:fldChar w:fldCharType="end"/>
        </w:r>
      </w:hyperlink>
    </w:p>
    <w:p w14:paraId="7E581895"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8" w:history="1">
        <w:r w:rsidR="001663EC" w:rsidRPr="000C4F56">
          <w:rPr>
            <w:rStyle w:val="Hyperlink"/>
            <w:noProof/>
          </w:rPr>
          <w:t>3(f)</w:t>
        </w:r>
        <w:r w:rsidR="001663EC">
          <w:rPr>
            <w:rFonts w:asciiTheme="minorHAnsi" w:eastAsiaTheme="minorEastAsia" w:hAnsiTheme="minorHAnsi" w:cstheme="minorBidi"/>
            <w:noProof/>
            <w:sz w:val="22"/>
            <w:szCs w:val="22"/>
          </w:rPr>
          <w:tab/>
        </w:r>
        <w:r w:rsidR="001663EC" w:rsidRPr="000C4F56">
          <w:rPr>
            <w:rStyle w:val="Hyperlink"/>
            <w:noProof/>
          </w:rPr>
          <w:t>Confidentiality</w:t>
        </w:r>
        <w:r w:rsidR="001663EC">
          <w:rPr>
            <w:noProof/>
            <w:webHidden/>
          </w:rPr>
          <w:tab/>
        </w:r>
        <w:r w:rsidR="00C73432">
          <w:rPr>
            <w:noProof/>
            <w:webHidden/>
          </w:rPr>
          <w:fldChar w:fldCharType="begin"/>
        </w:r>
        <w:r w:rsidR="001663EC">
          <w:rPr>
            <w:noProof/>
            <w:webHidden/>
          </w:rPr>
          <w:instrText xml:space="preserve"> PAGEREF _Toc411336348 \h </w:instrText>
        </w:r>
        <w:r w:rsidR="00C73432">
          <w:rPr>
            <w:noProof/>
            <w:webHidden/>
          </w:rPr>
        </w:r>
        <w:r w:rsidR="00C73432">
          <w:rPr>
            <w:noProof/>
            <w:webHidden/>
          </w:rPr>
          <w:fldChar w:fldCharType="separate"/>
        </w:r>
        <w:r w:rsidR="004F3D3E">
          <w:rPr>
            <w:noProof/>
            <w:webHidden/>
          </w:rPr>
          <w:t>9</w:t>
        </w:r>
        <w:r w:rsidR="00C73432">
          <w:rPr>
            <w:noProof/>
            <w:webHidden/>
          </w:rPr>
          <w:fldChar w:fldCharType="end"/>
        </w:r>
      </w:hyperlink>
    </w:p>
    <w:p w14:paraId="14B403B8"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49" w:history="1">
        <w:r w:rsidR="001663EC" w:rsidRPr="000C4F56">
          <w:rPr>
            <w:rStyle w:val="Hyperlink"/>
            <w:noProof/>
          </w:rPr>
          <w:t>3(g)</w:t>
        </w:r>
        <w:r w:rsidR="001663EC">
          <w:rPr>
            <w:rFonts w:asciiTheme="minorHAnsi" w:eastAsiaTheme="minorEastAsia" w:hAnsiTheme="minorHAnsi" w:cstheme="minorBidi"/>
            <w:noProof/>
            <w:sz w:val="22"/>
            <w:szCs w:val="22"/>
          </w:rPr>
          <w:tab/>
        </w:r>
        <w:r w:rsidR="001663EC" w:rsidRPr="000C4F56">
          <w:rPr>
            <w:rStyle w:val="Hyperlink"/>
            <w:noProof/>
          </w:rPr>
          <w:t>Sensitive Questions</w:t>
        </w:r>
        <w:r w:rsidR="001663EC">
          <w:rPr>
            <w:noProof/>
            <w:webHidden/>
          </w:rPr>
          <w:tab/>
        </w:r>
        <w:r w:rsidR="00C73432">
          <w:rPr>
            <w:noProof/>
            <w:webHidden/>
          </w:rPr>
          <w:fldChar w:fldCharType="begin"/>
        </w:r>
        <w:r w:rsidR="001663EC">
          <w:rPr>
            <w:noProof/>
            <w:webHidden/>
          </w:rPr>
          <w:instrText xml:space="preserve"> PAGEREF _Toc411336349 \h </w:instrText>
        </w:r>
        <w:r w:rsidR="00C73432">
          <w:rPr>
            <w:noProof/>
            <w:webHidden/>
          </w:rPr>
        </w:r>
        <w:r w:rsidR="00C73432">
          <w:rPr>
            <w:noProof/>
            <w:webHidden/>
          </w:rPr>
          <w:fldChar w:fldCharType="separate"/>
        </w:r>
        <w:r w:rsidR="004F3D3E">
          <w:rPr>
            <w:noProof/>
            <w:webHidden/>
          </w:rPr>
          <w:t>9</w:t>
        </w:r>
        <w:r w:rsidR="00C73432">
          <w:rPr>
            <w:noProof/>
            <w:webHidden/>
          </w:rPr>
          <w:fldChar w:fldCharType="end"/>
        </w:r>
      </w:hyperlink>
    </w:p>
    <w:p w14:paraId="58FF596C"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0" w:history="1">
        <w:r w:rsidR="001663EC" w:rsidRPr="000C4F56">
          <w:rPr>
            <w:rStyle w:val="Hyperlink"/>
            <w:noProof/>
          </w:rPr>
          <w:t xml:space="preserve">4. </w:t>
        </w:r>
        <w:r w:rsidR="001663EC">
          <w:rPr>
            <w:rFonts w:asciiTheme="minorHAnsi" w:eastAsiaTheme="minorEastAsia" w:hAnsiTheme="minorHAnsi" w:cstheme="minorBidi"/>
            <w:noProof/>
            <w:sz w:val="22"/>
            <w:szCs w:val="22"/>
          </w:rPr>
          <w:tab/>
        </w:r>
        <w:r w:rsidR="001663EC" w:rsidRPr="000C4F56">
          <w:rPr>
            <w:rStyle w:val="Hyperlink"/>
            <w:noProof/>
          </w:rPr>
          <w:t>THE RESPONDENTS AND THE INFORMATION REQUESTED</w:t>
        </w:r>
        <w:r w:rsidR="001663EC">
          <w:rPr>
            <w:noProof/>
            <w:webHidden/>
          </w:rPr>
          <w:tab/>
        </w:r>
        <w:r w:rsidR="00C73432">
          <w:rPr>
            <w:noProof/>
            <w:webHidden/>
          </w:rPr>
          <w:fldChar w:fldCharType="begin"/>
        </w:r>
        <w:r w:rsidR="001663EC">
          <w:rPr>
            <w:noProof/>
            <w:webHidden/>
          </w:rPr>
          <w:instrText xml:space="preserve"> PAGEREF _Toc411336350 \h </w:instrText>
        </w:r>
        <w:r w:rsidR="00C73432">
          <w:rPr>
            <w:noProof/>
            <w:webHidden/>
          </w:rPr>
        </w:r>
        <w:r w:rsidR="00C73432">
          <w:rPr>
            <w:noProof/>
            <w:webHidden/>
          </w:rPr>
          <w:fldChar w:fldCharType="separate"/>
        </w:r>
        <w:r w:rsidR="004F3D3E">
          <w:rPr>
            <w:noProof/>
            <w:webHidden/>
          </w:rPr>
          <w:t>10</w:t>
        </w:r>
        <w:r w:rsidR="00C73432">
          <w:rPr>
            <w:noProof/>
            <w:webHidden/>
          </w:rPr>
          <w:fldChar w:fldCharType="end"/>
        </w:r>
      </w:hyperlink>
    </w:p>
    <w:p w14:paraId="57166B2F"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1" w:history="1">
        <w:r w:rsidR="001663EC" w:rsidRPr="000C4F56">
          <w:rPr>
            <w:rStyle w:val="Hyperlink"/>
            <w:noProof/>
          </w:rPr>
          <w:t>4(a)</w:t>
        </w:r>
        <w:r w:rsidR="001663EC">
          <w:rPr>
            <w:rFonts w:asciiTheme="minorHAnsi" w:eastAsiaTheme="minorEastAsia" w:hAnsiTheme="minorHAnsi" w:cstheme="minorBidi"/>
            <w:noProof/>
            <w:sz w:val="22"/>
            <w:szCs w:val="22"/>
          </w:rPr>
          <w:tab/>
        </w:r>
        <w:r w:rsidR="001663EC" w:rsidRPr="000C4F56">
          <w:rPr>
            <w:rStyle w:val="Hyperlink"/>
            <w:noProof/>
          </w:rPr>
          <w:t>State and Local Respondents/North American Industry Classification System</w:t>
        </w:r>
        <w:r w:rsidR="001663EC">
          <w:rPr>
            <w:noProof/>
            <w:webHidden/>
          </w:rPr>
          <w:tab/>
        </w:r>
        <w:r w:rsidR="00C73432">
          <w:rPr>
            <w:noProof/>
            <w:webHidden/>
          </w:rPr>
          <w:fldChar w:fldCharType="begin"/>
        </w:r>
        <w:r w:rsidR="001663EC">
          <w:rPr>
            <w:noProof/>
            <w:webHidden/>
          </w:rPr>
          <w:instrText xml:space="preserve"> PAGEREF _Toc411336351 \h </w:instrText>
        </w:r>
        <w:r w:rsidR="00C73432">
          <w:rPr>
            <w:noProof/>
            <w:webHidden/>
          </w:rPr>
        </w:r>
        <w:r w:rsidR="00C73432">
          <w:rPr>
            <w:noProof/>
            <w:webHidden/>
          </w:rPr>
          <w:fldChar w:fldCharType="separate"/>
        </w:r>
        <w:r w:rsidR="004F3D3E">
          <w:rPr>
            <w:noProof/>
            <w:webHidden/>
          </w:rPr>
          <w:t>10</w:t>
        </w:r>
        <w:r w:rsidR="00C73432">
          <w:rPr>
            <w:noProof/>
            <w:webHidden/>
          </w:rPr>
          <w:fldChar w:fldCharType="end"/>
        </w:r>
      </w:hyperlink>
    </w:p>
    <w:p w14:paraId="121AD9F2"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2" w:history="1">
        <w:r w:rsidR="001663EC" w:rsidRPr="000C4F56">
          <w:rPr>
            <w:rStyle w:val="Hyperlink"/>
            <w:noProof/>
          </w:rPr>
          <w:t>4(b)</w:t>
        </w:r>
        <w:r w:rsidR="001663EC">
          <w:rPr>
            <w:rFonts w:asciiTheme="minorHAnsi" w:eastAsiaTheme="minorEastAsia" w:hAnsiTheme="minorHAnsi" w:cstheme="minorBidi"/>
            <w:noProof/>
            <w:sz w:val="22"/>
            <w:szCs w:val="22"/>
          </w:rPr>
          <w:tab/>
        </w:r>
        <w:r w:rsidR="001663EC" w:rsidRPr="000C4F56">
          <w:rPr>
            <w:rStyle w:val="Hyperlink"/>
            <w:noProof/>
          </w:rPr>
          <w:t>Information Requested</w:t>
        </w:r>
        <w:r w:rsidR="001663EC">
          <w:rPr>
            <w:noProof/>
            <w:webHidden/>
          </w:rPr>
          <w:tab/>
        </w:r>
        <w:r w:rsidR="00C73432">
          <w:rPr>
            <w:noProof/>
            <w:webHidden/>
          </w:rPr>
          <w:fldChar w:fldCharType="begin"/>
        </w:r>
        <w:r w:rsidR="001663EC">
          <w:rPr>
            <w:noProof/>
            <w:webHidden/>
          </w:rPr>
          <w:instrText xml:space="preserve"> PAGEREF _Toc411336352 \h </w:instrText>
        </w:r>
        <w:r w:rsidR="00C73432">
          <w:rPr>
            <w:noProof/>
            <w:webHidden/>
          </w:rPr>
        </w:r>
        <w:r w:rsidR="00C73432">
          <w:rPr>
            <w:noProof/>
            <w:webHidden/>
          </w:rPr>
          <w:fldChar w:fldCharType="separate"/>
        </w:r>
        <w:r w:rsidR="004F3D3E">
          <w:rPr>
            <w:noProof/>
            <w:webHidden/>
          </w:rPr>
          <w:t>11</w:t>
        </w:r>
        <w:r w:rsidR="00C73432">
          <w:rPr>
            <w:noProof/>
            <w:webHidden/>
          </w:rPr>
          <w:fldChar w:fldCharType="end"/>
        </w:r>
      </w:hyperlink>
    </w:p>
    <w:p w14:paraId="2B27D3A9" w14:textId="77777777" w:rsidR="001663EC" w:rsidRDefault="005B34B6">
      <w:pPr>
        <w:pStyle w:val="TOC1"/>
        <w:tabs>
          <w:tab w:val="left" w:pos="440"/>
          <w:tab w:val="right" w:leader="dot" w:pos="9350"/>
        </w:tabs>
        <w:rPr>
          <w:rFonts w:asciiTheme="minorHAnsi" w:eastAsiaTheme="minorEastAsia" w:hAnsiTheme="minorHAnsi" w:cstheme="minorBidi"/>
          <w:noProof/>
          <w:sz w:val="22"/>
          <w:szCs w:val="22"/>
        </w:rPr>
      </w:pPr>
      <w:hyperlink w:anchor="_Toc411336353" w:history="1">
        <w:r w:rsidR="001663EC" w:rsidRPr="000C4F56">
          <w:rPr>
            <w:rStyle w:val="Hyperlink"/>
            <w:noProof/>
          </w:rPr>
          <w:t>5.</w:t>
        </w:r>
        <w:r w:rsidR="001663EC">
          <w:rPr>
            <w:rFonts w:asciiTheme="minorHAnsi" w:eastAsiaTheme="minorEastAsia" w:hAnsiTheme="minorHAnsi" w:cstheme="minorBidi"/>
            <w:noProof/>
            <w:sz w:val="22"/>
            <w:szCs w:val="22"/>
          </w:rPr>
          <w:tab/>
        </w:r>
        <w:r w:rsidR="001663EC" w:rsidRPr="000C4F56">
          <w:rPr>
            <w:rStyle w:val="Hyperlink"/>
            <w:noProof/>
          </w:rPr>
          <w:t xml:space="preserve"> THE INFORMATION COLLECTED–AGENCY ACTIVITIES, COLLECTION METHODOLOGY, AND INFORMATION MANAGEMENT</w:t>
        </w:r>
        <w:r w:rsidR="001663EC">
          <w:rPr>
            <w:noProof/>
            <w:webHidden/>
          </w:rPr>
          <w:tab/>
        </w:r>
        <w:r w:rsidR="00C73432">
          <w:rPr>
            <w:noProof/>
            <w:webHidden/>
          </w:rPr>
          <w:fldChar w:fldCharType="begin"/>
        </w:r>
        <w:r w:rsidR="001663EC">
          <w:rPr>
            <w:noProof/>
            <w:webHidden/>
          </w:rPr>
          <w:instrText xml:space="preserve"> PAGEREF _Toc411336353 \h </w:instrText>
        </w:r>
        <w:r w:rsidR="00C73432">
          <w:rPr>
            <w:noProof/>
            <w:webHidden/>
          </w:rPr>
        </w:r>
        <w:r w:rsidR="00C73432">
          <w:rPr>
            <w:noProof/>
            <w:webHidden/>
          </w:rPr>
          <w:fldChar w:fldCharType="separate"/>
        </w:r>
        <w:r w:rsidR="004F3D3E">
          <w:rPr>
            <w:noProof/>
            <w:webHidden/>
          </w:rPr>
          <w:t>13</w:t>
        </w:r>
        <w:r w:rsidR="00C73432">
          <w:rPr>
            <w:noProof/>
            <w:webHidden/>
          </w:rPr>
          <w:fldChar w:fldCharType="end"/>
        </w:r>
      </w:hyperlink>
    </w:p>
    <w:p w14:paraId="31EFBD75"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4" w:history="1">
        <w:r w:rsidR="001663EC" w:rsidRPr="000C4F56">
          <w:rPr>
            <w:rStyle w:val="Hyperlink"/>
            <w:noProof/>
          </w:rPr>
          <w:t>5(a)</w:t>
        </w:r>
        <w:r w:rsidR="001663EC">
          <w:rPr>
            <w:rFonts w:asciiTheme="minorHAnsi" w:eastAsiaTheme="minorEastAsia" w:hAnsiTheme="minorHAnsi" w:cstheme="minorBidi"/>
            <w:noProof/>
            <w:sz w:val="22"/>
            <w:szCs w:val="22"/>
          </w:rPr>
          <w:tab/>
        </w:r>
        <w:r w:rsidR="001663EC" w:rsidRPr="000C4F56">
          <w:rPr>
            <w:rStyle w:val="Hyperlink"/>
            <w:noProof/>
          </w:rPr>
          <w:t>Agency Activities</w:t>
        </w:r>
        <w:r w:rsidR="001663EC">
          <w:rPr>
            <w:noProof/>
            <w:webHidden/>
          </w:rPr>
          <w:tab/>
        </w:r>
        <w:r w:rsidR="00C73432">
          <w:rPr>
            <w:noProof/>
            <w:webHidden/>
          </w:rPr>
          <w:fldChar w:fldCharType="begin"/>
        </w:r>
        <w:r w:rsidR="001663EC">
          <w:rPr>
            <w:noProof/>
            <w:webHidden/>
          </w:rPr>
          <w:instrText xml:space="preserve"> PAGEREF _Toc411336354 \h </w:instrText>
        </w:r>
        <w:r w:rsidR="00C73432">
          <w:rPr>
            <w:noProof/>
            <w:webHidden/>
          </w:rPr>
        </w:r>
        <w:r w:rsidR="00C73432">
          <w:rPr>
            <w:noProof/>
            <w:webHidden/>
          </w:rPr>
          <w:fldChar w:fldCharType="separate"/>
        </w:r>
        <w:r w:rsidR="004F3D3E">
          <w:rPr>
            <w:noProof/>
            <w:webHidden/>
          </w:rPr>
          <w:t>13</w:t>
        </w:r>
        <w:r w:rsidR="00C73432">
          <w:rPr>
            <w:noProof/>
            <w:webHidden/>
          </w:rPr>
          <w:fldChar w:fldCharType="end"/>
        </w:r>
      </w:hyperlink>
    </w:p>
    <w:p w14:paraId="5543FAC8"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5" w:history="1">
        <w:r w:rsidR="001663EC" w:rsidRPr="000C4F56">
          <w:rPr>
            <w:rStyle w:val="Hyperlink"/>
            <w:noProof/>
          </w:rPr>
          <w:t>5(b)</w:t>
        </w:r>
        <w:r w:rsidR="001663EC">
          <w:rPr>
            <w:rFonts w:asciiTheme="minorHAnsi" w:eastAsiaTheme="minorEastAsia" w:hAnsiTheme="minorHAnsi" w:cstheme="minorBidi"/>
            <w:noProof/>
            <w:sz w:val="22"/>
            <w:szCs w:val="22"/>
          </w:rPr>
          <w:tab/>
        </w:r>
        <w:r w:rsidR="001663EC" w:rsidRPr="000C4F56">
          <w:rPr>
            <w:rStyle w:val="Hyperlink"/>
            <w:noProof/>
          </w:rPr>
          <w:t>Collection Methodology and Management</w:t>
        </w:r>
        <w:r w:rsidR="001663EC">
          <w:rPr>
            <w:noProof/>
            <w:webHidden/>
          </w:rPr>
          <w:tab/>
        </w:r>
        <w:r w:rsidR="00C73432">
          <w:rPr>
            <w:noProof/>
            <w:webHidden/>
          </w:rPr>
          <w:fldChar w:fldCharType="begin"/>
        </w:r>
        <w:r w:rsidR="001663EC">
          <w:rPr>
            <w:noProof/>
            <w:webHidden/>
          </w:rPr>
          <w:instrText xml:space="preserve"> PAGEREF _Toc411336355 \h </w:instrText>
        </w:r>
        <w:r w:rsidR="00C73432">
          <w:rPr>
            <w:noProof/>
            <w:webHidden/>
          </w:rPr>
        </w:r>
        <w:r w:rsidR="00C73432">
          <w:rPr>
            <w:noProof/>
            <w:webHidden/>
          </w:rPr>
          <w:fldChar w:fldCharType="separate"/>
        </w:r>
        <w:r w:rsidR="004F3D3E">
          <w:rPr>
            <w:noProof/>
            <w:webHidden/>
          </w:rPr>
          <w:t>14</w:t>
        </w:r>
        <w:r w:rsidR="00C73432">
          <w:rPr>
            <w:noProof/>
            <w:webHidden/>
          </w:rPr>
          <w:fldChar w:fldCharType="end"/>
        </w:r>
      </w:hyperlink>
    </w:p>
    <w:p w14:paraId="2BF8BD39"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6" w:history="1">
        <w:r w:rsidR="001663EC" w:rsidRPr="000C4F56">
          <w:rPr>
            <w:rStyle w:val="Hyperlink"/>
            <w:noProof/>
          </w:rPr>
          <w:t>5(c)</w:t>
        </w:r>
        <w:r w:rsidR="001663EC">
          <w:rPr>
            <w:rFonts w:asciiTheme="minorHAnsi" w:eastAsiaTheme="minorEastAsia" w:hAnsiTheme="minorHAnsi" w:cstheme="minorBidi"/>
            <w:noProof/>
            <w:sz w:val="22"/>
            <w:szCs w:val="22"/>
          </w:rPr>
          <w:tab/>
        </w:r>
        <w:r w:rsidR="001663EC" w:rsidRPr="000C4F56">
          <w:rPr>
            <w:rStyle w:val="Hyperlink"/>
            <w:noProof/>
          </w:rPr>
          <w:t>Small Entity Flexibility</w:t>
        </w:r>
        <w:r w:rsidR="001663EC">
          <w:rPr>
            <w:noProof/>
            <w:webHidden/>
          </w:rPr>
          <w:tab/>
        </w:r>
        <w:r w:rsidR="00C73432">
          <w:rPr>
            <w:noProof/>
            <w:webHidden/>
          </w:rPr>
          <w:fldChar w:fldCharType="begin"/>
        </w:r>
        <w:r w:rsidR="001663EC">
          <w:rPr>
            <w:noProof/>
            <w:webHidden/>
          </w:rPr>
          <w:instrText xml:space="preserve"> PAGEREF _Toc411336356 \h </w:instrText>
        </w:r>
        <w:r w:rsidR="00C73432">
          <w:rPr>
            <w:noProof/>
            <w:webHidden/>
          </w:rPr>
        </w:r>
        <w:r w:rsidR="00C73432">
          <w:rPr>
            <w:noProof/>
            <w:webHidden/>
          </w:rPr>
          <w:fldChar w:fldCharType="separate"/>
        </w:r>
        <w:r w:rsidR="004F3D3E">
          <w:rPr>
            <w:noProof/>
            <w:webHidden/>
          </w:rPr>
          <w:t>14</w:t>
        </w:r>
        <w:r w:rsidR="00C73432">
          <w:rPr>
            <w:noProof/>
            <w:webHidden/>
          </w:rPr>
          <w:fldChar w:fldCharType="end"/>
        </w:r>
      </w:hyperlink>
    </w:p>
    <w:p w14:paraId="00800323"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7" w:history="1">
        <w:r w:rsidR="001663EC" w:rsidRPr="000C4F56">
          <w:rPr>
            <w:rStyle w:val="Hyperlink"/>
            <w:noProof/>
          </w:rPr>
          <w:t>5(d)</w:t>
        </w:r>
        <w:r w:rsidR="001663EC">
          <w:rPr>
            <w:rFonts w:asciiTheme="minorHAnsi" w:eastAsiaTheme="minorEastAsia" w:hAnsiTheme="minorHAnsi" w:cstheme="minorBidi"/>
            <w:noProof/>
            <w:sz w:val="22"/>
            <w:szCs w:val="22"/>
          </w:rPr>
          <w:tab/>
        </w:r>
        <w:r w:rsidR="001663EC" w:rsidRPr="000C4F56">
          <w:rPr>
            <w:rStyle w:val="Hyperlink"/>
            <w:noProof/>
          </w:rPr>
          <w:t>Collection Schedule</w:t>
        </w:r>
        <w:r w:rsidR="001663EC">
          <w:rPr>
            <w:noProof/>
            <w:webHidden/>
          </w:rPr>
          <w:tab/>
        </w:r>
        <w:r w:rsidR="00C73432">
          <w:rPr>
            <w:noProof/>
            <w:webHidden/>
          </w:rPr>
          <w:fldChar w:fldCharType="begin"/>
        </w:r>
        <w:r w:rsidR="001663EC">
          <w:rPr>
            <w:noProof/>
            <w:webHidden/>
          </w:rPr>
          <w:instrText xml:space="preserve"> PAGEREF _Toc411336357 \h </w:instrText>
        </w:r>
        <w:r w:rsidR="00C73432">
          <w:rPr>
            <w:noProof/>
            <w:webHidden/>
          </w:rPr>
        </w:r>
        <w:r w:rsidR="00C73432">
          <w:rPr>
            <w:noProof/>
            <w:webHidden/>
          </w:rPr>
          <w:fldChar w:fldCharType="separate"/>
        </w:r>
        <w:r w:rsidR="004F3D3E">
          <w:rPr>
            <w:noProof/>
            <w:webHidden/>
          </w:rPr>
          <w:t>14</w:t>
        </w:r>
        <w:r w:rsidR="00C73432">
          <w:rPr>
            <w:noProof/>
            <w:webHidden/>
          </w:rPr>
          <w:fldChar w:fldCharType="end"/>
        </w:r>
      </w:hyperlink>
    </w:p>
    <w:p w14:paraId="4A04F782"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8" w:history="1">
        <w:r w:rsidR="001663EC" w:rsidRPr="000C4F56">
          <w:rPr>
            <w:rStyle w:val="Hyperlink"/>
            <w:noProof/>
          </w:rPr>
          <w:t xml:space="preserve">6. </w:t>
        </w:r>
        <w:r w:rsidR="001663EC">
          <w:rPr>
            <w:rFonts w:asciiTheme="minorHAnsi" w:eastAsiaTheme="minorEastAsia" w:hAnsiTheme="minorHAnsi" w:cstheme="minorBidi"/>
            <w:noProof/>
            <w:sz w:val="22"/>
            <w:szCs w:val="22"/>
          </w:rPr>
          <w:tab/>
        </w:r>
        <w:r w:rsidR="001663EC" w:rsidRPr="000C4F56">
          <w:rPr>
            <w:rStyle w:val="Hyperlink"/>
            <w:noProof/>
          </w:rPr>
          <w:t>ESTIMATING THE BURDEN AND COST OF THE COLLECTION</w:t>
        </w:r>
        <w:r w:rsidR="001663EC">
          <w:rPr>
            <w:noProof/>
            <w:webHidden/>
          </w:rPr>
          <w:tab/>
        </w:r>
        <w:r w:rsidR="00C73432">
          <w:rPr>
            <w:noProof/>
            <w:webHidden/>
          </w:rPr>
          <w:fldChar w:fldCharType="begin"/>
        </w:r>
        <w:r w:rsidR="001663EC">
          <w:rPr>
            <w:noProof/>
            <w:webHidden/>
          </w:rPr>
          <w:instrText xml:space="preserve"> PAGEREF _Toc411336358 \h </w:instrText>
        </w:r>
        <w:r w:rsidR="00C73432">
          <w:rPr>
            <w:noProof/>
            <w:webHidden/>
          </w:rPr>
        </w:r>
        <w:r w:rsidR="00C73432">
          <w:rPr>
            <w:noProof/>
            <w:webHidden/>
          </w:rPr>
          <w:fldChar w:fldCharType="separate"/>
        </w:r>
        <w:r w:rsidR="004F3D3E">
          <w:rPr>
            <w:noProof/>
            <w:webHidden/>
          </w:rPr>
          <w:t>15</w:t>
        </w:r>
        <w:r w:rsidR="00C73432">
          <w:rPr>
            <w:noProof/>
            <w:webHidden/>
          </w:rPr>
          <w:fldChar w:fldCharType="end"/>
        </w:r>
      </w:hyperlink>
    </w:p>
    <w:p w14:paraId="3B980CFF"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59" w:history="1">
        <w:r w:rsidR="001663EC" w:rsidRPr="000C4F56">
          <w:rPr>
            <w:rStyle w:val="Hyperlink"/>
            <w:noProof/>
          </w:rPr>
          <w:t>6(a)</w:t>
        </w:r>
        <w:r w:rsidR="001663EC">
          <w:rPr>
            <w:rFonts w:asciiTheme="minorHAnsi" w:eastAsiaTheme="minorEastAsia" w:hAnsiTheme="minorHAnsi" w:cstheme="minorBidi"/>
            <w:noProof/>
            <w:sz w:val="22"/>
            <w:szCs w:val="22"/>
          </w:rPr>
          <w:tab/>
        </w:r>
        <w:r w:rsidR="001663EC" w:rsidRPr="000C4F56">
          <w:rPr>
            <w:rStyle w:val="Hyperlink"/>
            <w:noProof/>
          </w:rPr>
          <w:t>Estimating State and Local Respondent Burden and Cost</w:t>
        </w:r>
        <w:r w:rsidR="001663EC">
          <w:rPr>
            <w:noProof/>
            <w:webHidden/>
          </w:rPr>
          <w:tab/>
        </w:r>
        <w:r w:rsidR="00C73432">
          <w:rPr>
            <w:noProof/>
            <w:webHidden/>
          </w:rPr>
          <w:fldChar w:fldCharType="begin"/>
        </w:r>
        <w:r w:rsidR="001663EC">
          <w:rPr>
            <w:noProof/>
            <w:webHidden/>
          </w:rPr>
          <w:instrText xml:space="preserve"> PAGEREF _Toc411336359 \h </w:instrText>
        </w:r>
        <w:r w:rsidR="00C73432">
          <w:rPr>
            <w:noProof/>
            <w:webHidden/>
          </w:rPr>
        </w:r>
        <w:r w:rsidR="00C73432">
          <w:rPr>
            <w:noProof/>
            <w:webHidden/>
          </w:rPr>
          <w:fldChar w:fldCharType="separate"/>
        </w:r>
        <w:r w:rsidR="004F3D3E">
          <w:rPr>
            <w:noProof/>
            <w:webHidden/>
          </w:rPr>
          <w:t>15</w:t>
        </w:r>
        <w:r w:rsidR="00C73432">
          <w:rPr>
            <w:noProof/>
            <w:webHidden/>
          </w:rPr>
          <w:fldChar w:fldCharType="end"/>
        </w:r>
      </w:hyperlink>
    </w:p>
    <w:p w14:paraId="53375E9D"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0" w:history="1">
        <w:r w:rsidR="001663EC" w:rsidRPr="000C4F56">
          <w:rPr>
            <w:rStyle w:val="Hyperlink"/>
            <w:noProof/>
          </w:rPr>
          <w:t>6(b)</w:t>
        </w:r>
        <w:r w:rsidR="001663EC">
          <w:rPr>
            <w:rFonts w:asciiTheme="minorHAnsi" w:eastAsiaTheme="minorEastAsia" w:hAnsiTheme="minorHAnsi" w:cstheme="minorBidi"/>
            <w:noProof/>
            <w:sz w:val="22"/>
            <w:szCs w:val="22"/>
          </w:rPr>
          <w:tab/>
        </w:r>
        <w:r w:rsidR="001663EC" w:rsidRPr="000C4F56">
          <w:rPr>
            <w:rStyle w:val="Hyperlink"/>
            <w:noProof/>
          </w:rPr>
          <w:t>Estimating State and Local Respondent Costs</w:t>
        </w:r>
        <w:r w:rsidR="001663EC">
          <w:rPr>
            <w:noProof/>
            <w:webHidden/>
          </w:rPr>
          <w:tab/>
        </w:r>
        <w:r w:rsidR="00C73432">
          <w:rPr>
            <w:noProof/>
            <w:webHidden/>
          </w:rPr>
          <w:fldChar w:fldCharType="begin"/>
        </w:r>
        <w:r w:rsidR="001663EC">
          <w:rPr>
            <w:noProof/>
            <w:webHidden/>
          </w:rPr>
          <w:instrText xml:space="preserve"> PAGEREF _Toc411336360 \h </w:instrText>
        </w:r>
        <w:r w:rsidR="00C73432">
          <w:rPr>
            <w:noProof/>
            <w:webHidden/>
          </w:rPr>
        </w:r>
        <w:r w:rsidR="00C73432">
          <w:rPr>
            <w:noProof/>
            <w:webHidden/>
          </w:rPr>
          <w:fldChar w:fldCharType="separate"/>
        </w:r>
        <w:r w:rsidR="004F3D3E">
          <w:rPr>
            <w:noProof/>
            <w:webHidden/>
          </w:rPr>
          <w:t>30</w:t>
        </w:r>
        <w:r w:rsidR="00C73432">
          <w:rPr>
            <w:noProof/>
            <w:webHidden/>
          </w:rPr>
          <w:fldChar w:fldCharType="end"/>
        </w:r>
      </w:hyperlink>
    </w:p>
    <w:p w14:paraId="0E358DEC"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1" w:history="1">
        <w:r w:rsidR="001663EC" w:rsidRPr="000C4F56">
          <w:rPr>
            <w:rStyle w:val="Hyperlink"/>
            <w:noProof/>
          </w:rPr>
          <w:t>6(c)</w:t>
        </w:r>
        <w:r w:rsidR="001663EC">
          <w:rPr>
            <w:rFonts w:asciiTheme="minorHAnsi" w:eastAsiaTheme="minorEastAsia" w:hAnsiTheme="minorHAnsi" w:cstheme="minorBidi"/>
            <w:noProof/>
            <w:sz w:val="22"/>
            <w:szCs w:val="22"/>
          </w:rPr>
          <w:tab/>
        </w:r>
        <w:r w:rsidR="001663EC" w:rsidRPr="000C4F56">
          <w:rPr>
            <w:rStyle w:val="Hyperlink"/>
            <w:noProof/>
          </w:rPr>
          <w:t>Estimating Agency Burden and Costs</w:t>
        </w:r>
        <w:r w:rsidR="001663EC">
          <w:rPr>
            <w:noProof/>
            <w:webHidden/>
          </w:rPr>
          <w:tab/>
        </w:r>
        <w:r w:rsidR="00C73432">
          <w:rPr>
            <w:noProof/>
            <w:webHidden/>
          </w:rPr>
          <w:fldChar w:fldCharType="begin"/>
        </w:r>
        <w:r w:rsidR="001663EC">
          <w:rPr>
            <w:noProof/>
            <w:webHidden/>
          </w:rPr>
          <w:instrText xml:space="preserve"> PAGEREF _Toc411336361 \h </w:instrText>
        </w:r>
        <w:r w:rsidR="00C73432">
          <w:rPr>
            <w:noProof/>
            <w:webHidden/>
          </w:rPr>
        </w:r>
        <w:r w:rsidR="00C73432">
          <w:rPr>
            <w:noProof/>
            <w:webHidden/>
          </w:rPr>
          <w:fldChar w:fldCharType="separate"/>
        </w:r>
        <w:r w:rsidR="004F3D3E">
          <w:rPr>
            <w:noProof/>
            <w:webHidden/>
          </w:rPr>
          <w:t>31</w:t>
        </w:r>
        <w:r w:rsidR="00C73432">
          <w:rPr>
            <w:noProof/>
            <w:webHidden/>
          </w:rPr>
          <w:fldChar w:fldCharType="end"/>
        </w:r>
      </w:hyperlink>
    </w:p>
    <w:p w14:paraId="379244E4"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2" w:history="1">
        <w:r w:rsidR="001663EC" w:rsidRPr="000C4F56">
          <w:rPr>
            <w:rStyle w:val="Hyperlink"/>
            <w:noProof/>
          </w:rPr>
          <w:t>6(d)</w:t>
        </w:r>
        <w:r w:rsidR="001663EC">
          <w:rPr>
            <w:rFonts w:asciiTheme="minorHAnsi" w:eastAsiaTheme="minorEastAsia" w:hAnsiTheme="minorHAnsi" w:cstheme="minorBidi"/>
            <w:noProof/>
            <w:sz w:val="22"/>
            <w:szCs w:val="22"/>
          </w:rPr>
          <w:tab/>
        </w:r>
        <w:r w:rsidR="001663EC" w:rsidRPr="000C4F56">
          <w:rPr>
            <w:rStyle w:val="Hyperlink"/>
            <w:noProof/>
          </w:rPr>
          <w:t>Estimating the Respondent Universe and Total Burden and Costs</w:t>
        </w:r>
        <w:r w:rsidR="001663EC">
          <w:rPr>
            <w:noProof/>
            <w:webHidden/>
          </w:rPr>
          <w:tab/>
        </w:r>
        <w:r w:rsidR="00C73432">
          <w:rPr>
            <w:noProof/>
            <w:webHidden/>
          </w:rPr>
          <w:fldChar w:fldCharType="begin"/>
        </w:r>
        <w:r w:rsidR="001663EC">
          <w:rPr>
            <w:noProof/>
            <w:webHidden/>
          </w:rPr>
          <w:instrText xml:space="preserve"> PAGEREF _Toc411336362 \h </w:instrText>
        </w:r>
        <w:r w:rsidR="00C73432">
          <w:rPr>
            <w:noProof/>
            <w:webHidden/>
          </w:rPr>
        </w:r>
        <w:r w:rsidR="00C73432">
          <w:rPr>
            <w:noProof/>
            <w:webHidden/>
          </w:rPr>
          <w:fldChar w:fldCharType="separate"/>
        </w:r>
        <w:r w:rsidR="004F3D3E">
          <w:rPr>
            <w:noProof/>
            <w:webHidden/>
          </w:rPr>
          <w:t>39</w:t>
        </w:r>
        <w:r w:rsidR="00C73432">
          <w:rPr>
            <w:noProof/>
            <w:webHidden/>
          </w:rPr>
          <w:fldChar w:fldCharType="end"/>
        </w:r>
      </w:hyperlink>
    </w:p>
    <w:p w14:paraId="0169B47A"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3" w:history="1">
        <w:r w:rsidR="001663EC" w:rsidRPr="000C4F56">
          <w:rPr>
            <w:rStyle w:val="Hyperlink"/>
            <w:noProof/>
          </w:rPr>
          <w:t>6(e)</w:t>
        </w:r>
        <w:r w:rsidR="001663EC">
          <w:rPr>
            <w:rFonts w:asciiTheme="minorHAnsi" w:eastAsiaTheme="minorEastAsia" w:hAnsiTheme="minorHAnsi" w:cstheme="minorBidi"/>
            <w:noProof/>
            <w:sz w:val="22"/>
            <w:szCs w:val="22"/>
          </w:rPr>
          <w:tab/>
        </w:r>
        <w:r w:rsidR="001663EC" w:rsidRPr="000C4F56">
          <w:rPr>
            <w:rStyle w:val="Hyperlink"/>
            <w:noProof/>
          </w:rPr>
          <w:t>Bottom Line Burden Hours and Cost Tables</w:t>
        </w:r>
        <w:r w:rsidR="001663EC">
          <w:rPr>
            <w:noProof/>
            <w:webHidden/>
          </w:rPr>
          <w:tab/>
        </w:r>
        <w:r w:rsidR="00C73432">
          <w:rPr>
            <w:noProof/>
            <w:webHidden/>
          </w:rPr>
          <w:fldChar w:fldCharType="begin"/>
        </w:r>
        <w:r w:rsidR="001663EC">
          <w:rPr>
            <w:noProof/>
            <w:webHidden/>
          </w:rPr>
          <w:instrText xml:space="preserve"> PAGEREF _Toc411336363 \h </w:instrText>
        </w:r>
        <w:r w:rsidR="00C73432">
          <w:rPr>
            <w:noProof/>
            <w:webHidden/>
          </w:rPr>
        </w:r>
        <w:r w:rsidR="00C73432">
          <w:rPr>
            <w:noProof/>
            <w:webHidden/>
          </w:rPr>
          <w:fldChar w:fldCharType="separate"/>
        </w:r>
        <w:r w:rsidR="004F3D3E">
          <w:rPr>
            <w:noProof/>
            <w:webHidden/>
          </w:rPr>
          <w:t>39</w:t>
        </w:r>
        <w:r w:rsidR="00C73432">
          <w:rPr>
            <w:noProof/>
            <w:webHidden/>
          </w:rPr>
          <w:fldChar w:fldCharType="end"/>
        </w:r>
      </w:hyperlink>
    </w:p>
    <w:p w14:paraId="4F3D5109"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4" w:history="1">
        <w:r w:rsidR="001663EC" w:rsidRPr="000C4F56">
          <w:rPr>
            <w:rStyle w:val="Hyperlink"/>
            <w:noProof/>
          </w:rPr>
          <w:t>6(f)</w:t>
        </w:r>
        <w:r w:rsidR="001663EC">
          <w:rPr>
            <w:rFonts w:asciiTheme="minorHAnsi" w:eastAsiaTheme="minorEastAsia" w:hAnsiTheme="minorHAnsi" w:cstheme="minorBidi"/>
            <w:noProof/>
            <w:sz w:val="22"/>
            <w:szCs w:val="22"/>
          </w:rPr>
          <w:tab/>
        </w:r>
        <w:r w:rsidR="001663EC" w:rsidRPr="000C4F56">
          <w:rPr>
            <w:rStyle w:val="Hyperlink"/>
            <w:noProof/>
          </w:rPr>
          <w:t>Reasons for Change in Burden</w:t>
        </w:r>
        <w:r w:rsidR="001663EC">
          <w:rPr>
            <w:noProof/>
            <w:webHidden/>
          </w:rPr>
          <w:tab/>
        </w:r>
        <w:r w:rsidR="00C73432">
          <w:rPr>
            <w:noProof/>
            <w:webHidden/>
          </w:rPr>
          <w:fldChar w:fldCharType="begin"/>
        </w:r>
        <w:r w:rsidR="001663EC">
          <w:rPr>
            <w:noProof/>
            <w:webHidden/>
          </w:rPr>
          <w:instrText xml:space="preserve"> PAGEREF _Toc411336364 \h </w:instrText>
        </w:r>
        <w:r w:rsidR="00C73432">
          <w:rPr>
            <w:noProof/>
            <w:webHidden/>
          </w:rPr>
        </w:r>
        <w:r w:rsidR="00C73432">
          <w:rPr>
            <w:noProof/>
            <w:webHidden/>
          </w:rPr>
          <w:fldChar w:fldCharType="separate"/>
        </w:r>
        <w:r w:rsidR="004F3D3E">
          <w:rPr>
            <w:noProof/>
            <w:webHidden/>
          </w:rPr>
          <w:t>41</w:t>
        </w:r>
        <w:r w:rsidR="00C73432">
          <w:rPr>
            <w:noProof/>
            <w:webHidden/>
          </w:rPr>
          <w:fldChar w:fldCharType="end"/>
        </w:r>
      </w:hyperlink>
    </w:p>
    <w:p w14:paraId="7E5AA042" w14:textId="77777777" w:rsidR="001663EC" w:rsidRDefault="005B34B6">
      <w:pPr>
        <w:pStyle w:val="TOC1"/>
        <w:tabs>
          <w:tab w:val="left" w:pos="660"/>
          <w:tab w:val="right" w:leader="dot" w:pos="9350"/>
        </w:tabs>
        <w:rPr>
          <w:rFonts w:asciiTheme="minorHAnsi" w:eastAsiaTheme="minorEastAsia" w:hAnsiTheme="minorHAnsi" w:cstheme="minorBidi"/>
          <w:noProof/>
          <w:sz w:val="22"/>
          <w:szCs w:val="22"/>
        </w:rPr>
      </w:pPr>
      <w:hyperlink w:anchor="_Toc411336365" w:history="1">
        <w:r w:rsidR="001663EC" w:rsidRPr="000C4F56">
          <w:rPr>
            <w:rStyle w:val="Hyperlink"/>
            <w:rFonts w:ascii="Times" w:hAnsi="Times"/>
            <w:noProof/>
          </w:rPr>
          <w:t>6(g)</w:t>
        </w:r>
        <w:r w:rsidR="001663EC">
          <w:rPr>
            <w:rFonts w:asciiTheme="minorHAnsi" w:eastAsiaTheme="minorEastAsia" w:hAnsiTheme="minorHAnsi" w:cstheme="minorBidi"/>
            <w:noProof/>
            <w:sz w:val="22"/>
            <w:szCs w:val="22"/>
          </w:rPr>
          <w:tab/>
        </w:r>
        <w:r w:rsidR="001663EC" w:rsidRPr="000C4F56">
          <w:rPr>
            <w:rStyle w:val="Hyperlink"/>
            <w:rFonts w:ascii="Times" w:hAnsi="Times"/>
            <w:noProof/>
          </w:rPr>
          <w:t>Burden Statement</w:t>
        </w:r>
        <w:r w:rsidR="001663EC">
          <w:rPr>
            <w:noProof/>
            <w:webHidden/>
          </w:rPr>
          <w:tab/>
        </w:r>
        <w:r w:rsidR="00C73432">
          <w:rPr>
            <w:noProof/>
            <w:webHidden/>
          </w:rPr>
          <w:fldChar w:fldCharType="begin"/>
        </w:r>
        <w:r w:rsidR="001663EC">
          <w:rPr>
            <w:noProof/>
            <w:webHidden/>
          </w:rPr>
          <w:instrText xml:space="preserve"> PAGEREF _Toc411336365 \h </w:instrText>
        </w:r>
        <w:r w:rsidR="00C73432">
          <w:rPr>
            <w:noProof/>
            <w:webHidden/>
          </w:rPr>
        </w:r>
        <w:r w:rsidR="00C73432">
          <w:rPr>
            <w:noProof/>
            <w:webHidden/>
          </w:rPr>
          <w:fldChar w:fldCharType="separate"/>
        </w:r>
        <w:r w:rsidR="004F3D3E">
          <w:rPr>
            <w:noProof/>
            <w:webHidden/>
          </w:rPr>
          <w:t>42</w:t>
        </w:r>
        <w:r w:rsidR="00C73432">
          <w:rPr>
            <w:noProof/>
            <w:webHidden/>
          </w:rPr>
          <w:fldChar w:fldCharType="end"/>
        </w:r>
      </w:hyperlink>
    </w:p>
    <w:p w14:paraId="75C2EF0C" w14:textId="77777777" w:rsidR="001663EC" w:rsidRDefault="005B34B6">
      <w:pPr>
        <w:pStyle w:val="TOC1"/>
        <w:tabs>
          <w:tab w:val="right" w:leader="dot" w:pos="9350"/>
        </w:tabs>
        <w:rPr>
          <w:rFonts w:asciiTheme="minorHAnsi" w:eastAsiaTheme="minorEastAsia" w:hAnsiTheme="minorHAnsi" w:cstheme="minorBidi"/>
          <w:noProof/>
          <w:sz w:val="22"/>
          <w:szCs w:val="22"/>
        </w:rPr>
      </w:pPr>
      <w:hyperlink w:anchor="_Toc411336366" w:history="1">
        <w:r w:rsidR="001663EC" w:rsidRPr="000C4F56">
          <w:rPr>
            <w:rStyle w:val="Hyperlink"/>
            <w:noProof/>
          </w:rPr>
          <w:t>Appendix A: Conformity-Related Research Considered for This ICR</w:t>
        </w:r>
        <w:r w:rsidR="001663EC">
          <w:rPr>
            <w:noProof/>
            <w:webHidden/>
          </w:rPr>
          <w:tab/>
        </w:r>
        <w:r w:rsidR="00C73432">
          <w:rPr>
            <w:noProof/>
            <w:webHidden/>
          </w:rPr>
          <w:fldChar w:fldCharType="begin"/>
        </w:r>
        <w:r w:rsidR="001663EC">
          <w:rPr>
            <w:noProof/>
            <w:webHidden/>
          </w:rPr>
          <w:instrText xml:space="preserve"> PAGEREF _Toc411336366 \h </w:instrText>
        </w:r>
        <w:r w:rsidR="00C73432">
          <w:rPr>
            <w:noProof/>
            <w:webHidden/>
          </w:rPr>
        </w:r>
        <w:r w:rsidR="00C73432">
          <w:rPr>
            <w:noProof/>
            <w:webHidden/>
          </w:rPr>
          <w:fldChar w:fldCharType="separate"/>
        </w:r>
        <w:r w:rsidR="004F3D3E">
          <w:rPr>
            <w:noProof/>
            <w:webHidden/>
          </w:rPr>
          <w:t>43</w:t>
        </w:r>
        <w:r w:rsidR="00C73432">
          <w:rPr>
            <w:noProof/>
            <w:webHidden/>
          </w:rPr>
          <w:fldChar w:fldCharType="end"/>
        </w:r>
      </w:hyperlink>
    </w:p>
    <w:p w14:paraId="52598EED" w14:textId="77777777" w:rsidR="0051298C" w:rsidRDefault="00C73432" w:rsidP="00791DC8">
      <w:pPr>
        <w:pStyle w:val="Heading1"/>
      </w:pPr>
      <w:r>
        <w:lastRenderedPageBreak/>
        <w:fldChar w:fldCharType="end"/>
      </w:r>
      <w:bookmarkStart w:id="0" w:name="_Toc411336336"/>
      <w:r w:rsidR="0051298C">
        <w:t xml:space="preserve">1. </w:t>
      </w:r>
      <w:r w:rsidR="0051298C">
        <w:tab/>
      </w:r>
      <w:r w:rsidR="0051298C" w:rsidRPr="00FD408A">
        <w:t>IDENTIFICATION OF THE INFORMATION COLLECTION</w:t>
      </w:r>
      <w:bookmarkEnd w:id="0"/>
    </w:p>
    <w:p w14:paraId="50CD05C5" w14:textId="77777777" w:rsidR="0051298C" w:rsidRDefault="0051298C" w:rsidP="001E4489">
      <w:pPr>
        <w:pStyle w:val="Heading1"/>
      </w:pPr>
      <w:bookmarkStart w:id="1" w:name="_Toc411336337"/>
      <w:r>
        <w:t>1</w:t>
      </w:r>
      <w:r w:rsidRPr="00B21CE9">
        <w:t>(a)</w:t>
      </w:r>
      <w:r>
        <w:tab/>
      </w:r>
      <w:r w:rsidRPr="00FD408A">
        <w:t>Title of the Information Collection</w:t>
      </w:r>
      <w:bookmarkEnd w:id="1"/>
    </w:p>
    <w:p w14:paraId="64633114" w14:textId="77777777" w:rsidR="0051298C" w:rsidRDefault="0051298C" w:rsidP="000B31C5">
      <w:pPr>
        <w:widowControl w:val="0"/>
        <w:rPr>
          <w:b/>
        </w:rPr>
      </w:pPr>
    </w:p>
    <w:p w14:paraId="4C5EB64A" w14:textId="65AEC1D2" w:rsidR="0051298C" w:rsidRDefault="0051298C" w:rsidP="000B31C5">
      <w:pPr>
        <w:widowControl w:val="0"/>
      </w:pPr>
      <w:r>
        <w:tab/>
        <w:t>This information collection request (ICR) is entitled "Transportation Conformity Determinations for Federally Funded and Approved Transportation Plans, Programs and Projects,” ICR number 2130.0</w:t>
      </w:r>
      <w:r w:rsidR="000163A6">
        <w:t>5</w:t>
      </w:r>
      <w:r w:rsidR="00A845FC">
        <w:t>, OMB number 2060-0561</w:t>
      </w:r>
      <w:r>
        <w:t xml:space="preserve">.  </w:t>
      </w:r>
    </w:p>
    <w:p w14:paraId="68840F8B" w14:textId="77777777" w:rsidR="0051298C" w:rsidRDefault="0051298C" w:rsidP="001E4489">
      <w:pPr>
        <w:pStyle w:val="Heading1"/>
      </w:pPr>
      <w:bookmarkStart w:id="2" w:name="_Toc411336338"/>
      <w:r w:rsidRPr="00B21CE9">
        <w:t>1(b)</w:t>
      </w:r>
      <w:r>
        <w:tab/>
      </w:r>
      <w:r w:rsidRPr="00FD408A">
        <w:t>Short Characterization/Abstract</w:t>
      </w:r>
      <w:bookmarkEnd w:id="2"/>
    </w:p>
    <w:p w14:paraId="2D553F75" w14:textId="77777777" w:rsidR="0051298C" w:rsidRDefault="0051298C" w:rsidP="000B31C5">
      <w:pPr>
        <w:widowControl w:val="0"/>
        <w:rPr>
          <w:b/>
        </w:rPr>
      </w:pPr>
    </w:p>
    <w:p w14:paraId="3A703DED" w14:textId="68FB8BCB" w:rsidR="0051298C" w:rsidRDefault="0051298C" w:rsidP="000B31C5">
      <w:pPr>
        <w:widowControl w:val="0"/>
      </w:pPr>
      <w:r>
        <w:tab/>
        <w:t>Transportation conformity is required under Clean Air Act section 176(c) [42 U.S.C. 7506(c)] to ensure that federally supported transportation activities are consistent with (“conform to”) the purpose of the state air qual</w:t>
      </w:r>
      <w:r w:rsidR="00A845FC">
        <w:t xml:space="preserve">ity implementation plan (SIP). </w:t>
      </w:r>
      <w:r>
        <w:t>Transportation activities include transportation plans</w:t>
      </w:r>
      <w:r w:rsidR="00BD1800">
        <w:t>,</w:t>
      </w:r>
      <w:r>
        <w:t xml:space="preserve"> transportation improvement programs (TIPs), and federally funded or approved highway or transit projects.  Conformity to the purpose of the SIP means that transportation activities will not cause new air quality violations, worsen existing violations, or delay timely attainment of the relevant national ambient air quality standards (NAAQS or “standards”)</w:t>
      </w:r>
      <w:r w:rsidR="00433FCE">
        <w:t xml:space="preserve"> or interim milestones</w:t>
      </w:r>
      <w:r>
        <w:t xml:space="preserve">. </w:t>
      </w:r>
    </w:p>
    <w:p w14:paraId="7F047F71" w14:textId="77777777" w:rsidR="0051298C" w:rsidRDefault="0051298C" w:rsidP="000B31C5">
      <w:pPr>
        <w:widowControl w:val="0"/>
      </w:pPr>
    </w:p>
    <w:p w14:paraId="6A9A03CA" w14:textId="77777777" w:rsidR="0051298C" w:rsidRDefault="0051298C" w:rsidP="000B31C5">
      <w:pPr>
        <w:widowControl w:val="0"/>
        <w:rPr>
          <w:b/>
        </w:rPr>
      </w:pPr>
      <w:r>
        <w:tab/>
        <w:t>Transportation conformity applies under EPA’s conformity regulations at 40 CFR Part 93, Subpart A, to areas that are designated nonattainment, and those re-designated to attainment after 1990 (“maintenance areas” with plans developed under Clean Air Act section 175A) for the following transportation-related criteria pollutants: ozone, particulate matter (PM</w:t>
      </w:r>
      <w:r>
        <w:rPr>
          <w:rFonts w:ascii="Times" w:hAnsi="Times"/>
          <w:vertAlign w:val="subscript"/>
        </w:rPr>
        <w:t xml:space="preserve">2.5 </w:t>
      </w:r>
      <w:r>
        <w:t>and PM</w:t>
      </w:r>
      <w:r>
        <w:rPr>
          <w:rFonts w:ascii="Times" w:hAnsi="Times"/>
          <w:vertAlign w:val="subscript"/>
        </w:rPr>
        <w:t>10</w:t>
      </w:r>
      <w:r>
        <w:rPr>
          <w:rFonts w:ascii="Times" w:hAnsi="Times"/>
        </w:rPr>
        <w:t>), carbon monoxide (CO), and nitrogen dioxide (NO</w:t>
      </w:r>
      <w:r>
        <w:rPr>
          <w:rFonts w:ascii="Times" w:hAnsi="Times"/>
          <w:vertAlign w:val="subscript"/>
        </w:rPr>
        <w:t>2</w:t>
      </w:r>
      <w:r>
        <w:rPr>
          <w:rFonts w:ascii="Times" w:hAnsi="Times"/>
        </w:rPr>
        <w:t>).</w:t>
      </w:r>
      <w:r>
        <w:rPr>
          <w:b/>
        </w:rPr>
        <w:t xml:space="preserve">  </w:t>
      </w:r>
    </w:p>
    <w:p w14:paraId="31905265" w14:textId="77777777" w:rsidR="0051298C" w:rsidRDefault="0051298C" w:rsidP="000B31C5">
      <w:pPr>
        <w:widowControl w:val="0"/>
        <w:rPr>
          <w:b/>
        </w:rPr>
      </w:pPr>
    </w:p>
    <w:p w14:paraId="08B5C9C2" w14:textId="77777777" w:rsidR="0051298C" w:rsidRDefault="0051298C" w:rsidP="000B31C5">
      <w:pPr>
        <w:widowControl w:val="0"/>
        <w:ind w:firstLine="720"/>
      </w:pPr>
      <w:r>
        <w:t xml:space="preserve">The Environmental Protection Agency (EPA) published the original transportation conformity rule on November 24, 1993 (58 FR 62188), and subsequently published several revisions.  EPA develops the conformity regulations in coordination with the Federal Highway Administration (FHWA) and Federal Transit Administration (FTA).  </w:t>
      </w:r>
    </w:p>
    <w:p w14:paraId="4109BB84" w14:textId="77777777" w:rsidR="0051298C" w:rsidRDefault="0051298C" w:rsidP="000B31C5">
      <w:pPr>
        <w:widowControl w:val="0"/>
        <w:ind w:left="-720"/>
      </w:pPr>
      <w:r>
        <w:tab/>
      </w:r>
    </w:p>
    <w:p w14:paraId="2D6B9EF4" w14:textId="77777777" w:rsidR="0051298C" w:rsidRDefault="0051298C" w:rsidP="002745FA">
      <w:pPr>
        <w:widowControl w:val="0"/>
        <w:ind w:firstLine="720"/>
      </w:pPr>
      <w:r>
        <w:t>Transportation conformity determinations are required before federal approval or funding is given to certain types of transportation planning documents as well as non-exempt highway and transit projects.</w:t>
      </w:r>
      <w:r>
        <w:rPr>
          <w:vertAlign w:val="superscript"/>
        </w:rPr>
        <w:footnoteReference w:id="1"/>
      </w:r>
      <w:r>
        <w:t xml:space="preserve">   In metropolitan nonattainment and maintenance areas, conformity determinations are required for transportation plan and TIP updates and amendments.  A metropolitan transportation plan is at least a 20-year planning document that describes the policies, strategies and facilities that are proposed by state and local decision-makers for future implementation in a metropolitan area.  The TIP prioritizes and programs capital highway and transit projects for implementation in a metropolitan area over a four-year period, consistent with the transportation plan.  </w:t>
      </w:r>
    </w:p>
    <w:p w14:paraId="14BDD4FA" w14:textId="77777777" w:rsidR="0051298C" w:rsidRDefault="0051298C" w:rsidP="000B31C5">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51A04898" w14:textId="77777777" w:rsidR="0051298C" w:rsidRDefault="0051298C" w:rsidP="00DF2D63">
      <w:pPr>
        <w:widowControl w:val="0"/>
        <w:ind w:firstLine="720"/>
      </w:pPr>
      <w:r>
        <w:lastRenderedPageBreak/>
        <w:t>To meet the Clean Air Act’s conformity requirements, once a SIP is established for a given pollutant and NAAQS, projected regional emissions from a nonattainment or maintenance area’s transportation system must be at or below the motor vehicle emissions level or “budget” for on-road mobile sources in the area’s SIP.  Prior to EPA finding a budget adequate</w:t>
      </w:r>
      <w:r>
        <w:rPr>
          <w:rStyle w:val="FootnoteReference"/>
        </w:rPr>
        <w:footnoteReference w:id="2"/>
      </w:r>
      <w:r>
        <w:t xml:space="preserve"> or approving a SIP, the conformity rule provides emissions tests that ensure that Clean Air Act requirements are met in the interim.</w:t>
      </w:r>
    </w:p>
    <w:p w14:paraId="0D0DDDE4" w14:textId="77777777" w:rsidR="0051298C" w:rsidRDefault="0051298C" w:rsidP="00DF2D63">
      <w:pPr>
        <w:widowControl w:val="0"/>
        <w:ind w:firstLine="720"/>
      </w:pPr>
    </w:p>
    <w:p w14:paraId="6806322B" w14:textId="77777777" w:rsidR="0051298C" w:rsidRPr="00215AF3" w:rsidRDefault="0051298C" w:rsidP="00EA5B55">
      <w:pPr>
        <w:widowControl w:val="0"/>
        <w:ind w:left="-360" w:firstLine="1080"/>
      </w:pPr>
      <w:r w:rsidRPr="00215AF3">
        <w:t>EPA considered the following in developing this ICR:</w:t>
      </w:r>
    </w:p>
    <w:p w14:paraId="50BF7A41" w14:textId="77777777" w:rsidR="0051298C" w:rsidRDefault="0051298C" w:rsidP="005550DC">
      <w:pPr>
        <w:widowControl w:val="0"/>
        <w:ind w:left="-720" w:firstLine="720"/>
      </w:pPr>
    </w:p>
    <w:p w14:paraId="5CC1F943" w14:textId="77777777" w:rsidR="009F6505" w:rsidRDefault="0051298C">
      <w:pPr>
        <w:numPr>
          <w:ilvl w:val="0"/>
          <w:numId w:val="13"/>
        </w:numPr>
      </w:pPr>
      <w:r>
        <w:t>B</w:t>
      </w:r>
      <w:r w:rsidRPr="00716B66">
        <w:t>urden estimates for transportation conformity determinations</w:t>
      </w:r>
      <w:r w:rsidR="00F54266">
        <w:t xml:space="preserve"> (including both regional and project-level) </w:t>
      </w:r>
      <w:r w:rsidRPr="00716B66">
        <w:t xml:space="preserve"> </w:t>
      </w:r>
      <w:r>
        <w:t xml:space="preserve">in current nonattainment and maintenance areas for the </w:t>
      </w:r>
      <w:r w:rsidRPr="00716B66">
        <w:t>ozo</w:t>
      </w:r>
      <w:r>
        <w:t>ne, PM</w:t>
      </w:r>
      <w:r w:rsidRPr="008C685C">
        <w:rPr>
          <w:vertAlign w:val="subscript"/>
        </w:rPr>
        <w:t>2.5,</w:t>
      </w:r>
      <w:r>
        <w:t xml:space="preserve"> PM</w:t>
      </w:r>
      <w:r w:rsidRPr="008C685C">
        <w:rPr>
          <w:vertAlign w:val="subscript"/>
        </w:rPr>
        <w:t>10</w:t>
      </w:r>
      <w:r>
        <w:t>, CO, and NO</w:t>
      </w:r>
      <w:r w:rsidRPr="008C685C">
        <w:rPr>
          <w:vertAlign w:val="subscript"/>
        </w:rPr>
        <w:t>2</w:t>
      </w:r>
      <w:r>
        <w:t xml:space="preserve"> NAAQS</w:t>
      </w:r>
      <w:r w:rsidR="008C685C">
        <w:t>;</w:t>
      </w:r>
    </w:p>
    <w:p w14:paraId="18845D87" w14:textId="77777777" w:rsidR="008C685C" w:rsidRDefault="008C685C" w:rsidP="008C685C">
      <w:pPr>
        <w:ind w:left="720"/>
      </w:pPr>
    </w:p>
    <w:p w14:paraId="2904C3E2" w14:textId="77777777" w:rsidR="000179C1" w:rsidRPr="00D07AA6" w:rsidRDefault="0051298C" w:rsidP="000179C1">
      <w:pPr>
        <w:pStyle w:val="ListParagraph"/>
        <w:widowControl w:val="0"/>
        <w:numPr>
          <w:ilvl w:val="0"/>
          <w:numId w:val="13"/>
        </w:numPr>
      </w:pPr>
      <w:r>
        <w:rPr>
          <w:rFonts w:ascii="Times" w:hAnsi="Times"/>
        </w:rPr>
        <w:t>F</w:t>
      </w:r>
      <w:r w:rsidRPr="00E265AE">
        <w:rPr>
          <w:rFonts w:ascii="Times" w:hAnsi="Times"/>
        </w:rPr>
        <w:t>ederal burden associated with EPA’s adequacy review process for submitted SIP budgets that are to be used in conformity determinations</w:t>
      </w:r>
      <w:r>
        <w:rPr>
          <w:rFonts w:ascii="Times" w:hAnsi="Times"/>
        </w:rPr>
        <w:t>;</w:t>
      </w:r>
      <w:r w:rsidRPr="00E265AE">
        <w:rPr>
          <w:rFonts w:ascii="Times" w:hAnsi="Times"/>
        </w:rPr>
        <w:t xml:space="preserve">  </w:t>
      </w:r>
    </w:p>
    <w:p w14:paraId="36DB85A6" w14:textId="77777777" w:rsidR="00784A7C" w:rsidRDefault="00784A7C">
      <w:pPr>
        <w:pStyle w:val="ListParagraph"/>
      </w:pPr>
    </w:p>
    <w:p w14:paraId="1EA31543" w14:textId="77777777" w:rsidR="000179C1" w:rsidRPr="00D07AA6" w:rsidRDefault="000179C1" w:rsidP="000179C1">
      <w:pPr>
        <w:pStyle w:val="ListParagraph"/>
        <w:widowControl w:val="0"/>
        <w:numPr>
          <w:ilvl w:val="0"/>
          <w:numId w:val="13"/>
        </w:numPr>
      </w:pPr>
      <w:r>
        <w:t>Efficiencies in areas making conformity determinations for multiple NAAQS;</w:t>
      </w:r>
    </w:p>
    <w:p w14:paraId="71736AA7" w14:textId="77777777" w:rsidR="00784A7C" w:rsidRDefault="00784A7C">
      <w:pPr>
        <w:pStyle w:val="ListParagraph"/>
      </w:pPr>
    </w:p>
    <w:p w14:paraId="73CF7529" w14:textId="77777777" w:rsidR="009F6505" w:rsidRPr="00C264E9" w:rsidRDefault="0051298C">
      <w:pPr>
        <w:widowControl w:val="0"/>
        <w:numPr>
          <w:ilvl w:val="0"/>
          <w:numId w:val="13"/>
        </w:numPr>
      </w:pPr>
      <w:r>
        <w:rPr>
          <w:rFonts w:ascii="Times" w:hAnsi="Times"/>
        </w:rPr>
        <w:t>Differences in conformity resource needs in large and small metropolitan areas and isolated rural areas</w:t>
      </w:r>
      <w:r w:rsidR="00BB7F7A">
        <w:rPr>
          <w:rFonts w:ascii="Times" w:hAnsi="Times"/>
        </w:rPr>
        <w:t>;</w:t>
      </w:r>
    </w:p>
    <w:p w14:paraId="78CEA6B1" w14:textId="77777777" w:rsidR="00C264E9" w:rsidRDefault="00C264E9" w:rsidP="00C264E9">
      <w:pPr>
        <w:pStyle w:val="ListParagraph"/>
      </w:pPr>
    </w:p>
    <w:p w14:paraId="2ADDDDCC" w14:textId="77777777" w:rsidR="000179C1" w:rsidRDefault="00885C79" w:rsidP="000179C1">
      <w:pPr>
        <w:pStyle w:val="ListParagraph"/>
        <w:widowControl w:val="0"/>
        <w:numPr>
          <w:ilvl w:val="0"/>
          <w:numId w:val="13"/>
        </w:numPr>
      </w:pPr>
      <w:r>
        <w:t>Burden estimates for the t</w:t>
      </w:r>
      <w:r w:rsidR="00C264E9">
        <w:t>ransition from MOVES2010 to MOVES2014</w:t>
      </w:r>
      <w:r w:rsidR="000179C1">
        <w:t>.</w:t>
      </w:r>
      <w:r w:rsidR="00BB7F7A">
        <w:rPr>
          <w:rStyle w:val="FootnoteReference"/>
        </w:rPr>
        <w:footnoteReference w:id="3"/>
      </w:r>
      <w:r w:rsidR="00BB7F7A">
        <w:t xml:space="preserve"> </w:t>
      </w:r>
    </w:p>
    <w:p w14:paraId="1C929A93" w14:textId="77777777" w:rsidR="00784A7C" w:rsidRDefault="00784A7C">
      <w:pPr>
        <w:pStyle w:val="ListParagraph"/>
      </w:pPr>
    </w:p>
    <w:p w14:paraId="3F40CD79" w14:textId="77777777" w:rsidR="000179C1" w:rsidRDefault="000179C1" w:rsidP="000179C1">
      <w:pPr>
        <w:pStyle w:val="ListParagraph"/>
        <w:widowControl w:val="0"/>
        <w:numPr>
          <w:ilvl w:val="0"/>
          <w:numId w:val="13"/>
        </w:numPr>
      </w:pPr>
      <w:r>
        <w:t>Reduced burden as a result of areas no longer determining conformity for the 1997 ozone NAAQS</w:t>
      </w:r>
      <w:r w:rsidR="004803DC">
        <w:t xml:space="preserve"> due to revocation</w:t>
      </w:r>
      <w:r w:rsidR="005A23FC">
        <w:rPr>
          <w:rStyle w:val="FootnoteReference"/>
        </w:rPr>
        <w:footnoteReference w:id="4"/>
      </w:r>
      <w:r w:rsidR="004803DC">
        <w:t xml:space="preserve">, </w:t>
      </w:r>
      <w:r>
        <w:t xml:space="preserve"> and,</w:t>
      </w:r>
    </w:p>
    <w:p w14:paraId="34176D28" w14:textId="77777777" w:rsidR="00E95BF3" w:rsidRDefault="00E95BF3" w:rsidP="00E95BF3">
      <w:pPr>
        <w:pStyle w:val="ListParagraph"/>
        <w:widowControl w:val="0"/>
      </w:pPr>
    </w:p>
    <w:p w14:paraId="01C354FA" w14:textId="77777777" w:rsidR="00C264E9" w:rsidRDefault="000179C1">
      <w:pPr>
        <w:widowControl w:val="0"/>
        <w:numPr>
          <w:ilvl w:val="0"/>
          <w:numId w:val="13"/>
        </w:numPr>
      </w:pPr>
      <w:r>
        <w:t>Reduced</w:t>
      </w:r>
      <w:r w:rsidR="00C264E9">
        <w:t xml:space="preserve"> burden </w:t>
      </w:r>
      <w:r>
        <w:t xml:space="preserve">as a result of </w:t>
      </w:r>
      <w:r w:rsidR="00C264E9">
        <w:t>areas completing 20 years of maintenance for PM</w:t>
      </w:r>
      <w:r w:rsidR="00C264E9" w:rsidRPr="000179C1">
        <w:rPr>
          <w:vertAlign w:val="subscript"/>
        </w:rPr>
        <w:t>10</w:t>
      </w:r>
      <w:r w:rsidR="00C264E9">
        <w:t xml:space="preserve"> and CO NAAQS, </w:t>
      </w:r>
      <w:r>
        <w:t xml:space="preserve">at which time transportation </w:t>
      </w:r>
      <w:r w:rsidR="00C264E9">
        <w:t xml:space="preserve">conformity </w:t>
      </w:r>
      <w:r>
        <w:t>is no longer required</w:t>
      </w:r>
      <w:r w:rsidR="00C264E9">
        <w:t>.</w:t>
      </w:r>
    </w:p>
    <w:p w14:paraId="3D9FAC33" w14:textId="77777777" w:rsidR="0051298C" w:rsidRPr="00E716D2" w:rsidRDefault="0051298C" w:rsidP="004D2EB3">
      <w:pPr>
        <w:widowControl w:val="0"/>
      </w:pPr>
    </w:p>
    <w:p w14:paraId="319DEEE8" w14:textId="1B2D858A" w:rsidR="0051298C" w:rsidRDefault="0051298C" w:rsidP="00635B82">
      <w:pPr>
        <w:widowControl w:val="0"/>
        <w:ind w:firstLine="720"/>
      </w:pPr>
      <w:r>
        <w:t xml:space="preserve">This ICR does not include burden associated with the general development of transportation planning and air quality planning documents for meeting other federal requirements.  </w:t>
      </w:r>
    </w:p>
    <w:p w14:paraId="3C68B4A2" w14:textId="77777777" w:rsidR="00FF0194" w:rsidRDefault="00FF0194" w:rsidP="00635B82">
      <w:pPr>
        <w:widowControl w:val="0"/>
        <w:ind w:firstLine="720"/>
      </w:pPr>
    </w:p>
    <w:p w14:paraId="12E3049D" w14:textId="77777777" w:rsidR="0051298C" w:rsidRDefault="0051298C" w:rsidP="001E4489">
      <w:pPr>
        <w:pStyle w:val="Heading1"/>
      </w:pPr>
      <w:bookmarkStart w:id="3" w:name="_Toc411336339"/>
      <w:r w:rsidRPr="00966491">
        <w:lastRenderedPageBreak/>
        <w:t>2.</w:t>
      </w:r>
      <w:r>
        <w:t xml:space="preserve"> </w:t>
      </w:r>
      <w:r>
        <w:tab/>
        <w:t>NEED FOR AND USE OF THE COLLECTION</w:t>
      </w:r>
      <w:bookmarkEnd w:id="3"/>
    </w:p>
    <w:p w14:paraId="2A34B5B5" w14:textId="77777777" w:rsidR="0051298C" w:rsidRDefault="0051298C" w:rsidP="001E4489">
      <w:pPr>
        <w:pStyle w:val="Heading1"/>
      </w:pPr>
      <w:bookmarkStart w:id="4" w:name="_Toc411336340"/>
      <w:r>
        <w:t>2</w:t>
      </w:r>
      <w:r w:rsidRPr="00966491">
        <w:t>(a)</w:t>
      </w:r>
      <w:r>
        <w:tab/>
      </w:r>
      <w:r w:rsidRPr="00FD408A">
        <w:t>Need/Authority for the Collection</w:t>
      </w:r>
      <w:bookmarkEnd w:id="4"/>
    </w:p>
    <w:p w14:paraId="432B9CD9"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14:paraId="7B2CFE3B"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The Clean Air Act gives EPA the statutory authority to establish the criteria and procedures for determining whether transportation activities conform to the SIP.  EPA promulgated the transportation conformity regulations under the authority of Clean Air Act section 176(c).  The federal government needs information collected under these regulations to ensure that metropolitan planning organization (MPO)</w:t>
      </w:r>
      <w:r>
        <w:rPr>
          <w:rStyle w:val="FootnoteReference"/>
        </w:rPr>
        <w:footnoteReference w:id="5"/>
      </w:r>
      <w:r>
        <w:t xml:space="preserve"> and federal transportation actions are consistent with state air quality goals.</w:t>
      </w:r>
    </w:p>
    <w:p w14:paraId="08220FA1" w14:textId="77777777" w:rsidR="0051298C" w:rsidRDefault="0051298C" w:rsidP="001E4489">
      <w:pPr>
        <w:pStyle w:val="Heading1"/>
        <w:rPr>
          <w:sz w:val="20"/>
        </w:rPr>
      </w:pPr>
      <w:bookmarkStart w:id="5" w:name="_Toc411336341"/>
      <w:r w:rsidRPr="00966491">
        <w:t>2(b)</w:t>
      </w:r>
      <w:r>
        <w:tab/>
      </w:r>
      <w:r w:rsidRPr="00FD408A">
        <w:t>Practical Utility/Users of the Data</w:t>
      </w:r>
      <w:bookmarkEnd w:id="5"/>
    </w:p>
    <w:p w14:paraId="1DBE4013"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b/>
          <w:sz w:val="20"/>
        </w:rPr>
      </w:pPr>
    </w:p>
    <w:p w14:paraId="26ACCF4D"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Federal, state, and local transportation agencies use information collected under the conformity regulation to ensure that federally funded or approved transportation actions conform to SIPs for attaining and maintaining clean air. Specifically, transportation agencies use information they collect to demonstrate that:</w:t>
      </w:r>
    </w:p>
    <w:p w14:paraId="4E9991DE"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14:paraId="747DC3C4" w14:textId="77777777" w:rsidR="00E63490" w:rsidRDefault="0051298C">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Regional emissions and/or project-level analysis requirements are satisfied; </w:t>
      </w:r>
    </w:p>
    <w:p w14:paraId="17CC3968"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0C3005C" w14:textId="77777777" w:rsidR="00E63490" w:rsidRDefault="0051298C">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Transportation control measures (TCMs) in approved SIPs are implemented in a timely manner;</w:t>
      </w:r>
    </w:p>
    <w:p w14:paraId="23F17808"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1967DA3" w14:textId="77777777" w:rsidR="00E63490" w:rsidRDefault="0051298C">
      <w:pPr>
        <w:pStyle w:val="Level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State, local, and federal transportation and air quality agencies consult and resolve issues related to conformity determinations; and,</w:t>
      </w:r>
    </w:p>
    <w:p w14:paraId="055E8892"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6A9FEEB" w14:textId="77777777" w:rsidR="00E63490" w:rsidRDefault="0051298C">
      <w:pPr>
        <w:pStyle w:val="Level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Public comments are considered and responses to comments are documented prior to conformity actions.</w:t>
      </w:r>
    </w:p>
    <w:p w14:paraId="12A52CFD" w14:textId="77777777" w:rsidR="0051298C" w:rsidRPr="00FD408A" w:rsidRDefault="0051298C" w:rsidP="001E4489">
      <w:pPr>
        <w:pStyle w:val="Heading1"/>
      </w:pPr>
      <w:bookmarkStart w:id="6" w:name="_Toc411336342"/>
      <w:r>
        <w:t xml:space="preserve">3. </w:t>
      </w:r>
      <w:r>
        <w:tab/>
      </w:r>
      <w:r w:rsidRPr="00FD408A">
        <w:t>NON-DUPLICATION, CONSULTATIONS, AND OTHER COLLECTION CRITERIA</w:t>
      </w:r>
      <w:bookmarkEnd w:id="6"/>
    </w:p>
    <w:p w14:paraId="65BB8F2D" w14:textId="77777777" w:rsidR="0051298C" w:rsidRPr="00FD408A" w:rsidRDefault="0051298C" w:rsidP="001E4489">
      <w:pPr>
        <w:pStyle w:val="Heading1"/>
      </w:pPr>
      <w:bookmarkStart w:id="7" w:name="_Toc411336343"/>
      <w:r w:rsidRPr="00966491">
        <w:t>3(a)</w:t>
      </w:r>
      <w:r>
        <w:tab/>
      </w:r>
      <w:r w:rsidRPr="00FD408A">
        <w:t>Non-Duplication</w:t>
      </w:r>
      <w:bookmarkEnd w:id="7"/>
    </w:p>
    <w:p w14:paraId="67709641"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14:paraId="65413705" w14:textId="77777777" w:rsidR="0051298C" w:rsidRDefault="0051298C" w:rsidP="003B57CD">
      <w:pPr>
        <w:widowControl w:val="0"/>
      </w:pPr>
      <w:r>
        <w:tab/>
        <w:t>EPA wrote the transportation conformity regulation and subsequent revisions, in coordination with FHWA and FTA, to avoid duplicating the collection efforts required by other regulatory programs.  The conformity</w:t>
      </w:r>
      <w:r w:rsidR="00797D16">
        <w:t xml:space="preserve"> regulation</w:t>
      </w:r>
      <w:r w:rsidR="00791DC8">
        <w:t xml:space="preserve"> works with </w:t>
      </w:r>
      <w:r>
        <w:t xml:space="preserve">existing transportation and air quality planning requirements from the Clean Air Act, Title 23 of United States Code and other </w:t>
      </w:r>
      <w:r>
        <w:lastRenderedPageBreak/>
        <w:t xml:space="preserve">federal highway laws, Federal Transit Laws, and the National Environmental Policy Act (NEPA).  </w:t>
      </w:r>
    </w:p>
    <w:p w14:paraId="11E89AE1"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38A57F9" w14:textId="77777777" w:rsidR="0051298C" w:rsidRDefault="0051298C" w:rsidP="008A438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The conformity regulation relies on but does not duplicate DOT’s transportation planning regulations for developing transportation plans, TIPs, and projects.  Many nonattainment and maintenance areas can rely on travel, economic, or other forecasts that are already available for other planning purposes to complete regional conformity analyses.  In addition, the conformity regulation does not create any new fiscal constraint or public participation requirements.  The regulation simply relies upon existing transportation planning requirements.  </w:t>
      </w:r>
    </w:p>
    <w:p w14:paraId="0D5DA1B5" w14:textId="77777777" w:rsidR="0051298C" w:rsidRDefault="0051298C" w:rsidP="008A438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C1163B6"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Localized air quality analyses (or “hot-spot” analyses) are generated for certain project-level conformity determinations for certain criteria pollutants.  When project-level analyses are required for both conformity approvals and NEPA, project sponsors may rely on the same analysis, assuming that it meets all necessary air quality requirements.  Finally, although transportation actions are compared to SIP budgets for conformity determinations when they are available, SIPs are required to be submitted for other Clean Air Act purposes, and are not required by the conformity provisions.</w:t>
      </w:r>
    </w:p>
    <w:p w14:paraId="222B177C" w14:textId="77777777" w:rsidR="0051298C" w:rsidRPr="00FD408A" w:rsidRDefault="0051298C" w:rsidP="001E4489">
      <w:pPr>
        <w:pStyle w:val="Heading1"/>
      </w:pPr>
      <w:bookmarkStart w:id="8" w:name="_Toc411336344"/>
      <w:r>
        <w:t>3(b)</w:t>
      </w:r>
      <w:r>
        <w:tab/>
      </w:r>
      <w:r w:rsidRPr="00FD408A">
        <w:t>Public Notice Required Prior to ICR Submission to OMB</w:t>
      </w:r>
      <w:bookmarkEnd w:id="8"/>
    </w:p>
    <w:p w14:paraId="29F947CE" w14:textId="77777777"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B44834D" w14:textId="77777777" w:rsidR="00E91E2C" w:rsidRDefault="0051298C"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The announcement of a public comment period for this renewal ICR has been made in the </w:t>
      </w:r>
      <w:r w:rsidRPr="00FF0194">
        <w:rPr>
          <w:i/>
        </w:rPr>
        <w:t>Federal Register</w:t>
      </w:r>
      <w:r>
        <w:t xml:space="preserve"> </w:t>
      </w:r>
      <w:r w:rsidR="007661EB">
        <w:t xml:space="preserve">on February 23, 2015 </w:t>
      </w:r>
      <w:r>
        <w:t xml:space="preserve">under Docket ID No. </w:t>
      </w:r>
      <w:r w:rsidRPr="00041D62">
        <w:t>EPA-HQ-OAR-2007-0269</w:t>
      </w:r>
      <w:r w:rsidR="003370D9">
        <w:t>.</w:t>
      </w:r>
      <w:r w:rsidR="00980DBE">
        <w:rPr>
          <w:rStyle w:val="FootnoteReference"/>
        </w:rPr>
        <w:footnoteReference w:id="6"/>
      </w:r>
      <w:r>
        <w:t xml:space="preserve">  </w:t>
      </w:r>
      <w:r w:rsidR="007661EB">
        <w:t>The comment period closed on April 24, 2015 with EPA receiving two sets of comments.  Below is a summary of the comments and how EPA addressed the comments in this Supporting Statement.</w:t>
      </w:r>
    </w:p>
    <w:p w14:paraId="6E6DF62A" w14:textId="77777777" w:rsidR="003509FC" w:rsidRDefault="003509FC"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B899742" w14:textId="77777777" w:rsidR="0052786C" w:rsidRDefault="003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sidR="00BA5C9F">
        <w:t xml:space="preserve">In response to a comment that </w:t>
      </w:r>
      <w:r w:rsidR="003509FC">
        <w:t xml:space="preserve">the number of </w:t>
      </w:r>
      <w:r w:rsidR="00547497">
        <w:t xml:space="preserve">transportation plan and TIP </w:t>
      </w:r>
      <w:r w:rsidR="003509FC">
        <w:t>conformity determinations was underestimated</w:t>
      </w:r>
      <w:r w:rsidR="00BA5C9F">
        <w:t xml:space="preserve">, EPA </w:t>
      </w:r>
      <w:r w:rsidR="004117A4">
        <w:t>revise</w:t>
      </w:r>
      <w:r w:rsidR="006A26D6">
        <w:t>d</w:t>
      </w:r>
      <w:r w:rsidR="004117A4">
        <w:t xml:space="preserve"> this Supporting Statement </w:t>
      </w:r>
      <w:r w:rsidR="0051651D">
        <w:t xml:space="preserve">to </w:t>
      </w:r>
      <w:r w:rsidR="006A26D6">
        <w:t>i</w:t>
      </w:r>
      <w:r w:rsidR="004117A4">
        <w:t xml:space="preserve">ncrease the frequency </w:t>
      </w:r>
      <w:r w:rsidR="006A26D6">
        <w:t xml:space="preserve">of </w:t>
      </w:r>
      <w:r w:rsidR="004117A4">
        <w:t>transportation plan and TIP conformity determinations</w:t>
      </w:r>
      <w:r w:rsidR="0051651D">
        <w:t xml:space="preserve"> for MPOs with a population greater than 200,000</w:t>
      </w:r>
      <w:r w:rsidR="00547497">
        <w:t xml:space="preserve"> and covered by 3 or more NAAQS</w:t>
      </w:r>
      <w:r w:rsidR="00BA5C9F">
        <w:t xml:space="preserve">.  Today’s supporting statement assumes these MPOs determine </w:t>
      </w:r>
      <w:r>
        <w:t xml:space="preserve">transportation plan </w:t>
      </w:r>
      <w:r w:rsidR="00BA5C9F">
        <w:t xml:space="preserve">conformity </w:t>
      </w:r>
      <w:r w:rsidR="0051651D">
        <w:t>every two years, up from every three years w</w:t>
      </w:r>
      <w:r w:rsidR="00AD2B53">
        <w:t xml:space="preserve">here conformity applies for </w:t>
      </w:r>
      <w:r w:rsidR="004117A4">
        <w:t>3 or more pollutants</w:t>
      </w:r>
      <w:r w:rsidR="00AD2B53">
        <w:t>,</w:t>
      </w:r>
      <w:r w:rsidR="0051651D">
        <w:t xml:space="preserve"> and up from every four years </w:t>
      </w:r>
      <w:r>
        <w:t xml:space="preserve">for TIP conformity for these MPOs. </w:t>
      </w:r>
      <w:r w:rsidR="0051651D">
        <w:t>This increase</w:t>
      </w:r>
      <w:r w:rsidR="00864784">
        <w:t>d</w:t>
      </w:r>
      <w:r w:rsidR="0051651D">
        <w:t xml:space="preserve"> frequency ac</w:t>
      </w:r>
      <w:r w:rsidR="00864784">
        <w:t>count</w:t>
      </w:r>
      <w:r w:rsidR="00BA5C9F">
        <w:t>s</w:t>
      </w:r>
      <w:r w:rsidR="00864784">
        <w:t xml:space="preserve"> for additional conformity determinations that may be needed as a result of new SIP budgets in these areas.</w:t>
      </w:r>
    </w:p>
    <w:p w14:paraId="387C64F7" w14:textId="77777777" w:rsidR="00A86A2F" w:rsidRDefault="00A86A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73A3518" w14:textId="77777777" w:rsidR="0052786C" w:rsidRDefault="003939E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0"/>
        <w:rPr>
          <w:u w:val="single"/>
        </w:rPr>
      </w:pPr>
      <w:r>
        <w:tab/>
      </w:r>
      <w:r w:rsidR="00BA5C9F">
        <w:t>EPA considered o</w:t>
      </w:r>
      <w:r w:rsidR="00864784">
        <w:t xml:space="preserve">ther </w:t>
      </w:r>
      <w:r w:rsidR="004117A4">
        <w:t xml:space="preserve">comments but ultimately </w:t>
      </w:r>
      <w:r w:rsidR="00BA5C9F">
        <w:t xml:space="preserve">did not change </w:t>
      </w:r>
      <w:r w:rsidR="004117A4">
        <w:t xml:space="preserve">this Supporting Statement </w:t>
      </w:r>
      <w:r w:rsidR="00BA5C9F">
        <w:t xml:space="preserve">as a result.  One commenter stated that </w:t>
      </w:r>
      <w:r w:rsidR="004117A4" w:rsidRPr="003939ED">
        <w:t>EPA underestimate</w:t>
      </w:r>
      <w:r w:rsidR="00527B29" w:rsidRPr="003939ED">
        <w:t>d</w:t>
      </w:r>
      <w:r w:rsidR="004117A4" w:rsidRPr="003939ED">
        <w:t xml:space="preserve"> actual conformity costs</w:t>
      </w:r>
      <w:r w:rsidR="00BA5C9F" w:rsidRPr="003939ED">
        <w:t xml:space="preserve">, and urged </w:t>
      </w:r>
      <w:r w:rsidR="004117A4" w:rsidRPr="003939ED">
        <w:t xml:space="preserve">EPA </w:t>
      </w:r>
      <w:r w:rsidR="00BA5C9F" w:rsidRPr="003939ED">
        <w:t xml:space="preserve">to </w:t>
      </w:r>
      <w:r w:rsidR="004117A4" w:rsidRPr="003939ED">
        <w:t xml:space="preserve">review </w:t>
      </w:r>
      <w:r w:rsidR="00BA5C9F" w:rsidRPr="003939ED">
        <w:t xml:space="preserve">their </w:t>
      </w:r>
      <w:r w:rsidR="004117A4" w:rsidRPr="003939ED">
        <w:t>previous submitted comments and review Unified Planning and Work Programs</w:t>
      </w:r>
      <w:r w:rsidR="004951BF" w:rsidRPr="003939ED">
        <w:t xml:space="preserve"> (UPWP)</w:t>
      </w:r>
      <w:r w:rsidR="00864784" w:rsidRPr="003939ED">
        <w:t>.</w:t>
      </w:r>
      <w:r w:rsidR="00BA5C9F" w:rsidRPr="003939ED">
        <w:t xml:space="preserve">  EPA did review these previous comments and had addressed them in</w:t>
      </w:r>
      <w:r w:rsidR="00BA5C9F">
        <w:rPr>
          <w:u w:val="single"/>
        </w:rPr>
        <w:t xml:space="preserve"> </w:t>
      </w:r>
      <w:r w:rsidR="004951BF">
        <w:t xml:space="preserve">the 2011 and 2004 Supporting Statements.  </w:t>
      </w:r>
      <w:r w:rsidR="00527B29">
        <w:t xml:space="preserve">EPA also reviewed several </w:t>
      </w:r>
      <w:r w:rsidR="004951BF">
        <w:t xml:space="preserve">UPWPs </w:t>
      </w:r>
      <w:r w:rsidR="00527B29">
        <w:t>and the</w:t>
      </w:r>
      <w:r w:rsidR="00413218">
        <w:t>y</w:t>
      </w:r>
      <w:r w:rsidR="00527B29">
        <w:t xml:space="preserve"> did </w:t>
      </w:r>
      <w:r w:rsidR="004951BF">
        <w:t xml:space="preserve">not parse out conformity costs.  </w:t>
      </w:r>
      <w:r w:rsidR="00BA5C9F">
        <w:t xml:space="preserve">Instead, </w:t>
      </w:r>
      <w:r w:rsidR="00527B29">
        <w:t xml:space="preserve">the </w:t>
      </w:r>
      <w:r w:rsidR="00BA5C9F">
        <w:t>UPWPs included l</w:t>
      </w:r>
      <w:r w:rsidR="004951BF">
        <w:t xml:space="preserve">ine items such as program </w:t>
      </w:r>
      <w:r w:rsidR="004951BF">
        <w:lastRenderedPageBreak/>
        <w:t xml:space="preserve">administration, land use integration and regional freight studies </w:t>
      </w:r>
      <w:r w:rsidR="00BA5C9F">
        <w:t xml:space="preserve">in their costs.  These items </w:t>
      </w:r>
      <w:r w:rsidR="004951BF">
        <w:t>are not directly required for a conformity determination and thus not considered under this transportation conformity ICR.</w:t>
      </w:r>
      <w:r w:rsidR="00BA5C9F">
        <w:t xml:space="preserve">  The</w:t>
      </w:r>
      <w:r w:rsidR="00527B29">
        <w:t>refore, the</w:t>
      </w:r>
      <w:r w:rsidR="00BA5C9F">
        <w:t xml:space="preserve"> information in the UPWPs </w:t>
      </w:r>
      <w:r w:rsidR="00527B29">
        <w:t xml:space="preserve">cannot be applied to this Supporting Statement.  </w:t>
      </w:r>
    </w:p>
    <w:p w14:paraId="2F1399A2" w14:textId="77777777" w:rsidR="0052786C" w:rsidRDefault="005278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rPr>
      </w:pPr>
    </w:p>
    <w:p w14:paraId="1DF9B35F" w14:textId="77777777" w:rsidR="0052786C" w:rsidRDefault="003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rPr>
      </w:pPr>
      <w:r w:rsidRPr="003939ED">
        <w:tab/>
      </w:r>
      <w:r w:rsidR="00BA5C9F" w:rsidRPr="003939ED">
        <w:t xml:space="preserve">Another comment suggested that </w:t>
      </w:r>
      <w:r w:rsidR="004951BF" w:rsidRPr="003939ED">
        <w:t>EPA underestimate</w:t>
      </w:r>
      <w:r w:rsidR="00527B29" w:rsidRPr="003939ED">
        <w:t>d</w:t>
      </w:r>
      <w:r w:rsidR="004951BF" w:rsidRPr="003939ED">
        <w:t xml:space="preserve"> the salaries for MPO and DOT staff and/or contractors</w:t>
      </w:r>
      <w:r w:rsidR="00BA5C9F" w:rsidRPr="003939ED">
        <w:t xml:space="preserve">.  </w:t>
      </w:r>
      <w:r w:rsidR="00527B29" w:rsidRPr="003939ED">
        <w:t>After reviewing</w:t>
      </w:r>
      <w:r w:rsidR="00527B29">
        <w:rPr>
          <w:u w:val="single"/>
        </w:rPr>
        <w:t xml:space="preserve"> </w:t>
      </w:r>
      <w:r w:rsidR="004951BF">
        <w:t>online salary surveys</w:t>
      </w:r>
      <w:r w:rsidR="00527B29">
        <w:t xml:space="preserve">, EPA was </w:t>
      </w:r>
      <w:r w:rsidR="004951BF">
        <w:t xml:space="preserve">not convinced that </w:t>
      </w:r>
      <w:r w:rsidR="00527B29">
        <w:t xml:space="preserve">the </w:t>
      </w:r>
      <w:r w:rsidR="004951BF">
        <w:t xml:space="preserve">salary rate suggested by </w:t>
      </w:r>
      <w:r w:rsidR="005342C0">
        <w:t>the commenter</w:t>
      </w:r>
      <w:r w:rsidR="004951BF">
        <w:t xml:space="preserve"> is representative across the country.  </w:t>
      </w:r>
      <w:r w:rsidR="005342C0">
        <w:t xml:space="preserve">EPA </w:t>
      </w:r>
      <w:r w:rsidR="00527B29">
        <w:t xml:space="preserve">is using a </w:t>
      </w:r>
      <w:r w:rsidR="005342C0">
        <w:t>GS 13-3 hourly rate</w:t>
      </w:r>
      <w:r w:rsidR="00527B29">
        <w:t>,</w:t>
      </w:r>
      <w:r w:rsidR="005342C0">
        <w:t xml:space="preserve"> which reflects an average hourly rate for a degreed mid-career professional.  Also, while cost calculations are provided in the Supporting Statement, the actual burden calculations that are reviewed and approved by OMB are expressed in terms of hours per response and are thus cost neutral.  </w:t>
      </w:r>
    </w:p>
    <w:p w14:paraId="0F62FCFC" w14:textId="77777777" w:rsidR="0052786C" w:rsidRDefault="005278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rPr>
      </w:pPr>
    </w:p>
    <w:p w14:paraId="63900F3C" w14:textId="77777777" w:rsidR="0052786C" w:rsidRPr="003939ED" w:rsidRDefault="003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sidR="00527B29" w:rsidRPr="003939ED">
        <w:t xml:space="preserve">Another comment </w:t>
      </w:r>
      <w:r w:rsidR="00547497" w:rsidRPr="003939ED">
        <w:t xml:space="preserve">requested </w:t>
      </w:r>
      <w:r w:rsidR="00527B29" w:rsidRPr="003939ED">
        <w:t xml:space="preserve">that </w:t>
      </w:r>
      <w:r w:rsidR="004F3A6B" w:rsidRPr="003939ED">
        <w:t xml:space="preserve">EPA </w:t>
      </w:r>
      <w:r w:rsidR="00547497" w:rsidRPr="003939ED">
        <w:t>to</w:t>
      </w:r>
      <w:r w:rsidR="004F3A6B" w:rsidRPr="003939ED">
        <w:t xml:space="preserve"> account for the pending 2015 ozone NAAQS and its potential costs</w:t>
      </w:r>
      <w:r w:rsidR="00527B29" w:rsidRPr="003939ED">
        <w:t xml:space="preserve"> in this ICR.  </w:t>
      </w:r>
      <w:r w:rsidR="00547497" w:rsidRPr="003939ED">
        <w:t>T</w:t>
      </w:r>
      <w:r w:rsidR="004F3A6B" w:rsidRPr="003939ED">
        <w:t xml:space="preserve">he purpose of this ICR is to reflect burden anticipated for calendar years 2015-2017 for transportation conformity.  Conformity determinations for </w:t>
      </w:r>
      <w:r w:rsidR="00547497" w:rsidRPr="003939ED">
        <w:t xml:space="preserve">any </w:t>
      </w:r>
      <w:r w:rsidR="004F3A6B" w:rsidRPr="003939ED">
        <w:t xml:space="preserve">newly designated 2015 ozone nonattainment areas </w:t>
      </w:r>
      <w:r w:rsidRPr="003939ED">
        <w:t>would occur</w:t>
      </w:r>
      <w:r w:rsidR="004F3A6B" w:rsidRPr="003939ED">
        <w:t xml:space="preserve"> well after 2017, and thus </w:t>
      </w:r>
      <w:r w:rsidR="00527B29" w:rsidRPr="003939ED">
        <w:t xml:space="preserve">are </w:t>
      </w:r>
      <w:r w:rsidR="004F3A6B" w:rsidRPr="003939ED">
        <w:t>not considered in th</w:t>
      </w:r>
      <w:r w:rsidR="00547497" w:rsidRPr="003939ED">
        <w:t>e</w:t>
      </w:r>
      <w:r w:rsidR="004F3A6B" w:rsidRPr="003939ED">
        <w:t xml:space="preserve"> time frame</w:t>
      </w:r>
      <w:r w:rsidR="00547497" w:rsidRPr="003939ED">
        <w:t xml:space="preserve"> covered by this ICR</w:t>
      </w:r>
      <w:r w:rsidR="004F3A6B" w:rsidRPr="003939ED">
        <w:t xml:space="preserve">.  </w:t>
      </w:r>
    </w:p>
    <w:p w14:paraId="28A559C6" w14:textId="77777777" w:rsidR="0051298C" w:rsidRDefault="0051298C" w:rsidP="001E4489">
      <w:pPr>
        <w:pStyle w:val="Heading1"/>
      </w:pPr>
      <w:bookmarkStart w:id="9" w:name="_Toc411336345"/>
      <w:r>
        <w:t>3(c)</w:t>
      </w:r>
      <w:r>
        <w:tab/>
      </w:r>
      <w:r w:rsidRPr="00FD408A">
        <w:t>Consultations</w:t>
      </w:r>
      <w:bookmarkEnd w:id="9"/>
    </w:p>
    <w:p w14:paraId="6A71C6C3"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p>
    <w:p w14:paraId="29E30BC5" w14:textId="77777777"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To prepare this ICR, EPA relied upon </w:t>
      </w:r>
      <w:r w:rsidR="00866F6C">
        <w:t>the previous ICR</w:t>
      </w:r>
      <w:r>
        <w:t xml:space="preserve"> for information on the number of hours required to complete the following:</w:t>
      </w:r>
    </w:p>
    <w:p w14:paraId="064751BF" w14:textId="77777777"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917C34E"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Developing transportation plan, TIP, and project conformity determinations;</w:t>
      </w:r>
    </w:p>
    <w:p w14:paraId="1FAC8D03" w14:textId="77777777"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14:paraId="39AA615D"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Consulting with state, local, and federal agencies on conformity determinations;</w:t>
      </w:r>
    </w:p>
    <w:p w14:paraId="58660C3E" w14:textId="77777777"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14:paraId="5DF09019"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Performing regional and hot-spot analyses;</w:t>
      </w:r>
    </w:p>
    <w:p w14:paraId="70D4E64C" w14:textId="77777777"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14:paraId="3293DBEF"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Documenting that TCMs in approved SIPs are implemented on time;</w:t>
      </w:r>
    </w:p>
    <w:p w14:paraId="6D693012" w14:textId="77777777"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76610FB"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Conducting other miscellaneous activities (e.g., reviewing conformity documents, responding to conformity-related public comments, etc.); and,</w:t>
      </w:r>
    </w:p>
    <w:p w14:paraId="21A6637F" w14:textId="77777777"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14:paraId="0743D1C9" w14:textId="77777777"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Training new state and local government staff to perform conformity-related duties (for those nonattainment areas without previous conformity experience).</w:t>
      </w:r>
    </w:p>
    <w:p w14:paraId="4FD3CCE8" w14:textId="77777777"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B68C5AA" w14:textId="77777777" w:rsidR="0051298C" w:rsidRDefault="0051298C" w:rsidP="00523235">
      <w:pPr>
        <w:widowControl w:val="0"/>
        <w:tabs>
          <w:tab w:val="num"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EPA also consulted with FHWA and FTA headquarters and field offices.  Individuals/staff consulted:  </w:t>
      </w:r>
    </w:p>
    <w:p w14:paraId="4D73B504" w14:textId="77777777"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AF44560" w14:textId="77777777" w:rsidR="0051298C" w:rsidRDefault="00374A20" w:rsidP="00741768">
      <w:pPr>
        <w:widowControl w:val="0"/>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Karen </w:t>
      </w:r>
      <w:proofErr w:type="spellStart"/>
      <w:r>
        <w:t>Perritt</w:t>
      </w:r>
      <w:proofErr w:type="spellEnd"/>
      <w:r w:rsidR="0051298C">
        <w:t>, (202) 366-</w:t>
      </w:r>
      <w:r>
        <w:t>9066</w:t>
      </w:r>
      <w:r w:rsidR="0051298C">
        <w:t>, Department of Transportation,</w:t>
      </w:r>
      <w:r w:rsidR="00AB5B74">
        <w:t xml:space="preserve"> Federal Highway Administration; and, </w:t>
      </w:r>
    </w:p>
    <w:p w14:paraId="3816556F" w14:textId="77777777"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BD849FB" w14:textId="77777777" w:rsidR="0051298C" w:rsidRDefault="00662B2B" w:rsidP="00741768">
      <w:pPr>
        <w:widowControl w:val="0"/>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lastRenderedPageBreak/>
        <w:t>Adam Stephenson</w:t>
      </w:r>
      <w:r w:rsidR="0051298C">
        <w:t>, (202) 366-</w:t>
      </w:r>
      <w:r w:rsidR="000B6CD6">
        <w:t>5183</w:t>
      </w:r>
      <w:r w:rsidR="0051298C">
        <w:t>, Department of Transportation, Federal Transit Administration, Off</w:t>
      </w:r>
      <w:r w:rsidR="00AB5B74">
        <w:t>ice of Planning and Environment.</w:t>
      </w:r>
    </w:p>
    <w:p w14:paraId="439B070A" w14:textId="77777777" w:rsidR="0051298C" w:rsidRDefault="0051298C" w:rsidP="00CB7B40">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ind w:left="360"/>
      </w:pPr>
    </w:p>
    <w:p w14:paraId="2D69D0D8" w14:textId="77777777" w:rsidR="0051298C" w:rsidRDefault="0051298C" w:rsidP="003D4E8E">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EPA also requested information from EPA Regional Offices. </w:t>
      </w:r>
    </w:p>
    <w:p w14:paraId="4F7DA983" w14:textId="77777777" w:rsidR="0051298C" w:rsidRDefault="0051298C" w:rsidP="007978E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p>
    <w:p w14:paraId="22DCE587" w14:textId="77777777" w:rsidR="0051298C" w:rsidRDefault="0051298C" w:rsidP="00306286">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Finally, EPA relied upon existing research completed on the transportation conformity process that indicated the number of hours associated with </w:t>
      </w:r>
      <w:r w:rsidR="000179C1">
        <w:t xml:space="preserve">making </w:t>
      </w:r>
      <w:r>
        <w:t>conformity determinations in isolated rural areas</w:t>
      </w:r>
      <w:r w:rsidR="00797D16">
        <w:t>.</w:t>
      </w:r>
      <w:r>
        <w:rPr>
          <w:rStyle w:val="FootnoteReference"/>
        </w:rPr>
        <w:footnoteReference w:id="7"/>
      </w:r>
      <w:r>
        <w:t xml:space="preserve">  See Appendix A – Conformity R</w:t>
      </w:r>
      <w:r w:rsidR="006323A6">
        <w:t xml:space="preserve">elated Research Considered for </w:t>
      </w:r>
      <w:r w:rsidR="00217D52">
        <w:t>t</w:t>
      </w:r>
      <w:r>
        <w:t>his ICR.</w:t>
      </w:r>
    </w:p>
    <w:p w14:paraId="0F5E24D8" w14:textId="77777777" w:rsidR="0051298C" w:rsidRDefault="0051298C" w:rsidP="001E4489">
      <w:pPr>
        <w:pStyle w:val="Heading1"/>
        <w:rPr>
          <w:u w:val="single"/>
        </w:rPr>
      </w:pPr>
      <w:bookmarkStart w:id="10" w:name="_Toc411336346"/>
      <w:r w:rsidRPr="00966491">
        <w:t>3(d)</w:t>
      </w:r>
      <w:r>
        <w:tab/>
      </w:r>
      <w:r w:rsidRPr="00FD408A">
        <w:t>Effects of Less Frequent Collection</w:t>
      </w:r>
      <w:bookmarkEnd w:id="10"/>
    </w:p>
    <w:p w14:paraId="29B819CF"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b/>
        </w:rPr>
      </w:pPr>
    </w:p>
    <w:p w14:paraId="16C2DB8A"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The Clean Air Act requires conformity for transportation plans and TIPs to be determined every four years in metropolitan nonatt</w:t>
      </w:r>
      <w:r w:rsidR="004E1E3E">
        <w:t xml:space="preserve">ainment and maintenance areas. </w:t>
      </w:r>
      <w:r>
        <w:t>This statutory requirement is typically satisfied when an area updates its long-range transportation plan to meet the four-year planning requirement for DOT’s transp</w:t>
      </w:r>
      <w:r w:rsidR="004E1E3E">
        <w:t xml:space="preserve">ortation planning regulations. </w:t>
      </w:r>
      <w:r>
        <w:t>The Clean Air Act and DOT’s transportation planning regulations require TIPs to be updated every four years, and as a result, conformity determinations are also done for TIPs every four years.</w:t>
      </w:r>
      <w:r w:rsidR="00BC1BEE">
        <w:rPr>
          <w:rStyle w:val="FootnoteReference"/>
        </w:rPr>
        <w:footnoteReference w:id="8"/>
      </w:r>
      <w:r w:rsidR="004E1E3E">
        <w:t xml:space="preserve"> </w:t>
      </w:r>
      <w:r>
        <w:t>The Clean Air Act also requires conformity for transportation plans and TIPs within two years of a new SIP motor vehicle emission budget being established</w:t>
      </w:r>
      <w:r w:rsidR="00797D16">
        <w:t>.</w:t>
      </w:r>
      <w:r w:rsidR="000A390F">
        <w:rPr>
          <w:rStyle w:val="FootnoteReference"/>
        </w:rPr>
        <w:footnoteReference w:id="9"/>
      </w:r>
    </w:p>
    <w:p w14:paraId="4C6CFF98"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C96487B" w14:textId="77777777"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Conformity determinations are required in isolated rural nonattainment and maintenance areas only when a new project needs federal funding or approval. The Clean Air Act’s minimum four-year frequency requirement for transportation plans and TIPs and two year SIP- related conformity requirement</w:t>
      </w:r>
      <w:r w:rsidR="004E1E3E">
        <w:t xml:space="preserve">s do not apply in these areas. </w:t>
      </w:r>
      <w:r>
        <w:t xml:space="preserve">Therefore, these areas are not required to demonstrate conformity </w:t>
      </w:r>
      <w:r w:rsidR="006323A6">
        <w:t>on a regular basis as in</w:t>
      </w:r>
      <w:r w:rsidR="004E1E3E">
        <w:t xml:space="preserve"> metropolitan areas. </w:t>
      </w:r>
      <w:r>
        <w:t>Conformity determinations before project approvals are made in isolated rural areas and are necessary to meet the goals of the Clean Air Act.</w:t>
      </w:r>
    </w:p>
    <w:p w14:paraId="7C675D7D" w14:textId="77777777"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47A7734" w14:textId="77777777"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sidR="000179C1">
        <w:t xml:space="preserve">Information </w:t>
      </w:r>
      <w:r>
        <w:t xml:space="preserve">collection </w:t>
      </w:r>
      <w:r w:rsidR="000179C1">
        <w:t xml:space="preserve">occurs less frequently in </w:t>
      </w:r>
      <w:r>
        <w:t>isolated rural nonattainment and maintenance areas</w:t>
      </w:r>
      <w:r w:rsidR="000179C1">
        <w:t xml:space="preserve"> compared to metropolitan areas</w:t>
      </w:r>
      <w:r>
        <w:t xml:space="preserve">, as these areas do not have as many large transportation projects as metropolitan areas.  However, because of the statutory language, the periodic collection of information for metropolitan nonattainment and maintenance areas cannot be reduced, as these minimum periodic reporting requirements were established to achieve and maintain clean air. </w:t>
      </w:r>
    </w:p>
    <w:p w14:paraId="093BC3DC" w14:textId="77777777" w:rsidR="004045EF" w:rsidRDefault="004045EF"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4D58AB7" w14:textId="77777777" w:rsidR="00F54266" w:rsidRDefault="004045EF"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lastRenderedPageBreak/>
        <w:tab/>
      </w:r>
      <w:r w:rsidR="00522361" w:rsidRPr="001428BB">
        <w:t xml:space="preserve">Information collection would cease in areas that reach the end of their </w:t>
      </w:r>
      <w:r w:rsidR="007B40E0">
        <w:t>20-year</w:t>
      </w:r>
      <w:r w:rsidR="00522361" w:rsidRPr="001428BB">
        <w:t xml:space="preserve"> maintenance </w:t>
      </w:r>
      <w:r w:rsidR="007B40E0">
        <w:t>period</w:t>
      </w:r>
      <w:r w:rsidR="004E1E3E">
        <w:t xml:space="preserve">. </w:t>
      </w:r>
      <w:r w:rsidR="00522361" w:rsidRPr="001428BB">
        <w:t xml:space="preserve">Once an area has attained the NAAQS for a criteria pollutant, the state may submit a request to the EPA for the </w:t>
      </w:r>
      <w:proofErr w:type="spellStart"/>
      <w:r w:rsidR="00522361" w:rsidRPr="001428BB">
        <w:t>redesignation</w:t>
      </w:r>
      <w:proofErr w:type="spellEnd"/>
      <w:r w:rsidR="00522361" w:rsidRPr="001428BB">
        <w:t xml:space="preserve"> of the nonattainment area for that pollutant under C</w:t>
      </w:r>
      <w:r w:rsidR="00374A20">
        <w:t xml:space="preserve">lean </w:t>
      </w:r>
      <w:r w:rsidR="00522361" w:rsidRPr="001428BB">
        <w:t>A</w:t>
      </w:r>
      <w:r w:rsidR="00374A20">
        <w:t xml:space="preserve">ir </w:t>
      </w:r>
      <w:r w:rsidR="00522361" w:rsidRPr="001428BB">
        <w:t>A</w:t>
      </w:r>
      <w:r w:rsidR="00374A20">
        <w:t>ct</w:t>
      </w:r>
      <w:r w:rsidR="00522361" w:rsidRPr="001428BB">
        <w:t xml:space="preserve"> </w:t>
      </w:r>
      <w:r w:rsidR="00374A20">
        <w:t xml:space="preserve">section </w:t>
      </w:r>
      <w:proofErr w:type="gramStart"/>
      <w:r w:rsidR="00522361" w:rsidRPr="001428BB">
        <w:t>175A(</w:t>
      </w:r>
      <w:proofErr w:type="gramEnd"/>
      <w:r w:rsidR="00522361" w:rsidRPr="001428BB">
        <w:t xml:space="preserve">a).  </w:t>
      </w:r>
    </w:p>
    <w:p w14:paraId="1F376660" w14:textId="77777777" w:rsidR="00F54266" w:rsidRDefault="00F54266"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B5F26D3" w14:textId="77777777" w:rsidR="004045EF" w:rsidRPr="001428BB" w:rsidRDefault="00F54266"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sidR="003F100B">
        <w:t>In general, a</w:t>
      </w:r>
      <w:r w:rsidR="00522361" w:rsidRPr="001428BB">
        <w:t xml:space="preserve">ctions on metropolitan transportation plans, </w:t>
      </w:r>
      <w:r w:rsidR="00374A20">
        <w:t>TIPs</w:t>
      </w:r>
      <w:r w:rsidR="00522361" w:rsidRPr="001428BB">
        <w:t xml:space="preserve">, and FHWA/FTA projects taken on or after the date that is 20 years after the effective date of </w:t>
      </w:r>
      <w:proofErr w:type="spellStart"/>
      <w:r w:rsidR="00522361" w:rsidRPr="001428BB">
        <w:t>redesignation</w:t>
      </w:r>
      <w:proofErr w:type="spellEnd"/>
      <w:r w:rsidR="00522361" w:rsidRPr="001428BB">
        <w:t xml:space="preserve"> will not require a conformity determination for the applicable pollutant.</w:t>
      </w:r>
      <w:r w:rsidR="00600AF1">
        <w:rPr>
          <w:rStyle w:val="FootnoteReference"/>
        </w:rPr>
        <w:footnoteReference w:id="10"/>
      </w:r>
    </w:p>
    <w:p w14:paraId="7C613E19" w14:textId="77777777" w:rsidR="005B197F" w:rsidRPr="001428BB" w:rsidRDefault="005B197F"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9982FEE" w14:textId="77777777" w:rsidR="005B197F" w:rsidRPr="00600AF1" w:rsidRDefault="00522361" w:rsidP="005B197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Cs w:val="24"/>
        </w:rPr>
      </w:pPr>
      <w:r w:rsidRPr="001428BB">
        <w:tab/>
      </w:r>
      <w:r w:rsidRPr="00600AF1">
        <w:rPr>
          <w:szCs w:val="24"/>
        </w:rPr>
        <w:t xml:space="preserve">Finally, reduced information collection </w:t>
      </w:r>
      <w:r w:rsidR="00600AF1">
        <w:rPr>
          <w:szCs w:val="24"/>
        </w:rPr>
        <w:t xml:space="preserve">will </w:t>
      </w:r>
      <w:r w:rsidRPr="00600AF1">
        <w:rPr>
          <w:szCs w:val="24"/>
        </w:rPr>
        <w:t>also occur through EPA’s final rule</w:t>
      </w:r>
      <w:r w:rsidR="001428BB" w:rsidRPr="00600AF1">
        <w:rPr>
          <w:szCs w:val="24"/>
        </w:rPr>
        <w:t xml:space="preserve"> that addresse</w:t>
      </w:r>
      <w:r w:rsidR="00AC250B">
        <w:rPr>
          <w:szCs w:val="24"/>
        </w:rPr>
        <w:t>d</w:t>
      </w:r>
      <w:r w:rsidR="001428BB" w:rsidRPr="00600AF1">
        <w:rPr>
          <w:szCs w:val="24"/>
        </w:rPr>
        <w:t xml:space="preserve"> </w:t>
      </w:r>
      <w:r w:rsidR="00600AF1">
        <w:rPr>
          <w:szCs w:val="24"/>
        </w:rPr>
        <w:t>revocation</w:t>
      </w:r>
      <w:r w:rsidR="001428BB" w:rsidRPr="00600AF1">
        <w:rPr>
          <w:szCs w:val="24"/>
        </w:rPr>
        <w:t xml:space="preserve"> for the </w:t>
      </w:r>
      <w:r w:rsidR="00600AF1">
        <w:rPr>
          <w:szCs w:val="24"/>
        </w:rPr>
        <w:t xml:space="preserve">1997 </w:t>
      </w:r>
      <w:r w:rsidRPr="00600AF1">
        <w:rPr>
          <w:szCs w:val="24"/>
        </w:rPr>
        <w:t xml:space="preserve">ozone NAAQS </w:t>
      </w:r>
      <w:r w:rsidR="003973B1">
        <w:rPr>
          <w:szCs w:val="24"/>
        </w:rPr>
        <w:t xml:space="preserve">as part of the Implementation Rule for the 2008 ozone NAAQS. </w:t>
      </w:r>
      <w:r w:rsidR="003973B1">
        <w:rPr>
          <w:rStyle w:val="FootnoteReference"/>
          <w:szCs w:val="24"/>
        </w:rPr>
        <w:footnoteReference w:id="11"/>
      </w:r>
      <w:r w:rsidR="004E1E3E">
        <w:rPr>
          <w:szCs w:val="24"/>
        </w:rPr>
        <w:t xml:space="preserve"> </w:t>
      </w:r>
      <w:r w:rsidRPr="00600AF1">
        <w:rPr>
          <w:szCs w:val="24"/>
        </w:rPr>
        <w:t xml:space="preserve">Therefore, </w:t>
      </w:r>
      <w:r w:rsidR="00AC250B">
        <w:rPr>
          <w:szCs w:val="24"/>
        </w:rPr>
        <w:t>ozone conformity continues to apply only for 2008 ozone NAAQS nonattainment and maintenance areas.</w:t>
      </w:r>
    </w:p>
    <w:p w14:paraId="1E739834" w14:textId="77777777" w:rsidR="0051298C" w:rsidRDefault="0051298C" w:rsidP="001E4489">
      <w:pPr>
        <w:pStyle w:val="Heading1"/>
      </w:pPr>
      <w:bookmarkStart w:id="11" w:name="_Toc411336347"/>
      <w:r>
        <w:t>3(e)</w:t>
      </w:r>
      <w:r>
        <w:tab/>
        <w:t>General Guidelines</w:t>
      </w:r>
      <w:bookmarkEnd w:id="11"/>
    </w:p>
    <w:p w14:paraId="53A2B517" w14:textId="77777777"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b/>
        </w:rPr>
      </w:pPr>
    </w:p>
    <w:p w14:paraId="240A2805" w14:textId="6FE8AAC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This ICR adheres to the guidelines stated in the 1995 Paperwork Reduction Act</w:t>
      </w:r>
      <w:r w:rsidR="00455964">
        <w:t xml:space="preserve"> and </w:t>
      </w:r>
    </w:p>
    <w:p w14:paraId="163CE7FE" w14:textId="259F87FE"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OMB’s implementing regulations</w:t>
      </w:r>
      <w:r w:rsidR="00A845FC">
        <w:t xml:space="preserve">. </w:t>
      </w:r>
      <w:r>
        <w:t>None</w:t>
      </w:r>
      <w:r w:rsidR="00A845FC">
        <w:t xml:space="preserve"> </w:t>
      </w:r>
      <w:r w:rsidR="006323A6">
        <w:t>of</w:t>
      </w:r>
      <w:r>
        <w:t xml:space="preserve"> these reporting or record keeping requirements violate any of the regulations established by</w:t>
      </w:r>
    </w:p>
    <w:p w14:paraId="399CB62B"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OMB in 5 CFR 1320.5.</w:t>
      </w:r>
    </w:p>
    <w:p w14:paraId="4C05609E" w14:textId="77777777" w:rsidR="0051298C" w:rsidRDefault="0051298C" w:rsidP="001E4489">
      <w:pPr>
        <w:pStyle w:val="Heading1"/>
      </w:pPr>
      <w:bookmarkStart w:id="12" w:name="_Toc411336348"/>
      <w:r>
        <w:t>3(f)</w:t>
      </w:r>
      <w:r>
        <w:tab/>
        <w:t>Confidentiality</w:t>
      </w:r>
      <w:bookmarkEnd w:id="12"/>
    </w:p>
    <w:p w14:paraId="055874CE"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14:paraId="2D85A96D"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rPr>
        <w:tab/>
      </w:r>
      <w:r>
        <w:t>Respondents for the transportation conformity regulation do not submit confidential information for approval. All information collected and submitted in a conformity determination is already publicly available, pursuant to 40 CFR 93.105(e) of the conformity regulation and 23 CFR 450.316(a) of the transportation planning regulations.</w:t>
      </w:r>
    </w:p>
    <w:p w14:paraId="7BC182FA" w14:textId="77777777" w:rsidR="0051298C" w:rsidRDefault="0051298C" w:rsidP="001E4489">
      <w:pPr>
        <w:pStyle w:val="Heading1"/>
        <w:rPr>
          <w:sz w:val="20"/>
        </w:rPr>
      </w:pPr>
      <w:bookmarkStart w:id="13" w:name="_Toc411336349"/>
      <w:r>
        <w:t>3(g)</w:t>
      </w:r>
      <w:r>
        <w:tab/>
        <w:t>Sensitive Questions</w:t>
      </w:r>
      <w:bookmarkEnd w:id="13"/>
    </w:p>
    <w:p w14:paraId="49CA9C7E"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rPr>
      </w:pPr>
    </w:p>
    <w:p w14:paraId="7CE2685C"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sz w:val="20"/>
        </w:rPr>
        <w:tab/>
      </w:r>
      <w:r>
        <w:t xml:space="preserve">No questions of a sensitive nature are included in any of the information collection requirements for the transportation conformity regulation.  Examples of sensitive information include information concerning sexuality or religious beliefs.  </w:t>
      </w:r>
    </w:p>
    <w:p w14:paraId="14CA826B" w14:textId="77777777" w:rsidR="0051298C" w:rsidRDefault="0051298C" w:rsidP="001E4489">
      <w:pPr>
        <w:pStyle w:val="Heading1"/>
      </w:pPr>
      <w:bookmarkStart w:id="14" w:name="_Toc411336350"/>
      <w:r>
        <w:lastRenderedPageBreak/>
        <w:t xml:space="preserve">4. </w:t>
      </w:r>
      <w:r>
        <w:tab/>
        <w:t>THE RESPONDENTS AND THE INFORMATION REQUESTED</w:t>
      </w:r>
      <w:bookmarkEnd w:id="14"/>
    </w:p>
    <w:p w14:paraId="37F9F30D" w14:textId="77777777" w:rsidR="0051298C" w:rsidRDefault="0051298C" w:rsidP="001E4489">
      <w:pPr>
        <w:pStyle w:val="Heading1"/>
      </w:pPr>
      <w:bookmarkStart w:id="15" w:name="_Toc411336351"/>
      <w:r>
        <w:t>4(a)</w:t>
      </w:r>
      <w:r>
        <w:tab/>
        <w:t>State and Local Respondents/North American Industry Classification System</w:t>
      </w:r>
      <w:bookmarkEnd w:id="15"/>
      <w:r>
        <w:t xml:space="preserve">  </w:t>
      </w:r>
    </w:p>
    <w:p w14:paraId="0AEE0BB3"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lang w:val="en-CA"/>
        </w:rPr>
      </w:pPr>
    </w:p>
    <w:p w14:paraId="69437A90"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lang w:val="en-CA"/>
        </w:rPr>
        <w:tab/>
      </w:r>
      <w:r>
        <w:rPr>
          <w:szCs w:val="24"/>
        </w:rPr>
        <w:t>In the transportation conformity process, the respondent is either a state or local agency.  Depending upon the type of conformity determination and the type of area involved, the state or local agency may vary.  For instance, in metropolitan nonattainment and maintenance areas, MPOs are the primary local respondent for transportation plan and TIP conformity determinations.  Clean Air Act section 176(c</w:t>
      </w:r>
      <w:proofErr w:type="gramStart"/>
      <w:r>
        <w:rPr>
          <w:szCs w:val="24"/>
        </w:rPr>
        <w:t>)(</w:t>
      </w:r>
      <w:proofErr w:type="gramEnd"/>
      <w:r>
        <w:rPr>
          <w:szCs w:val="24"/>
        </w:rPr>
        <w:t>1) states that “</w:t>
      </w:r>
      <w:r>
        <w:t>... No metropolitan planning organization designated under section 134 of Title 23, shall give its approval to any project, program, or plan which does not conform to an implementation plan approved or promulgated under section 7410 of this title....”</w:t>
      </w:r>
    </w:p>
    <w:p w14:paraId="5CC1CA6A"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14:paraId="117F3820"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 xml:space="preserve">In metropolitan areas, each MPO must formally make a conformity determination on its transportation plan and TIP prior to submitting them to DOT for an independent review </w:t>
      </w:r>
      <w:r w:rsidR="004E1E3E">
        <w:rPr>
          <w:szCs w:val="24"/>
        </w:rPr>
        <w:t>and a conformity determination.</w:t>
      </w:r>
      <w:r>
        <w:rPr>
          <w:szCs w:val="24"/>
        </w:rPr>
        <w:t xml:space="preserve"> State or local air agencies also provide technical assistance in supplying air quality data or performing emissions factor modeling for transportation plan and TIP regional conformity analyses.</w:t>
      </w:r>
    </w:p>
    <w:p w14:paraId="5898E184"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14:paraId="7C106023"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State and local respondents for conformity determinations for projects within metropolitan areas can vary depending up</w:t>
      </w:r>
      <w:r w:rsidR="004E1E3E">
        <w:rPr>
          <w:szCs w:val="24"/>
        </w:rPr>
        <w:t xml:space="preserve">on who the project sponsor is. </w:t>
      </w:r>
      <w:r>
        <w:rPr>
          <w:szCs w:val="24"/>
        </w:rPr>
        <w:t>A project sponsor within a metropolitan area may be the state department of transportation, local transit agency, or other state or local agency, dependin</w:t>
      </w:r>
      <w:r w:rsidR="004E1E3E">
        <w:rPr>
          <w:szCs w:val="24"/>
        </w:rPr>
        <w:t xml:space="preserve">g upon the individual project. </w:t>
      </w:r>
      <w:r>
        <w:rPr>
          <w:szCs w:val="24"/>
        </w:rPr>
        <w:t>Developing conformity determinations for projects outside metropolitan boundaries is also typically the responsibility of the project sponsor, which is usually the state department of transportation.</w:t>
      </w:r>
    </w:p>
    <w:p w14:paraId="1B452118"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14:paraId="46134B4B" w14:textId="77777777"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The transportation conformity rule also requires that state, local and federal transportation and air quality agencies develop interagency consultation procedures for discussing and resolving issues related</w:t>
      </w:r>
      <w:r w:rsidR="004E1E3E">
        <w:rPr>
          <w:szCs w:val="24"/>
        </w:rPr>
        <w:t xml:space="preserve"> to conformity determinations. </w:t>
      </w:r>
      <w:r>
        <w:rPr>
          <w:szCs w:val="24"/>
        </w:rPr>
        <w:t>Such agencies include the MPO, local transit agency, state department of transportation, state and local air</w:t>
      </w:r>
      <w:r w:rsidR="004E1E3E">
        <w:rPr>
          <w:szCs w:val="24"/>
        </w:rPr>
        <w:t xml:space="preserve"> agencies, EPA, FHWA, and FTA. </w:t>
      </w:r>
      <w:r>
        <w:rPr>
          <w:szCs w:val="24"/>
        </w:rPr>
        <w:t>Federal respondents for conformity determinations are discussed further in Section 5 of this ICR.</w:t>
      </w:r>
    </w:p>
    <w:p w14:paraId="6D3C5136" w14:textId="77777777" w:rsidR="0051298C" w:rsidRDefault="0051298C" w:rsidP="0097066C">
      <w:pPr>
        <w:rPr>
          <w:szCs w:val="24"/>
        </w:rPr>
      </w:pPr>
    </w:p>
    <w:p w14:paraId="3E048412" w14:textId="77777777" w:rsidR="0051298C" w:rsidRDefault="0051298C" w:rsidP="0097066C">
      <w:pPr>
        <w:ind w:firstLine="720"/>
        <w:rPr>
          <w:szCs w:val="24"/>
        </w:rPr>
      </w:pPr>
      <w:r>
        <w:rPr>
          <w:szCs w:val="24"/>
        </w:rPr>
        <w:t xml:space="preserve">The following is a representative list of North American Industry Classification System </w:t>
      </w:r>
      <w:r w:rsidR="0070518A">
        <w:rPr>
          <w:szCs w:val="24"/>
        </w:rPr>
        <w:t>(</w:t>
      </w:r>
      <w:r>
        <w:rPr>
          <w:szCs w:val="24"/>
        </w:rPr>
        <w:t>NAICS</w:t>
      </w:r>
      <w:r w:rsidR="0070518A">
        <w:rPr>
          <w:szCs w:val="24"/>
        </w:rPr>
        <w:t>)</w:t>
      </w:r>
      <w:r>
        <w:rPr>
          <w:szCs w:val="24"/>
        </w:rPr>
        <w:t xml:space="preserve"> codes for the government agencies that would be affected by the transportation conformity regulation:    </w:t>
      </w:r>
    </w:p>
    <w:p w14:paraId="4E4B7F54" w14:textId="77777777" w:rsidR="00EC4A53" w:rsidRDefault="00EC4A53" w:rsidP="0097066C">
      <w:pPr>
        <w:ind w:firstLine="720"/>
        <w:rPr>
          <w:szCs w:val="24"/>
        </w:rPr>
      </w:pPr>
    </w:p>
    <w:p w14:paraId="41609CB9" w14:textId="77777777"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t xml:space="preserve">485111 </w:t>
      </w:r>
      <w:r w:rsidRPr="00840DF5">
        <w:tab/>
        <w:t>Mixed Mode Transit System</w:t>
      </w:r>
    </w:p>
    <w:p w14:paraId="32692B91" w14:textId="77777777"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t>485210</w:t>
      </w:r>
      <w:r w:rsidRPr="00840DF5">
        <w:tab/>
        <w:t>Interurban and Rural Bus Transportation</w:t>
      </w:r>
    </w:p>
    <w:p w14:paraId="07B922A9" w14:textId="77777777"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t>488490</w:t>
      </w:r>
      <w:r w:rsidRPr="00840DF5">
        <w:tab/>
        <w:t>Other Support Activities for Road Transportation</w:t>
      </w:r>
    </w:p>
    <w:p w14:paraId="64735DB9" w14:textId="77777777"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924110</w:t>
      </w:r>
      <w:r w:rsidRPr="00840DF5">
        <w:tab/>
        <w:t>Administration of Air and Water Resources and Solid Waste Management Programs</w:t>
      </w:r>
    </w:p>
    <w:p w14:paraId="38DF621E" w14:textId="77777777"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925120</w:t>
      </w:r>
      <w:r w:rsidRPr="00840DF5">
        <w:tab/>
        <w:t>Administration of Urban Planning and Community and Rural Development</w:t>
      </w:r>
    </w:p>
    <w:p w14:paraId="6CC3DF8E" w14:textId="77777777"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926120</w:t>
      </w:r>
      <w:r w:rsidRPr="00840DF5">
        <w:tab/>
        <w:t>Regulation and Administration of Transportation Programs</w:t>
      </w:r>
    </w:p>
    <w:p w14:paraId="31642F71" w14:textId="77777777" w:rsidR="0051298C" w:rsidRDefault="0051298C" w:rsidP="001E4489">
      <w:pPr>
        <w:pStyle w:val="Heading1"/>
      </w:pPr>
      <w:bookmarkStart w:id="16" w:name="_Toc411336352"/>
      <w:r>
        <w:lastRenderedPageBreak/>
        <w:t>4(b)</w:t>
      </w:r>
      <w:r>
        <w:tab/>
        <w:t>Information Requested</w:t>
      </w:r>
      <w:bookmarkEnd w:id="16"/>
    </w:p>
    <w:p w14:paraId="6B7CC868"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2D212D20"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Pr>
          <w:b/>
        </w:rPr>
        <w:tab/>
        <w:t>(i)</w:t>
      </w:r>
      <w:r>
        <w:rPr>
          <w:b/>
        </w:rPr>
        <w:tab/>
        <w:t>Data Items, Including Record Keeping Requirements</w:t>
      </w:r>
    </w:p>
    <w:p w14:paraId="6CCCFB77"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0ED7F214"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6"/>
        <w:rPr>
          <w:b/>
        </w:rPr>
      </w:pPr>
      <w:r>
        <w:tab/>
        <w:t>Section 4(b</w:t>
      </w:r>
      <w:proofErr w:type="gramStart"/>
      <w:r>
        <w:t>)(</w:t>
      </w:r>
      <w:proofErr w:type="gramEnd"/>
      <w:r>
        <w:t xml:space="preserve">ii) describes the information requested for and roles conducted by state and local respondents </w:t>
      </w:r>
      <w:r w:rsidR="004E1E3E">
        <w:t xml:space="preserve">for conformity determinations. </w:t>
      </w:r>
      <w:r>
        <w:t xml:space="preserve">Some of the information used in conformity determinations is also used for other transportation and </w:t>
      </w:r>
      <w:r w:rsidR="004E1E3E">
        <w:t xml:space="preserve">air quality planning purposes. </w:t>
      </w:r>
      <w:r>
        <w:t xml:space="preserve">Specific roles of state and local agencies will vary from area to area. </w:t>
      </w:r>
    </w:p>
    <w:p w14:paraId="0D6EA7D6" w14:textId="77777777" w:rsidR="008F6649" w:rsidRDefault="008F6649"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14:paraId="6929638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r>
        <w:rPr>
          <w:b/>
        </w:rPr>
        <w:tab/>
        <w:t>(ii)</w:t>
      </w:r>
      <w:r>
        <w:rPr>
          <w:b/>
        </w:rPr>
        <w:tab/>
        <w:t>Respondent Activities</w:t>
      </w:r>
    </w:p>
    <w:p w14:paraId="73DD1BD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u w:val="single"/>
        </w:rPr>
      </w:pPr>
    </w:p>
    <w:p w14:paraId="04831953" w14:textId="77777777"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t>Metropolitan Planning Organizations</w:t>
      </w:r>
    </w:p>
    <w:p w14:paraId="346F3A6D"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2A21470F"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MPOs are the lead agency in making transportation plan and TIP conformity determinations in metropolitan nonatt</w:t>
      </w:r>
      <w:r w:rsidR="004E1E3E">
        <w:t xml:space="preserve">ainment and maintenance areas. </w:t>
      </w:r>
      <w:r>
        <w:t>The level of information collection requirements for completing such determinations will vary with the size of the area and complexi</w:t>
      </w:r>
      <w:r w:rsidR="004E1E3E">
        <w:t xml:space="preserve">ty of the air quality problem. </w:t>
      </w:r>
      <w:r>
        <w:t>The following list includes MPO activities for transportation plan and TIP conformity determinations:</w:t>
      </w:r>
    </w:p>
    <w:p w14:paraId="59AFCDA9"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4871A39C" w14:textId="77777777"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Conduct regional emissions analyses using the latest planning assumptions and models to determine whether the emissions from the proposed transportation system are consistent with state air quality goals; </w:t>
      </w:r>
    </w:p>
    <w:p w14:paraId="4A9E81FF" w14:textId="77777777"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14:paraId="3DEDE3CF" w14:textId="77777777"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Ensure timely implementation of TCMs in approved SIPs;</w:t>
      </w:r>
    </w:p>
    <w:p w14:paraId="6A4963AC" w14:textId="77777777"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14:paraId="1C81B7C5" w14:textId="77777777"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Consult with other state, local, and federal transportation and air quality agencies throughout the conformity process; </w:t>
      </w:r>
    </w:p>
    <w:p w14:paraId="3773C4D4"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F52BEB2" w14:textId="77777777"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plan/TIP conformity determinations for interagency review and public comment and respond to any comments on plan/TIP conformity determinations; and,</w:t>
      </w:r>
    </w:p>
    <w:p w14:paraId="546AB005" w14:textId="77777777"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1BEF8550" w14:textId="77777777"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Provide travel activity or other data for hot-spot analyses.</w:t>
      </w:r>
    </w:p>
    <w:p w14:paraId="4EDA0B34"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DECAC20" w14:textId="77777777"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t>State Departments of Transportation</w:t>
      </w:r>
    </w:p>
    <w:p w14:paraId="1B940020"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7D57D75" w14:textId="77777777" w:rsidR="0051298C" w:rsidRDefault="0051298C" w:rsidP="00AB5880">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State departments of transportation are typically the lead agency in developing conformity determinations for projects in isolated rural nonattainment and maintenance areas.  They can also be the lead agency for project-level conformity determinations in metropolitan areas. The following list includes state </w:t>
      </w:r>
      <w:r w:rsidR="004803DC">
        <w:t xml:space="preserve">department of </w:t>
      </w:r>
      <w:r>
        <w:t>transportation activities for conformity determinations:</w:t>
      </w:r>
    </w:p>
    <w:p w14:paraId="743A9CF6" w14:textId="77777777"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07A470B2" w14:textId="77777777" w:rsidR="00E2381C" w:rsidRDefault="00E2381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Assist the MPOs or conduct the regional emissions analyses for the MPO, using the latest assumptions and models to determine whether the emissions from the proposed transportation system change is consistent with state air quality goals;</w:t>
      </w:r>
    </w:p>
    <w:p w14:paraId="4A8422B9" w14:textId="77777777" w:rsidR="00E2381C" w:rsidRDefault="00E2381C" w:rsidP="00E2381C">
      <w:pPr>
        <w:pStyle w:val="Level1"/>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ind w:left="820"/>
      </w:pPr>
    </w:p>
    <w:p w14:paraId="4A34E6AD"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lastRenderedPageBreak/>
        <w:t>Conduct regional emissions analyses on projects in isolated rural areas</w:t>
      </w:r>
      <w:r w:rsidR="00E2381C">
        <w:t xml:space="preserve"> and donut areas</w:t>
      </w:r>
      <w:r w:rsidR="00D95944">
        <w:rPr>
          <w:rStyle w:val="FootnoteReference"/>
        </w:rPr>
        <w:footnoteReference w:id="12"/>
      </w:r>
      <w:r>
        <w:t xml:space="preserve"> using the latest assumptions and models to determine whether the emissions from the proposed transportation system change is consistent with state air quality goals;</w:t>
      </w:r>
    </w:p>
    <w:p w14:paraId="6A826206" w14:textId="77777777"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26F75E97"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Ensure timely implementation of TCMs in approved SIPs;</w:t>
      </w:r>
    </w:p>
    <w:p w14:paraId="7AF49B99" w14:textId="77777777"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5022722"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Conduct hot-spot analyses for projects when required;</w:t>
      </w:r>
    </w:p>
    <w:p w14:paraId="0EA40238"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44F5E108"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Comment on draft </w:t>
      </w:r>
      <w:r w:rsidR="003973B1">
        <w:t xml:space="preserve">transportation </w:t>
      </w:r>
      <w:r>
        <w:t>plan and TIP conformity determinations;</w:t>
      </w:r>
    </w:p>
    <w:p w14:paraId="27C6BCB6"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0E424C91"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other state, local, and federal transportation and air quality agencies throughout the conformity process; and</w:t>
      </w:r>
    </w:p>
    <w:p w14:paraId="207FFDD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93AE10C" w14:textId="77777777"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project conformity determinations for interagency review and public comment and respond to any comments as appropriate.</w:t>
      </w:r>
    </w:p>
    <w:p w14:paraId="12D87A6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i/>
        </w:rPr>
      </w:pPr>
    </w:p>
    <w:p w14:paraId="15DD851C" w14:textId="77777777" w:rsidR="0051298C" w:rsidRPr="0049354E" w:rsidRDefault="0051298C" w:rsidP="00D95944">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i/>
        </w:rPr>
      </w:pPr>
      <w:r w:rsidRPr="0049354E">
        <w:rPr>
          <w:b/>
          <w:i/>
        </w:rPr>
        <w:t>Local Transit Agencies</w:t>
      </w:r>
    </w:p>
    <w:p w14:paraId="6E485105"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7592274"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Local transit agencies in metropolitan areas are typically the lead agency in developing project-level conformity determinations for transit projects in metropolitan areas.  The following list includes local transit agency activities for project-level conformity determinations:</w:t>
      </w:r>
    </w:p>
    <w:p w14:paraId="618B9CDF"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440E03F5" w14:textId="77777777"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Conduct hot-spot analyses for transit projects when required;</w:t>
      </w:r>
    </w:p>
    <w:p w14:paraId="68BAABE3"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5C611428" w14:textId="77777777"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Comment on draft </w:t>
      </w:r>
      <w:r w:rsidR="003973B1">
        <w:t xml:space="preserve">transportation </w:t>
      </w:r>
      <w:r>
        <w:t>plan and TIP conformity determinations;</w:t>
      </w:r>
    </w:p>
    <w:p w14:paraId="134F2391"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5E142DC4" w14:textId="77777777"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other state, local, and federal transportation and air quality agencies throughout the conformity process; and,</w:t>
      </w:r>
    </w:p>
    <w:p w14:paraId="472CABF8"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7CE14ED" w14:textId="77777777"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project conformity determinations for interagency review and public comment and respond to any comments as appropriate.</w:t>
      </w:r>
    </w:p>
    <w:p w14:paraId="580574A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u w:val="single"/>
        </w:rPr>
      </w:pPr>
    </w:p>
    <w:p w14:paraId="645A13F8" w14:textId="77777777"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t>State and Local Air Quality Agencies</w:t>
      </w:r>
    </w:p>
    <w:p w14:paraId="6EBD0C59"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58FAAD1"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State and local air quality agencies may provide technical assistance to transportation agencies in the development of conformity determinations.  The following list includes possible state and local air agency activities for conformity determinations:</w:t>
      </w:r>
    </w:p>
    <w:p w14:paraId="5398F0C3"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2D5944B4" w14:textId="77777777"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Provide air quality data or perform emissions factor modeling for regional emissions analyses for transportation plans and TIPs in metropolitan areas and projects in isolated </w:t>
      </w:r>
      <w:r>
        <w:lastRenderedPageBreak/>
        <w:t xml:space="preserve">rural areas; </w:t>
      </w:r>
    </w:p>
    <w:p w14:paraId="54AD7B64"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E63888B" w14:textId="77777777"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Provide similar assistance for hot-spot analyses for projects as appropriate;</w:t>
      </w:r>
    </w:p>
    <w:p w14:paraId="6B79EE79"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3FBE77B7" w14:textId="77777777"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state, local, and federal agencies throughout the conformity process; and,</w:t>
      </w:r>
    </w:p>
    <w:p w14:paraId="090386B8"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753EF26" w14:textId="77777777"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Comment on draft conformity determinations.  </w:t>
      </w:r>
    </w:p>
    <w:p w14:paraId="1A0A6863" w14:textId="77777777" w:rsidR="0051298C" w:rsidRDefault="0051298C" w:rsidP="00135715">
      <w:pPr>
        <w:pStyle w:val="Heading1"/>
        <w:ind w:left="360" w:hanging="360"/>
      </w:pPr>
      <w:bookmarkStart w:id="17" w:name="_Toc411336353"/>
      <w:r>
        <w:t>5.</w:t>
      </w:r>
      <w:r w:rsidR="00FF0044">
        <w:tab/>
      </w:r>
      <w:r w:rsidR="00FF0044">
        <w:tab/>
      </w:r>
      <w:r>
        <w:t xml:space="preserve">THE INFORMATION COLLECTED–AGENCY ACTIVITIES, COLLECTION </w:t>
      </w:r>
      <w:r w:rsidR="00FF0044">
        <w:t>M</w:t>
      </w:r>
      <w:r>
        <w:t>ETHODOLOGY, AND INFORMATION MANAGEMENT</w:t>
      </w:r>
      <w:bookmarkEnd w:id="17"/>
    </w:p>
    <w:p w14:paraId="1C5360CE" w14:textId="77777777" w:rsidR="0051298C" w:rsidRDefault="0051298C" w:rsidP="001E4489">
      <w:pPr>
        <w:pStyle w:val="Heading1"/>
      </w:pPr>
      <w:bookmarkStart w:id="18" w:name="_Toc411336354"/>
      <w:r>
        <w:t>5(a)</w:t>
      </w:r>
      <w:r>
        <w:tab/>
        <w:t>Agency Activities</w:t>
      </w:r>
      <w:bookmarkEnd w:id="18"/>
    </w:p>
    <w:p w14:paraId="45B57336"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14:paraId="5D11B72E" w14:textId="77777777" w:rsidR="0051298C" w:rsidRPr="0075797C" w:rsidRDefault="0051298C" w:rsidP="00741768">
      <w:pPr>
        <w:pStyle w:val="ListParagraph"/>
        <w:widowControl w:val="0"/>
        <w:numPr>
          <w:ilvl w:val="0"/>
          <w:numId w:val="1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t>FHWA and FTA Activities</w:t>
      </w:r>
    </w:p>
    <w:p w14:paraId="0BAD5461"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138AB999"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The FHWA Division Office and the FTA Regional Office are involved in several aspects of the transportation conformity process:</w:t>
      </w:r>
    </w:p>
    <w:p w14:paraId="4BFEEA70"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0D74ABF3" w14:textId="77777777" w:rsidR="0051298C" w:rsidRDefault="0051298C" w:rsidP="00741768">
      <w:pPr>
        <w:widowControl w:val="0"/>
        <w:numPr>
          <w:ilvl w:val="0"/>
          <w:numId w:val="1"/>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Making conformity determinations for transportation plans, TIPs, and projects;</w:t>
      </w:r>
    </w:p>
    <w:p w14:paraId="4FF533E9" w14:textId="77777777"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14:paraId="0CD5590D" w14:textId="77777777" w:rsidR="0051298C" w:rsidRDefault="0051298C" w:rsidP="00741768">
      <w:pPr>
        <w:widowControl w:val="0"/>
        <w:numPr>
          <w:ilvl w:val="0"/>
          <w:numId w:val="1"/>
        </w:numPr>
        <w:tabs>
          <w:tab w:val="clear" w:pos="1170"/>
          <w:tab w:val="left" w:pos="-630"/>
          <w:tab w:val="left" w:pos="0"/>
          <w:tab w:val="num"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10" w:hanging="360"/>
      </w:pPr>
      <w:r>
        <w:t>Reviewing the relevant materials that are submitted to support the conformity determinations including the travel, emissions, or air quality modeling performed to support a conformity determination and comments submitted by the EPA Regional Office; and</w:t>
      </w:r>
      <w:r w:rsidR="00AB5B74">
        <w:t>,</w:t>
      </w:r>
      <w:r>
        <w:t xml:space="preserve"> </w:t>
      </w:r>
    </w:p>
    <w:p w14:paraId="6FC5EE4F" w14:textId="77777777" w:rsidR="0051298C" w:rsidRDefault="0051298C" w:rsidP="00696BA9">
      <w:pPr>
        <w:widowControl w:val="0"/>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17543B72" w14:textId="77777777" w:rsidR="0051298C" w:rsidRDefault="0051298C" w:rsidP="00741768">
      <w:pPr>
        <w:widowControl w:val="0"/>
        <w:numPr>
          <w:ilvl w:val="0"/>
          <w:numId w:val="1"/>
        </w:numPr>
        <w:tabs>
          <w:tab w:val="clear" w:pos="1170"/>
          <w:tab w:val="left" w:pos="-630"/>
          <w:tab w:val="left" w:pos="0"/>
          <w:tab w:val="num"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10" w:hanging="360"/>
      </w:pPr>
      <w:r>
        <w:t>Issuing a letter to the appropriate MPO, state department of transportation, or other project sponsor indicating that they have made a conformity determination.</w:t>
      </w:r>
    </w:p>
    <w:p w14:paraId="157949E0"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913D876" w14:textId="77777777" w:rsidR="0051298C" w:rsidRDefault="0051298C" w:rsidP="0023603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FHWA and FTA field offices also participate in the interagency consultation process for nonattainment and maintenance areas.  The interagency consultation process is used to discuss and resolve issues during the development of transportation plan, TIP, and project conformity determinations.   The frequency of meetings varies from area to area.  FHWA Resource Centers and FHWA/FTA Headquarters provide technical assistance as needed.</w:t>
      </w:r>
    </w:p>
    <w:p w14:paraId="396408A6" w14:textId="77777777" w:rsidR="00797D16" w:rsidRDefault="00797D16" w:rsidP="00797D16">
      <w:pPr>
        <w:pStyle w:val="ListParagraph"/>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440"/>
        <w:rPr>
          <w:b/>
        </w:rPr>
      </w:pPr>
    </w:p>
    <w:p w14:paraId="4DACA3B7" w14:textId="77777777" w:rsidR="0051298C" w:rsidRPr="0075797C" w:rsidRDefault="0051298C" w:rsidP="00741768">
      <w:pPr>
        <w:pStyle w:val="ListParagraph"/>
        <w:widowControl w:val="0"/>
        <w:numPr>
          <w:ilvl w:val="0"/>
          <w:numId w:val="1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t>EPA Activities</w:t>
      </w:r>
    </w:p>
    <w:p w14:paraId="73119465"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0476DCA2"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The EPA Headquarters and Regional Offices are involved in several aspects of the transportation conformity process:</w:t>
      </w:r>
    </w:p>
    <w:p w14:paraId="5EFAE2BB" w14:textId="77777777"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59D8FC65" w14:textId="77777777" w:rsidR="00784A7C" w:rsidRDefault="0051298C">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152" w:hanging="432"/>
      </w:pPr>
      <w:r>
        <w:t xml:space="preserve">Participating in the interagency consultation process in nonattainment and maintenance areas;  </w:t>
      </w:r>
    </w:p>
    <w:p w14:paraId="74578E12" w14:textId="77777777" w:rsidR="00784A7C" w:rsidRDefault="00784A7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152" w:hanging="432"/>
      </w:pPr>
    </w:p>
    <w:p w14:paraId="5DF25182" w14:textId="77777777" w:rsidR="00784A7C" w:rsidRDefault="0051298C">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152" w:hanging="432"/>
      </w:pPr>
      <w:r>
        <w:t xml:space="preserve">Reviewing and commenting on conformity determinations for transportation plans, </w:t>
      </w:r>
      <w:r>
        <w:lastRenderedPageBreak/>
        <w:t xml:space="preserve">TIPs and projects, including the travel, emissions, or air quality modeling performed to support </w:t>
      </w:r>
      <w:r w:rsidR="00AB5B74">
        <w:t xml:space="preserve">a conformity determination; </w:t>
      </w:r>
    </w:p>
    <w:p w14:paraId="342DC391" w14:textId="77777777" w:rsidR="00784A7C" w:rsidRDefault="00784A7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152" w:hanging="432"/>
      </w:pPr>
    </w:p>
    <w:p w14:paraId="5AB45543" w14:textId="77777777" w:rsidR="00784A7C" w:rsidRDefault="0051298C">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152" w:hanging="432"/>
      </w:pPr>
      <w:r>
        <w:t>Making adequacy findings for submitted SIP motor vehicle emissions budgets.  EPA’s adequacy review is separate from EPA’s review of the S</w:t>
      </w:r>
      <w:r w:rsidR="00AB5B74">
        <w:t>IP for completeness or approval; and,</w:t>
      </w:r>
    </w:p>
    <w:p w14:paraId="5337BF09" w14:textId="77777777" w:rsidR="00784A7C" w:rsidRDefault="00784A7C">
      <w:pPr>
        <w:pStyle w:val="ListParagraph"/>
        <w:ind w:left="1152" w:hanging="432"/>
      </w:pPr>
    </w:p>
    <w:p w14:paraId="1CA891FD" w14:textId="77777777" w:rsidR="00784A7C" w:rsidRDefault="004045EF">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firstLine="0"/>
      </w:pPr>
      <w:r>
        <w:t>Providing</w:t>
      </w:r>
      <w:r w:rsidR="0051298C">
        <w:t xml:space="preserve"> technical assistance as needed.</w:t>
      </w:r>
    </w:p>
    <w:p w14:paraId="09F568F6" w14:textId="77777777" w:rsidR="0051298C" w:rsidRDefault="0051298C" w:rsidP="001E4489">
      <w:pPr>
        <w:pStyle w:val="Heading1"/>
      </w:pPr>
      <w:bookmarkStart w:id="19" w:name="_Toc411336355"/>
      <w:r>
        <w:t>5(b)</w:t>
      </w:r>
      <w:r>
        <w:tab/>
        <w:t>Collection Methodology and Management</w:t>
      </w:r>
      <w:bookmarkEnd w:id="19"/>
    </w:p>
    <w:p w14:paraId="26C854E0"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14:paraId="6E6CCEFE"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 xml:space="preserve">Federal agencies review conformity determinations in accordance with the Clean Air Act </w:t>
      </w:r>
      <w:r w:rsidR="003973B1">
        <w:t>s</w:t>
      </w:r>
      <w:r>
        <w:t xml:space="preserve">ection 176(c) </w:t>
      </w:r>
      <w:r w:rsidR="004E1E3E">
        <w:t xml:space="preserve">and 40 CFR Part 93, Subpart A. </w:t>
      </w:r>
      <w:r>
        <w:t>The interagency consultation process is used to discuss any outstanding issues on the accuracy or quality of data used in conformit</w:t>
      </w:r>
      <w:r w:rsidR="004E1E3E">
        <w:t xml:space="preserve">y analyses and determinations. </w:t>
      </w:r>
      <w:r>
        <w:t xml:space="preserve">The general public reviews MPO conformity determinations for transportation plans and TIPs, and federal agencies review MPO responses to these comments.  The federal agencies will need to maintain records of their actions, in accordance with other federal </w:t>
      </w:r>
      <w:r w:rsidR="004E1E3E">
        <w:t xml:space="preserve">record retention requirements. </w:t>
      </w:r>
      <w:r>
        <w:t xml:space="preserve">No special machines or processing technologies are employed in reviewing conformity determinations.  </w:t>
      </w:r>
    </w:p>
    <w:p w14:paraId="5F4DDA43" w14:textId="77777777" w:rsidR="0051298C" w:rsidRDefault="0051298C" w:rsidP="001E4489">
      <w:pPr>
        <w:pStyle w:val="Heading1"/>
      </w:pPr>
      <w:bookmarkStart w:id="20" w:name="_Toc411336356"/>
      <w:r>
        <w:t>5(c)</w:t>
      </w:r>
      <w:r>
        <w:tab/>
        <w:t>Small Entity Flexibility</w:t>
      </w:r>
      <w:bookmarkEnd w:id="20"/>
    </w:p>
    <w:p w14:paraId="48BB1D12"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r>
    </w:p>
    <w:p w14:paraId="4D57287C"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rPr>
          <w:szCs w:val="24"/>
          <w:lang w:val="en-CA"/>
        </w:rPr>
        <w:tab/>
      </w:r>
      <w:r>
        <w:rPr>
          <w:szCs w:val="24"/>
        </w:rPr>
        <w:t xml:space="preserve">A regulatory flexibility analysis is not required because the rule does not affect a significant number of small entities. </w:t>
      </w:r>
      <w:r>
        <w:t>However, the rule does affect some isolated rural nonattainment and maintenance areas which are considered to be small entities because they have</w:t>
      </w:r>
      <w:r w:rsidR="004E1E3E">
        <w:t xml:space="preserve"> populations less than 50,000. </w:t>
      </w:r>
      <w:r>
        <w:t>EPA has taken steps in the conformity rule to reduce th</w:t>
      </w:r>
      <w:r w:rsidR="004E1E3E">
        <w:t>e burden placed on these areas.</w:t>
      </w:r>
      <w:r>
        <w:t xml:space="preserve"> For example, isolated rural areas are required to demonstrate conformity only when they have a new non-exempt federally funded or approv</w:t>
      </w:r>
      <w:r w:rsidR="004E1E3E">
        <w:t xml:space="preserve">ed highway or transit project. </w:t>
      </w:r>
      <w:r>
        <w:t>In contrast, metropolitan nonattainment and maintenance areas are required to demonstrate conformity at least every four years.</w:t>
      </w:r>
    </w:p>
    <w:p w14:paraId="23B8FAEF" w14:textId="77777777" w:rsidR="0051298C" w:rsidRDefault="0051298C" w:rsidP="001E4489">
      <w:pPr>
        <w:pStyle w:val="Heading1"/>
      </w:pPr>
      <w:bookmarkStart w:id="21" w:name="_Toc411336357"/>
      <w:r>
        <w:t>5(d)</w:t>
      </w:r>
      <w:r>
        <w:tab/>
        <w:t>Collection Schedule</w:t>
      </w:r>
      <w:bookmarkEnd w:id="21"/>
    </w:p>
    <w:p w14:paraId="0A7F6D28"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558B5233" w14:textId="77777777"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The information collections described in this ICR must be completed before a transportation plan, TIP or project conformity determination is made.  DOT’s planning regulations require that transportation plans and TIPs be updated at least every fo</w:t>
      </w:r>
      <w:r w:rsidR="004803DC">
        <w:t>ur years, and the Clean Air Act</w:t>
      </w:r>
      <w:r>
        <w:t xml:space="preserve"> requires that a conformity determination on the transportation plan and TIP in metropolitan areas be completed at least every four years</w:t>
      </w:r>
      <w:r w:rsidR="00797D16">
        <w:t>.</w:t>
      </w:r>
      <w:r>
        <w:rPr>
          <w:rStyle w:val="FootnoteReference"/>
        </w:rPr>
        <w:footnoteReference w:id="13"/>
      </w:r>
      <w:r>
        <w:t xml:space="preserve"> Conformity determinations on projects in metropolitan and isolated rural areas are required on an as-needed basis, as previously described in Section 4, The Respondents and the Information Requested. </w:t>
      </w:r>
    </w:p>
    <w:p w14:paraId="5CDD50FB" w14:textId="77777777" w:rsidR="0051298C" w:rsidRDefault="0051298C" w:rsidP="001E4489">
      <w:pPr>
        <w:pStyle w:val="Heading1"/>
      </w:pPr>
      <w:bookmarkStart w:id="22" w:name="_Toc411336358"/>
      <w:r>
        <w:lastRenderedPageBreak/>
        <w:t xml:space="preserve">6. </w:t>
      </w:r>
      <w:r>
        <w:tab/>
        <w:t>ESTIMATING THE BURDEN AND COST OF THE COLLECTION</w:t>
      </w:r>
      <w:bookmarkEnd w:id="22"/>
    </w:p>
    <w:p w14:paraId="3178A0F3" w14:textId="77777777" w:rsidR="0051298C" w:rsidRDefault="0051298C" w:rsidP="00215AF3">
      <w:pPr>
        <w:pStyle w:val="Heading1"/>
        <w:rPr>
          <w:b w:val="0"/>
        </w:rPr>
      </w:pPr>
      <w:bookmarkStart w:id="23" w:name="_Toc411336359"/>
      <w:r>
        <w:t>6(a)</w:t>
      </w:r>
      <w:r>
        <w:tab/>
        <w:t>Estimating State and Local Respondent Burden and Cost</w:t>
      </w:r>
      <w:bookmarkEnd w:id="23"/>
    </w:p>
    <w:p w14:paraId="7BC3561A"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i/>
        </w:rPr>
      </w:pPr>
    </w:p>
    <w:p w14:paraId="0FCB1CC2" w14:textId="77777777" w:rsidR="0051298C" w:rsidRPr="00FF7F5A" w:rsidRDefault="0051298C" w:rsidP="00741768">
      <w:pPr>
        <w:pStyle w:val="ListParagraph"/>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75797C">
        <w:rPr>
          <w:b/>
        </w:rPr>
        <w:t>Overview</w:t>
      </w:r>
    </w:p>
    <w:p w14:paraId="7E1AF4F2"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6B33EA23"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This section of the ICR includes background information on the number of nonattainment and maintenance areas that are subject to transportation conformity regulations.  For these areas, EPA has estimated potential burden for the following:</w:t>
      </w:r>
    </w:p>
    <w:p w14:paraId="41AA353B"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14:paraId="39C8DD4B" w14:textId="77777777" w:rsidR="0051298C" w:rsidRDefault="0051298C" w:rsidP="00741768">
      <w:pPr>
        <w:widowControl w:val="0"/>
        <w:numPr>
          <w:ilvl w:val="0"/>
          <w:numId w:val="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Transportation plan and TIP conformity determinations for nonattainment and maintenance areas;</w:t>
      </w:r>
    </w:p>
    <w:p w14:paraId="69DE5D4F"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14:paraId="12AEA274" w14:textId="77777777" w:rsidR="0051298C" w:rsidRDefault="0051298C" w:rsidP="00741768">
      <w:pPr>
        <w:pStyle w:val="ListParagraph"/>
        <w:numPr>
          <w:ilvl w:val="0"/>
          <w:numId w:val="22"/>
        </w:numPr>
      </w:pPr>
      <w:r>
        <w:t>Project-level conformity determinations for nonattainment and maintenance areas, including  burden associated with quantitative PM hot-spot analyses;</w:t>
      </w:r>
      <w:r w:rsidR="000B6CD6">
        <w:t xml:space="preserve"> </w:t>
      </w:r>
    </w:p>
    <w:p w14:paraId="509AEE31" w14:textId="77777777" w:rsidR="00A25007" w:rsidRDefault="00A25007">
      <w:pPr>
        <w:ind w:left="720"/>
        <w:rPr>
          <w:rFonts w:ascii="Times" w:hAnsi="Times"/>
          <w:u w:val="single"/>
        </w:rPr>
      </w:pPr>
    </w:p>
    <w:p w14:paraId="62B0B487" w14:textId="77777777" w:rsidR="000B6CD6" w:rsidRPr="001428BB" w:rsidRDefault="00522361" w:rsidP="00741768">
      <w:pPr>
        <w:numPr>
          <w:ilvl w:val="0"/>
          <w:numId w:val="13"/>
        </w:numPr>
        <w:rPr>
          <w:rFonts w:ascii="Times" w:hAnsi="Times"/>
        </w:rPr>
      </w:pPr>
      <w:r w:rsidRPr="001428BB">
        <w:rPr>
          <w:rFonts w:ascii="Times" w:hAnsi="Times"/>
        </w:rPr>
        <w:t xml:space="preserve">The transition from MOVES2010  to MOVES2014; and </w:t>
      </w:r>
    </w:p>
    <w:p w14:paraId="300A7A02" w14:textId="77777777" w:rsidR="000B6CD6" w:rsidRPr="001428BB" w:rsidRDefault="000B6CD6" w:rsidP="000B6CD6">
      <w:pPr>
        <w:pStyle w:val="ListParagraph"/>
        <w:rPr>
          <w:rFonts w:ascii="Times" w:hAnsi="Times"/>
        </w:rPr>
      </w:pPr>
    </w:p>
    <w:p w14:paraId="1CF765D6" w14:textId="77777777" w:rsidR="00DA7ACA" w:rsidRPr="001428BB" w:rsidRDefault="001428BB" w:rsidP="00741768">
      <w:pPr>
        <w:numPr>
          <w:ilvl w:val="0"/>
          <w:numId w:val="13"/>
        </w:numPr>
        <w:rPr>
          <w:rFonts w:ascii="Times" w:hAnsi="Times"/>
        </w:rPr>
      </w:pPr>
      <w:r>
        <w:rPr>
          <w:rFonts w:ascii="Times" w:hAnsi="Times"/>
        </w:rPr>
        <w:t>Areas</w:t>
      </w:r>
      <w:r w:rsidR="00522361" w:rsidRPr="001428BB">
        <w:rPr>
          <w:rFonts w:ascii="Times" w:hAnsi="Times"/>
        </w:rPr>
        <w:t xml:space="preserve"> designated </w:t>
      </w:r>
      <w:r>
        <w:rPr>
          <w:rFonts w:ascii="Times" w:hAnsi="Times"/>
        </w:rPr>
        <w:t xml:space="preserve">nonattainment for the </w:t>
      </w:r>
      <w:r w:rsidR="00522361" w:rsidRPr="001428BB">
        <w:rPr>
          <w:rFonts w:ascii="Times" w:hAnsi="Times"/>
        </w:rPr>
        <w:t>2008 ozone</w:t>
      </w:r>
      <w:r>
        <w:rPr>
          <w:rFonts w:ascii="Times" w:hAnsi="Times"/>
        </w:rPr>
        <w:t xml:space="preserve"> NAAQS</w:t>
      </w:r>
      <w:r w:rsidR="00522361" w:rsidRPr="001428BB">
        <w:rPr>
          <w:rFonts w:ascii="Times" w:hAnsi="Times"/>
        </w:rPr>
        <w:t>.</w:t>
      </w:r>
    </w:p>
    <w:p w14:paraId="5A0A84AE" w14:textId="77777777" w:rsidR="0051298C" w:rsidRDefault="0051298C" w:rsidP="009F0BB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38"/>
      </w:pPr>
    </w:p>
    <w:p w14:paraId="6090DB0E" w14:textId="77777777" w:rsidR="0051298C" w:rsidRDefault="00290502" w:rsidP="0029050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This ICR covers only the time period of 201</w:t>
      </w:r>
      <w:r w:rsidR="000B6CD6">
        <w:t>5</w:t>
      </w:r>
      <w:r w:rsidR="0051298C">
        <w:t xml:space="preserve"> to 201</w:t>
      </w:r>
      <w:r w:rsidR="000B6CD6">
        <w:t>7</w:t>
      </w:r>
      <w:r w:rsidR="0051298C">
        <w:t xml:space="preserve">, and EPA has attributed the amount of burden to the above </w:t>
      </w:r>
      <w:r w:rsidR="008F6649">
        <w:t>categories</w:t>
      </w:r>
      <w:r w:rsidR="0051298C">
        <w:t xml:space="preserve"> during that time period.  Further specifics are addresse</w:t>
      </w:r>
      <w:r w:rsidR="004E1E3E">
        <w:t xml:space="preserve">d as each are discussed below. </w:t>
      </w:r>
      <w:r w:rsidR="0051298C">
        <w:t xml:space="preserve">Please refer to </w:t>
      </w:r>
      <w:r w:rsidR="00036C8E">
        <w:t>S</w:t>
      </w:r>
      <w:r w:rsidR="0051298C">
        <w:t>ection 6(b) for additional assumptions used in estimating respondent cost.</w:t>
      </w:r>
    </w:p>
    <w:p w14:paraId="30308BBE" w14:textId="77777777" w:rsidR="0051298C" w:rsidRDefault="0051298C"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14:paraId="516DC1D4" w14:textId="77777777" w:rsidR="0051298C" w:rsidRDefault="0051298C" w:rsidP="00290502">
      <w:pPr>
        <w:pStyle w:val="FootnoteText"/>
        <w:ind w:firstLine="720"/>
        <w:rPr>
          <w:rFonts w:ascii="Times New Roman" w:hAnsi="Times New Roman"/>
          <w:sz w:val="24"/>
          <w:szCs w:val="24"/>
        </w:rPr>
      </w:pPr>
      <w:r>
        <w:rPr>
          <w:rFonts w:ascii="Times New Roman" w:hAnsi="Times New Roman"/>
          <w:sz w:val="24"/>
          <w:szCs w:val="24"/>
        </w:rPr>
        <w:t xml:space="preserve">Designations for the </w:t>
      </w:r>
      <w:r w:rsidR="00945915">
        <w:rPr>
          <w:rFonts w:ascii="Times New Roman" w:hAnsi="Times New Roman"/>
          <w:sz w:val="24"/>
          <w:szCs w:val="24"/>
        </w:rPr>
        <w:t xml:space="preserve">2015 ozone </w:t>
      </w:r>
      <w:r>
        <w:rPr>
          <w:rFonts w:ascii="Times New Roman" w:hAnsi="Times New Roman"/>
          <w:sz w:val="24"/>
          <w:szCs w:val="24"/>
        </w:rPr>
        <w:t xml:space="preserve">NAAQS have not been made yet and </w:t>
      </w:r>
      <w:r w:rsidR="001B2D34">
        <w:rPr>
          <w:rFonts w:ascii="Times New Roman" w:hAnsi="Times New Roman"/>
          <w:sz w:val="24"/>
          <w:szCs w:val="24"/>
        </w:rPr>
        <w:t xml:space="preserve">therefore </w:t>
      </w:r>
      <w:r>
        <w:rPr>
          <w:rFonts w:ascii="Times New Roman" w:hAnsi="Times New Roman"/>
          <w:sz w:val="24"/>
          <w:szCs w:val="24"/>
        </w:rPr>
        <w:t>no burden is included in this ICR renewal for conformity determinations for th</w:t>
      </w:r>
      <w:r w:rsidR="008E5193">
        <w:rPr>
          <w:rFonts w:ascii="Times New Roman" w:hAnsi="Times New Roman"/>
          <w:sz w:val="24"/>
          <w:szCs w:val="24"/>
        </w:rPr>
        <w:t>is</w:t>
      </w:r>
      <w:r>
        <w:rPr>
          <w:rFonts w:ascii="Times New Roman" w:hAnsi="Times New Roman"/>
          <w:sz w:val="24"/>
          <w:szCs w:val="24"/>
        </w:rPr>
        <w:t xml:space="preserve"> NAAQS.  </w:t>
      </w:r>
    </w:p>
    <w:p w14:paraId="7AB1B8A1" w14:textId="77777777" w:rsidR="00D95944" w:rsidRDefault="00D95944"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14:paraId="0F04F7CB" w14:textId="77777777" w:rsidR="0051298C" w:rsidRPr="0075797C" w:rsidRDefault="0051298C" w:rsidP="00741768">
      <w:pPr>
        <w:pStyle w:val="ListParagraph"/>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t xml:space="preserve">State and Local Respondent Burden and Costs for Nonattainment and Maintenance Areas </w:t>
      </w:r>
    </w:p>
    <w:p w14:paraId="4CA2F199" w14:textId="77777777" w:rsidR="0051298C" w:rsidRPr="00FF7F5A"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u w:val="single"/>
        </w:rPr>
      </w:pPr>
    </w:p>
    <w:p w14:paraId="221B6608" w14:textId="77777777"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i/>
        </w:rPr>
      </w:pPr>
      <w:r>
        <w:rPr>
          <w:b/>
          <w:i/>
        </w:rPr>
        <w:t xml:space="preserve">Background on </w:t>
      </w:r>
      <w:r w:rsidRPr="009742C4">
        <w:rPr>
          <w:b/>
          <w:i/>
        </w:rPr>
        <w:t>Nonattainment and Maintenance Areas</w:t>
      </w:r>
    </w:p>
    <w:p w14:paraId="10260685" w14:textId="77777777"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i/>
        </w:rPr>
      </w:pPr>
    </w:p>
    <w:p w14:paraId="1DD4C5FB" w14:textId="77777777"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As stated earlier, this ICR includes the burden associated with implementing conformity requirements with respect to nonattainment and maintenance areas for transportation-related criteria pollutants:  ozone, CO, PM</w:t>
      </w:r>
      <w:r w:rsidRPr="003645EC">
        <w:rPr>
          <w:rFonts w:ascii="Times" w:hAnsi="Times"/>
          <w:vertAlign w:val="subscript"/>
        </w:rPr>
        <w:t>10</w:t>
      </w:r>
      <w:r w:rsidR="006323A6">
        <w:t>,</w:t>
      </w:r>
      <w:r>
        <w:t xml:space="preserve"> PM</w:t>
      </w:r>
      <w:r w:rsidRPr="003645EC">
        <w:rPr>
          <w:rFonts w:ascii="Times" w:hAnsi="Times"/>
          <w:vertAlign w:val="subscript"/>
        </w:rPr>
        <w:t>2.5</w:t>
      </w:r>
      <w:r w:rsidRPr="006323A6">
        <w:rPr>
          <w:rFonts w:ascii="Times" w:hAnsi="Times"/>
        </w:rPr>
        <w:t>,</w:t>
      </w:r>
      <w:r>
        <w:rPr>
          <w:rFonts w:ascii="Times" w:hAnsi="Times"/>
          <w:vertAlign w:val="subscript"/>
        </w:rPr>
        <w:t xml:space="preserve"> </w:t>
      </w:r>
      <w:r>
        <w:t>and NO</w:t>
      </w:r>
      <w:r w:rsidRPr="00890456">
        <w:rPr>
          <w:vertAlign w:val="subscript"/>
        </w:rPr>
        <w:t>2</w:t>
      </w:r>
      <w:r>
        <w:t>. The following table illustrates the number of areas currently subject to transportation conformity requirements, using data from EPA’s Green Book for the number of nonattainment and maintenance areas:</w:t>
      </w:r>
      <w:r w:rsidR="00517927">
        <w:rPr>
          <w:rStyle w:val="FootnoteReference"/>
        </w:rPr>
        <w:footnoteReference w:id="14"/>
      </w:r>
    </w:p>
    <w:p w14:paraId="06BBE15D" w14:textId="77777777" w:rsidR="003370D9" w:rsidRDefault="003370D9"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p>
    <w:p w14:paraId="70C16295" w14:textId="77777777" w:rsidR="003939ED" w:rsidRDefault="003939ED" w:rsidP="00EC4A53">
      <w:pPr>
        <w:jc w:val="center"/>
        <w:rPr>
          <w:b/>
        </w:rPr>
      </w:pPr>
    </w:p>
    <w:p w14:paraId="45EFD801" w14:textId="77777777" w:rsidR="003939ED" w:rsidRDefault="003939ED" w:rsidP="00EC4A53">
      <w:pPr>
        <w:jc w:val="center"/>
        <w:rPr>
          <w:b/>
        </w:rPr>
      </w:pPr>
    </w:p>
    <w:p w14:paraId="1D3E6B2B" w14:textId="77777777" w:rsidR="003939ED" w:rsidRDefault="003939ED" w:rsidP="00EC4A53">
      <w:pPr>
        <w:jc w:val="center"/>
        <w:rPr>
          <w:b/>
        </w:rPr>
      </w:pPr>
    </w:p>
    <w:p w14:paraId="7EA20B10" w14:textId="77777777" w:rsidR="0051298C" w:rsidRPr="00A0582C" w:rsidRDefault="0051298C" w:rsidP="00EC4A53">
      <w:pPr>
        <w:jc w:val="center"/>
        <w:rPr>
          <w:b/>
        </w:rPr>
      </w:pPr>
      <w:r w:rsidRPr="00A0582C">
        <w:rPr>
          <w:b/>
        </w:rPr>
        <w:lastRenderedPageBreak/>
        <w:t>Table 1</w:t>
      </w:r>
      <w:r>
        <w:rPr>
          <w:b/>
        </w:rPr>
        <w:t>:</w:t>
      </w:r>
    </w:p>
    <w:p w14:paraId="298F58BA" w14:textId="77777777" w:rsidR="0051298C" w:rsidRDefault="0051298C"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A0582C">
        <w:rPr>
          <w:b/>
        </w:rPr>
        <w:t xml:space="preserve">Number of </w:t>
      </w:r>
      <w:r>
        <w:rPr>
          <w:b/>
        </w:rPr>
        <w:t>A</w:t>
      </w:r>
      <w:r w:rsidRPr="00A0582C">
        <w:rPr>
          <w:b/>
        </w:rPr>
        <w:t>reas Subject to Transportation Conformity Requirements</w:t>
      </w:r>
    </w:p>
    <w:p w14:paraId="7B4BB168" w14:textId="77777777" w:rsidR="0051298C" w:rsidRDefault="0051298C"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186"/>
        <w:gridCol w:w="3186"/>
      </w:tblGrid>
      <w:tr w:rsidR="0051298C" w14:paraId="53AE385A" w14:textId="77777777" w:rsidTr="00723F0A">
        <w:trPr>
          <w:trHeight w:val="1008"/>
        </w:trPr>
        <w:tc>
          <w:tcPr>
            <w:tcW w:w="3192" w:type="dxa"/>
            <w:shd w:val="clear" w:color="auto" w:fill="D9D9D9"/>
            <w:vAlign w:val="bottom"/>
          </w:tcPr>
          <w:p w14:paraId="21E1DAD2" w14:textId="77777777"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Pollutant/NAAQS</w:t>
            </w:r>
          </w:p>
        </w:tc>
        <w:tc>
          <w:tcPr>
            <w:tcW w:w="3192" w:type="dxa"/>
            <w:shd w:val="clear" w:color="auto" w:fill="D9D9D9"/>
            <w:vAlign w:val="bottom"/>
          </w:tcPr>
          <w:p w14:paraId="70945D76" w14:textId="77777777"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Number of Metropolitan Nonattainment/Maintenance Areas</w:t>
            </w:r>
          </w:p>
        </w:tc>
        <w:tc>
          <w:tcPr>
            <w:tcW w:w="3192" w:type="dxa"/>
            <w:shd w:val="clear" w:color="auto" w:fill="D9D9D9"/>
            <w:vAlign w:val="bottom"/>
          </w:tcPr>
          <w:p w14:paraId="06D27A65" w14:textId="77777777"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Number of Isolated Rural Nonattainment/Maintenance Areas</w:t>
            </w:r>
          </w:p>
        </w:tc>
      </w:tr>
      <w:tr w:rsidR="003973B1" w14:paraId="3E421E82" w14:textId="77777777" w:rsidTr="00723F0A">
        <w:trPr>
          <w:trHeight w:val="432"/>
        </w:trPr>
        <w:tc>
          <w:tcPr>
            <w:tcW w:w="3192" w:type="dxa"/>
            <w:vAlign w:val="center"/>
          </w:tcPr>
          <w:p w14:paraId="5DB4AF5B" w14:textId="77777777" w:rsidR="003973B1" w:rsidRPr="003973B1" w:rsidRDefault="003973B1"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vertAlign w:val="subscript"/>
              </w:rPr>
            </w:pPr>
            <w:r>
              <w:t>2012 PM</w:t>
            </w:r>
            <w:r>
              <w:rPr>
                <w:vertAlign w:val="subscript"/>
              </w:rPr>
              <w:t>2.5</w:t>
            </w:r>
            <w:r>
              <w:rPr>
                <w:rStyle w:val="FootnoteReference"/>
              </w:rPr>
              <w:footnoteReference w:id="15"/>
            </w:r>
          </w:p>
        </w:tc>
        <w:tc>
          <w:tcPr>
            <w:tcW w:w="3192" w:type="dxa"/>
            <w:vAlign w:val="center"/>
          </w:tcPr>
          <w:p w14:paraId="77B82E04" w14:textId="77777777" w:rsidR="003973B1" w:rsidRDefault="003973B1"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12</w:t>
            </w:r>
          </w:p>
        </w:tc>
        <w:tc>
          <w:tcPr>
            <w:tcW w:w="3192" w:type="dxa"/>
            <w:vAlign w:val="center"/>
          </w:tcPr>
          <w:p w14:paraId="6FCA483C" w14:textId="77777777" w:rsidR="003973B1" w:rsidRDefault="003973B1"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w:t>
            </w:r>
          </w:p>
        </w:tc>
      </w:tr>
      <w:tr w:rsidR="006923DD" w14:paraId="3E178400" w14:textId="77777777" w:rsidTr="00723F0A">
        <w:trPr>
          <w:trHeight w:val="432"/>
        </w:trPr>
        <w:tc>
          <w:tcPr>
            <w:tcW w:w="3192" w:type="dxa"/>
            <w:vAlign w:val="center"/>
          </w:tcPr>
          <w:p w14:paraId="09992CAF" w14:textId="77777777" w:rsidR="006923DD" w:rsidRDefault="006923DD"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2008 ozone</w:t>
            </w:r>
            <w:r>
              <w:rPr>
                <w:rStyle w:val="FootnoteReference"/>
              </w:rPr>
              <w:footnoteReference w:id="16"/>
            </w:r>
          </w:p>
        </w:tc>
        <w:tc>
          <w:tcPr>
            <w:tcW w:w="3192" w:type="dxa"/>
            <w:vAlign w:val="center"/>
          </w:tcPr>
          <w:p w14:paraId="5453E5AD" w14:textId="77777777" w:rsidR="006923DD" w:rsidRDefault="00174B6B"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w:t>
            </w:r>
            <w:r w:rsidR="00AE6035">
              <w:t>9</w:t>
            </w:r>
          </w:p>
        </w:tc>
        <w:tc>
          <w:tcPr>
            <w:tcW w:w="3192" w:type="dxa"/>
            <w:vAlign w:val="center"/>
          </w:tcPr>
          <w:p w14:paraId="319F0F37" w14:textId="77777777" w:rsidR="006923DD" w:rsidRDefault="00AE6035"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7</w:t>
            </w:r>
          </w:p>
        </w:tc>
      </w:tr>
      <w:tr w:rsidR="0051298C" w14:paraId="627A93A3" w14:textId="77777777" w:rsidTr="00723F0A">
        <w:trPr>
          <w:trHeight w:val="432"/>
        </w:trPr>
        <w:tc>
          <w:tcPr>
            <w:tcW w:w="3192" w:type="dxa"/>
            <w:vAlign w:val="center"/>
          </w:tcPr>
          <w:p w14:paraId="272FD7BB"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CO</w:t>
            </w:r>
          </w:p>
        </w:tc>
        <w:tc>
          <w:tcPr>
            <w:tcW w:w="3192" w:type="dxa"/>
            <w:vAlign w:val="center"/>
          </w:tcPr>
          <w:p w14:paraId="7173F1B4" w14:textId="77777777" w:rsidR="0051298C" w:rsidRDefault="00AE6035" w:rsidP="00274196">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50</w:t>
            </w:r>
          </w:p>
        </w:tc>
        <w:tc>
          <w:tcPr>
            <w:tcW w:w="3192" w:type="dxa"/>
            <w:vAlign w:val="center"/>
          </w:tcPr>
          <w:p w14:paraId="080C7F41"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w:t>
            </w:r>
          </w:p>
        </w:tc>
      </w:tr>
      <w:tr w:rsidR="0051298C" w14:paraId="66976A43" w14:textId="77777777" w:rsidTr="00723F0A">
        <w:trPr>
          <w:trHeight w:val="432"/>
        </w:trPr>
        <w:tc>
          <w:tcPr>
            <w:tcW w:w="3192" w:type="dxa"/>
            <w:vAlign w:val="center"/>
          </w:tcPr>
          <w:p w14:paraId="137EC8CE"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PM</w:t>
            </w:r>
            <w:r w:rsidRPr="00C00214">
              <w:rPr>
                <w:rFonts w:ascii="Times" w:hAnsi="Times"/>
                <w:vertAlign w:val="subscript"/>
              </w:rPr>
              <w:t>10</w:t>
            </w:r>
          </w:p>
        </w:tc>
        <w:tc>
          <w:tcPr>
            <w:tcW w:w="3192" w:type="dxa"/>
            <w:vAlign w:val="center"/>
          </w:tcPr>
          <w:p w14:paraId="01EA5298" w14:textId="77777777" w:rsidR="0051298C" w:rsidRDefault="00274196"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48</w:t>
            </w:r>
          </w:p>
        </w:tc>
        <w:tc>
          <w:tcPr>
            <w:tcW w:w="3192" w:type="dxa"/>
            <w:vAlign w:val="center"/>
          </w:tcPr>
          <w:p w14:paraId="156F36D6" w14:textId="77777777" w:rsidR="0051298C" w:rsidRDefault="00274196" w:rsidP="00274196">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36</w:t>
            </w:r>
          </w:p>
        </w:tc>
      </w:tr>
      <w:tr w:rsidR="0051298C" w14:paraId="716B1A59" w14:textId="77777777" w:rsidTr="00723F0A">
        <w:trPr>
          <w:trHeight w:val="432"/>
        </w:trPr>
        <w:tc>
          <w:tcPr>
            <w:tcW w:w="3192" w:type="dxa"/>
            <w:vAlign w:val="center"/>
          </w:tcPr>
          <w:p w14:paraId="59D477DC"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1997 PM</w:t>
            </w:r>
            <w:r w:rsidRPr="00C00214">
              <w:rPr>
                <w:rFonts w:ascii="Times" w:hAnsi="Times"/>
                <w:vertAlign w:val="subscript"/>
              </w:rPr>
              <w:t>2.5</w:t>
            </w:r>
            <w:r>
              <w:rPr>
                <w:rStyle w:val="FootnoteReference"/>
              </w:rPr>
              <w:footnoteReference w:id="17"/>
            </w:r>
          </w:p>
        </w:tc>
        <w:tc>
          <w:tcPr>
            <w:tcW w:w="3192" w:type="dxa"/>
            <w:vAlign w:val="center"/>
          </w:tcPr>
          <w:p w14:paraId="470725DD"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38</w:t>
            </w:r>
          </w:p>
        </w:tc>
        <w:tc>
          <w:tcPr>
            <w:tcW w:w="3192" w:type="dxa"/>
            <w:vAlign w:val="center"/>
          </w:tcPr>
          <w:p w14:paraId="78445B2F"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w:t>
            </w:r>
          </w:p>
        </w:tc>
      </w:tr>
      <w:tr w:rsidR="0051298C" w14:paraId="599E94EC" w14:textId="77777777" w:rsidTr="00723F0A">
        <w:trPr>
          <w:trHeight w:val="432"/>
        </w:trPr>
        <w:tc>
          <w:tcPr>
            <w:tcW w:w="3192" w:type="dxa"/>
            <w:vAlign w:val="center"/>
          </w:tcPr>
          <w:p w14:paraId="34DEC756" w14:textId="77777777" w:rsidR="0051298C" w:rsidDel="00890456"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2006 PM</w:t>
            </w:r>
            <w:r w:rsidRPr="00991149">
              <w:rPr>
                <w:vertAlign w:val="subscript"/>
              </w:rPr>
              <w:t>2.5</w:t>
            </w:r>
            <w:r>
              <w:rPr>
                <w:rStyle w:val="FootnoteReference"/>
              </w:rPr>
              <w:footnoteReference w:id="18"/>
            </w:r>
          </w:p>
        </w:tc>
        <w:tc>
          <w:tcPr>
            <w:tcW w:w="3192" w:type="dxa"/>
            <w:vAlign w:val="center"/>
          </w:tcPr>
          <w:p w14:paraId="61920395"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29</w:t>
            </w:r>
          </w:p>
        </w:tc>
        <w:tc>
          <w:tcPr>
            <w:tcW w:w="3192" w:type="dxa"/>
            <w:vAlign w:val="center"/>
          </w:tcPr>
          <w:p w14:paraId="39A06710" w14:textId="77777777" w:rsidR="0051298C" w:rsidRDefault="00406512"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w:t>
            </w:r>
          </w:p>
        </w:tc>
      </w:tr>
      <w:tr w:rsidR="0051298C" w14:paraId="6FB2D907" w14:textId="77777777" w:rsidTr="00723F0A">
        <w:trPr>
          <w:trHeight w:val="432"/>
        </w:trPr>
        <w:tc>
          <w:tcPr>
            <w:tcW w:w="3192" w:type="dxa"/>
            <w:vAlign w:val="center"/>
          </w:tcPr>
          <w:p w14:paraId="33C3FFD8" w14:textId="77777777" w:rsidR="0051298C" w:rsidRDefault="005B51B0" w:rsidP="006923DD">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 xml:space="preserve">1971 </w:t>
            </w:r>
            <w:r w:rsidR="0051298C">
              <w:t>NO</w:t>
            </w:r>
            <w:r w:rsidR="0051298C" w:rsidRPr="00890456">
              <w:rPr>
                <w:vertAlign w:val="subscript"/>
              </w:rPr>
              <w:t>2</w:t>
            </w:r>
            <w:r w:rsidR="0051298C">
              <w:rPr>
                <w:rStyle w:val="FootnoteReference"/>
              </w:rPr>
              <w:footnoteReference w:id="19"/>
            </w:r>
          </w:p>
        </w:tc>
        <w:tc>
          <w:tcPr>
            <w:tcW w:w="3192" w:type="dxa"/>
            <w:vAlign w:val="center"/>
          </w:tcPr>
          <w:p w14:paraId="013AE0B5"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w:t>
            </w:r>
          </w:p>
        </w:tc>
        <w:tc>
          <w:tcPr>
            <w:tcW w:w="3192" w:type="dxa"/>
            <w:vAlign w:val="center"/>
          </w:tcPr>
          <w:p w14:paraId="4ACB2E0F" w14:textId="77777777"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0</w:t>
            </w:r>
          </w:p>
        </w:tc>
      </w:tr>
      <w:tr w:rsidR="006923DD" w14:paraId="05860700" w14:textId="77777777" w:rsidTr="00723F0A">
        <w:trPr>
          <w:trHeight w:val="432"/>
        </w:trPr>
        <w:tc>
          <w:tcPr>
            <w:tcW w:w="3192" w:type="dxa"/>
            <w:vAlign w:val="center"/>
          </w:tcPr>
          <w:p w14:paraId="3B3CD635" w14:textId="77777777" w:rsidR="006923DD" w:rsidRDefault="006923DD"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2010 NO</w:t>
            </w:r>
            <w:r w:rsidRPr="006923DD">
              <w:rPr>
                <w:vertAlign w:val="subscript"/>
              </w:rPr>
              <w:t>2</w:t>
            </w:r>
            <w:r w:rsidR="00174B6B">
              <w:rPr>
                <w:vertAlign w:val="subscript"/>
              </w:rPr>
              <w:t xml:space="preserve"> </w:t>
            </w:r>
            <w:r w:rsidR="00174B6B">
              <w:rPr>
                <w:rStyle w:val="FootnoteReference"/>
              </w:rPr>
              <w:footnoteReference w:id="20"/>
            </w:r>
          </w:p>
        </w:tc>
        <w:tc>
          <w:tcPr>
            <w:tcW w:w="3192" w:type="dxa"/>
            <w:vAlign w:val="center"/>
          </w:tcPr>
          <w:p w14:paraId="27F2820D" w14:textId="77777777" w:rsidR="006923DD" w:rsidRDefault="006923DD"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0</w:t>
            </w:r>
          </w:p>
        </w:tc>
        <w:tc>
          <w:tcPr>
            <w:tcW w:w="3192" w:type="dxa"/>
            <w:vAlign w:val="center"/>
          </w:tcPr>
          <w:p w14:paraId="1D73FB8D" w14:textId="77777777" w:rsidR="006923DD" w:rsidRDefault="006923DD"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0</w:t>
            </w:r>
          </w:p>
        </w:tc>
      </w:tr>
    </w:tbl>
    <w:p w14:paraId="01C73603" w14:textId="77777777" w:rsidR="00683009"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p>
    <w:p w14:paraId="526FCE9B" w14:textId="77777777" w:rsidR="0051298C" w:rsidRDefault="00683009"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This ICR reflects the burden associated with determining conformity for all of these pollutants</w:t>
      </w:r>
      <w:r w:rsidR="008F6649">
        <w:t>/NAAQS</w:t>
      </w:r>
      <w:r w:rsidR="0051298C">
        <w:t xml:space="preserve">; however, EPA’s estimates reflect efficiencies realized when metropolitan areas are nonattainment or maintenance for two or more pollutants/NAAQS since there is often an overlap of time spent in consultation, regional emissions analysis and other miscellaneous activities for these areas in determining conformity for two or more pollutants.  </w:t>
      </w:r>
    </w:p>
    <w:p w14:paraId="2655EF06"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49BF7413"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As discussed further below, EPA also has identified the number of </w:t>
      </w:r>
      <w:r w:rsidR="00784A7C">
        <w:t xml:space="preserve">nonattainment and maintenance areas with multiple </w:t>
      </w:r>
      <w:r>
        <w:t xml:space="preserve">MPOs that are subject to transportation conformity for one or more pollutants/NAAQS, since many metropolitan nonattainment and maintenance areas have more than one MPO (and consequently, more than one transportation plan or TIP conformity determination). </w:t>
      </w:r>
      <w:r w:rsidRPr="00E80126">
        <w:rPr>
          <w:rFonts w:ascii="Times" w:hAnsi="Times"/>
        </w:rPr>
        <w:t>The number of MPOs estimated in the following tables is based upon information collected from EPA Regional Offices</w:t>
      </w:r>
      <w:r>
        <w:rPr>
          <w:rFonts w:ascii="Times" w:hAnsi="Times"/>
        </w:rPr>
        <w:t>, EPA’s Green Book, and from other sources.</w:t>
      </w:r>
      <w:r>
        <w:rPr>
          <w:rStyle w:val="FootnoteReference"/>
          <w:rFonts w:ascii="Times" w:hAnsi="Times"/>
        </w:rPr>
        <w:footnoteReference w:id="21"/>
      </w:r>
    </w:p>
    <w:p w14:paraId="50D4CDE6"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0EEBD7F6" w14:textId="77777777" w:rsidR="0051298C" w:rsidRDefault="006323A6"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Finally, EPA assumes that the conformity resource burden will differ among:</w:t>
      </w:r>
    </w:p>
    <w:p w14:paraId="08C89EF5"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1386E563" w14:textId="77777777"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Larger metropolitan nonattainment and maintenance areas (urbanized area populations over 200,000);</w:t>
      </w:r>
    </w:p>
    <w:p w14:paraId="391ACC46"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14:paraId="541B73F1" w14:textId="77777777"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Smaller metropolitan nonattainment and maintenance areas (urbanized area populations between 50,000-200,000); and,</w:t>
      </w:r>
    </w:p>
    <w:p w14:paraId="3C3BCE93"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14:paraId="5D70B810" w14:textId="77777777"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Isolated rural nonattainment and maintenance areas (populations under 50,000). </w:t>
      </w:r>
    </w:p>
    <w:p w14:paraId="485235C6"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14E5BF5B" w14:textId="77777777"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Since conformity requirements, complexity of air quality issues and geographic size can vary depending on an area’s population, number of MPOs, and number of pollutants involved, EPA believes it is appropriate to account for these differences in calculating the conformity burden in nonatta</w:t>
      </w:r>
      <w:r w:rsidR="004E1E3E">
        <w:t xml:space="preserve">inment and maintenance areas.  </w:t>
      </w:r>
      <w:r>
        <w:t xml:space="preserve">For donut areas, the burden is assumed to be included in the MPO burden estimates. </w:t>
      </w:r>
    </w:p>
    <w:p w14:paraId="4CEAB20B" w14:textId="77777777"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2BD1B5F" w14:textId="77777777" w:rsidR="0051298C" w:rsidRDefault="0051298C" w:rsidP="00BC2D64">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935F24">
        <w:rPr>
          <w:b/>
          <w:i/>
        </w:rPr>
        <w:t xml:space="preserve">Transportation </w:t>
      </w:r>
      <w:r>
        <w:rPr>
          <w:b/>
          <w:i/>
        </w:rPr>
        <w:t>Plan and TIP Conformity Determinations in Metropolitan Nonattainment and Maintenance Areas</w:t>
      </w:r>
    </w:p>
    <w:p w14:paraId="0BD00161"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5D18F00" w14:textId="77777777" w:rsidR="0051298C" w:rsidRDefault="00AB5B74"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 xml:space="preserve">EPA is relying on information from several sources for this ICR’s estimated state and local burden hours for conformity determinations:  </w:t>
      </w:r>
    </w:p>
    <w:p w14:paraId="1367C5A6"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F163232" w14:textId="77777777" w:rsidR="0051298C" w:rsidRDefault="00462F08"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w:t>
      </w:r>
      <w:r w:rsidR="0051298C">
        <w:t xml:space="preserve">s described in Section 3(c), EPA requested burden information from EPA </w:t>
      </w:r>
      <w:r w:rsidR="00267E6F">
        <w:t xml:space="preserve">Regions </w:t>
      </w:r>
      <w:r w:rsidR="0051298C">
        <w:t xml:space="preserve">and DOT </w:t>
      </w:r>
      <w:r w:rsidR="0051298C" w:rsidRPr="00E770A7">
        <w:t xml:space="preserve">that regularly work with state and local organizations responsible for </w:t>
      </w:r>
      <w:r w:rsidR="000179C1">
        <w:t xml:space="preserve">making </w:t>
      </w:r>
      <w:r w:rsidR="0051298C" w:rsidRPr="00E770A7">
        <w:t>conformity determinations for transportation plans and TIPs</w:t>
      </w:r>
      <w:r w:rsidR="0051298C">
        <w:t>;</w:t>
      </w:r>
      <w:r w:rsidR="0051298C" w:rsidRPr="00E770A7">
        <w:t xml:space="preserve">  </w:t>
      </w:r>
    </w:p>
    <w:p w14:paraId="6190672D" w14:textId="77777777" w:rsidR="0051298C" w:rsidRDefault="0051298C" w:rsidP="00B7617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360"/>
      </w:pPr>
    </w:p>
    <w:p w14:paraId="7BD32055" w14:textId="77777777" w:rsidR="0051298C" w:rsidRDefault="0051298C"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 xml:space="preserve">EPA has reviewed the conformity burden hour estimates for previous ICRs for the transportation conformity program and the burden hours assumed in DOT’s ICR for the transportation planning regulations; </w:t>
      </w:r>
    </w:p>
    <w:p w14:paraId="6D8C47CD"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9AB651B" w14:textId="77777777" w:rsidR="0051298C" w:rsidRDefault="0051298C"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EPA reviewed existing conformity research studies for conformity burden in current rural nonatt</w:t>
      </w:r>
      <w:r w:rsidR="004E1E3E">
        <w:t xml:space="preserve">ainment and maintenance areas. </w:t>
      </w:r>
      <w:r>
        <w:t>These research studies are listed in Appendix A of this ICR</w:t>
      </w:r>
      <w:r w:rsidR="00683009">
        <w:t>: and,</w:t>
      </w:r>
    </w:p>
    <w:p w14:paraId="7F528A5B" w14:textId="77777777" w:rsidR="00683009" w:rsidRDefault="00683009" w:rsidP="006830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1C92C530" w14:textId="77777777" w:rsidR="00683009" w:rsidRDefault="00683009"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EPA used information that was received during the public comment period of this renewal ICR.</w:t>
      </w:r>
    </w:p>
    <w:p w14:paraId="45A38D4A" w14:textId="77777777" w:rsidR="00462F08" w:rsidRDefault="00462F08" w:rsidP="00462F08">
      <w:pPr>
        <w:pStyle w:val="ListParagraph"/>
      </w:pPr>
    </w:p>
    <w:p w14:paraId="2E703B5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following paragraphs describe estimated state and local burden hours for conformity determinations in experienced metropolitan nonatt</w:t>
      </w:r>
      <w:r w:rsidR="004E1E3E">
        <w:t xml:space="preserve">ainment and maintenance areas. </w:t>
      </w:r>
      <w:r>
        <w:t>The ICR assumes that all conformity determination work is completed by state and local employees, although in practice some work ma</w:t>
      </w:r>
      <w:r w:rsidR="004E1E3E">
        <w:t xml:space="preserve">y be completed by consultants. </w:t>
      </w:r>
      <w:r>
        <w:t>EPA again notes that transportation plan and TIP burden hour estimates are based on demonstrating conformity for 4-year transportation plan and TIP updates as required by statute and regula</w:t>
      </w:r>
      <w:r w:rsidR="004803DC">
        <w:t>tion, rather than more frequent</w:t>
      </w:r>
      <w:r>
        <w:t xml:space="preserve"> plan and TIP revisions or amendments whic</w:t>
      </w:r>
      <w:r w:rsidR="004E1E3E">
        <w:t xml:space="preserve">h are not required by the Act. </w:t>
      </w:r>
      <w:r>
        <w:t xml:space="preserve">This ICR </w:t>
      </w:r>
      <w:r>
        <w:lastRenderedPageBreak/>
        <w:t>captures the burden associated with meeting the minimum transportation conformity requirements</w:t>
      </w:r>
      <w:r w:rsidR="00AC250B">
        <w:t>, except in large MPOs covered by 3 or more NAAQS.</w:t>
      </w:r>
    </w:p>
    <w:p w14:paraId="22A0F17D"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E770A7">
        <w:tab/>
      </w:r>
    </w:p>
    <w:p w14:paraId="135D1870"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EPA has calculated the burden associated with transportation plan and TIP conformity determinations by considering the number of MPOs that are subject to conformity, the size of these MPOs, and the nu</w:t>
      </w:r>
      <w:r w:rsidR="004E1E3E">
        <w:t xml:space="preserve">mber of pollutants that apply. </w:t>
      </w:r>
      <w:r w:rsidRPr="00E770A7">
        <w:t>To estimate</w:t>
      </w:r>
      <w:r>
        <w:t xml:space="preserve"> burden hours</w:t>
      </w:r>
      <w:r w:rsidRPr="00E770A7">
        <w:t xml:space="preserve"> </w:t>
      </w:r>
      <w:r>
        <w:t>t</w:t>
      </w:r>
      <w:r w:rsidRPr="00E770A7">
        <w:t>hat MPOs incur to determine conformi</w:t>
      </w:r>
      <w:r>
        <w:t xml:space="preserve">ty for just one pollutant/NAAQS, EPA and DOT field offices were asked for estimated state and local respondent burden for the various tasks involved in a transportation plan or TIP conformity determination. </w:t>
      </w:r>
      <w:r w:rsidRPr="00E770A7">
        <w:t xml:space="preserve">For </w:t>
      </w:r>
      <w:r>
        <w:t xml:space="preserve">burden hours associated with </w:t>
      </w:r>
      <w:r w:rsidRPr="00E770A7">
        <w:t>each additional pollutant, EPA relied on</w:t>
      </w:r>
      <w:r>
        <w:t xml:space="preserve"> data from ICR 2130.0</w:t>
      </w:r>
      <w:r w:rsidR="0049047B">
        <w:t>4</w:t>
      </w:r>
      <w:r>
        <w:t xml:space="preserve"> </w:t>
      </w:r>
      <w:r w:rsidRPr="00E770A7">
        <w:t xml:space="preserve">for incremental burden hours associated with performing </w:t>
      </w:r>
      <w:r>
        <w:t xml:space="preserve">transportation plan and TIP </w:t>
      </w:r>
      <w:r w:rsidRPr="00E770A7">
        <w:t>conformity determinations for each additional pollutant</w:t>
      </w:r>
      <w:r>
        <w:t>/NAAQS, which w</w:t>
      </w:r>
      <w:r w:rsidR="004803DC">
        <w:t>ere</w:t>
      </w:r>
      <w:r>
        <w:t xml:space="preserve"> based on federal survey responses.</w:t>
      </w:r>
    </w:p>
    <w:p w14:paraId="757F33DC"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2BF5817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For each burden hour estimated, EPA assumed that state and local agencies work only on </w:t>
      </w:r>
      <w:r w:rsidR="004E1E3E">
        <w:t xml:space="preserve">conformity-related activities. </w:t>
      </w:r>
      <w:r>
        <w:t>This ICR does not include burden for the general development of transportation plans, TIPs, projects, or motor vehicle emissions budgets, since these documents are develop</w:t>
      </w:r>
      <w:r w:rsidR="004E1E3E">
        <w:t xml:space="preserve">ed to meet other requirements. </w:t>
      </w:r>
      <w:r>
        <w:t xml:space="preserve">EPA is assuming that some data collection for transportation planning or SIP purposes could also be used in conformity without additional conformity-related burden.    </w:t>
      </w:r>
    </w:p>
    <w:p w14:paraId="0473DC71"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6BDC8F59" w14:textId="77777777" w:rsidR="0051298C" w:rsidRDefault="0051298C" w:rsidP="00B520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t xml:space="preserve">The following tables illustrate the burden hours and cost associated with meeting the conformity requirements for a transportation plan and TIP update in metropolitan nonattainment and maintenance areas that are designated for one or more pollutants/NAAQS.  These MPOs and metropolitan areas have experience with the conformity process, have established interagency consultation procedures and have developed models for conducting plan and TIP conformity determinations.       </w:t>
      </w:r>
    </w:p>
    <w:p w14:paraId="0774414C"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11F9ACBF"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While transportation plan and TIP updates are now able to be done with the same frequency (at least every 4 years), EPA estimates that it is only those MPOs serving smaller populations (50,000-200,000 populations) </w:t>
      </w:r>
      <w:r w:rsidR="00FE5736">
        <w:t xml:space="preserve">that </w:t>
      </w:r>
      <w:r>
        <w:t>will perform conformity determinations for transportation plans and TIPs at the same time, thus leading to efficiencies in burden hours and cost.  In contrast, MPOs in larger areas may cho</w:t>
      </w:r>
      <w:r w:rsidR="00FE5736">
        <w:t>o</w:t>
      </w:r>
      <w:r>
        <w:t xml:space="preserve">se not to align transportation plan and TIP update conformity determinations as regularly, since these areas are expected to have more complex transportation planning considerations.  </w:t>
      </w:r>
    </w:p>
    <w:p w14:paraId="3264CE57" w14:textId="77777777" w:rsidR="0051298C" w:rsidRDefault="0051298C" w:rsidP="00E9295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604CA6DC" w14:textId="77777777" w:rsidR="0051298C" w:rsidRDefault="0051298C"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Therefore, for purposes of this analysis, EPA assumes that conformity determinations for transportation plans and TIPs will always occur at different times in large metropolitan areas (</w:t>
      </w:r>
      <w:r w:rsidRPr="00134CE5">
        <w:t>Tables</w:t>
      </w:r>
      <w:r>
        <w:t xml:space="preserve"> 2 through 5) and that conformity determinations for transportation plans and TIPs will occur at the same time in small metropolitan areas (see </w:t>
      </w:r>
      <w:r w:rsidRPr="00134CE5">
        <w:t>Table</w:t>
      </w:r>
      <w:r>
        <w:t>s 6 and 7).</w:t>
      </w:r>
      <w:r w:rsidR="00E63490">
        <w:t xml:space="preserve">  </w:t>
      </w:r>
    </w:p>
    <w:p w14:paraId="77AA3C28" w14:textId="77777777" w:rsidR="006B1303" w:rsidRDefault="006B1303"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58D2BC7F" w14:textId="77777777" w:rsidR="00C36414" w:rsidRDefault="000F4E2F" w:rsidP="002700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b/>
        </w:rPr>
        <w:tab/>
      </w:r>
      <w:r w:rsidR="00F138F7">
        <w:tab/>
        <w:t>.</w:t>
      </w:r>
    </w:p>
    <w:p w14:paraId="2796389E" w14:textId="77777777" w:rsidR="003939ED" w:rsidRDefault="003939E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906CF21" w14:textId="77777777" w:rsidR="003939ED" w:rsidRDefault="003939E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544F4A4" w14:textId="77777777" w:rsidR="003939ED" w:rsidRDefault="003939E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169EE46" w14:textId="77777777" w:rsidR="003939ED" w:rsidRDefault="003939E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7E6E433" w14:textId="77777777" w:rsidR="003939ED" w:rsidRDefault="003939E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FCD3A2A"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2: State and </w:t>
      </w:r>
      <w:r w:rsidRPr="00FF0194">
        <w:rPr>
          <w:b/>
        </w:rPr>
        <w:t>Local Burden Hours</w:t>
      </w:r>
      <w:r>
        <w:rPr>
          <w:b/>
        </w:rPr>
        <w:t xml:space="preserve"> </w:t>
      </w:r>
    </w:p>
    <w:p w14:paraId="6F3D3B9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 Conformity Determination</w:t>
      </w:r>
    </w:p>
    <w:p w14:paraId="1B2403FF"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 </w:t>
      </w:r>
    </w:p>
    <w:p w14:paraId="4FBA161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3452"/>
        <w:gridCol w:w="1726"/>
        <w:gridCol w:w="1422"/>
        <w:gridCol w:w="1625"/>
        <w:gridCol w:w="1115"/>
      </w:tblGrid>
      <w:tr w:rsidR="0051298C" w14:paraId="172F5A42" w14:textId="77777777"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0EE62FF"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MPO 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458A707" w14:textId="77777777"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80CA1F2"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r w:rsidR="00C86946">
              <w:rPr>
                <w:rStyle w:val="FootnoteReference"/>
                <w:b/>
                <w:sz w:val="20"/>
              </w:rPr>
              <w:footnoteReference w:id="22"/>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7AD71B1" w14:textId="77777777" w:rsidR="004C2C60"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sz w:val="20"/>
              </w:rPr>
            </w:pPr>
            <w:r>
              <w:rPr>
                <w:b/>
                <w:sz w:val="20"/>
              </w:rPr>
              <w:t xml:space="preserve">Other </w:t>
            </w:r>
          </w:p>
          <w:p w14:paraId="13EF76A9"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b/>
                <w:sz w:val="20"/>
              </w:rPr>
              <w:t>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4A7DF53"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14:paraId="5F4EC863" w14:textId="77777777" w:rsidTr="0000410D">
        <w:trPr>
          <w:cantSplit/>
          <w:trHeight w:val="576"/>
        </w:trPr>
        <w:tc>
          <w:tcPr>
            <w:tcW w:w="1848" w:type="pct"/>
            <w:tcBorders>
              <w:top w:val="single" w:sz="8" w:space="0" w:color="000000"/>
            </w:tcBorders>
            <w:vAlign w:val="center"/>
          </w:tcPr>
          <w:p w14:paraId="0EA6470F"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924" w:type="pct"/>
            <w:tcBorders>
              <w:top w:val="single" w:sz="8" w:space="0" w:color="000000"/>
            </w:tcBorders>
            <w:vAlign w:val="center"/>
          </w:tcPr>
          <w:p w14:paraId="1C00BCF4" w14:textId="77777777" w:rsidR="0051298C" w:rsidRDefault="00E63490" w:rsidP="0050763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C622FE">
              <w:rPr>
                <w:sz w:val="20"/>
              </w:rPr>
              <w:t>5</w:t>
            </w:r>
          </w:p>
        </w:tc>
        <w:tc>
          <w:tcPr>
            <w:tcW w:w="761" w:type="pct"/>
            <w:tcBorders>
              <w:top w:val="single" w:sz="8" w:space="0" w:color="000000"/>
            </w:tcBorders>
            <w:vAlign w:val="center"/>
          </w:tcPr>
          <w:p w14:paraId="635DA073" w14:textId="77777777" w:rsidR="0051298C" w:rsidRDefault="00E564FB" w:rsidP="00E564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280</w:t>
            </w:r>
          </w:p>
        </w:tc>
        <w:tc>
          <w:tcPr>
            <w:tcW w:w="870" w:type="pct"/>
            <w:tcBorders>
              <w:top w:val="single" w:sz="8" w:space="0" w:color="000000"/>
            </w:tcBorders>
            <w:vAlign w:val="center"/>
          </w:tcPr>
          <w:p w14:paraId="19E14461"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45</w:t>
            </w:r>
          </w:p>
        </w:tc>
        <w:tc>
          <w:tcPr>
            <w:tcW w:w="598" w:type="pct"/>
            <w:tcBorders>
              <w:top w:val="single" w:sz="8" w:space="0" w:color="000000"/>
            </w:tcBorders>
            <w:vAlign w:val="center"/>
          </w:tcPr>
          <w:p w14:paraId="72090697" w14:textId="77777777" w:rsidR="0051298C" w:rsidRDefault="00F04099"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380</w:t>
            </w:r>
          </w:p>
        </w:tc>
      </w:tr>
      <w:tr w:rsidR="0051298C" w14:paraId="56BAC92E" w14:textId="77777777" w:rsidTr="0000410D">
        <w:trPr>
          <w:cantSplit/>
          <w:trHeight w:val="576"/>
        </w:trPr>
        <w:tc>
          <w:tcPr>
            <w:tcW w:w="1848" w:type="pct"/>
            <w:vAlign w:val="center"/>
          </w:tcPr>
          <w:p w14:paraId="6C6A6FC7"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924" w:type="pct"/>
            <w:vAlign w:val="center"/>
          </w:tcPr>
          <w:p w14:paraId="4A4F2220" w14:textId="77777777" w:rsidR="0051298C" w:rsidRDefault="00E63490" w:rsidP="00E564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w:t>
            </w:r>
            <w:r w:rsidR="0050763C">
              <w:rPr>
                <w:sz w:val="20"/>
              </w:rPr>
              <w:t>2</w:t>
            </w:r>
          </w:p>
        </w:tc>
        <w:tc>
          <w:tcPr>
            <w:tcW w:w="761" w:type="pct"/>
            <w:vAlign w:val="center"/>
          </w:tcPr>
          <w:p w14:paraId="58DCF0C7" w14:textId="77777777" w:rsidR="0051298C" w:rsidRDefault="00E564FB" w:rsidP="00E564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375</w:t>
            </w:r>
          </w:p>
        </w:tc>
        <w:tc>
          <w:tcPr>
            <w:tcW w:w="870" w:type="pct"/>
            <w:vAlign w:val="center"/>
          </w:tcPr>
          <w:p w14:paraId="2F0DE340"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w:t>
            </w:r>
          </w:p>
        </w:tc>
        <w:tc>
          <w:tcPr>
            <w:tcW w:w="598" w:type="pct"/>
            <w:vAlign w:val="center"/>
          </w:tcPr>
          <w:p w14:paraId="42D3E9BD" w14:textId="77777777" w:rsidR="0051298C" w:rsidRDefault="00F04099"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507</w:t>
            </w:r>
          </w:p>
        </w:tc>
      </w:tr>
      <w:tr w:rsidR="0051298C" w14:paraId="67CA2C99" w14:textId="77777777" w:rsidTr="0000410D">
        <w:trPr>
          <w:cantSplit/>
          <w:trHeight w:val="576"/>
        </w:trPr>
        <w:tc>
          <w:tcPr>
            <w:tcW w:w="1848" w:type="pct"/>
            <w:vAlign w:val="center"/>
          </w:tcPr>
          <w:p w14:paraId="56C4DB87"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924" w:type="pct"/>
            <w:vAlign w:val="center"/>
          </w:tcPr>
          <w:p w14:paraId="5926A082" w14:textId="77777777" w:rsidR="0051298C" w:rsidRDefault="00C622FE" w:rsidP="00E564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88</w:t>
            </w:r>
          </w:p>
        </w:tc>
        <w:tc>
          <w:tcPr>
            <w:tcW w:w="761" w:type="pct"/>
            <w:vAlign w:val="center"/>
          </w:tcPr>
          <w:p w14:paraId="39E88C98" w14:textId="77777777" w:rsidR="0051298C" w:rsidRDefault="00E564FB" w:rsidP="00E564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465</w:t>
            </w:r>
          </w:p>
        </w:tc>
        <w:tc>
          <w:tcPr>
            <w:tcW w:w="870" w:type="pct"/>
            <w:vAlign w:val="center"/>
          </w:tcPr>
          <w:p w14:paraId="2966763E" w14:textId="77777777"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75</w:t>
            </w:r>
          </w:p>
        </w:tc>
        <w:tc>
          <w:tcPr>
            <w:tcW w:w="598" w:type="pct"/>
            <w:vAlign w:val="center"/>
          </w:tcPr>
          <w:p w14:paraId="5AD2E5E3" w14:textId="77777777" w:rsidR="0051298C" w:rsidRDefault="00F04099"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628</w:t>
            </w:r>
          </w:p>
        </w:tc>
      </w:tr>
    </w:tbl>
    <w:p w14:paraId="521DE271" w14:textId="77777777" w:rsidR="0051298C" w:rsidRDefault="0051298C" w:rsidP="001548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5F84E25D" w14:textId="77777777" w:rsidR="00A25007" w:rsidRDefault="0051298C" w:rsidP="003370D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r>
    </w:p>
    <w:p w14:paraId="07ECF769" w14:textId="77777777" w:rsidR="0051298C" w:rsidRDefault="0051298C" w:rsidP="00EC4A53">
      <w:pPr>
        <w:jc w:val="center"/>
        <w:rPr>
          <w:b/>
        </w:rPr>
      </w:pPr>
      <w:r>
        <w:rPr>
          <w:b/>
        </w:rPr>
        <w:t xml:space="preserve">Table 3: State and </w:t>
      </w:r>
      <w:r w:rsidRPr="00FF0194">
        <w:rPr>
          <w:b/>
        </w:rPr>
        <w:t>Local Annual Cost</w:t>
      </w:r>
    </w:p>
    <w:p w14:paraId="28DC20A8" w14:textId="77777777"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Plan Conformity Determinations </w:t>
      </w:r>
    </w:p>
    <w:p w14:paraId="1FDD98A3" w14:textId="77777777"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w:t>
      </w:r>
    </w:p>
    <w:p w14:paraId="13356342" w14:textId="77777777"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837"/>
        <w:gridCol w:w="847"/>
        <w:gridCol w:w="1132"/>
        <w:gridCol w:w="1304"/>
        <w:gridCol w:w="1122"/>
        <w:gridCol w:w="1209"/>
        <w:gridCol w:w="1042"/>
        <w:gridCol w:w="847"/>
      </w:tblGrid>
      <w:tr w:rsidR="00321F3E" w14:paraId="731DD265" w14:textId="3FE1BAB1" w:rsidTr="00B801F9">
        <w:trPr>
          <w:cantSplit/>
        </w:trPr>
        <w:tc>
          <w:tcPr>
            <w:tcW w:w="98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22D9DBE" w14:textId="77777777"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14:paraId="2B092F6E" w14:textId="77777777"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45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2C7A43B" w14:textId="55D0C20E"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jc w:val="center"/>
              <w:rPr>
                <w:sz w:val="20"/>
              </w:rPr>
            </w:pPr>
            <w:r>
              <w:rPr>
                <w:b/>
                <w:sz w:val="20"/>
              </w:rPr>
              <w:t>Burden Hours</w:t>
            </w:r>
          </w:p>
        </w:tc>
        <w:tc>
          <w:tcPr>
            <w:tcW w:w="60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65A8F36" w14:textId="77777777" w:rsidR="001070DE" w:rsidRDefault="001070D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rPr>
                <w:b/>
                <w:sz w:val="20"/>
              </w:rPr>
            </w:pPr>
          </w:p>
          <w:p w14:paraId="04926F2C" w14:textId="4B34CC7B" w:rsidR="00321F3E" w:rsidRPr="001070D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No. of MPOs</w:t>
            </w:r>
          </w:p>
        </w:tc>
        <w:tc>
          <w:tcPr>
            <w:tcW w:w="6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88F7E3E" w14:textId="77777777"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13EAF574" w14:textId="6793C864"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Actions per Year per Respondent</w:t>
            </w:r>
          </w:p>
        </w:tc>
        <w:tc>
          <w:tcPr>
            <w:tcW w:w="60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56570B6" w14:textId="25A18976" w:rsidR="00321F3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6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E85923C" w14:textId="4395578F" w:rsidR="00321F3E" w:rsidRPr="001070D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Cost Per Hour</w:t>
            </w:r>
          </w:p>
        </w:tc>
        <w:tc>
          <w:tcPr>
            <w:tcW w:w="55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27F9257" w14:textId="534CF0B9" w:rsidR="00321F3E" w:rsidRPr="001070DE" w:rsidRDefault="00321F3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Total Annual Cost</w:t>
            </w:r>
          </w:p>
        </w:tc>
        <w:tc>
          <w:tcPr>
            <w:tcW w:w="451" w:type="pct"/>
            <w:tcBorders>
              <w:top w:val="single" w:sz="8" w:space="0" w:color="000000"/>
              <w:left w:val="single" w:sz="8" w:space="0" w:color="000000"/>
              <w:bottom w:val="single" w:sz="8" w:space="0" w:color="000000"/>
              <w:right w:val="single" w:sz="8" w:space="0" w:color="000000"/>
            </w:tcBorders>
            <w:shd w:val="clear" w:color="auto" w:fill="D9D9D9"/>
          </w:tcPr>
          <w:p w14:paraId="51CBBF42" w14:textId="77777777" w:rsidR="001070DE" w:rsidRDefault="001070DE" w:rsidP="001070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p>
          <w:p w14:paraId="51C3E8A0" w14:textId="07332CE8" w:rsidR="00321F3E" w:rsidRDefault="00321F3E"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jc w:val="center"/>
              <w:rPr>
                <w:b/>
                <w:sz w:val="20"/>
              </w:rPr>
            </w:pPr>
            <w:r>
              <w:rPr>
                <w:b/>
                <w:sz w:val="20"/>
              </w:rPr>
              <w:t xml:space="preserve">Total </w:t>
            </w:r>
            <w:r w:rsidR="001070DE">
              <w:rPr>
                <w:b/>
                <w:sz w:val="20"/>
              </w:rPr>
              <w:t>Acti</w:t>
            </w:r>
            <w:r w:rsidR="004F3D3E">
              <w:rPr>
                <w:b/>
                <w:sz w:val="20"/>
              </w:rPr>
              <w:t>o</w:t>
            </w:r>
            <w:r>
              <w:rPr>
                <w:b/>
                <w:sz w:val="20"/>
              </w:rPr>
              <w:t>ns</w:t>
            </w:r>
          </w:p>
        </w:tc>
      </w:tr>
      <w:tr w:rsidR="00321F3E" w14:paraId="46F5FD2F" w14:textId="63C0112C" w:rsidTr="00B801F9">
        <w:trPr>
          <w:cantSplit/>
          <w:trHeight w:val="576"/>
        </w:trPr>
        <w:tc>
          <w:tcPr>
            <w:tcW w:w="983" w:type="pct"/>
            <w:tcBorders>
              <w:top w:val="single" w:sz="8" w:space="0" w:color="000000"/>
            </w:tcBorders>
            <w:vAlign w:val="center"/>
          </w:tcPr>
          <w:p w14:paraId="5A1D4EC6" w14:textId="77777777" w:rsidR="00321F3E" w:rsidRDefault="00321F3E"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453" w:type="pct"/>
            <w:tcBorders>
              <w:top w:val="single" w:sz="8" w:space="0" w:color="000000"/>
            </w:tcBorders>
            <w:vAlign w:val="center"/>
          </w:tcPr>
          <w:p w14:paraId="3163E9DB" w14:textId="77777777" w:rsidR="00321F3E" w:rsidRDefault="00321F3E"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380</w:t>
            </w:r>
          </w:p>
        </w:tc>
        <w:tc>
          <w:tcPr>
            <w:tcW w:w="607" w:type="pct"/>
            <w:tcBorders>
              <w:top w:val="single" w:sz="8" w:space="0" w:color="000000"/>
            </w:tcBorders>
            <w:vAlign w:val="center"/>
          </w:tcPr>
          <w:p w14:paraId="610F4DEC" w14:textId="77777777" w:rsidR="00321F3E" w:rsidRDefault="00321F3E"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26</w:t>
            </w:r>
          </w:p>
        </w:tc>
        <w:tc>
          <w:tcPr>
            <w:tcW w:w="698" w:type="pct"/>
            <w:tcBorders>
              <w:top w:val="single" w:sz="8" w:space="0" w:color="000000"/>
            </w:tcBorders>
            <w:vAlign w:val="center"/>
          </w:tcPr>
          <w:p w14:paraId="1C3C5492" w14:textId="482CB1E8" w:rsidR="00321F3E" w:rsidRDefault="00321F3E" w:rsidP="00B81F6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601" w:type="pct"/>
            <w:tcBorders>
              <w:top w:val="single" w:sz="8" w:space="0" w:color="000000"/>
            </w:tcBorders>
            <w:vAlign w:val="center"/>
          </w:tcPr>
          <w:p w14:paraId="518526E6" w14:textId="77777777" w:rsidR="00321F3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2,470</w:t>
            </w:r>
          </w:p>
        </w:tc>
        <w:tc>
          <w:tcPr>
            <w:tcW w:w="648" w:type="pct"/>
            <w:tcBorders>
              <w:top w:val="single" w:sz="8" w:space="0" w:color="000000"/>
            </w:tcBorders>
            <w:vAlign w:val="center"/>
          </w:tcPr>
          <w:p w14:paraId="7C3238CB" w14:textId="77777777" w:rsidR="00321F3E" w:rsidRPr="00DB62BE" w:rsidRDefault="00321F3E"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w:t>
            </w:r>
            <w:r>
              <w:rPr>
                <w:sz w:val="20"/>
              </w:rPr>
              <w:t>59.40</w:t>
            </w:r>
            <w:r>
              <w:rPr>
                <w:rStyle w:val="FootnoteReference"/>
                <w:sz w:val="20"/>
              </w:rPr>
              <w:footnoteReference w:id="23"/>
            </w:r>
          </w:p>
        </w:tc>
        <w:tc>
          <w:tcPr>
            <w:tcW w:w="558" w:type="pct"/>
            <w:tcBorders>
              <w:top w:val="single" w:sz="8" w:space="0" w:color="000000"/>
            </w:tcBorders>
            <w:vAlign w:val="center"/>
          </w:tcPr>
          <w:p w14:paraId="2DB9AB86" w14:textId="77777777" w:rsidR="00321F3E" w:rsidRPr="00DB62BE" w:rsidRDefault="00321F3E"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$146,718</w:t>
            </w:r>
          </w:p>
        </w:tc>
        <w:tc>
          <w:tcPr>
            <w:tcW w:w="451" w:type="pct"/>
            <w:tcBorders>
              <w:top w:val="single" w:sz="8" w:space="0" w:color="000000"/>
            </w:tcBorders>
          </w:tcPr>
          <w:p w14:paraId="5A5FB706" w14:textId="655CAC9C" w:rsidR="00321F3E"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6.5</w:t>
            </w:r>
          </w:p>
        </w:tc>
      </w:tr>
      <w:tr w:rsidR="00321F3E" w14:paraId="49614CCA" w14:textId="24FD4C8E" w:rsidTr="00B801F9">
        <w:trPr>
          <w:cantSplit/>
          <w:trHeight w:val="576"/>
        </w:trPr>
        <w:tc>
          <w:tcPr>
            <w:tcW w:w="983" w:type="pct"/>
            <w:vAlign w:val="center"/>
          </w:tcPr>
          <w:p w14:paraId="65FED52E" w14:textId="77777777" w:rsidR="00321F3E" w:rsidRDefault="00321F3E"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453" w:type="pct"/>
            <w:vAlign w:val="center"/>
          </w:tcPr>
          <w:p w14:paraId="7C452F22" w14:textId="77777777" w:rsidR="00321F3E" w:rsidRDefault="00321F3E"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507</w:t>
            </w:r>
          </w:p>
        </w:tc>
        <w:tc>
          <w:tcPr>
            <w:tcW w:w="607" w:type="pct"/>
            <w:vAlign w:val="center"/>
          </w:tcPr>
          <w:p w14:paraId="052E1B00" w14:textId="77777777" w:rsidR="00321F3E" w:rsidRDefault="00321F3E"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c>
          <w:tcPr>
            <w:tcW w:w="698" w:type="pct"/>
            <w:vAlign w:val="center"/>
          </w:tcPr>
          <w:p w14:paraId="0F6AEB46" w14:textId="75B1E772" w:rsidR="00321F3E" w:rsidRDefault="00321F3E" w:rsidP="00B81F6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601" w:type="pct"/>
            <w:vAlign w:val="center"/>
          </w:tcPr>
          <w:p w14:paraId="13D09C59" w14:textId="77777777" w:rsidR="00321F3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2,788</w:t>
            </w:r>
          </w:p>
        </w:tc>
        <w:tc>
          <w:tcPr>
            <w:tcW w:w="648" w:type="pct"/>
            <w:vAlign w:val="center"/>
          </w:tcPr>
          <w:p w14:paraId="450AB37C" w14:textId="77777777" w:rsidR="00321F3E" w:rsidRPr="00DB62BE" w:rsidRDefault="00321F3E"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w:t>
            </w:r>
            <w:r>
              <w:rPr>
                <w:sz w:val="20"/>
              </w:rPr>
              <w:t>59.40</w:t>
            </w:r>
          </w:p>
        </w:tc>
        <w:tc>
          <w:tcPr>
            <w:tcW w:w="558" w:type="pct"/>
            <w:vAlign w:val="center"/>
          </w:tcPr>
          <w:p w14:paraId="46947BE1" w14:textId="77777777" w:rsidR="00321F3E" w:rsidRPr="00DB62B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$165,607</w:t>
            </w:r>
          </w:p>
        </w:tc>
        <w:tc>
          <w:tcPr>
            <w:tcW w:w="451" w:type="pct"/>
          </w:tcPr>
          <w:p w14:paraId="246EA23A" w14:textId="49AF0570" w:rsidR="00321F3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5.5</w:t>
            </w:r>
          </w:p>
        </w:tc>
      </w:tr>
      <w:tr w:rsidR="00321F3E" w14:paraId="33C61CAF" w14:textId="43525F37" w:rsidTr="00B801F9">
        <w:trPr>
          <w:cantSplit/>
          <w:trHeight w:val="576"/>
        </w:trPr>
        <w:tc>
          <w:tcPr>
            <w:tcW w:w="983" w:type="pct"/>
            <w:vAlign w:val="center"/>
          </w:tcPr>
          <w:p w14:paraId="34CBCA5C" w14:textId="77777777" w:rsidR="00321F3E" w:rsidRDefault="00321F3E"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453" w:type="pct"/>
            <w:vAlign w:val="center"/>
          </w:tcPr>
          <w:p w14:paraId="091EF142" w14:textId="77777777" w:rsidR="00321F3E" w:rsidRDefault="00321F3E" w:rsidP="00F040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628</w:t>
            </w:r>
          </w:p>
        </w:tc>
        <w:tc>
          <w:tcPr>
            <w:tcW w:w="607" w:type="pct"/>
            <w:vAlign w:val="center"/>
          </w:tcPr>
          <w:p w14:paraId="031A2F8C" w14:textId="77777777" w:rsidR="00321F3E" w:rsidRDefault="00321F3E"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p>
        </w:tc>
        <w:tc>
          <w:tcPr>
            <w:tcW w:w="698" w:type="pct"/>
            <w:vAlign w:val="center"/>
          </w:tcPr>
          <w:p w14:paraId="498607C6" w14:textId="4508FC45" w:rsidR="00321F3E" w:rsidRDefault="00321F3E" w:rsidP="00B81F6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601" w:type="pct"/>
            <w:vAlign w:val="center"/>
          </w:tcPr>
          <w:p w14:paraId="35E506E1" w14:textId="77777777" w:rsidR="00321F3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12,246</w:t>
            </w:r>
          </w:p>
        </w:tc>
        <w:tc>
          <w:tcPr>
            <w:tcW w:w="648" w:type="pct"/>
            <w:vAlign w:val="center"/>
          </w:tcPr>
          <w:p w14:paraId="2E45B850" w14:textId="77777777" w:rsidR="00321F3E" w:rsidRPr="00DB62BE" w:rsidRDefault="00321F3E"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w:t>
            </w:r>
            <w:r>
              <w:rPr>
                <w:sz w:val="20"/>
              </w:rPr>
              <w:t>59.40</w:t>
            </w:r>
          </w:p>
        </w:tc>
        <w:tc>
          <w:tcPr>
            <w:tcW w:w="558" w:type="pct"/>
            <w:vAlign w:val="center"/>
          </w:tcPr>
          <w:p w14:paraId="43BC8EFB" w14:textId="77777777" w:rsidR="00321F3E" w:rsidRPr="00DB62B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$727,412</w:t>
            </w:r>
          </w:p>
        </w:tc>
        <w:tc>
          <w:tcPr>
            <w:tcW w:w="451" w:type="pct"/>
          </w:tcPr>
          <w:p w14:paraId="4A1B9A25" w14:textId="5A707A32" w:rsidR="00321F3E" w:rsidRDefault="00321F3E" w:rsidP="0064534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19.5</w:t>
            </w:r>
          </w:p>
        </w:tc>
      </w:tr>
    </w:tbl>
    <w:p w14:paraId="524735D2" w14:textId="77777777" w:rsidR="0051298C" w:rsidRDefault="0051298C" w:rsidP="001548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b/>
          <w:sz w:val="20"/>
        </w:rPr>
      </w:pPr>
      <w:r w:rsidRPr="00A423C1">
        <w:rPr>
          <w:b/>
          <w:sz w:val="20"/>
        </w:rPr>
        <w:t xml:space="preserve">Total for All Transportation Plan Actions: </w:t>
      </w:r>
      <w:r w:rsidR="00A86A2F">
        <w:rPr>
          <w:b/>
          <w:sz w:val="20"/>
        </w:rPr>
        <w:t>17,504</w:t>
      </w:r>
      <w:r w:rsidR="003228D9">
        <w:rPr>
          <w:b/>
          <w:sz w:val="20"/>
        </w:rPr>
        <w:t xml:space="preserve"> </w:t>
      </w:r>
      <w:r w:rsidR="003228D9" w:rsidRPr="00A423C1">
        <w:rPr>
          <w:b/>
          <w:sz w:val="20"/>
        </w:rPr>
        <w:t>hours</w:t>
      </w:r>
      <w:r w:rsidRPr="00A423C1">
        <w:rPr>
          <w:b/>
          <w:sz w:val="20"/>
        </w:rPr>
        <w:t>/year x $</w:t>
      </w:r>
      <w:r>
        <w:rPr>
          <w:b/>
          <w:sz w:val="20"/>
        </w:rPr>
        <w:t>5</w:t>
      </w:r>
      <w:r w:rsidR="00C36414">
        <w:rPr>
          <w:b/>
          <w:sz w:val="20"/>
        </w:rPr>
        <w:t>9</w:t>
      </w:r>
      <w:r>
        <w:rPr>
          <w:b/>
          <w:sz w:val="20"/>
        </w:rPr>
        <w:t>.</w:t>
      </w:r>
      <w:r w:rsidR="00C36414">
        <w:rPr>
          <w:b/>
          <w:sz w:val="20"/>
        </w:rPr>
        <w:t>40</w:t>
      </w:r>
      <w:r w:rsidRPr="00A423C1">
        <w:rPr>
          <w:b/>
          <w:sz w:val="20"/>
        </w:rPr>
        <w:t xml:space="preserve">/hour = </w:t>
      </w:r>
      <w:r>
        <w:rPr>
          <w:b/>
          <w:sz w:val="20"/>
        </w:rPr>
        <w:t>$</w:t>
      </w:r>
      <w:r w:rsidR="00450C3C">
        <w:rPr>
          <w:b/>
          <w:sz w:val="20"/>
        </w:rPr>
        <w:t>1,039,738</w:t>
      </w:r>
      <w:r>
        <w:rPr>
          <w:b/>
          <w:sz w:val="20"/>
        </w:rPr>
        <w:t>/year</w:t>
      </w:r>
    </w:p>
    <w:p w14:paraId="10E8A7BD" w14:textId="77777777" w:rsidR="0051298C" w:rsidRDefault="0051298C" w:rsidP="00E9295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14:paraId="4877A718"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1522EB8"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8D70B02"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CCE0E1D"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80045D3"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D83A0F2"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DC22FF6"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DB6FE95" w14:textId="77777777" w:rsidR="003939ED" w:rsidRDefault="003939ED"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0516AAE" w14:textId="77777777"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4: State and Local Burden Hours </w:t>
      </w:r>
    </w:p>
    <w:p w14:paraId="1E7652CE" w14:textId="77777777"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TIP Conformity Determination</w:t>
      </w:r>
    </w:p>
    <w:p w14:paraId="3C536827" w14:textId="77777777"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w:t>
      </w:r>
    </w:p>
    <w:p w14:paraId="66CF664C" w14:textId="77777777"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3452"/>
        <w:gridCol w:w="1726"/>
        <w:gridCol w:w="1422"/>
        <w:gridCol w:w="1625"/>
        <w:gridCol w:w="1115"/>
      </w:tblGrid>
      <w:tr w:rsidR="0051298C" w14:paraId="43F2234D" w14:textId="77777777"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D947269"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14:paraId="02F60934"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3CBC850" w14:textId="77777777"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BD0764A" w14:textId="77777777"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756BB76" w14:textId="77777777"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562A21D" w14:textId="77777777"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14:paraId="0531ECE3" w14:textId="77777777" w:rsidTr="00B648A4">
        <w:trPr>
          <w:cantSplit/>
          <w:trHeight w:val="576"/>
        </w:trPr>
        <w:tc>
          <w:tcPr>
            <w:tcW w:w="1848" w:type="pct"/>
            <w:tcBorders>
              <w:top w:val="single" w:sz="8" w:space="0" w:color="000000"/>
            </w:tcBorders>
            <w:vAlign w:val="center"/>
          </w:tcPr>
          <w:p w14:paraId="3B4128F9"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924" w:type="pct"/>
            <w:tcBorders>
              <w:top w:val="single" w:sz="8" w:space="0" w:color="000000"/>
            </w:tcBorders>
            <w:vAlign w:val="center"/>
          </w:tcPr>
          <w:p w14:paraId="4DCDB6CB" w14:textId="77777777" w:rsidR="0051298C" w:rsidRDefault="003A4132"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w:t>
            </w:r>
            <w:r w:rsidR="005521AA">
              <w:rPr>
                <w:sz w:val="20"/>
              </w:rPr>
              <w:t>4</w:t>
            </w:r>
          </w:p>
        </w:tc>
        <w:tc>
          <w:tcPr>
            <w:tcW w:w="761" w:type="pct"/>
            <w:tcBorders>
              <w:top w:val="single" w:sz="8" w:space="0" w:color="000000"/>
            </w:tcBorders>
            <w:vAlign w:val="center"/>
          </w:tcPr>
          <w:p w14:paraId="67EA5785"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280</w:t>
            </w:r>
          </w:p>
        </w:tc>
        <w:tc>
          <w:tcPr>
            <w:tcW w:w="870" w:type="pct"/>
            <w:tcBorders>
              <w:top w:val="single" w:sz="8" w:space="0" w:color="000000"/>
            </w:tcBorders>
            <w:vAlign w:val="center"/>
          </w:tcPr>
          <w:p w14:paraId="242C77FD"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45</w:t>
            </w:r>
          </w:p>
        </w:tc>
        <w:tc>
          <w:tcPr>
            <w:tcW w:w="598" w:type="pct"/>
            <w:tcBorders>
              <w:top w:val="single" w:sz="8" w:space="0" w:color="000000"/>
            </w:tcBorders>
            <w:vAlign w:val="center"/>
          </w:tcPr>
          <w:p w14:paraId="5903E340"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369</w:t>
            </w:r>
          </w:p>
        </w:tc>
      </w:tr>
      <w:tr w:rsidR="0051298C" w14:paraId="67686C60" w14:textId="77777777" w:rsidTr="00B648A4">
        <w:trPr>
          <w:cantSplit/>
          <w:trHeight w:val="576"/>
        </w:trPr>
        <w:tc>
          <w:tcPr>
            <w:tcW w:w="1848" w:type="pct"/>
            <w:vAlign w:val="center"/>
          </w:tcPr>
          <w:p w14:paraId="675983C0"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924" w:type="pct"/>
            <w:vAlign w:val="center"/>
          </w:tcPr>
          <w:p w14:paraId="70203AEF" w14:textId="77777777" w:rsidR="0051298C" w:rsidRDefault="00082506"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5521AA">
              <w:rPr>
                <w:sz w:val="20"/>
              </w:rPr>
              <w:t>5</w:t>
            </w:r>
          </w:p>
        </w:tc>
        <w:tc>
          <w:tcPr>
            <w:tcW w:w="761" w:type="pct"/>
            <w:vAlign w:val="center"/>
          </w:tcPr>
          <w:p w14:paraId="1F81C907"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375</w:t>
            </w:r>
          </w:p>
        </w:tc>
        <w:tc>
          <w:tcPr>
            <w:tcW w:w="870" w:type="pct"/>
            <w:vAlign w:val="center"/>
          </w:tcPr>
          <w:p w14:paraId="5109E217"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w:t>
            </w:r>
          </w:p>
        </w:tc>
        <w:tc>
          <w:tcPr>
            <w:tcW w:w="598" w:type="pct"/>
            <w:vAlign w:val="center"/>
          </w:tcPr>
          <w:p w14:paraId="03337050"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490</w:t>
            </w:r>
          </w:p>
        </w:tc>
      </w:tr>
      <w:tr w:rsidR="0051298C" w14:paraId="1CD77469" w14:textId="77777777" w:rsidTr="00B648A4">
        <w:trPr>
          <w:cantSplit/>
          <w:trHeight w:val="576"/>
        </w:trPr>
        <w:tc>
          <w:tcPr>
            <w:tcW w:w="1848" w:type="pct"/>
            <w:vAlign w:val="center"/>
          </w:tcPr>
          <w:p w14:paraId="2C128B60"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924" w:type="pct"/>
            <w:vAlign w:val="center"/>
          </w:tcPr>
          <w:p w14:paraId="5E79ACF4" w14:textId="77777777" w:rsidR="0051298C" w:rsidRDefault="00082506"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r w:rsidR="003A4132">
              <w:rPr>
                <w:sz w:val="20"/>
              </w:rPr>
              <w:t>6</w:t>
            </w:r>
          </w:p>
        </w:tc>
        <w:tc>
          <w:tcPr>
            <w:tcW w:w="761" w:type="pct"/>
            <w:vAlign w:val="center"/>
          </w:tcPr>
          <w:p w14:paraId="7CECE6A0"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465</w:t>
            </w:r>
          </w:p>
        </w:tc>
        <w:tc>
          <w:tcPr>
            <w:tcW w:w="870" w:type="pct"/>
            <w:vAlign w:val="center"/>
          </w:tcPr>
          <w:p w14:paraId="27588E19"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75</w:t>
            </w:r>
          </w:p>
        </w:tc>
        <w:tc>
          <w:tcPr>
            <w:tcW w:w="598" w:type="pct"/>
            <w:vAlign w:val="center"/>
          </w:tcPr>
          <w:p w14:paraId="0B50263C"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606</w:t>
            </w:r>
          </w:p>
        </w:tc>
      </w:tr>
    </w:tbl>
    <w:p w14:paraId="1099A4DB" w14:textId="77777777" w:rsidR="00DA7ACA" w:rsidRDefault="00DA7ACA" w:rsidP="0034531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1562EB0" w14:textId="77777777" w:rsidR="004C2C60" w:rsidRDefault="004C2C60" w:rsidP="0034531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249FA92" w14:textId="77777777" w:rsidR="0051298C" w:rsidRDefault="0051298C" w:rsidP="00EC4A53">
      <w:pPr>
        <w:jc w:val="center"/>
        <w:rPr>
          <w:b/>
        </w:rPr>
      </w:pPr>
      <w:r>
        <w:rPr>
          <w:b/>
        </w:rPr>
        <w:t>Table 5: State and Local Annual Cost</w:t>
      </w:r>
    </w:p>
    <w:p w14:paraId="3B1E646B" w14:textId="77777777"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TIP Conformity Determinations </w:t>
      </w:r>
    </w:p>
    <w:p w14:paraId="17FF2B40" w14:textId="77777777" w:rsidR="0051298C" w:rsidRDefault="00EA5B55"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B</w:t>
      </w:r>
      <w:r w:rsidR="0051298C">
        <w:rPr>
          <w:b/>
        </w:rPr>
        <w:t>y</w:t>
      </w:r>
      <w:r>
        <w:rPr>
          <w:b/>
        </w:rPr>
        <w:t xml:space="preserve"> </w:t>
      </w:r>
      <w:r w:rsidR="0051298C">
        <w:rPr>
          <w:b/>
        </w:rPr>
        <w:t>MPO – Population of 200,000 or More</w:t>
      </w:r>
    </w:p>
    <w:p w14:paraId="332AE994" w14:textId="77777777"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504"/>
        <w:gridCol w:w="937"/>
        <w:gridCol w:w="837"/>
        <w:gridCol w:w="1304"/>
        <w:gridCol w:w="937"/>
        <w:gridCol w:w="842"/>
        <w:gridCol w:w="1042"/>
        <w:gridCol w:w="937"/>
      </w:tblGrid>
      <w:tr w:rsidR="00321F3E" w14:paraId="0C78222A" w14:textId="209D7EC6" w:rsidTr="00B801F9">
        <w:trPr>
          <w:cantSplit/>
        </w:trPr>
        <w:tc>
          <w:tcPr>
            <w:tcW w:w="136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04F9681"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84D8E21"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14:paraId="32527BD4"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sidRPr="00F750F8">
              <w:rPr>
                <w:b/>
                <w:sz w:val="20"/>
              </w:rPr>
              <w:t>Demonstrating Conformity For</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16546D0" w14:textId="77777777" w:rsidR="00321F3E" w:rsidRDefault="00321F3E" w:rsidP="00D959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Burden Hours</w:t>
            </w:r>
          </w:p>
        </w:tc>
        <w:tc>
          <w:tcPr>
            <w:tcW w:w="4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55A6863"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38637B1A"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MPOs</w:t>
            </w:r>
          </w:p>
        </w:tc>
        <w:tc>
          <w:tcPr>
            <w:tcW w:w="6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B7665D1"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682CE6CE" w14:textId="45813D4B"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Actions per Year per Respondent</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D9F4B8C"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45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322041E"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Cost Per Hour</w:t>
            </w:r>
          </w:p>
        </w:tc>
        <w:tc>
          <w:tcPr>
            <w:tcW w:w="55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B04A699"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Cost</w:t>
            </w:r>
          </w:p>
        </w:tc>
        <w:tc>
          <w:tcPr>
            <w:tcW w:w="476" w:type="pct"/>
            <w:tcBorders>
              <w:top w:val="single" w:sz="8" w:space="0" w:color="000000"/>
              <w:left w:val="single" w:sz="8" w:space="0" w:color="000000"/>
              <w:bottom w:val="single" w:sz="8" w:space="0" w:color="000000"/>
              <w:right w:val="single" w:sz="8" w:space="0" w:color="000000"/>
            </w:tcBorders>
            <w:shd w:val="clear" w:color="auto" w:fill="D9D9D9"/>
          </w:tcPr>
          <w:p w14:paraId="2F56CC64" w14:textId="77777777" w:rsidR="00F70A7D" w:rsidRDefault="00F70A7D"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p>
          <w:p w14:paraId="2FEBEB80" w14:textId="77777777" w:rsidR="00F70A7D" w:rsidRDefault="00F70A7D"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p>
          <w:p w14:paraId="5515439A" w14:textId="60E48EF2" w:rsidR="00321F3E" w:rsidRDefault="00321F3E"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Total Actions</w:t>
            </w:r>
          </w:p>
        </w:tc>
      </w:tr>
      <w:tr w:rsidR="00321F3E" w14:paraId="4EC225F2" w14:textId="2BCF4456" w:rsidTr="00B801F9">
        <w:trPr>
          <w:cantSplit/>
          <w:trHeight w:val="576"/>
        </w:trPr>
        <w:tc>
          <w:tcPr>
            <w:tcW w:w="1366" w:type="pct"/>
            <w:tcBorders>
              <w:top w:val="single" w:sz="8" w:space="0" w:color="000000"/>
            </w:tcBorders>
            <w:vAlign w:val="center"/>
          </w:tcPr>
          <w:p w14:paraId="77C362EC" w14:textId="77777777" w:rsidR="00321F3E" w:rsidRDefault="00321F3E"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502" w:type="pct"/>
            <w:tcBorders>
              <w:top w:val="single" w:sz="8" w:space="0" w:color="000000"/>
            </w:tcBorders>
            <w:vAlign w:val="center"/>
          </w:tcPr>
          <w:p w14:paraId="1DB6E462"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369</w:t>
            </w:r>
          </w:p>
        </w:tc>
        <w:tc>
          <w:tcPr>
            <w:tcW w:w="448" w:type="pct"/>
            <w:tcBorders>
              <w:top w:val="single" w:sz="8" w:space="0" w:color="000000"/>
            </w:tcBorders>
            <w:vAlign w:val="center"/>
          </w:tcPr>
          <w:p w14:paraId="0C6445C4"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26</w:t>
            </w:r>
          </w:p>
        </w:tc>
        <w:tc>
          <w:tcPr>
            <w:tcW w:w="698" w:type="pct"/>
            <w:tcBorders>
              <w:top w:val="single" w:sz="8" w:space="0" w:color="000000"/>
            </w:tcBorders>
            <w:vAlign w:val="center"/>
          </w:tcPr>
          <w:p w14:paraId="7DD53296" w14:textId="7DEDDA8D" w:rsidR="00321F3E" w:rsidRDefault="004F3D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502" w:type="pct"/>
            <w:tcBorders>
              <w:top w:val="single" w:sz="8" w:space="0" w:color="000000"/>
            </w:tcBorders>
            <w:vAlign w:val="center"/>
          </w:tcPr>
          <w:p w14:paraId="7702A225"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2,399</w:t>
            </w:r>
          </w:p>
        </w:tc>
        <w:tc>
          <w:tcPr>
            <w:tcW w:w="451" w:type="pct"/>
            <w:tcBorders>
              <w:top w:val="single" w:sz="8" w:space="0" w:color="000000"/>
            </w:tcBorders>
            <w:vAlign w:val="center"/>
          </w:tcPr>
          <w:p w14:paraId="3B1356CF"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$59.40</w:t>
            </w:r>
          </w:p>
        </w:tc>
        <w:tc>
          <w:tcPr>
            <w:tcW w:w="558" w:type="pct"/>
            <w:tcBorders>
              <w:top w:val="single" w:sz="8" w:space="0" w:color="000000"/>
            </w:tcBorders>
            <w:vAlign w:val="center"/>
          </w:tcPr>
          <w:p w14:paraId="6FF6164B"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$142,501</w:t>
            </w:r>
          </w:p>
        </w:tc>
        <w:tc>
          <w:tcPr>
            <w:tcW w:w="476" w:type="pct"/>
            <w:tcBorders>
              <w:top w:val="single" w:sz="8" w:space="0" w:color="000000"/>
            </w:tcBorders>
          </w:tcPr>
          <w:p w14:paraId="497D6578" w14:textId="3B4CCB5B" w:rsidR="00321F3E" w:rsidRDefault="00321F3E"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jc w:val="center"/>
              <w:rPr>
                <w:sz w:val="20"/>
              </w:rPr>
            </w:pPr>
            <w:r>
              <w:rPr>
                <w:sz w:val="20"/>
              </w:rPr>
              <w:t>6.5</w:t>
            </w:r>
          </w:p>
        </w:tc>
      </w:tr>
      <w:tr w:rsidR="00321F3E" w14:paraId="20308FC6" w14:textId="6AAA7858" w:rsidTr="00B801F9">
        <w:trPr>
          <w:cantSplit/>
          <w:trHeight w:val="576"/>
        </w:trPr>
        <w:tc>
          <w:tcPr>
            <w:tcW w:w="1366" w:type="pct"/>
            <w:vAlign w:val="center"/>
          </w:tcPr>
          <w:p w14:paraId="09368192" w14:textId="77777777" w:rsidR="00321F3E" w:rsidRDefault="00321F3E"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502" w:type="pct"/>
            <w:vAlign w:val="center"/>
          </w:tcPr>
          <w:p w14:paraId="0B156A8D"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490</w:t>
            </w:r>
          </w:p>
        </w:tc>
        <w:tc>
          <w:tcPr>
            <w:tcW w:w="448" w:type="pct"/>
            <w:vAlign w:val="center"/>
          </w:tcPr>
          <w:p w14:paraId="4FA552A7"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c>
          <w:tcPr>
            <w:tcW w:w="698" w:type="pct"/>
            <w:vAlign w:val="center"/>
          </w:tcPr>
          <w:p w14:paraId="1460A9B0" w14:textId="340B7B99" w:rsidR="00321F3E" w:rsidRDefault="004F3D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502" w:type="pct"/>
            <w:vAlign w:val="center"/>
          </w:tcPr>
          <w:p w14:paraId="5B5A7052"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2,695</w:t>
            </w:r>
          </w:p>
        </w:tc>
        <w:tc>
          <w:tcPr>
            <w:tcW w:w="451" w:type="pct"/>
            <w:vAlign w:val="center"/>
          </w:tcPr>
          <w:p w14:paraId="3793DA26"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$59.40</w:t>
            </w:r>
          </w:p>
        </w:tc>
        <w:tc>
          <w:tcPr>
            <w:tcW w:w="558" w:type="pct"/>
            <w:vAlign w:val="center"/>
          </w:tcPr>
          <w:p w14:paraId="3E24ADE9"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$160,083</w:t>
            </w:r>
          </w:p>
        </w:tc>
        <w:tc>
          <w:tcPr>
            <w:tcW w:w="476" w:type="pct"/>
          </w:tcPr>
          <w:p w14:paraId="28D7BA50" w14:textId="0C223C0D"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5.5</w:t>
            </w:r>
          </w:p>
        </w:tc>
      </w:tr>
      <w:tr w:rsidR="00321F3E" w14:paraId="7E1470AF" w14:textId="77134994" w:rsidTr="00B801F9">
        <w:trPr>
          <w:cantSplit/>
          <w:trHeight w:val="576"/>
        </w:trPr>
        <w:tc>
          <w:tcPr>
            <w:tcW w:w="1366" w:type="pct"/>
            <w:vAlign w:val="center"/>
          </w:tcPr>
          <w:p w14:paraId="02086764" w14:textId="77777777" w:rsidR="00321F3E" w:rsidRDefault="00321F3E"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502" w:type="pct"/>
            <w:vAlign w:val="center"/>
          </w:tcPr>
          <w:p w14:paraId="17730D3F"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606</w:t>
            </w:r>
          </w:p>
        </w:tc>
        <w:tc>
          <w:tcPr>
            <w:tcW w:w="448" w:type="pct"/>
            <w:vAlign w:val="center"/>
          </w:tcPr>
          <w:p w14:paraId="33CFD9EB"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p>
        </w:tc>
        <w:tc>
          <w:tcPr>
            <w:tcW w:w="698" w:type="pct"/>
            <w:vAlign w:val="center"/>
          </w:tcPr>
          <w:p w14:paraId="47E7E769" w14:textId="1A182B7B" w:rsidR="00321F3E" w:rsidRDefault="004F3D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502" w:type="pct"/>
            <w:vAlign w:val="center"/>
          </w:tcPr>
          <w:p w14:paraId="26A57539" w14:textId="77777777"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11,817</w:t>
            </w:r>
          </w:p>
        </w:tc>
        <w:tc>
          <w:tcPr>
            <w:tcW w:w="451" w:type="pct"/>
            <w:vAlign w:val="center"/>
          </w:tcPr>
          <w:p w14:paraId="348EC986"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$59.40</w:t>
            </w:r>
          </w:p>
        </w:tc>
        <w:tc>
          <w:tcPr>
            <w:tcW w:w="558" w:type="pct"/>
            <w:vAlign w:val="center"/>
          </w:tcPr>
          <w:p w14:paraId="64D5EDE6" w14:textId="77777777" w:rsidR="00321F3E" w:rsidRPr="00DB62B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$701,930</w:t>
            </w:r>
          </w:p>
        </w:tc>
        <w:tc>
          <w:tcPr>
            <w:tcW w:w="476" w:type="pct"/>
          </w:tcPr>
          <w:p w14:paraId="39FAADA6" w14:textId="186677F8" w:rsidR="00321F3E" w:rsidRDefault="00321F3E" w:rsidP="00B801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19.5</w:t>
            </w:r>
          </w:p>
        </w:tc>
      </w:tr>
    </w:tbl>
    <w:p w14:paraId="7133EB7F" w14:textId="77777777" w:rsidR="0051298C" w:rsidRDefault="0051298C"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pPr>
      <w:r w:rsidRPr="00A423C1">
        <w:rPr>
          <w:b/>
          <w:sz w:val="20"/>
        </w:rPr>
        <w:t xml:space="preserve">Total for All </w:t>
      </w:r>
      <w:r>
        <w:rPr>
          <w:b/>
          <w:sz w:val="20"/>
        </w:rPr>
        <w:t xml:space="preserve">TIP Actions: </w:t>
      </w:r>
      <w:r w:rsidR="00450C3C">
        <w:rPr>
          <w:b/>
          <w:sz w:val="20"/>
        </w:rPr>
        <w:t>16,911</w:t>
      </w:r>
      <w:r>
        <w:rPr>
          <w:b/>
          <w:sz w:val="20"/>
        </w:rPr>
        <w:t xml:space="preserve"> </w:t>
      </w:r>
      <w:r w:rsidRPr="00A423C1">
        <w:rPr>
          <w:b/>
          <w:sz w:val="20"/>
        </w:rPr>
        <w:t>hours/year x $</w:t>
      </w:r>
      <w:r w:rsidR="00C36414">
        <w:rPr>
          <w:b/>
          <w:sz w:val="20"/>
        </w:rPr>
        <w:t>59.40</w:t>
      </w:r>
      <w:r>
        <w:rPr>
          <w:b/>
          <w:sz w:val="20"/>
        </w:rPr>
        <w:t xml:space="preserve"> </w:t>
      </w:r>
      <w:r w:rsidRPr="00A423C1">
        <w:rPr>
          <w:b/>
          <w:sz w:val="20"/>
        </w:rPr>
        <w:t xml:space="preserve">/hour = </w:t>
      </w:r>
      <w:r>
        <w:rPr>
          <w:b/>
          <w:sz w:val="20"/>
        </w:rPr>
        <w:t>$</w:t>
      </w:r>
      <w:r w:rsidR="00450C3C">
        <w:rPr>
          <w:b/>
          <w:sz w:val="20"/>
        </w:rPr>
        <w:t>1,004,514</w:t>
      </w:r>
      <w:r w:rsidRPr="00A423C1">
        <w:rPr>
          <w:b/>
          <w:sz w:val="20"/>
        </w:rPr>
        <w:t>/year</w:t>
      </w:r>
      <w:r w:rsidRPr="00A423C1">
        <w:rPr>
          <w:sz w:val="20"/>
        </w:rPr>
        <w:t xml:space="preserve">  </w:t>
      </w:r>
    </w:p>
    <w:p w14:paraId="6FDE6623" w14:textId="77777777"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201486C" w14:textId="77777777" w:rsidR="0074493F" w:rsidRDefault="0074493F"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6442CE1"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07A7ED1"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65FF1EA"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9D07D9E"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E6FE78B"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612B4D5"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6B03A9A"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1C4FD03"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D2B387B"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E2278BC"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B7EAB07"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573E024" w14:textId="77777777" w:rsidR="003939ED" w:rsidRDefault="003939ED"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D508D28"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6: State and Local Burden Hours </w:t>
      </w:r>
    </w:p>
    <w:p w14:paraId="164431BE"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 and TIP Conformity Determination</w:t>
      </w:r>
    </w:p>
    <w:p w14:paraId="51350364"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Between 50,000-200,000</w:t>
      </w:r>
    </w:p>
    <w:p w14:paraId="79CFE419"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3452"/>
        <w:gridCol w:w="1726"/>
        <w:gridCol w:w="1422"/>
        <w:gridCol w:w="1625"/>
        <w:gridCol w:w="1115"/>
      </w:tblGrid>
      <w:tr w:rsidR="0051298C" w14:paraId="1A0A5716" w14:textId="77777777"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76E8BF1"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14:paraId="26FB75F1"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7E86CC7"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4AA1DA0C"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E36CA56"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6FD2620"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8AC6E25"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14:paraId="00DE69A2" w14:textId="77777777" w:rsidTr="00B648A4">
        <w:trPr>
          <w:cantSplit/>
          <w:trHeight w:val="576"/>
        </w:trPr>
        <w:tc>
          <w:tcPr>
            <w:tcW w:w="1848" w:type="pct"/>
            <w:tcBorders>
              <w:top w:val="single" w:sz="8" w:space="0" w:color="000000"/>
            </w:tcBorders>
            <w:vAlign w:val="center"/>
          </w:tcPr>
          <w:p w14:paraId="19BBB213"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One Pollutant/NAAQS</w:t>
            </w:r>
          </w:p>
        </w:tc>
        <w:tc>
          <w:tcPr>
            <w:tcW w:w="924" w:type="pct"/>
            <w:tcBorders>
              <w:top w:val="single" w:sz="8" w:space="0" w:color="000000"/>
            </w:tcBorders>
            <w:vAlign w:val="center"/>
          </w:tcPr>
          <w:p w14:paraId="50AB3687" w14:textId="77777777" w:rsidR="0051298C" w:rsidRDefault="00B31833"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50</w:t>
            </w:r>
          </w:p>
        </w:tc>
        <w:tc>
          <w:tcPr>
            <w:tcW w:w="761" w:type="pct"/>
            <w:tcBorders>
              <w:top w:val="single" w:sz="8" w:space="0" w:color="000000"/>
            </w:tcBorders>
            <w:vAlign w:val="center"/>
          </w:tcPr>
          <w:p w14:paraId="5357B8A7"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120</w:t>
            </w:r>
          </w:p>
        </w:tc>
        <w:tc>
          <w:tcPr>
            <w:tcW w:w="870" w:type="pct"/>
            <w:tcBorders>
              <w:top w:val="single" w:sz="8" w:space="0" w:color="000000"/>
            </w:tcBorders>
            <w:vAlign w:val="center"/>
          </w:tcPr>
          <w:p w14:paraId="6753AFD0"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30</w:t>
            </w:r>
          </w:p>
        </w:tc>
        <w:tc>
          <w:tcPr>
            <w:tcW w:w="598" w:type="pct"/>
            <w:tcBorders>
              <w:top w:val="single" w:sz="8" w:space="0" w:color="000000"/>
            </w:tcBorders>
            <w:vAlign w:val="center"/>
          </w:tcPr>
          <w:p w14:paraId="108CB3E7"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200</w:t>
            </w:r>
          </w:p>
        </w:tc>
      </w:tr>
      <w:tr w:rsidR="0051298C" w14:paraId="65ADED23" w14:textId="77777777" w:rsidTr="00B648A4">
        <w:trPr>
          <w:cantSplit/>
          <w:trHeight w:val="576"/>
        </w:trPr>
        <w:tc>
          <w:tcPr>
            <w:tcW w:w="1848" w:type="pct"/>
            <w:vAlign w:val="center"/>
          </w:tcPr>
          <w:p w14:paraId="6F870E9E"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Two Pollutants/NAAQS</w:t>
            </w:r>
          </w:p>
        </w:tc>
        <w:tc>
          <w:tcPr>
            <w:tcW w:w="924" w:type="pct"/>
            <w:vAlign w:val="center"/>
          </w:tcPr>
          <w:p w14:paraId="2B48A808" w14:textId="77777777" w:rsidR="0051298C" w:rsidRDefault="00730493"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6</w:t>
            </w:r>
            <w:r w:rsidR="00B31833">
              <w:rPr>
                <w:sz w:val="20"/>
              </w:rPr>
              <w:t>1</w:t>
            </w:r>
          </w:p>
        </w:tc>
        <w:tc>
          <w:tcPr>
            <w:tcW w:w="761" w:type="pct"/>
            <w:vAlign w:val="center"/>
          </w:tcPr>
          <w:p w14:paraId="1D62F7D3"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160</w:t>
            </w:r>
          </w:p>
        </w:tc>
        <w:tc>
          <w:tcPr>
            <w:tcW w:w="870" w:type="pct"/>
            <w:vAlign w:val="center"/>
          </w:tcPr>
          <w:p w14:paraId="78CA26FA"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40</w:t>
            </w:r>
          </w:p>
        </w:tc>
        <w:tc>
          <w:tcPr>
            <w:tcW w:w="598" w:type="pct"/>
            <w:vAlign w:val="center"/>
          </w:tcPr>
          <w:p w14:paraId="7E46300A"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261</w:t>
            </w:r>
          </w:p>
        </w:tc>
      </w:tr>
      <w:tr w:rsidR="0051298C" w14:paraId="0856917E" w14:textId="77777777" w:rsidTr="00B648A4">
        <w:trPr>
          <w:cantSplit/>
          <w:trHeight w:val="576"/>
        </w:trPr>
        <w:tc>
          <w:tcPr>
            <w:tcW w:w="1848" w:type="pct"/>
            <w:vAlign w:val="center"/>
          </w:tcPr>
          <w:p w14:paraId="5C6F3B25"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Three or More Pollutants/NAAQS</w:t>
            </w:r>
          </w:p>
        </w:tc>
        <w:tc>
          <w:tcPr>
            <w:tcW w:w="924" w:type="pct"/>
            <w:vAlign w:val="center"/>
          </w:tcPr>
          <w:p w14:paraId="323CD5B5" w14:textId="77777777" w:rsidR="0051298C" w:rsidRDefault="00F75B7E" w:rsidP="009E36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7</w:t>
            </w:r>
            <w:r w:rsidR="00B31833">
              <w:rPr>
                <w:sz w:val="20"/>
              </w:rPr>
              <w:t>7</w:t>
            </w:r>
          </w:p>
        </w:tc>
        <w:tc>
          <w:tcPr>
            <w:tcW w:w="761" w:type="pct"/>
            <w:vAlign w:val="center"/>
          </w:tcPr>
          <w:p w14:paraId="62DF3D5E" w14:textId="77777777" w:rsidR="0051298C" w:rsidRDefault="009E36FA"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200</w:t>
            </w:r>
          </w:p>
        </w:tc>
        <w:tc>
          <w:tcPr>
            <w:tcW w:w="870" w:type="pct"/>
            <w:vAlign w:val="center"/>
          </w:tcPr>
          <w:p w14:paraId="29423D54" w14:textId="77777777"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50</w:t>
            </w:r>
          </w:p>
        </w:tc>
        <w:tc>
          <w:tcPr>
            <w:tcW w:w="598" w:type="pct"/>
            <w:vAlign w:val="center"/>
          </w:tcPr>
          <w:p w14:paraId="6D3794DB" w14:textId="77777777" w:rsidR="0051298C" w:rsidRDefault="003D419B"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327</w:t>
            </w:r>
          </w:p>
        </w:tc>
      </w:tr>
    </w:tbl>
    <w:p w14:paraId="7C185308" w14:textId="77777777" w:rsidR="0074493F" w:rsidRDefault="0074493F"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C3645F4" w14:textId="77777777" w:rsidR="0074493F" w:rsidRDefault="0074493F"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92678C8" w14:textId="77777777" w:rsidR="0051298C" w:rsidRDefault="0051298C"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7: State and Local Annual Cost</w:t>
      </w:r>
    </w:p>
    <w:p w14:paraId="33F47403"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Plan and TIP Conformity Determinations </w:t>
      </w:r>
    </w:p>
    <w:p w14:paraId="44136B62"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Between 50,000-200,000</w:t>
      </w:r>
    </w:p>
    <w:p w14:paraId="380B75B4" w14:textId="77777777"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539"/>
        <w:gridCol w:w="937"/>
        <w:gridCol w:w="837"/>
        <w:gridCol w:w="1459"/>
        <w:gridCol w:w="937"/>
        <w:gridCol w:w="752"/>
        <w:gridCol w:w="942"/>
        <w:gridCol w:w="937"/>
      </w:tblGrid>
      <w:tr w:rsidR="00321F3E" w14:paraId="35B2DEAB" w14:textId="088021E4" w:rsidTr="00B801F9">
        <w:trPr>
          <w:cantSplit/>
        </w:trPr>
        <w:tc>
          <w:tcPr>
            <w:tcW w:w="137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AAF51D5"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22E3313F"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14:paraId="00E501B3"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C7EF243" w14:textId="77777777" w:rsidR="00321F3E" w:rsidRDefault="00321F3E" w:rsidP="00D959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 xml:space="preserve">Burden Hours </w:t>
            </w:r>
          </w:p>
        </w:tc>
        <w:tc>
          <w:tcPr>
            <w:tcW w:w="4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D20E40F"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1D9F23C"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MPOs</w:t>
            </w:r>
          </w:p>
        </w:tc>
        <w:tc>
          <w:tcPr>
            <w:tcW w:w="80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12EB905"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687CCAC2" w14:textId="04EC80B0" w:rsidR="00321F3E" w:rsidRDefault="007B17C9"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Actions per Y</w:t>
            </w:r>
            <w:r w:rsidR="00321F3E">
              <w:rPr>
                <w:b/>
                <w:sz w:val="20"/>
              </w:rPr>
              <w:t>ear per Respondent</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67B5B6E"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40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56F5478"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Cost Per Hour</w:t>
            </w:r>
          </w:p>
        </w:tc>
        <w:tc>
          <w:tcPr>
            <w:tcW w:w="50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B083A56" w14:textId="77777777"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Cost</w:t>
            </w:r>
          </w:p>
        </w:tc>
        <w:tc>
          <w:tcPr>
            <w:tcW w:w="461" w:type="pct"/>
            <w:tcBorders>
              <w:top w:val="single" w:sz="8" w:space="0" w:color="000000"/>
              <w:left w:val="single" w:sz="8" w:space="0" w:color="000000"/>
              <w:bottom w:val="single" w:sz="8" w:space="0" w:color="000000"/>
              <w:right w:val="single" w:sz="8" w:space="0" w:color="000000"/>
            </w:tcBorders>
            <w:shd w:val="clear" w:color="auto" w:fill="D9D9D9"/>
          </w:tcPr>
          <w:p w14:paraId="56799F5E" w14:textId="77777777" w:rsidR="00F70A7D" w:rsidRDefault="00F70A7D"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p>
          <w:p w14:paraId="12E3AC66" w14:textId="77777777" w:rsidR="00F70A7D" w:rsidRDefault="00F70A7D"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p>
          <w:p w14:paraId="36A0D503" w14:textId="7CAA7F43" w:rsidR="00321F3E" w:rsidRDefault="00321F3E"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Total Actions</w:t>
            </w:r>
          </w:p>
        </w:tc>
      </w:tr>
      <w:tr w:rsidR="00321F3E" w14:paraId="32101B81" w14:textId="53189BDF" w:rsidTr="00B801F9">
        <w:trPr>
          <w:cantSplit/>
          <w:trHeight w:val="576"/>
        </w:trPr>
        <w:tc>
          <w:tcPr>
            <w:tcW w:w="1375" w:type="pct"/>
            <w:tcBorders>
              <w:top w:val="single" w:sz="8" w:space="0" w:color="000000"/>
            </w:tcBorders>
            <w:vAlign w:val="center"/>
          </w:tcPr>
          <w:p w14:paraId="2A150F7A" w14:textId="77777777" w:rsidR="00321F3E" w:rsidRDefault="00321F3E"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502" w:type="pct"/>
            <w:tcBorders>
              <w:top w:val="single" w:sz="8" w:space="0" w:color="000000"/>
            </w:tcBorders>
            <w:vAlign w:val="center"/>
          </w:tcPr>
          <w:p w14:paraId="04FF8E7F" w14:textId="77777777" w:rsidR="00321F3E" w:rsidRDefault="00321F3E"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200</w:t>
            </w:r>
          </w:p>
        </w:tc>
        <w:tc>
          <w:tcPr>
            <w:tcW w:w="448" w:type="pct"/>
            <w:tcBorders>
              <w:top w:val="single" w:sz="8" w:space="0" w:color="000000"/>
            </w:tcBorders>
            <w:vAlign w:val="center"/>
          </w:tcPr>
          <w:p w14:paraId="5B0A4313" w14:textId="77777777" w:rsidR="00321F3E" w:rsidRDefault="00321F3E" w:rsidP="00C364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24</w:t>
            </w:r>
          </w:p>
        </w:tc>
        <w:tc>
          <w:tcPr>
            <w:tcW w:w="805" w:type="pct"/>
            <w:tcBorders>
              <w:top w:val="single" w:sz="8" w:space="0" w:color="000000"/>
            </w:tcBorders>
            <w:vAlign w:val="center"/>
          </w:tcPr>
          <w:p w14:paraId="33BC1ECC" w14:textId="59FD319F" w:rsidR="00321F3E" w:rsidRDefault="00321F3E"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502" w:type="pct"/>
            <w:tcBorders>
              <w:top w:val="single" w:sz="8" w:space="0" w:color="000000"/>
            </w:tcBorders>
            <w:vAlign w:val="center"/>
          </w:tcPr>
          <w:p w14:paraId="52F64B5B" w14:textId="77777777"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1,200</w:t>
            </w:r>
          </w:p>
        </w:tc>
        <w:tc>
          <w:tcPr>
            <w:tcW w:w="403" w:type="pct"/>
            <w:tcBorders>
              <w:top w:val="single" w:sz="8" w:space="0" w:color="000000"/>
            </w:tcBorders>
            <w:vAlign w:val="center"/>
          </w:tcPr>
          <w:p w14:paraId="4DB5B454" w14:textId="77777777" w:rsidR="00321F3E" w:rsidRDefault="00321F3E" w:rsidP="009E36FA">
            <w:pPr>
              <w:jc w:val="center"/>
            </w:pPr>
            <w:r w:rsidRPr="0054619A">
              <w:rPr>
                <w:sz w:val="20"/>
              </w:rPr>
              <w:t>$</w:t>
            </w:r>
            <w:r>
              <w:rPr>
                <w:sz w:val="20"/>
              </w:rPr>
              <w:t>59.40</w:t>
            </w:r>
          </w:p>
        </w:tc>
        <w:tc>
          <w:tcPr>
            <w:tcW w:w="504" w:type="pct"/>
            <w:tcBorders>
              <w:top w:val="single" w:sz="8" w:space="0" w:color="000000"/>
            </w:tcBorders>
            <w:vAlign w:val="center"/>
          </w:tcPr>
          <w:p w14:paraId="4ED3E54A" w14:textId="77777777" w:rsidR="00321F3E" w:rsidRPr="00DB62B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$71,280</w:t>
            </w:r>
          </w:p>
        </w:tc>
        <w:tc>
          <w:tcPr>
            <w:tcW w:w="461" w:type="pct"/>
            <w:tcBorders>
              <w:top w:val="single" w:sz="8" w:space="0" w:color="000000"/>
            </w:tcBorders>
          </w:tcPr>
          <w:p w14:paraId="7220944C" w14:textId="33E11976"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r>
      <w:tr w:rsidR="00321F3E" w14:paraId="40DC504B" w14:textId="66E62317" w:rsidTr="00B801F9">
        <w:trPr>
          <w:cantSplit/>
          <w:trHeight w:val="576"/>
        </w:trPr>
        <w:tc>
          <w:tcPr>
            <w:tcW w:w="1375" w:type="pct"/>
            <w:vAlign w:val="center"/>
          </w:tcPr>
          <w:p w14:paraId="2EFBF29D" w14:textId="77777777" w:rsidR="00321F3E" w:rsidRDefault="00321F3E"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502" w:type="pct"/>
            <w:vAlign w:val="center"/>
          </w:tcPr>
          <w:p w14:paraId="12974735" w14:textId="77777777" w:rsidR="00321F3E" w:rsidRDefault="00321F3E"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261</w:t>
            </w:r>
          </w:p>
        </w:tc>
        <w:tc>
          <w:tcPr>
            <w:tcW w:w="448" w:type="pct"/>
            <w:vAlign w:val="center"/>
          </w:tcPr>
          <w:p w14:paraId="50936B62" w14:textId="77777777" w:rsidR="00321F3E" w:rsidRDefault="00321F3E"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w:t>
            </w:r>
          </w:p>
        </w:tc>
        <w:tc>
          <w:tcPr>
            <w:tcW w:w="805" w:type="pct"/>
            <w:vAlign w:val="center"/>
          </w:tcPr>
          <w:p w14:paraId="428B721B" w14:textId="61658EFB" w:rsidR="00321F3E" w:rsidRDefault="00321F3E" w:rsidP="00FF019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502" w:type="pct"/>
            <w:vAlign w:val="center"/>
          </w:tcPr>
          <w:p w14:paraId="7AA55809" w14:textId="77777777"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522</w:t>
            </w:r>
          </w:p>
        </w:tc>
        <w:tc>
          <w:tcPr>
            <w:tcW w:w="403" w:type="pct"/>
            <w:vAlign w:val="center"/>
          </w:tcPr>
          <w:p w14:paraId="342F567E" w14:textId="77777777" w:rsidR="00321F3E" w:rsidRDefault="00321F3E" w:rsidP="00B648A4">
            <w:pPr>
              <w:jc w:val="center"/>
            </w:pPr>
            <w:r w:rsidRPr="0054619A">
              <w:rPr>
                <w:sz w:val="20"/>
              </w:rPr>
              <w:t>$</w:t>
            </w:r>
            <w:r>
              <w:rPr>
                <w:sz w:val="20"/>
              </w:rPr>
              <w:t>59.40</w:t>
            </w:r>
          </w:p>
        </w:tc>
        <w:tc>
          <w:tcPr>
            <w:tcW w:w="504" w:type="pct"/>
            <w:vAlign w:val="center"/>
          </w:tcPr>
          <w:p w14:paraId="1715F81E" w14:textId="77777777" w:rsidR="00321F3E" w:rsidRPr="00DB62B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$31,007</w:t>
            </w:r>
          </w:p>
        </w:tc>
        <w:tc>
          <w:tcPr>
            <w:tcW w:w="461" w:type="pct"/>
          </w:tcPr>
          <w:p w14:paraId="25DD1062" w14:textId="5D9AA1E7"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r>
      <w:tr w:rsidR="00321F3E" w14:paraId="176174D5" w14:textId="2CCA5013" w:rsidTr="00B801F9">
        <w:trPr>
          <w:cantSplit/>
          <w:trHeight w:val="576"/>
        </w:trPr>
        <w:tc>
          <w:tcPr>
            <w:tcW w:w="1375" w:type="pct"/>
            <w:vAlign w:val="center"/>
          </w:tcPr>
          <w:p w14:paraId="5F012C54" w14:textId="77777777" w:rsidR="00321F3E" w:rsidRDefault="00321F3E"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502" w:type="pct"/>
            <w:vAlign w:val="center"/>
          </w:tcPr>
          <w:p w14:paraId="4B0E7F9C" w14:textId="77777777" w:rsidR="00321F3E" w:rsidRDefault="00321F3E"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327</w:t>
            </w:r>
          </w:p>
        </w:tc>
        <w:tc>
          <w:tcPr>
            <w:tcW w:w="448" w:type="pct"/>
            <w:vAlign w:val="center"/>
          </w:tcPr>
          <w:p w14:paraId="06426F7F" w14:textId="77777777" w:rsidR="00321F3E" w:rsidRDefault="00321F3E" w:rsidP="003D41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w:t>
            </w:r>
          </w:p>
        </w:tc>
        <w:tc>
          <w:tcPr>
            <w:tcW w:w="805" w:type="pct"/>
            <w:vAlign w:val="center"/>
          </w:tcPr>
          <w:p w14:paraId="3DBC1D39" w14:textId="102B1472" w:rsidR="00321F3E" w:rsidRDefault="00321F3E" w:rsidP="00730B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0.33</w:t>
            </w:r>
          </w:p>
        </w:tc>
        <w:tc>
          <w:tcPr>
            <w:tcW w:w="502" w:type="pct"/>
            <w:vAlign w:val="center"/>
          </w:tcPr>
          <w:p w14:paraId="74B9F57C" w14:textId="77777777"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763</w:t>
            </w:r>
          </w:p>
        </w:tc>
        <w:tc>
          <w:tcPr>
            <w:tcW w:w="403" w:type="pct"/>
            <w:vAlign w:val="center"/>
          </w:tcPr>
          <w:p w14:paraId="1D0B97D3" w14:textId="77777777" w:rsidR="00321F3E" w:rsidRDefault="00321F3E" w:rsidP="009E36FA">
            <w:pPr>
              <w:jc w:val="center"/>
            </w:pPr>
            <w:r w:rsidRPr="0054619A">
              <w:rPr>
                <w:sz w:val="20"/>
              </w:rPr>
              <w:t>$</w:t>
            </w:r>
            <w:r>
              <w:rPr>
                <w:sz w:val="20"/>
              </w:rPr>
              <w:t>59.40</w:t>
            </w:r>
          </w:p>
        </w:tc>
        <w:tc>
          <w:tcPr>
            <w:tcW w:w="504" w:type="pct"/>
            <w:vAlign w:val="center"/>
          </w:tcPr>
          <w:p w14:paraId="60CC4434" w14:textId="77777777" w:rsidR="00321F3E" w:rsidRPr="00DB62B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$45,322</w:t>
            </w:r>
          </w:p>
        </w:tc>
        <w:tc>
          <w:tcPr>
            <w:tcW w:w="461" w:type="pct"/>
          </w:tcPr>
          <w:p w14:paraId="686EC5E3" w14:textId="1041F330" w:rsidR="00321F3E" w:rsidRDefault="00321F3E" w:rsidP="002C0AC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r>
    </w:tbl>
    <w:p w14:paraId="10CBBF1D" w14:textId="77777777" w:rsidR="0051298C" w:rsidRDefault="0051298C"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r w:rsidRPr="00A423C1">
        <w:rPr>
          <w:b/>
          <w:sz w:val="20"/>
        </w:rPr>
        <w:t xml:space="preserve">Total for All Transportation Plan </w:t>
      </w:r>
      <w:r>
        <w:rPr>
          <w:b/>
          <w:sz w:val="20"/>
        </w:rPr>
        <w:t xml:space="preserve">and TIP </w:t>
      </w:r>
      <w:r w:rsidRPr="00A423C1">
        <w:rPr>
          <w:b/>
          <w:sz w:val="20"/>
        </w:rPr>
        <w:t xml:space="preserve">Actions: </w:t>
      </w:r>
      <w:r w:rsidR="002C0AC7">
        <w:rPr>
          <w:b/>
          <w:sz w:val="20"/>
        </w:rPr>
        <w:t>2,485</w:t>
      </w:r>
      <w:r>
        <w:rPr>
          <w:b/>
          <w:sz w:val="20"/>
        </w:rPr>
        <w:t xml:space="preserve"> </w:t>
      </w:r>
      <w:r w:rsidRPr="00A423C1">
        <w:rPr>
          <w:b/>
          <w:sz w:val="20"/>
        </w:rPr>
        <w:t>hours/year x $</w:t>
      </w:r>
      <w:r w:rsidR="00C36414">
        <w:rPr>
          <w:b/>
          <w:sz w:val="20"/>
        </w:rPr>
        <w:t>59.40</w:t>
      </w:r>
      <w:r w:rsidRPr="00A423C1">
        <w:rPr>
          <w:b/>
          <w:sz w:val="20"/>
        </w:rPr>
        <w:t xml:space="preserve">/hour = </w:t>
      </w:r>
      <w:r>
        <w:rPr>
          <w:b/>
          <w:sz w:val="20"/>
        </w:rPr>
        <w:t>$</w:t>
      </w:r>
      <w:r w:rsidR="002C0AC7">
        <w:rPr>
          <w:b/>
          <w:sz w:val="20"/>
        </w:rPr>
        <w:t>147,609</w:t>
      </w:r>
      <w:r w:rsidRPr="00A423C1">
        <w:rPr>
          <w:b/>
          <w:sz w:val="20"/>
        </w:rPr>
        <w:t>/year</w:t>
      </w:r>
      <w:r w:rsidRPr="00A423C1">
        <w:rPr>
          <w:sz w:val="20"/>
        </w:rPr>
        <w:t xml:space="preserve">  </w:t>
      </w:r>
    </w:p>
    <w:p w14:paraId="736F63B2" w14:textId="77777777" w:rsidR="00A25007" w:rsidRDefault="00A25007"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p>
    <w:p w14:paraId="13508B4B" w14:textId="77777777" w:rsidR="003228D9" w:rsidRPr="00A423C1" w:rsidRDefault="003228D9"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p>
    <w:p w14:paraId="13FC77D1" w14:textId="77777777" w:rsidR="00945915" w:rsidRPr="004E1E3E" w:rsidRDefault="00A25007" w:rsidP="004E1E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FF0194">
        <w:t xml:space="preserve">In addition, EPA has also estimated the </w:t>
      </w:r>
      <w:r w:rsidR="0074493F" w:rsidRPr="00FF0194">
        <w:t>s</w:t>
      </w:r>
      <w:r w:rsidRPr="00FF0194">
        <w:t xml:space="preserve">tate and </w:t>
      </w:r>
      <w:r w:rsidR="0074493F" w:rsidRPr="00FF0194">
        <w:t>l</w:t>
      </w:r>
      <w:r w:rsidRPr="00FF0194">
        <w:t xml:space="preserve">ocal start-up burden associated with the transition to EPA’s </w:t>
      </w:r>
      <w:r w:rsidR="00504A55" w:rsidRPr="00FF0194">
        <w:t xml:space="preserve">latest </w:t>
      </w:r>
      <w:r w:rsidRPr="00FF0194">
        <w:t>emissions model, MOVES</w:t>
      </w:r>
      <w:r w:rsidR="00945915" w:rsidRPr="00FF0194">
        <w:t>2014</w:t>
      </w:r>
      <w:r w:rsidRPr="00FF0194">
        <w:t>.</w:t>
      </w:r>
      <w:r>
        <w:t xml:space="preserve">  </w:t>
      </w:r>
      <w:r w:rsidR="00945915">
        <w:t>During the previous ICR cycle, the burden included</w:t>
      </w:r>
      <w:r>
        <w:t xml:space="preserve"> training/workshops plus additional time to transition from </w:t>
      </w:r>
      <w:r w:rsidR="00504A55">
        <w:t xml:space="preserve">the emissions model called </w:t>
      </w:r>
      <w:r>
        <w:t xml:space="preserve">MOBILE6.2 to </w:t>
      </w:r>
      <w:r w:rsidR="00504A55">
        <w:t xml:space="preserve">the new </w:t>
      </w:r>
      <w:r>
        <w:t>MOVES</w:t>
      </w:r>
      <w:r w:rsidR="00207B32">
        <w:t xml:space="preserve"> emissions model</w:t>
      </w:r>
      <w:r w:rsidR="004E1E3E">
        <w:t xml:space="preserve">. </w:t>
      </w:r>
      <w:r>
        <w:t>The transition started in December 2009 with the release of MOVES</w:t>
      </w:r>
      <w:r w:rsidR="00504A55">
        <w:t>2010</w:t>
      </w:r>
      <w:r w:rsidR="004E1E3E">
        <w:t xml:space="preserve">. </w:t>
      </w:r>
      <w:r w:rsidR="00504A55">
        <w:t xml:space="preserve">In this ICR time period, state and local agencies have some start-up burden associated with the latest version of MOVES, but not as much as in the previous period.  </w:t>
      </w:r>
      <w:r w:rsidR="00945915">
        <w:t xml:space="preserve">MOVES2014 was </w:t>
      </w:r>
      <w:r w:rsidR="007671BF">
        <w:t>released</w:t>
      </w:r>
      <w:r w:rsidR="004E1E3E">
        <w:t xml:space="preserve"> in July 2014. </w:t>
      </w:r>
      <w:r w:rsidR="00603180">
        <w:t xml:space="preserve">The burden hours for consultation remained the same. </w:t>
      </w:r>
      <w:r w:rsidR="00945915">
        <w:t xml:space="preserve">The </w:t>
      </w:r>
      <w:r>
        <w:t>start</w:t>
      </w:r>
      <w:r w:rsidR="00504A55">
        <w:t>-</w:t>
      </w:r>
      <w:r>
        <w:t xml:space="preserve">up burden </w:t>
      </w:r>
      <w:r w:rsidR="00945915">
        <w:t xml:space="preserve">for MOVES2014 </w:t>
      </w:r>
      <w:r>
        <w:t xml:space="preserve">is shown in Tables </w:t>
      </w:r>
      <w:r w:rsidR="004364D1">
        <w:t>8</w:t>
      </w:r>
      <w:r>
        <w:t xml:space="preserve"> and </w:t>
      </w:r>
      <w:r w:rsidR="004364D1">
        <w:t>9</w:t>
      </w:r>
      <w:r>
        <w:t>.</w:t>
      </w:r>
      <w:r w:rsidR="004E1E3E">
        <w:t xml:space="preserve"> </w:t>
      </w:r>
      <w:r w:rsidR="002700EF">
        <w:t>EPA published</w:t>
      </w:r>
      <w:r w:rsidR="00945915">
        <w:t xml:space="preserve"> a Notice of Availability and corresponding grace period in the </w:t>
      </w:r>
      <w:hyperlink r:id="rId8" w:history="1">
        <w:r w:rsidR="00820423" w:rsidRPr="004E1E3E">
          <w:rPr>
            <w:rStyle w:val="Hyperlink"/>
            <w:i/>
            <w:color w:val="auto"/>
            <w:u w:val="none"/>
          </w:rPr>
          <w:t>Federal Register</w:t>
        </w:r>
      </w:hyperlink>
      <w:r w:rsidR="001664E0">
        <w:t xml:space="preserve"> (79 FR 60343</w:t>
      </w:r>
      <w:r w:rsidR="001664E0" w:rsidRPr="00FB0EF5">
        <w:t>)</w:t>
      </w:r>
      <w:r w:rsidR="00945915" w:rsidRPr="00FB0EF5">
        <w:t xml:space="preserve">, after the release of </w:t>
      </w:r>
      <w:r w:rsidR="00FB0EF5" w:rsidRPr="00FB0EF5">
        <w:t>MOVES2014.</w:t>
      </w:r>
      <w:r w:rsidR="004E1E3E">
        <w:t xml:space="preserve"> </w:t>
      </w:r>
      <w:r w:rsidR="00945915" w:rsidRPr="00FB0EF5">
        <w:t>The Notice include</w:t>
      </w:r>
      <w:r w:rsidR="00504A55" w:rsidRPr="00FB0EF5">
        <w:t>s</w:t>
      </w:r>
      <w:r w:rsidR="00945915" w:rsidRPr="00FB0EF5">
        <w:t xml:space="preserve"> a grace period before MOVES2014 is required i</w:t>
      </w:r>
      <w:r w:rsidR="004E1E3E">
        <w:t xml:space="preserve">n regional emissions analysis. </w:t>
      </w:r>
      <w:r w:rsidR="002700EF" w:rsidRPr="00FB0EF5">
        <w:t>EPA also</w:t>
      </w:r>
      <w:r w:rsidR="00945915" w:rsidRPr="00FB0EF5">
        <w:t xml:space="preserve"> issu</w:t>
      </w:r>
      <w:r w:rsidR="00784A7C" w:rsidRPr="00FB0EF5">
        <w:t>ed</w:t>
      </w:r>
      <w:r w:rsidR="00945915" w:rsidRPr="00FB0EF5">
        <w:t xml:space="preserve"> </w:t>
      </w:r>
      <w:hyperlink r:id="rId9" w:history="1">
        <w:r w:rsidR="00314686" w:rsidRPr="004E1E3E">
          <w:rPr>
            <w:rStyle w:val="Hyperlink"/>
            <w:color w:val="auto"/>
            <w:u w:val="none"/>
          </w:rPr>
          <w:t>policy</w:t>
        </w:r>
        <w:r w:rsidR="00945915" w:rsidRPr="004E1E3E">
          <w:rPr>
            <w:rStyle w:val="Hyperlink"/>
            <w:color w:val="auto"/>
            <w:u w:val="none"/>
          </w:rPr>
          <w:t xml:space="preserve"> </w:t>
        </w:r>
        <w:r w:rsidR="00945915" w:rsidRPr="004E1E3E">
          <w:rPr>
            <w:rStyle w:val="Hyperlink"/>
            <w:color w:val="auto"/>
            <w:u w:val="none"/>
          </w:rPr>
          <w:lastRenderedPageBreak/>
          <w:t>guidance</w:t>
        </w:r>
      </w:hyperlink>
      <w:r w:rsidR="00945915" w:rsidRPr="00FB0EF5">
        <w:t xml:space="preserve"> on the use of</w:t>
      </w:r>
      <w:r w:rsidR="00FB0EF5">
        <w:t xml:space="preserve"> </w:t>
      </w:r>
      <w:r w:rsidR="00945915" w:rsidRPr="00FB0EF5">
        <w:t>th</w:t>
      </w:r>
      <w:r w:rsidR="00784A7C" w:rsidRPr="00FB0EF5">
        <w:t>is</w:t>
      </w:r>
      <w:r w:rsidR="00945915" w:rsidRPr="00FB0EF5">
        <w:t xml:space="preserve"> model.</w:t>
      </w:r>
      <w:r w:rsidR="001664E0" w:rsidRPr="00FB0EF5">
        <w:rPr>
          <w:rStyle w:val="FootnoteReference"/>
        </w:rPr>
        <w:footnoteReference w:id="24"/>
      </w:r>
    </w:p>
    <w:p w14:paraId="578D4FE9" w14:textId="77777777" w:rsidR="004C1B35" w:rsidRDefault="004E1E3E" w:rsidP="00111F8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633F8651" w14:textId="77777777" w:rsidR="00543394" w:rsidRDefault="00543394" w:rsidP="00543394">
      <w:pPr>
        <w:jc w:val="center"/>
        <w:rPr>
          <w:rFonts w:ascii="Times" w:hAnsi="Times"/>
          <w:b/>
        </w:rPr>
      </w:pPr>
      <w:r w:rsidRPr="006E6E42">
        <w:rPr>
          <w:rFonts w:ascii="Times" w:hAnsi="Times"/>
          <w:b/>
        </w:rPr>
        <w:t xml:space="preserve">Table </w:t>
      </w:r>
      <w:r w:rsidR="004364D1">
        <w:rPr>
          <w:rFonts w:ascii="Times" w:hAnsi="Times"/>
          <w:b/>
        </w:rPr>
        <w:t>8</w:t>
      </w:r>
      <w:r w:rsidRPr="006E6E42">
        <w:rPr>
          <w:rFonts w:ascii="Times" w:hAnsi="Times"/>
          <w:b/>
        </w:rPr>
        <w:t>: State and Local</w:t>
      </w:r>
      <w:r>
        <w:rPr>
          <w:rFonts w:ascii="Times" w:hAnsi="Times"/>
          <w:b/>
        </w:rPr>
        <w:t xml:space="preserve"> Burden Hours</w:t>
      </w:r>
    </w:p>
    <w:p w14:paraId="1710C81D" w14:textId="77777777" w:rsidR="00543394" w:rsidRDefault="00543394" w:rsidP="00543394">
      <w:pPr>
        <w:jc w:val="center"/>
        <w:rPr>
          <w:rFonts w:ascii="Times" w:hAnsi="Times"/>
          <w:b/>
        </w:rPr>
      </w:pPr>
      <w:r>
        <w:rPr>
          <w:rFonts w:ascii="Times" w:hAnsi="Times"/>
          <w:b/>
        </w:rPr>
        <w:t xml:space="preserve">One-time Start-up </w:t>
      </w:r>
    </w:p>
    <w:p w14:paraId="79D9CF95" w14:textId="77777777" w:rsidR="00543394" w:rsidRDefault="00543394" w:rsidP="00A86A2F">
      <w:pPr>
        <w:jc w:val="center"/>
        <w:rPr>
          <w:rFonts w:ascii="Times" w:hAnsi="Times"/>
          <w:b/>
        </w:rPr>
      </w:pPr>
      <w:r>
        <w:rPr>
          <w:rFonts w:ascii="Times" w:hAnsi="Times"/>
          <w:b/>
        </w:rPr>
        <w:t>For Transition to MOVES</w:t>
      </w:r>
      <w:r w:rsidR="00C9463A">
        <w:rPr>
          <w:rFonts w:ascii="Times" w:hAnsi="Times"/>
          <w:b/>
        </w:rPr>
        <w:t>2014</w:t>
      </w:r>
      <w:r w:rsidR="00A3712F">
        <w:rPr>
          <w:rFonts w:ascii="Times" w:hAnsi="Times"/>
          <w:b/>
        </w:rPr>
        <w:t xml:space="preserve"> for Regional Emissions Analyses</w:t>
      </w:r>
      <w:r w:rsidRPr="006E6E42">
        <w:rPr>
          <w:rFonts w:ascii="Times" w:hAnsi="Times"/>
          <w:b/>
        </w:rPr>
        <w:t xml:space="preserve"> </w:t>
      </w:r>
    </w:p>
    <w:p w14:paraId="33FD792C" w14:textId="77777777" w:rsidR="007172BE" w:rsidRPr="006B06A7" w:rsidRDefault="007172BE" w:rsidP="00A86A2F">
      <w:pPr>
        <w:jc w:val="center"/>
        <w:rPr>
          <w:rFonts w:ascii="Times" w:hAnsi="Times"/>
        </w:rPr>
      </w:pPr>
    </w:p>
    <w:tbl>
      <w:tblPr>
        <w:tblW w:w="2565" w:type="pct"/>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2780"/>
      </w:tblGrid>
      <w:tr w:rsidR="007172BE" w:rsidRPr="006E6E42" w14:paraId="601FE5B8" w14:textId="77777777" w:rsidTr="007172BE">
        <w:trPr>
          <w:trHeight w:val="432"/>
        </w:trPr>
        <w:tc>
          <w:tcPr>
            <w:tcW w:w="2102" w:type="pct"/>
            <w:shd w:val="clear" w:color="auto" w:fill="D9D9D9"/>
            <w:vAlign w:val="bottom"/>
          </w:tcPr>
          <w:p w14:paraId="1E1E5225" w14:textId="77777777" w:rsidR="007172BE" w:rsidRPr="00461129" w:rsidRDefault="007172BE" w:rsidP="00A86A2F">
            <w:pPr>
              <w:jc w:val="center"/>
              <w:rPr>
                <w:rFonts w:ascii="Times" w:hAnsi="Times"/>
                <w:b/>
                <w:sz w:val="20"/>
              </w:rPr>
            </w:pPr>
            <w:r>
              <w:rPr>
                <w:rFonts w:ascii="Times" w:hAnsi="Times"/>
                <w:b/>
                <w:sz w:val="20"/>
              </w:rPr>
              <w:t>Action</w:t>
            </w:r>
          </w:p>
        </w:tc>
        <w:tc>
          <w:tcPr>
            <w:tcW w:w="2898" w:type="pct"/>
            <w:shd w:val="clear" w:color="auto" w:fill="D9D9D9"/>
            <w:vAlign w:val="bottom"/>
          </w:tcPr>
          <w:p w14:paraId="0C422206" w14:textId="77777777" w:rsidR="007172BE" w:rsidRPr="00461129" w:rsidRDefault="007172BE" w:rsidP="00A86A2F">
            <w:pPr>
              <w:jc w:val="center"/>
              <w:rPr>
                <w:rFonts w:ascii="Times" w:hAnsi="Times"/>
                <w:b/>
                <w:sz w:val="20"/>
              </w:rPr>
            </w:pPr>
            <w:r>
              <w:rPr>
                <w:rFonts w:ascii="Times" w:hAnsi="Times"/>
                <w:b/>
                <w:sz w:val="20"/>
              </w:rPr>
              <w:t>Total Burden Hours</w:t>
            </w:r>
          </w:p>
        </w:tc>
      </w:tr>
      <w:tr w:rsidR="007172BE" w:rsidRPr="006E6E42" w14:paraId="7B2DF82A" w14:textId="77777777" w:rsidTr="007172BE">
        <w:trPr>
          <w:trHeight w:val="432"/>
        </w:trPr>
        <w:tc>
          <w:tcPr>
            <w:tcW w:w="2102" w:type="pct"/>
            <w:vAlign w:val="center"/>
          </w:tcPr>
          <w:p w14:paraId="42BC9DC2" w14:textId="77777777" w:rsidR="007172BE" w:rsidRPr="00461129" w:rsidRDefault="007172BE" w:rsidP="00A86A2F">
            <w:pPr>
              <w:jc w:val="center"/>
              <w:rPr>
                <w:rFonts w:ascii="Times" w:hAnsi="Times"/>
                <w:sz w:val="20"/>
              </w:rPr>
            </w:pPr>
            <w:r>
              <w:rPr>
                <w:rFonts w:ascii="Times" w:hAnsi="Times"/>
                <w:sz w:val="20"/>
              </w:rPr>
              <w:t>Training</w:t>
            </w:r>
          </w:p>
        </w:tc>
        <w:tc>
          <w:tcPr>
            <w:tcW w:w="2898" w:type="pct"/>
            <w:vAlign w:val="center"/>
          </w:tcPr>
          <w:p w14:paraId="58FCF41E" w14:textId="77777777" w:rsidR="007172BE" w:rsidRPr="00461129" w:rsidRDefault="007172BE" w:rsidP="00A86A2F">
            <w:pPr>
              <w:jc w:val="center"/>
              <w:rPr>
                <w:rFonts w:ascii="Times" w:hAnsi="Times"/>
                <w:sz w:val="20"/>
              </w:rPr>
            </w:pPr>
            <w:r>
              <w:rPr>
                <w:rFonts w:ascii="Times" w:hAnsi="Times"/>
                <w:sz w:val="20"/>
              </w:rPr>
              <w:t>30</w:t>
            </w:r>
          </w:p>
        </w:tc>
      </w:tr>
      <w:tr w:rsidR="007172BE" w:rsidRPr="006E6E42" w14:paraId="0E2196CC" w14:textId="77777777" w:rsidTr="007172BE">
        <w:trPr>
          <w:trHeight w:val="432"/>
        </w:trPr>
        <w:tc>
          <w:tcPr>
            <w:tcW w:w="2102" w:type="pct"/>
            <w:vAlign w:val="center"/>
          </w:tcPr>
          <w:p w14:paraId="2D965839" w14:textId="77777777" w:rsidR="007172BE" w:rsidRPr="00461129" w:rsidRDefault="007172BE" w:rsidP="00A86A2F">
            <w:pPr>
              <w:jc w:val="center"/>
              <w:rPr>
                <w:rFonts w:ascii="Times" w:hAnsi="Times"/>
                <w:sz w:val="20"/>
              </w:rPr>
            </w:pPr>
            <w:r>
              <w:rPr>
                <w:rFonts w:ascii="Times" w:hAnsi="Times"/>
                <w:sz w:val="20"/>
              </w:rPr>
              <w:t>Transition</w:t>
            </w:r>
          </w:p>
        </w:tc>
        <w:tc>
          <w:tcPr>
            <w:tcW w:w="2898" w:type="pct"/>
            <w:vAlign w:val="center"/>
          </w:tcPr>
          <w:p w14:paraId="7BC34B02" w14:textId="77777777" w:rsidR="007172BE" w:rsidRPr="00461129" w:rsidRDefault="007172BE" w:rsidP="00A86A2F">
            <w:pPr>
              <w:jc w:val="center"/>
              <w:rPr>
                <w:rFonts w:ascii="Times" w:hAnsi="Times"/>
                <w:sz w:val="20"/>
              </w:rPr>
            </w:pPr>
            <w:r>
              <w:rPr>
                <w:rFonts w:ascii="Times" w:hAnsi="Times"/>
                <w:sz w:val="20"/>
              </w:rPr>
              <w:t>50</w:t>
            </w:r>
          </w:p>
        </w:tc>
      </w:tr>
    </w:tbl>
    <w:p w14:paraId="39A2C862" w14:textId="77777777" w:rsidR="00543394" w:rsidRPr="0015485C" w:rsidRDefault="00543394" w:rsidP="00A86A2F">
      <w:pPr>
        <w:jc w:val="center"/>
        <w:rPr>
          <w:rFonts w:ascii="Times" w:hAnsi="Times"/>
          <w:b/>
          <w:sz w:val="20"/>
        </w:rPr>
      </w:pPr>
      <w:r w:rsidRPr="0015485C">
        <w:rPr>
          <w:rFonts w:ascii="Times" w:hAnsi="Times"/>
          <w:b/>
          <w:sz w:val="20"/>
        </w:rPr>
        <w:t xml:space="preserve">Total burden hours for State and Local Respondents for Start-up of </w:t>
      </w:r>
      <w:r>
        <w:rPr>
          <w:rFonts w:ascii="Times" w:hAnsi="Times"/>
          <w:b/>
          <w:sz w:val="20"/>
        </w:rPr>
        <w:t>MOVES</w:t>
      </w:r>
      <w:r w:rsidRPr="0015485C">
        <w:rPr>
          <w:rFonts w:ascii="Times" w:hAnsi="Times"/>
          <w:b/>
          <w:sz w:val="20"/>
        </w:rPr>
        <w:t xml:space="preserve"> Analysis: </w:t>
      </w:r>
      <w:r w:rsidR="001664E0">
        <w:rPr>
          <w:rFonts w:ascii="Times" w:hAnsi="Times"/>
          <w:b/>
          <w:sz w:val="20"/>
        </w:rPr>
        <w:t>8</w:t>
      </w:r>
      <w:r w:rsidR="001B7C5C">
        <w:rPr>
          <w:rFonts w:ascii="Times" w:hAnsi="Times"/>
          <w:b/>
          <w:sz w:val="20"/>
        </w:rPr>
        <w:t>0</w:t>
      </w:r>
      <w:r w:rsidRPr="0015485C">
        <w:rPr>
          <w:rFonts w:ascii="Times" w:hAnsi="Times"/>
          <w:b/>
          <w:sz w:val="20"/>
        </w:rPr>
        <w:t xml:space="preserve"> hours</w:t>
      </w:r>
    </w:p>
    <w:p w14:paraId="34EE1AE3" w14:textId="77777777" w:rsidR="00543394" w:rsidRDefault="00543394" w:rsidP="00543394">
      <w:pPr>
        <w:jc w:val="center"/>
        <w:rPr>
          <w:rFonts w:ascii="Times" w:hAnsi="Times"/>
          <w:b/>
        </w:rPr>
      </w:pPr>
    </w:p>
    <w:p w14:paraId="2D8A54A7" w14:textId="77777777" w:rsidR="00961D96" w:rsidRDefault="00961D96" w:rsidP="00543394">
      <w:pPr>
        <w:jc w:val="center"/>
        <w:rPr>
          <w:rFonts w:ascii="Times" w:hAnsi="Times"/>
          <w:b/>
        </w:rPr>
      </w:pPr>
    </w:p>
    <w:p w14:paraId="2EDE4A82" w14:textId="77777777" w:rsidR="00543394" w:rsidRPr="00FF0194" w:rsidRDefault="00543394" w:rsidP="00543394">
      <w:pPr>
        <w:jc w:val="center"/>
        <w:rPr>
          <w:rFonts w:ascii="Times" w:hAnsi="Times"/>
          <w:b/>
        </w:rPr>
      </w:pPr>
      <w:r w:rsidRPr="00FF0194">
        <w:rPr>
          <w:rFonts w:ascii="Times" w:hAnsi="Times"/>
          <w:b/>
        </w:rPr>
        <w:t xml:space="preserve">Table </w:t>
      </w:r>
      <w:r w:rsidR="004364D1" w:rsidRPr="00FF0194">
        <w:rPr>
          <w:rFonts w:ascii="Times" w:hAnsi="Times"/>
          <w:b/>
        </w:rPr>
        <w:t>9</w:t>
      </w:r>
      <w:r w:rsidRPr="00FF0194">
        <w:rPr>
          <w:rFonts w:ascii="Times" w:hAnsi="Times"/>
          <w:b/>
        </w:rPr>
        <w:t>: State and Local Costs</w:t>
      </w:r>
    </w:p>
    <w:p w14:paraId="20DD2DC7" w14:textId="77777777" w:rsidR="00543394" w:rsidRPr="00FF0194" w:rsidRDefault="00543394" w:rsidP="00543394">
      <w:pPr>
        <w:jc w:val="center"/>
        <w:rPr>
          <w:rFonts w:ascii="Times" w:hAnsi="Times"/>
          <w:b/>
        </w:rPr>
      </w:pPr>
      <w:r w:rsidRPr="00FF0194">
        <w:rPr>
          <w:rFonts w:ascii="Times" w:hAnsi="Times"/>
          <w:b/>
        </w:rPr>
        <w:t xml:space="preserve">One-time Start-up </w:t>
      </w:r>
    </w:p>
    <w:p w14:paraId="6031E8E2" w14:textId="77777777" w:rsidR="00543394" w:rsidRDefault="00543394" w:rsidP="00543394">
      <w:pPr>
        <w:jc w:val="center"/>
        <w:rPr>
          <w:rFonts w:ascii="Times" w:hAnsi="Times"/>
          <w:b/>
        </w:rPr>
      </w:pPr>
      <w:r w:rsidRPr="00FF0194">
        <w:rPr>
          <w:rFonts w:ascii="Times" w:hAnsi="Times"/>
          <w:b/>
        </w:rPr>
        <w:t xml:space="preserve">For </w:t>
      </w:r>
      <w:r w:rsidR="00A3712F" w:rsidRPr="00FF0194">
        <w:rPr>
          <w:rFonts w:ascii="Times" w:hAnsi="Times"/>
          <w:b/>
        </w:rPr>
        <w:t>Transition to MOVES</w:t>
      </w:r>
      <w:r w:rsidR="00C9463A" w:rsidRPr="00FF0194">
        <w:rPr>
          <w:rFonts w:ascii="Times" w:hAnsi="Times"/>
          <w:b/>
        </w:rPr>
        <w:t>2014</w:t>
      </w:r>
      <w:r w:rsidR="00A3712F" w:rsidRPr="00FF0194">
        <w:rPr>
          <w:rFonts w:ascii="Times" w:hAnsi="Times"/>
          <w:b/>
        </w:rPr>
        <w:t xml:space="preserve"> for Regional Emissions Analyses</w:t>
      </w:r>
      <w:r w:rsidRPr="006E6E42">
        <w:rPr>
          <w:rFonts w:ascii="Times" w:hAnsi="Times"/>
          <w:b/>
        </w:rPr>
        <w:t xml:space="preserve"> </w:t>
      </w:r>
    </w:p>
    <w:p w14:paraId="75C00BC7" w14:textId="77777777" w:rsidR="00543394" w:rsidRPr="006B06A7" w:rsidRDefault="00543394" w:rsidP="00543394">
      <w:pPr>
        <w:jc w:val="center"/>
        <w:rPr>
          <w:rFonts w:ascii="Times" w:hAnsi="Times"/>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1344"/>
        <w:gridCol w:w="1581"/>
        <w:gridCol w:w="1669"/>
        <w:gridCol w:w="2462"/>
      </w:tblGrid>
      <w:tr w:rsidR="00543394" w:rsidRPr="006E6E42" w14:paraId="268D4F0F" w14:textId="77777777" w:rsidTr="00543394">
        <w:trPr>
          <w:trHeight w:val="432"/>
        </w:trPr>
        <w:tc>
          <w:tcPr>
            <w:tcW w:w="1220" w:type="pct"/>
            <w:shd w:val="clear" w:color="auto" w:fill="D9D9D9"/>
            <w:vAlign w:val="bottom"/>
          </w:tcPr>
          <w:p w14:paraId="6390BDCA" w14:textId="77777777" w:rsidR="00543394" w:rsidRPr="00461129" w:rsidRDefault="00543394" w:rsidP="00543394">
            <w:pPr>
              <w:jc w:val="center"/>
              <w:rPr>
                <w:rFonts w:ascii="Times" w:hAnsi="Times"/>
                <w:b/>
                <w:sz w:val="20"/>
              </w:rPr>
            </w:pPr>
            <w:r w:rsidRPr="00461129">
              <w:rPr>
                <w:rFonts w:ascii="Times" w:hAnsi="Times"/>
                <w:b/>
                <w:sz w:val="20"/>
              </w:rPr>
              <w:t>Training</w:t>
            </w:r>
            <w:r>
              <w:rPr>
                <w:rFonts w:ascii="Times" w:hAnsi="Times"/>
                <w:b/>
                <w:sz w:val="20"/>
              </w:rPr>
              <w:t>/Transition</w:t>
            </w:r>
            <w:r w:rsidRPr="00461129">
              <w:rPr>
                <w:rFonts w:ascii="Times" w:hAnsi="Times"/>
                <w:b/>
                <w:sz w:val="20"/>
              </w:rPr>
              <w:t xml:space="preserve"> Hours </w:t>
            </w:r>
          </w:p>
        </w:tc>
        <w:tc>
          <w:tcPr>
            <w:tcW w:w="720" w:type="pct"/>
            <w:shd w:val="clear" w:color="auto" w:fill="D9D9D9"/>
            <w:vAlign w:val="bottom"/>
          </w:tcPr>
          <w:p w14:paraId="42CDC8D2" w14:textId="77777777" w:rsidR="00543394" w:rsidRPr="00461129" w:rsidRDefault="00543394" w:rsidP="00DA7ACA">
            <w:pPr>
              <w:jc w:val="center"/>
              <w:rPr>
                <w:rFonts w:ascii="Times" w:hAnsi="Times"/>
                <w:b/>
                <w:sz w:val="20"/>
              </w:rPr>
            </w:pPr>
            <w:r w:rsidRPr="00461129">
              <w:rPr>
                <w:rFonts w:ascii="Times" w:hAnsi="Times"/>
                <w:b/>
                <w:sz w:val="20"/>
              </w:rPr>
              <w:t xml:space="preserve">No. of </w:t>
            </w:r>
            <w:r w:rsidR="00DA7ACA">
              <w:rPr>
                <w:rFonts w:ascii="Times" w:hAnsi="Times"/>
                <w:b/>
                <w:sz w:val="20"/>
              </w:rPr>
              <w:t>MPOs</w:t>
            </w:r>
          </w:p>
        </w:tc>
        <w:tc>
          <w:tcPr>
            <w:tcW w:w="847" w:type="pct"/>
            <w:shd w:val="clear" w:color="auto" w:fill="D9D9D9"/>
            <w:vAlign w:val="bottom"/>
          </w:tcPr>
          <w:p w14:paraId="6B9E0358" w14:textId="77777777" w:rsidR="00543394" w:rsidRPr="00461129" w:rsidRDefault="00543394" w:rsidP="00543394">
            <w:pPr>
              <w:jc w:val="center"/>
              <w:rPr>
                <w:rFonts w:ascii="Times" w:hAnsi="Times"/>
                <w:b/>
                <w:sz w:val="20"/>
              </w:rPr>
            </w:pPr>
            <w:r w:rsidRPr="00461129">
              <w:rPr>
                <w:rFonts w:ascii="Times" w:hAnsi="Times"/>
                <w:b/>
                <w:sz w:val="20"/>
              </w:rPr>
              <w:t>Total Burden Hours</w:t>
            </w:r>
          </w:p>
        </w:tc>
        <w:tc>
          <w:tcPr>
            <w:tcW w:w="894" w:type="pct"/>
            <w:shd w:val="clear" w:color="auto" w:fill="D9D9D9"/>
            <w:vAlign w:val="bottom"/>
          </w:tcPr>
          <w:p w14:paraId="27F325C1" w14:textId="77777777" w:rsidR="00543394" w:rsidRPr="00461129" w:rsidRDefault="00543394" w:rsidP="00543394">
            <w:pPr>
              <w:jc w:val="center"/>
              <w:rPr>
                <w:rFonts w:ascii="Times" w:hAnsi="Times"/>
                <w:b/>
                <w:sz w:val="20"/>
              </w:rPr>
            </w:pPr>
            <w:r w:rsidRPr="00461129">
              <w:rPr>
                <w:rFonts w:ascii="Times" w:hAnsi="Times"/>
                <w:b/>
                <w:sz w:val="20"/>
              </w:rPr>
              <w:t>Cost Per Hour</w:t>
            </w:r>
          </w:p>
        </w:tc>
        <w:tc>
          <w:tcPr>
            <w:tcW w:w="1319" w:type="pct"/>
            <w:shd w:val="clear" w:color="auto" w:fill="D9D9D9"/>
            <w:vAlign w:val="bottom"/>
          </w:tcPr>
          <w:p w14:paraId="35FC2E69" w14:textId="77777777" w:rsidR="00543394" w:rsidRPr="00461129" w:rsidRDefault="00543394" w:rsidP="00543394">
            <w:pPr>
              <w:jc w:val="center"/>
              <w:rPr>
                <w:rFonts w:ascii="Times" w:hAnsi="Times"/>
                <w:b/>
                <w:sz w:val="20"/>
              </w:rPr>
            </w:pPr>
            <w:r w:rsidRPr="00461129">
              <w:rPr>
                <w:rFonts w:ascii="Times" w:hAnsi="Times"/>
                <w:b/>
                <w:sz w:val="20"/>
              </w:rPr>
              <w:t>Total Cost</w:t>
            </w:r>
          </w:p>
        </w:tc>
      </w:tr>
      <w:tr w:rsidR="00543394" w:rsidRPr="006E6E42" w14:paraId="3D9AFA30" w14:textId="77777777" w:rsidTr="00543394">
        <w:trPr>
          <w:trHeight w:val="432"/>
        </w:trPr>
        <w:tc>
          <w:tcPr>
            <w:tcW w:w="1220" w:type="pct"/>
            <w:vAlign w:val="center"/>
          </w:tcPr>
          <w:p w14:paraId="161EAEEB" w14:textId="77777777" w:rsidR="00543394" w:rsidRPr="00461129" w:rsidRDefault="007671BF" w:rsidP="00902447">
            <w:pPr>
              <w:jc w:val="center"/>
              <w:rPr>
                <w:rFonts w:ascii="Times" w:hAnsi="Times"/>
                <w:sz w:val="20"/>
              </w:rPr>
            </w:pPr>
            <w:r>
              <w:rPr>
                <w:rFonts w:ascii="Times" w:hAnsi="Times"/>
                <w:sz w:val="20"/>
              </w:rPr>
              <w:t>80</w:t>
            </w:r>
          </w:p>
        </w:tc>
        <w:tc>
          <w:tcPr>
            <w:tcW w:w="720" w:type="pct"/>
            <w:vAlign w:val="center"/>
          </w:tcPr>
          <w:p w14:paraId="32293740" w14:textId="77777777" w:rsidR="00543394" w:rsidRPr="00461129" w:rsidRDefault="00C36414" w:rsidP="00C36414">
            <w:pPr>
              <w:jc w:val="center"/>
              <w:rPr>
                <w:rFonts w:ascii="Times" w:hAnsi="Times"/>
                <w:sz w:val="20"/>
              </w:rPr>
            </w:pPr>
            <w:r w:rsidRPr="00FF0194">
              <w:rPr>
                <w:rFonts w:ascii="Times" w:hAnsi="Times"/>
                <w:sz w:val="20"/>
              </w:rPr>
              <w:t>63</w:t>
            </w:r>
            <w:r w:rsidR="004E1E3E" w:rsidRPr="00FF0194">
              <w:rPr>
                <w:rFonts w:ascii="Times" w:hAnsi="Times"/>
                <w:sz w:val="20"/>
              </w:rPr>
              <w:t>*</w:t>
            </w:r>
          </w:p>
        </w:tc>
        <w:tc>
          <w:tcPr>
            <w:tcW w:w="847" w:type="pct"/>
            <w:vAlign w:val="center"/>
          </w:tcPr>
          <w:p w14:paraId="72396FD5" w14:textId="77777777" w:rsidR="00543394" w:rsidRPr="00461129" w:rsidRDefault="00274196" w:rsidP="00902447">
            <w:pPr>
              <w:jc w:val="center"/>
              <w:rPr>
                <w:rFonts w:ascii="Times" w:hAnsi="Times"/>
                <w:sz w:val="20"/>
              </w:rPr>
            </w:pPr>
            <w:r>
              <w:rPr>
                <w:rFonts w:ascii="Times" w:hAnsi="Times"/>
                <w:sz w:val="20"/>
              </w:rPr>
              <w:t>5,040</w:t>
            </w:r>
          </w:p>
        </w:tc>
        <w:tc>
          <w:tcPr>
            <w:tcW w:w="894" w:type="pct"/>
            <w:vAlign w:val="center"/>
          </w:tcPr>
          <w:p w14:paraId="20843990" w14:textId="77777777" w:rsidR="00543394" w:rsidRPr="00461129" w:rsidRDefault="00543394" w:rsidP="00274196">
            <w:pPr>
              <w:jc w:val="center"/>
              <w:rPr>
                <w:rFonts w:ascii="Times" w:hAnsi="Times"/>
                <w:sz w:val="20"/>
              </w:rPr>
            </w:pPr>
            <w:r w:rsidRPr="00461129">
              <w:rPr>
                <w:rFonts w:ascii="Times" w:hAnsi="Times"/>
                <w:sz w:val="20"/>
              </w:rPr>
              <w:t>$</w:t>
            </w:r>
            <w:r w:rsidR="00C36414">
              <w:rPr>
                <w:rFonts w:ascii="Times" w:hAnsi="Times"/>
                <w:sz w:val="20"/>
              </w:rPr>
              <w:t>59.40</w:t>
            </w:r>
          </w:p>
        </w:tc>
        <w:tc>
          <w:tcPr>
            <w:tcW w:w="1319" w:type="pct"/>
            <w:vAlign w:val="center"/>
          </w:tcPr>
          <w:p w14:paraId="0BA11478" w14:textId="77777777" w:rsidR="00274196" w:rsidRPr="00461129" w:rsidRDefault="00274196" w:rsidP="001B7C5C">
            <w:pPr>
              <w:jc w:val="center"/>
              <w:rPr>
                <w:rFonts w:ascii="Times" w:hAnsi="Times"/>
                <w:sz w:val="20"/>
              </w:rPr>
            </w:pPr>
            <w:r>
              <w:rPr>
                <w:rFonts w:ascii="Times" w:hAnsi="Times"/>
                <w:sz w:val="20"/>
              </w:rPr>
              <w:t>$299,376</w:t>
            </w:r>
          </w:p>
        </w:tc>
      </w:tr>
    </w:tbl>
    <w:p w14:paraId="7D7CDEEC" w14:textId="77777777" w:rsidR="00543394" w:rsidRPr="0015485C" w:rsidRDefault="00543394" w:rsidP="00543394">
      <w:pPr>
        <w:jc w:val="right"/>
        <w:rPr>
          <w:rFonts w:ascii="Times" w:hAnsi="Times"/>
          <w:b/>
          <w:sz w:val="20"/>
        </w:rPr>
      </w:pPr>
      <w:r w:rsidRPr="0015485C">
        <w:rPr>
          <w:rFonts w:ascii="Times" w:hAnsi="Times"/>
          <w:b/>
          <w:sz w:val="20"/>
        </w:rPr>
        <w:t xml:space="preserve">Total cost for State and Local Respondents for </w:t>
      </w:r>
      <w:r w:rsidR="00C36414">
        <w:rPr>
          <w:rFonts w:ascii="Times" w:hAnsi="Times"/>
          <w:b/>
          <w:sz w:val="20"/>
        </w:rPr>
        <w:t>Transition to MOVES2014</w:t>
      </w:r>
      <w:r w:rsidRPr="0015485C">
        <w:rPr>
          <w:rFonts w:ascii="Times" w:hAnsi="Times"/>
          <w:b/>
          <w:sz w:val="20"/>
        </w:rPr>
        <w:t xml:space="preserve">: </w:t>
      </w:r>
      <w:r w:rsidR="00A1271A">
        <w:rPr>
          <w:rFonts w:ascii="Times" w:hAnsi="Times"/>
          <w:b/>
          <w:sz w:val="20"/>
        </w:rPr>
        <w:t>5</w:t>
      </w:r>
      <w:r w:rsidR="00207B32">
        <w:rPr>
          <w:rFonts w:ascii="Times" w:hAnsi="Times"/>
          <w:b/>
          <w:sz w:val="20"/>
        </w:rPr>
        <w:t>,</w:t>
      </w:r>
      <w:r w:rsidR="00A1271A">
        <w:rPr>
          <w:rFonts w:ascii="Times" w:hAnsi="Times"/>
          <w:b/>
          <w:sz w:val="20"/>
        </w:rPr>
        <w:t>040</w:t>
      </w:r>
      <w:r w:rsidRPr="0015485C">
        <w:rPr>
          <w:rFonts w:ascii="Times" w:hAnsi="Times"/>
          <w:b/>
          <w:sz w:val="20"/>
        </w:rPr>
        <w:t xml:space="preserve"> </w:t>
      </w:r>
      <w:r>
        <w:rPr>
          <w:rFonts w:ascii="Times" w:hAnsi="Times"/>
          <w:b/>
          <w:sz w:val="20"/>
        </w:rPr>
        <w:t>x</w:t>
      </w:r>
      <w:r w:rsidRPr="0015485C">
        <w:rPr>
          <w:rFonts w:ascii="Times" w:hAnsi="Times"/>
          <w:b/>
          <w:sz w:val="20"/>
        </w:rPr>
        <w:t xml:space="preserve"> $</w:t>
      </w:r>
      <w:r w:rsidR="00C36414">
        <w:rPr>
          <w:rFonts w:ascii="Times" w:hAnsi="Times"/>
          <w:b/>
          <w:sz w:val="20"/>
        </w:rPr>
        <w:t>59.40</w:t>
      </w:r>
      <w:r w:rsidRPr="0015485C">
        <w:rPr>
          <w:rFonts w:ascii="Times" w:hAnsi="Times"/>
          <w:b/>
          <w:sz w:val="20"/>
        </w:rPr>
        <w:t>/hour=</w:t>
      </w:r>
      <w:r>
        <w:rPr>
          <w:rFonts w:ascii="Times" w:hAnsi="Times"/>
          <w:b/>
          <w:sz w:val="20"/>
        </w:rPr>
        <w:t xml:space="preserve"> </w:t>
      </w:r>
      <w:r w:rsidR="00A1271A">
        <w:rPr>
          <w:rFonts w:ascii="Times" w:hAnsi="Times"/>
          <w:b/>
          <w:sz w:val="20"/>
        </w:rPr>
        <w:t>$299,376</w:t>
      </w:r>
    </w:p>
    <w:p w14:paraId="3A80FB9F" w14:textId="77777777" w:rsidR="00543394" w:rsidRDefault="00543394"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141CE38" w14:textId="77777777" w:rsidR="00121B86" w:rsidRDefault="004E1E3E"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For this ICR, EPA assumes that half of the MPOs have already taken a MOVES training class and have experience working with MOVES2010. EPA included a reduced amount of burden for training for a smaller percentage of staff to account for turn-over as well as transition time to convert input data between MOVES2010 and MOVES2014.</w:t>
      </w:r>
    </w:p>
    <w:p w14:paraId="5490EA72" w14:textId="77777777" w:rsidR="004E1E3E" w:rsidRDefault="004E1E3E"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i/>
        </w:rPr>
      </w:pPr>
    </w:p>
    <w:p w14:paraId="567F08C8" w14:textId="77777777" w:rsidR="0051298C" w:rsidRDefault="0051298C"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i/>
        </w:rPr>
      </w:pPr>
      <w:r>
        <w:rPr>
          <w:b/>
          <w:i/>
        </w:rPr>
        <w:t>Project-Level Conformity Determinations in Metropolitan Nonattainment and Maintenance Areas</w:t>
      </w:r>
    </w:p>
    <w:p w14:paraId="6280BF24"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810"/>
        <w:rPr>
          <w:i/>
        </w:rPr>
      </w:pPr>
    </w:p>
    <w:p w14:paraId="0031A3CB"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Tables </w:t>
      </w:r>
      <w:r w:rsidR="004364D1">
        <w:t>10</w:t>
      </w:r>
      <w:r>
        <w:t xml:space="preserve"> and </w:t>
      </w:r>
      <w:r w:rsidR="004364D1">
        <w:t>11</w:t>
      </w:r>
      <w:r>
        <w:t xml:space="preserve"> estimate the burden and cost associated with </w:t>
      </w:r>
      <w:r w:rsidR="000179C1">
        <w:t xml:space="preserve">making </w:t>
      </w:r>
      <w:r>
        <w:t xml:space="preserve">conformity determinations for projects in metropolitan nonattainment and maintenance areas. These tables are intended to illustrate burden associated with a typical project-level conformity determination. </w:t>
      </w:r>
    </w:p>
    <w:p w14:paraId="0B6562D0"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B8C84A7" w14:textId="77777777" w:rsidR="0051298C" w:rsidRDefault="0051298C" w:rsidP="00504DD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To calculate burden for state and local agencies in preparing project-level conformity determinations for these areas, EPA polled its regional offices and DOT which typically work with state and local agencies in project-level con</w:t>
      </w:r>
      <w:r w:rsidR="0049467B">
        <w:t xml:space="preserve">formity determinations. </w:t>
      </w:r>
      <w:r>
        <w:t xml:space="preserve">EPA headquarters estimated the time necessary to conduct the hot-spot analyses based on the guidance documents for these analyses and professional experience. State and local burden hours for consultation and conducting the hot-spot analyses in </w:t>
      </w:r>
      <w:r w:rsidRPr="00D856EE">
        <w:t>Table</w:t>
      </w:r>
      <w:r>
        <w:t xml:space="preserve"> </w:t>
      </w:r>
      <w:r w:rsidR="00B651EF">
        <w:t>10</w:t>
      </w:r>
      <w:r>
        <w:t xml:space="preserve"> reflect averages of the responses received.   EPA calculated the average number of annual actions</w:t>
      </w:r>
      <w:r w:rsidRPr="00FE7F02">
        <w:t xml:space="preserve"> based upon survey responses from </w:t>
      </w:r>
      <w:r>
        <w:t xml:space="preserve">EPA </w:t>
      </w:r>
      <w:r>
        <w:lastRenderedPageBreak/>
        <w:t>Regional Office</w:t>
      </w:r>
      <w:r w:rsidRPr="00FE7F02">
        <w:t>s and DOT offices that are responsible for work</w:t>
      </w:r>
      <w:r>
        <w:t xml:space="preserve">ing with state and local respondents in </w:t>
      </w:r>
      <w:r w:rsidRPr="00FE7F02">
        <w:t xml:space="preserve">making </w:t>
      </w:r>
      <w:r>
        <w:t xml:space="preserve">project-level </w:t>
      </w:r>
      <w:r w:rsidRPr="00FE7F02">
        <w:t>conformity determinations</w:t>
      </w:r>
      <w:r>
        <w:t>.</w:t>
      </w:r>
    </w:p>
    <w:p w14:paraId="68C9E0A2" w14:textId="77777777" w:rsidR="0051298C" w:rsidRDefault="0051298C" w:rsidP="00504DD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23BB9FF0" w14:textId="77777777" w:rsidR="0051298C" w:rsidRDefault="0051298C" w:rsidP="007649C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Conformity determinations for projects in metropolitan ozone and NO</w:t>
      </w:r>
      <w:r w:rsidRPr="009E1074">
        <w:rPr>
          <w:vertAlign w:val="subscript"/>
        </w:rPr>
        <w:t>2</w:t>
      </w:r>
      <w:r>
        <w:t xml:space="preserve"> nonattainment and maintenance areas are fairly straightforward, because projects only need to come from a conforming transportation plan and TIP to mee</w:t>
      </w:r>
      <w:r w:rsidR="0049467B">
        <w:t xml:space="preserve">t all conformity requirements. </w:t>
      </w:r>
      <w:r>
        <w:t>A hot-spot analysis is not required for project determinations in these nonattainment and maintenance areas.  Alternatively, conformity determinations for all non-exempt federal projects in CO areas must include either a qualitative or quantitative hot-spot analysis (depending on the type of project)</w:t>
      </w:r>
      <w:r w:rsidR="00961342">
        <w:t>.</w:t>
      </w:r>
      <w:r>
        <w:rPr>
          <w:rStyle w:val="FootnoteReference"/>
        </w:rPr>
        <w:footnoteReference w:id="25"/>
      </w:r>
      <w:r w:rsidR="0049467B">
        <w:t xml:space="preserve"> </w:t>
      </w:r>
      <w:r>
        <w:t>In PM</w:t>
      </w:r>
      <w:r w:rsidRPr="004937BA">
        <w:rPr>
          <w:rFonts w:ascii="Times" w:hAnsi="Times"/>
          <w:vertAlign w:val="subscript"/>
        </w:rPr>
        <w:t>2.5</w:t>
      </w:r>
      <w:r>
        <w:t xml:space="preserve"> and PM</w:t>
      </w:r>
      <w:r w:rsidRPr="004937BA">
        <w:rPr>
          <w:rFonts w:ascii="Times" w:hAnsi="Times"/>
          <w:vertAlign w:val="subscript"/>
        </w:rPr>
        <w:t>10</w:t>
      </w:r>
      <w:r>
        <w:t xml:space="preserve"> areas, project-level conformity determinations must include a hot-spot analysis if the project is of local air quality concern.</w:t>
      </w:r>
      <w:r>
        <w:rPr>
          <w:rStyle w:val="FootnoteReference"/>
        </w:rPr>
        <w:footnoteReference w:id="26"/>
      </w:r>
      <w:r>
        <w:t xml:space="preserve">  </w:t>
      </w:r>
    </w:p>
    <w:p w14:paraId="6FF3820B" w14:textId="77777777" w:rsidR="0051298C" w:rsidRDefault="0051298C" w:rsidP="00E50AA7">
      <w:pPr>
        <w:autoSpaceDE w:val="0"/>
        <w:autoSpaceDN w:val="0"/>
        <w:adjustRightInd w:val="0"/>
        <w:ind w:left="90" w:firstLine="630"/>
        <w:rPr>
          <w:color w:val="000000"/>
          <w:szCs w:val="24"/>
        </w:rPr>
      </w:pPr>
    </w:p>
    <w:p w14:paraId="6BD0C140" w14:textId="77777777" w:rsidR="0051298C" w:rsidRDefault="001D2BA0" w:rsidP="00DC0269">
      <w:pPr>
        <w:autoSpaceDE w:val="0"/>
        <w:autoSpaceDN w:val="0"/>
        <w:adjustRightInd w:val="0"/>
        <w:ind w:left="90" w:firstLine="630"/>
        <w:rPr>
          <w:color w:val="000000"/>
          <w:szCs w:val="24"/>
        </w:rPr>
      </w:pPr>
      <w:r>
        <w:rPr>
          <w:color w:val="000000"/>
          <w:szCs w:val="24"/>
        </w:rPr>
        <w:t>With the release of MOVES</w:t>
      </w:r>
      <w:r w:rsidR="006F0842">
        <w:rPr>
          <w:color w:val="000000"/>
          <w:szCs w:val="24"/>
        </w:rPr>
        <w:t xml:space="preserve"> </w:t>
      </w:r>
      <w:r>
        <w:rPr>
          <w:color w:val="000000"/>
          <w:szCs w:val="24"/>
        </w:rPr>
        <w:t xml:space="preserve">(and EMFAC in California) in December of 2010 and the end of the subsequent conformity grace period, all </w:t>
      </w:r>
      <w:r w:rsidR="00121B86">
        <w:rPr>
          <w:color w:val="000000"/>
          <w:szCs w:val="24"/>
        </w:rPr>
        <w:t xml:space="preserve">required </w:t>
      </w:r>
      <w:r>
        <w:rPr>
          <w:color w:val="000000"/>
          <w:szCs w:val="24"/>
        </w:rPr>
        <w:t>PM hot-spot analysis must now be quantitative.</w:t>
      </w:r>
      <w:r w:rsidR="007C4544">
        <w:rPr>
          <w:rStyle w:val="FootnoteReference"/>
          <w:color w:val="000000"/>
          <w:szCs w:val="24"/>
        </w:rPr>
        <w:footnoteReference w:id="27"/>
      </w:r>
      <w:r w:rsidR="007C4544">
        <w:rPr>
          <w:color w:val="000000"/>
          <w:szCs w:val="24"/>
        </w:rPr>
        <w:t xml:space="preserve"> </w:t>
      </w:r>
      <w:r w:rsidR="0051298C">
        <w:rPr>
          <w:color w:val="000000"/>
          <w:szCs w:val="24"/>
        </w:rPr>
        <w:t xml:space="preserve">EPA has </w:t>
      </w:r>
      <w:r w:rsidR="00C457E3">
        <w:rPr>
          <w:color w:val="000000"/>
          <w:szCs w:val="24"/>
        </w:rPr>
        <w:t xml:space="preserve">also </w:t>
      </w:r>
      <w:r w:rsidR="0051298C">
        <w:rPr>
          <w:color w:val="000000"/>
          <w:szCs w:val="24"/>
        </w:rPr>
        <w:t xml:space="preserve">issued policy guidance on </w:t>
      </w:r>
      <w:r w:rsidR="007C4544">
        <w:rPr>
          <w:color w:val="000000"/>
          <w:szCs w:val="24"/>
        </w:rPr>
        <w:t>the use of</w:t>
      </w:r>
      <w:r w:rsidR="0051298C">
        <w:rPr>
          <w:color w:val="000000"/>
          <w:szCs w:val="24"/>
        </w:rPr>
        <w:t xml:space="preserve"> these models</w:t>
      </w:r>
      <w:r w:rsidR="0049467B">
        <w:rPr>
          <w:color w:val="000000"/>
          <w:szCs w:val="24"/>
        </w:rPr>
        <w:t xml:space="preserve">. </w:t>
      </w:r>
      <w:r w:rsidR="00C457E3">
        <w:rPr>
          <w:color w:val="000000"/>
          <w:szCs w:val="24"/>
        </w:rPr>
        <w:t>The use of the MOVES model is</w:t>
      </w:r>
      <w:r w:rsidR="0051298C">
        <w:rPr>
          <w:color w:val="000000"/>
          <w:szCs w:val="24"/>
        </w:rPr>
        <w:t xml:space="preserve"> required for PM hot-spot analyses and other purposes</w:t>
      </w:r>
      <w:r w:rsidR="00961342">
        <w:rPr>
          <w:color w:val="000000"/>
          <w:szCs w:val="24"/>
        </w:rPr>
        <w:t>.</w:t>
      </w:r>
      <w:r w:rsidR="0051298C">
        <w:rPr>
          <w:rStyle w:val="FootnoteReference"/>
          <w:color w:val="000000"/>
          <w:szCs w:val="24"/>
        </w:rPr>
        <w:footnoteReference w:id="28"/>
      </w:r>
      <w:r w:rsidR="00417581">
        <w:rPr>
          <w:color w:val="000000"/>
          <w:szCs w:val="24"/>
        </w:rPr>
        <w:t xml:space="preserve"> </w:t>
      </w:r>
    </w:p>
    <w:p w14:paraId="4292ABC3" w14:textId="77777777" w:rsidR="0051298C" w:rsidRDefault="0051298C" w:rsidP="0041758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0FD426E4" w14:textId="77777777" w:rsidR="0051298C" w:rsidRDefault="0051298C" w:rsidP="00AA0F1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szCs w:val="24"/>
        </w:rPr>
      </w:pPr>
      <w:r>
        <w:rPr>
          <w:color w:val="000000"/>
          <w:szCs w:val="24"/>
        </w:rPr>
        <w:tab/>
      </w:r>
      <w:r w:rsidRPr="00D50172">
        <w:rPr>
          <w:color w:val="000000"/>
          <w:szCs w:val="24"/>
        </w:rPr>
        <w:t>The</w:t>
      </w:r>
      <w:r>
        <w:rPr>
          <w:color w:val="000000"/>
          <w:szCs w:val="24"/>
        </w:rPr>
        <w:t xml:space="preserve"> total burden estimates for project-level conformity determinations </w:t>
      </w:r>
      <w:r w:rsidRPr="00D50172">
        <w:rPr>
          <w:color w:val="000000"/>
          <w:szCs w:val="24"/>
        </w:rPr>
        <w:t xml:space="preserve">represent 50% of total state and local burden for a PM </w:t>
      </w:r>
      <w:r w:rsidR="00207B32">
        <w:rPr>
          <w:color w:val="000000"/>
          <w:szCs w:val="24"/>
        </w:rPr>
        <w:t xml:space="preserve">or CO </w:t>
      </w:r>
      <w:r w:rsidR="0049467B">
        <w:rPr>
          <w:color w:val="000000"/>
          <w:szCs w:val="24"/>
        </w:rPr>
        <w:t xml:space="preserve">hot-spot analysis. </w:t>
      </w:r>
      <w:r w:rsidRPr="00D50172">
        <w:rPr>
          <w:color w:val="000000"/>
          <w:szCs w:val="24"/>
        </w:rPr>
        <w:t>We are assuming that the analysis would also be used for satisfying NEPA requirements, so only half of the burden would be i</w:t>
      </w:r>
      <w:r w:rsidR="0049467B">
        <w:rPr>
          <w:color w:val="000000"/>
          <w:szCs w:val="24"/>
        </w:rPr>
        <w:t xml:space="preserve">ncluded in the conformity ICR. </w:t>
      </w:r>
      <w:r w:rsidRPr="00D50172">
        <w:rPr>
          <w:color w:val="000000"/>
          <w:szCs w:val="24"/>
        </w:rPr>
        <w:t xml:space="preserve">These numbers include scoping the project analysis, </w:t>
      </w:r>
      <w:r w:rsidR="00AE110A">
        <w:rPr>
          <w:color w:val="000000"/>
          <w:szCs w:val="24"/>
        </w:rPr>
        <w:t>emissions</w:t>
      </w:r>
      <w:r w:rsidRPr="00D50172">
        <w:rPr>
          <w:color w:val="000000"/>
          <w:szCs w:val="24"/>
        </w:rPr>
        <w:t xml:space="preserve"> modeling, </w:t>
      </w:r>
      <w:r>
        <w:rPr>
          <w:color w:val="000000"/>
          <w:szCs w:val="24"/>
        </w:rPr>
        <w:t>air quality modeling</w:t>
      </w:r>
      <w:r w:rsidRPr="00D50172">
        <w:rPr>
          <w:color w:val="000000"/>
          <w:szCs w:val="24"/>
        </w:rPr>
        <w:t xml:space="preserve">, determining background concentrations, calculating design values, quality assurance, and preparing the final documentation.   </w:t>
      </w:r>
    </w:p>
    <w:p w14:paraId="58E4C481" w14:textId="77777777" w:rsidR="0051298C" w:rsidRDefault="0051298C" w:rsidP="00AA0F1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szCs w:val="24"/>
        </w:rPr>
      </w:pPr>
    </w:p>
    <w:p w14:paraId="5B53743C"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The state and local burden hours for completing both qualitative </w:t>
      </w:r>
      <w:r w:rsidR="00417581">
        <w:t xml:space="preserve">CO </w:t>
      </w:r>
      <w:r>
        <w:t xml:space="preserve">and quantitative PM and CO hot-spot analyses are shown in </w:t>
      </w:r>
      <w:r w:rsidRPr="00134CE5">
        <w:t>Table</w:t>
      </w:r>
      <w:r>
        <w:t xml:space="preserve"> </w:t>
      </w:r>
      <w:r w:rsidR="00B651EF">
        <w:t>10</w:t>
      </w:r>
      <w:r w:rsidR="0049467B">
        <w:t xml:space="preserve">.  </w:t>
      </w:r>
      <w:r>
        <w:t>PA calculated the average number of annual actions</w:t>
      </w:r>
      <w:r w:rsidRPr="00FE7F02">
        <w:t xml:space="preserve"> based </w:t>
      </w:r>
      <w:r>
        <w:t>on past experience and input given by the EPA Regional Office</w:t>
      </w:r>
      <w:r w:rsidRPr="00FE7F02">
        <w:t xml:space="preserve">s and DOT </w:t>
      </w:r>
      <w:r>
        <w:t>O</w:t>
      </w:r>
      <w:r w:rsidRPr="00FE7F02">
        <w:t>ffices that are responsible for work</w:t>
      </w:r>
      <w:r>
        <w:t xml:space="preserve">ing with state and local respondents in </w:t>
      </w:r>
      <w:r w:rsidRPr="00FE7F02">
        <w:t xml:space="preserve">making </w:t>
      </w:r>
      <w:r>
        <w:t xml:space="preserve">project-level </w:t>
      </w:r>
      <w:r w:rsidRPr="00FE7F02">
        <w:t>conformity determinations</w:t>
      </w:r>
      <w:r>
        <w:t>.</w:t>
      </w:r>
      <w:r w:rsidR="0049467B">
        <w:t xml:space="preserve"> </w:t>
      </w:r>
      <w:r w:rsidR="00411CB9">
        <w:t xml:space="preserve">EPA is assuming that some data for hot-spot analyses will already be available because it is necessary for project development (e.g., traffic data).  </w:t>
      </w:r>
    </w:p>
    <w:p w14:paraId="2B9F06CD" w14:textId="77777777" w:rsidR="00167F86" w:rsidRDefault="00167F86"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ED4BA9F" w14:textId="77777777" w:rsidR="00EA5B55"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lastRenderedPageBreak/>
        <w:tab/>
      </w:r>
    </w:p>
    <w:p w14:paraId="12081891" w14:textId="77777777" w:rsidR="0051298C" w:rsidRDefault="00EA5B55"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 xml:space="preserve">Consultation with other state and local agencies is an important activity for these analyses and </w:t>
      </w:r>
      <w:r w:rsidR="0051298C" w:rsidRPr="00117923">
        <w:rPr>
          <w:rFonts w:ascii="Times" w:hAnsi="Times"/>
        </w:rPr>
        <w:t>EPA estimates that</w:t>
      </w:r>
      <w:r w:rsidR="0051298C">
        <w:rPr>
          <w:rFonts w:ascii="Times" w:hAnsi="Times"/>
        </w:rPr>
        <w:t xml:space="preserve"> on average</w:t>
      </w:r>
      <w:r w:rsidR="0051298C" w:rsidRPr="00117923">
        <w:rPr>
          <w:rFonts w:ascii="Times" w:hAnsi="Times"/>
        </w:rPr>
        <w:t xml:space="preserve"> seven state and local agencies participate in one consultation meeting on each transportation project.</w:t>
      </w:r>
      <w:r w:rsidR="0051298C">
        <w:t xml:space="preserve">  EPA is assuming that conformity-related consultation would be one of many issues discussed through consultation meetings as a project proceeds through the NEPA process.    </w:t>
      </w:r>
    </w:p>
    <w:p w14:paraId="5BA32BFF" w14:textId="77777777" w:rsidR="00290502"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tab/>
      </w:r>
    </w:p>
    <w:p w14:paraId="1DDBADC1" w14:textId="77777777" w:rsidR="0051298C" w:rsidRDefault="00290502"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 xml:space="preserve">EPA assumes that the total burden hours for project-level conformity determinations would be approximately the same for larger and smaller metropolitan areas because requirements for project-level conformity determinations do not differ based upon population size served by an MPO.  Requirements for project-level conformity determinations are the same for large and small metropolitan nonattainment and maintenance areas. </w:t>
      </w:r>
    </w:p>
    <w:p w14:paraId="0FA58FF8" w14:textId="77777777" w:rsidR="00411CB9" w:rsidRDefault="00411CB9"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5D90E22D" w14:textId="77777777" w:rsidR="00121B86" w:rsidRDefault="0051298C" w:rsidP="007172B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r>
      <w:r w:rsidDel="00412067">
        <w:t xml:space="preserve"> </w:t>
      </w:r>
    </w:p>
    <w:p w14:paraId="1A41C452"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10</w:t>
      </w:r>
      <w:r>
        <w:rPr>
          <w:b/>
        </w:rPr>
        <w:t>: State and Local Burden Hours</w:t>
      </w:r>
    </w:p>
    <w:p w14:paraId="68154DCF"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14:paraId="1456FE1B"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Metropolitan Nonattainment and Maintenance Areas</w:t>
      </w:r>
    </w:p>
    <w:p w14:paraId="685F079B"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435"/>
        <w:gridCol w:w="1445"/>
        <w:gridCol w:w="1445"/>
        <w:gridCol w:w="1221"/>
        <w:gridCol w:w="1352"/>
        <w:gridCol w:w="1350"/>
      </w:tblGrid>
      <w:tr w:rsidR="00933F33" w14:paraId="5EE38311" w14:textId="77777777" w:rsidTr="00FB0EF5">
        <w:trPr>
          <w:cantSplit/>
          <w:trHeight w:val="810"/>
        </w:trPr>
        <w:tc>
          <w:tcPr>
            <w:tcW w:w="131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0B3AF2F"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8546ACD"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9921450"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66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42212BD"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Hot-spot Analysis</w:t>
            </w:r>
          </w:p>
        </w:tc>
        <w:tc>
          <w:tcPr>
            <w:tcW w:w="73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A358FB0"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Other Activities</w:t>
            </w:r>
          </w:p>
        </w:tc>
        <w:tc>
          <w:tcPr>
            <w:tcW w:w="73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3D62129"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w:t>
            </w:r>
          </w:p>
          <w:p w14:paraId="28C31403" w14:textId="77777777"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r>
      <w:tr w:rsidR="00933F33" w14:paraId="364CDC6F" w14:textId="77777777" w:rsidTr="004C2C60">
        <w:trPr>
          <w:cantSplit/>
          <w:trHeight w:val="810"/>
        </w:trPr>
        <w:tc>
          <w:tcPr>
            <w:tcW w:w="1317" w:type="pct"/>
            <w:tcBorders>
              <w:top w:val="single" w:sz="8" w:space="0" w:color="000000"/>
            </w:tcBorders>
            <w:vAlign w:val="center"/>
          </w:tcPr>
          <w:p w14:paraId="5928040F"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Ozone, NO</w:t>
            </w:r>
            <w:r w:rsidRPr="00513A85">
              <w:rPr>
                <w:rFonts w:ascii="Times" w:hAnsi="Times"/>
                <w:sz w:val="20"/>
                <w:vertAlign w:val="subscript"/>
              </w:rPr>
              <w:t>2</w:t>
            </w:r>
            <w:r>
              <w:rPr>
                <w:sz w:val="20"/>
              </w:rPr>
              <w:t>, PM</w:t>
            </w:r>
            <w:r w:rsidRPr="00513A85">
              <w:rPr>
                <w:rFonts w:ascii="Times" w:hAnsi="Times"/>
                <w:sz w:val="20"/>
                <w:vertAlign w:val="subscript"/>
              </w:rPr>
              <w:t>2.5</w:t>
            </w:r>
            <w:r>
              <w:rPr>
                <w:sz w:val="20"/>
              </w:rPr>
              <w:t xml:space="preserve"> and PM</w:t>
            </w:r>
            <w:r w:rsidRPr="00513A85">
              <w:rPr>
                <w:rFonts w:ascii="Times" w:hAnsi="Times"/>
                <w:sz w:val="20"/>
                <w:vertAlign w:val="subscript"/>
              </w:rPr>
              <w:t>10</w:t>
            </w:r>
            <w:r>
              <w:rPr>
                <w:sz w:val="20"/>
              </w:rPr>
              <w:t xml:space="preserve"> </w:t>
            </w:r>
            <w:r>
              <w:rPr>
                <w:rStyle w:val="FootnoteReference"/>
                <w:sz w:val="20"/>
              </w:rPr>
              <w:footnoteReference w:id="29"/>
            </w:r>
          </w:p>
        </w:tc>
        <w:tc>
          <w:tcPr>
            <w:tcW w:w="781" w:type="pct"/>
            <w:tcBorders>
              <w:top w:val="single" w:sz="8" w:space="0" w:color="000000"/>
            </w:tcBorders>
            <w:vAlign w:val="center"/>
          </w:tcPr>
          <w:p w14:paraId="6F3087F7"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None</w:t>
            </w:r>
          </w:p>
        </w:tc>
        <w:tc>
          <w:tcPr>
            <w:tcW w:w="781" w:type="pct"/>
            <w:tcBorders>
              <w:top w:val="single" w:sz="8" w:space="0" w:color="000000"/>
            </w:tcBorders>
            <w:vAlign w:val="center"/>
          </w:tcPr>
          <w:p w14:paraId="33DD0ABD"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660" w:type="pct"/>
            <w:tcBorders>
              <w:top w:val="single" w:sz="8" w:space="0" w:color="000000"/>
            </w:tcBorders>
            <w:vAlign w:val="center"/>
          </w:tcPr>
          <w:p w14:paraId="41F1BFD0"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731" w:type="pct"/>
            <w:tcBorders>
              <w:top w:val="single" w:sz="8" w:space="0" w:color="000000"/>
            </w:tcBorders>
            <w:vAlign w:val="center"/>
          </w:tcPr>
          <w:p w14:paraId="72586F84" w14:textId="77777777" w:rsidR="00933F33" w:rsidDel="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730" w:type="pct"/>
            <w:tcBorders>
              <w:top w:val="single" w:sz="8" w:space="0" w:color="000000"/>
            </w:tcBorders>
            <w:vAlign w:val="center"/>
          </w:tcPr>
          <w:p w14:paraId="45BB1CCE"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r>
      <w:tr w:rsidR="003845A3" w14:paraId="5394050E" w14:textId="77777777" w:rsidTr="004C2C60">
        <w:trPr>
          <w:cantSplit/>
          <w:trHeight w:val="576"/>
        </w:trPr>
        <w:tc>
          <w:tcPr>
            <w:tcW w:w="1317" w:type="pct"/>
            <w:vAlign w:val="center"/>
          </w:tcPr>
          <w:p w14:paraId="3DB160BF" w14:textId="77777777" w:rsidR="003845A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PM</w:t>
            </w:r>
            <w:r w:rsidRPr="003845A3">
              <w:rPr>
                <w:sz w:val="20"/>
                <w:vertAlign w:val="subscript"/>
              </w:rPr>
              <w:t xml:space="preserve">2.5 </w:t>
            </w:r>
            <w:r>
              <w:rPr>
                <w:sz w:val="20"/>
              </w:rPr>
              <w:t>or PM</w:t>
            </w:r>
            <w:r w:rsidRPr="003845A3">
              <w:rPr>
                <w:sz w:val="20"/>
                <w:vertAlign w:val="subscript"/>
              </w:rPr>
              <w:t>10</w:t>
            </w:r>
          </w:p>
        </w:tc>
        <w:tc>
          <w:tcPr>
            <w:tcW w:w="781" w:type="pct"/>
            <w:vAlign w:val="center"/>
          </w:tcPr>
          <w:p w14:paraId="58D951BB" w14:textId="77777777" w:rsidR="003845A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781" w:type="pct"/>
            <w:vAlign w:val="center"/>
          </w:tcPr>
          <w:p w14:paraId="242164AD" w14:textId="77777777" w:rsidR="003845A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18</w:t>
            </w:r>
          </w:p>
        </w:tc>
        <w:tc>
          <w:tcPr>
            <w:tcW w:w="660" w:type="pct"/>
            <w:vAlign w:val="center"/>
          </w:tcPr>
          <w:p w14:paraId="30201059" w14:textId="77777777" w:rsidR="003845A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71</w:t>
            </w:r>
          </w:p>
        </w:tc>
        <w:tc>
          <w:tcPr>
            <w:tcW w:w="731" w:type="pct"/>
            <w:vAlign w:val="center"/>
          </w:tcPr>
          <w:p w14:paraId="591FF575" w14:textId="77777777" w:rsidR="003845A3" w:rsidDel="00933F3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730" w:type="pct"/>
            <w:vAlign w:val="center"/>
          </w:tcPr>
          <w:p w14:paraId="3A185C27" w14:textId="77777777" w:rsidR="003845A3" w:rsidRDefault="003845A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92</w:t>
            </w:r>
          </w:p>
        </w:tc>
      </w:tr>
      <w:tr w:rsidR="00933F33" w14:paraId="19F5522E" w14:textId="77777777" w:rsidTr="004C2C60">
        <w:trPr>
          <w:cantSplit/>
          <w:trHeight w:val="576"/>
        </w:trPr>
        <w:tc>
          <w:tcPr>
            <w:tcW w:w="1317" w:type="pct"/>
            <w:vAlign w:val="center"/>
          </w:tcPr>
          <w:p w14:paraId="7092CF76"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781" w:type="pct"/>
            <w:vAlign w:val="center"/>
          </w:tcPr>
          <w:p w14:paraId="4B2DD8DA"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781" w:type="pct"/>
            <w:vAlign w:val="center"/>
          </w:tcPr>
          <w:p w14:paraId="38E50E1E"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660" w:type="pct"/>
            <w:vAlign w:val="center"/>
          </w:tcPr>
          <w:p w14:paraId="465B7674"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w:t>
            </w:r>
          </w:p>
        </w:tc>
        <w:tc>
          <w:tcPr>
            <w:tcW w:w="731" w:type="pct"/>
            <w:vAlign w:val="center"/>
          </w:tcPr>
          <w:p w14:paraId="3DDC2D03" w14:textId="77777777" w:rsidR="00933F33" w:rsidDel="00933F33" w:rsidRDefault="00661E52"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730" w:type="pct"/>
            <w:vAlign w:val="center"/>
          </w:tcPr>
          <w:p w14:paraId="42B7A302" w14:textId="77777777" w:rsidR="00933F33" w:rsidRDefault="00661E52"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r>
      <w:tr w:rsidR="00933F33" w14:paraId="29C2C482" w14:textId="77777777" w:rsidTr="004C2C60">
        <w:trPr>
          <w:cantSplit/>
          <w:trHeight w:val="576"/>
        </w:trPr>
        <w:tc>
          <w:tcPr>
            <w:tcW w:w="1317" w:type="pct"/>
            <w:vAlign w:val="center"/>
          </w:tcPr>
          <w:p w14:paraId="735E6901"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781" w:type="pct"/>
            <w:vAlign w:val="center"/>
          </w:tcPr>
          <w:p w14:paraId="07EF3158"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781" w:type="pct"/>
            <w:vAlign w:val="center"/>
          </w:tcPr>
          <w:p w14:paraId="7E44B8AF" w14:textId="77777777" w:rsidR="00933F33" w:rsidRDefault="00E0739C"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660" w:type="pct"/>
            <w:vAlign w:val="center"/>
          </w:tcPr>
          <w:p w14:paraId="2D6E08DD" w14:textId="77777777" w:rsidR="00933F33" w:rsidRDefault="00933F33"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731" w:type="pct"/>
            <w:vAlign w:val="center"/>
          </w:tcPr>
          <w:p w14:paraId="7156C05A" w14:textId="77777777" w:rsidR="00933F33" w:rsidDel="00933F33" w:rsidRDefault="00661E52"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730" w:type="pct"/>
            <w:vAlign w:val="center"/>
          </w:tcPr>
          <w:p w14:paraId="281E3422" w14:textId="77777777" w:rsidR="00933F33" w:rsidRDefault="00661E52" w:rsidP="004C2C6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r>
    </w:tbl>
    <w:p w14:paraId="2FF985FF"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12964827" w14:textId="77777777" w:rsidR="0051298C" w:rsidRDefault="0051298C"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p w14:paraId="2A5AC2B5"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6EC589E"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4108E72"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A359EBA"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6173451"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33ECCBC"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B4122CF"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CE1493A"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9C2EA72"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5A8EFFC" w14:textId="77777777" w:rsidR="003939ED" w:rsidRDefault="003939ED"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B76666D" w14:textId="77777777" w:rsidR="0051298C" w:rsidRDefault="0051298C"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w:t>
      </w:r>
      <w:r w:rsidR="00B651EF">
        <w:rPr>
          <w:b/>
        </w:rPr>
        <w:t>11</w:t>
      </w:r>
      <w:r>
        <w:rPr>
          <w:b/>
        </w:rPr>
        <w:t>: State and Local Annual Cost</w:t>
      </w:r>
    </w:p>
    <w:p w14:paraId="28441E91"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Project-level Conformity Determinations</w:t>
      </w:r>
    </w:p>
    <w:p w14:paraId="585578A4"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Metropolitan Nonattainment and Maintenance Areas</w:t>
      </w:r>
    </w:p>
    <w:p w14:paraId="62020EDB" w14:textId="77777777"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503"/>
        <w:gridCol w:w="1151"/>
        <w:gridCol w:w="1024"/>
        <w:gridCol w:w="1535"/>
        <w:gridCol w:w="895"/>
        <w:gridCol w:w="1024"/>
        <w:gridCol w:w="1024"/>
        <w:gridCol w:w="1184"/>
      </w:tblGrid>
      <w:tr w:rsidR="0051298C" w14:paraId="640710A3" w14:textId="77777777" w:rsidTr="00963ADC">
        <w:trPr>
          <w:cantSplit/>
          <w:trHeight w:val="1330"/>
        </w:trPr>
        <w:tc>
          <w:tcPr>
            <w:tcW w:w="142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0400DB40"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2FE7EB1C"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Metropolitan Area/Pollutant</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F33683C"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Burden Hours Per Action</w:t>
            </w:r>
          </w:p>
        </w:tc>
        <w:tc>
          <w:tcPr>
            <w:tcW w:w="82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232C88D"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11447B5A"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Average</w:t>
            </w:r>
          </w:p>
          <w:p w14:paraId="0B3CF308" w14:textId="643E0C95"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Actions/year</w:t>
            </w:r>
            <w:r w:rsidR="003106A5">
              <w:rPr>
                <w:b/>
                <w:sz w:val="20"/>
              </w:rPr>
              <w:t xml:space="preserve"> per respondent</w:t>
            </w:r>
          </w:p>
        </w:tc>
        <w:tc>
          <w:tcPr>
            <w:tcW w:w="47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C442A63"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1E1ADF73"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7FAFD32"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2D02667"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3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65E22F2"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14:paraId="246F7C7A" w14:textId="77777777"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Cost</w:t>
            </w:r>
          </w:p>
        </w:tc>
      </w:tr>
      <w:tr w:rsidR="0051298C" w14:paraId="4F575A9E" w14:textId="77777777" w:rsidTr="00C3389B">
        <w:trPr>
          <w:cantSplit/>
          <w:trHeight w:val="1080"/>
        </w:trPr>
        <w:tc>
          <w:tcPr>
            <w:tcW w:w="805" w:type="pct"/>
            <w:vMerge w:val="restart"/>
            <w:tcBorders>
              <w:top w:val="single" w:sz="8" w:space="0" w:color="000000"/>
            </w:tcBorders>
            <w:vAlign w:val="center"/>
          </w:tcPr>
          <w:p w14:paraId="7E161F84"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 level conformity determination  - No Hotspot Analysis – ozone, NO</w:t>
            </w:r>
            <w:r w:rsidRPr="00723F0A">
              <w:rPr>
                <w:sz w:val="20"/>
                <w:vertAlign w:val="subscript"/>
              </w:rPr>
              <w:t>2</w:t>
            </w:r>
            <w:r>
              <w:rPr>
                <w:sz w:val="20"/>
              </w:rPr>
              <w:t>, PM</w:t>
            </w:r>
            <w:r w:rsidRPr="00723F0A">
              <w:rPr>
                <w:sz w:val="20"/>
                <w:vertAlign w:val="subscript"/>
              </w:rPr>
              <w:t>2.5</w:t>
            </w:r>
            <w:r>
              <w:rPr>
                <w:sz w:val="20"/>
              </w:rPr>
              <w:t xml:space="preserve"> and PM</w:t>
            </w:r>
            <w:r w:rsidRPr="00723F0A">
              <w:rPr>
                <w:sz w:val="20"/>
                <w:vertAlign w:val="subscript"/>
              </w:rPr>
              <w:t>10</w:t>
            </w:r>
          </w:p>
        </w:tc>
        <w:tc>
          <w:tcPr>
            <w:tcW w:w="616" w:type="pct"/>
            <w:tcBorders>
              <w:top w:val="single" w:sz="8" w:space="0" w:color="000000"/>
            </w:tcBorders>
            <w:vAlign w:val="center"/>
          </w:tcPr>
          <w:p w14:paraId="31C41725"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48" w:type="pct"/>
            <w:tcBorders>
              <w:top w:val="single" w:sz="8" w:space="0" w:color="000000"/>
            </w:tcBorders>
            <w:vAlign w:val="center"/>
          </w:tcPr>
          <w:p w14:paraId="4AB8BA96" w14:textId="77777777" w:rsidR="0051298C" w:rsidRPr="00CB148A" w:rsidRDefault="00933F33"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822" w:type="pct"/>
            <w:tcBorders>
              <w:top w:val="single" w:sz="8" w:space="0" w:color="000000"/>
            </w:tcBorders>
            <w:vAlign w:val="center"/>
          </w:tcPr>
          <w:p w14:paraId="2BDAE5A9" w14:textId="77777777" w:rsidR="0051298C" w:rsidRPr="00CB148A" w:rsidRDefault="0051298C"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65</w:t>
            </w:r>
          </w:p>
        </w:tc>
        <w:tc>
          <w:tcPr>
            <w:tcW w:w="479" w:type="pct"/>
            <w:tcBorders>
              <w:top w:val="single" w:sz="8" w:space="0" w:color="000000"/>
            </w:tcBorders>
            <w:vAlign w:val="center"/>
          </w:tcPr>
          <w:p w14:paraId="07A93DB8" w14:textId="77777777" w:rsidR="0051298C" w:rsidRPr="00FF0194" w:rsidRDefault="00D829C0"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87</w:t>
            </w:r>
          </w:p>
        </w:tc>
        <w:tc>
          <w:tcPr>
            <w:tcW w:w="548" w:type="pct"/>
            <w:tcBorders>
              <w:top w:val="single" w:sz="8" w:space="0" w:color="000000"/>
            </w:tcBorders>
            <w:vAlign w:val="center"/>
          </w:tcPr>
          <w:p w14:paraId="02B16D9A" w14:textId="77777777" w:rsidR="00E6018E" w:rsidRPr="00CB148A"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w:t>
            </w:r>
            <w:r w:rsidR="00E33A56">
              <w:rPr>
                <w:sz w:val="20"/>
              </w:rPr>
              <w:t>,</w:t>
            </w:r>
            <w:r>
              <w:rPr>
                <w:sz w:val="20"/>
              </w:rPr>
              <w:t>655</w:t>
            </w:r>
          </w:p>
        </w:tc>
        <w:tc>
          <w:tcPr>
            <w:tcW w:w="548" w:type="pct"/>
            <w:tcBorders>
              <w:top w:val="single" w:sz="8" w:space="0" w:color="000000"/>
            </w:tcBorders>
            <w:vAlign w:val="center"/>
          </w:tcPr>
          <w:p w14:paraId="6BC6516F" w14:textId="77777777" w:rsidR="0051298C" w:rsidRPr="00CB148A" w:rsidRDefault="0051298C" w:rsidP="00C3389B">
            <w:pPr>
              <w:jc w:val="center"/>
              <w:rPr>
                <w:sz w:val="20"/>
              </w:rPr>
            </w:pPr>
            <w:r>
              <w:rPr>
                <w:sz w:val="20"/>
              </w:rPr>
              <w:t>$5</w:t>
            </w:r>
            <w:r w:rsidR="00D829C0">
              <w:rPr>
                <w:sz w:val="20"/>
              </w:rPr>
              <w:t>9.40</w:t>
            </w:r>
          </w:p>
        </w:tc>
        <w:tc>
          <w:tcPr>
            <w:tcW w:w="634" w:type="pct"/>
            <w:tcBorders>
              <w:top w:val="single" w:sz="8" w:space="0" w:color="000000"/>
            </w:tcBorders>
            <w:vAlign w:val="center"/>
          </w:tcPr>
          <w:p w14:paraId="322EFAC6" w14:textId="77777777" w:rsidR="00E6018E" w:rsidRPr="00CB148A"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$335,907</w:t>
            </w:r>
          </w:p>
        </w:tc>
      </w:tr>
      <w:tr w:rsidR="0051298C" w14:paraId="10B881F0" w14:textId="77777777" w:rsidTr="00C3389B">
        <w:trPr>
          <w:cantSplit/>
          <w:trHeight w:val="1080"/>
        </w:trPr>
        <w:tc>
          <w:tcPr>
            <w:tcW w:w="805" w:type="pct"/>
            <w:vMerge/>
            <w:vAlign w:val="center"/>
          </w:tcPr>
          <w:p w14:paraId="653C2D52"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616" w:type="pct"/>
            <w:vAlign w:val="center"/>
          </w:tcPr>
          <w:p w14:paraId="50A39F65"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50,000-200,000</w:t>
            </w:r>
          </w:p>
        </w:tc>
        <w:tc>
          <w:tcPr>
            <w:tcW w:w="548" w:type="pct"/>
            <w:vAlign w:val="center"/>
          </w:tcPr>
          <w:p w14:paraId="3026C227" w14:textId="77777777" w:rsidR="0051298C" w:rsidRPr="00CB148A" w:rsidRDefault="00933F33"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822" w:type="pct"/>
            <w:vAlign w:val="center"/>
          </w:tcPr>
          <w:p w14:paraId="59F3318D" w14:textId="77777777" w:rsidR="0051298C" w:rsidRPr="00CB148A" w:rsidRDefault="0051298C"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15</w:t>
            </w:r>
          </w:p>
        </w:tc>
        <w:tc>
          <w:tcPr>
            <w:tcW w:w="479" w:type="pct"/>
            <w:vAlign w:val="center"/>
          </w:tcPr>
          <w:p w14:paraId="61C0D0D4" w14:textId="77777777" w:rsidR="0051298C" w:rsidRPr="00FF0194" w:rsidRDefault="00D829C0"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39</w:t>
            </w:r>
          </w:p>
        </w:tc>
        <w:tc>
          <w:tcPr>
            <w:tcW w:w="548" w:type="pct"/>
            <w:vAlign w:val="center"/>
          </w:tcPr>
          <w:p w14:paraId="3D18305B" w14:textId="77777777" w:rsidR="00E6018E" w:rsidRPr="00CB148A"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585</w:t>
            </w:r>
          </w:p>
        </w:tc>
        <w:tc>
          <w:tcPr>
            <w:tcW w:w="548" w:type="pct"/>
            <w:vAlign w:val="center"/>
          </w:tcPr>
          <w:p w14:paraId="6403D6A4" w14:textId="77777777" w:rsidR="0051298C" w:rsidRPr="00CB148A" w:rsidRDefault="0051298C" w:rsidP="00C3389B">
            <w:pPr>
              <w:jc w:val="center"/>
              <w:rPr>
                <w:sz w:val="20"/>
              </w:rPr>
            </w:pPr>
            <w:r>
              <w:rPr>
                <w:sz w:val="20"/>
              </w:rPr>
              <w:t>$5</w:t>
            </w:r>
            <w:r w:rsidR="00D829C0">
              <w:rPr>
                <w:sz w:val="20"/>
              </w:rPr>
              <w:t>9.40</w:t>
            </w:r>
          </w:p>
        </w:tc>
        <w:tc>
          <w:tcPr>
            <w:tcW w:w="634" w:type="pct"/>
            <w:vAlign w:val="center"/>
          </w:tcPr>
          <w:p w14:paraId="024E4BA4" w14:textId="77777777" w:rsidR="00E6018E" w:rsidRPr="00CB148A"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$34,749</w:t>
            </w:r>
          </w:p>
        </w:tc>
      </w:tr>
      <w:tr w:rsidR="0051298C" w14:paraId="55CF041D" w14:textId="77777777" w:rsidTr="00A7260B">
        <w:trPr>
          <w:cantSplit/>
          <w:trHeight w:val="20"/>
        </w:trPr>
        <w:tc>
          <w:tcPr>
            <w:tcW w:w="1421" w:type="pct"/>
            <w:gridSpan w:val="2"/>
            <w:vAlign w:val="center"/>
          </w:tcPr>
          <w:p w14:paraId="115D7FE0" w14:textId="77777777" w:rsidR="0074493F"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PM</w:t>
            </w:r>
            <w:r>
              <w:rPr>
                <w:sz w:val="20"/>
                <w:vertAlign w:val="subscript"/>
              </w:rPr>
              <w:t>2.5</w:t>
            </w:r>
            <w:r>
              <w:rPr>
                <w:sz w:val="20"/>
              </w:rPr>
              <w:t xml:space="preserve"> </w:t>
            </w:r>
            <w:r w:rsidR="00C3389B">
              <w:rPr>
                <w:sz w:val="20"/>
              </w:rPr>
              <w:t xml:space="preserve"> </w:t>
            </w:r>
          </w:p>
          <w:p w14:paraId="4AFF7AE2"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Hot-spot Analyses</w:t>
            </w:r>
          </w:p>
          <w:p w14:paraId="461A0705"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14:paraId="6F8C1944"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92</w:t>
            </w:r>
          </w:p>
        </w:tc>
        <w:tc>
          <w:tcPr>
            <w:tcW w:w="822" w:type="pct"/>
            <w:vAlign w:val="center"/>
          </w:tcPr>
          <w:p w14:paraId="6CB2265C" w14:textId="77777777" w:rsidR="00AB6F93" w:rsidRDefault="007A4A54"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0.1</w:t>
            </w:r>
            <w:r>
              <w:rPr>
                <w:rStyle w:val="FootnoteReference"/>
                <w:sz w:val="20"/>
              </w:rPr>
              <w:footnoteReference w:id="30"/>
            </w:r>
          </w:p>
        </w:tc>
        <w:tc>
          <w:tcPr>
            <w:tcW w:w="479" w:type="pct"/>
            <w:vAlign w:val="center"/>
          </w:tcPr>
          <w:p w14:paraId="09767D8E" w14:textId="77777777" w:rsidR="00AB6F93" w:rsidRPr="00FF0194" w:rsidRDefault="00C3389B"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79</w:t>
            </w:r>
          </w:p>
        </w:tc>
        <w:tc>
          <w:tcPr>
            <w:tcW w:w="548" w:type="pct"/>
            <w:vAlign w:val="center"/>
          </w:tcPr>
          <w:p w14:paraId="21BB53E1" w14:textId="77777777" w:rsidR="00AB6F93" w:rsidRDefault="00C3389B"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727</w:t>
            </w:r>
          </w:p>
        </w:tc>
        <w:tc>
          <w:tcPr>
            <w:tcW w:w="548" w:type="pct"/>
            <w:vAlign w:val="center"/>
          </w:tcPr>
          <w:p w14:paraId="2A8DA76C"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$59.40</w:t>
            </w:r>
          </w:p>
        </w:tc>
        <w:tc>
          <w:tcPr>
            <w:tcW w:w="634" w:type="pct"/>
            <w:vAlign w:val="center"/>
          </w:tcPr>
          <w:p w14:paraId="175C950E" w14:textId="77777777" w:rsidR="00AB6F93" w:rsidRDefault="007A4A54" w:rsidP="00C3389B">
            <w:pPr>
              <w:jc w:val="center"/>
              <w:rPr>
                <w:sz w:val="20"/>
              </w:rPr>
            </w:pPr>
            <w:r>
              <w:rPr>
                <w:sz w:val="20"/>
              </w:rPr>
              <w:t>$</w:t>
            </w:r>
            <w:r w:rsidR="00C3389B">
              <w:rPr>
                <w:sz w:val="20"/>
              </w:rPr>
              <w:t>43,184</w:t>
            </w:r>
          </w:p>
        </w:tc>
      </w:tr>
      <w:tr w:rsidR="0051298C" w14:paraId="2C10D15F" w14:textId="77777777" w:rsidTr="00A7260B">
        <w:trPr>
          <w:cantSplit/>
          <w:trHeight w:val="20"/>
        </w:trPr>
        <w:tc>
          <w:tcPr>
            <w:tcW w:w="1421" w:type="pct"/>
            <w:gridSpan w:val="2"/>
            <w:vAlign w:val="center"/>
          </w:tcPr>
          <w:p w14:paraId="01DDB810" w14:textId="77777777" w:rsidR="0074493F"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ascii="Times" w:hAnsi="Times"/>
                <w:sz w:val="20"/>
                <w:vertAlign w:val="subscript"/>
              </w:rPr>
            </w:pPr>
            <w:r>
              <w:rPr>
                <w:sz w:val="20"/>
              </w:rPr>
              <w:t>PM</w:t>
            </w:r>
            <w:r w:rsidRPr="00C66499">
              <w:rPr>
                <w:rFonts w:ascii="Times" w:hAnsi="Times"/>
                <w:sz w:val="20"/>
                <w:vertAlign w:val="subscript"/>
              </w:rPr>
              <w:t>10</w:t>
            </w:r>
            <w:r w:rsidR="0074493F">
              <w:rPr>
                <w:rFonts w:ascii="Times" w:hAnsi="Times"/>
                <w:sz w:val="20"/>
                <w:vertAlign w:val="subscript"/>
              </w:rPr>
              <w:t xml:space="preserve"> </w:t>
            </w:r>
          </w:p>
          <w:p w14:paraId="31EAE407"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Hot-spot Analyses</w:t>
            </w:r>
          </w:p>
          <w:p w14:paraId="1B3AAC73" w14:textId="77777777" w:rsidR="00AB6F93" w:rsidRDefault="00AB6F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14:paraId="34F68255"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92</w:t>
            </w:r>
          </w:p>
        </w:tc>
        <w:tc>
          <w:tcPr>
            <w:tcW w:w="822" w:type="pct"/>
            <w:vAlign w:val="center"/>
          </w:tcPr>
          <w:p w14:paraId="6FF2C673" w14:textId="77777777" w:rsidR="00AB6F93" w:rsidRDefault="007A4A54"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0.1</w:t>
            </w:r>
          </w:p>
        </w:tc>
        <w:tc>
          <w:tcPr>
            <w:tcW w:w="479" w:type="pct"/>
            <w:vAlign w:val="center"/>
          </w:tcPr>
          <w:p w14:paraId="4FB4263C" w14:textId="77777777" w:rsidR="00AB6F93" w:rsidRPr="00FF0194" w:rsidRDefault="00706E44"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48</w:t>
            </w:r>
          </w:p>
        </w:tc>
        <w:tc>
          <w:tcPr>
            <w:tcW w:w="548" w:type="pct"/>
            <w:vAlign w:val="center"/>
          </w:tcPr>
          <w:p w14:paraId="4D2B9A65" w14:textId="77777777" w:rsidR="00AB6F93" w:rsidRDefault="00E33A56"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442</w:t>
            </w:r>
          </w:p>
        </w:tc>
        <w:tc>
          <w:tcPr>
            <w:tcW w:w="548" w:type="pct"/>
            <w:vAlign w:val="center"/>
          </w:tcPr>
          <w:p w14:paraId="1CCF034A"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$59.40</w:t>
            </w:r>
          </w:p>
        </w:tc>
        <w:tc>
          <w:tcPr>
            <w:tcW w:w="634" w:type="pct"/>
            <w:vAlign w:val="center"/>
          </w:tcPr>
          <w:p w14:paraId="4CBDE541" w14:textId="77777777" w:rsidR="00AB6F93" w:rsidRDefault="007A4A54" w:rsidP="00C3389B">
            <w:pPr>
              <w:jc w:val="center"/>
              <w:rPr>
                <w:sz w:val="20"/>
              </w:rPr>
            </w:pPr>
            <w:r>
              <w:rPr>
                <w:sz w:val="20"/>
              </w:rPr>
              <w:t>$</w:t>
            </w:r>
            <w:r w:rsidR="00E33A56">
              <w:rPr>
                <w:sz w:val="20"/>
              </w:rPr>
              <w:t>26,255</w:t>
            </w:r>
          </w:p>
        </w:tc>
      </w:tr>
      <w:tr w:rsidR="0051298C" w14:paraId="185683F6" w14:textId="77777777" w:rsidTr="00A7260B">
        <w:trPr>
          <w:cantSplit/>
          <w:trHeight w:val="20"/>
        </w:trPr>
        <w:tc>
          <w:tcPr>
            <w:tcW w:w="1421" w:type="pct"/>
            <w:gridSpan w:val="2"/>
            <w:vAlign w:val="center"/>
          </w:tcPr>
          <w:p w14:paraId="1C3CEC6D" w14:textId="77777777" w:rsidR="0074493F"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 xml:space="preserve">CO Quantitative </w:t>
            </w:r>
          </w:p>
          <w:p w14:paraId="6846CCF0"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Hot-spot Analyses</w:t>
            </w:r>
          </w:p>
          <w:p w14:paraId="7F310DFE"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14:paraId="17F2BE50" w14:textId="77777777" w:rsidR="00AB6F93" w:rsidRDefault="00ED6850"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22</w:t>
            </w:r>
          </w:p>
        </w:tc>
        <w:tc>
          <w:tcPr>
            <w:tcW w:w="822" w:type="pct"/>
            <w:vAlign w:val="center"/>
          </w:tcPr>
          <w:p w14:paraId="567BD269" w14:textId="77777777" w:rsidR="00AB6F93" w:rsidRDefault="0051298C"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5</w:t>
            </w:r>
          </w:p>
        </w:tc>
        <w:tc>
          <w:tcPr>
            <w:tcW w:w="479" w:type="pct"/>
            <w:vAlign w:val="center"/>
          </w:tcPr>
          <w:p w14:paraId="6743EDB1" w14:textId="77777777" w:rsidR="00AB6F93" w:rsidRPr="00FF0194" w:rsidRDefault="00C3389B"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50</w:t>
            </w:r>
          </w:p>
        </w:tc>
        <w:tc>
          <w:tcPr>
            <w:tcW w:w="548" w:type="pct"/>
            <w:vAlign w:val="center"/>
          </w:tcPr>
          <w:p w14:paraId="3402A08E" w14:textId="77777777" w:rsidR="00AB6F93" w:rsidRDefault="00E33A56"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w:t>
            </w:r>
            <w:r w:rsidR="00C3389B">
              <w:rPr>
                <w:sz w:val="20"/>
              </w:rPr>
              <w:t>,500</w:t>
            </w:r>
          </w:p>
        </w:tc>
        <w:tc>
          <w:tcPr>
            <w:tcW w:w="548" w:type="pct"/>
            <w:vAlign w:val="center"/>
          </w:tcPr>
          <w:p w14:paraId="63D627B9"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$59.40</w:t>
            </w:r>
          </w:p>
        </w:tc>
        <w:tc>
          <w:tcPr>
            <w:tcW w:w="634" w:type="pct"/>
            <w:vAlign w:val="center"/>
          </w:tcPr>
          <w:p w14:paraId="29BED0A1" w14:textId="77777777" w:rsidR="00AB6F93" w:rsidRDefault="00E6018E" w:rsidP="00C3389B">
            <w:pPr>
              <w:jc w:val="center"/>
              <w:rPr>
                <w:sz w:val="20"/>
              </w:rPr>
            </w:pPr>
            <w:r>
              <w:rPr>
                <w:sz w:val="20"/>
              </w:rPr>
              <w:t>$</w:t>
            </w:r>
            <w:r w:rsidR="00E33A56">
              <w:rPr>
                <w:sz w:val="20"/>
              </w:rPr>
              <w:t>3</w:t>
            </w:r>
            <w:r w:rsidR="00C3389B">
              <w:rPr>
                <w:sz w:val="20"/>
              </w:rPr>
              <w:t>26,700</w:t>
            </w:r>
          </w:p>
        </w:tc>
      </w:tr>
      <w:tr w:rsidR="0051298C" w14:paraId="2DE40D23" w14:textId="77777777" w:rsidTr="00A7260B">
        <w:trPr>
          <w:cantSplit/>
          <w:trHeight w:val="20"/>
        </w:trPr>
        <w:tc>
          <w:tcPr>
            <w:tcW w:w="1421" w:type="pct"/>
            <w:gridSpan w:val="2"/>
            <w:vAlign w:val="center"/>
          </w:tcPr>
          <w:p w14:paraId="4A11352E" w14:textId="77777777" w:rsidR="0074493F"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 xml:space="preserve">CO Qualitative </w:t>
            </w:r>
          </w:p>
          <w:p w14:paraId="11320420"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Hot-Spot Analyses</w:t>
            </w:r>
          </w:p>
          <w:p w14:paraId="46D4EE01" w14:textId="77777777" w:rsidR="0051298C" w:rsidRDefault="0051298C" w:rsidP="00F7589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14:paraId="71BB86E9" w14:textId="77777777" w:rsidR="00AB6F93" w:rsidRDefault="00ED6850"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w:t>
            </w:r>
          </w:p>
        </w:tc>
        <w:tc>
          <w:tcPr>
            <w:tcW w:w="822" w:type="pct"/>
            <w:vAlign w:val="center"/>
          </w:tcPr>
          <w:p w14:paraId="42337DB9" w14:textId="77777777" w:rsidR="00AB6F93" w:rsidRDefault="0051298C"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0.5</w:t>
            </w:r>
          </w:p>
        </w:tc>
        <w:tc>
          <w:tcPr>
            <w:tcW w:w="479" w:type="pct"/>
            <w:vAlign w:val="center"/>
          </w:tcPr>
          <w:p w14:paraId="4C6AFD65" w14:textId="77777777" w:rsidR="00AB6F93" w:rsidRPr="00FF0194" w:rsidRDefault="00C3389B"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50</w:t>
            </w:r>
          </w:p>
        </w:tc>
        <w:tc>
          <w:tcPr>
            <w:tcW w:w="548" w:type="pct"/>
            <w:vAlign w:val="center"/>
          </w:tcPr>
          <w:p w14:paraId="3F87E7B4" w14:textId="77777777" w:rsidR="00AB6F93" w:rsidRDefault="00E33A56"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r w:rsidR="00C3389B">
              <w:rPr>
                <w:sz w:val="20"/>
              </w:rPr>
              <w:t>50</w:t>
            </w:r>
          </w:p>
        </w:tc>
        <w:tc>
          <w:tcPr>
            <w:tcW w:w="548" w:type="pct"/>
            <w:vAlign w:val="center"/>
          </w:tcPr>
          <w:p w14:paraId="5BD0C054" w14:textId="77777777" w:rsidR="00AB6F93" w:rsidRDefault="00E6018E" w:rsidP="00C338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$59.40</w:t>
            </w:r>
          </w:p>
        </w:tc>
        <w:tc>
          <w:tcPr>
            <w:tcW w:w="634" w:type="pct"/>
            <w:vAlign w:val="center"/>
          </w:tcPr>
          <w:p w14:paraId="726F2B7B" w14:textId="77777777" w:rsidR="00AB6F93" w:rsidRDefault="00E6018E" w:rsidP="00C3389B">
            <w:pPr>
              <w:jc w:val="center"/>
              <w:rPr>
                <w:sz w:val="20"/>
              </w:rPr>
            </w:pPr>
            <w:r>
              <w:rPr>
                <w:sz w:val="20"/>
              </w:rPr>
              <w:t>$</w:t>
            </w:r>
            <w:r w:rsidR="00E33A56">
              <w:rPr>
                <w:sz w:val="20"/>
              </w:rPr>
              <w:t>8,</w:t>
            </w:r>
            <w:r w:rsidR="00C3389B">
              <w:rPr>
                <w:sz w:val="20"/>
              </w:rPr>
              <w:t>910</w:t>
            </w:r>
          </w:p>
        </w:tc>
      </w:tr>
    </w:tbl>
    <w:p w14:paraId="20D8D082" w14:textId="77777777" w:rsidR="0051298C" w:rsidRPr="00A66DB0"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sidRPr="00A66DB0">
        <w:rPr>
          <w:b/>
          <w:sz w:val="20"/>
        </w:rPr>
        <w:t xml:space="preserve">Total for All Project-level Actions: </w:t>
      </w:r>
      <w:r w:rsidR="00E33A56">
        <w:rPr>
          <w:b/>
          <w:sz w:val="20"/>
        </w:rPr>
        <w:t>1</w:t>
      </w:r>
      <w:r w:rsidR="00C3389B">
        <w:rPr>
          <w:b/>
          <w:sz w:val="20"/>
        </w:rPr>
        <w:t>3</w:t>
      </w:r>
      <w:r w:rsidR="00E33A56">
        <w:rPr>
          <w:b/>
          <w:sz w:val="20"/>
        </w:rPr>
        <w:t>,</w:t>
      </w:r>
      <w:r w:rsidR="00C3389B">
        <w:rPr>
          <w:b/>
          <w:sz w:val="20"/>
        </w:rPr>
        <w:t>059</w:t>
      </w:r>
      <w:r w:rsidRPr="00A66DB0">
        <w:rPr>
          <w:b/>
          <w:sz w:val="20"/>
        </w:rPr>
        <w:t>/year x $</w:t>
      </w:r>
      <w:r>
        <w:rPr>
          <w:b/>
          <w:sz w:val="20"/>
        </w:rPr>
        <w:t>5</w:t>
      </w:r>
      <w:r w:rsidR="00D829C0">
        <w:rPr>
          <w:b/>
          <w:sz w:val="20"/>
        </w:rPr>
        <w:t>9.40</w:t>
      </w:r>
      <w:r w:rsidRPr="00A66DB0">
        <w:rPr>
          <w:b/>
          <w:sz w:val="20"/>
        </w:rPr>
        <w:t>hour= $</w:t>
      </w:r>
      <w:r w:rsidR="00E33A56">
        <w:rPr>
          <w:b/>
          <w:sz w:val="20"/>
        </w:rPr>
        <w:t>77</w:t>
      </w:r>
      <w:r w:rsidR="00C3389B">
        <w:rPr>
          <w:b/>
          <w:sz w:val="20"/>
        </w:rPr>
        <w:t>5</w:t>
      </w:r>
      <w:r w:rsidR="00E33A56">
        <w:rPr>
          <w:b/>
          <w:sz w:val="20"/>
        </w:rPr>
        <w:t>,</w:t>
      </w:r>
      <w:r w:rsidR="00C3389B">
        <w:rPr>
          <w:b/>
          <w:sz w:val="20"/>
        </w:rPr>
        <w:t>705</w:t>
      </w:r>
      <w:r>
        <w:rPr>
          <w:b/>
          <w:sz w:val="20"/>
        </w:rPr>
        <w:t>/year</w:t>
      </w:r>
    </w:p>
    <w:p w14:paraId="38C3C812" w14:textId="77777777" w:rsidR="0051298C" w:rsidRDefault="0051298C" w:rsidP="00426A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9DF20E5" w14:textId="77777777" w:rsidR="00E14AE5" w:rsidRDefault="00E14AE5" w:rsidP="00426A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FFDE08A" w14:textId="77777777" w:rsidR="0051298C" w:rsidRDefault="0051298C" w:rsidP="00AA0F1A">
      <w:pPr>
        <w:rPr>
          <w:b/>
          <w:i/>
        </w:rPr>
      </w:pPr>
      <w:r>
        <w:rPr>
          <w:b/>
          <w:i/>
        </w:rPr>
        <w:t xml:space="preserve">State and Local Burden Associated with </w:t>
      </w:r>
      <w:r w:rsidR="00417581">
        <w:rPr>
          <w:b/>
          <w:i/>
        </w:rPr>
        <w:t>the Transition to MOVES2014 for</w:t>
      </w:r>
      <w:r>
        <w:rPr>
          <w:b/>
          <w:i/>
        </w:rPr>
        <w:t xml:space="preserve"> </w:t>
      </w:r>
      <w:r w:rsidR="00E14AE5">
        <w:rPr>
          <w:b/>
          <w:i/>
        </w:rPr>
        <w:t xml:space="preserve">Project Level </w:t>
      </w:r>
      <w:r>
        <w:rPr>
          <w:b/>
          <w:i/>
        </w:rPr>
        <w:t>Requirements</w:t>
      </w:r>
    </w:p>
    <w:p w14:paraId="199BBE77" w14:textId="77777777"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6E694C7" w14:textId="77777777" w:rsidR="0051298C" w:rsidRDefault="0051298C" w:rsidP="00B27E0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estimated the state and local costs associated with the transition from </w:t>
      </w:r>
      <w:r w:rsidR="000C55EC">
        <w:t xml:space="preserve">MOVES2010 to MOVES2014 for </w:t>
      </w:r>
      <w:r>
        <w:t xml:space="preserve">quantitative PM </w:t>
      </w:r>
      <w:r w:rsidR="000C55EC">
        <w:t xml:space="preserve">and CO </w:t>
      </w:r>
      <w:r>
        <w:t xml:space="preserve">hot-spot analyses in this ICR.  </w:t>
      </w:r>
      <w:r w:rsidR="000C55EC">
        <w:t xml:space="preserve">The previous ICR included costs associated with start-up of quantitative analysis and MOVES2010.  </w:t>
      </w:r>
      <w:r>
        <w:t>Training include</w:t>
      </w:r>
      <w:r w:rsidR="000C55EC">
        <w:t>d</w:t>
      </w:r>
      <w:r>
        <w:t xml:space="preserve"> learning new quantitative PM hot-spot modeling guidance as well as training for </w:t>
      </w:r>
      <w:r>
        <w:lastRenderedPageBreak/>
        <w:t>emissions and air quality modeling.</w:t>
      </w:r>
      <w:r w:rsidR="00961342">
        <w:rPr>
          <w:rStyle w:val="FootnoteReference"/>
        </w:rPr>
        <w:footnoteReference w:id="31"/>
      </w:r>
      <w:r w:rsidR="003E1F00">
        <w:t xml:space="preserve"> </w:t>
      </w:r>
      <w:r>
        <w:t xml:space="preserve">EPA anticipates offering </w:t>
      </w:r>
      <w:r w:rsidR="000C55EC">
        <w:t xml:space="preserve">MOVES2014 </w:t>
      </w:r>
      <w:r>
        <w:t xml:space="preserve">on-site training, as well as webinars.  For burden estimates, we are anticipating utilizing webinars to present the </w:t>
      </w:r>
      <w:r w:rsidR="000C55EC">
        <w:t>revised guidance for</w:t>
      </w:r>
      <w:r>
        <w:t xml:space="preserve"> quantitative PM hot-spot guidance</w:t>
      </w:r>
      <w:r w:rsidR="000C55EC">
        <w:t xml:space="preserve"> using MOVES2014</w:t>
      </w:r>
      <w:r>
        <w:t xml:space="preserve">, advanced topics via webinars, and training for the use of emissions and air quality models.  </w:t>
      </w:r>
    </w:p>
    <w:p w14:paraId="56E65CF3" w14:textId="77777777"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5E88BB21" w14:textId="5FBC040C"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We have also included </w:t>
      </w:r>
      <w:r w:rsidRPr="00FF0194">
        <w:t>a one-time start-up burden for learning to use MOVES for quantitative CO hot-spot analyses in CO nonattainment and maintenance areas.</w:t>
      </w:r>
      <w:r>
        <w:t xml:space="preserve"> The burden hours per action is less than those in PM nonattainment and maintenance areas as the CO areas already perform quantitative analysis and therefore the start-up burden only includes training time for MOVES, rather than other aspects of CO hot-spot analyses</w:t>
      </w:r>
      <w:r w:rsidR="006F0842">
        <w:t>.</w:t>
      </w:r>
    </w:p>
    <w:p w14:paraId="3E7FCD8F" w14:textId="77777777"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7FDC85B" w14:textId="77777777" w:rsidR="0051298C" w:rsidRDefault="0051298C"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color w:val="000000"/>
          <w:szCs w:val="24"/>
        </w:rPr>
        <w:tab/>
      </w:r>
      <w:r>
        <w:t xml:space="preserve">The burden estimates in </w:t>
      </w:r>
      <w:r w:rsidRPr="00134CE5">
        <w:t>Table</w:t>
      </w:r>
      <w:r>
        <w:t>s 1</w:t>
      </w:r>
      <w:r w:rsidR="00B651EF">
        <w:t>2</w:t>
      </w:r>
      <w:r>
        <w:t xml:space="preserve"> and 1</w:t>
      </w:r>
      <w:r w:rsidR="00B651EF">
        <w:t>3</w:t>
      </w:r>
      <w:r>
        <w:t xml:space="preserve"> reflect only the share of the burden attributable to fulfilling transportation conformity requirements for hot-spot analyses (i.e. half of the burden hours associated with analyses). </w:t>
      </w:r>
    </w:p>
    <w:p w14:paraId="6DFC29FE" w14:textId="77777777" w:rsidR="00411CB9" w:rsidRDefault="00411CB9"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7DE3D46E" w14:textId="77777777" w:rsidR="003228D9" w:rsidRDefault="00411CB9" w:rsidP="002700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b/>
        </w:rPr>
      </w:pPr>
      <w:r>
        <w:tab/>
      </w:r>
    </w:p>
    <w:p w14:paraId="2859742D" w14:textId="77777777" w:rsidR="0051298C" w:rsidRPr="00FF0194" w:rsidRDefault="0051298C" w:rsidP="00AA0F1A">
      <w:pPr>
        <w:jc w:val="center"/>
        <w:rPr>
          <w:rFonts w:ascii="Times" w:hAnsi="Times"/>
          <w:b/>
        </w:rPr>
      </w:pPr>
      <w:r w:rsidRPr="006E6E42">
        <w:rPr>
          <w:rFonts w:ascii="Times" w:hAnsi="Times"/>
          <w:b/>
        </w:rPr>
        <w:t xml:space="preserve">Table </w:t>
      </w:r>
      <w:r>
        <w:rPr>
          <w:rFonts w:ascii="Times" w:hAnsi="Times"/>
          <w:b/>
        </w:rPr>
        <w:t>1</w:t>
      </w:r>
      <w:r w:rsidR="00B651EF">
        <w:rPr>
          <w:rFonts w:ascii="Times" w:hAnsi="Times"/>
          <w:b/>
        </w:rPr>
        <w:t>2</w:t>
      </w:r>
      <w:r w:rsidRPr="006E6E42">
        <w:rPr>
          <w:rFonts w:ascii="Times" w:hAnsi="Times"/>
          <w:b/>
        </w:rPr>
        <w:t xml:space="preserve">: </w:t>
      </w:r>
      <w:r w:rsidRPr="00FF0194">
        <w:rPr>
          <w:rFonts w:ascii="Times" w:hAnsi="Times"/>
          <w:b/>
        </w:rPr>
        <w:t>State and Local Burden Hours</w:t>
      </w:r>
    </w:p>
    <w:p w14:paraId="0ACAB1B3" w14:textId="77777777" w:rsidR="0051298C" w:rsidRPr="00FF0194" w:rsidRDefault="0051298C" w:rsidP="00AA0F1A">
      <w:pPr>
        <w:jc w:val="center"/>
        <w:rPr>
          <w:rFonts w:ascii="Times" w:hAnsi="Times"/>
          <w:b/>
        </w:rPr>
      </w:pPr>
      <w:r w:rsidRPr="00FF0194">
        <w:rPr>
          <w:rFonts w:ascii="Times" w:hAnsi="Times"/>
          <w:b/>
        </w:rPr>
        <w:t xml:space="preserve">One-time Start-up </w:t>
      </w:r>
    </w:p>
    <w:p w14:paraId="1D0FE138" w14:textId="77777777" w:rsidR="0051298C" w:rsidRDefault="0051298C" w:rsidP="00AA0F1A">
      <w:pPr>
        <w:jc w:val="center"/>
        <w:rPr>
          <w:rFonts w:ascii="Times" w:hAnsi="Times"/>
          <w:b/>
        </w:rPr>
      </w:pPr>
      <w:r w:rsidRPr="00FF0194">
        <w:rPr>
          <w:rFonts w:ascii="Times" w:hAnsi="Times"/>
          <w:b/>
        </w:rPr>
        <w:t xml:space="preserve">For Quantitative Hot-Spot Analysis </w:t>
      </w:r>
      <w:r w:rsidR="00CB1790" w:rsidRPr="00FF0194">
        <w:rPr>
          <w:rFonts w:ascii="Times" w:hAnsi="Times"/>
          <w:b/>
        </w:rPr>
        <w:t>Using MOVES2014</w:t>
      </w:r>
    </w:p>
    <w:p w14:paraId="053FD5DF" w14:textId="77777777" w:rsidR="0051298C" w:rsidRPr="006B06A7" w:rsidRDefault="0051298C" w:rsidP="00AA0F1A">
      <w:pPr>
        <w:jc w:val="center"/>
        <w:rPr>
          <w:rFonts w:ascii="Times" w:hAnsi="Times"/>
        </w:rPr>
      </w:pPr>
    </w:p>
    <w:tbl>
      <w:tblPr>
        <w:tblW w:w="4277"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3498"/>
      </w:tblGrid>
      <w:tr w:rsidR="0051298C" w:rsidRPr="006E6E42" w14:paraId="3DF2D69E" w14:textId="77777777" w:rsidTr="007172BE">
        <w:trPr>
          <w:trHeight w:val="432"/>
        </w:trPr>
        <w:tc>
          <w:tcPr>
            <w:tcW w:w="2813" w:type="pct"/>
            <w:shd w:val="clear" w:color="auto" w:fill="D9D9D9"/>
            <w:vAlign w:val="bottom"/>
          </w:tcPr>
          <w:p w14:paraId="7CFC8C26" w14:textId="77777777" w:rsidR="0051298C" w:rsidRPr="00461129" w:rsidRDefault="0051298C" w:rsidP="00461129">
            <w:pPr>
              <w:jc w:val="center"/>
              <w:rPr>
                <w:rFonts w:ascii="Times" w:hAnsi="Times"/>
                <w:b/>
                <w:sz w:val="20"/>
              </w:rPr>
            </w:pPr>
            <w:r w:rsidRPr="00461129">
              <w:rPr>
                <w:rFonts w:ascii="Times" w:hAnsi="Times"/>
                <w:b/>
                <w:sz w:val="20"/>
              </w:rPr>
              <w:t>Action</w:t>
            </w:r>
          </w:p>
        </w:tc>
        <w:tc>
          <w:tcPr>
            <w:tcW w:w="2187" w:type="pct"/>
            <w:shd w:val="clear" w:color="auto" w:fill="D9D9D9"/>
            <w:vAlign w:val="bottom"/>
          </w:tcPr>
          <w:p w14:paraId="7F997A39" w14:textId="77777777" w:rsidR="0051298C" w:rsidRPr="00461129" w:rsidRDefault="0051298C" w:rsidP="00461129">
            <w:pPr>
              <w:jc w:val="center"/>
              <w:rPr>
                <w:rFonts w:ascii="Times" w:hAnsi="Times"/>
                <w:b/>
                <w:sz w:val="20"/>
              </w:rPr>
            </w:pPr>
            <w:r w:rsidRPr="00461129">
              <w:rPr>
                <w:rFonts w:ascii="Times" w:hAnsi="Times"/>
                <w:b/>
                <w:sz w:val="20"/>
              </w:rPr>
              <w:t>Burden Hours per Action</w:t>
            </w:r>
          </w:p>
        </w:tc>
      </w:tr>
      <w:tr w:rsidR="0051298C" w:rsidRPr="006E6E42" w14:paraId="21C8AD03" w14:textId="77777777" w:rsidTr="007172BE">
        <w:trPr>
          <w:trHeight w:val="432"/>
        </w:trPr>
        <w:tc>
          <w:tcPr>
            <w:tcW w:w="2813" w:type="pct"/>
            <w:vAlign w:val="center"/>
          </w:tcPr>
          <w:p w14:paraId="28203342" w14:textId="77777777" w:rsidR="0051298C" w:rsidRPr="00461129" w:rsidRDefault="0051298C" w:rsidP="00461129">
            <w:pPr>
              <w:jc w:val="center"/>
              <w:rPr>
                <w:rFonts w:ascii="Times" w:hAnsi="Times"/>
                <w:sz w:val="20"/>
              </w:rPr>
            </w:pPr>
            <w:r w:rsidRPr="00461129">
              <w:rPr>
                <w:rFonts w:ascii="Times" w:hAnsi="Times"/>
                <w:sz w:val="20"/>
              </w:rPr>
              <w:t>PM Training</w:t>
            </w:r>
            <w:r w:rsidR="000B1AEE">
              <w:rPr>
                <w:rFonts w:ascii="Times" w:hAnsi="Times"/>
                <w:sz w:val="20"/>
              </w:rPr>
              <w:t xml:space="preserve"> and Start-up</w:t>
            </w:r>
          </w:p>
        </w:tc>
        <w:tc>
          <w:tcPr>
            <w:tcW w:w="2187" w:type="pct"/>
            <w:vAlign w:val="center"/>
          </w:tcPr>
          <w:p w14:paraId="765B25DE" w14:textId="77777777" w:rsidR="0051298C" w:rsidRPr="00461129" w:rsidRDefault="008836B5" w:rsidP="008836B5">
            <w:pPr>
              <w:jc w:val="center"/>
              <w:rPr>
                <w:rFonts w:ascii="Times" w:hAnsi="Times"/>
                <w:sz w:val="20"/>
              </w:rPr>
            </w:pPr>
            <w:r>
              <w:rPr>
                <w:rFonts w:ascii="Times" w:hAnsi="Times"/>
                <w:sz w:val="20"/>
              </w:rPr>
              <w:t>30</w:t>
            </w:r>
          </w:p>
        </w:tc>
      </w:tr>
      <w:tr w:rsidR="0051298C" w:rsidRPr="006E6E42" w14:paraId="50F28AD2" w14:textId="77777777" w:rsidTr="007172BE">
        <w:trPr>
          <w:trHeight w:val="432"/>
        </w:trPr>
        <w:tc>
          <w:tcPr>
            <w:tcW w:w="2813" w:type="pct"/>
            <w:vAlign w:val="center"/>
          </w:tcPr>
          <w:p w14:paraId="2AA20D34" w14:textId="77777777" w:rsidR="0051298C" w:rsidRPr="00461129" w:rsidRDefault="0051298C" w:rsidP="00461129">
            <w:pPr>
              <w:jc w:val="center"/>
              <w:rPr>
                <w:rFonts w:ascii="Times" w:hAnsi="Times"/>
                <w:sz w:val="20"/>
              </w:rPr>
            </w:pPr>
            <w:r w:rsidRPr="00461129">
              <w:rPr>
                <w:rFonts w:ascii="Times" w:hAnsi="Times"/>
                <w:sz w:val="20"/>
              </w:rPr>
              <w:t>CO Training</w:t>
            </w:r>
            <w:r w:rsidR="000B1AEE">
              <w:rPr>
                <w:rFonts w:ascii="Times" w:hAnsi="Times"/>
                <w:sz w:val="20"/>
              </w:rPr>
              <w:t xml:space="preserve"> and Start-up</w:t>
            </w:r>
          </w:p>
        </w:tc>
        <w:tc>
          <w:tcPr>
            <w:tcW w:w="2187" w:type="pct"/>
            <w:vAlign w:val="center"/>
          </w:tcPr>
          <w:p w14:paraId="25E157D0" w14:textId="77777777" w:rsidR="0051298C" w:rsidRPr="00461129" w:rsidRDefault="008836B5" w:rsidP="008836B5">
            <w:pPr>
              <w:jc w:val="center"/>
              <w:rPr>
                <w:rFonts w:ascii="Times" w:hAnsi="Times"/>
                <w:sz w:val="20"/>
              </w:rPr>
            </w:pPr>
            <w:r>
              <w:rPr>
                <w:rFonts w:ascii="Times" w:hAnsi="Times"/>
                <w:sz w:val="20"/>
              </w:rPr>
              <w:t>10</w:t>
            </w:r>
          </w:p>
        </w:tc>
      </w:tr>
    </w:tbl>
    <w:p w14:paraId="03C48657" w14:textId="77777777" w:rsidR="00AB5B74" w:rsidRDefault="00AB5B74" w:rsidP="000506CD">
      <w:pPr>
        <w:jc w:val="center"/>
        <w:rPr>
          <w:rFonts w:ascii="Times" w:hAnsi="Times"/>
          <w:b/>
        </w:rPr>
      </w:pPr>
    </w:p>
    <w:p w14:paraId="2562683C" w14:textId="77777777" w:rsidR="007172BE" w:rsidRDefault="007172BE" w:rsidP="000506CD">
      <w:pPr>
        <w:jc w:val="center"/>
        <w:rPr>
          <w:rFonts w:ascii="Times" w:hAnsi="Times"/>
          <w:b/>
        </w:rPr>
      </w:pPr>
    </w:p>
    <w:p w14:paraId="4B459B37" w14:textId="77777777" w:rsidR="0051298C" w:rsidRDefault="0051298C" w:rsidP="000506CD">
      <w:pPr>
        <w:jc w:val="center"/>
        <w:rPr>
          <w:rFonts w:ascii="Times" w:hAnsi="Times"/>
          <w:b/>
        </w:rPr>
      </w:pPr>
      <w:r w:rsidRPr="00134CE5">
        <w:rPr>
          <w:rFonts w:ascii="Times" w:hAnsi="Times"/>
          <w:b/>
        </w:rPr>
        <w:t>Table</w:t>
      </w:r>
      <w:r w:rsidRPr="006E6E42">
        <w:rPr>
          <w:rFonts w:ascii="Times" w:hAnsi="Times"/>
          <w:b/>
        </w:rPr>
        <w:t xml:space="preserve"> </w:t>
      </w:r>
      <w:r>
        <w:rPr>
          <w:rFonts w:ascii="Times" w:hAnsi="Times"/>
          <w:b/>
        </w:rPr>
        <w:t>1</w:t>
      </w:r>
      <w:r w:rsidR="00B651EF">
        <w:rPr>
          <w:rFonts w:ascii="Times" w:hAnsi="Times"/>
          <w:b/>
        </w:rPr>
        <w:t>3</w:t>
      </w:r>
      <w:r w:rsidRPr="006E6E42">
        <w:rPr>
          <w:rFonts w:ascii="Times" w:hAnsi="Times"/>
          <w:b/>
        </w:rPr>
        <w:t xml:space="preserve">: State and Local </w:t>
      </w:r>
      <w:r>
        <w:rPr>
          <w:rFonts w:ascii="Times" w:hAnsi="Times"/>
          <w:b/>
        </w:rPr>
        <w:t>Costs</w:t>
      </w:r>
    </w:p>
    <w:p w14:paraId="48606984" w14:textId="77777777" w:rsidR="0051298C" w:rsidRDefault="0051298C" w:rsidP="00AA0F1A">
      <w:pPr>
        <w:jc w:val="center"/>
        <w:rPr>
          <w:rFonts w:ascii="Times" w:hAnsi="Times"/>
          <w:b/>
        </w:rPr>
      </w:pPr>
      <w:r>
        <w:rPr>
          <w:rFonts w:ascii="Times" w:hAnsi="Times"/>
          <w:b/>
        </w:rPr>
        <w:t xml:space="preserve">One-time Start-up </w:t>
      </w:r>
    </w:p>
    <w:p w14:paraId="35BCD34E" w14:textId="77777777" w:rsidR="0051298C" w:rsidRDefault="0051298C" w:rsidP="00AA0F1A">
      <w:pPr>
        <w:jc w:val="center"/>
        <w:rPr>
          <w:rFonts w:ascii="Times" w:hAnsi="Times"/>
          <w:b/>
        </w:rPr>
      </w:pPr>
      <w:r>
        <w:rPr>
          <w:rFonts w:ascii="Times" w:hAnsi="Times"/>
          <w:b/>
        </w:rPr>
        <w:t xml:space="preserve">For </w:t>
      </w:r>
      <w:r w:rsidRPr="006E6E42">
        <w:rPr>
          <w:rFonts w:ascii="Times" w:hAnsi="Times"/>
          <w:b/>
        </w:rPr>
        <w:t xml:space="preserve">Quantitative Hot-Spot Analysis </w:t>
      </w:r>
      <w:r w:rsidR="00CB1790">
        <w:rPr>
          <w:rFonts w:ascii="Times" w:hAnsi="Times"/>
          <w:b/>
        </w:rPr>
        <w:t>Using MOVES2014</w:t>
      </w:r>
    </w:p>
    <w:p w14:paraId="280335D3" w14:textId="77777777" w:rsidR="0051298C" w:rsidRPr="006B06A7" w:rsidRDefault="0051298C" w:rsidP="00AA0F1A">
      <w:pPr>
        <w:jc w:val="cente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9"/>
        <w:gridCol w:w="2279"/>
        <w:gridCol w:w="1062"/>
        <w:gridCol w:w="1244"/>
        <w:gridCol w:w="1244"/>
        <w:gridCol w:w="1242"/>
      </w:tblGrid>
      <w:tr w:rsidR="0051298C" w:rsidRPr="006E6E42" w14:paraId="17ABFA55" w14:textId="77777777" w:rsidTr="00461129">
        <w:trPr>
          <w:trHeight w:val="432"/>
        </w:trPr>
        <w:tc>
          <w:tcPr>
            <w:tcW w:w="1219" w:type="pct"/>
            <w:shd w:val="clear" w:color="auto" w:fill="D9D9D9"/>
            <w:vAlign w:val="bottom"/>
          </w:tcPr>
          <w:p w14:paraId="1E349501" w14:textId="77777777" w:rsidR="0051298C" w:rsidRPr="00461129" w:rsidRDefault="0051298C" w:rsidP="00461129">
            <w:pPr>
              <w:jc w:val="center"/>
              <w:rPr>
                <w:rFonts w:ascii="Times" w:hAnsi="Times"/>
                <w:b/>
                <w:sz w:val="20"/>
              </w:rPr>
            </w:pPr>
            <w:r w:rsidRPr="00461129">
              <w:rPr>
                <w:rFonts w:ascii="Times" w:hAnsi="Times"/>
                <w:b/>
                <w:sz w:val="20"/>
              </w:rPr>
              <w:t>Pollutant</w:t>
            </w:r>
          </w:p>
        </w:tc>
        <w:tc>
          <w:tcPr>
            <w:tcW w:w="1219" w:type="pct"/>
            <w:shd w:val="clear" w:color="auto" w:fill="D9D9D9"/>
            <w:vAlign w:val="bottom"/>
          </w:tcPr>
          <w:p w14:paraId="6245076D" w14:textId="77777777" w:rsidR="0051298C" w:rsidRPr="00461129" w:rsidRDefault="0051298C" w:rsidP="00461129">
            <w:pPr>
              <w:jc w:val="center"/>
              <w:rPr>
                <w:rFonts w:ascii="Times" w:hAnsi="Times"/>
                <w:b/>
                <w:sz w:val="20"/>
              </w:rPr>
            </w:pPr>
            <w:r w:rsidRPr="00461129">
              <w:rPr>
                <w:rFonts w:ascii="Times" w:hAnsi="Times"/>
                <w:b/>
                <w:sz w:val="20"/>
              </w:rPr>
              <w:t xml:space="preserve">Training Hours </w:t>
            </w:r>
          </w:p>
        </w:tc>
        <w:tc>
          <w:tcPr>
            <w:tcW w:w="568" w:type="pct"/>
            <w:shd w:val="clear" w:color="auto" w:fill="D9D9D9"/>
            <w:vAlign w:val="bottom"/>
          </w:tcPr>
          <w:p w14:paraId="0D3AC60E" w14:textId="77777777" w:rsidR="0051298C" w:rsidRPr="00461129" w:rsidRDefault="0051298C" w:rsidP="00461129">
            <w:pPr>
              <w:jc w:val="center"/>
              <w:rPr>
                <w:rFonts w:ascii="Times" w:hAnsi="Times"/>
                <w:b/>
                <w:sz w:val="20"/>
              </w:rPr>
            </w:pPr>
            <w:r w:rsidRPr="00461129">
              <w:rPr>
                <w:rFonts w:ascii="Times" w:hAnsi="Times"/>
                <w:b/>
                <w:sz w:val="20"/>
              </w:rPr>
              <w:t>No. of Areas</w:t>
            </w:r>
          </w:p>
        </w:tc>
        <w:tc>
          <w:tcPr>
            <w:tcW w:w="665" w:type="pct"/>
            <w:shd w:val="clear" w:color="auto" w:fill="D9D9D9"/>
            <w:vAlign w:val="bottom"/>
          </w:tcPr>
          <w:p w14:paraId="22CCB851" w14:textId="77777777" w:rsidR="0051298C" w:rsidRPr="00461129" w:rsidRDefault="0051298C" w:rsidP="00461129">
            <w:pPr>
              <w:jc w:val="center"/>
              <w:rPr>
                <w:rFonts w:ascii="Times" w:hAnsi="Times"/>
                <w:b/>
                <w:sz w:val="20"/>
              </w:rPr>
            </w:pPr>
            <w:r w:rsidRPr="00461129">
              <w:rPr>
                <w:rFonts w:ascii="Times" w:hAnsi="Times"/>
                <w:b/>
                <w:sz w:val="20"/>
              </w:rPr>
              <w:t>Total Burden Hours</w:t>
            </w:r>
          </w:p>
        </w:tc>
        <w:tc>
          <w:tcPr>
            <w:tcW w:w="665" w:type="pct"/>
            <w:shd w:val="clear" w:color="auto" w:fill="D9D9D9"/>
            <w:vAlign w:val="bottom"/>
          </w:tcPr>
          <w:p w14:paraId="22C7BBDE" w14:textId="77777777" w:rsidR="0051298C" w:rsidRPr="00461129" w:rsidRDefault="0051298C" w:rsidP="00461129">
            <w:pPr>
              <w:jc w:val="center"/>
              <w:rPr>
                <w:rFonts w:ascii="Times" w:hAnsi="Times"/>
                <w:b/>
                <w:sz w:val="20"/>
              </w:rPr>
            </w:pPr>
            <w:r w:rsidRPr="00461129">
              <w:rPr>
                <w:rFonts w:ascii="Times" w:hAnsi="Times"/>
                <w:b/>
                <w:sz w:val="20"/>
              </w:rPr>
              <w:t>Cost Per Hour</w:t>
            </w:r>
          </w:p>
        </w:tc>
        <w:tc>
          <w:tcPr>
            <w:tcW w:w="664" w:type="pct"/>
            <w:shd w:val="clear" w:color="auto" w:fill="D9D9D9"/>
            <w:vAlign w:val="bottom"/>
          </w:tcPr>
          <w:p w14:paraId="637EEF37" w14:textId="77777777" w:rsidR="0051298C" w:rsidRPr="00461129" w:rsidRDefault="0051298C" w:rsidP="00461129">
            <w:pPr>
              <w:jc w:val="center"/>
              <w:rPr>
                <w:rFonts w:ascii="Times" w:hAnsi="Times"/>
                <w:b/>
                <w:sz w:val="20"/>
              </w:rPr>
            </w:pPr>
            <w:r w:rsidRPr="00461129">
              <w:rPr>
                <w:rFonts w:ascii="Times" w:hAnsi="Times"/>
                <w:b/>
                <w:sz w:val="20"/>
              </w:rPr>
              <w:t>Total Cost</w:t>
            </w:r>
          </w:p>
        </w:tc>
      </w:tr>
      <w:tr w:rsidR="0051298C" w:rsidRPr="006E6E42" w14:paraId="1530F1AA" w14:textId="77777777" w:rsidTr="00461129">
        <w:trPr>
          <w:trHeight w:val="432"/>
        </w:trPr>
        <w:tc>
          <w:tcPr>
            <w:tcW w:w="1219" w:type="pct"/>
            <w:vAlign w:val="center"/>
          </w:tcPr>
          <w:p w14:paraId="3BAF5131" w14:textId="77777777" w:rsidR="0051298C" w:rsidRPr="00DC2C71" w:rsidRDefault="0051298C" w:rsidP="00461129">
            <w:pPr>
              <w:jc w:val="center"/>
              <w:rPr>
                <w:rFonts w:ascii="Times" w:hAnsi="Times"/>
                <w:sz w:val="20"/>
                <w:vertAlign w:val="subscript"/>
              </w:rPr>
            </w:pPr>
            <w:r w:rsidRPr="00461129">
              <w:rPr>
                <w:rFonts w:ascii="Times" w:hAnsi="Times"/>
                <w:sz w:val="20"/>
              </w:rPr>
              <w:t>PM</w:t>
            </w:r>
            <w:r w:rsidR="00DC2C71">
              <w:rPr>
                <w:rFonts w:ascii="Times" w:hAnsi="Times"/>
                <w:sz w:val="20"/>
                <w:vertAlign w:val="subscript"/>
              </w:rPr>
              <w:t>2.5</w:t>
            </w:r>
            <w:r w:rsidR="00DC2C71">
              <w:rPr>
                <w:rFonts w:ascii="Times" w:hAnsi="Times"/>
                <w:sz w:val="20"/>
              </w:rPr>
              <w:t xml:space="preserve"> and PM</w:t>
            </w:r>
            <w:r w:rsidR="00DC2C71">
              <w:rPr>
                <w:rFonts w:ascii="Times" w:hAnsi="Times"/>
                <w:sz w:val="20"/>
                <w:vertAlign w:val="subscript"/>
              </w:rPr>
              <w:t>10</w:t>
            </w:r>
          </w:p>
        </w:tc>
        <w:tc>
          <w:tcPr>
            <w:tcW w:w="1219" w:type="pct"/>
            <w:vAlign w:val="center"/>
          </w:tcPr>
          <w:p w14:paraId="4FCA9520" w14:textId="77777777" w:rsidR="0051298C" w:rsidRPr="00461129" w:rsidRDefault="008836B5" w:rsidP="008836B5">
            <w:pPr>
              <w:jc w:val="center"/>
              <w:rPr>
                <w:rFonts w:ascii="Times" w:hAnsi="Times"/>
                <w:sz w:val="20"/>
              </w:rPr>
            </w:pPr>
            <w:r>
              <w:rPr>
                <w:rFonts w:ascii="Times" w:hAnsi="Times"/>
                <w:sz w:val="20"/>
              </w:rPr>
              <w:t>30</w:t>
            </w:r>
          </w:p>
        </w:tc>
        <w:tc>
          <w:tcPr>
            <w:tcW w:w="568" w:type="pct"/>
            <w:vAlign w:val="center"/>
          </w:tcPr>
          <w:p w14:paraId="29C7BBAD" w14:textId="77777777" w:rsidR="0051298C" w:rsidRPr="00461129" w:rsidRDefault="00CB7F08" w:rsidP="008836B5">
            <w:pPr>
              <w:jc w:val="center"/>
              <w:rPr>
                <w:rFonts w:ascii="Times" w:hAnsi="Times"/>
                <w:sz w:val="20"/>
              </w:rPr>
            </w:pPr>
            <w:r>
              <w:rPr>
                <w:rFonts w:ascii="Times" w:hAnsi="Times"/>
                <w:sz w:val="20"/>
              </w:rPr>
              <w:t>142</w:t>
            </w:r>
          </w:p>
        </w:tc>
        <w:tc>
          <w:tcPr>
            <w:tcW w:w="665" w:type="pct"/>
            <w:vAlign w:val="center"/>
          </w:tcPr>
          <w:p w14:paraId="6E77A786" w14:textId="77777777" w:rsidR="0051298C" w:rsidRPr="00461129" w:rsidRDefault="00E33A56" w:rsidP="00E33A56">
            <w:pPr>
              <w:jc w:val="center"/>
              <w:rPr>
                <w:rFonts w:ascii="Times" w:hAnsi="Times"/>
                <w:sz w:val="20"/>
              </w:rPr>
            </w:pPr>
            <w:r>
              <w:rPr>
                <w:rFonts w:ascii="Times" w:hAnsi="Times"/>
                <w:sz w:val="20"/>
              </w:rPr>
              <w:t>4,260</w:t>
            </w:r>
          </w:p>
        </w:tc>
        <w:tc>
          <w:tcPr>
            <w:tcW w:w="665" w:type="pct"/>
            <w:vAlign w:val="center"/>
          </w:tcPr>
          <w:p w14:paraId="7F62AB0C" w14:textId="77777777" w:rsidR="0051298C" w:rsidRPr="00461129" w:rsidRDefault="0051298C" w:rsidP="008836B5">
            <w:pPr>
              <w:jc w:val="center"/>
              <w:rPr>
                <w:rFonts w:ascii="Times" w:hAnsi="Times"/>
                <w:sz w:val="20"/>
              </w:rPr>
            </w:pPr>
            <w:r w:rsidRPr="00461129">
              <w:rPr>
                <w:rFonts w:ascii="Times" w:hAnsi="Times"/>
                <w:sz w:val="20"/>
              </w:rPr>
              <w:t>$5</w:t>
            </w:r>
            <w:r w:rsidR="008836B5">
              <w:rPr>
                <w:rFonts w:ascii="Times" w:hAnsi="Times"/>
                <w:sz w:val="20"/>
              </w:rPr>
              <w:t>9.40</w:t>
            </w:r>
          </w:p>
        </w:tc>
        <w:tc>
          <w:tcPr>
            <w:tcW w:w="664" w:type="pct"/>
            <w:vAlign w:val="center"/>
          </w:tcPr>
          <w:p w14:paraId="0748F6CE" w14:textId="77777777" w:rsidR="0051298C" w:rsidRPr="00461129" w:rsidRDefault="0051298C" w:rsidP="00E33A56">
            <w:pPr>
              <w:jc w:val="center"/>
              <w:rPr>
                <w:rFonts w:ascii="Times" w:hAnsi="Times"/>
                <w:sz w:val="20"/>
              </w:rPr>
            </w:pPr>
            <w:r w:rsidRPr="00461129">
              <w:rPr>
                <w:rFonts w:ascii="Times" w:hAnsi="Times"/>
                <w:sz w:val="20"/>
              </w:rPr>
              <w:t>$</w:t>
            </w:r>
            <w:r w:rsidR="00E33A56">
              <w:rPr>
                <w:rFonts w:ascii="Times" w:hAnsi="Times"/>
                <w:sz w:val="20"/>
              </w:rPr>
              <w:t>253,044</w:t>
            </w:r>
          </w:p>
        </w:tc>
      </w:tr>
      <w:tr w:rsidR="0051298C" w:rsidRPr="006E6E42" w14:paraId="7036BC95" w14:textId="77777777" w:rsidTr="00461129">
        <w:trPr>
          <w:trHeight w:val="432"/>
        </w:trPr>
        <w:tc>
          <w:tcPr>
            <w:tcW w:w="1219" w:type="pct"/>
            <w:vAlign w:val="center"/>
          </w:tcPr>
          <w:p w14:paraId="11B3BC69" w14:textId="77777777" w:rsidR="0051298C" w:rsidRPr="00461129" w:rsidRDefault="0051298C" w:rsidP="00461129">
            <w:pPr>
              <w:jc w:val="center"/>
              <w:rPr>
                <w:rFonts w:ascii="Times" w:hAnsi="Times"/>
                <w:sz w:val="20"/>
              </w:rPr>
            </w:pPr>
            <w:r w:rsidRPr="00461129">
              <w:rPr>
                <w:rFonts w:ascii="Times" w:hAnsi="Times"/>
                <w:sz w:val="20"/>
              </w:rPr>
              <w:t>CO</w:t>
            </w:r>
          </w:p>
        </w:tc>
        <w:tc>
          <w:tcPr>
            <w:tcW w:w="1219" w:type="pct"/>
            <w:vAlign w:val="center"/>
          </w:tcPr>
          <w:p w14:paraId="374FBDB8" w14:textId="77777777" w:rsidR="0051298C" w:rsidRPr="00461129" w:rsidRDefault="008836B5" w:rsidP="008836B5">
            <w:pPr>
              <w:jc w:val="center"/>
              <w:rPr>
                <w:rFonts w:ascii="Times" w:hAnsi="Times"/>
                <w:sz w:val="20"/>
              </w:rPr>
            </w:pPr>
            <w:r>
              <w:rPr>
                <w:rFonts w:ascii="Times" w:hAnsi="Times"/>
                <w:sz w:val="20"/>
              </w:rPr>
              <w:t>10</w:t>
            </w:r>
          </w:p>
        </w:tc>
        <w:tc>
          <w:tcPr>
            <w:tcW w:w="568" w:type="pct"/>
            <w:vAlign w:val="center"/>
          </w:tcPr>
          <w:p w14:paraId="092E10D1" w14:textId="77777777" w:rsidR="0051298C" w:rsidRPr="00461129" w:rsidRDefault="006E5584" w:rsidP="008836B5">
            <w:pPr>
              <w:jc w:val="center"/>
              <w:rPr>
                <w:rFonts w:ascii="Times" w:hAnsi="Times"/>
                <w:sz w:val="20"/>
              </w:rPr>
            </w:pPr>
            <w:r>
              <w:rPr>
                <w:rFonts w:ascii="Times" w:hAnsi="Times"/>
                <w:sz w:val="20"/>
              </w:rPr>
              <w:t>15</w:t>
            </w:r>
          </w:p>
        </w:tc>
        <w:tc>
          <w:tcPr>
            <w:tcW w:w="665" w:type="pct"/>
            <w:vAlign w:val="center"/>
          </w:tcPr>
          <w:p w14:paraId="4747D4A7" w14:textId="77777777" w:rsidR="0051298C" w:rsidRPr="00461129" w:rsidRDefault="00DC2C71" w:rsidP="00DC2C71">
            <w:pPr>
              <w:jc w:val="center"/>
              <w:rPr>
                <w:rFonts w:ascii="Times" w:hAnsi="Times"/>
                <w:sz w:val="20"/>
              </w:rPr>
            </w:pPr>
            <w:r>
              <w:rPr>
                <w:rFonts w:ascii="Times" w:hAnsi="Times"/>
                <w:sz w:val="20"/>
              </w:rPr>
              <w:t>150</w:t>
            </w:r>
          </w:p>
        </w:tc>
        <w:tc>
          <w:tcPr>
            <w:tcW w:w="665" w:type="pct"/>
            <w:vAlign w:val="center"/>
          </w:tcPr>
          <w:p w14:paraId="29B5E362" w14:textId="77777777" w:rsidR="0051298C" w:rsidRPr="00461129" w:rsidRDefault="0051298C" w:rsidP="008836B5">
            <w:pPr>
              <w:jc w:val="center"/>
              <w:rPr>
                <w:rFonts w:ascii="Times" w:hAnsi="Times"/>
                <w:sz w:val="20"/>
              </w:rPr>
            </w:pPr>
            <w:r w:rsidRPr="00461129">
              <w:rPr>
                <w:rFonts w:ascii="Times" w:hAnsi="Times"/>
                <w:sz w:val="20"/>
              </w:rPr>
              <w:t>$5</w:t>
            </w:r>
            <w:r w:rsidR="008836B5">
              <w:rPr>
                <w:rFonts w:ascii="Times" w:hAnsi="Times"/>
                <w:sz w:val="20"/>
              </w:rPr>
              <w:t>9.40</w:t>
            </w:r>
          </w:p>
        </w:tc>
        <w:tc>
          <w:tcPr>
            <w:tcW w:w="664" w:type="pct"/>
            <w:vAlign w:val="center"/>
          </w:tcPr>
          <w:p w14:paraId="41E102D7" w14:textId="77777777" w:rsidR="0051298C" w:rsidRPr="00461129" w:rsidRDefault="0051298C" w:rsidP="00E33A56">
            <w:pPr>
              <w:jc w:val="center"/>
              <w:rPr>
                <w:rFonts w:ascii="Times" w:hAnsi="Times"/>
                <w:sz w:val="20"/>
              </w:rPr>
            </w:pPr>
            <w:r w:rsidRPr="00461129">
              <w:rPr>
                <w:rFonts w:ascii="Times" w:hAnsi="Times"/>
                <w:sz w:val="20"/>
              </w:rPr>
              <w:t>$</w:t>
            </w:r>
            <w:r w:rsidR="00E33A56">
              <w:rPr>
                <w:rFonts w:ascii="Times" w:hAnsi="Times"/>
                <w:sz w:val="20"/>
              </w:rPr>
              <w:t>8,910</w:t>
            </w:r>
          </w:p>
        </w:tc>
      </w:tr>
    </w:tbl>
    <w:p w14:paraId="7EED8F18" w14:textId="77777777" w:rsidR="0051298C" w:rsidRPr="0015485C" w:rsidRDefault="0051298C" w:rsidP="00AA0F1A">
      <w:pPr>
        <w:jc w:val="right"/>
        <w:rPr>
          <w:rFonts w:ascii="Times" w:hAnsi="Times"/>
          <w:b/>
          <w:sz w:val="20"/>
        </w:rPr>
      </w:pPr>
      <w:r w:rsidRPr="0015485C">
        <w:rPr>
          <w:rFonts w:ascii="Times" w:hAnsi="Times"/>
          <w:b/>
          <w:sz w:val="20"/>
        </w:rPr>
        <w:t xml:space="preserve">Total cost for State and Local Respondents for Start-up of Quantitative Analysis: </w:t>
      </w:r>
      <w:r w:rsidR="00FA46B1">
        <w:rPr>
          <w:rFonts w:ascii="Times" w:hAnsi="Times"/>
          <w:b/>
          <w:sz w:val="20"/>
        </w:rPr>
        <w:t>4,410</w:t>
      </w:r>
      <w:r w:rsidRPr="0015485C">
        <w:rPr>
          <w:rFonts w:ascii="Times" w:hAnsi="Times"/>
          <w:b/>
          <w:sz w:val="20"/>
        </w:rPr>
        <w:t xml:space="preserve"> hours</w:t>
      </w:r>
      <w:r w:rsidR="00E33A56">
        <w:rPr>
          <w:rFonts w:ascii="Times" w:hAnsi="Times"/>
          <w:b/>
          <w:sz w:val="20"/>
        </w:rPr>
        <w:t>/yr</w:t>
      </w:r>
      <w:r w:rsidRPr="0015485C">
        <w:rPr>
          <w:rFonts w:ascii="Times" w:hAnsi="Times"/>
          <w:b/>
          <w:sz w:val="20"/>
        </w:rPr>
        <w:t xml:space="preserve"> </w:t>
      </w:r>
      <w:r>
        <w:rPr>
          <w:rFonts w:ascii="Times" w:hAnsi="Times"/>
          <w:b/>
          <w:sz w:val="20"/>
        </w:rPr>
        <w:t>x</w:t>
      </w:r>
      <w:r w:rsidRPr="0015485C">
        <w:rPr>
          <w:rFonts w:ascii="Times" w:hAnsi="Times"/>
          <w:b/>
          <w:sz w:val="20"/>
        </w:rPr>
        <w:t xml:space="preserve"> $5</w:t>
      </w:r>
      <w:r w:rsidR="008836B5">
        <w:rPr>
          <w:rFonts w:ascii="Times" w:hAnsi="Times"/>
          <w:b/>
          <w:sz w:val="20"/>
        </w:rPr>
        <w:t>9.40</w:t>
      </w:r>
      <w:r w:rsidRPr="0015485C">
        <w:rPr>
          <w:rFonts w:ascii="Times" w:hAnsi="Times"/>
          <w:b/>
          <w:sz w:val="20"/>
        </w:rPr>
        <w:t>/hour=</w:t>
      </w:r>
      <w:r>
        <w:rPr>
          <w:rFonts w:ascii="Times" w:hAnsi="Times"/>
          <w:b/>
          <w:sz w:val="20"/>
        </w:rPr>
        <w:t xml:space="preserve"> </w:t>
      </w:r>
      <w:r w:rsidRPr="0015485C">
        <w:rPr>
          <w:rFonts w:ascii="Times" w:hAnsi="Times"/>
          <w:b/>
          <w:sz w:val="20"/>
        </w:rPr>
        <w:t>$</w:t>
      </w:r>
      <w:r w:rsidR="00E33A56">
        <w:rPr>
          <w:rFonts w:ascii="Times" w:hAnsi="Times"/>
          <w:b/>
          <w:sz w:val="20"/>
        </w:rPr>
        <w:t>261,954/yr</w:t>
      </w:r>
    </w:p>
    <w:p w14:paraId="7A978C5E" w14:textId="77777777" w:rsidR="00AB5B74" w:rsidRDefault="0051298C"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22F0EDB5" w14:textId="77777777" w:rsidR="003370D9" w:rsidRDefault="003370D9"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FDC0077" w14:textId="77777777" w:rsidR="00A7260B" w:rsidRDefault="00AB5B74"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060A8231" w14:textId="77777777" w:rsidR="0051298C" w:rsidRDefault="00A7260B"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lastRenderedPageBreak/>
        <w:tab/>
      </w:r>
      <w:r w:rsidR="0051298C">
        <w:t>The number of PM areas in Table 1</w:t>
      </w:r>
      <w:r w:rsidR="00B651EF">
        <w:t>3</w:t>
      </w:r>
      <w:r w:rsidR="0051298C">
        <w:t xml:space="preserve"> includes both metropolitan and isolated rural areas.  Of the </w:t>
      </w:r>
      <w:r w:rsidR="00886209">
        <w:t>1</w:t>
      </w:r>
      <w:r w:rsidR="00406512">
        <w:t>69</w:t>
      </w:r>
      <w:r w:rsidR="0051298C">
        <w:t xml:space="preserve"> PM nonattainment and maintenance areas, </w:t>
      </w:r>
      <w:r w:rsidR="00886209">
        <w:t>10</w:t>
      </w:r>
      <w:r w:rsidR="0051298C">
        <w:t xml:space="preserve"> MPOs are nonattainment or maintenance for both a PM</w:t>
      </w:r>
      <w:r w:rsidR="0051298C" w:rsidRPr="00B27E01">
        <w:rPr>
          <w:vertAlign w:val="subscript"/>
        </w:rPr>
        <w:t>2.5</w:t>
      </w:r>
      <w:r w:rsidR="0051298C">
        <w:t xml:space="preserve"> and PM</w:t>
      </w:r>
      <w:r w:rsidR="0051298C" w:rsidRPr="00B27E01">
        <w:rPr>
          <w:vertAlign w:val="subscript"/>
        </w:rPr>
        <w:t>10</w:t>
      </w:r>
      <w:r w:rsidR="0051298C">
        <w:rPr>
          <w:vertAlign w:val="subscript"/>
        </w:rPr>
        <w:t xml:space="preserve"> </w:t>
      </w:r>
      <w:r w:rsidR="0051298C">
        <w:t>NAAQS</w:t>
      </w:r>
      <w:r w:rsidR="005A41FF">
        <w:t xml:space="preserve"> and </w:t>
      </w:r>
      <w:r w:rsidR="005F1039">
        <w:t>17</w:t>
      </w:r>
      <w:r w:rsidR="005A41FF">
        <w:t xml:space="preserve"> are located in California (where MOVES is not used)</w:t>
      </w:r>
      <w:r w:rsidR="00AB6F93">
        <w:t xml:space="preserve">, which reduces the total number of nonattainment and </w:t>
      </w:r>
      <w:r w:rsidR="006F0842">
        <w:t>maintenance</w:t>
      </w:r>
      <w:r w:rsidR="00AB6F93">
        <w:t xml:space="preserve"> areas to </w:t>
      </w:r>
      <w:r w:rsidR="00CB7F08">
        <w:t>142</w:t>
      </w:r>
      <w:r w:rsidR="0051298C">
        <w:t>.  We believe that there will be efficiencies gained for these areas which are not cap</w:t>
      </w:r>
      <w:r w:rsidR="00AC0A7B">
        <w:t xml:space="preserve">tured in the burden estimates. </w:t>
      </w:r>
      <w:r w:rsidR="0051298C">
        <w:t>For example, the same MOVES modeling can be used for meeting both a PM</w:t>
      </w:r>
      <w:r w:rsidR="0051298C" w:rsidRPr="003315F2">
        <w:rPr>
          <w:vertAlign w:val="subscript"/>
        </w:rPr>
        <w:t>10</w:t>
      </w:r>
      <w:r w:rsidR="0051298C">
        <w:t xml:space="preserve"> and PM</w:t>
      </w:r>
      <w:r w:rsidR="0051298C" w:rsidRPr="003315F2">
        <w:rPr>
          <w:vertAlign w:val="subscript"/>
        </w:rPr>
        <w:t>2.5</w:t>
      </w:r>
      <w:r w:rsidR="0051298C">
        <w:t xml:space="preserve"> NAAQS, rather than con</w:t>
      </w:r>
      <w:r w:rsidR="00AC0A7B">
        <w:t xml:space="preserve">duct emissions modeling twice. </w:t>
      </w:r>
      <w:r w:rsidR="0051298C">
        <w:t>However, we have not reflected these efficiencies in the ICR; we have kept the burden estimates separate for PM</w:t>
      </w:r>
      <w:r w:rsidR="0051298C" w:rsidRPr="00B27E01">
        <w:rPr>
          <w:vertAlign w:val="subscript"/>
        </w:rPr>
        <w:t>2.5</w:t>
      </w:r>
      <w:r w:rsidR="0051298C">
        <w:t xml:space="preserve"> and PM</w:t>
      </w:r>
      <w:r w:rsidR="0051298C" w:rsidRPr="00B27E01">
        <w:rPr>
          <w:vertAlign w:val="subscript"/>
        </w:rPr>
        <w:t>10</w:t>
      </w:r>
      <w:r w:rsidR="0051298C">
        <w:t xml:space="preserve"> for these areas.</w:t>
      </w:r>
    </w:p>
    <w:p w14:paraId="5C3144AD" w14:textId="77777777" w:rsidR="0051298C" w:rsidRDefault="0051298C"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924877F" w14:textId="77777777" w:rsidR="007C4544" w:rsidRDefault="0051298C" w:rsidP="00317F8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number of CO areas in Table 1</w:t>
      </w:r>
      <w:r w:rsidR="00B651EF">
        <w:t>3</w:t>
      </w:r>
      <w:r>
        <w:t xml:space="preserve"> includes both metropolitan and isolated rural areas. Of the </w:t>
      </w:r>
      <w:r w:rsidR="00886209">
        <w:t>50</w:t>
      </w:r>
      <w:r>
        <w:t xml:space="preserve"> CO nonattainment and maintenance areas, </w:t>
      </w:r>
      <w:r w:rsidR="00886209">
        <w:t>26</w:t>
      </w:r>
      <w:r>
        <w:t xml:space="preserve"> are also nonattainment or maintenance for PM and </w:t>
      </w:r>
      <w:r w:rsidR="00886209">
        <w:t>9</w:t>
      </w:r>
      <w:r>
        <w:t xml:space="preserve"> are located in California (where MOVES is not used), which reduces the total number of nonattainment and maintenance areas to </w:t>
      </w:r>
      <w:r w:rsidR="006E5584">
        <w:t>15</w:t>
      </w:r>
      <w:r>
        <w:t>.</w:t>
      </w:r>
    </w:p>
    <w:p w14:paraId="396F0D7F" w14:textId="77777777" w:rsidR="004D0FAC" w:rsidRPr="006118F3" w:rsidRDefault="004D0FA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74658C5D" w14:textId="77777777" w:rsidR="008836B5" w:rsidRDefault="008836B5"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i/>
        </w:rPr>
      </w:pPr>
    </w:p>
    <w:p w14:paraId="76C6B3B5" w14:textId="77777777" w:rsidR="0051298C" w:rsidRPr="008744CB"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sidRPr="008744CB">
        <w:rPr>
          <w:b/>
          <w:i/>
        </w:rPr>
        <w:t xml:space="preserve">Project-Level Conformity Determinations in Isolated Rural Nonattainment </w:t>
      </w:r>
      <w:r>
        <w:rPr>
          <w:b/>
          <w:i/>
        </w:rPr>
        <w:t xml:space="preserve">and Maintenance </w:t>
      </w:r>
      <w:r w:rsidRPr="008744CB">
        <w:rPr>
          <w:b/>
          <w:i/>
        </w:rPr>
        <w:t>Areas</w:t>
      </w:r>
    </w:p>
    <w:p w14:paraId="3FE9248F"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E2C5AE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CF0392">
        <w:t>Table</w:t>
      </w:r>
      <w:r>
        <w:t>s 1</w:t>
      </w:r>
      <w:r w:rsidR="00B651EF">
        <w:t>4</w:t>
      </w:r>
      <w:r>
        <w:t xml:space="preserve"> through 1</w:t>
      </w:r>
      <w:r w:rsidR="00B651EF">
        <w:t>6</w:t>
      </w:r>
      <w:r>
        <w:t xml:space="preserve"> includes the state and local government burden estimated with performing regional emissions analysis and project-level conformity determinations in ozone, CO, PM</w:t>
      </w:r>
      <w:r>
        <w:rPr>
          <w:vertAlign w:val="subscript"/>
        </w:rPr>
        <w:t>2.5</w:t>
      </w:r>
      <w:r>
        <w:t xml:space="preserve"> and PM</w:t>
      </w:r>
      <w:r w:rsidRPr="006C6D17">
        <w:rPr>
          <w:vertAlign w:val="subscript"/>
        </w:rPr>
        <w:t>10</w:t>
      </w:r>
      <w:r>
        <w:t xml:space="preserve"> isolated rural areas</w:t>
      </w:r>
      <w:r w:rsidR="00961342">
        <w:t>.</w:t>
      </w:r>
      <w:r>
        <w:rPr>
          <w:rStyle w:val="FootnoteReference"/>
        </w:rPr>
        <w:footnoteReference w:id="32"/>
      </w:r>
    </w:p>
    <w:p w14:paraId="36A7A79C"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58D5C9F0" w14:textId="77777777" w:rsidR="0051298C" w:rsidRDefault="0051298C" w:rsidP="00FA09FA">
      <w:pPr>
        <w:widowControl w:val="0"/>
        <w:tabs>
          <w:tab w:val="left" w:pos="72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120"/>
      </w:pPr>
      <w:r>
        <w:tab/>
        <w:t xml:space="preserve">EPA considered several factors in developing these estimates. EPA assumed that state departments of transportation will continue to be the lead agency in preparing project-level conformity determinations in all isolated rural areas.  Some state air quality agencies may also provide emissions modeling assistance to isolated rural areas, as is now done in some areas.  </w:t>
      </w:r>
    </w:p>
    <w:p w14:paraId="1CB0D3DB" w14:textId="77777777" w:rsidR="0051298C" w:rsidRDefault="0051298C" w:rsidP="00FA09FA">
      <w:pPr>
        <w:widowControl w:val="0"/>
        <w:tabs>
          <w:tab w:val="left" w:pos="72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120"/>
      </w:pPr>
    </w:p>
    <w:p w14:paraId="46BC3FF7" w14:textId="77777777"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We also retained the assumption made in the previous ICR (</w:t>
      </w:r>
      <w:r w:rsidRPr="004F3DC4">
        <w:t>2130.0</w:t>
      </w:r>
      <w:r w:rsidR="00CB1790">
        <w:t>4</w:t>
      </w:r>
      <w:r w:rsidRPr="00A04825">
        <w:t xml:space="preserve">) </w:t>
      </w:r>
      <w:r>
        <w:t>supporting statement that isolated rural areas that are nonattainment or maintenance for more than one pollutant/NAAQS will have additional burden hours, because these areas may be required to conduct a regional emissions analysis for an additional year and may have additiona</w:t>
      </w:r>
      <w:r w:rsidR="00AC0A7B">
        <w:t xml:space="preserve">l technical issues to resolve. </w:t>
      </w:r>
      <w:r>
        <w:t xml:space="preserve">Therefore, we included more burden hours for consultation, conducting regional emissions analysis, and performing other activities in these areas, as in previous ICRs. </w:t>
      </w:r>
    </w:p>
    <w:p w14:paraId="3EEEC48B" w14:textId="77777777" w:rsidR="00111F84" w:rsidRDefault="00111F84"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8F6CBDB" w14:textId="77777777" w:rsidR="00604B8A" w:rsidRDefault="00604B8A"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5EF775B6"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66BA933"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B46DA72"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8374E35"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CC03EC4"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634B42D"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EF10D6C" w14:textId="77777777" w:rsidR="003939ED" w:rsidRDefault="003939ED"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09CB15D" w14:textId="77777777" w:rsidR="0051298C" w:rsidRDefault="0051298C" w:rsidP="00604B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w:t>
      </w:r>
      <w:r w:rsidR="00B651EF">
        <w:rPr>
          <w:b/>
        </w:rPr>
        <w:t>14</w:t>
      </w:r>
      <w:r>
        <w:rPr>
          <w:b/>
        </w:rPr>
        <w:t>: State and Local Burden Hours</w:t>
      </w:r>
    </w:p>
    <w:p w14:paraId="264D216A"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14:paraId="7807B72C"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Regional Emissions Analysis</w:t>
      </w:r>
    </w:p>
    <w:p w14:paraId="5B0B00C1"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For Isolated Rural Areas – Population Less Than 50,000</w:t>
      </w:r>
    </w:p>
    <w:p w14:paraId="5028C9FF"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3452"/>
        <w:gridCol w:w="1726"/>
        <w:gridCol w:w="1422"/>
        <w:gridCol w:w="1625"/>
        <w:gridCol w:w="1115"/>
      </w:tblGrid>
      <w:tr w:rsidR="0051298C" w14:paraId="65AD3044" w14:textId="77777777"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7DA2C54"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7E3738D"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0BD4A452"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7B084D3"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9E484D8"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Misc.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EC9256A"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14:paraId="09FB0BF7" w14:textId="77777777" w:rsidTr="00DE1DF6">
        <w:trPr>
          <w:cantSplit/>
          <w:trHeight w:val="432"/>
        </w:trPr>
        <w:tc>
          <w:tcPr>
            <w:tcW w:w="1848" w:type="pct"/>
            <w:tcBorders>
              <w:top w:val="single" w:sz="8" w:space="0" w:color="000000"/>
            </w:tcBorders>
            <w:vAlign w:val="center"/>
          </w:tcPr>
          <w:p w14:paraId="40219BF6"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One Pollutant/NAAQS</w:t>
            </w:r>
          </w:p>
        </w:tc>
        <w:tc>
          <w:tcPr>
            <w:tcW w:w="924" w:type="pct"/>
            <w:tcBorders>
              <w:top w:val="single" w:sz="8" w:space="0" w:color="000000"/>
            </w:tcBorders>
            <w:vAlign w:val="center"/>
          </w:tcPr>
          <w:p w14:paraId="6468FE7D" w14:textId="77777777"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28</w:t>
            </w:r>
          </w:p>
        </w:tc>
        <w:tc>
          <w:tcPr>
            <w:tcW w:w="761" w:type="pct"/>
            <w:tcBorders>
              <w:top w:val="single" w:sz="8" w:space="0" w:color="000000"/>
            </w:tcBorders>
            <w:vAlign w:val="center"/>
          </w:tcPr>
          <w:p w14:paraId="2AF7DE3F" w14:textId="77777777" w:rsidR="0051298C" w:rsidRDefault="004D0FA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65</w:t>
            </w:r>
          </w:p>
        </w:tc>
        <w:tc>
          <w:tcPr>
            <w:tcW w:w="870" w:type="pct"/>
            <w:tcBorders>
              <w:top w:val="single" w:sz="8" w:space="0" w:color="000000"/>
            </w:tcBorders>
            <w:vAlign w:val="center"/>
          </w:tcPr>
          <w:p w14:paraId="0215F2C1"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15</w:t>
            </w:r>
          </w:p>
        </w:tc>
        <w:tc>
          <w:tcPr>
            <w:tcW w:w="598" w:type="pct"/>
            <w:tcBorders>
              <w:top w:val="single" w:sz="8" w:space="0" w:color="000000"/>
            </w:tcBorders>
            <w:vAlign w:val="center"/>
          </w:tcPr>
          <w:p w14:paraId="1F0E7DC1" w14:textId="77777777"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108</w:t>
            </w:r>
          </w:p>
        </w:tc>
      </w:tr>
      <w:tr w:rsidR="0051298C" w14:paraId="5F58E27F" w14:textId="77777777" w:rsidTr="00DE1DF6">
        <w:trPr>
          <w:cantSplit/>
          <w:trHeight w:val="432"/>
        </w:trPr>
        <w:tc>
          <w:tcPr>
            <w:tcW w:w="1848" w:type="pct"/>
            <w:vAlign w:val="center"/>
          </w:tcPr>
          <w:p w14:paraId="7F06CBB5"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Two Pollutants/NAAQS</w:t>
            </w:r>
          </w:p>
        </w:tc>
        <w:tc>
          <w:tcPr>
            <w:tcW w:w="924" w:type="pct"/>
            <w:vAlign w:val="center"/>
          </w:tcPr>
          <w:p w14:paraId="42C1DBCF" w14:textId="77777777"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33</w:t>
            </w:r>
          </w:p>
        </w:tc>
        <w:tc>
          <w:tcPr>
            <w:tcW w:w="761" w:type="pct"/>
            <w:vAlign w:val="center"/>
          </w:tcPr>
          <w:p w14:paraId="221A742F" w14:textId="77777777" w:rsidR="0051298C" w:rsidRDefault="004D0FA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90</w:t>
            </w:r>
          </w:p>
        </w:tc>
        <w:tc>
          <w:tcPr>
            <w:tcW w:w="870" w:type="pct"/>
            <w:vAlign w:val="center"/>
          </w:tcPr>
          <w:p w14:paraId="6BE7FCB3" w14:textId="77777777"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20</w:t>
            </w:r>
          </w:p>
        </w:tc>
        <w:tc>
          <w:tcPr>
            <w:tcW w:w="598" w:type="pct"/>
            <w:vAlign w:val="center"/>
          </w:tcPr>
          <w:p w14:paraId="3DD63FC3" w14:textId="77777777"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143</w:t>
            </w:r>
          </w:p>
        </w:tc>
      </w:tr>
    </w:tbl>
    <w:p w14:paraId="6FF606FD"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C77047B" w14:textId="77777777" w:rsidR="003F3745" w:rsidRDefault="003F3745"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CF3C42B"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FF0194">
        <w:rPr>
          <w:b/>
        </w:rPr>
        <w:t xml:space="preserve">Table </w:t>
      </w:r>
      <w:r w:rsidR="00B651EF" w:rsidRPr="00FF0194">
        <w:rPr>
          <w:b/>
        </w:rPr>
        <w:t>15</w:t>
      </w:r>
      <w:r w:rsidRPr="00FF0194">
        <w:rPr>
          <w:b/>
        </w:rPr>
        <w:t>: State and Local Annual Cost</w:t>
      </w:r>
    </w:p>
    <w:p w14:paraId="7EB96528" w14:textId="77777777" w:rsidR="0051298C" w:rsidRPr="00A51706"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14:paraId="296AB0EF"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A51706">
        <w:rPr>
          <w:b/>
        </w:rPr>
        <w:t xml:space="preserve">Regional Emissions Analysis </w:t>
      </w:r>
    </w:p>
    <w:p w14:paraId="7D128EF9"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A51706">
        <w:rPr>
          <w:b/>
        </w:rPr>
        <w:t>For Isolated Rural Areas – Population Less than 50,000</w:t>
      </w:r>
    </w:p>
    <w:p w14:paraId="4C03D19B" w14:textId="77777777" w:rsidR="0051298C" w:rsidRPr="00A51706"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993"/>
        <w:gridCol w:w="760"/>
        <w:gridCol w:w="1228"/>
        <w:gridCol w:w="861"/>
        <w:gridCol w:w="766"/>
        <w:gridCol w:w="1083"/>
        <w:gridCol w:w="1087"/>
      </w:tblGrid>
      <w:tr w:rsidR="00321F3E" w14:paraId="0A7801AB" w14:textId="63ADD6FF" w:rsidTr="007B17C9">
        <w:trPr>
          <w:trHeight w:val="432"/>
        </w:trPr>
        <w:tc>
          <w:tcPr>
            <w:tcW w:w="1381" w:type="pct"/>
            <w:shd w:val="clear" w:color="auto" w:fill="D9D9D9"/>
            <w:vAlign w:val="bottom"/>
          </w:tcPr>
          <w:p w14:paraId="498CF78E"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Demonstrating Conformity For</w:t>
            </w:r>
          </w:p>
        </w:tc>
        <w:tc>
          <w:tcPr>
            <w:tcW w:w="536" w:type="pct"/>
            <w:shd w:val="clear" w:color="auto" w:fill="D9D9D9"/>
            <w:vAlign w:val="bottom"/>
          </w:tcPr>
          <w:p w14:paraId="4001F108" w14:textId="77777777" w:rsidR="00321F3E" w:rsidRPr="00461129" w:rsidRDefault="00321F3E" w:rsidP="003F374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 xml:space="preserve">Burden Hours </w:t>
            </w:r>
          </w:p>
        </w:tc>
        <w:tc>
          <w:tcPr>
            <w:tcW w:w="411" w:type="pct"/>
            <w:shd w:val="clear" w:color="auto" w:fill="D9D9D9"/>
            <w:vAlign w:val="bottom"/>
          </w:tcPr>
          <w:p w14:paraId="25888FB5"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No. of Areas</w:t>
            </w:r>
          </w:p>
        </w:tc>
        <w:tc>
          <w:tcPr>
            <w:tcW w:w="627" w:type="pct"/>
            <w:shd w:val="clear" w:color="auto" w:fill="D9D9D9"/>
            <w:vAlign w:val="bottom"/>
          </w:tcPr>
          <w:p w14:paraId="289DDD74" w14:textId="4AF427C3" w:rsidR="00321F3E" w:rsidRDefault="00321F3E" w:rsidP="00B81F6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p>
          <w:p w14:paraId="02FDD764" w14:textId="07202DEF" w:rsidR="00321F3E" w:rsidRPr="00461129" w:rsidRDefault="00321F3E" w:rsidP="007B17C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Pr>
                <w:b/>
                <w:sz w:val="20"/>
              </w:rPr>
              <w:t xml:space="preserve">Actions per </w:t>
            </w:r>
            <w:r w:rsidR="007B17C9">
              <w:rPr>
                <w:b/>
                <w:sz w:val="20"/>
              </w:rPr>
              <w:t>Y</w:t>
            </w:r>
            <w:r>
              <w:rPr>
                <w:b/>
                <w:sz w:val="20"/>
              </w:rPr>
              <w:t xml:space="preserve">ear per </w:t>
            </w:r>
            <w:r w:rsidR="007B17C9">
              <w:rPr>
                <w:b/>
                <w:sz w:val="20"/>
              </w:rPr>
              <w:t>R</w:t>
            </w:r>
            <w:r>
              <w:rPr>
                <w:b/>
                <w:sz w:val="20"/>
              </w:rPr>
              <w:t>espondent</w:t>
            </w:r>
          </w:p>
        </w:tc>
        <w:tc>
          <w:tcPr>
            <w:tcW w:w="460" w:type="pct"/>
            <w:shd w:val="clear" w:color="auto" w:fill="D9D9D9"/>
            <w:vAlign w:val="bottom"/>
          </w:tcPr>
          <w:p w14:paraId="5F3CD97D"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Total Annual Burden Hours</w:t>
            </w:r>
          </w:p>
        </w:tc>
        <w:tc>
          <w:tcPr>
            <w:tcW w:w="411" w:type="pct"/>
            <w:shd w:val="clear" w:color="auto" w:fill="D9D9D9"/>
            <w:vAlign w:val="bottom"/>
          </w:tcPr>
          <w:p w14:paraId="3C70792A"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Cost Per Hour</w:t>
            </w:r>
          </w:p>
        </w:tc>
        <w:tc>
          <w:tcPr>
            <w:tcW w:w="587" w:type="pct"/>
            <w:shd w:val="clear" w:color="auto" w:fill="D9D9D9"/>
            <w:vAlign w:val="bottom"/>
          </w:tcPr>
          <w:p w14:paraId="41E50830"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Total Annual Cost</w:t>
            </w:r>
          </w:p>
        </w:tc>
        <w:tc>
          <w:tcPr>
            <w:tcW w:w="586" w:type="pct"/>
            <w:shd w:val="clear" w:color="auto" w:fill="D9D9D9"/>
          </w:tcPr>
          <w:p w14:paraId="435970F6" w14:textId="77777777" w:rsidR="00F70A7D" w:rsidRDefault="00F70A7D"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p>
          <w:p w14:paraId="594F7824" w14:textId="77777777" w:rsidR="00F70A7D" w:rsidRDefault="00F70A7D"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p>
          <w:p w14:paraId="58C0D0B2" w14:textId="77777777" w:rsidR="00F70A7D" w:rsidRDefault="00F70A7D"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p>
          <w:p w14:paraId="1F1DE6C1" w14:textId="01EE61A4"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Pr>
                <w:b/>
                <w:sz w:val="20"/>
              </w:rPr>
              <w:t>Total Actions</w:t>
            </w:r>
          </w:p>
        </w:tc>
      </w:tr>
      <w:tr w:rsidR="00321F3E" w14:paraId="2B1A0543" w14:textId="592A4617" w:rsidTr="007B17C9">
        <w:trPr>
          <w:trHeight w:val="432"/>
        </w:trPr>
        <w:tc>
          <w:tcPr>
            <w:tcW w:w="1381" w:type="pct"/>
            <w:vAlign w:val="center"/>
          </w:tcPr>
          <w:p w14:paraId="38E4A3A3"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One Pollutant/NAAQS</w:t>
            </w:r>
          </w:p>
        </w:tc>
        <w:tc>
          <w:tcPr>
            <w:tcW w:w="536" w:type="pct"/>
            <w:vAlign w:val="center"/>
          </w:tcPr>
          <w:p w14:paraId="366665A1" w14:textId="77777777" w:rsidR="00321F3E" w:rsidRPr="00461129" w:rsidRDefault="00321F3E"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108</w:t>
            </w:r>
          </w:p>
        </w:tc>
        <w:tc>
          <w:tcPr>
            <w:tcW w:w="411" w:type="pct"/>
            <w:vAlign w:val="center"/>
          </w:tcPr>
          <w:p w14:paraId="11559AEC" w14:textId="77777777" w:rsidR="00321F3E" w:rsidRPr="00461129" w:rsidRDefault="00321F3E" w:rsidP="006119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47</w:t>
            </w:r>
          </w:p>
        </w:tc>
        <w:tc>
          <w:tcPr>
            <w:tcW w:w="627" w:type="pct"/>
            <w:vAlign w:val="center"/>
          </w:tcPr>
          <w:p w14:paraId="1C250383" w14:textId="13A630CB" w:rsidR="00321F3E" w:rsidRPr="00461129" w:rsidRDefault="00B801F9"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0.2</w:t>
            </w:r>
          </w:p>
        </w:tc>
        <w:tc>
          <w:tcPr>
            <w:tcW w:w="460" w:type="pct"/>
            <w:vAlign w:val="center"/>
          </w:tcPr>
          <w:p w14:paraId="53047FC5" w14:textId="77777777" w:rsidR="00321F3E" w:rsidRPr="00FF0194" w:rsidRDefault="00321F3E"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1,015</w:t>
            </w:r>
          </w:p>
        </w:tc>
        <w:tc>
          <w:tcPr>
            <w:tcW w:w="411" w:type="pct"/>
            <w:vAlign w:val="center"/>
          </w:tcPr>
          <w:p w14:paraId="6EA697D5" w14:textId="77777777" w:rsidR="00321F3E" w:rsidRPr="00461129" w:rsidRDefault="00321F3E" w:rsidP="005935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w:t>
            </w:r>
            <w:r>
              <w:rPr>
                <w:sz w:val="20"/>
              </w:rPr>
              <w:t>9.40</w:t>
            </w:r>
          </w:p>
        </w:tc>
        <w:tc>
          <w:tcPr>
            <w:tcW w:w="587" w:type="pct"/>
            <w:vAlign w:val="center"/>
          </w:tcPr>
          <w:p w14:paraId="081BBC78" w14:textId="77777777" w:rsidR="00321F3E" w:rsidRPr="00461129" w:rsidRDefault="00321F3E"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$60,291</w:t>
            </w:r>
          </w:p>
        </w:tc>
        <w:tc>
          <w:tcPr>
            <w:tcW w:w="586" w:type="pct"/>
          </w:tcPr>
          <w:p w14:paraId="45CFC13D" w14:textId="31248434" w:rsidR="00321F3E" w:rsidRDefault="00321F3E"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9</w:t>
            </w:r>
          </w:p>
        </w:tc>
      </w:tr>
      <w:tr w:rsidR="00321F3E" w14:paraId="1C45EBAF" w14:textId="4E3515AE" w:rsidTr="007B17C9">
        <w:trPr>
          <w:trHeight w:val="432"/>
        </w:trPr>
        <w:tc>
          <w:tcPr>
            <w:tcW w:w="1381" w:type="pct"/>
            <w:vAlign w:val="center"/>
          </w:tcPr>
          <w:p w14:paraId="2048A1A0" w14:textId="77777777" w:rsidR="00321F3E" w:rsidRPr="00461129" w:rsidRDefault="00321F3E"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Two Pollutants/NAAQS</w:t>
            </w:r>
          </w:p>
        </w:tc>
        <w:tc>
          <w:tcPr>
            <w:tcW w:w="536" w:type="pct"/>
            <w:vAlign w:val="center"/>
          </w:tcPr>
          <w:p w14:paraId="1D6D3924" w14:textId="77777777" w:rsidR="00321F3E" w:rsidRPr="00461129" w:rsidRDefault="00321F3E"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143</w:t>
            </w:r>
          </w:p>
        </w:tc>
        <w:tc>
          <w:tcPr>
            <w:tcW w:w="411" w:type="pct"/>
            <w:vAlign w:val="center"/>
          </w:tcPr>
          <w:p w14:paraId="0235CE88" w14:textId="77777777" w:rsidR="00321F3E" w:rsidRPr="00461129" w:rsidRDefault="00321F3E" w:rsidP="006119F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4</w:t>
            </w:r>
          </w:p>
        </w:tc>
        <w:tc>
          <w:tcPr>
            <w:tcW w:w="627" w:type="pct"/>
            <w:vAlign w:val="center"/>
          </w:tcPr>
          <w:p w14:paraId="6540F093" w14:textId="69AAA420" w:rsidR="00321F3E" w:rsidRPr="00461129" w:rsidRDefault="00B801F9" w:rsidP="00321F3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0.2</w:t>
            </w:r>
          </w:p>
        </w:tc>
        <w:tc>
          <w:tcPr>
            <w:tcW w:w="460" w:type="pct"/>
            <w:vAlign w:val="center"/>
          </w:tcPr>
          <w:p w14:paraId="075A27F3" w14:textId="77777777" w:rsidR="00321F3E" w:rsidRPr="00FF0194" w:rsidRDefault="00321F3E" w:rsidP="00E33A5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FF0194">
              <w:rPr>
                <w:sz w:val="20"/>
              </w:rPr>
              <w:t>114</w:t>
            </w:r>
          </w:p>
        </w:tc>
        <w:tc>
          <w:tcPr>
            <w:tcW w:w="411" w:type="pct"/>
            <w:vAlign w:val="center"/>
          </w:tcPr>
          <w:p w14:paraId="28BB5904" w14:textId="77777777" w:rsidR="00321F3E" w:rsidRPr="00461129" w:rsidRDefault="00321F3E" w:rsidP="005935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w:t>
            </w:r>
            <w:r>
              <w:rPr>
                <w:sz w:val="20"/>
              </w:rPr>
              <w:t>9.40</w:t>
            </w:r>
          </w:p>
        </w:tc>
        <w:tc>
          <w:tcPr>
            <w:tcW w:w="587" w:type="pct"/>
            <w:vAlign w:val="center"/>
          </w:tcPr>
          <w:p w14:paraId="3652A9B9" w14:textId="77777777" w:rsidR="00321F3E" w:rsidRPr="00461129" w:rsidRDefault="00321F3E" w:rsidP="00E33A5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$6,772</w:t>
            </w:r>
          </w:p>
        </w:tc>
        <w:tc>
          <w:tcPr>
            <w:tcW w:w="586" w:type="pct"/>
          </w:tcPr>
          <w:p w14:paraId="658D89DA" w14:textId="60F09E80" w:rsidR="00321F3E" w:rsidRDefault="00321F3E" w:rsidP="00E33A5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r>
    </w:tbl>
    <w:p w14:paraId="416F6B5F"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pPr>
      <w:r w:rsidRPr="00A423C1">
        <w:rPr>
          <w:b/>
          <w:sz w:val="20"/>
        </w:rPr>
        <w:t xml:space="preserve">Total for All </w:t>
      </w:r>
      <w:r>
        <w:rPr>
          <w:b/>
          <w:sz w:val="20"/>
        </w:rPr>
        <w:t xml:space="preserve">Actions: </w:t>
      </w:r>
      <w:r w:rsidR="00E33A56">
        <w:rPr>
          <w:b/>
          <w:sz w:val="20"/>
        </w:rPr>
        <w:t>1</w:t>
      </w:r>
      <w:r w:rsidR="009E3F14">
        <w:rPr>
          <w:b/>
          <w:sz w:val="20"/>
        </w:rPr>
        <w:t>,129</w:t>
      </w:r>
      <w:r>
        <w:rPr>
          <w:b/>
          <w:sz w:val="20"/>
        </w:rPr>
        <w:t xml:space="preserve"> </w:t>
      </w:r>
      <w:r w:rsidRPr="00A423C1">
        <w:rPr>
          <w:b/>
          <w:sz w:val="20"/>
        </w:rPr>
        <w:t>hours/year x $</w:t>
      </w:r>
      <w:r>
        <w:rPr>
          <w:b/>
          <w:sz w:val="20"/>
        </w:rPr>
        <w:t>5</w:t>
      </w:r>
      <w:r w:rsidR="00B3409F">
        <w:rPr>
          <w:b/>
          <w:sz w:val="20"/>
        </w:rPr>
        <w:t>9.40</w:t>
      </w:r>
      <w:r w:rsidRPr="00A423C1">
        <w:rPr>
          <w:b/>
          <w:sz w:val="20"/>
        </w:rPr>
        <w:t xml:space="preserve">/hour = </w:t>
      </w:r>
      <w:r>
        <w:rPr>
          <w:b/>
          <w:sz w:val="20"/>
        </w:rPr>
        <w:t>$</w:t>
      </w:r>
      <w:r w:rsidR="009E3F14">
        <w:rPr>
          <w:b/>
          <w:sz w:val="20"/>
        </w:rPr>
        <w:t>67,063</w:t>
      </w:r>
      <w:r w:rsidRPr="00A423C1">
        <w:rPr>
          <w:b/>
          <w:sz w:val="20"/>
        </w:rPr>
        <w:t>/year</w:t>
      </w:r>
      <w:r w:rsidRPr="00A423C1">
        <w:rPr>
          <w:sz w:val="20"/>
        </w:rPr>
        <w:t xml:space="preserve">  </w:t>
      </w:r>
    </w:p>
    <w:p w14:paraId="6A76EA56"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6F08C260" w14:textId="77777777" w:rsidR="003F3745" w:rsidRDefault="003F3745"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E15D49C" w14:textId="77777777"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Table 1</w:t>
      </w:r>
      <w:r w:rsidR="00B651EF">
        <w:t>5</w:t>
      </w:r>
      <w:r>
        <w:t xml:space="preserve"> reflects a frequency of project</w:t>
      </w:r>
      <w:r w:rsidR="006F0842">
        <w:t>-</w:t>
      </w:r>
      <w:r>
        <w:t>level conformity determination</w:t>
      </w:r>
      <w:r w:rsidR="00593585">
        <w:t>s</w:t>
      </w:r>
      <w:r>
        <w:t xml:space="preserve"> being done once every five years in each isolated rural area, which is less than MPOs in the previous burden calculations. MPOs are required by regulation to determine conformity once every four years. Our experience from previous ICRs and existing research (see Appendix A) is that isolated rural areas determine conformity less than once every four years.</w:t>
      </w:r>
    </w:p>
    <w:p w14:paraId="668A48B3" w14:textId="77777777" w:rsidR="0051298C" w:rsidRDefault="0051298C" w:rsidP="00DE1DF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213E7AC" w14:textId="77777777"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In general, conformity determinations for projects in isolated rural areas are more </w:t>
      </w:r>
      <w:r w:rsidR="008F6649">
        <w:t>involved</w:t>
      </w:r>
      <w:r>
        <w:t xml:space="preserve"> than for projects in metropolitan areas, because a regional emissions analysis is also performed when a regionally significant project “not from a conforming transportation plan and TIP” is to receive federal funding or approval.</w:t>
      </w:r>
      <w:r>
        <w:rPr>
          <w:vertAlign w:val="superscript"/>
        </w:rPr>
        <w:footnoteReference w:id="33"/>
      </w:r>
      <w:r>
        <w:t xml:space="preserve"> </w:t>
      </w:r>
    </w:p>
    <w:p w14:paraId="30AB99DC" w14:textId="77777777" w:rsidR="0051298C" w:rsidRDefault="0051298C" w:rsidP="00B520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423A67BC" w14:textId="77777777"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notes that this ICR may overestimate burden associated with determining conformity for projects in isolated rural areas, since conformity determinations for non-regionally significant projects may not require that a new regional emissions analysis be completed every time.   </w:t>
      </w:r>
    </w:p>
    <w:p w14:paraId="079D9390" w14:textId="77777777" w:rsidR="0051298C" w:rsidRDefault="0051298C" w:rsidP="00BA338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lastRenderedPageBreak/>
        <w:tab/>
        <w:t>Consultation between state and local agencies would also occur for each project requiring a hot-spot analysis.</w:t>
      </w:r>
      <w:r>
        <w:rPr>
          <w:vertAlign w:val="superscript"/>
        </w:rPr>
        <w:footnoteReference w:id="34"/>
      </w:r>
      <w:r>
        <w:t xml:space="preserve">  Like metropolitan projects, EPA is also assuming that conformity-related topics would be one of many issues discussed through consultation meetings as a project proceeds through the NEPA process.  </w:t>
      </w:r>
    </w:p>
    <w:p w14:paraId="4332A80B" w14:textId="77777777"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96598B3" w14:textId="77777777"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Localized analyses are assumed to be used to meet both transportation con</w:t>
      </w:r>
      <w:r w:rsidR="00AC0A7B">
        <w:t xml:space="preserve">formity and NEPA requirements. </w:t>
      </w:r>
      <w:r>
        <w:t>Therefore, EPA is assuming that the estimated burden associated with consultation and preparation of these hot-spot analyses would be divided equally between trans</w:t>
      </w:r>
      <w:r w:rsidR="00AC0A7B">
        <w:t xml:space="preserve">portation conformity and NEPA. </w:t>
      </w:r>
      <w:r>
        <w:t xml:space="preserve">Accordingly, the burden estimates in </w:t>
      </w:r>
      <w:r w:rsidRPr="00AC2F10">
        <w:t>Table</w:t>
      </w:r>
      <w:r w:rsidRPr="007B2CC6">
        <w:t xml:space="preserve"> </w:t>
      </w:r>
      <w:r>
        <w:t>1</w:t>
      </w:r>
      <w:r w:rsidR="00B651EF">
        <w:t>6</w:t>
      </w:r>
      <w:r w:rsidRPr="007B2CC6">
        <w:t xml:space="preserve"> </w:t>
      </w:r>
      <w:r>
        <w:t xml:space="preserve">reflect only the share of the burden attributable to fulfilling transportation conformity requirements for hot-spot analyses (i.e., half of the burden hours associated with the analyses). </w:t>
      </w:r>
    </w:p>
    <w:p w14:paraId="199FB152" w14:textId="77777777" w:rsidR="00542927" w:rsidRDefault="003E4248" w:rsidP="00BD1D7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EF1007">
        <w:t xml:space="preserve">. </w:t>
      </w:r>
      <w:r w:rsidR="0051298C">
        <w:tab/>
      </w:r>
    </w:p>
    <w:p w14:paraId="1E62434D" w14:textId="77777777" w:rsidR="003F3745" w:rsidRDefault="003F3745" w:rsidP="00BD1D7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ABC9067" w14:textId="77777777" w:rsidR="0051298C" w:rsidRDefault="0051298C"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16</w:t>
      </w:r>
      <w:r>
        <w:rPr>
          <w:b/>
        </w:rPr>
        <w:t>: State and Local Burden Hours For</w:t>
      </w:r>
    </w:p>
    <w:p w14:paraId="6EFC986E"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Project-Level Conformity Determination </w:t>
      </w:r>
    </w:p>
    <w:p w14:paraId="6B70AC12"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Hot-</w:t>
      </w:r>
      <w:r w:rsidR="00692366">
        <w:rPr>
          <w:b/>
        </w:rPr>
        <w:t>S</w:t>
      </w:r>
      <w:r>
        <w:rPr>
          <w:b/>
        </w:rPr>
        <w:t>pot Analysis</w:t>
      </w:r>
    </w:p>
    <w:p w14:paraId="5C860EF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Isolated Rural Nonattainment and Maintenance Areas </w:t>
      </w:r>
    </w:p>
    <w:p w14:paraId="1DF9379B"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860"/>
        <w:gridCol w:w="1681"/>
        <w:gridCol w:w="1681"/>
        <w:gridCol w:w="1420"/>
        <w:gridCol w:w="1698"/>
      </w:tblGrid>
      <w:tr w:rsidR="003A53EB" w14:paraId="52C94DF4" w14:textId="77777777" w:rsidTr="001C11EE">
        <w:trPr>
          <w:cantSplit/>
          <w:trHeight w:val="285"/>
        </w:trPr>
        <w:tc>
          <w:tcPr>
            <w:tcW w:w="153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CD70448" w14:textId="77777777"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90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FCC293A" w14:textId="77777777"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90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65685A4" w14:textId="77777777"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76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051A9D0" w14:textId="77777777"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Hot-spot Analysis</w:t>
            </w:r>
          </w:p>
        </w:tc>
        <w:tc>
          <w:tcPr>
            <w:tcW w:w="90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7EC641B" w14:textId="77777777"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w:t>
            </w:r>
            <w:r w:rsidR="00041D2A">
              <w:rPr>
                <w:b/>
                <w:sz w:val="20"/>
              </w:rPr>
              <w:t xml:space="preserve"> </w:t>
            </w:r>
            <w:r>
              <w:rPr>
                <w:b/>
                <w:sz w:val="20"/>
              </w:rPr>
              <w:t>Burden Hours</w:t>
            </w:r>
          </w:p>
        </w:tc>
      </w:tr>
      <w:tr w:rsidR="003A53EB" w14:paraId="468BB30E" w14:textId="77777777" w:rsidTr="001C11EE">
        <w:trPr>
          <w:cantSplit/>
          <w:trHeight w:val="432"/>
        </w:trPr>
        <w:tc>
          <w:tcPr>
            <w:tcW w:w="1531" w:type="pct"/>
            <w:vAlign w:val="center"/>
          </w:tcPr>
          <w:p w14:paraId="0FC063EF"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900" w:type="pct"/>
            <w:vAlign w:val="center"/>
          </w:tcPr>
          <w:p w14:paraId="62C67694"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0" w:type="pct"/>
            <w:vAlign w:val="center"/>
          </w:tcPr>
          <w:p w14:paraId="72BFF2CA" w14:textId="77777777" w:rsidR="003A53EB" w:rsidRDefault="003A53EB" w:rsidP="00E14AE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760" w:type="pct"/>
            <w:vAlign w:val="center"/>
          </w:tcPr>
          <w:p w14:paraId="48D22638" w14:textId="77777777"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w:t>
            </w:r>
          </w:p>
        </w:tc>
        <w:tc>
          <w:tcPr>
            <w:tcW w:w="909" w:type="pct"/>
            <w:vAlign w:val="center"/>
          </w:tcPr>
          <w:p w14:paraId="41110F7B" w14:textId="77777777"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20</w:t>
            </w:r>
          </w:p>
        </w:tc>
      </w:tr>
      <w:tr w:rsidR="003A53EB" w14:paraId="784A66E0" w14:textId="77777777" w:rsidTr="001C11EE">
        <w:trPr>
          <w:cantSplit/>
          <w:trHeight w:val="432"/>
        </w:trPr>
        <w:tc>
          <w:tcPr>
            <w:tcW w:w="1531" w:type="pct"/>
            <w:vAlign w:val="center"/>
          </w:tcPr>
          <w:p w14:paraId="786103F6"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900" w:type="pct"/>
            <w:vAlign w:val="center"/>
          </w:tcPr>
          <w:p w14:paraId="3CE1F971"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0" w:type="pct"/>
            <w:vAlign w:val="center"/>
          </w:tcPr>
          <w:p w14:paraId="442B2E4E"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760" w:type="pct"/>
            <w:vAlign w:val="center"/>
          </w:tcPr>
          <w:p w14:paraId="479C4066"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909" w:type="pct"/>
            <w:vAlign w:val="center"/>
          </w:tcPr>
          <w:p w14:paraId="505F6FA1" w14:textId="77777777"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r>
    </w:tbl>
    <w:p w14:paraId="59599516" w14:textId="77777777" w:rsidR="00041D2A"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5CB9549E" w14:textId="77777777" w:rsidR="00041D2A" w:rsidRDefault="00041D2A"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14:paraId="4CF01341" w14:textId="77777777" w:rsidR="0051298C" w:rsidRDefault="00041D2A"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rsidRPr="00AC2F10">
        <w:t>Table</w:t>
      </w:r>
      <w:r w:rsidR="0051298C" w:rsidRPr="00114EE1">
        <w:t xml:space="preserve"> </w:t>
      </w:r>
      <w:r w:rsidR="00B651EF">
        <w:t>17</w:t>
      </w:r>
      <w:r w:rsidR="0051298C">
        <w:t xml:space="preserve"> shows state and local burden hours estimated for performing project-level conformity determinations in CO</w:t>
      </w:r>
      <w:r w:rsidR="001C11EE">
        <w:t xml:space="preserve"> isolated rural areas. </w:t>
      </w:r>
      <w:r w:rsidR="00775DD7">
        <w:t>EPA</w:t>
      </w:r>
      <w:r w:rsidR="0070518A">
        <w:t xml:space="preserve"> did not include </w:t>
      </w:r>
      <w:r w:rsidR="00775DD7">
        <w:t xml:space="preserve">PM quantitative analysis for </w:t>
      </w:r>
      <w:r w:rsidR="0070518A">
        <w:t xml:space="preserve">isolated rural areas in </w:t>
      </w:r>
      <w:r w:rsidR="00775DD7">
        <w:t>this ICR, reflecting our experience to date.</w:t>
      </w:r>
    </w:p>
    <w:p w14:paraId="311F86FF" w14:textId="77777777" w:rsidR="00775DD7" w:rsidRDefault="00775DD7"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218AAB12" w14:textId="77777777" w:rsidR="006F0842" w:rsidRDefault="0051298C" w:rsidP="006F08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To calculate the total burden hours for state and local agencies in isolated rural areas, EPA assumed that a conformity determination occurs once every five years, as in the previous ICR</w:t>
      </w:r>
      <w:r w:rsidR="00AC0A7B">
        <w:t xml:space="preserve">. </w:t>
      </w:r>
      <w:r>
        <w:t>Also, the transportation conformity regulation requires a hot-spot analysis for every non-exempt project in a CO nona</w:t>
      </w:r>
      <w:r w:rsidR="00AC0A7B">
        <w:t xml:space="preserve">ttainment or maintenance area. </w:t>
      </w:r>
      <w:r>
        <w:t>Because there are two isolated rural areas that are nonattainment or maintenance for CO, we assumed there would be two CO hot-spot analyses in isolated rural areas over a five-year period.</w:t>
      </w:r>
    </w:p>
    <w:p w14:paraId="5FD1A17C" w14:textId="77777777" w:rsidR="0052786C" w:rsidRDefault="0052786C" w:rsidP="006F08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82D0AFC"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30B1F77"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CC301BB"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0263330"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4865A28"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13D8055" w14:textId="77777777" w:rsidR="003939ED" w:rsidRDefault="003939ED"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F710FE6" w14:textId="77777777"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Table 1</w:t>
      </w:r>
      <w:r w:rsidR="00B651EF">
        <w:rPr>
          <w:b/>
        </w:rPr>
        <w:t>7</w:t>
      </w:r>
      <w:r>
        <w:rPr>
          <w:b/>
        </w:rPr>
        <w:t>: State and Local Annual Cost</w:t>
      </w:r>
    </w:p>
    <w:p w14:paraId="5F7BCE48" w14:textId="77777777"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Project-Level Conformity Determinations </w:t>
      </w:r>
    </w:p>
    <w:p w14:paraId="2BA5975E" w14:textId="77777777" w:rsidR="00692366" w:rsidRDefault="00692366"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Hot-Spot Analysis</w:t>
      </w:r>
    </w:p>
    <w:p w14:paraId="0AACCA9E" w14:textId="77777777"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Isolated Rural Nonattainment and Maintenance Areas</w:t>
      </w:r>
    </w:p>
    <w:p w14:paraId="21E5BE3B" w14:textId="77777777" w:rsidR="007172BE" w:rsidRDefault="007172BE"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328"/>
        <w:gridCol w:w="1223"/>
        <w:gridCol w:w="1309"/>
        <w:gridCol w:w="1206"/>
        <w:gridCol w:w="978"/>
        <w:gridCol w:w="976"/>
        <w:gridCol w:w="976"/>
      </w:tblGrid>
      <w:tr w:rsidR="00B801F9" w14:paraId="26E3AC29" w14:textId="561CDCB1" w:rsidTr="00B801F9">
        <w:tc>
          <w:tcPr>
            <w:tcW w:w="724" w:type="pct"/>
            <w:shd w:val="clear" w:color="auto" w:fill="D9D9D9"/>
            <w:vAlign w:val="bottom"/>
          </w:tcPr>
          <w:p w14:paraId="05BFA512" w14:textId="77777777" w:rsidR="00B801F9" w:rsidRPr="00C00214" w:rsidRDefault="00B801F9" w:rsidP="00837878">
            <w:pPr>
              <w:widowControl w:val="0"/>
              <w:tabs>
                <w:tab w:val="right" w:pos="9360"/>
              </w:tabs>
              <w:jc w:val="center"/>
              <w:rPr>
                <w:b/>
                <w:sz w:val="20"/>
              </w:rPr>
            </w:pPr>
          </w:p>
          <w:p w14:paraId="242C4988" w14:textId="77777777" w:rsidR="00B801F9" w:rsidRDefault="00B801F9" w:rsidP="00837878">
            <w:pPr>
              <w:widowControl w:val="0"/>
              <w:tabs>
                <w:tab w:val="right" w:pos="9360"/>
              </w:tabs>
              <w:jc w:val="center"/>
            </w:pPr>
            <w:r w:rsidRPr="00C00214">
              <w:rPr>
                <w:b/>
                <w:sz w:val="20"/>
              </w:rPr>
              <w:t>Metropolitan Area</w:t>
            </w:r>
          </w:p>
        </w:tc>
        <w:tc>
          <w:tcPr>
            <w:tcW w:w="710" w:type="pct"/>
            <w:shd w:val="clear" w:color="auto" w:fill="D9D9D9"/>
            <w:vAlign w:val="bottom"/>
          </w:tcPr>
          <w:p w14:paraId="520D9D67" w14:textId="77777777" w:rsidR="00B801F9" w:rsidRPr="00C00214" w:rsidRDefault="00B801F9"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C00214">
              <w:rPr>
                <w:b/>
                <w:sz w:val="20"/>
              </w:rPr>
              <w:t>Burden</w:t>
            </w:r>
          </w:p>
          <w:p w14:paraId="6F5C5EB1" w14:textId="77777777" w:rsidR="00B801F9" w:rsidRDefault="00B801F9" w:rsidP="00837878">
            <w:pPr>
              <w:widowControl w:val="0"/>
              <w:tabs>
                <w:tab w:val="right" w:pos="9360"/>
              </w:tabs>
              <w:jc w:val="center"/>
            </w:pPr>
            <w:r w:rsidRPr="00C00214">
              <w:rPr>
                <w:b/>
                <w:sz w:val="20"/>
              </w:rPr>
              <w:t>Hours per Action</w:t>
            </w:r>
          </w:p>
        </w:tc>
        <w:tc>
          <w:tcPr>
            <w:tcW w:w="654" w:type="pct"/>
            <w:shd w:val="clear" w:color="auto" w:fill="D9D9D9"/>
            <w:vAlign w:val="bottom"/>
          </w:tcPr>
          <w:p w14:paraId="45A9AA2E" w14:textId="77777777" w:rsidR="00B801F9" w:rsidRPr="00C00214" w:rsidRDefault="00B801F9" w:rsidP="00837878">
            <w:pPr>
              <w:widowControl w:val="0"/>
              <w:tabs>
                <w:tab w:val="right" w:pos="9360"/>
              </w:tabs>
              <w:jc w:val="center"/>
              <w:rPr>
                <w:b/>
                <w:sz w:val="20"/>
              </w:rPr>
            </w:pPr>
          </w:p>
          <w:p w14:paraId="18F2868C" w14:textId="77777777" w:rsidR="00B801F9" w:rsidRDefault="00B801F9" w:rsidP="00837878">
            <w:pPr>
              <w:widowControl w:val="0"/>
              <w:tabs>
                <w:tab w:val="right" w:pos="9360"/>
              </w:tabs>
              <w:jc w:val="center"/>
            </w:pPr>
            <w:r w:rsidRPr="00C00214">
              <w:rPr>
                <w:b/>
                <w:sz w:val="20"/>
              </w:rPr>
              <w:t>No. of  Areas</w:t>
            </w:r>
          </w:p>
        </w:tc>
        <w:tc>
          <w:tcPr>
            <w:tcW w:w="700" w:type="pct"/>
            <w:shd w:val="clear" w:color="auto" w:fill="D9D9D9"/>
            <w:vAlign w:val="bottom"/>
          </w:tcPr>
          <w:p w14:paraId="2B20688D" w14:textId="77777777" w:rsidR="00B801F9" w:rsidRPr="00C00214" w:rsidRDefault="00B801F9" w:rsidP="00837878">
            <w:pPr>
              <w:widowControl w:val="0"/>
              <w:tabs>
                <w:tab w:val="right" w:pos="9360"/>
              </w:tabs>
              <w:jc w:val="center"/>
              <w:rPr>
                <w:b/>
                <w:sz w:val="20"/>
              </w:rPr>
            </w:pPr>
          </w:p>
          <w:p w14:paraId="001E6C82" w14:textId="40D95982" w:rsidR="00B801F9" w:rsidRDefault="00B801F9" w:rsidP="00837878">
            <w:pPr>
              <w:widowControl w:val="0"/>
              <w:tabs>
                <w:tab w:val="right" w:pos="9360"/>
              </w:tabs>
              <w:jc w:val="center"/>
              <w:rPr>
                <w:b/>
                <w:sz w:val="20"/>
              </w:rPr>
            </w:pPr>
            <w:r w:rsidRPr="00C00214">
              <w:rPr>
                <w:b/>
                <w:sz w:val="20"/>
              </w:rPr>
              <w:t xml:space="preserve"> Action</w:t>
            </w:r>
            <w:r>
              <w:rPr>
                <w:b/>
                <w:sz w:val="20"/>
              </w:rPr>
              <w:t xml:space="preserve">s per </w:t>
            </w:r>
            <w:r w:rsidR="007B17C9">
              <w:rPr>
                <w:b/>
                <w:sz w:val="20"/>
              </w:rPr>
              <w:t>Y</w:t>
            </w:r>
            <w:r>
              <w:rPr>
                <w:b/>
                <w:sz w:val="20"/>
              </w:rPr>
              <w:t xml:space="preserve">ear per </w:t>
            </w:r>
            <w:r w:rsidR="007B17C9">
              <w:rPr>
                <w:b/>
                <w:sz w:val="20"/>
              </w:rPr>
              <w:t>R</w:t>
            </w:r>
            <w:r>
              <w:rPr>
                <w:b/>
                <w:sz w:val="20"/>
              </w:rPr>
              <w:t>espondent</w:t>
            </w:r>
          </w:p>
          <w:p w14:paraId="1557ABD6" w14:textId="77777777" w:rsidR="00B801F9" w:rsidRPr="00C00214" w:rsidRDefault="00B801F9" w:rsidP="00837878">
            <w:pPr>
              <w:widowControl w:val="0"/>
              <w:tabs>
                <w:tab w:val="right" w:pos="9360"/>
              </w:tabs>
              <w:jc w:val="center"/>
              <w:rPr>
                <w:b/>
                <w:sz w:val="20"/>
              </w:rPr>
            </w:pPr>
          </w:p>
        </w:tc>
        <w:tc>
          <w:tcPr>
            <w:tcW w:w="645" w:type="pct"/>
            <w:shd w:val="clear" w:color="auto" w:fill="D9D9D9"/>
            <w:vAlign w:val="bottom"/>
          </w:tcPr>
          <w:p w14:paraId="5F67F693" w14:textId="77777777" w:rsidR="00B801F9" w:rsidRPr="00C00214" w:rsidRDefault="00B801F9" w:rsidP="00837878">
            <w:pPr>
              <w:widowControl w:val="0"/>
              <w:tabs>
                <w:tab w:val="right" w:pos="9360"/>
              </w:tabs>
              <w:jc w:val="center"/>
              <w:rPr>
                <w:b/>
                <w:sz w:val="20"/>
              </w:rPr>
            </w:pPr>
          </w:p>
          <w:p w14:paraId="326B4A55" w14:textId="77777777" w:rsidR="00B801F9" w:rsidRPr="00C00214" w:rsidRDefault="00B801F9" w:rsidP="00837878">
            <w:pPr>
              <w:widowControl w:val="0"/>
              <w:tabs>
                <w:tab w:val="right" w:pos="9360"/>
              </w:tabs>
              <w:jc w:val="center"/>
              <w:rPr>
                <w:b/>
                <w:sz w:val="20"/>
              </w:rPr>
            </w:pPr>
            <w:r w:rsidRPr="00C00214">
              <w:rPr>
                <w:b/>
                <w:sz w:val="20"/>
              </w:rPr>
              <w:t>Total</w:t>
            </w:r>
          </w:p>
          <w:p w14:paraId="590F6C0E" w14:textId="77777777" w:rsidR="00B801F9" w:rsidRPr="00C00214" w:rsidRDefault="00B801F9" w:rsidP="00837878">
            <w:pPr>
              <w:widowControl w:val="0"/>
              <w:tabs>
                <w:tab w:val="right" w:pos="9360"/>
              </w:tabs>
              <w:jc w:val="center"/>
              <w:rPr>
                <w:b/>
                <w:sz w:val="20"/>
              </w:rPr>
            </w:pPr>
            <w:r w:rsidRPr="00C00214">
              <w:rPr>
                <w:b/>
                <w:sz w:val="20"/>
              </w:rPr>
              <w:t>Annual Burden Hours</w:t>
            </w:r>
          </w:p>
        </w:tc>
        <w:tc>
          <w:tcPr>
            <w:tcW w:w="523" w:type="pct"/>
            <w:shd w:val="clear" w:color="auto" w:fill="D9D9D9"/>
            <w:vAlign w:val="bottom"/>
          </w:tcPr>
          <w:p w14:paraId="3FB1325F" w14:textId="77777777" w:rsidR="00B801F9" w:rsidRPr="00C00214" w:rsidRDefault="00B801F9" w:rsidP="00837878">
            <w:pPr>
              <w:widowControl w:val="0"/>
              <w:tabs>
                <w:tab w:val="right" w:pos="9360"/>
              </w:tabs>
              <w:jc w:val="center"/>
              <w:rPr>
                <w:b/>
                <w:sz w:val="20"/>
              </w:rPr>
            </w:pPr>
          </w:p>
          <w:p w14:paraId="0BE645D3" w14:textId="77777777" w:rsidR="00B801F9" w:rsidRPr="00C00214" w:rsidRDefault="00B801F9" w:rsidP="00837878">
            <w:pPr>
              <w:widowControl w:val="0"/>
              <w:tabs>
                <w:tab w:val="right" w:pos="9360"/>
              </w:tabs>
              <w:jc w:val="center"/>
              <w:rPr>
                <w:b/>
                <w:sz w:val="20"/>
              </w:rPr>
            </w:pPr>
            <w:r w:rsidRPr="00C00214">
              <w:rPr>
                <w:b/>
                <w:sz w:val="20"/>
              </w:rPr>
              <w:t>Cost Per Hour</w:t>
            </w:r>
          </w:p>
        </w:tc>
        <w:tc>
          <w:tcPr>
            <w:tcW w:w="522" w:type="pct"/>
            <w:shd w:val="clear" w:color="auto" w:fill="D9D9D9"/>
            <w:vAlign w:val="bottom"/>
          </w:tcPr>
          <w:p w14:paraId="1C1164EE" w14:textId="77777777" w:rsidR="00B801F9" w:rsidRPr="00C00214" w:rsidRDefault="00B801F9" w:rsidP="00837878">
            <w:pPr>
              <w:widowControl w:val="0"/>
              <w:tabs>
                <w:tab w:val="right" w:pos="9360"/>
              </w:tabs>
              <w:jc w:val="center"/>
              <w:rPr>
                <w:b/>
                <w:sz w:val="20"/>
              </w:rPr>
            </w:pPr>
          </w:p>
          <w:p w14:paraId="6259B78E" w14:textId="77777777" w:rsidR="00B801F9" w:rsidRPr="00C00214" w:rsidRDefault="00B801F9" w:rsidP="00837878">
            <w:pPr>
              <w:widowControl w:val="0"/>
              <w:tabs>
                <w:tab w:val="right" w:pos="9360"/>
              </w:tabs>
              <w:jc w:val="center"/>
              <w:rPr>
                <w:b/>
                <w:sz w:val="20"/>
              </w:rPr>
            </w:pPr>
            <w:r w:rsidRPr="00C00214">
              <w:rPr>
                <w:b/>
                <w:sz w:val="20"/>
              </w:rPr>
              <w:t>Total Annual Cost</w:t>
            </w:r>
          </w:p>
        </w:tc>
        <w:tc>
          <w:tcPr>
            <w:tcW w:w="522" w:type="pct"/>
            <w:shd w:val="clear" w:color="auto" w:fill="D9D9D9"/>
          </w:tcPr>
          <w:p w14:paraId="781331C6" w14:textId="77777777" w:rsidR="00F70A7D" w:rsidRDefault="00F70A7D" w:rsidP="00837878">
            <w:pPr>
              <w:widowControl w:val="0"/>
              <w:tabs>
                <w:tab w:val="right" w:pos="9360"/>
              </w:tabs>
              <w:jc w:val="center"/>
              <w:rPr>
                <w:b/>
                <w:sz w:val="20"/>
              </w:rPr>
            </w:pPr>
          </w:p>
          <w:p w14:paraId="13697577" w14:textId="77777777" w:rsidR="00F70A7D" w:rsidRDefault="00F70A7D" w:rsidP="00837878">
            <w:pPr>
              <w:widowControl w:val="0"/>
              <w:tabs>
                <w:tab w:val="right" w:pos="9360"/>
              </w:tabs>
              <w:jc w:val="center"/>
              <w:rPr>
                <w:b/>
                <w:sz w:val="20"/>
              </w:rPr>
            </w:pPr>
          </w:p>
          <w:p w14:paraId="4FCC0582" w14:textId="77777777" w:rsidR="00F70A7D" w:rsidRDefault="00F70A7D" w:rsidP="00837878">
            <w:pPr>
              <w:widowControl w:val="0"/>
              <w:tabs>
                <w:tab w:val="right" w:pos="9360"/>
              </w:tabs>
              <w:jc w:val="center"/>
              <w:rPr>
                <w:b/>
                <w:sz w:val="20"/>
              </w:rPr>
            </w:pPr>
          </w:p>
          <w:p w14:paraId="2C4B4972" w14:textId="611279B4" w:rsidR="00B801F9" w:rsidRPr="00C00214" w:rsidRDefault="00B801F9" w:rsidP="00837878">
            <w:pPr>
              <w:widowControl w:val="0"/>
              <w:tabs>
                <w:tab w:val="right" w:pos="9360"/>
              </w:tabs>
              <w:jc w:val="center"/>
              <w:rPr>
                <w:b/>
                <w:sz w:val="20"/>
              </w:rPr>
            </w:pPr>
            <w:r>
              <w:rPr>
                <w:b/>
                <w:sz w:val="20"/>
              </w:rPr>
              <w:t>Total Actions</w:t>
            </w:r>
          </w:p>
        </w:tc>
      </w:tr>
      <w:tr w:rsidR="00B801F9" w14:paraId="00459EAC" w14:textId="5F4D5767" w:rsidTr="00B801F9">
        <w:trPr>
          <w:trHeight w:val="1008"/>
        </w:trPr>
        <w:tc>
          <w:tcPr>
            <w:tcW w:w="724" w:type="pct"/>
            <w:vAlign w:val="center"/>
          </w:tcPr>
          <w:p w14:paraId="0750781D" w14:textId="77777777" w:rsidR="00B801F9" w:rsidRDefault="00B801F9" w:rsidP="00837878">
            <w:pPr>
              <w:widowControl w:val="0"/>
              <w:tabs>
                <w:tab w:val="right" w:pos="9360"/>
              </w:tabs>
              <w:jc w:val="center"/>
            </w:pPr>
            <w:r w:rsidRPr="00C00214">
              <w:rPr>
                <w:sz w:val="20"/>
              </w:rPr>
              <w:t>CO -Quantitative Hot-spot Analyses</w:t>
            </w:r>
          </w:p>
        </w:tc>
        <w:tc>
          <w:tcPr>
            <w:tcW w:w="710" w:type="pct"/>
            <w:vAlign w:val="center"/>
          </w:tcPr>
          <w:p w14:paraId="351CB47F" w14:textId="77777777" w:rsidR="00B801F9" w:rsidRPr="00C00214" w:rsidRDefault="00B801F9" w:rsidP="0083795C">
            <w:pPr>
              <w:widowControl w:val="0"/>
              <w:tabs>
                <w:tab w:val="right" w:pos="9360"/>
              </w:tabs>
              <w:jc w:val="center"/>
              <w:rPr>
                <w:sz w:val="20"/>
              </w:rPr>
            </w:pPr>
            <w:r>
              <w:rPr>
                <w:sz w:val="20"/>
              </w:rPr>
              <w:t>20</w:t>
            </w:r>
          </w:p>
        </w:tc>
        <w:tc>
          <w:tcPr>
            <w:tcW w:w="654" w:type="pct"/>
            <w:vAlign w:val="center"/>
          </w:tcPr>
          <w:p w14:paraId="29453C50" w14:textId="77777777" w:rsidR="00B801F9" w:rsidRPr="00C00214" w:rsidRDefault="00B801F9" w:rsidP="00837878">
            <w:pPr>
              <w:widowControl w:val="0"/>
              <w:tabs>
                <w:tab w:val="right" w:pos="9360"/>
              </w:tabs>
              <w:jc w:val="center"/>
              <w:rPr>
                <w:sz w:val="20"/>
              </w:rPr>
            </w:pPr>
            <w:r w:rsidRPr="00C00214">
              <w:rPr>
                <w:sz w:val="20"/>
              </w:rPr>
              <w:t>2</w:t>
            </w:r>
          </w:p>
        </w:tc>
        <w:tc>
          <w:tcPr>
            <w:tcW w:w="700" w:type="pct"/>
            <w:vAlign w:val="center"/>
          </w:tcPr>
          <w:p w14:paraId="60278A2C" w14:textId="5FC07D1F" w:rsidR="00B801F9" w:rsidRPr="00C00214" w:rsidRDefault="00B801F9" w:rsidP="00B81F6C">
            <w:pPr>
              <w:widowControl w:val="0"/>
              <w:tabs>
                <w:tab w:val="right" w:pos="9360"/>
              </w:tabs>
              <w:jc w:val="center"/>
              <w:rPr>
                <w:sz w:val="20"/>
              </w:rPr>
            </w:pPr>
            <w:r>
              <w:rPr>
                <w:sz w:val="20"/>
              </w:rPr>
              <w:t>0.2</w:t>
            </w:r>
          </w:p>
        </w:tc>
        <w:tc>
          <w:tcPr>
            <w:tcW w:w="645" w:type="pct"/>
            <w:vAlign w:val="center"/>
          </w:tcPr>
          <w:p w14:paraId="67ECB444" w14:textId="77777777" w:rsidR="00B801F9" w:rsidRPr="00C00214" w:rsidRDefault="00B801F9" w:rsidP="00E14AE5">
            <w:pPr>
              <w:widowControl w:val="0"/>
              <w:tabs>
                <w:tab w:val="right" w:pos="9360"/>
              </w:tabs>
              <w:jc w:val="center"/>
              <w:rPr>
                <w:sz w:val="20"/>
              </w:rPr>
            </w:pPr>
            <w:r w:rsidRPr="00FF0194">
              <w:rPr>
                <w:sz w:val="20"/>
              </w:rPr>
              <w:t>8</w:t>
            </w:r>
          </w:p>
        </w:tc>
        <w:tc>
          <w:tcPr>
            <w:tcW w:w="523" w:type="pct"/>
            <w:vAlign w:val="center"/>
          </w:tcPr>
          <w:p w14:paraId="7ECC7F53" w14:textId="77777777" w:rsidR="00B801F9" w:rsidRDefault="00B801F9" w:rsidP="00032AFA">
            <w:pPr>
              <w:jc w:val="center"/>
            </w:pPr>
            <w:r w:rsidRPr="00AD61A5">
              <w:rPr>
                <w:sz w:val="20"/>
              </w:rPr>
              <w:t>$5</w:t>
            </w:r>
            <w:r>
              <w:rPr>
                <w:sz w:val="20"/>
              </w:rPr>
              <w:t>9.40</w:t>
            </w:r>
          </w:p>
        </w:tc>
        <w:tc>
          <w:tcPr>
            <w:tcW w:w="522" w:type="pct"/>
            <w:vAlign w:val="center"/>
          </w:tcPr>
          <w:p w14:paraId="063D7F34" w14:textId="77777777" w:rsidR="00B801F9" w:rsidRPr="00C00214" w:rsidRDefault="00B801F9" w:rsidP="00032AFA">
            <w:pPr>
              <w:widowControl w:val="0"/>
              <w:tabs>
                <w:tab w:val="right" w:pos="9360"/>
              </w:tabs>
              <w:jc w:val="center"/>
              <w:rPr>
                <w:sz w:val="20"/>
              </w:rPr>
            </w:pPr>
            <w:r>
              <w:rPr>
                <w:sz w:val="20"/>
              </w:rPr>
              <w:t>$475</w:t>
            </w:r>
          </w:p>
        </w:tc>
        <w:tc>
          <w:tcPr>
            <w:tcW w:w="522" w:type="pct"/>
          </w:tcPr>
          <w:p w14:paraId="60FC3DAB" w14:textId="77777777" w:rsidR="00F70A7D" w:rsidRDefault="00F70A7D" w:rsidP="00032AFA">
            <w:pPr>
              <w:widowControl w:val="0"/>
              <w:tabs>
                <w:tab w:val="right" w:pos="9360"/>
              </w:tabs>
              <w:jc w:val="center"/>
              <w:rPr>
                <w:sz w:val="20"/>
              </w:rPr>
            </w:pPr>
          </w:p>
          <w:p w14:paraId="47D6A31C" w14:textId="77777777" w:rsidR="00F70A7D" w:rsidRDefault="00F70A7D" w:rsidP="00032AFA">
            <w:pPr>
              <w:widowControl w:val="0"/>
              <w:tabs>
                <w:tab w:val="right" w:pos="9360"/>
              </w:tabs>
              <w:jc w:val="center"/>
              <w:rPr>
                <w:sz w:val="20"/>
              </w:rPr>
            </w:pPr>
          </w:p>
          <w:p w14:paraId="351F0514" w14:textId="2C48CFC6" w:rsidR="00B801F9" w:rsidRDefault="004F3D3E" w:rsidP="00032AFA">
            <w:pPr>
              <w:widowControl w:val="0"/>
              <w:tabs>
                <w:tab w:val="right" w:pos="9360"/>
              </w:tabs>
              <w:jc w:val="center"/>
              <w:rPr>
                <w:sz w:val="20"/>
              </w:rPr>
            </w:pPr>
            <w:r>
              <w:rPr>
                <w:sz w:val="20"/>
              </w:rPr>
              <w:t>0.</w:t>
            </w:r>
            <w:r w:rsidR="00B801F9">
              <w:rPr>
                <w:sz w:val="20"/>
              </w:rPr>
              <w:t>4</w:t>
            </w:r>
          </w:p>
        </w:tc>
      </w:tr>
      <w:tr w:rsidR="00B801F9" w14:paraId="6D1250A0" w14:textId="02129102" w:rsidTr="00B801F9">
        <w:trPr>
          <w:trHeight w:val="864"/>
        </w:trPr>
        <w:tc>
          <w:tcPr>
            <w:tcW w:w="724" w:type="pct"/>
            <w:vAlign w:val="center"/>
          </w:tcPr>
          <w:p w14:paraId="09E4E97B" w14:textId="77777777" w:rsidR="00B801F9" w:rsidRDefault="00B801F9" w:rsidP="00837878">
            <w:pPr>
              <w:widowControl w:val="0"/>
              <w:tabs>
                <w:tab w:val="right" w:pos="9360"/>
              </w:tabs>
              <w:jc w:val="center"/>
            </w:pPr>
            <w:r w:rsidRPr="00C00214">
              <w:rPr>
                <w:sz w:val="20"/>
              </w:rPr>
              <w:t>CO – Qualitative Hot-Spot Analyses</w:t>
            </w:r>
          </w:p>
        </w:tc>
        <w:tc>
          <w:tcPr>
            <w:tcW w:w="710" w:type="pct"/>
            <w:vAlign w:val="center"/>
          </w:tcPr>
          <w:p w14:paraId="2DDDC19E" w14:textId="77777777" w:rsidR="00B801F9" w:rsidRPr="00C00214" w:rsidRDefault="00B801F9" w:rsidP="00837878">
            <w:pPr>
              <w:widowControl w:val="0"/>
              <w:tabs>
                <w:tab w:val="right" w:pos="9360"/>
              </w:tabs>
              <w:jc w:val="center"/>
              <w:rPr>
                <w:sz w:val="20"/>
              </w:rPr>
            </w:pPr>
            <w:r w:rsidRPr="00C00214">
              <w:rPr>
                <w:sz w:val="20"/>
              </w:rPr>
              <w:t>5</w:t>
            </w:r>
          </w:p>
        </w:tc>
        <w:tc>
          <w:tcPr>
            <w:tcW w:w="654" w:type="pct"/>
            <w:vAlign w:val="center"/>
          </w:tcPr>
          <w:p w14:paraId="2F599984" w14:textId="77777777" w:rsidR="00B801F9" w:rsidRPr="00C00214" w:rsidRDefault="00B801F9" w:rsidP="00837878">
            <w:pPr>
              <w:widowControl w:val="0"/>
              <w:tabs>
                <w:tab w:val="right" w:pos="9360"/>
              </w:tabs>
              <w:jc w:val="center"/>
              <w:rPr>
                <w:sz w:val="20"/>
              </w:rPr>
            </w:pPr>
            <w:r w:rsidRPr="00C00214">
              <w:rPr>
                <w:sz w:val="20"/>
              </w:rPr>
              <w:t>2</w:t>
            </w:r>
          </w:p>
        </w:tc>
        <w:tc>
          <w:tcPr>
            <w:tcW w:w="700" w:type="pct"/>
            <w:vAlign w:val="center"/>
          </w:tcPr>
          <w:p w14:paraId="1B63205B" w14:textId="768CF848" w:rsidR="00B801F9" w:rsidRPr="00C00214" w:rsidRDefault="00B801F9" w:rsidP="00B81F6C">
            <w:pPr>
              <w:widowControl w:val="0"/>
              <w:tabs>
                <w:tab w:val="right" w:pos="9360"/>
              </w:tabs>
              <w:jc w:val="center"/>
              <w:rPr>
                <w:sz w:val="20"/>
              </w:rPr>
            </w:pPr>
            <w:r>
              <w:rPr>
                <w:sz w:val="20"/>
              </w:rPr>
              <w:t>0.2</w:t>
            </w:r>
          </w:p>
        </w:tc>
        <w:tc>
          <w:tcPr>
            <w:tcW w:w="645" w:type="pct"/>
            <w:vAlign w:val="center"/>
          </w:tcPr>
          <w:p w14:paraId="44DCF227" w14:textId="77777777" w:rsidR="00B801F9" w:rsidRPr="00C00214" w:rsidRDefault="00B801F9" w:rsidP="0083795C">
            <w:pPr>
              <w:widowControl w:val="0"/>
              <w:tabs>
                <w:tab w:val="right" w:pos="9360"/>
              </w:tabs>
              <w:jc w:val="center"/>
              <w:rPr>
                <w:sz w:val="20"/>
              </w:rPr>
            </w:pPr>
            <w:r w:rsidRPr="00FF0194">
              <w:rPr>
                <w:sz w:val="20"/>
              </w:rPr>
              <w:t>2</w:t>
            </w:r>
          </w:p>
        </w:tc>
        <w:tc>
          <w:tcPr>
            <w:tcW w:w="523" w:type="pct"/>
            <w:vAlign w:val="center"/>
          </w:tcPr>
          <w:p w14:paraId="6B428F01" w14:textId="77777777" w:rsidR="00B801F9" w:rsidRDefault="00B801F9" w:rsidP="00032AFA">
            <w:pPr>
              <w:jc w:val="center"/>
            </w:pPr>
            <w:r w:rsidRPr="00AD61A5">
              <w:rPr>
                <w:sz w:val="20"/>
              </w:rPr>
              <w:t>$5</w:t>
            </w:r>
            <w:r>
              <w:rPr>
                <w:sz w:val="20"/>
              </w:rPr>
              <w:t>9.40</w:t>
            </w:r>
          </w:p>
        </w:tc>
        <w:tc>
          <w:tcPr>
            <w:tcW w:w="522" w:type="pct"/>
            <w:vAlign w:val="center"/>
          </w:tcPr>
          <w:p w14:paraId="737510CC" w14:textId="77777777" w:rsidR="00B801F9" w:rsidRPr="00C00214" w:rsidRDefault="00B801F9" w:rsidP="00032AFA">
            <w:pPr>
              <w:widowControl w:val="0"/>
              <w:tabs>
                <w:tab w:val="right" w:pos="9360"/>
              </w:tabs>
              <w:jc w:val="center"/>
              <w:rPr>
                <w:sz w:val="20"/>
              </w:rPr>
            </w:pPr>
            <w:r>
              <w:rPr>
                <w:sz w:val="20"/>
              </w:rPr>
              <w:t>$119</w:t>
            </w:r>
          </w:p>
        </w:tc>
        <w:tc>
          <w:tcPr>
            <w:tcW w:w="522" w:type="pct"/>
          </w:tcPr>
          <w:p w14:paraId="103C48C9" w14:textId="77777777" w:rsidR="00F70A7D" w:rsidRDefault="00F70A7D" w:rsidP="00032AFA">
            <w:pPr>
              <w:widowControl w:val="0"/>
              <w:tabs>
                <w:tab w:val="right" w:pos="9360"/>
              </w:tabs>
              <w:jc w:val="center"/>
              <w:rPr>
                <w:sz w:val="20"/>
              </w:rPr>
            </w:pPr>
          </w:p>
          <w:p w14:paraId="73C0F1CD" w14:textId="77777777" w:rsidR="00F70A7D" w:rsidRDefault="00F70A7D" w:rsidP="00032AFA">
            <w:pPr>
              <w:widowControl w:val="0"/>
              <w:tabs>
                <w:tab w:val="right" w:pos="9360"/>
              </w:tabs>
              <w:jc w:val="center"/>
              <w:rPr>
                <w:sz w:val="20"/>
              </w:rPr>
            </w:pPr>
          </w:p>
          <w:p w14:paraId="1D51AACF" w14:textId="3BC923BF" w:rsidR="00B801F9" w:rsidRDefault="004F3D3E" w:rsidP="004F3D3E">
            <w:pPr>
              <w:widowControl w:val="0"/>
              <w:tabs>
                <w:tab w:val="right" w:pos="9360"/>
              </w:tabs>
              <w:jc w:val="center"/>
              <w:rPr>
                <w:sz w:val="20"/>
              </w:rPr>
            </w:pPr>
            <w:r>
              <w:rPr>
                <w:sz w:val="20"/>
              </w:rPr>
              <w:t>0.4</w:t>
            </w:r>
          </w:p>
        </w:tc>
      </w:tr>
    </w:tbl>
    <w:p w14:paraId="72AC0754" w14:textId="77777777" w:rsidR="0051298C" w:rsidRDefault="0051298C" w:rsidP="0015485C">
      <w:pPr>
        <w:jc w:val="right"/>
        <w:rPr>
          <w:b/>
          <w:sz w:val="20"/>
        </w:rPr>
      </w:pPr>
      <w:r w:rsidRPr="00C00214">
        <w:rPr>
          <w:b/>
          <w:sz w:val="20"/>
        </w:rPr>
        <w:t xml:space="preserve">Total State and Local Respondent Burden for Project Level Conformity Determinations: </w:t>
      </w:r>
      <w:r w:rsidR="00775DD7">
        <w:rPr>
          <w:b/>
          <w:sz w:val="20"/>
        </w:rPr>
        <w:t>10</w:t>
      </w:r>
      <w:r w:rsidR="00F4562D">
        <w:rPr>
          <w:b/>
          <w:sz w:val="20"/>
        </w:rPr>
        <w:t xml:space="preserve"> </w:t>
      </w:r>
      <w:r w:rsidRPr="00C00214">
        <w:rPr>
          <w:b/>
          <w:sz w:val="20"/>
        </w:rPr>
        <w:t>hours/year x $</w:t>
      </w:r>
      <w:r>
        <w:rPr>
          <w:b/>
          <w:sz w:val="20"/>
        </w:rPr>
        <w:t>5</w:t>
      </w:r>
      <w:r w:rsidR="00032AFA">
        <w:rPr>
          <w:b/>
          <w:sz w:val="20"/>
        </w:rPr>
        <w:t>9.40</w:t>
      </w:r>
      <w:r w:rsidRPr="00C00214">
        <w:rPr>
          <w:b/>
          <w:sz w:val="20"/>
        </w:rPr>
        <w:t>/hour = $</w:t>
      </w:r>
      <w:r w:rsidR="00775DD7">
        <w:rPr>
          <w:b/>
          <w:sz w:val="20"/>
        </w:rPr>
        <w:t>594</w:t>
      </w:r>
    </w:p>
    <w:p w14:paraId="4CA20F6F" w14:textId="77777777" w:rsidR="00041D2A" w:rsidRDefault="00041D2A" w:rsidP="0015485C">
      <w:pPr>
        <w:jc w:val="right"/>
        <w:rPr>
          <w:b/>
          <w:sz w:val="20"/>
        </w:rPr>
      </w:pPr>
    </w:p>
    <w:p w14:paraId="00370126" w14:textId="77777777" w:rsidR="0051298C" w:rsidRDefault="0051298C" w:rsidP="001E4489">
      <w:pPr>
        <w:pStyle w:val="Heading1"/>
      </w:pPr>
      <w:bookmarkStart w:id="24" w:name="_Toc411336360"/>
      <w:r>
        <w:t>6(b)</w:t>
      </w:r>
      <w:r>
        <w:tab/>
        <w:t>Estimating State and Local Respondent Costs</w:t>
      </w:r>
      <w:bookmarkEnd w:id="24"/>
    </w:p>
    <w:p w14:paraId="5933D0E4"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3E19C9D"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The following paragraphs describe the assumptions used for estimating state and local respondent costs illustrated in </w:t>
      </w:r>
      <w:r w:rsidR="00692366">
        <w:t>S</w:t>
      </w:r>
      <w:r>
        <w:t>ection 6(a):</w:t>
      </w:r>
    </w:p>
    <w:p w14:paraId="7141F67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0A9945B8" w14:textId="77777777" w:rsidR="0051298C" w:rsidRPr="00BF70C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Pr="00BF70CE">
        <w:rPr>
          <w:b/>
        </w:rPr>
        <w:t>(i)</w:t>
      </w:r>
      <w:r w:rsidRPr="00BF70CE">
        <w:rPr>
          <w:b/>
        </w:rPr>
        <w:tab/>
        <w:t>Estimating Labor Costs</w:t>
      </w:r>
    </w:p>
    <w:p w14:paraId="35145B84"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907AF3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EPA assumed that each state and local burden hour associated with conformity determinati</w:t>
      </w:r>
      <w:bookmarkStart w:id="25" w:name="_GoBack"/>
      <w:bookmarkEnd w:id="25"/>
      <w:r>
        <w:t>ons is completed by an experienced technical staff person at a state or local agency or contra</w:t>
      </w:r>
      <w:r w:rsidR="00AC0A7B">
        <w:t xml:space="preserve">ctor. </w:t>
      </w:r>
      <w:r>
        <w:t>In addition to salary costs, EPA is also including overhead costs associated with employing an experienced technical staff person, such as paid leave, health insurance, retirement savings, office space, computers, and other business expenses.</w:t>
      </w:r>
    </w:p>
    <w:p w14:paraId="66D9D022"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4D128B8E" w14:textId="47594A11" w:rsidR="0051298C" w:rsidRPr="00E770A7"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926765">
        <w:rPr>
          <w:b/>
        </w:rPr>
        <w:tab/>
      </w:r>
      <w:r w:rsidRPr="00E770A7">
        <w:t>EPA is assuming that state and local burden hours would be completed by an experienced technical staff person being paid at a GS-13, Step 3 federal government employee salary of $</w:t>
      </w:r>
      <w:r w:rsidR="00C9463A">
        <w:t>77,217</w:t>
      </w:r>
      <w:r w:rsidRPr="00E770A7">
        <w:t>/year.</w:t>
      </w:r>
      <w:r w:rsidRPr="00E770A7">
        <w:rPr>
          <w:vertAlign w:val="superscript"/>
        </w:rPr>
        <w:footnoteReference w:id="35"/>
      </w:r>
      <w:r w:rsidRPr="00E770A7">
        <w:t xml:space="preserve">  EPA then divided the annual 20</w:t>
      </w:r>
      <w:r>
        <w:t>1</w:t>
      </w:r>
      <w:r w:rsidR="00C9463A">
        <w:t>4</w:t>
      </w:r>
      <w:r w:rsidRPr="00E770A7">
        <w:t xml:space="preserve"> GS-13, Step 3 salary rate by 2080 (the number of hours in a work year) and multiplied this number by the standard gove</w:t>
      </w:r>
      <w:r w:rsidR="0049467B">
        <w:t xml:space="preserve">rnment overhead factor of 1.6. </w:t>
      </w:r>
      <w:r w:rsidRPr="00E770A7">
        <w:t>This calculation results in a state and local cost of $</w:t>
      </w:r>
      <w:r w:rsidR="00C9463A">
        <w:t>59.40</w:t>
      </w:r>
      <w:r w:rsidRPr="00E770A7">
        <w:t xml:space="preserve">/burden hour. </w:t>
      </w:r>
      <w:r w:rsidR="00705BC1">
        <w:t xml:space="preserve">The total number of responses per year is 6,611, and the average responses per respondent per year is 52. </w:t>
      </w:r>
      <w:r w:rsidRPr="00E770A7">
        <w:t xml:space="preserve">  </w:t>
      </w:r>
    </w:p>
    <w:p w14:paraId="5B80B34E" w14:textId="77777777" w:rsidR="0051298C" w:rsidRDefault="0051298C" w:rsidP="004E33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4C093ACF" w14:textId="77777777" w:rsidR="00F70A7D" w:rsidRDefault="0051298C" w:rsidP="004E33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b/>
        </w:rPr>
        <w:tab/>
      </w:r>
    </w:p>
    <w:p w14:paraId="736BA6AD" w14:textId="1922026D" w:rsidR="0051298C" w:rsidRPr="00BF70CE" w:rsidRDefault="0051298C" w:rsidP="004E33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BF70CE">
        <w:rPr>
          <w:b/>
        </w:rPr>
        <w:lastRenderedPageBreak/>
        <w:t>(ii)</w:t>
      </w:r>
      <w:r>
        <w:rPr>
          <w:b/>
        </w:rPr>
        <w:tab/>
      </w:r>
      <w:r w:rsidRPr="00BF70CE">
        <w:rPr>
          <w:b/>
        </w:rPr>
        <w:t>Estimating Capital/Start-up and Operations and Maintenance (O&amp;M) Costs</w:t>
      </w:r>
    </w:p>
    <w:p w14:paraId="03E637E8" w14:textId="77777777" w:rsidR="0051298C" w:rsidRPr="00BF70C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1FB78E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t>In general, EPA is not expecting that additional computers, software, or other capital investments are nee</w:t>
      </w:r>
      <w:r w:rsidR="0049467B">
        <w:t xml:space="preserve">ded to do conformity analyses. </w:t>
      </w:r>
      <w:r>
        <w:t>Planners should be able to adapt existing equipment and systems for conformity use.</w:t>
      </w:r>
    </w:p>
    <w:p w14:paraId="175A038C"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7346CC3A"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transportation conformity regulation does not contain any continuing record-keeping or reporting requirements that require additional capital or O&amp;M costs for individual stat</w:t>
      </w:r>
      <w:r w:rsidR="0049467B">
        <w:t xml:space="preserve">e or local respondent actions. </w:t>
      </w:r>
      <w:r>
        <w:t>Thus, no capital or O&amp;M cost</w:t>
      </w:r>
      <w:r w:rsidR="00041D2A">
        <w:t>s</w:t>
      </w:r>
      <w:r>
        <w:t xml:space="preserve"> </w:t>
      </w:r>
      <w:r w:rsidR="00041D2A">
        <w:t>are</w:t>
      </w:r>
      <w:r>
        <w:t xml:space="preserve"> included for record-keeping and reporting actions.</w:t>
      </w:r>
    </w:p>
    <w:p w14:paraId="7E15BA0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228E097E" w14:textId="77777777" w:rsidR="0051298C" w:rsidRPr="00C50EF6"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b/>
        </w:rPr>
        <w:tab/>
      </w:r>
      <w:r w:rsidRPr="00C50EF6">
        <w:rPr>
          <w:b/>
        </w:rPr>
        <w:t>(iii)</w:t>
      </w:r>
      <w:r>
        <w:rPr>
          <w:b/>
        </w:rPr>
        <w:tab/>
      </w:r>
      <w:r w:rsidRPr="00C50EF6">
        <w:rPr>
          <w:b/>
        </w:rPr>
        <w:t>Annualizing Capital Costs</w:t>
      </w:r>
    </w:p>
    <w:p w14:paraId="114458BC" w14:textId="77777777" w:rsidR="00A845FC" w:rsidRDefault="00A845F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3E0ED8C0" w14:textId="7430DABC" w:rsidR="0051298C" w:rsidRPr="00A845FC" w:rsidRDefault="00A845F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A845FC">
        <w:t xml:space="preserve">There are no annualized capital costs. </w:t>
      </w:r>
    </w:p>
    <w:p w14:paraId="27B36992" w14:textId="77777777" w:rsidR="0051298C" w:rsidRDefault="0051298C" w:rsidP="001E4489">
      <w:pPr>
        <w:pStyle w:val="Heading1"/>
      </w:pPr>
      <w:bookmarkStart w:id="26" w:name="_Toc411336361"/>
      <w:r>
        <w:t>6(c)</w:t>
      </w:r>
      <w:r>
        <w:tab/>
        <w:t>Estimating Agency Burden and Costs</w:t>
      </w:r>
      <w:bookmarkEnd w:id="26"/>
      <w:r>
        <w:t xml:space="preserve">  </w:t>
      </w:r>
    </w:p>
    <w:p w14:paraId="28E5C821" w14:textId="77777777" w:rsidR="0051298C" w:rsidRDefault="0051298C" w:rsidP="00F4599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14:paraId="123B5569" w14:textId="77777777" w:rsidR="0051298C" w:rsidRDefault="0051298C" w:rsidP="00F4599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This section of the ICR shows federal agency burden and costs associated with carrying out transportation conformity regulations.  </w:t>
      </w:r>
    </w:p>
    <w:p w14:paraId="09485233" w14:textId="77777777" w:rsidR="0051298C" w:rsidRDefault="0051298C" w:rsidP="00F45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368612B8" w14:textId="77777777" w:rsidR="0051298C" w:rsidRPr="002073E0" w:rsidRDefault="0051298C" w:rsidP="00741768">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2073E0">
        <w:rPr>
          <w:b/>
        </w:rPr>
        <w:t>Estimating Federal Labor Costs</w:t>
      </w:r>
    </w:p>
    <w:p w14:paraId="5088EC6B" w14:textId="77777777" w:rsidR="0051298C" w:rsidRDefault="0051298C" w:rsidP="00F45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2FE29AF7"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EPA estimates that each DOT and EPA federal burden hour associated with conformity determinations</w:t>
      </w:r>
      <w:r w:rsidR="00AC770A">
        <w:t xml:space="preserve"> and adequacy</w:t>
      </w:r>
      <w:r>
        <w:t xml:space="preserve"> </w:t>
      </w:r>
      <w:r w:rsidR="00A56308">
        <w:t xml:space="preserve">findings </w:t>
      </w:r>
      <w:r>
        <w:t>is completed by an experienced technical staff person.  EPA is also including overhead costs associated with employing an experienced technical staff person, such as paid leave, health insurance, retirement savings, office space, computers, and other business expenses.</w:t>
      </w:r>
    </w:p>
    <w:p w14:paraId="235FC442"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2BF8D93E" w14:textId="77777777" w:rsidR="0051298C" w:rsidRPr="00952A66"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9A1AA7">
        <w:rPr>
          <w:b/>
        </w:rPr>
        <w:tab/>
      </w:r>
      <w:r w:rsidRPr="00952A66">
        <w:t>EPA assum</w:t>
      </w:r>
      <w:r>
        <w:t>ed</w:t>
      </w:r>
      <w:r w:rsidRPr="00952A66">
        <w:t xml:space="preserve"> that federal burden hours w</w:t>
      </w:r>
      <w:r>
        <w:t>ould</w:t>
      </w:r>
      <w:r w:rsidRPr="00952A66">
        <w:t xml:space="preserve"> be completed by an experienced technical staff person being paid at a GS-13, Step 3 federal government employee salary of $</w:t>
      </w:r>
      <w:r w:rsidR="00121B86">
        <w:t>77,217</w:t>
      </w:r>
      <w:r w:rsidRPr="00952A66">
        <w:t>/year.</w:t>
      </w:r>
      <w:r w:rsidRPr="00952A66">
        <w:rPr>
          <w:vertAlign w:val="superscript"/>
        </w:rPr>
        <w:footnoteReference w:id="36"/>
      </w:r>
      <w:r w:rsidRPr="00952A66">
        <w:t xml:space="preserve">  EPA then divided the annual 20</w:t>
      </w:r>
      <w:r>
        <w:t>1</w:t>
      </w:r>
      <w:r w:rsidR="00692366">
        <w:t>4</w:t>
      </w:r>
      <w:r w:rsidRPr="00952A66">
        <w:t xml:space="preserve"> GS-13, Step 3 salary rate by 2080 (the number of hours in a work year) and multiplied this number by the standard government </w:t>
      </w:r>
      <w:r w:rsidR="0049467B">
        <w:t xml:space="preserve">overhead factor of 1.6. </w:t>
      </w:r>
      <w:r w:rsidRPr="00952A66">
        <w:t>This calculation result</w:t>
      </w:r>
      <w:r>
        <w:t>ed</w:t>
      </w:r>
      <w:r w:rsidRPr="00952A66">
        <w:t xml:space="preserve"> in a federal cost of $</w:t>
      </w:r>
      <w:r w:rsidR="001B4368">
        <w:t>59.40</w:t>
      </w:r>
      <w:r w:rsidRPr="00952A66">
        <w:t xml:space="preserve">/burden hour.   </w:t>
      </w:r>
      <w:r w:rsidRPr="00952A66">
        <w:tab/>
      </w:r>
    </w:p>
    <w:p w14:paraId="04B2DB05" w14:textId="77777777" w:rsidR="0052786C" w:rsidRDefault="0052786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i/>
        </w:rPr>
      </w:pPr>
    </w:p>
    <w:p w14:paraId="5C890AD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rPr>
          <w:b/>
          <w:i/>
        </w:rPr>
        <w:t>Transportation Plan and TIP Conformity Determinations in Metropolitan Nonattainment/Maintenance Areas – Federal Burden Hours and Cost</w:t>
      </w:r>
    </w:p>
    <w:p w14:paraId="10717A2E"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 xml:space="preserve">  </w:t>
      </w:r>
    </w:p>
    <w:p w14:paraId="6C68E04B" w14:textId="77777777" w:rsidR="0051298C" w:rsidRPr="00FE7F02" w:rsidRDefault="0051298C" w:rsidP="006274F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AC2F10">
        <w:t>Table</w:t>
      </w:r>
      <w:r>
        <w:t xml:space="preserve">s </w:t>
      </w:r>
      <w:r w:rsidR="00B651EF">
        <w:t xml:space="preserve">18 </w:t>
      </w:r>
      <w:r>
        <w:t xml:space="preserve">through </w:t>
      </w:r>
      <w:r w:rsidR="00B651EF">
        <w:t>20</w:t>
      </w:r>
      <w:r>
        <w:t xml:space="preserve"> show</w:t>
      </w:r>
      <w:r w:rsidRPr="00FE7F02">
        <w:t xml:space="preserve"> estimated federal burden </w:t>
      </w:r>
      <w:r>
        <w:t xml:space="preserve">hours and cost </w:t>
      </w:r>
      <w:r w:rsidRPr="00FE7F02">
        <w:t>associated with making conformity determinations for transportation plans and TIP</w:t>
      </w:r>
      <w:r>
        <w:t>s</w:t>
      </w:r>
      <w:r w:rsidRPr="00FE7F02">
        <w:t xml:space="preserve"> in metropolitan nonattainment and maintenance areas.  EPA assumes that federal burden in these areas is associated only with conformity-related work prior to an MPO</w:t>
      </w:r>
      <w:r>
        <w:t>’</w:t>
      </w:r>
      <w:r w:rsidRPr="00FE7F02">
        <w:t xml:space="preserve">s determination and for reviewing </w:t>
      </w:r>
      <w:r>
        <w:t xml:space="preserve">transportation </w:t>
      </w:r>
      <w:r w:rsidRPr="00FE7F02">
        <w:t xml:space="preserve">plan and TIP conformity determinations and that MPOs have </w:t>
      </w:r>
      <w:r w:rsidRPr="00FE7F02">
        <w:lastRenderedPageBreak/>
        <w:t>established interagency consultation procedures with regularly scheduled meetings for</w:t>
      </w:r>
      <w:r w:rsidR="0049467B">
        <w:t xml:space="preserve"> discussing conformity issues. </w:t>
      </w:r>
      <w:r>
        <w:t xml:space="preserve">Because MPOs serving smaller metropolitan areas (populations between 50,000-200,000) typically do conformity determinations for transportation plans and TIPs at the same time since they are typically on the same four-year update cycle, EPA also assumes that federal burden associated with consulting on and reviewing transportation plan and TIP conformity determinations for these MPOs is </w:t>
      </w:r>
      <w:r w:rsidR="0049467B">
        <w:t xml:space="preserve">done at the same time as well. </w:t>
      </w:r>
      <w:r>
        <w:t>Therefore, federal burden associated with transportation conformity requirements in smaller metropolitan areas (50,000-200,000) is half the burden associated with transportation plan and TIP conformity determinations in large metropolitan areas.</w:t>
      </w:r>
    </w:p>
    <w:p w14:paraId="0E71962F" w14:textId="77777777" w:rsidR="0051298C" w:rsidRPr="00FE7F02"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69B432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FE7F02">
        <w:tab/>
        <w:t xml:space="preserve">EPA calculated estimated </w:t>
      </w:r>
      <w:r>
        <w:t>f</w:t>
      </w:r>
      <w:r w:rsidRPr="00FE7F02">
        <w:t xml:space="preserve">ederal burden hours based upon survey responses from </w:t>
      </w:r>
      <w:r>
        <w:t>EPA Regional Office</w:t>
      </w:r>
      <w:r w:rsidRPr="00FE7F02">
        <w:t xml:space="preserve">s and DOT offices that are responsible for work associated with making conformity determinations for transportation plans and TIPs.  </w:t>
      </w:r>
    </w:p>
    <w:p w14:paraId="7D6BB383" w14:textId="77777777" w:rsidR="00A442F2" w:rsidRDefault="00A442F2"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27D296F6" w14:textId="77777777" w:rsidR="0054586C" w:rsidRDefault="00A442F2" w:rsidP="007051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r>
    </w:p>
    <w:p w14:paraId="353E20D1" w14:textId="77777777" w:rsidR="00F70A7D" w:rsidRDefault="00F70A7D" w:rsidP="00A845F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14:paraId="2B7DBF41" w14:textId="77777777" w:rsidR="00F70A7D" w:rsidRDefault="00F70A7D"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4F6244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18</w:t>
      </w:r>
      <w:r>
        <w:rPr>
          <w:b/>
        </w:rPr>
        <w:t xml:space="preserve">: Federal Burden Hours </w:t>
      </w:r>
    </w:p>
    <w:p w14:paraId="01DA612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Transportation Plan or TIP Conformity Determination </w:t>
      </w:r>
    </w:p>
    <w:p w14:paraId="31CDF93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14:paraId="45DDDFD0"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Population of 200,000 or More</w:t>
      </w:r>
    </w:p>
    <w:p w14:paraId="6BE0079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424"/>
        <w:gridCol w:w="3054"/>
        <w:gridCol w:w="1078"/>
        <w:gridCol w:w="988"/>
        <w:gridCol w:w="899"/>
        <w:gridCol w:w="897"/>
      </w:tblGrid>
      <w:tr w:rsidR="0051298C" w14:paraId="2E2E8452" w14:textId="77777777"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C8F8A8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Metropolitan</w:t>
            </w:r>
          </w:p>
          <w:p w14:paraId="79C1A40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r>
              <w:rPr>
                <w:b/>
                <w:sz w:val="20"/>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4BE4B4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359C4C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5DE9056"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653F3C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DBB1C0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Total</w:t>
            </w:r>
          </w:p>
        </w:tc>
      </w:tr>
      <w:tr w:rsidR="0051298C" w14:paraId="21CFB8F2" w14:textId="77777777" w:rsidTr="0037784F">
        <w:trPr>
          <w:cantSplit/>
        </w:trPr>
        <w:tc>
          <w:tcPr>
            <w:tcW w:w="1298" w:type="pct"/>
            <w:vMerge w:val="restart"/>
            <w:tcBorders>
              <w:top w:val="single" w:sz="8" w:space="0" w:color="000000"/>
            </w:tcBorders>
            <w:vAlign w:val="center"/>
          </w:tcPr>
          <w:p w14:paraId="4997007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40FA151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Per Conformity Determination</w:t>
            </w:r>
          </w:p>
          <w:p w14:paraId="5509271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5B2CAB1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(Includes all areas with populations of 200,000+)</w:t>
            </w:r>
          </w:p>
          <w:p w14:paraId="5BAC6B1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00964EF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p>
        </w:tc>
        <w:tc>
          <w:tcPr>
            <w:tcW w:w="1635" w:type="pct"/>
            <w:tcBorders>
              <w:top w:val="single" w:sz="8" w:space="0" w:color="000000"/>
            </w:tcBorders>
            <w:vAlign w:val="center"/>
          </w:tcPr>
          <w:p w14:paraId="2160373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77" w:type="pct"/>
            <w:tcBorders>
              <w:top w:val="single" w:sz="8" w:space="0" w:color="000000"/>
            </w:tcBorders>
            <w:vAlign w:val="center"/>
          </w:tcPr>
          <w:p w14:paraId="03341361" w14:textId="77777777"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tcBorders>
              <w:top w:val="single" w:sz="8" w:space="0" w:color="000000"/>
            </w:tcBorders>
            <w:vAlign w:val="center"/>
          </w:tcPr>
          <w:p w14:paraId="7FD824A6"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14:paraId="2202E38A"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14:paraId="63DFF53B"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36</w:t>
            </w:r>
          </w:p>
        </w:tc>
      </w:tr>
      <w:tr w:rsidR="0051298C" w14:paraId="2CBCD582" w14:textId="77777777" w:rsidTr="0037784F">
        <w:trPr>
          <w:cantSplit/>
        </w:trPr>
        <w:tc>
          <w:tcPr>
            <w:tcW w:w="1298" w:type="pct"/>
            <w:vMerge/>
            <w:vAlign w:val="center"/>
          </w:tcPr>
          <w:p w14:paraId="38F6CD9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14:paraId="6F3A041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Prior to MPO Submission</w:t>
            </w:r>
          </w:p>
        </w:tc>
        <w:tc>
          <w:tcPr>
            <w:tcW w:w="577" w:type="pct"/>
            <w:vAlign w:val="center"/>
          </w:tcPr>
          <w:p w14:paraId="1FBC490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vAlign w:val="center"/>
          </w:tcPr>
          <w:p w14:paraId="1549E3C4" w14:textId="77777777"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481" w:type="pct"/>
            <w:vAlign w:val="center"/>
          </w:tcPr>
          <w:p w14:paraId="4EB38A5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w:t>
            </w:r>
          </w:p>
        </w:tc>
        <w:tc>
          <w:tcPr>
            <w:tcW w:w="481" w:type="pct"/>
            <w:vAlign w:val="center"/>
          </w:tcPr>
          <w:p w14:paraId="58CF88B8" w14:textId="77777777" w:rsidR="0051298C" w:rsidRDefault="0051298C" w:rsidP="004135E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16</w:t>
            </w:r>
          </w:p>
        </w:tc>
      </w:tr>
      <w:tr w:rsidR="0051298C" w14:paraId="633C0EEA" w14:textId="77777777" w:rsidTr="0037784F">
        <w:trPr>
          <w:cantSplit/>
        </w:trPr>
        <w:tc>
          <w:tcPr>
            <w:tcW w:w="1298" w:type="pct"/>
            <w:vMerge/>
            <w:vAlign w:val="center"/>
          </w:tcPr>
          <w:p w14:paraId="6357ADD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14:paraId="35B44A13"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Plan Conformity Determination</w:t>
            </w:r>
          </w:p>
        </w:tc>
        <w:tc>
          <w:tcPr>
            <w:tcW w:w="577" w:type="pct"/>
            <w:vAlign w:val="center"/>
          </w:tcPr>
          <w:p w14:paraId="608A8D3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13</w:t>
            </w:r>
          </w:p>
        </w:tc>
        <w:tc>
          <w:tcPr>
            <w:tcW w:w="529" w:type="pct"/>
            <w:vAlign w:val="center"/>
          </w:tcPr>
          <w:p w14:paraId="3E599BA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481" w:type="pct"/>
            <w:vAlign w:val="center"/>
          </w:tcPr>
          <w:p w14:paraId="0EB43EF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7</w:t>
            </w:r>
          </w:p>
        </w:tc>
        <w:tc>
          <w:tcPr>
            <w:tcW w:w="481" w:type="pct"/>
            <w:vAlign w:val="center"/>
          </w:tcPr>
          <w:p w14:paraId="33E13F0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22</w:t>
            </w:r>
          </w:p>
        </w:tc>
      </w:tr>
    </w:tbl>
    <w:p w14:paraId="12150E43" w14:textId="77777777" w:rsidR="0051298C" w:rsidRPr="00A707D3" w:rsidRDefault="0051298C" w:rsidP="00A707D3">
      <w:pPr>
        <w:jc w:val="right"/>
      </w:pPr>
      <w:r>
        <w:rPr>
          <w:b/>
          <w:sz w:val="20"/>
        </w:rPr>
        <w:t xml:space="preserve">Federal Hours Burden Hours for Each Plan or TIP Conformity Determination: </w:t>
      </w:r>
      <w:r w:rsidR="00DD5CA9">
        <w:rPr>
          <w:b/>
          <w:sz w:val="20"/>
        </w:rPr>
        <w:t>74</w:t>
      </w:r>
    </w:p>
    <w:p w14:paraId="4CD0DF5B" w14:textId="77777777" w:rsidR="00A7260B" w:rsidRDefault="00A7260B" w:rsidP="005712C1">
      <w:pPr>
        <w:jc w:val="center"/>
        <w:rPr>
          <w:b/>
        </w:rPr>
      </w:pPr>
    </w:p>
    <w:p w14:paraId="060CD049" w14:textId="77777777" w:rsidR="00A845FC" w:rsidRDefault="00A845FC" w:rsidP="005712C1">
      <w:pPr>
        <w:jc w:val="center"/>
        <w:rPr>
          <w:b/>
        </w:rPr>
      </w:pPr>
    </w:p>
    <w:p w14:paraId="349F2589" w14:textId="77777777" w:rsidR="00A845FC" w:rsidRDefault="00A845FC" w:rsidP="005712C1">
      <w:pPr>
        <w:jc w:val="center"/>
        <w:rPr>
          <w:b/>
        </w:rPr>
      </w:pPr>
    </w:p>
    <w:p w14:paraId="586FC844" w14:textId="77777777" w:rsidR="00A845FC" w:rsidRDefault="00A845FC" w:rsidP="005712C1">
      <w:pPr>
        <w:jc w:val="center"/>
        <w:rPr>
          <w:b/>
        </w:rPr>
      </w:pPr>
    </w:p>
    <w:p w14:paraId="5362CE31" w14:textId="77777777" w:rsidR="00A845FC" w:rsidRDefault="00A845FC" w:rsidP="005712C1">
      <w:pPr>
        <w:jc w:val="center"/>
        <w:rPr>
          <w:b/>
        </w:rPr>
      </w:pPr>
    </w:p>
    <w:p w14:paraId="108D0073" w14:textId="77777777" w:rsidR="00A845FC" w:rsidRDefault="00A845FC" w:rsidP="005712C1">
      <w:pPr>
        <w:jc w:val="center"/>
        <w:rPr>
          <w:b/>
        </w:rPr>
      </w:pPr>
    </w:p>
    <w:p w14:paraId="0C56FCAB" w14:textId="77777777" w:rsidR="00A845FC" w:rsidRDefault="00A845FC" w:rsidP="005712C1">
      <w:pPr>
        <w:jc w:val="center"/>
        <w:rPr>
          <w:b/>
        </w:rPr>
      </w:pPr>
    </w:p>
    <w:p w14:paraId="0027EB24" w14:textId="77777777" w:rsidR="00A845FC" w:rsidRDefault="00A845FC" w:rsidP="005712C1">
      <w:pPr>
        <w:jc w:val="center"/>
        <w:rPr>
          <w:b/>
        </w:rPr>
      </w:pPr>
    </w:p>
    <w:p w14:paraId="16746E57" w14:textId="77777777" w:rsidR="00A845FC" w:rsidRDefault="00A845FC" w:rsidP="005712C1">
      <w:pPr>
        <w:jc w:val="center"/>
        <w:rPr>
          <w:b/>
        </w:rPr>
      </w:pPr>
    </w:p>
    <w:p w14:paraId="041576AF" w14:textId="77777777" w:rsidR="00A7260B" w:rsidRDefault="00A7260B" w:rsidP="00A86A2F">
      <w:pPr>
        <w:rPr>
          <w:b/>
        </w:rPr>
      </w:pPr>
    </w:p>
    <w:p w14:paraId="4676DC22" w14:textId="77777777" w:rsidR="0051298C" w:rsidRDefault="0051298C" w:rsidP="005712C1">
      <w:pPr>
        <w:jc w:val="center"/>
        <w:rPr>
          <w:b/>
        </w:rPr>
      </w:pPr>
      <w:r>
        <w:rPr>
          <w:b/>
        </w:rPr>
        <w:lastRenderedPageBreak/>
        <w:t xml:space="preserve">Table </w:t>
      </w:r>
      <w:r w:rsidR="00B651EF">
        <w:rPr>
          <w:b/>
        </w:rPr>
        <w:t>19</w:t>
      </w:r>
      <w:r>
        <w:rPr>
          <w:b/>
        </w:rPr>
        <w:t>: Federal Burden Hours</w:t>
      </w:r>
    </w:p>
    <w:p w14:paraId="58E7E5E8" w14:textId="77777777"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Plan/TIP Conformity Determination</w:t>
      </w:r>
    </w:p>
    <w:p w14:paraId="536BE227" w14:textId="77777777"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14:paraId="6CCFC915" w14:textId="77777777"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Population of 50,000-200,000</w:t>
      </w:r>
    </w:p>
    <w:p w14:paraId="7A621F70" w14:textId="77777777"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424"/>
        <w:gridCol w:w="3054"/>
        <w:gridCol w:w="1078"/>
        <w:gridCol w:w="988"/>
        <w:gridCol w:w="899"/>
        <w:gridCol w:w="897"/>
      </w:tblGrid>
      <w:tr w:rsidR="0051298C" w14:paraId="37F473B1" w14:textId="77777777"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15D12C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Metropolitan</w:t>
            </w:r>
          </w:p>
          <w:p w14:paraId="0AA66FA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r>
              <w:rPr>
                <w:b/>
                <w:sz w:val="20"/>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E1724B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8E7D39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0AD75F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99449D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8E1C2A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Total</w:t>
            </w:r>
          </w:p>
        </w:tc>
      </w:tr>
      <w:tr w:rsidR="0051298C" w14:paraId="3AEBDB45" w14:textId="77777777" w:rsidTr="0037784F">
        <w:trPr>
          <w:cantSplit/>
        </w:trPr>
        <w:tc>
          <w:tcPr>
            <w:tcW w:w="1298" w:type="pct"/>
            <w:vMerge w:val="restart"/>
            <w:tcBorders>
              <w:top w:val="single" w:sz="8" w:space="0" w:color="000000"/>
            </w:tcBorders>
            <w:vAlign w:val="center"/>
          </w:tcPr>
          <w:p w14:paraId="38071D53"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03FCD2B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Per Conformity Determination</w:t>
            </w:r>
          </w:p>
          <w:p w14:paraId="152BAC7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478414B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(Includes all areas with populations of  50,000-200,000)</w:t>
            </w:r>
          </w:p>
          <w:p w14:paraId="311C89C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14:paraId="2EDD649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p>
        </w:tc>
        <w:tc>
          <w:tcPr>
            <w:tcW w:w="1635" w:type="pct"/>
            <w:tcBorders>
              <w:top w:val="single" w:sz="8" w:space="0" w:color="000000"/>
            </w:tcBorders>
            <w:vAlign w:val="center"/>
          </w:tcPr>
          <w:p w14:paraId="7E68C686"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77" w:type="pct"/>
            <w:tcBorders>
              <w:top w:val="single" w:sz="8" w:space="0" w:color="000000"/>
            </w:tcBorders>
            <w:vAlign w:val="center"/>
          </w:tcPr>
          <w:p w14:paraId="1495026F" w14:textId="77777777"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tcBorders>
              <w:top w:val="single" w:sz="8" w:space="0" w:color="000000"/>
            </w:tcBorders>
            <w:vAlign w:val="center"/>
          </w:tcPr>
          <w:p w14:paraId="338B2AA0"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14:paraId="7CEF0ED8"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14:paraId="7A1962AF" w14:textId="77777777"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36</w:t>
            </w:r>
          </w:p>
        </w:tc>
      </w:tr>
      <w:tr w:rsidR="0051298C" w14:paraId="05574233" w14:textId="77777777" w:rsidTr="0037784F">
        <w:trPr>
          <w:cantSplit/>
        </w:trPr>
        <w:tc>
          <w:tcPr>
            <w:tcW w:w="1298" w:type="pct"/>
            <w:vMerge/>
            <w:vAlign w:val="center"/>
          </w:tcPr>
          <w:p w14:paraId="0547BE1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14:paraId="2C54FC0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Prior to MPO Determination</w:t>
            </w:r>
          </w:p>
        </w:tc>
        <w:tc>
          <w:tcPr>
            <w:tcW w:w="577" w:type="pct"/>
            <w:vAlign w:val="center"/>
          </w:tcPr>
          <w:p w14:paraId="535694A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vAlign w:val="center"/>
          </w:tcPr>
          <w:p w14:paraId="3B91B644" w14:textId="77777777"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481" w:type="pct"/>
            <w:vAlign w:val="center"/>
          </w:tcPr>
          <w:p w14:paraId="600A223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w:t>
            </w:r>
          </w:p>
        </w:tc>
        <w:tc>
          <w:tcPr>
            <w:tcW w:w="481" w:type="pct"/>
            <w:vAlign w:val="center"/>
          </w:tcPr>
          <w:p w14:paraId="7FD0B907" w14:textId="77777777" w:rsidR="003F3745" w:rsidRDefault="003F3745" w:rsidP="006923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jc w:val="center"/>
              <w:rPr>
                <w:sz w:val="20"/>
              </w:rPr>
            </w:pPr>
            <w:r>
              <w:rPr>
                <w:sz w:val="20"/>
              </w:rPr>
              <w:t>16</w:t>
            </w:r>
          </w:p>
        </w:tc>
      </w:tr>
      <w:tr w:rsidR="0051298C" w14:paraId="6B5550C4" w14:textId="77777777" w:rsidTr="0037784F">
        <w:trPr>
          <w:cantSplit/>
        </w:trPr>
        <w:tc>
          <w:tcPr>
            <w:tcW w:w="1298" w:type="pct"/>
            <w:vMerge/>
            <w:vAlign w:val="center"/>
          </w:tcPr>
          <w:p w14:paraId="7F934D5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14:paraId="510B8A0D"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Plan Conformity Determination</w:t>
            </w:r>
          </w:p>
        </w:tc>
        <w:tc>
          <w:tcPr>
            <w:tcW w:w="577" w:type="pct"/>
            <w:vAlign w:val="center"/>
          </w:tcPr>
          <w:p w14:paraId="42BC077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13</w:t>
            </w:r>
          </w:p>
        </w:tc>
        <w:tc>
          <w:tcPr>
            <w:tcW w:w="529" w:type="pct"/>
            <w:vAlign w:val="center"/>
          </w:tcPr>
          <w:p w14:paraId="4276310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481" w:type="pct"/>
            <w:vAlign w:val="center"/>
          </w:tcPr>
          <w:p w14:paraId="4B447FA3"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7</w:t>
            </w:r>
          </w:p>
        </w:tc>
        <w:tc>
          <w:tcPr>
            <w:tcW w:w="481" w:type="pct"/>
            <w:vAlign w:val="center"/>
          </w:tcPr>
          <w:p w14:paraId="1DE167B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22</w:t>
            </w:r>
          </w:p>
        </w:tc>
      </w:tr>
    </w:tbl>
    <w:p w14:paraId="43085541" w14:textId="77777777" w:rsidR="0051298C" w:rsidRPr="00A707D3" w:rsidRDefault="0051298C" w:rsidP="00A707D3">
      <w:pPr>
        <w:jc w:val="right"/>
        <w:rPr>
          <w:b/>
        </w:rPr>
      </w:pPr>
      <w:r>
        <w:rPr>
          <w:b/>
          <w:sz w:val="20"/>
        </w:rPr>
        <w:t>Federal Hours Burden For Each Plan/ TIP Conformity Determination</w:t>
      </w:r>
      <w:r w:rsidRPr="00A707D3">
        <w:rPr>
          <w:b/>
          <w:sz w:val="20"/>
        </w:rPr>
        <w:t xml:space="preserve">:  </w:t>
      </w:r>
      <w:r w:rsidR="00DD5CA9">
        <w:rPr>
          <w:b/>
          <w:sz w:val="20"/>
        </w:rPr>
        <w:t>74</w:t>
      </w:r>
    </w:p>
    <w:p w14:paraId="31BB87BD" w14:textId="77777777" w:rsidR="00DA7ACA" w:rsidRDefault="00DA7ACA"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253316F" w14:textId="77777777" w:rsidR="001B4368" w:rsidRDefault="001B4368"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21EE57A" w14:textId="77777777" w:rsidR="00F70A7D" w:rsidRDefault="00F70A7D"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6562A06" w14:textId="77777777" w:rsidR="00F70A7D" w:rsidRDefault="00F70A7D"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2970490" w14:textId="77777777" w:rsidR="00F70A7D" w:rsidRDefault="00F70A7D"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6970718" w14:textId="77777777" w:rsidR="00F70A7D" w:rsidRDefault="00F70A7D"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AF7E416" w14:textId="77777777" w:rsidR="00F70A7D" w:rsidRDefault="00F70A7D"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C9C25A6"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20</w:t>
      </w:r>
      <w:r>
        <w:rPr>
          <w:b/>
        </w:rPr>
        <w:t>: Federal Annual Cost for MPOs</w:t>
      </w:r>
    </w:p>
    <w:p w14:paraId="1D5D1F3C"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Transportation Plan and TIP Conformity Determinations</w:t>
      </w:r>
    </w:p>
    <w:p w14:paraId="188407AF"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14:paraId="1C27719C"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875"/>
        <w:gridCol w:w="2102"/>
        <w:gridCol w:w="1110"/>
        <w:gridCol w:w="992"/>
        <w:gridCol w:w="1225"/>
        <w:gridCol w:w="964"/>
        <w:gridCol w:w="876"/>
        <w:gridCol w:w="1196"/>
      </w:tblGrid>
      <w:tr w:rsidR="0051298C" w14:paraId="0BD566A7" w14:textId="77777777" w:rsidTr="0037784F">
        <w:trPr>
          <w:cantSplit/>
        </w:trPr>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03E278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B7ED57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Action</w:t>
            </w:r>
          </w:p>
        </w:tc>
        <w:tc>
          <w:tcPr>
            <w:tcW w:w="112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BD0CA6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03F2329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Metropolitan Nonattainment Area</w:t>
            </w:r>
          </w:p>
        </w:tc>
        <w:tc>
          <w:tcPr>
            <w:tcW w:w="59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D8B2B1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Burden Hours Per Action</w:t>
            </w:r>
          </w:p>
        </w:tc>
        <w:tc>
          <w:tcPr>
            <w:tcW w:w="53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F00C43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3B74F22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65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07AE9D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66A640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Frequency of Action</w:t>
            </w:r>
          </w:p>
        </w:tc>
        <w:tc>
          <w:tcPr>
            <w:tcW w:w="51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A8C48D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2D35A5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4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13C92B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Cost</w:t>
            </w:r>
          </w:p>
        </w:tc>
      </w:tr>
      <w:tr w:rsidR="0051298C" w14:paraId="1D07E711" w14:textId="77777777" w:rsidTr="0037784F">
        <w:trPr>
          <w:cantSplit/>
        </w:trPr>
        <w:tc>
          <w:tcPr>
            <w:tcW w:w="469" w:type="pct"/>
            <w:tcBorders>
              <w:top w:val="single" w:sz="8" w:space="0" w:color="000000"/>
            </w:tcBorders>
            <w:vAlign w:val="center"/>
          </w:tcPr>
          <w:p w14:paraId="14CFDBE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Plan</w:t>
            </w:r>
          </w:p>
          <w:p w14:paraId="0534A97D"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p>
        </w:tc>
        <w:tc>
          <w:tcPr>
            <w:tcW w:w="1125" w:type="pct"/>
            <w:tcBorders>
              <w:top w:val="single" w:sz="8" w:space="0" w:color="000000"/>
            </w:tcBorders>
            <w:vAlign w:val="center"/>
          </w:tcPr>
          <w:p w14:paraId="5056C14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w:t>
            </w:r>
          </w:p>
          <w:p w14:paraId="2B41E53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94" w:type="pct"/>
            <w:tcBorders>
              <w:top w:val="single" w:sz="8" w:space="0" w:color="000000"/>
            </w:tcBorders>
            <w:vAlign w:val="center"/>
          </w:tcPr>
          <w:p w14:paraId="1A0451C5" w14:textId="77777777"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tcBorders>
              <w:top w:val="single" w:sz="8" w:space="0" w:color="000000"/>
            </w:tcBorders>
            <w:vAlign w:val="center"/>
          </w:tcPr>
          <w:p w14:paraId="32C1A8AA" w14:textId="77777777" w:rsidR="0051298C" w:rsidRDefault="00EE27EE"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87</w:t>
            </w:r>
          </w:p>
        </w:tc>
        <w:tc>
          <w:tcPr>
            <w:tcW w:w="656" w:type="pct"/>
            <w:tcBorders>
              <w:top w:val="single" w:sz="8" w:space="0" w:color="000000"/>
            </w:tcBorders>
            <w:vAlign w:val="center"/>
          </w:tcPr>
          <w:p w14:paraId="4A706124" w14:textId="77777777" w:rsidR="0051298C" w:rsidRDefault="0046076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w:t>
            </w:r>
            <w:r w:rsidR="0051298C">
              <w:rPr>
                <w:sz w:val="20"/>
              </w:rPr>
              <w:t xml:space="preserve"> years</w:t>
            </w:r>
          </w:p>
        </w:tc>
        <w:tc>
          <w:tcPr>
            <w:tcW w:w="516" w:type="pct"/>
            <w:tcBorders>
              <w:top w:val="single" w:sz="8" w:space="0" w:color="000000"/>
            </w:tcBorders>
            <w:vAlign w:val="center"/>
          </w:tcPr>
          <w:p w14:paraId="544B84AF" w14:textId="77777777" w:rsidR="0051298C" w:rsidRDefault="00B3409F" w:rsidP="008B1F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1,609</w:t>
            </w:r>
          </w:p>
        </w:tc>
        <w:tc>
          <w:tcPr>
            <w:tcW w:w="469" w:type="pct"/>
            <w:tcBorders>
              <w:top w:val="single" w:sz="8" w:space="0" w:color="000000"/>
            </w:tcBorders>
            <w:vAlign w:val="center"/>
          </w:tcPr>
          <w:p w14:paraId="702E08E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w:t>
            </w:r>
            <w:r w:rsidR="00EE27EE">
              <w:rPr>
                <w:sz w:val="20"/>
              </w:rPr>
              <w:t>9.40</w:t>
            </w:r>
          </w:p>
        </w:tc>
        <w:tc>
          <w:tcPr>
            <w:tcW w:w="641" w:type="pct"/>
            <w:tcBorders>
              <w:top w:val="single" w:sz="8" w:space="0" w:color="000000"/>
            </w:tcBorders>
            <w:vAlign w:val="center"/>
          </w:tcPr>
          <w:p w14:paraId="3118BC98" w14:textId="77777777" w:rsidR="0051298C" w:rsidRDefault="006B350D" w:rsidP="008B1F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ascii="Tahoma" w:hAnsi="Tahoma" w:cs="Tahoma"/>
                <w:sz w:val="20"/>
                <w:szCs w:val="16"/>
              </w:rPr>
            </w:pPr>
            <w:r>
              <w:rPr>
                <w:sz w:val="20"/>
              </w:rPr>
              <w:t>$</w:t>
            </w:r>
            <w:r w:rsidR="00B3409F">
              <w:rPr>
                <w:sz w:val="20"/>
              </w:rPr>
              <w:t>95,575</w:t>
            </w:r>
          </w:p>
        </w:tc>
      </w:tr>
      <w:tr w:rsidR="0051298C" w14:paraId="057A3780" w14:textId="77777777" w:rsidTr="0037784F">
        <w:trPr>
          <w:cantSplit/>
        </w:trPr>
        <w:tc>
          <w:tcPr>
            <w:tcW w:w="469" w:type="pct"/>
            <w:vAlign w:val="center"/>
          </w:tcPr>
          <w:p w14:paraId="5338347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TIP</w:t>
            </w:r>
          </w:p>
          <w:p w14:paraId="2E41A966"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1125" w:type="pct"/>
            <w:vAlign w:val="center"/>
          </w:tcPr>
          <w:p w14:paraId="280C84A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w:t>
            </w:r>
          </w:p>
          <w:p w14:paraId="034A936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94" w:type="pct"/>
            <w:vAlign w:val="center"/>
          </w:tcPr>
          <w:p w14:paraId="5F068760" w14:textId="77777777"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vAlign w:val="center"/>
          </w:tcPr>
          <w:p w14:paraId="1884525C" w14:textId="77777777" w:rsidR="0051298C" w:rsidRDefault="00EE27EE"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87</w:t>
            </w:r>
          </w:p>
        </w:tc>
        <w:tc>
          <w:tcPr>
            <w:tcW w:w="656" w:type="pct"/>
            <w:vAlign w:val="center"/>
          </w:tcPr>
          <w:p w14:paraId="27584DC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 years</w:t>
            </w:r>
          </w:p>
        </w:tc>
        <w:tc>
          <w:tcPr>
            <w:tcW w:w="516" w:type="pct"/>
            <w:vAlign w:val="center"/>
          </w:tcPr>
          <w:p w14:paraId="01AD2B55" w14:textId="77777777" w:rsidR="0051298C" w:rsidRDefault="00B3409F" w:rsidP="008B1F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ascii="Tahoma" w:hAnsi="Tahoma" w:cs="Tahoma"/>
                <w:sz w:val="20"/>
                <w:szCs w:val="16"/>
              </w:rPr>
            </w:pPr>
            <w:r>
              <w:rPr>
                <w:sz w:val="20"/>
              </w:rPr>
              <w:t>1,609</w:t>
            </w:r>
          </w:p>
        </w:tc>
        <w:tc>
          <w:tcPr>
            <w:tcW w:w="469" w:type="pct"/>
            <w:vAlign w:val="center"/>
          </w:tcPr>
          <w:p w14:paraId="6B641366" w14:textId="77777777" w:rsidR="0051298C" w:rsidRDefault="0051298C"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w:t>
            </w:r>
            <w:r w:rsidR="00EE27EE">
              <w:rPr>
                <w:sz w:val="20"/>
              </w:rPr>
              <w:t>9.40</w:t>
            </w:r>
          </w:p>
        </w:tc>
        <w:tc>
          <w:tcPr>
            <w:tcW w:w="641" w:type="pct"/>
            <w:vAlign w:val="center"/>
          </w:tcPr>
          <w:p w14:paraId="794920BF" w14:textId="77777777" w:rsidR="0051298C" w:rsidRDefault="006B350D" w:rsidP="008B1F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w:t>
            </w:r>
            <w:r w:rsidR="00B3409F">
              <w:rPr>
                <w:sz w:val="20"/>
              </w:rPr>
              <w:t>95,575</w:t>
            </w:r>
          </w:p>
        </w:tc>
      </w:tr>
      <w:tr w:rsidR="0051298C" w14:paraId="139FB3DD" w14:textId="77777777" w:rsidTr="0037784F">
        <w:trPr>
          <w:cantSplit/>
        </w:trPr>
        <w:tc>
          <w:tcPr>
            <w:tcW w:w="469" w:type="pct"/>
            <w:vAlign w:val="center"/>
          </w:tcPr>
          <w:p w14:paraId="3CAFE39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Plan/</w:t>
            </w:r>
          </w:p>
          <w:p w14:paraId="42BA291D"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TIP</w:t>
            </w:r>
          </w:p>
          <w:p w14:paraId="7AC8058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1125" w:type="pct"/>
            <w:vAlign w:val="center"/>
          </w:tcPr>
          <w:p w14:paraId="66896E53"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 (pop. 50,000-200,000)</w:t>
            </w:r>
          </w:p>
        </w:tc>
        <w:tc>
          <w:tcPr>
            <w:tcW w:w="594" w:type="pct"/>
            <w:vAlign w:val="center"/>
          </w:tcPr>
          <w:p w14:paraId="415A5545" w14:textId="77777777"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vAlign w:val="center"/>
          </w:tcPr>
          <w:p w14:paraId="41862038" w14:textId="77777777" w:rsidR="0051298C" w:rsidRDefault="00EE27EE"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39</w:t>
            </w:r>
          </w:p>
        </w:tc>
        <w:tc>
          <w:tcPr>
            <w:tcW w:w="656" w:type="pct"/>
            <w:vAlign w:val="center"/>
          </w:tcPr>
          <w:p w14:paraId="518ECA4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 years</w:t>
            </w:r>
          </w:p>
        </w:tc>
        <w:tc>
          <w:tcPr>
            <w:tcW w:w="516" w:type="pct"/>
            <w:vAlign w:val="center"/>
          </w:tcPr>
          <w:p w14:paraId="6DF1E525" w14:textId="77777777" w:rsidR="0051298C" w:rsidRDefault="00B3409F" w:rsidP="00B340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721</w:t>
            </w:r>
          </w:p>
        </w:tc>
        <w:tc>
          <w:tcPr>
            <w:tcW w:w="469" w:type="pct"/>
            <w:vAlign w:val="center"/>
          </w:tcPr>
          <w:p w14:paraId="73F0ABDB" w14:textId="77777777" w:rsidR="0051298C" w:rsidRDefault="0051298C"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w:t>
            </w:r>
            <w:r w:rsidR="00EE27EE">
              <w:rPr>
                <w:sz w:val="20"/>
              </w:rPr>
              <w:t>9.40</w:t>
            </w:r>
          </w:p>
        </w:tc>
        <w:tc>
          <w:tcPr>
            <w:tcW w:w="641" w:type="pct"/>
            <w:vAlign w:val="center"/>
          </w:tcPr>
          <w:p w14:paraId="72FDF4A8" w14:textId="77777777" w:rsidR="0051298C" w:rsidRDefault="006B350D" w:rsidP="00DE14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w:t>
            </w:r>
            <w:r w:rsidR="00B3409F">
              <w:rPr>
                <w:sz w:val="20"/>
              </w:rPr>
              <w:t>42,8</w:t>
            </w:r>
            <w:r w:rsidR="00DE14E9">
              <w:rPr>
                <w:sz w:val="20"/>
              </w:rPr>
              <w:t>2</w:t>
            </w:r>
            <w:r w:rsidR="00B3409F">
              <w:rPr>
                <w:sz w:val="20"/>
              </w:rPr>
              <w:t>7</w:t>
            </w:r>
          </w:p>
        </w:tc>
      </w:tr>
    </w:tbl>
    <w:p w14:paraId="70C3EF3D" w14:textId="77777777" w:rsidR="0051298C" w:rsidRDefault="0051298C" w:rsidP="00A707D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Pr>
          <w:b/>
          <w:sz w:val="20"/>
        </w:rPr>
        <w:t xml:space="preserve">Total Federal Burden for Plan and TIP Actions: </w:t>
      </w:r>
      <w:r w:rsidR="00B3409F">
        <w:rPr>
          <w:b/>
          <w:sz w:val="20"/>
        </w:rPr>
        <w:t>3,9</w:t>
      </w:r>
      <w:r w:rsidR="00DE14E9">
        <w:rPr>
          <w:b/>
          <w:sz w:val="20"/>
        </w:rPr>
        <w:t>39</w:t>
      </w:r>
      <w:r>
        <w:rPr>
          <w:b/>
          <w:sz w:val="20"/>
        </w:rPr>
        <w:t xml:space="preserve"> hours/year x $5</w:t>
      </w:r>
      <w:r w:rsidR="00EE27EE">
        <w:rPr>
          <w:b/>
          <w:sz w:val="20"/>
        </w:rPr>
        <w:t>9.40</w:t>
      </w:r>
      <w:r>
        <w:rPr>
          <w:b/>
          <w:sz w:val="20"/>
        </w:rPr>
        <w:t>/hour = $</w:t>
      </w:r>
      <w:r w:rsidR="00DE14E9">
        <w:rPr>
          <w:b/>
          <w:sz w:val="20"/>
        </w:rPr>
        <w:t>233,977</w:t>
      </w:r>
    </w:p>
    <w:p w14:paraId="27BDDBB7" w14:textId="77777777"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9A2CC54" w14:textId="77777777" w:rsidR="009E3F14" w:rsidRDefault="009E3F14" w:rsidP="0074498A">
      <w:pPr>
        <w:rPr>
          <w:b/>
          <w:i/>
        </w:rPr>
      </w:pPr>
    </w:p>
    <w:p w14:paraId="2D904D26" w14:textId="77777777" w:rsidR="0051298C" w:rsidRDefault="0051298C" w:rsidP="0074498A">
      <w:pPr>
        <w:rPr>
          <w:b/>
          <w:i/>
        </w:rPr>
      </w:pPr>
      <w:r>
        <w:rPr>
          <w:b/>
          <w:i/>
        </w:rPr>
        <w:t>Project-Level Conformity Determinations in Metropolitan Nonattainment and Maintenance Areas – Federal Burden Hours and Cost</w:t>
      </w:r>
    </w:p>
    <w:p w14:paraId="13EC6AB9" w14:textId="77777777" w:rsidR="0051298C" w:rsidRDefault="0051298C" w:rsidP="0074498A"/>
    <w:p w14:paraId="6FC6EC5B" w14:textId="77777777"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AC2F10">
        <w:t>Table</w:t>
      </w:r>
      <w:r>
        <w:t xml:space="preserve">s </w:t>
      </w:r>
      <w:r w:rsidR="00B651EF">
        <w:t>21</w:t>
      </w:r>
      <w:r>
        <w:t xml:space="preserve"> and 2</w:t>
      </w:r>
      <w:r w:rsidR="00B651EF">
        <w:t>2</w:t>
      </w:r>
      <w:r>
        <w:t xml:space="preserve"> estimate the burden hours and cost that federal agencies incur associated with conformity determinations for projects in metropolitan nonattainment and maintenance areas. These tables are intended to illustrate burden associated with a typical project-level conformity determination. </w:t>
      </w:r>
    </w:p>
    <w:p w14:paraId="3D666541" w14:textId="77777777"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1C4754BE" w14:textId="77777777"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To calculate burden for federal agencies associated with consultation and reviewing project-level conformity determinations for metropolitan nonattainment and maintenance areas, EPA polled</w:t>
      </w:r>
      <w:r w:rsidR="0049467B">
        <w:t xml:space="preserve"> its regional offices and DOT. </w:t>
      </w:r>
      <w:r>
        <w:t>The following tables show federal burden associated with consultation and reviewing project-level conformity determinations prepared by state and local respondents.</w:t>
      </w:r>
      <w:r w:rsidRPr="005D490D">
        <w:t xml:space="preserve"> </w:t>
      </w:r>
      <w:r>
        <w:t xml:space="preserve">State and local respondents burden hours and cost associated with consultation, hot-spot analysis and regional emissions analysis may be found in </w:t>
      </w:r>
      <w:r w:rsidRPr="00AC2F10">
        <w:t>Table</w:t>
      </w:r>
      <w:r>
        <w:t xml:space="preserve">s </w:t>
      </w:r>
      <w:r w:rsidR="00B651EF">
        <w:t>10</w:t>
      </w:r>
      <w:r>
        <w:t xml:space="preserve"> and </w:t>
      </w:r>
      <w:r w:rsidR="00B651EF">
        <w:t>11</w:t>
      </w:r>
      <w:r>
        <w:t>.</w:t>
      </w:r>
    </w:p>
    <w:p w14:paraId="62F5D497" w14:textId="77777777" w:rsidR="00F70A7D" w:rsidRDefault="00F70A7D"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187DA34" w14:textId="77777777" w:rsidR="00F70A7D" w:rsidRDefault="00F70A7D"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3CAC6D8" w14:textId="77777777" w:rsidR="00F70A7D" w:rsidRDefault="00F70A7D"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53B3106" w14:textId="77777777" w:rsidR="00F70A7D" w:rsidRDefault="00F70A7D"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AD48408" w14:textId="77777777" w:rsidR="00F70A7D" w:rsidRDefault="00F70A7D"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8ABA731" w14:textId="77777777"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21</w:t>
      </w:r>
      <w:r>
        <w:rPr>
          <w:b/>
        </w:rPr>
        <w:t xml:space="preserve">: Federal Burden Hours </w:t>
      </w:r>
    </w:p>
    <w:p w14:paraId="4C39F9C9" w14:textId="77777777"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Each Project-level Conformity Determination Metropolitan Nonattainment and Maintenance Areas</w:t>
      </w:r>
    </w:p>
    <w:p w14:paraId="67307EF1" w14:textId="77777777"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5002"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885"/>
        <w:gridCol w:w="1604"/>
        <w:gridCol w:w="1684"/>
        <w:gridCol w:w="1964"/>
        <w:gridCol w:w="1207"/>
      </w:tblGrid>
      <w:tr w:rsidR="0051298C" w14:paraId="350C80F6" w14:textId="77777777" w:rsidTr="001C11EE">
        <w:trPr>
          <w:cantSplit/>
          <w:trHeight w:val="864"/>
        </w:trPr>
        <w:tc>
          <w:tcPr>
            <w:tcW w:w="154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A82C51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85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5D089A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90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C3EAF2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105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BD1537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Reviewing Project-level conformity determinations</w:t>
            </w:r>
          </w:p>
        </w:tc>
        <w:tc>
          <w:tcPr>
            <w:tcW w:w="64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87AD06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w:t>
            </w:r>
          </w:p>
          <w:p w14:paraId="1A9A85D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r>
      <w:tr w:rsidR="0051298C" w14:paraId="6DC88009" w14:textId="77777777" w:rsidTr="001C11EE">
        <w:trPr>
          <w:cantSplit/>
          <w:trHeight w:val="576"/>
        </w:trPr>
        <w:tc>
          <w:tcPr>
            <w:tcW w:w="1543" w:type="pct"/>
            <w:tcBorders>
              <w:top w:val="single" w:sz="8" w:space="0" w:color="000000"/>
            </w:tcBorders>
            <w:vAlign w:val="center"/>
          </w:tcPr>
          <w:p w14:paraId="3BBC35A2" w14:textId="77777777" w:rsidR="0051298C" w:rsidRDefault="0051298C"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Ozone, NO</w:t>
            </w:r>
            <w:r w:rsidRPr="00511C0F">
              <w:rPr>
                <w:rFonts w:ascii="Times" w:hAnsi="Times"/>
                <w:sz w:val="20"/>
                <w:vertAlign w:val="subscript"/>
              </w:rPr>
              <w:t>2</w:t>
            </w:r>
            <w:r>
              <w:rPr>
                <w:sz w:val="20"/>
              </w:rPr>
              <w:t>, PM</w:t>
            </w:r>
            <w:r w:rsidRPr="00511C0F">
              <w:rPr>
                <w:rFonts w:ascii="Times" w:hAnsi="Times"/>
                <w:sz w:val="20"/>
                <w:vertAlign w:val="subscript"/>
              </w:rPr>
              <w:t>2.5</w:t>
            </w:r>
            <w:r>
              <w:rPr>
                <w:sz w:val="20"/>
              </w:rPr>
              <w:t xml:space="preserve"> and PM</w:t>
            </w:r>
            <w:r w:rsidRPr="00511C0F">
              <w:rPr>
                <w:rFonts w:ascii="Times" w:hAnsi="Times"/>
                <w:sz w:val="20"/>
                <w:vertAlign w:val="subscript"/>
              </w:rPr>
              <w:t>10</w:t>
            </w:r>
          </w:p>
        </w:tc>
        <w:tc>
          <w:tcPr>
            <w:tcW w:w="858" w:type="pct"/>
            <w:tcBorders>
              <w:top w:val="single" w:sz="8" w:space="0" w:color="000000"/>
            </w:tcBorders>
            <w:vAlign w:val="center"/>
          </w:tcPr>
          <w:p w14:paraId="3E6260A4" w14:textId="77777777" w:rsidR="0051298C" w:rsidRDefault="0051298C"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None</w:t>
            </w:r>
          </w:p>
        </w:tc>
        <w:tc>
          <w:tcPr>
            <w:tcW w:w="901" w:type="pct"/>
            <w:tcBorders>
              <w:top w:val="single" w:sz="8" w:space="0" w:color="000000"/>
            </w:tcBorders>
            <w:vAlign w:val="center"/>
          </w:tcPr>
          <w:p w14:paraId="5F2256C8" w14:textId="77777777" w:rsidR="0051298C" w:rsidRDefault="003F3745"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1051" w:type="pct"/>
            <w:tcBorders>
              <w:top w:val="single" w:sz="8" w:space="0" w:color="000000"/>
            </w:tcBorders>
            <w:vAlign w:val="center"/>
          </w:tcPr>
          <w:p w14:paraId="43682361" w14:textId="77777777" w:rsidR="0051298C" w:rsidRDefault="003F3745"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646" w:type="pct"/>
            <w:tcBorders>
              <w:top w:val="single" w:sz="8" w:space="0" w:color="000000"/>
            </w:tcBorders>
            <w:vAlign w:val="center"/>
          </w:tcPr>
          <w:p w14:paraId="0D220939" w14:textId="77777777" w:rsidR="0051298C" w:rsidRDefault="00041D2A"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r>
      <w:tr w:rsidR="000A3FED" w14:paraId="39046138" w14:textId="77777777" w:rsidTr="000A3FED">
        <w:trPr>
          <w:cantSplit/>
          <w:trHeight w:val="285"/>
        </w:trPr>
        <w:tc>
          <w:tcPr>
            <w:tcW w:w="1543" w:type="pct"/>
            <w:vAlign w:val="center"/>
          </w:tcPr>
          <w:p w14:paraId="3FE4B92E" w14:textId="77777777" w:rsidR="000A3FED" w:rsidRDefault="000A3FE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PM</w:t>
            </w:r>
            <w:r w:rsidRPr="00511C0F">
              <w:rPr>
                <w:rFonts w:ascii="Times" w:hAnsi="Times"/>
                <w:sz w:val="20"/>
                <w:vertAlign w:val="subscript"/>
              </w:rPr>
              <w:t>2.5</w:t>
            </w:r>
            <w:r>
              <w:rPr>
                <w:sz w:val="20"/>
              </w:rPr>
              <w:t xml:space="preserve"> and PM</w:t>
            </w:r>
            <w:r w:rsidRPr="00511C0F">
              <w:rPr>
                <w:rFonts w:ascii="Times" w:hAnsi="Times"/>
                <w:sz w:val="20"/>
                <w:vertAlign w:val="subscript"/>
              </w:rPr>
              <w:t>10</w:t>
            </w:r>
          </w:p>
        </w:tc>
        <w:tc>
          <w:tcPr>
            <w:tcW w:w="858" w:type="pct"/>
            <w:vAlign w:val="center"/>
          </w:tcPr>
          <w:p w14:paraId="44A0E05E" w14:textId="77777777" w:rsidR="000A3FED" w:rsidRDefault="000A3FE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1" w:type="pct"/>
            <w:vAlign w:val="center"/>
          </w:tcPr>
          <w:p w14:paraId="6ACC5B00" w14:textId="77777777" w:rsidR="000A3FED" w:rsidRDefault="000A3FE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c>
          <w:tcPr>
            <w:tcW w:w="1051" w:type="pct"/>
            <w:vAlign w:val="center"/>
          </w:tcPr>
          <w:p w14:paraId="3CCBFB92" w14:textId="77777777" w:rsidR="000A3FED" w:rsidRDefault="000A3FE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w:t>
            </w:r>
          </w:p>
        </w:tc>
        <w:tc>
          <w:tcPr>
            <w:tcW w:w="646" w:type="pct"/>
            <w:vAlign w:val="center"/>
          </w:tcPr>
          <w:p w14:paraId="787EF185" w14:textId="77777777" w:rsidR="000A3FED" w:rsidRDefault="000A3FE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16</w:t>
            </w:r>
          </w:p>
        </w:tc>
      </w:tr>
      <w:tr w:rsidR="0051298C" w14:paraId="3D269C30" w14:textId="77777777" w:rsidTr="001C11EE">
        <w:trPr>
          <w:cantSplit/>
          <w:trHeight w:val="573"/>
        </w:trPr>
        <w:tc>
          <w:tcPr>
            <w:tcW w:w="1543" w:type="pct"/>
            <w:vAlign w:val="center"/>
          </w:tcPr>
          <w:p w14:paraId="78127C6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58" w:type="pct"/>
            <w:vAlign w:val="center"/>
          </w:tcPr>
          <w:p w14:paraId="783A89AC" w14:textId="77777777" w:rsidR="0051298C" w:rsidRDefault="0051298C"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 xml:space="preserve">Quantitative </w:t>
            </w:r>
          </w:p>
        </w:tc>
        <w:tc>
          <w:tcPr>
            <w:tcW w:w="901" w:type="pct"/>
            <w:vAlign w:val="center"/>
          </w:tcPr>
          <w:p w14:paraId="78C0962C" w14:textId="77777777" w:rsidR="0051298C"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c>
          <w:tcPr>
            <w:tcW w:w="1051" w:type="pct"/>
            <w:vAlign w:val="center"/>
          </w:tcPr>
          <w:p w14:paraId="0F4E1E95" w14:textId="77777777" w:rsidR="0051298C"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646" w:type="pct"/>
            <w:vAlign w:val="center"/>
          </w:tcPr>
          <w:p w14:paraId="42F7F2B3" w14:textId="77777777" w:rsidR="0051298C"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r w:rsidR="00D41E56" w14:paraId="6B436EE4" w14:textId="77777777" w:rsidTr="001C11EE">
        <w:trPr>
          <w:cantSplit/>
          <w:trHeight w:val="573"/>
        </w:trPr>
        <w:tc>
          <w:tcPr>
            <w:tcW w:w="1543" w:type="pct"/>
            <w:vAlign w:val="center"/>
          </w:tcPr>
          <w:p w14:paraId="0D42AB24" w14:textId="77777777" w:rsidR="00D41E56" w:rsidRDefault="00D41E5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58" w:type="pct"/>
            <w:vAlign w:val="center"/>
          </w:tcPr>
          <w:p w14:paraId="51AC456A" w14:textId="77777777"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vAlign w:val="center"/>
          </w:tcPr>
          <w:p w14:paraId="58EFDC55" w14:textId="77777777" w:rsidR="00D41E56" w:rsidDel="003F3745"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1051" w:type="pct"/>
            <w:vAlign w:val="center"/>
          </w:tcPr>
          <w:p w14:paraId="04E48725" w14:textId="77777777"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1.25</w:t>
            </w:r>
          </w:p>
        </w:tc>
        <w:tc>
          <w:tcPr>
            <w:tcW w:w="646" w:type="pct"/>
            <w:vAlign w:val="center"/>
          </w:tcPr>
          <w:p w14:paraId="4E2136E3" w14:textId="77777777"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1.5</w:t>
            </w:r>
          </w:p>
        </w:tc>
      </w:tr>
    </w:tbl>
    <w:p w14:paraId="15020529" w14:textId="77777777" w:rsidR="0051298C" w:rsidRDefault="0051298C" w:rsidP="00934109">
      <w:pPr>
        <w:jc w:val="center"/>
        <w:rPr>
          <w:b/>
        </w:rPr>
      </w:pPr>
    </w:p>
    <w:p w14:paraId="098CB1C4" w14:textId="77777777" w:rsidR="003939ED" w:rsidRDefault="003939ED" w:rsidP="00A7260B">
      <w:pPr>
        <w:jc w:val="center"/>
        <w:rPr>
          <w:b/>
        </w:rPr>
      </w:pPr>
    </w:p>
    <w:p w14:paraId="0BB9C42B" w14:textId="77777777" w:rsidR="00A845FC" w:rsidRDefault="00A845FC" w:rsidP="00A7260B">
      <w:pPr>
        <w:jc w:val="center"/>
        <w:rPr>
          <w:b/>
        </w:rPr>
      </w:pPr>
    </w:p>
    <w:p w14:paraId="70A76F2E" w14:textId="77777777" w:rsidR="00A845FC" w:rsidRDefault="00A845FC" w:rsidP="00A7260B">
      <w:pPr>
        <w:jc w:val="center"/>
        <w:rPr>
          <w:b/>
        </w:rPr>
      </w:pPr>
    </w:p>
    <w:p w14:paraId="626127A2" w14:textId="77777777" w:rsidR="00A845FC" w:rsidRDefault="00A845FC" w:rsidP="00A7260B">
      <w:pPr>
        <w:jc w:val="center"/>
        <w:rPr>
          <w:b/>
        </w:rPr>
      </w:pPr>
    </w:p>
    <w:p w14:paraId="60F5177B" w14:textId="77777777" w:rsidR="00A845FC" w:rsidRDefault="00A845FC" w:rsidP="00A7260B">
      <w:pPr>
        <w:jc w:val="center"/>
        <w:rPr>
          <w:b/>
        </w:rPr>
      </w:pPr>
    </w:p>
    <w:p w14:paraId="3592BA14" w14:textId="77777777" w:rsidR="00A845FC" w:rsidRDefault="00A845FC" w:rsidP="00A7260B">
      <w:pPr>
        <w:jc w:val="center"/>
        <w:rPr>
          <w:b/>
        </w:rPr>
      </w:pPr>
    </w:p>
    <w:p w14:paraId="58F9566C" w14:textId="77777777" w:rsidR="00A845FC" w:rsidRDefault="00A845FC" w:rsidP="00A7260B">
      <w:pPr>
        <w:jc w:val="center"/>
        <w:rPr>
          <w:b/>
        </w:rPr>
      </w:pPr>
    </w:p>
    <w:p w14:paraId="443A61DF" w14:textId="77777777" w:rsidR="00A845FC" w:rsidRDefault="00A845FC" w:rsidP="00A7260B">
      <w:pPr>
        <w:jc w:val="center"/>
        <w:rPr>
          <w:b/>
        </w:rPr>
      </w:pPr>
    </w:p>
    <w:p w14:paraId="0EC970B2" w14:textId="77777777" w:rsidR="00A845FC" w:rsidRDefault="00A845FC" w:rsidP="00A7260B">
      <w:pPr>
        <w:jc w:val="center"/>
        <w:rPr>
          <w:b/>
        </w:rPr>
      </w:pPr>
    </w:p>
    <w:p w14:paraId="758C64B2" w14:textId="77777777" w:rsidR="003939ED" w:rsidRDefault="003939ED" w:rsidP="00A7260B">
      <w:pPr>
        <w:jc w:val="center"/>
        <w:rPr>
          <w:b/>
        </w:rPr>
      </w:pPr>
    </w:p>
    <w:p w14:paraId="6EAF1642" w14:textId="77777777" w:rsidR="00A7260B" w:rsidRDefault="0051298C" w:rsidP="00A7260B">
      <w:pPr>
        <w:jc w:val="center"/>
        <w:rPr>
          <w:b/>
        </w:rPr>
      </w:pPr>
      <w:r>
        <w:rPr>
          <w:b/>
        </w:rPr>
        <w:t>Table 2</w:t>
      </w:r>
      <w:r w:rsidR="00B651EF">
        <w:rPr>
          <w:b/>
        </w:rPr>
        <w:t>2</w:t>
      </w:r>
      <w:r>
        <w:rPr>
          <w:b/>
        </w:rPr>
        <w:t xml:space="preserve">: Federal Annual Cost </w:t>
      </w:r>
    </w:p>
    <w:p w14:paraId="4DF5D0F2" w14:textId="77777777" w:rsidR="00A7260B" w:rsidRDefault="0051298C" w:rsidP="00A7260B">
      <w:pPr>
        <w:jc w:val="center"/>
        <w:rPr>
          <w:b/>
        </w:rPr>
      </w:pPr>
      <w:r>
        <w:rPr>
          <w:b/>
        </w:rPr>
        <w:t xml:space="preserve">Project-level Conformity Determinations </w:t>
      </w:r>
    </w:p>
    <w:p w14:paraId="6A5DAE33" w14:textId="77777777" w:rsidR="0051298C" w:rsidRDefault="0051298C" w:rsidP="00A7260B">
      <w:pPr>
        <w:jc w:val="center"/>
      </w:pPr>
      <w:r>
        <w:rPr>
          <w:b/>
        </w:rPr>
        <w:t>Metropolitan Nonattainment and Maintenance Areas</w:t>
      </w:r>
    </w:p>
    <w:p w14:paraId="26F0D603" w14:textId="77777777"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509"/>
        <w:gridCol w:w="1117"/>
        <w:gridCol w:w="1164"/>
        <w:gridCol w:w="1186"/>
        <w:gridCol w:w="1009"/>
        <w:gridCol w:w="1097"/>
        <w:gridCol w:w="977"/>
        <w:gridCol w:w="1281"/>
      </w:tblGrid>
      <w:tr w:rsidR="0051298C" w14:paraId="13162C5F" w14:textId="77777777" w:rsidTr="0037784F">
        <w:trPr>
          <w:cantSplit/>
          <w:trHeight w:val="1330"/>
        </w:trPr>
        <w:tc>
          <w:tcPr>
            <w:tcW w:w="1405"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004EF1C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6F9D4995" w14:textId="77777777" w:rsidR="0051298C" w:rsidRPr="00511C0F"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sidRPr="00511C0F">
              <w:rPr>
                <w:b/>
                <w:sz w:val="20"/>
              </w:rPr>
              <w:t>Type of Analysis</w:t>
            </w:r>
          </w:p>
        </w:tc>
        <w:tc>
          <w:tcPr>
            <w:tcW w:w="62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01CDC7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b/>
                <w:sz w:val="20"/>
              </w:rPr>
            </w:pPr>
            <w:r>
              <w:rPr>
                <w:b/>
                <w:sz w:val="20"/>
              </w:rPr>
              <w:t>Burden Hours Per Action</w:t>
            </w:r>
          </w:p>
          <w:p w14:paraId="6E432C9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63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212181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2B31EE1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Average</w:t>
            </w:r>
          </w:p>
          <w:p w14:paraId="3586A3E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No. of Actions/</w:t>
            </w:r>
          </w:p>
          <w:p w14:paraId="094A57F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Year</w:t>
            </w:r>
          </w:p>
        </w:tc>
        <w:tc>
          <w:tcPr>
            <w:tcW w:w="54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41E6FE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1EB7FFCF"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58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3DD6A9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52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04ED3C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8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B1F90F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14:paraId="6508865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Cost</w:t>
            </w:r>
          </w:p>
        </w:tc>
      </w:tr>
      <w:tr w:rsidR="0051298C" w14:paraId="2BF4DC37" w14:textId="77777777" w:rsidTr="0037784F">
        <w:trPr>
          <w:cantSplit/>
          <w:trHeight w:val="824"/>
        </w:trPr>
        <w:tc>
          <w:tcPr>
            <w:tcW w:w="808" w:type="pct"/>
            <w:vMerge w:val="restart"/>
            <w:tcBorders>
              <w:top w:val="single" w:sz="8" w:space="0" w:color="000000"/>
            </w:tcBorders>
            <w:vAlign w:val="center"/>
          </w:tcPr>
          <w:p w14:paraId="54B0E28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 level conformity determination  - No Hot-spot Analysis</w:t>
            </w:r>
          </w:p>
        </w:tc>
        <w:tc>
          <w:tcPr>
            <w:tcW w:w="598" w:type="pct"/>
            <w:tcBorders>
              <w:top w:val="single" w:sz="8" w:space="0" w:color="000000"/>
            </w:tcBorders>
            <w:vAlign w:val="center"/>
          </w:tcPr>
          <w:p w14:paraId="20EFEAE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623" w:type="pct"/>
            <w:tcBorders>
              <w:top w:val="single" w:sz="8" w:space="0" w:color="000000"/>
            </w:tcBorders>
            <w:vAlign w:val="center"/>
          </w:tcPr>
          <w:p w14:paraId="2F12814C" w14:textId="77777777" w:rsidR="0051298C" w:rsidRPr="00EF1A90" w:rsidRDefault="00990F78" w:rsidP="008B4E1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635" w:type="pct"/>
            <w:tcBorders>
              <w:top w:val="single" w:sz="8" w:space="0" w:color="000000"/>
            </w:tcBorders>
            <w:vAlign w:val="center"/>
          </w:tcPr>
          <w:p w14:paraId="73F705FD" w14:textId="77777777" w:rsidR="0051298C" w:rsidRPr="00EF1A90" w:rsidRDefault="00195AC2"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w:t>
            </w:r>
            <w:r w:rsidR="0051298C" w:rsidRPr="00EF1A90">
              <w:rPr>
                <w:sz w:val="20"/>
              </w:rPr>
              <w:t>5</w:t>
            </w:r>
          </w:p>
        </w:tc>
        <w:tc>
          <w:tcPr>
            <w:tcW w:w="540" w:type="pct"/>
            <w:tcBorders>
              <w:top w:val="single" w:sz="8" w:space="0" w:color="000000"/>
            </w:tcBorders>
            <w:vAlign w:val="center"/>
          </w:tcPr>
          <w:p w14:paraId="66ADC2C1" w14:textId="77777777" w:rsidR="0051298C" w:rsidRPr="00EF1A90" w:rsidRDefault="00EE27EE"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87</w:t>
            </w:r>
          </w:p>
        </w:tc>
        <w:tc>
          <w:tcPr>
            <w:tcW w:w="587" w:type="pct"/>
            <w:tcBorders>
              <w:top w:val="single" w:sz="8" w:space="0" w:color="000000"/>
            </w:tcBorders>
            <w:vAlign w:val="center"/>
          </w:tcPr>
          <w:p w14:paraId="33154C18" w14:textId="77777777" w:rsidR="0051298C" w:rsidRPr="00EF1A90" w:rsidRDefault="00B3409F"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5,656</w:t>
            </w:r>
          </w:p>
        </w:tc>
        <w:tc>
          <w:tcPr>
            <w:tcW w:w="523" w:type="pct"/>
            <w:tcBorders>
              <w:top w:val="single" w:sz="8" w:space="0" w:color="000000"/>
            </w:tcBorders>
            <w:vAlign w:val="center"/>
          </w:tcPr>
          <w:p w14:paraId="5314F05C" w14:textId="77777777" w:rsidR="0051298C" w:rsidRPr="00EF1A90" w:rsidRDefault="0051298C"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w:t>
            </w:r>
            <w:r w:rsidR="00EE27EE">
              <w:rPr>
                <w:sz w:val="20"/>
              </w:rPr>
              <w:t>9.40</w:t>
            </w:r>
          </w:p>
        </w:tc>
        <w:tc>
          <w:tcPr>
            <w:tcW w:w="687" w:type="pct"/>
            <w:tcBorders>
              <w:top w:val="single" w:sz="8" w:space="0" w:color="000000"/>
            </w:tcBorders>
            <w:vAlign w:val="center"/>
          </w:tcPr>
          <w:p w14:paraId="6555E9BD" w14:textId="77777777" w:rsidR="0051298C" w:rsidRPr="00EF1A90" w:rsidRDefault="006B350D" w:rsidP="002F2E8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2F2E83">
              <w:rPr>
                <w:sz w:val="20"/>
              </w:rPr>
              <w:t>335,966</w:t>
            </w:r>
          </w:p>
        </w:tc>
      </w:tr>
      <w:tr w:rsidR="0051298C" w14:paraId="785AF26F" w14:textId="77777777" w:rsidTr="0037784F">
        <w:trPr>
          <w:cantSplit/>
          <w:trHeight w:val="690"/>
        </w:trPr>
        <w:tc>
          <w:tcPr>
            <w:tcW w:w="808" w:type="pct"/>
            <w:vMerge/>
            <w:vAlign w:val="center"/>
          </w:tcPr>
          <w:p w14:paraId="6BB0FAAD"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598" w:type="pct"/>
            <w:vAlign w:val="center"/>
          </w:tcPr>
          <w:p w14:paraId="7F8DB0B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50,000-200,000</w:t>
            </w:r>
          </w:p>
        </w:tc>
        <w:tc>
          <w:tcPr>
            <w:tcW w:w="623" w:type="pct"/>
            <w:vAlign w:val="center"/>
          </w:tcPr>
          <w:p w14:paraId="79C22018" w14:textId="77777777" w:rsidR="0051298C" w:rsidRPr="00EF1A90" w:rsidRDefault="00990F78" w:rsidP="008B4E1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635" w:type="pct"/>
            <w:vAlign w:val="center"/>
          </w:tcPr>
          <w:p w14:paraId="2756260A" w14:textId="77777777"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15</w:t>
            </w:r>
          </w:p>
        </w:tc>
        <w:tc>
          <w:tcPr>
            <w:tcW w:w="540" w:type="pct"/>
            <w:vAlign w:val="center"/>
          </w:tcPr>
          <w:p w14:paraId="2EFE2813" w14:textId="77777777" w:rsidR="0051298C" w:rsidRPr="00EF1A90" w:rsidRDefault="00EE27EE"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39</w:t>
            </w:r>
          </w:p>
        </w:tc>
        <w:tc>
          <w:tcPr>
            <w:tcW w:w="587" w:type="pct"/>
            <w:vAlign w:val="center"/>
          </w:tcPr>
          <w:p w14:paraId="67541D98" w14:textId="77777777" w:rsidR="0051298C" w:rsidRPr="00EF1A90" w:rsidRDefault="00B3409F" w:rsidP="00EE27EE">
            <w:pPr>
              <w:jc w:val="center"/>
              <w:rPr>
                <w:sz w:val="20"/>
              </w:rPr>
            </w:pPr>
            <w:r>
              <w:rPr>
                <w:sz w:val="20"/>
              </w:rPr>
              <w:t>585</w:t>
            </w:r>
          </w:p>
        </w:tc>
        <w:tc>
          <w:tcPr>
            <w:tcW w:w="523" w:type="pct"/>
            <w:vAlign w:val="center"/>
          </w:tcPr>
          <w:p w14:paraId="21002F01" w14:textId="77777777" w:rsidR="0051298C" w:rsidRPr="00EF1A90" w:rsidRDefault="0051298C"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w:t>
            </w:r>
            <w:r w:rsidR="00EE27EE">
              <w:rPr>
                <w:sz w:val="20"/>
              </w:rPr>
              <w:t>9.40</w:t>
            </w:r>
          </w:p>
        </w:tc>
        <w:tc>
          <w:tcPr>
            <w:tcW w:w="687" w:type="pct"/>
            <w:vAlign w:val="center"/>
          </w:tcPr>
          <w:p w14:paraId="1F180A96" w14:textId="77777777" w:rsidR="0051298C" w:rsidRPr="00EF1A90" w:rsidRDefault="006B350D"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B3409F">
              <w:rPr>
                <w:sz w:val="20"/>
              </w:rPr>
              <w:t>34,749</w:t>
            </w:r>
          </w:p>
        </w:tc>
      </w:tr>
      <w:tr w:rsidR="0051298C" w14:paraId="50F21A93" w14:textId="77777777" w:rsidTr="00E96017">
        <w:trPr>
          <w:cantSplit/>
          <w:trHeight w:val="576"/>
        </w:trPr>
        <w:tc>
          <w:tcPr>
            <w:tcW w:w="1405" w:type="pct"/>
            <w:gridSpan w:val="2"/>
            <w:vAlign w:val="center"/>
          </w:tcPr>
          <w:p w14:paraId="54137346" w14:textId="77777777" w:rsidR="0051298C" w:rsidRDefault="0051298C" w:rsidP="002413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PM</w:t>
            </w:r>
            <w:r>
              <w:rPr>
                <w:sz w:val="20"/>
                <w:vertAlign w:val="subscript"/>
              </w:rPr>
              <w:t>2.5</w:t>
            </w:r>
            <w:r>
              <w:rPr>
                <w:sz w:val="20"/>
              </w:rPr>
              <w:t xml:space="preserve"> Hot-spot Analyses</w:t>
            </w:r>
          </w:p>
        </w:tc>
        <w:tc>
          <w:tcPr>
            <w:tcW w:w="623" w:type="pct"/>
            <w:vAlign w:val="center"/>
          </w:tcPr>
          <w:p w14:paraId="093A3473" w14:textId="77777777" w:rsidR="0051298C" w:rsidRPr="00EF1A90" w:rsidRDefault="00B3409F" w:rsidP="00B340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16</w:t>
            </w:r>
          </w:p>
        </w:tc>
        <w:tc>
          <w:tcPr>
            <w:tcW w:w="635" w:type="pct"/>
            <w:vAlign w:val="center"/>
          </w:tcPr>
          <w:p w14:paraId="18FAE876" w14:textId="77777777" w:rsidR="0051298C" w:rsidRPr="00EF1A90" w:rsidRDefault="00F919F3"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w:t>
            </w:r>
            <w:r w:rsidR="009D64E2">
              <w:rPr>
                <w:sz w:val="20"/>
              </w:rPr>
              <w:t>.1</w:t>
            </w:r>
          </w:p>
        </w:tc>
        <w:tc>
          <w:tcPr>
            <w:tcW w:w="540" w:type="pct"/>
            <w:vAlign w:val="center"/>
          </w:tcPr>
          <w:p w14:paraId="6CB4B1AF" w14:textId="77777777" w:rsidR="0051298C" w:rsidRPr="00EF1A90" w:rsidRDefault="00DE14E9" w:rsidP="00DE14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79</w:t>
            </w:r>
          </w:p>
        </w:tc>
        <w:tc>
          <w:tcPr>
            <w:tcW w:w="587" w:type="pct"/>
            <w:vAlign w:val="center"/>
          </w:tcPr>
          <w:p w14:paraId="6B1176F7" w14:textId="77777777" w:rsidR="0051298C" w:rsidRPr="00EF1A90" w:rsidRDefault="00F919F3" w:rsidP="00F919F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126</w:t>
            </w:r>
          </w:p>
        </w:tc>
        <w:tc>
          <w:tcPr>
            <w:tcW w:w="523" w:type="pct"/>
            <w:vAlign w:val="center"/>
          </w:tcPr>
          <w:p w14:paraId="180DCD41" w14:textId="77777777" w:rsidR="0051298C" w:rsidRPr="00EF1A90" w:rsidRDefault="0051298C" w:rsidP="00EE27EE">
            <w:pPr>
              <w:jc w:val="center"/>
              <w:rPr>
                <w:sz w:val="20"/>
              </w:rPr>
            </w:pPr>
            <w:r w:rsidRPr="00EF1A90">
              <w:rPr>
                <w:sz w:val="20"/>
              </w:rPr>
              <w:t>$5</w:t>
            </w:r>
            <w:r w:rsidR="00EE27EE">
              <w:rPr>
                <w:sz w:val="20"/>
              </w:rPr>
              <w:t>9.40</w:t>
            </w:r>
          </w:p>
        </w:tc>
        <w:tc>
          <w:tcPr>
            <w:tcW w:w="687" w:type="pct"/>
            <w:vAlign w:val="center"/>
          </w:tcPr>
          <w:p w14:paraId="64880343" w14:textId="77777777" w:rsidR="0051298C" w:rsidRPr="00EF1A90" w:rsidRDefault="009D64E2" w:rsidP="002F2E8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2F2E83">
              <w:rPr>
                <w:sz w:val="20"/>
              </w:rPr>
              <w:t>7,484</w:t>
            </w:r>
          </w:p>
        </w:tc>
      </w:tr>
      <w:tr w:rsidR="0051298C" w14:paraId="4732A9A5" w14:textId="77777777" w:rsidTr="00E96017">
        <w:trPr>
          <w:cantSplit/>
          <w:trHeight w:val="576"/>
        </w:trPr>
        <w:tc>
          <w:tcPr>
            <w:tcW w:w="1405" w:type="pct"/>
            <w:gridSpan w:val="2"/>
            <w:vAlign w:val="center"/>
          </w:tcPr>
          <w:p w14:paraId="72F24F31" w14:textId="77777777" w:rsidR="0051298C" w:rsidRDefault="0051298C" w:rsidP="002413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PM</w:t>
            </w:r>
            <w:r w:rsidRPr="00C66499">
              <w:rPr>
                <w:rFonts w:ascii="Times" w:hAnsi="Times"/>
                <w:sz w:val="20"/>
                <w:vertAlign w:val="subscript"/>
              </w:rPr>
              <w:t>10</w:t>
            </w:r>
            <w:r>
              <w:rPr>
                <w:sz w:val="20"/>
              </w:rPr>
              <w:t xml:space="preserve"> Hot-spot Analyses</w:t>
            </w:r>
          </w:p>
        </w:tc>
        <w:tc>
          <w:tcPr>
            <w:tcW w:w="623" w:type="pct"/>
            <w:vAlign w:val="center"/>
          </w:tcPr>
          <w:p w14:paraId="54D50A2E" w14:textId="77777777" w:rsidR="0051298C" w:rsidRPr="00EF1A90" w:rsidRDefault="00B3409F" w:rsidP="00B340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16</w:t>
            </w:r>
          </w:p>
        </w:tc>
        <w:tc>
          <w:tcPr>
            <w:tcW w:w="635" w:type="pct"/>
            <w:vAlign w:val="center"/>
          </w:tcPr>
          <w:p w14:paraId="0BF45876" w14:textId="77777777" w:rsidR="0051298C" w:rsidRPr="00EF1A90" w:rsidRDefault="00F919F3"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0</w:t>
            </w:r>
            <w:r w:rsidR="009D64E2">
              <w:rPr>
                <w:sz w:val="20"/>
              </w:rPr>
              <w:t>.1</w:t>
            </w:r>
          </w:p>
        </w:tc>
        <w:tc>
          <w:tcPr>
            <w:tcW w:w="540" w:type="pct"/>
            <w:vAlign w:val="center"/>
          </w:tcPr>
          <w:p w14:paraId="37F260DD" w14:textId="77777777" w:rsidR="0051298C" w:rsidRPr="00EF1A90" w:rsidRDefault="00DE14E9" w:rsidP="00DE14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48</w:t>
            </w:r>
          </w:p>
        </w:tc>
        <w:tc>
          <w:tcPr>
            <w:tcW w:w="587" w:type="pct"/>
            <w:vAlign w:val="center"/>
          </w:tcPr>
          <w:p w14:paraId="687AC863" w14:textId="77777777" w:rsidR="0051298C" w:rsidRPr="00EF1A90" w:rsidRDefault="00F919F3" w:rsidP="00F919F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77</w:t>
            </w:r>
          </w:p>
        </w:tc>
        <w:tc>
          <w:tcPr>
            <w:tcW w:w="523" w:type="pct"/>
            <w:vAlign w:val="center"/>
          </w:tcPr>
          <w:p w14:paraId="49667074" w14:textId="77777777" w:rsidR="0051298C" w:rsidRPr="00EF1A90" w:rsidRDefault="0051298C" w:rsidP="00EE27EE">
            <w:pPr>
              <w:jc w:val="center"/>
              <w:rPr>
                <w:sz w:val="20"/>
              </w:rPr>
            </w:pPr>
            <w:r w:rsidRPr="00EF1A90">
              <w:rPr>
                <w:sz w:val="20"/>
              </w:rPr>
              <w:t>$5</w:t>
            </w:r>
            <w:r w:rsidR="00EE27EE">
              <w:rPr>
                <w:sz w:val="20"/>
              </w:rPr>
              <w:t>9.40</w:t>
            </w:r>
          </w:p>
        </w:tc>
        <w:tc>
          <w:tcPr>
            <w:tcW w:w="687" w:type="pct"/>
            <w:vAlign w:val="center"/>
          </w:tcPr>
          <w:p w14:paraId="79F500F5" w14:textId="77777777" w:rsidR="0051298C" w:rsidRPr="00EF1A90" w:rsidRDefault="009D64E2" w:rsidP="002F2E8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2F2E83">
              <w:rPr>
                <w:sz w:val="20"/>
              </w:rPr>
              <w:t>4,574</w:t>
            </w:r>
          </w:p>
        </w:tc>
      </w:tr>
      <w:tr w:rsidR="0051298C" w14:paraId="6C5CC628" w14:textId="77777777" w:rsidTr="00E96017">
        <w:trPr>
          <w:cantSplit/>
          <w:trHeight w:val="20"/>
        </w:trPr>
        <w:tc>
          <w:tcPr>
            <w:tcW w:w="1405" w:type="pct"/>
            <w:gridSpan w:val="2"/>
            <w:vAlign w:val="center"/>
          </w:tcPr>
          <w:p w14:paraId="7DA2F57B" w14:textId="77777777" w:rsidR="0051298C" w:rsidRDefault="0051298C" w:rsidP="002413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CO Quantitative Hot-spot Analyses</w:t>
            </w:r>
          </w:p>
        </w:tc>
        <w:tc>
          <w:tcPr>
            <w:tcW w:w="623" w:type="pct"/>
            <w:vAlign w:val="center"/>
          </w:tcPr>
          <w:p w14:paraId="6FB06804" w14:textId="77777777" w:rsidR="0051298C" w:rsidRPr="00EF1A90"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w:t>
            </w:r>
          </w:p>
        </w:tc>
        <w:tc>
          <w:tcPr>
            <w:tcW w:w="635" w:type="pct"/>
            <w:vAlign w:val="center"/>
          </w:tcPr>
          <w:p w14:paraId="5D9356DD" w14:textId="77777777"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w:t>
            </w:r>
          </w:p>
        </w:tc>
        <w:tc>
          <w:tcPr>
            <w:tcW w:w="540" w:type="pct"/>
            <w:vAlign w:val="center"/>
          </w:tcPr>
          <w:p w14:paraId="78784E66" w14:textId="77777777" w:rsidR="0051298C" w:rsidRPr="00EF1A90" w:rsidRDefault="009E3F14" w:rsidP="00DE14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50</w:t>
            </w:r>
          </w:p>
        </w:tc>
        <w:tc>
          <w:tcPr>
            <w:tcW w:w="587" w:type="pct"/>
            <w:vAlign w:val="center"/>
          </w:tcPr>
          <w:p w14:paraId="3A649165" w14:textId="77777777" w:rsidR="0051298C" w:rsidRPr="00EF1A90" w:rsidRDefault="00F919F3"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w:t>
            </w:r>
            <w:r w:rsidR="009E3F14">
              <w:rPr>
                <w:sz w:val="20"/>
              </w:rPr>
              <w:t>5</w:t>
            </w:r>
            <w:r>
              <w:rPr>
                <w:sz w:val="20"/>
              </w:rPr>
              <w:t>0</w:t>
            </w:r>
          </w:p>
        </w:tc>
        <w:tc>
          <w:tcPr>
            <w:tcW w:w="523" w:type="pct"/>
            <w:vAlign w:val="center"/>
          </w:tcPr>
          <w:p w14:paraId="3F2AB0B9" w14:textId="77777777" w:rsidR="0051298C" w:rsidRPr="00EF1A90" w:rsidRDefault="0051298C" w:rsidP="00EE27EE">
            <w:pPr>
              <w:jc w:val="center"/>
              <w:rPr>
                <w:sz w:val="20"/>
              </w:rPr>
            </w:pPr>
            <w:r w:rsidRPr="00EF1A90">
              <w:rPr>
                <w:sz w:val="20"/>
              </w:rPr>
              <w:t>$5</w:t>
            </w:r>
            <w:r w:rsidR="00EE27EE">
              <w:rPr>
                <w:sz w:val="20"/>
              </w:rPr>
              <w:t>9.40</w:t>
            </w:r>
          </w:p>
        </w:tc>
        <w:tc>
          <w:tcPr>
            <w:tcW w:w="687" w:type="pct"/>
            <w:vAlign w:val="center"/>
          </w:tcPr>
          <w:p w14:paraId="63CA8BA9" w14:textId="77777777" w:rsidR="0051298C" w:rsidRPr="00EF1A90" w:rsidRDefault="006B350D"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2F2E83">
              <w:rPr>
                <w:sz w:val="20"/>
              </w:rPr>
              <w:t>4</w:t>
            </w:r>
            <w:r w:rsidR="009E3F14">
              <w:rPr>
                <w:sz w:val="20"/>
              </w:rPr>
              <w:t>4</w:t>
            </w:r>
            <w:r w:rsidR="002F2E83">
              <w:rPr>
                <w:sz w:val="20"/>
              </w:rPr>
              <w:t>,</w:t>
            </w:r>
            <w:r w:rsidR="009E3F14">
              <w:rPr>
                <w:sz w:val="20"/>
              </w:rPr>
              <w:t>550</w:t>
            </w:r>
          </w:p>
        </w:tc>
      </w:tr>
      <w:tr w:rsidR="0051298C" w14:paraId="04486A78" w14:textId="77777777" w:rsidTr="00E96017">
        <w:trPr>
          <w:cantSplit/>
          <w:trHeight w:val="20"/>
        </w:trPr>
        <w:tc>
          <w:tcPr>
            <w:tcW w:w="1405" w:type="pct"/>
            <w:gridSpan w:val="2"/>
            <w:vAlign w:val="center"/>
          </w:tcPr>
          <w:p w14:paraId="3E2ADEB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p>
          <w:p w14:paraId="0DAF3228" w14:textId="77777777" w:rsidR="0051298C" w:rsidRDefault="0051298C" w:rsidP="002413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CO Qualitative Hot-Spot Analyses</w:t>
            </w:r>
          </w:p>
        </w:tc>
        <w:tc>
          <w:tcPr>
            <w:tcW w:w="623" w:type="pct"/>
            <w:vAlign w:val="center"/>
          </w:tcPr>
          <w:p w14:paraId="1523DEEF" w14:textId="77777777" w:rsidR="0051298C" w:rsidRPr="00EF1A90"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1.5</w:t>
            </w:r>
          </w:p>
        </w:tc>
        <w:tc>
          <w:tcPr>
            <w:tcW w:w="635" w:type="pct"/>
            <w:vAlign w:val="center"/>
          </w:tcPr>
          <w:p w14:paraId="1C2C255B" w14:textId="77777777"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0.5</w:t>
            </w:r>
          </w:p>
        </w:tc>
        <w:tc>
          <w:tcPr>
            <w:tcW w:w="540" w:type="pct"/>
            <w:vAlign w:val="center"/>
          </w:tcPr>
          <w:p w14:paraId="64A1E62E" w14:textId="77777777" w:rsidR="0051298C" w:rsidRPr="00EF1A90" w:rsidRDefault="009E3F14" w:rsidP="00DE14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50</w:t>
            </w:r>
          </w:p>
        </w:tc>
        <w:tc>
          <w:tcPr>
            <w:tcW w:w="587" w:type="pct"/>
            <w:vAlign w:val="center"/>
          </w:tcPr>
          <w:p w14:paraId="32084F8C" w14:textId="77777777" w:rsidR="0051298C" w:rsidRPr="00EF1A90" w:rsidRDefault="00F919F3"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w:t>
            </w:r>
            <w:r w:rsidR="009E3F14">
              <w:rPr>
                <w:sz w:val="20"/>
              </w:rPr>
              <w:t>7</w:t>
            </w:r>
          </w:p>
        </w:tc>
        <w:tc>
          <w:tcPr>
            <w:tcW w:w="523" w:type="pct"/>
            <w:vAlign w:val="center"/>
          </w:tcPr>
          <w:p w14:paraId="03E089BA" w14:textId="77777777" w:rsidR="0051298C" w:rsidRPr="00EF1A90" w:rsidRDefault="0051298C" w:rsidP="00EE27EE">
            <w:pPr>
              <w:jc w:val="center"/>
              <w:rPr>
                <w:sz w:val="20"/>
              </w:rPr>
            </w:pPr>
            <w:r w:rsidRPr="00EF1A90">
              <w:rPr>
                <w:sz w:val="20"/>
              </w:rPr>
              <w:t>$5</w:t>
            </w:r>
            <w:r w:rsidR="00EE27EE">
              <w:rPr>
                <w:sz w:val="20"/>
              </w:rPr>
              <w:t>9.40</w:t>
            </w:r>
          </w:p>
        </w:tc>
        <w:tc>
          <w:tcPr>
            <w:tcW w:w="687" w:type="pct"/>
            <w:vAlign w:val="center"/>
          </w:tcPr>
          <w:p w14:paraId="58104C35" w14:textId="77777777" w:rsidR="0051298C" w:rsidRPr="00EF1A90" w:rsidRDefault="00094276" w:rsidP="009E3F1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2F2E83">
              <w:rPr>
                <w:sz w:val="20"/>
              </w:rPr>
              <w:t>2,1</w:t>
            </w:r>
            <w:r w:rsidR="009E3F14">
              <w:rPr>
                <w:sz w:val="20"/>
              </w:rPr>
              <w:t>9</w:t>
            </w:r>
            <w:r w:rsidR="002F2E83">
              <w:rPr>
                <w:sz w:val="20"/>
              </w:rPr>
              <w:t>8</w:t>
            </w:r>
          </w:p>
        </w:tc>
      </w:tr>
    </w:tbl>
    <w:p w14:paraId="69292F92" w14:textId="77777777" w:rsidR="0051298C" w:rsidRPr="00A66DB0" w:rsidRDefault="0051298C" w:rsidP="001225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sidRPr="00A66DB0">
        <w:rPr>
          <w:b/>
          <w:sz w:val="20"/>
        </w:rPr>
        <w:t xml:space="preserve">Total for All Project-level Actions: </w:t>
      </w:r>
      <w:r w:rsidR="009E3F14">
        <w:rPr>
          <w:b/>
          <w:sz w:val="20"/>
        </w:rPr>
        <w:t>7,231</w:t>
      </w:r>
      <w:r w:rsidRPr="00A66DB0">
        <w:rPr>
          <w:b/>
          <w:sz w:val="20"/>
        </w:rPr>
        <w:t>hours/year x $</w:t>
      </w:r>
      <w:r>
        <w:rPr>
          <w:b/>
          <w:sz w:val="20"/>
        </w:rPr>
        <w:t>5</w:t>
      </w:r>
      <w:r w:rsidR="00EE27EE">
        <w:rPr>
          <w:b/>
          <w:sz w:val="20"/>
        </w:rPr>
        <w:t>9.40</w:t>
      </w:r>
      <w:r w:rsidRPr="00A66DB0">
        <w:rPr>
          <w:b/>
          <w:sz w:val="20"/>
        </w:rPr>
        <w:t>/hour= $</w:t>
      </w:r>
      <w:r w:rsidR="002F2E83">
        <w:rPr>
          <w:b/>
          <w:sz w:val="20"/>
        </w:rPr>
        <w:t>42</w:t>
      </w:r>
      <w:r w:rsidR="009E3F14">
        <w:rPr>
          <w:b/>
          <w:sz w:val="20"/>
        </w:rPr>
        <w:t>9</w:t>
      </w:r>
      <w:r w:rsidR="002F2E83">
        <w:rPr>
          <w:b/>
          <w:sz w:val="20"/>
        </w:rPr>
        <w:t>,</w:t>
      </w:r>
      <w:r w:rsidR="009E3F14">
        <w:rPr>
          <w:b/>
          <w:sz w:val="20"/>
        </w:rPr>
        <w:t>521</w:t>
      </w:r>
      <w:r w:rsidRPr="00A66DB0">
        <w:rPr>
          <w:b/>
          <w:sz w:val="20"/>
        </w:rPr>
        <w:t xml:space="preserve">/year </w:t>
      </w:r>
    </w:p>
    <w:p w14:paraId="6C12D3CC" w14:textId="77777777" w:rsidR="008C0079" w:rsidRDefault="008C0079" w:rsidP="00934109">
      <w:pPr>
        <w:rPr>
          <w:b/>
          <w:i/>
        </w:rPr>
      </w:pPr>
    </w:p>
    <w:p w14:paraId="15D9DA03" w14:textId="77777777" w:rsidR="00F70A7D" w:rsidRDefault="00F70A7D" w:rsidP="00934109">
      <w:pPr>
        <w:rPr>
          <w:b/>
          <w:i/>
        </w:rPr>
      </w:pPr>
    </w:p>
    <w:p w14:paraId="29541832" w14:textId="77777777" w:rsidR="0051298C" w:rsidRDefault="0051298C" w:rsidP="00934109">
      <w:pPr>
        <w:rPr>
          <w:b/>
          <w:i/>
        </w:rPr>
      </w:pPr>
      <w:r>
        <w:rPr>
          <w:b/>
          <w:i/>
        </w:rPr>
        <w:t>Project-Level Conformity Determinations in Isolated Rural Nonattainment and Maintenance Areas – Federal Burden Hours and Cost</w:t>
      </w:r>
    </w:p>
    <w:p w14:paraId="1A30FCF9" w14:textId="77777777" w:rsidR="0051298C" w:rsidRDefault="0051298C" w:rsidP="008623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rPr>
          <w:b/>
        </w:rPr>
      </w:pPr>
    </w:p>
    <w:p w14:paraId="6465A8E2" w14:textId="77777777" w:rsidR="0051298C" w:rsidRDefault="0051298C" w:rsidP="008623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r w:rsidRPr="00AC2F10">
        <w:t>Table</w:t>
      </w:r>
      <w:r w:rsidRPr="001C2947">
        <w:t xml:space="preserve"> </w:t>
      </w:r>
      <w:r>
        <w:t>2</w:t>
      </w:r>
      <w:r w:rsidR="00B651EF">
        <w:t>3</w:t>
      </w:r>
      <w:r>
        <w:t xml:space="preserve"> shows federal burden associated with conformity determinations for a typical regionally significant project in an isolated rural nona</w:t>
      </w:r>
      <w:r w:rsidR="0049467B">
        <w:t xml:space="preserve">ttainment or maintenance area. </w:t>
      </w:r>
      <w:r w:rsidRPr="00AC2F10">
        <w:t>Table</w:t>
      </w:r>
      <w:r>
        <w:t xml:space="preserve"> </w:t>
      </w:r>
      <w:r w:rsidR="00B651EF">
        <w:t xml:space="preserve">24 </w:t>
      </w:r>
      <w:r>
        <w:t>shows federal burden associated with interagency consultation and review of hot-spot analyses in isolated rural CO, PM</w:t>
      </w:r>
      <w:r w:rsidRPr="00674134">
        <w:rPr>
          <w:vertAlign w:val="subscript"/>
        </w:rPr>
        <w:t>2.5</w:t>
      </w:r>
      <w:r>
        <w:t xml:space="preserve"> and PM</w:t>
      </w:r>
      <w:r w:rsidRPr="006C6D17">
        <w:rPr>
          <w:vertAlign w:val="subscript"/>
        </w:rPr>
        <w:t>10</w:t>
      </w:r>
      <w:r>
        <w:t xml:space="preserve"> nonatt</w:t>
      </w:r>
      <w:r w:rsidR="0049467B">
        <w:t xml:space="preserve">ainment and maintenance areas. </w:t>
      </w:r>
      <w:r w:rsidRPr="00AC2F10">
        <w:t>Table</w:t>
      </w:r>
      <w:r>
        <w:t xml:space="preserve"> </w:t>
      </w:r>
      <w:r w:rsidR="00B651EF">
        <w:t xml:space="preserve">25 </w:t>
      </w:r>
      <w:r>
        <w:t>shows federal annual cost associated with conformity determinations for project-level conformity determinations in isolated rural nonattainment and maintenance areas.</w:t>
      </w:r>
    </w:p>
    <w:p w14:paraId="2B0CCA6F" w14:textId="77777777" w:rsidR="0051298C" w:rsidRDefault="0051298C"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p>
    <w:p w14:paraId="24BEC01E" w14:textId="77777777" w:rsidR="0051298C" w:rsidRDefault="0051298C"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r>
        <w:t xml:space="preserve">In general, conformity determinations for projects in isolated rural areas are more </w:t>
      </w:r>
      <w:r w:rsidR="008F6649">
        <w:t>involved</w:t>
      </w:r>
      <w:r>
        <w:t xml:space="preserve"> than for metropolitan areas, since isolated rural areas also need to perform a regional emissions analysis when a regionally significant project is to receive federal funding or approval. </w:t>
      </w:r>
    </w:p>
    <w:p w14:paraId="44DD16CA" w14:textId="77777777" w:rsidR="00A442F2" w:rsidRDefault="00A442F2"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p>
    <w:p w14:paraId="70C01FB1" w14:textId="77777777" w:rsidR="00A442F2" w:rsidRDefault="00A442F2" w:rsidP="00A442F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To account for additional burden hours spent by </w:t>
      </w:r>
      <w:r w:rsidR="00F90C70">
        <w:t>state and local agencies</w:t>
      </w:r>
      <w:r>
        <w:t xml:space="preserve"> for consultation, the consultation </w:t>
      </w:r>
      <w:r w:rsidR="00F90C70">
        <w:t xml:space="preserve">for Federal agencies </w:t>
      </w:r>
      <w:r>
        <w:t xml:space="preserve">has also been increased </w:t>
      </w:r>
      <w:r w:rsidR="0081184B">
        <w:t>t</w:t>
      </w:r>
      <w:r>
        <w:t>o support additional meetings and activities.</w:t>
      </w:r>
    </w:p>
    <w:p w14:paraId="158CC11D" w14:textId="77777777" w:rsidR="001663EC" w:rsidRDefault="001663E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3D93A18" w14:textId="77777777" w:rsidR="00A7260B" w:rsidRDefault="00A7260B"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F968C46"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3</w:t>
      </w:r>
      <w:r>
        <w:rPr>
          <w:b/>
        </w:rPr>
        <w:t xml:space="preserve">: Federal Burden Hours </w:t>
      </w:r>
    </w:p>
    <w:p w14:paraId="5D90464D"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Project-Level Conformity Determination </w:t>
      </w:r>
    </w:p>
    <w:p w14:paraId="02E5CEE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Isolated Rural Nonattainment and Maintenance Areas</w:t>
      </w:r>
    </w:p>
    <w:p w14:paraId="453ECF47" w14:textId="77777777"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Regional Emissions Analysis Component</w:t>
      </w:r>
    </w:p>
    <w:p w14:paraId="15A2B77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887"/>
        <w:gridCol w:w="3503"/>
        <w:gridCol w:w="988"/>
        <w:gridCol w:w="988"/>
        <w:gridCol w:w="988"/>
        <w:gridCol w:w="986"/>
      </w:tblGrid>
      <w:tr w:rsidR="0051298C" w14:paraId="4E85FA01" w14:textId="77777777" w:rsidTr="0037784F">
        <w:trPr>
          <w:cantSplit/>
          <w:trHeight w:val="20"/>
        </w:trPr>
        <w:tc>
          <w:tcPr>
            <w:tcW w:w="1010"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E64B3C3"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Type of Project</w:t>
            </w:r>
          </w:p>
        </w:tc>
        <w:tc>
          <w:tcPr>
            <w:tcW w:w="187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850F26B"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Activity</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470BDA6"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4286DC9"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FTA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E0881D3"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EPA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7695244"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Total</w:t>
            </w:r>
          </w:p>
        </w:tc>
      </w:tr>
      <w:tr w:rsidR="0051298C" w14:paraId="0A4E9643" w14:textId="77777777" w:rsidTr="0037784F">
        <w:trPr>
          <w:cantSplit/>
        </w:trPr>
        <w:tc>
          <w:tcPr>
            <w:tcW w:w="1010" w:type="pct"/>
            <w:vMerge w:val="restart"/>
            <w:tcBorders>
              <w:top w:val="single" w:sz="8" w:space="0" w:color="000000"/>
            </w:tcBorders>
            <w:vAlign w:val="center"/>
          </w:tcPr>
          <w:p w14:paraId="04D4E98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Projects in Isolated Rural Area</w:t>
            </w:r>
          </w:p>
          <w:p w14:paraId="770EDE5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tcBorders>
              <w:top w:val="single" w:sz="8" w:space="0" w:color="000000"/>
            </w:tcBorders>
            <w:vAlign w:val="center"/>
          </w:tcPr>
          <w:p w14:paraId="10749FB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29" w:type="pct"/>
            <w:tcBorders>
              <w:top w:val="single" w:sz="8" w:space="0" w:color="000000"/>
            </w:tcBorders>
            <w:vAlign w:val="center"/>
          </w:tcPr>
          <w:p w14:paraId="651F65AD" w14:textId="77777777" w:rsidR="0051298C" w:rsidRDefault="00350A82"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6</w:t>
            </w:r>
          </w:p>
        </w:tc>
        <w:tc>
          <w:tcPr>
            <w:tcW w:w="529" w:type="pct"/>
            <w:tcBorders>
              <w:top w:val="single" w:sz="8" w:space="0" w:color="000000"/>
            </w:tcBorders>
            <w:vAlign w:val="center"/>
          </w:tcPr>
          <w:p w14:paraId="008C7AE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tcBorders>
              <w:top w:val="single" w:sz="8" w:space="0" w:color="000000"/>
            </w:tcBorders>
            <w:vAlign w:val="center"/>
          </w:tcPr>
          <w:p w14:paraId="2854070D"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tcBorders>
              <w:top w:val="single" w:sz="8" w:space="0" w:color="000000"/>
            </w:tcBorders>
            <w:vAlign w:val="center"/>
          </w:tcPr>
          <w:p w14:paraId="3A9F3F5D" w14:textId="77777777" w:rsidR="0051298C" w:rsidRDefault="00E64E2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8</w:t>
            </w:r>
          </w:p>
        </w:tc>
      </w:tr>
      <w:tr w:rsidR="0051298C" w14:paraId="616CF50F" w14:textId="77777777" w:rsidTr="0037784F">
        <w:trPr>
          <w:cantSplit/>
        </w:trPr>
        <w:tc>
          <w:tcPr>
            <w:tcW w:w="1010" w:type="pct"/>
            <w:vMerge/>
            <w:vAlign w:val="center"/>
          </w:tcPr>
          <w:p w14:paraId="03E73E7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vAlign w:val="center"/>
          </w:tcPr>
          <w:p w14:paraId="59532E1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on Draft Determination</w:t>
            </w:r>
          </w:p>
        </w:tc>
        <w:tc>
          <w:tcPr>
            <w:tcW w:w="529" w:type="pct"/>
            <w:vAlign w:val="center"/>
          </w:tcPr>
          <w:p w14:paraId="671B4B2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6</w:t>
            </w:r>
          </w:p>
        </w:tc>
        <w:tc>
          <w:tcPr>
            <w:tcW w:w="529" w:type="pct"/>
            <w:vAlign w:val="center"/>
          </w:tcPr>
          <w:p w14:paraId="1D1EA5C8" w14:textId="77777777"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vAlign w:val="center"/>
          </w:tcPr>
          <w:p w14:paraId="3BCAAD3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529" w:type="pct"/>
            <w:vAlign w:val="center"/>
          </w:tcPr>
          <w:p w14:paraId="6964F737" w14:textId="77777777"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9</w:t>
            </w:r>
          </w:p>
        </w:tc>
      </w:tr>
      <w:tr w:rsidR="0051298C" w14:paraId="7A3448B1" w14:textId="77777777" w:rsidTr="0037784F">
        <w:trPr>
          <w:cantSplit/>
        </w:trPr>
        <w:tc>
          <w:tcPr>
            <w:tcW w:w="1010" w:type="pct"/>
            <w:vMerge/>
            <w:vAlign w:val="center"/>
          </w:tcPr>
          <w:p w14:paraId="2C0238D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vAlign w:val="center"/>
          </w:tcPr>
          <w:p w14:paraId="6C4C25C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Project Conformity Determination</w:t>
            </w:r>
          </w:p>
        </w:tc>
        <w:tc>
          <w:tcPr>
            <w:tcW w:w="529" w:type="pct"/>
            <w:vAlign w:val="center"/>
          </w:tcPr>
          <w:p w14:paraId="4052965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10</w:t>
            </w:r>
          </w:p>
        </w:tc>
        <w:tc>
          <w:tcPr>
            <w:tcW w:w="529" w:type="pct"/>
            <w:vAlign w:val="center"/>
          </w:tcPr>
          <w:p w14:paraId="3B5F61DA"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vAlign w:val="center"/>
          </w:tcPr>
          <w:p w14:paraId="5539A98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5</w:t>
            </w:r>
          </w:p>
        </w:tc>
        <w:tc>
          <w:tcPr>
            <w:tcW w:w="529" w:type="pct"/>
            <w:vAlign w:val="center"/>
          </w:tcPr>
          <w:p w14:paraId="2029AF3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16</w:t>
            </w:r>
          </w:p>
        </w:tc>
      </w:tr>
    </w:tbl>
    <w:p w14:paraId="42D59B79" w14:textId="77777777" w:rsidR="0051298C" w:rsidRDefault="0051298C" w:rsidP="001225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rPr>
      </w:pPr>
      <w:r>
        <w:rPr>
          <w:b/>
          <w:sz w:val="20"/>
        </w:rPr>
        <w:t xml:space="preserve">Total for Each Isolated Rural Area Project Determination: </w:t>
      </w:r>
      <w:r w:rsidR="00E64E2E">
        <w:rPr>
          <w:b/>
          <w:sz w:val="20"/>
        </w:rPr>
        <w:t>33</w:t>
      </w:r>
      <w:r>
        <w:rPr>
          <w:b/>
          <w:sz w:val="20"/>
          <w:u w:val="single"/>
        </w:rPr>
        <w:t xml:space="preserve">   </w:t>
      </w:r>
    </w:p>
    <w:p w14:paraId="17BA3D76"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ED49CCD" w14:textId="77777777" w:rsidR="001B4368" w:rsidRDefault="001B4368"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18D53EB"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5D94C5F"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C537E7F"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A28D1DD"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B07CB58"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510FAC8" w14:textId="77777777" w:rsidR="00F70A7D" w:rsidRDefault="00F70A7D"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D904283" w14:textId="77777777" w:rsidR="0051298C" w:rsidRDefault="0051298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24</w:t>
      </w:r>
      <w:r>
        <w:rPr>
          <w:b/>
        </w:rPr>
        <w:t>: Federal Burden Hours Each Project-Level Conformity Determination Isolated Rural Nonattainment and Maintenance Areas</w:t>
      </w:r>
    </w:p>
    <w:p w14:paraId="42544D7E" w14:textId="77777777"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Hot-spot Analysis Component</w:t>
      </w:r>
    </w:p>
    <w:p w14:paraId="372DB390" w14:textId="77777777"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885"/>
        <w:gridCol w:w="1580"/>
        <w:gridCol w:w="1683"/>
        <w:gridCol w:w="1963"/>
        <w:gridCol w:w="1229"/>
      </w:tblGrid>
      <w:tr w:rsidR="0051298C" w14:paraId="5AB1D3BB" w14:textId="77777777" w:rsidTr="0037784F">
        <w:trPr>
          <w:cantSplit/>
          <w:trHeight w:val="1008"/>
        </w:trPr>
        <w:tc>
          <w:tcPr>
            <w:tcW w:w="1544"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F4E7E84"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Pollutant</w:t>
            </w:r>
          </w:p>
        </w:tc>
        <w:tc>
          <w:tcPr>
            <w:tcW w:w="84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1587AAD"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Type of Hot-spot Analysis</w:t>
            </w:r>
          </w:p>
        </w:tc>
        <w:tc>
          <w:tcPr>
            <w:tcW w:w="90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2A6707E8"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Consultation</w:t>
            </w:r>
          </w:p>
        </w:tc>
        <w:tc>
          <w:tcPr>
            <w:tcW w:w="105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4DA70694"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Reviewing Project-level conformity determinations</w:t>
            </w:r>
          </w:p>
        </w:tc>
        <w:tc>
          <w:tcPr>
            <w:tcW w:w="658"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BB4378E"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Total</w:t>
            </w:r>
          </w:p>
          <w:p w14:paraId="6BC4099E" w14:textId="77777777"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sidRPr="00A04825">
              <w:rPr>
                <w:b/>
                <w:sz w:val="20"/>
              </w:rPr>
              <w:t>Burden Hours</w:t>
            </w:r>
          </w:p>
        </w:tc>
      </w:tr>
      <w:tr w:rsidR="0051298C" w14:paraId="0635C6BA" w14:textId="77777777" w:rsidTr="0037784F">
        <w:trPr>
          <w:cantSplit/>
          <w:trHeight w:val="573"/>
        </w:trPr>
        <w:tc>
          <w:tcPr>
            <w:tcW w:w="1544" w:type="pct"/>
            <w:vAlign w:val="center"/>
          </w:tcPr>
          <w:p w14:paraId="731484F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46" w:type="pct"/>
            <w:vAlign w:val="center"/>
          </w:tcPr>
          <w:p w14:paraId="753E2EB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1" w:type="pct"/>
            <w:vAlign w:val="center"/>
          </w:tcPr>
          <w:p w14:paraId="6D929F1B" w14:textId="77777777"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c>
          <w:tcPr>
            <w:tcW w:w="1051" w:type="pct"/>
            <w:vAlign w:val="center"/>
          </w:tcPr>
          <w:p w14:paraId="2CEEC86B" w14:textId="77777777"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658" w:type="pct"/>
            <w:vAlign w:val="center"/>
          </w:tcPr>
          <w:p w14:paraId="5F8B8337" w14:textId="77777777"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r w:rsidR="0051298C" w14:paraId="6F16EBC4" w14:textId="77777777" w:rsidTr="0037784F">
        <w:trPr>
          <w:cantSplit/>
          <w:trHeight w:val="593"/>
        </w:trPr>
        <w:tc>
          <w:tcPr>
            <w:tcW w:w="1544" w:type="pct"/>
            <w:vAlign w:val="center"/>
          </w:tcPr>
          <w:p w14:paraId="581576B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46" w:type="pct"/>
            <w:vAlign w:val="center"/>
          </w:tcPr>
          <w:p w14:paraId="4A77CCE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vAlign w:val="center"/>
          </w:tcPr>
          <w:p w14:paraId="70FBA662" w14:textId="77777777" w:rsidR="0051298C" w:rsidRDefault="00A7260B" w:rsidP="00E64E2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w:t>
            </w:r>
            <w:r w:rsidR="0051298C">
              <w:rPr>
                <w:sz w:val="20"/>
              </w:rPr>
              <w:t>.25</w:t>
            </w:r>
          </w:p>
        </w:tc>
        <w:tc>
          <w:tcPr>
            <w:tcW w:w="1051" w:type="pct"/>
            <w:vAlign w:val="center"/>
          </w:tcPr>
          <w:p w14:paraId="012AE4D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1.25</w:t>
            </w:r>
          </w:p>
        </w:tc>
        <w:tc>
          <w:tcPr>
            <w:tcW w:w="658" w:type="pct"/>
            <w:vAlign w:val="center"/>
          </w:tcPr>
          <w:p w14:paraId="659A64B9"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1.5</w:t>
            </w:r>
          </w:p>
        </w:tc>
      </w:tr>
    </w:tbl>
    <w:p w14:paraId="5D5FAC59" w14:textId="77777777" w:rsidR="0051298C" w:rsidRDefault="0051298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7075602C" w14:textId="77777777" w:rsidR="00A845FC" w:rsidRDefault="00A845F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1F76A40" w14:textId="77777777" w:rsidR="00A845FC" w:rsidRDefault="00A845F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6BB3F33D" w14:textId="77777777" w:rsidR="00A845FC" w:rsidRDefault="00A845F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71874AC4" w14:textId="77777777" w:rsidR="00A845FC" w:rsidRDefault="00A845F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A63ACC5" w14:textId="77777777" w:rsidR="00A7260B" w:rsidRDefault="00A7260B"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D04B959" w14:textId="77777777"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w:t>
      </w:r>
      <w:r w:rsidR="00B651EF">
        <w:rPr>
          <w:b/>
        </w:rPr>
        <w:t>25</w:t>
      </w:r>
      <w:r>
        <w:rPr>
          <w:b/>
        </w:rPr>
        <w:t>: Federal Agency Burden Cost For</w:t>
      </w:r>
    </w:p>
    <w:p w14:paraId="79475535" w14:textId="77777777"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Project-Level Conformity Determinations </w:t>
      </w:r>
    </w:p>
    <w:p w14:paraId="409CD634" w14:textId="77777777"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Isolated Rural Nonattainment and Maintenance Areas</w:t>
      </w:r>
    </w:p>
    <w:p w14:paraId="5BD25DC8" w14:textId="77777777"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307"/>
        <w:gridCol w:w="1365"/>
        <w:gridCol w:w="1462"/>
        <w:gridCol w:w="1346"/>
        <w:gridCol w:w="1092"/>
        <w:gridCol w:w="1090"/>
      </w:tblGrid>
      <w:tr w:rsidR="0051298C" w14:paraId="6A705821" w14:textId="77777777" w:rsidTr="0037784F">
        <w:tc>
          <w:tcPr>
            <w:tcW w:w="902" w:type="pct"/>
            <w:shd w:val="clear" w:color="auto" w:fill="D9D9D9"/>
            <w:vAlign w:val="bottom"/>
          </w:tcPr>
          <w:p w14:paraId="3064BA24" w14:textId="77777777" w:rsidR="0051298C" w:rsidRDefault="0051298C">
            <w:pPr>
              <w:widowControl w:val="0"/>
              <w:tabs>
                <w:tab w:val="right" w:pos="9360"/>
              </w:tabs>
              <w:jc w:val="center"/>
            </w:pPr>
            <w:r w:rsidRPr="00C00214">
              <w:rPr>
                <w:b/>
                <w:sz w:val="20"/>
              </w:rPr>
              <w:t>Type of Project</w:t>
            </w:r>
          </w:p>
        </w:tc>
        <w:tc>
          <w:tcPr>
            <w:tcW w:w="699" w:type="pct"/>
            <w:shd w:val="clear" w:color="auto" w:fill="D9D9D9"/>
            <w:vAlign w:val="bottom"/>
          </w:tcPr>
          <w:p w14:paraId="2345D3EB" w14:textId="77777777" w:rsidR="0051298C" w:rsidRPr="00C00214"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C00214">
              <w:rPr>
                <w:b/>
                <w:sz w:val="20"/>
              </w:rPr>
              <w:t>Burden</w:t>
            </w:r>
          </w:p>
          <w:p w14:paraId="48DF93DF" w14:textId="77777777" w:rsidR="0051298C" w:rsidRPr="0037784F" w:rsidRDefault="0051298C" w:rsidP="0037784F">
            <w:pPr>
              <w:widowControl w:val="0"/>
              <w:tabs>
                <w:tab w:val="right" w:pos="9360"/>
              </w:tabs>
              <w:jc w:val="center"/>
              <w:rPr>
                <w:b/>
                <w:sz w:val="20"/>
              </w:rPr>
            </w:pPr>
            <w:r w:rsidRPr="00C00214">
              <w:rPr>
                <w:b/>
                <w:sz w:val="20"/>
              </w:rPr>
              <w:t>Hours per Action</w:t>
            </w:r>
          </w:p>
        </w:tc>
        <w:tc>
          <w:tcPr>
            <w:tcW w:w="730" w:type="pct"/>
            <w:shd w:val="clear" w:color="auto" w:fill="D9D9D9"/>
            <w:vAlign w:val="bottom"/>
          </w:tcPr>
          <w:p w14:paraId="4438A003" w14:textId="77777777" w:rsidR="0051298C" w:rsidRDefault="0051298C" w:rsidP="0037784F">
            <w:pPr>
              <w:widowControl w:val="0"/>
              <w:tabs>
                <w:tab w:val="right" w:pos="9360"/>
              </w:tabs>
              <w:jc w:val="center"/>
            </w:pPr>
            <w:r w:rsidRPr="00C00214">
              <w:rPr>
                <w:b/>
                <w:sz w:val="20"/>
              </w:rPr>
              <w:t>No. of  Isolated Rural Areas</w:t>
            </w:r>
          </w:p>
        </w:tc>
        <w:tc>
          <w:tcPr>
            <w:tcW w:w="782" w:type="pct"/>
            <w:shd w:val="clear" w:color="auto" w:fill="D9D9D9"/>
            <w:vAlign w:val="bottom"/>
          </w:tcPr>
          <w:p w14:paraId="4B5F704D" w14:textId="77777777" w:rsidR="0051298C" w:rsidRDefault="0051298C" w:rsidP="0037784F">
            <w:pPr>
              <w:widowControl w:val="0"/>
              <w:tabs>
                <w:tab w:val="right" w:pos="9360"/>
              </w:tabs>
              <w:jc w:val="center"/>
              <w:rPr>
                <w:b/>
                <w:sz w:val="20"/>
              </w:rPr>
            </w:pPr>
            <w:r w:rsidRPr="00C00214">
              <w:rPr>
                <w:b/>
                <w:sz w:val="20"/>
              </w:rPr>
              <w:t>Frequency of Action</w:t>
            </w:r>
          </w:p>
        </w:tc>
        <w:tc>
          <w:tcPr>
            <w:tcW w:w="720" w:type="pct"/>
            <w:shd w:val="clear" w:color="auto" w:fill="D9D9D9"/>
            <w:vAlign w:val="bottom"/>
          </w:tcPr>
          <w:p w14:paraId="27641251" w14:textId="77777777" w:rsidR="0051298C" w:rsidRDefault="0051298C" w:rsidP="0037784F">
            <w:pPr>
              <w:widowControl w:val="0"/>
              <w:tabs>
                <w:tab w:val="right" w:pos="9360"/>
              </w:tabs>
              <w:jc w:val="center"/>
              <w:rPr>
                <w:b/>
                <w:sz w:val="20"/>
              </w:rPr>
            </w:pPr>
            <w:r w:rsidRPr="00C00214">
              <w:rPr>
                <w:b/>
                <w:sz w:val="20"/>
              </w:rPr>
              <w:t>Total</w:t>
            </w:r>
          </w:p>
          <w:p w14:paraId="451F66D2" w14:textId="77777777" w:rsidR="0051298C" w:rsidRDefault="0051298C" w:rsidP="0037784F">
            <w:pPr>
              <w:widowControl w:val="0"/>
              <w:tabs>
                <w:tab w:val="right" w:pos="9360"/>
              </w:tabs>
              <w:jc w:val="center"/>
              <w:rPr>
                <w:b/>
                <w:sz w:val="20"/>
              </w:rPr>
            </w:pPr>
            <w:r w:rsidRPr="00C00214">
              <w:rPr>
                <w:b/>
                <w:sz w:val="20"/>
              </w:rPr>
              <w:t>Annual burden hours</w:t>
            </w:r>
          </w:p>
        </w:tc>
        <w:tc>
          <w:tcPr>
            <w:tcW w:w="584" w:type="pct"/>
            <w:shd w:val="clear" w:color="auto" w:fill="D9D9D9"/>
            <w:vAlign w:val="bottom"/>
          </w:tcPr>
          <w:p w14:paraId="60B8655F" w14:textId="77777777" w:rsidR="0051298C" w:rsidRDefault="0051298C" w:rsidP="0037784F">
            <w:pPr>
              <w:widowControl w:val="0"/>
              <w:tabs>
                <w:tab w:val="right" w:pos="9360"/>
              </w:tabs>
              <w:jc w:val="center"/>
              <w:rPr>
                <w:b/>
                <w:sz w:val="20"/>
              </w:rPr>
            </w:pPr>
            <w:r w:rsidRPr="00C00214">
              <w:rPr>
                <w:b/>
                <w:sz w:val="20"/>
              </w:rPr>
              <w:t>Cost Per Hour</w:t>
            </w:r>
          </w:p>
        </w:tc>
        <w:tc>
          <w:tcPr>
            <w:tcW w:w="583" w:type="pct"/>
            <w:shd w:val="clear" w:color="auto" w:fill="D9D9D9"/>
            <w:vAlign w:val="bottom"/>
          </w:tcPr>
          <w:p w14:paraId="1D15DA9C" w14:textId="77777777" w:rsidR="0051298C" w:rsidRDefault="0051298C" w:rsidP="0037784F">
            <w:pPr>
              <w:widowControl w:val="0"/>
              <w:tabs>
                <w:tab w:val="right" w:pos="9360"/>
              </w:tabs>
              <w:jc w:val="center"/>
              <w:rPr>
                <w:b/>
                <w:sz w:val="20"/>
              </w:rPr>
            </w:pPr>
            <w:r w:rsidRPr="00C00214">
              <w:rPr>
                <w:b/>
                <w:sz w:val="20"/>
              </w:rPr>
              <w:t>Total Annual Cost</w:t>
            </w:r>
          </w:p>
        </w:tc>
      </w:tr>
      <w:tr w:rsidR="0051298C" w14:paraId="36906473" w14:textId="77777777" w:rsidTr="0037784F">
        <w:trPr>
          <w:trHeight w:val="576"/>
        </w:trPr>
        <w:tc>
          <w:tcPr>
            <w:tcW w:w="902" w:type="pct"/>
            <w:vAlign w:val="center"/>
          </w:tcPr>
          <w:p w14:paraId="72F1D26F" w14:textId="77777777" w:rsidR="0051298C" w:rsidRPr="00C00214" w:rsidRDefault="0051298C" w:rsidP="00550F68">
            <w:pPr>
              <w:widowControl w:val="0"/>
              <w:tabs>
                <w:tab w:val="right" w:pos="9360"/>
              </w:tabs>
              <w:jc w:val="center"/>
              <w:rPr>
                <w:sz w:val="20"/>
              </w:rPr>
            </w:pPr>
            <w:r>
              <w:rPr>
                <w:sz w:val="20"/>
              </w:rPr>
              <w:t>Projects in Isolated Rural Areas – Regional Analysis</w:t>
            </w:r>
          </w:p>
        </w:tc>
        <w:tc>
          <w:tcPr>
            <w:tcW w:w="699" w:type="pct"/>
            <w:vAlign w:val="center"/>
          </w:tcPr>
          <w:p w14:paraId="4222F478" w14:textId="77777777" w:rsidR="0051298C" w:rsidRPr="00C00214" w:rsidRDefault="00E64E2E" w:rsidP="0037784F">
            <w:pPr>
              <w:widowControl w:val="0"/>
              <w:tabs>
                <w:tab w:val="right" w:pos="9360"/>
              </w:tabs>
              <w:jc w:val="center"/>
              <w:rPr>
                <w:sz w:val="20"/>
              </w:rPr>
            </w:pPr>
            <w:r>
              <w:rPr>
                <w:sz w:val="20"/>
              </w:rPr>
              <w:t>33</w:t>
            </w:r>
          </w:p>
        </w:tc>
        <w:tc>
          <w:tcPr>
            <w:tcW w:w="730" w:type="pct"/>
            <w:vAlign w:val="center"/>
          </w:tcPr>
          <w:p w14:paraId="52097B15" w14:textId="77777777" w:rsidR="0051298C" w:rsidRPr="00C00214" w:rsidRDefault="00DE14E9" w:rsidP="009E3F14">
            <w:pPr>
              <w:widowControl w:val="0"/>
              <w:tabs>
                <w:tab w:val="right" w:pos="9360"/>
              </w:tabs>
              <w:jc w:val="center"/>
              <w:rPr>
                <w:sz w:val="20"/>
              </w:rPr>
            </w:pPr>
            <w:r>
              <w:rPr>
                <w:sz w:val="20"/>
              </w:rPr>
              <w:t>5</w:t>
            </w:r>
            <w:r w:rsidR="009E3F14">
              <w:rPr>
                <w:sz w:val="20"/>
              </w:rPr>
              <w:t>1</w:t>
            </w:r>
          </w:p>
        </w:tc>
        <w:tc>
          <w:tcPr>
            <w:tcW w:w="782" w:type="pct"/>
            <w:vAlign w:val="center"/>
          </w:tcPr>
          <w:p w14:paraId="50C3A626" w14:textId="77777777" w:rsidR="0051298C" w:rsidRPr="00C00214" w:rsidRDefault="0051298C" w:rsidP="0037784F">
            <w:pPr>
              <w:widowControl w:val="0"/>
              <w:tabs>
                <w:tab w:val="right" w:pos="9360"/>
              </w:tabs>
              <w:jc w:val="center"/>
              <w:rPr>
                <w:sz w:val="20"/>
              </w:rPr>
            </w:pPr>
            <w:r>
              <w:rPr>
                <w:sz w:val="20"/>
              </w:rPr>
              <w:t>5 years</w:t>
            </w:r>
          </w:p>
        </w:tc>
        <w:tc>
          <w:tcPr>
            <w:tcW w:w="720" w:type="pct"/>
            <w:vAlign w:val="center"/>
          </w:tcPr>
          <w:p w14:paraId="7CC9F19E" w14:textId="77777777" w:rsidR="0051298C" w:rsidRDefault="002F2E83" w:rsidP="009E3F14">
            <w:pPr>
              <w:widowControl w:val="0"/>
              <w:tabs>
                <w:tab w:val="right" w:pos="9360"/>
              </w:tabs>
              <w:jc w:val="center"/>
              <w:rPr>
                <w:sz w:val="20"/>
              </w:rPr>
            </w:pPr>
            <w:r>
              <w:rPr>
                <w:sz w:val="20"/>
              </w:rPr>
              <w:t>33</w:t>
            </w:r>
            <w:r w:rsidR="009E3F14">
              <w:rPr>
                <w:sz w:val="20"/>
              </w:rPr>
              <w:t>7</w:t>
            </w:r>
          </w:p>
        </w:tc>
        <w:tc>
          <w:tcPr>
            <w:tcW w:w="584" w:type="pct"/>
            <w:vAlign w:val="center"/>
          </w:tcPr>
          <w:p w14:paraId="6A47373A" w14:textId="77777777" w:rsidR="0051298C" w:rsidRDefault="0051298C" w:rsidP="00EE27EE">
            <w:pPr>
              <w:widowControl w:val="0"/>
              <w:tabs>
                <w:tab w:val="right" w:pos="9360"/>
              </w:tabs>
              <w:jc w:val="center"/>
              <w:rPr>
                <w:sz w:val="20"/>
              </w:rPr>
            </w:pPr>
            <w:r>
              <w:rPr>
                <w:sz w:val="20"/>
              </w:rPr>
              <w:t>$5</w:t>
            </w:r>
            <w:r w:rsidR="00EE27EE">
              <w:rPr>
                <w:sz w:val="20"/>
              </w:rPr>
              <w:t>9.40</w:t>
            </w:r>
          </w:p>
        </w:tc>
        <w:tc>
          <w:tcPr>
            <w:tcW w:w="583" w:type="pct"/>
            <w:vAlign w:val="center"/>
          </w:tcPr>
          <w:p w14:paraId="491E9D96" w14:textId="77777777" w:rsidR="0051298C" w:rsidRDefault="006B350D" w:rsidP="009E3F14">
            <w:pPr>
              <w:widowControl w:val="0"/>
              <w:tabs>
                <w:tab w:val="right" w:pos="9360"/>
              </w:tabs>
              <w:jc w:val="center"/>
              <w:rPr>
                <w:sz w:val="20"/>
              </w:rPr>
            </w:pPr>
            <w:r>
              <w:rPr>
                <w:sz w:val="20"/>
              </w:rPr>
              <w:t>$</w:t>
            </w:r>
            <w:r w:rsidR="002F2E83">
              <w:rPr>
                <w:sz w:val="20"/>
              </w:rPr>
              <w:t>20,</w:t>
            </w:r>
            <w:r w:rsidR="009E3F14">
              <w:rPr>
                <w:sz w:val="20"/>
              </w:rPr>
              <w:t>018</w:t>
            </w:r>
          </w:p>
        </w:tc>
      </w:tr>
      <w:tr w:rsidR="0051298C" w14:paraId="5C3C4D0B" w14:textId="77777777" w:rsidTr="009E3F14">
        <w:trPr>
          <w:trHeight w:val="720"/>
        </w:trPr>
        <w:tc>
          <w:tcPr>
            <w:tcW w:w="902" w:type="pct"/>
            <w:vAlign w:val="center"/>
          </w:tcPr>
          <w:p w14:paraId="5C6A6B43" w14:textId="77777777" w:rsidR="0051298C" w:rsidRPr="00C00214" w:rsidRDefault="0051298C" w:rsidP="0037784F">
            <w:pPr>
              <w:widowControl w:val="0"/>
              <w:tabs>
                <w:tab w:val="right" w:pos="9360"/>
              </w:tabs>
              <w:jc w:val="center"/>
              <w:rPr>
                <w:sz w:val="20"/>
              </w:rPr>
            </w:pPr>
            <w:r w:rsidRPr="00C00214">
              <w:rPr>
                <w:sz w:val="20"/>
              </w:rPr>
              <w:t xml:space="preserve">CO </w:t>
            </w:r>
            <w:r w:rsidR="00FC470E">
              <w:rPr>
                <w:sz w:val="20"/>
              </w:rPr>
              <w:t xml:space="preserve">–Quantitative </w:t>
            </w:r>
            <w:r w:rsidRPr="00C00214">
              <w:rPr>
                <w:sz w:val="20"/>
              </w:rPr>
              <w:t>Hot-spot Analyses</w:t>
            </w:r>
          </w:p>
        </w:tc>
        <w:tc>
          <w:tcPr>
            <w:tcW w:w="699" w:type="pct"/>
            <w:vAlign w:val="center"/>
          </w:tcPr>
          <w:p w14:paraId="79A1E139" w14:textId="77777777" w:rsidR="0051298C" w:rsidRPr="00C00214" w:rsidRDefault="00FC470E" w:rsidP="00FC470E">
            <w:pPr>
              <w:widowControl w:val="0"/>
              <w:tabs>
                <w:tab w:val="right" w:pos="9360"/>
              </w:tabs>
              <w:jc w:val="center"/>
              <w:rPr>
                <w:sz w:val="20"/>
              </w:rPr>
            </w:pPr>
            <w:r>
              <w:rPr>
                <w:sz w:val="20"/>
              </w:rPr>
              <w:t>3</w:t>
            </w:r>
          </w:p>
        </w:tc>
        <w:tc>
          <w:tcPr>
            <w:tcW w:w="730" w:type="pct"/>
            <w:vAlign w:val="center"/>
          </w:tcPr>
          <w:p w14:paraId="524A3986" w14:textId="77777777" w:rsidR="0051298C" w:rsidRPr="00C00214" w:rsidRDefault="00DE14E9" w:rsidP="002073E0">
            <w:pPr>
              <w:widowControl w:val="0"/>
              <w:tabs>
                <w:tab w:val="right" w:pos="9360"/>
              </w:tabs>
              <w:jc w:val="center"/>
              <w:rPr>
                <w:sz w:val="20"/>
              </w:rPr>
            </w:pPr>
            <w:r>
              <w:rPr>
                <w:sz w:val="20"/>
              </w:rPr>
              <w:t>2</w:t>
            </w:r>
          </w:p>
        </w:tc>
        <w:tc>
          <w:tcPr>
            <w:tcW w:w="782" w:type="pct"/>
            <w:vAlign w:val="center"/>
          </w:tcPr>
          <w:p w14:paraId="048DA03A" w14:textId="77777777" w:rsidR="0051298C" w:rsidRPr="00C00214" w:rsidRDefault="0051298C" w:rsidP="0037784F">
            <w:pPr>
              <w:widowControl w:val="0"/>
              <w:tabs>
                <w:tab w:val="right" w:pos="9360"/>
              </w:tabs>
              <w:jc w:val="center"/>
              <w:rPr>
                <w:sz w:val="20"/>
              </w:rPr>
            </w:pPr>
            <w:r w:rsidRPr="00C00214">
              <w:rPr>
                <w:sz w:val="20"/>
              </w:rPr>
              <w:t>5 years</w:t>
            </w:r>
          </w:p>
        </w:tc>
        <w:tc>
          <w:tcPr>
            <w:tcW w:w="720" w:type="pct"/>
            <w:vAlign w:val="center"/>
          </w:tcPr>
          <w:p w14:paraId="48487CAE" w14:textId="77777777" w:rsidR="0051298C" w:rsidRPr="00C00214" w:rsidRDefault="0051298C" w:rsidP="0037784F">
            <w:pPr>
              <w:widowControl w:val="0"/>
              <w:tabs>
                <w:tab w:val="right" w:pos="9360"/>
              </w:tabs>
              <w:jc w:val="center"/>
              <w:rPr>
                <w:sz w:val="20"/>
              </w:rPr>
            </w:pPr>
            <w:r>
              <w:rPr>
                <w:sz w:val="20"/>
              </w:rPr>
              <w:t>1</w:t>
            </w:r>
          </w:p>
        </w:tc>
        <w:tc>
          <w:tcPr>
            <w:tcW w:w="584" w:type="pct"/>
            <w:vAlign w:val="center"/>
          </w:tcPr>
          <w:p w14:paraId="1FE3EE1D" w14:textId="77777777" w:rsidR="0051298C" w:rsidRDefault="0051298C" w:rsidP="00EE27EE">
            <w:pPr>
              <w:jc w:val="center"/>
            </w:pPr>
            <w:r w:rsidRPr="0018567E">
              <w:rPr>
                <w:sz w:val="20"/>
              </w:rPr>
              <w:t>$5</w:t>
            </w:r>
            <w:r w:rsidR="00EE27EE">
              <w:rPr>
                <w:sz w:val="20"/>
              </w:rPr>
              <w:t>9.40</w:t>
            </w:r>
          </w:p>
        </w:tc>
        <w:tc>
          <w:tcPr>
            <w:tcW w:w="583" w:type="pct"/>
            <w:vAlign w:val="center"/>
          </w:tcPr>
          <w:p w14:paraId="06328C48" w14:textId="77777777" w:rsidR="0051298C" w:rsidRPr="00C00214" w:rsidRDefault="0051298C" w:rsidP="0087791C">
            <w:pPr>
              <w:widowControl w:val="0"/>
              <w:tabs>
                <w:tab w:val="right" w:pos="9360"/>
              </w:tabs>
              <w:jc w:val="center"/>
              <w:rPr>
                <w:sz w:val="20"/>
              </w:rPr>
            </w:pPr>
            <w:r>
              <w:rPr>
                <w:sz w:val="20"/>
              </w:rPr>
              <w:t>$59</w:t>
            </w:r>
          </w:p>
        </w:tc>
      </w:tr>
      <w:tr w:rsidR="00FC470E" w14:paraId="25FB0546" w14:textId="77777777" w:rsidTr="009E3F14">
        <w:trPr>
          <w:trHeight w:val="720"/>
        </w:trPr>
        <w:tc>
          <w:tcPr>
            <w:tcW w:w="902" w:type="pct"/>
            <w:vAlign w:val="center"/>
          </w:tcPr>
          <w:p w14:paraId="10648341" w14:textId="77777777" w:rsidR="00FC470E" w:rsidRPr="00C00214" w:rsidRDefault="00FC470E" w:rsidP="0037784F">
            <w:pPr>
              <w:widowControl w:val="0"/>
              <w:tabs>
                <w:tab w:val="right" w:pos="9360"/>
              </w:tabs>
              <w:jc w:val="center"/>
              <w:rPr>
                <w:sz w:val="20"/>
              </w:rPr>
            </w:pPr>
            <w:r>
              <w:rPr>
                <w:sz w:val="20"/>
              </w:rPr>
              <w:t>CO –Qualitative Hot-spot Analyses</w:t>
            </w:r>
          </w:p>
        </w:tc>
        <w:tc>
          <w:tcPr>
            <w:tcW w:w="699" w:type="pct"/>
            <w:vAlign w:val="center"/>
          </w:tcPr>
          <w:p w14:paraId="7B0C096F" w14:textId="77777777" w:rsidR="00FC470E" w:rsidRPr="00C00214" w:rsidDel="00990F78" w:rsidRDefault="00FC470E" w:rsidP="0037784F">
            <w:pPr>
              <w:widowControl w:val="0"/>
              <w:tabs>
                <w:tab w:val="right" w:pos="9360"/>
              </w:tabs>
              <w:jc w:val="center"/>
              <w:rPr>
                <w:sz w:val="20"/>
              </w:rPr>
            </w:pPr>
            <w:r>
              <w:rPr>
                <w:sz w:val="20"/>
              </w:rPr>
              <w:t>1.5</w:t>
            </w:r>
          </w:p>
        </w:tc>
        <w:tc>
          <w:tcPr>
            <w:tcW w:w="730" w:type="pct"/>
            <w:vAlign w:val="center"/>
          </w:tcPr>
          <w:p w14:paraId="17D2E9B4" w14:textId="77777777" w:rsidR="00FC470E" w:rsidRDefault="00DE14E9" w:rsidP="002073E0">
            <w:pPr>
              <w:widowControl w:val="0"/>
              <w:tabs>
                <w:tab w:val="right" w:pos="9360"/>
              </w:tabs>
              <w:jc w:val="center"/>
              <w:rPr>
                <w:sz w:val="20"/>
              </w:rPr>
            </w:pPr>
            <w:r>
              <w:rPr>
                <w:sz w:val="20"/>
              </w:rPr>
              <w:t>2</w:t>
            </w:r>
          </w:p>
        </w:tc>
        <w:tc>
          <w:tcPr>
            <w:tcW w:w="782" w:type="pct"/>
            <w:vAlign w:val="center"/>
          </w:tcPr>
          <w:p w14:paraId="115C53F8" w14:textId="77777777" w:rsidR="00FC470E" w:rsidRPr="00C00214" w:rsidRDefault="0009132C" w:rsidP="0037784F">
            <w:pPr>
              <w:widowControl w:val="0"/>
              <w:tabs>
                <w:tab w:val="right" w:pos="9360"/>
              </w:tabs>
              <w:jc w:val="center"/>
              <w:rPr>
                <w:sz w:val="20"/>
              </w:rPr>
            </w:pPr>
            <w:r>
              <w:rPr>
                <w:sz w:val="20"/>
              </w:rPr>
              <w:t>5 years</w:t>
            </w:r>
          </w:p>
        </w:tc>
        <w:tc>
          <w:tcPr>
            <w:tcW w:w="720" w:type="pct"/>
            <w:vAlign w:val="center"/>
          </w:tcPr>
          <w:p w14:paraId="1E0DFFB4" w14:textId="77777777" w:rsidR="00FC470E" w:rsidRDefault="0009132C" w:rsidP="0037784F">
            <w:pPr>
              <w:widowControl w:val="0"/>
              <w:tabs>
                <w:tab w:val="right" w:pos="9360"/>
              </w:tabs>
              <w:jc w:val="center"/>
              <w:rPr>
                <w:sz w:val="20"/>
              </w:rPr>
            </w:pPr>
            <w:r>
              <w:rPr>
                <w:sz w:val="20"/>
              </w:rPr>
              <w:t>1</w:t>
            </w:r>
          </w:p>
        </w:tc>
        <w:tc>
          <w:tcPr>
            <w:tcW w:w="584" w:type="pct"/>
            <w:vAlign w:val="center"/>
          </w:tcPr>
          <w:p w14:paraId="1A174F1F" w14:textId="77777777" w:rsidR="00FC470E" w:rsidRPr="0018567E" w:rsidRDefault="0009132C" w:rsidP="00EE27EE">
            <w:pPr>
              <w:jc w:val="center"/>
              <w:rPr>
                <w:sz w:val="20"/>
              </w:rPr>
            </w:pPr>
            <w:r>
              <w:rPr>
                <w:sz w:val="20"/>
              </w:rPr>
              <w:t>$5</w:t>
            </w:r>
            <w:r w:rsidR="00EE27EE">
              <w:rPr>
                <w:sz w:val="20"/>
              </w:rPr>
              <w:t>9.40</w:t>
            </w:r>
          </w:p>
        </w:tc>
        <w:tc>
          <w:tcPr>
            <w:tcW w:w="583" w:type="pct"/>
            <w:vAlign w:val="center"/>
          </w:tcPr>
          <w:p w14:paraId="0B430A9E" w14:textId="77777777" w:rsidR="00FC470E" w:rsidRDefault="0009132C" w:rsidP="0037784F">
            <w:pPr>
              <w:widowControl w:val="0"/>
              <w:tabs>
                <w:tab w:val="right" w:pos="9360"/>
              </w:tabs>
              <w:jc w:val="center"/>
              <w:rPr>
                <w:sz w:val="20"/>
              </w:rPr>
            </w:pPr>
            <w:r>
              <w:rPr>
                <w:sz w:val="20"/>
              </w:rPr>
              <w:t>$59</w:t>
            </w:r>
          </w:p>
        </w:tc>
      </w:tr>
    </w:tbl>
    <w:p w14:paraId="2A0618E9" w14:textId="77777777" w:rsidR="0051298C" w:rsidRDefault="0051298C" w:rsidP="0015485C">
      <w:pPr>
        <w:jc w:val="right"/>
      </w:pPr>
      <w:r w:rsidRPr="00C00214">
        <w:rPr>
          <w:b/>
          <w:sz w:val="20"/>
        </w:rPr>
        <w:t xml:space="preserve">Total Federal Agency Burden for Project Level Conformity Determinations: </w:t>
      </w:r>
      <w:r w:rsidR="002F2E83">
        <w:rPr>
          <w:b/>
          <w:sz w:val="20"/>
        </w:rPr>
        <w:t>3</w:t>
      </w:r>
      <w:r w:rsidR="009E3F14">
        <w:rPr>
          <w:b/>
          <w:sz w:val="20"/>
        </w:rPr>
        <w:t>39</w:t>
      </w:r>
      <w:r w:rsidR="0054713D">
        <w:rPr>
          <w:b/>
          <w:sz w:val="20"/>
        </w:rPr>
        <w:t xml:space="preserve"> </w:t>
      </w:r>
      <w:r w:rsidRPr="00C00214">
        <w:rPr>
          <w:b/>
          <w:sz w:val="20"/>
        </w:rPr>
        <w:t>hours/year x $</w:t>
      </w:r>
      <w:r>
        <w:rPr>
          <w:b/>
          <w:sz w:val="20"/>
        </w:rPr>
        <w:t>5</w:t>
      </w:r>
      <w:r w:rsidR="00EE27EE">
        <w:rPr>
          <w:b/>
          <w:sz w:val="20"/>
        </w:rPr>
        <w:t>9.40</w:t>
      </w:r>
      <w:r w:rsidRPr="00C00214">
        <w:rPr>
          <w:b/>
          <w:sz w:val="20"/>
        </w:rPr>
        <w:t>/hour = $</w:t>
      </w:r>
      <w:r w:rsidR="002F2E83">
        <w:rPr>
          <w:b/>
          <w:sz w:val="20"/>
        </w:rPr>
        <w:t>20,</w:t>
      </w:r>
      <w:r w:rsidR="009E3F14">
        <w:rPr>
          <w:b/>
          <w:sz w:val="20"/>
        </w:rPr>
        <w:t>136</w:t>
      </w:r>
      <w:r w:rsidR="002F2E83">
        <w:rPr>
          <w:b/>
          <w:sz w:val="20"/>
        </w:rPr>
        <w:t>/year</w:t>
      </w:r>
    </w:p>
    <w:p w14:paraId="46F66B40"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14:paraId="767D5076" w14:textId="77777777" w:rsidR="001B4368" w:rsidRDefault="001B4368"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14:paraId="4084B362" w14:textId="77777777"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r w:rsidRPr="00102720">
        <w:rPr>
          <w:b/>
          <w:i/>
          <w:color w:val="000000"/>
        </w:rPr>
        <w:t>Adequacy Findings</w:t>
      </w:r>
      <w:r>
        <w:rPr>
          <w:b/>
          <w:i/>
          <w:color w:val="000000"/>
        </w:rPr>
        <w:t xml:space="preserve"> for SIP Motor Vehicle Emissions Budgets</w:t>
      </w:r>
      <w:r w:rsidRPr="00102720">
        <w:rPr>
          <w:b/>
          <w:i/>
          <w:color w:val="000000"/>
        </w:rPr>
        <w:t xml:space="preserve"> – Federal Burden </w:t>
      </w:r>
      <w:r>
        <w:rPr>
          <w:b/>
          <w:i/>
          <w:color w:val="000000"/>
        </w:rPr>
        <w:t>H</w:t>
      </w:r>
      <w:r w:rsidRPr="00102720">
        <w:rPr>
          <w:b/>
          <w:i/>
          <w:color w:val="000000"/>
        </w:rPr>
        <w:t>ours</w:t>
      </w:r>
    </w:p>
    <w:p w14:paraId="3DE27B76" w14:textId="77777777"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14:paraId="34A734EF"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102720">
        <w:rPr>
          <w:color w:val="000000"/>
        </w:rPr>
        <w:tab/>
        <w:t>One component of the federal burden associated with transportation conformity is</w:t>
      </w:r>
      <w:r>
        <w:rPr>
          <w:color w:val="000000"/>
        </w:rPr>
        <w:t xml:space="preserve"> EPA’s role in </w:t>
      </w:r>
      <w:r w:rsidRPr="00102720">
        <w:rPr>
          <w:color w:val="000000"/>
        </w:rPr>
        <w:t xml:space="preserve">making adequacy findings for SIPs with new motor vehicle emissions budgets.  </w:t>
      </w:r>
      <w:r>
        <w:rPr>
          <w:color w:val="000000"/>
        </w:rPr>
        <w:t>The conformity r</w:t>
      </w:r>
      <w:r w:rsidRPr="00102720">
        <w:rPr>
          <w:color w:val="000000"/>
        </w:rPr>
        <w:t>egulation requires</w:t>
      </w:r>
      <w:r>
        <w:rPr>
          <w:color w:val="000000"/>
        </w:rPr>
        <w:t xml:space="preserve"> </w:t>
      </w:r>
      <w:r w:rsidRPr="00102720">
        <w:rPr>
          <w:color w:val="000000"/>
        </w:rPr>
        <w:t>the motor vehicle emissions budget</w:t>
      </w:r>
      <w:r>
        <w:rPr>
          <w:color w:val="000000"/>
        </w:rPr>
        <w:t>(s)</w:t>
      </w:r>
      <w:r w:rsidRPr="00102720">
        <w:rPr>
          <w:color w:val="000000"/>
        </w:rPr>
        <w:t xml:space="preserve"> from a submitted SIP to be used as the measure of conformity once EPA finds </w:t>
      </w:r>
      <w:r>
        <w:rPr>
          <w:color w:val="000000"/>
        </w:rPr>
        <w:t xml:space="preserve">such a </w:t>
      </w:r>
      <w:r w:rsidRPr="00102720">
        <w:rPr>
          <w:color w:val="000000"/>
        </w:rPr>
        <w:t>budget</w:t>
      </w:r>
      <w:r>
        <w:rPr>
          <w:color w:val="000000"/>
        </w:rPr>
        <w:t>(s)</w:t>
      </w:r>
      <w:r w:rsidRPr="00102720">
        <w:rPr>
          <w:color w:val="000000"/>
        </w:rPr>
        <w:t xml:space="preserve"> adequate</w:t>
      </w:r>
      <w:r>
        <w:rPr>
          <w:color w:val="000000"/>
        </w:rPr>
        <w:t xml:space="preserve"> (40 CFR 93.118(e) and (f)).</w:t>
      </w:r>
      <w:r>
        <w:rPr>
          <w:rStyle w:val="FootnoteReference"/>
          <w:color w:val="000000"/>
        </w:rPr>
        <w:footnoteReference w:id="37"/>
      </w:r>
      <w:r w:rsidR="0049467B">
        <w:rPr>
          <w:color w:val="000000"/>
        </w:rPr>
        <w:t xml:space="preserve"> </w:t>
      </w:r>
      <w:r w:rsidRPr="00102720">
        <w:rPr>
          <w:color w:val="000000"/>
        </w:rPr>
        <w:t>The total burden of the adequacy review process is</w:t>
      </w:r>
      <w:r w:rsidR="008F6649">
        <w:rPr>
          <w:color w:val="000000"/>
        </w:rPr>
        <w:t xml:space="preserve"> completed</w:t>
      </w:r>
      <w:r w:rsidRPr="00102720">
        <w:rPr>
          <w:color w:val="000000"/>
        </w:rPr>
        <w:t xml:space="preserve"> by EPA.  No other federal agencies are involved in the adequacy review process.</w:t>
      </w:r>
      <w:r>
        <w:rPr>
          <w:color w:val="000000"/>
        </w:rPr>
        <w:t xml:space="preserve">  This ICR also does not account for any state or local work associated with developing the SIP because SIPs are developed to meet other non-conformity requirements.  </w:t>
      </w:r>
    </w:p>
    <w:p w14:paraId="0DA69137"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14:paraId="4A1D9D08" w14:textId="77777777"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FF0000"/>
        </w:rPr>
        <w:tab/>
      </w:r>
      <w:r w:rsidRPr="00102720">
        <w:rPr>
          <w:color w:val="000000"/>
        </w:rPr>
        <w:t xml:space="preserve">EPA based </w:t>
      </w:r>
      <w:r>
        <w:rPr>
          <w:color w:val="000000"/>
        </w:rPr>
        <w:t>burden hours</w:t>
      </w:r>
      <w:r w:rsidRPr="00102720">
        <w:rPr>
          <w:color w:val="000000"/>
        </w:rPr>
        <w:t xml:space="preserve"> associated with </w:t>
      </w:r>
      <w:r>
        <w:rPr>
          <w:color w:val="000000"/>
        </w:rPr>
        <w:t xml:space="preserve">each </w:t>
      </w:r>
      <w:r w:rsidRPr="00102720">
        <w:rPr>
          <w:color w:val="000000"/>
        </w:rPr>
        <w:t>adequacy review on</w:t>
      </w:r>
      <w:r>
        <w:rPr>
          <w:color w:val="000000"/>
        </w:rPr>
        <w:t xml:space="preserve"> t</w:t>
      </w:r>
      <w:r w:rsidRPr="00102720">
        <w:rPr>
          <w:color w:val="000000"/>
        </w:rPr>
        <w:t xml:space="preserve">he average amount of EPA staff time needed per adequacy determination, </w:t>
      </w:r>
      <w:r>
        <w:rPr>
          <w:color w:val="000000"/>
        </w:rPr>
        <w:t>EPA s</w:t>
      </w:r>
      <w:r w:rsidRPr="00102720">
        <w:rPr>
          <w:color w:val="000000"/>
        </w:rPr>
        <w:t xml:space="preserve">taff time includes </w:t>
      </w:r>
      <w:r>
        <w:rPr>
          <w:color w:val="000000"/>
        </w:rPr>
        <w:t xml:space="preserve">the </w:t>
      </w:r>
      <w:r w:rsidRPr="00102720">
        <w:rPr>
          <w:color w:val="000000"/>
        </w:rPr>
        <w:t xml:space="preserve">time </w:t>
      </w:r>
      <w:r>
        <w:rPr>
          <w:color w:val="000000"/>
        </w:rPr>
        <w:t xml:space="preserve">needed </w:t>
      </w:r>
      <w:r w:rsidRPr="00102720">
        <w:rPr>
          <w:color w:val="000000"/>
        </w:rPr>
        <w:t>to notify the public that a SIP has been submitted and is under adequacy review</w:t>
      </w:r>
      <w:r>
        <w:rPr>
          <w:color w:val="000000"/>
        </w:rPr>
        <w:t xml:space="preserve">, the adequacy </w:t>
      </w:r>
      <w:r w:rsidRPr="00102720">
        <w:rPr>
          <w:color w:val="000000"/>
        </w:rPr>
        <w:t xml:space="preserve">review </w:t>
      </w:r>
      <w:r>
        <w:rPr>
          <w:color w:val="000000"/>
        </w:rPr>
        <w:t xml:space="preserve">of the </w:t>
      </w:r>
      <w:r w:rsidRPr="00102720">
        <w:rPr>
          <w:color w:val="000000"/>
        </w:rPr>
        <w:t>SIP</w:t>
      </w:r>
      <w:r>
        <w:rPr>
          <w:color w:val="000000"/>
        </w:rPr>
        <w:t>’s budget(s)</w:t>
      </w:r>
      <w:r w:rsidRPr="00102720">
        <w:rPr>
          <w:color w:val="000000"/>
        </w:rPr>
        <w:t>, respond</w:t>
      </w:r>
      <w:r>
        <w:rPr>
          <w:color w:val="000000"/>
        </w:rPr>
        <w:t>ing</w:t>
      </w:r>
      <w:r w:rsidRPr="00102720">
        <w:rPr>
          <w:color w:val="000000"/>
        </w:rPr>
        <w:t xml:space="preserve"> to any public comments, and publish</w:t>
      </w:r>
      <w:r>
        <w:rPr>
          <w:color w:val="000000"/>
        </w:rPr>
        <w:t>ing</w:t>
      </w:r>
      <w:r w:rsidRPr="00102720">
        <w:rPr>
          <w:color w:val="000000"/>
        </w:rPr>
        <w:t xml:space="preserve"> a </w:t>
      </w:r>
      <w:r w:rsidRPr="00FF0194">
        <w:rPr>
          <w:i/>
          <w:color w:val="000000"/>
        </w:rPr>
        <w:t>Federal Register</w:t>
      </w:r>
      <w:r w:rsidRPr="009D1052">
        <w:rPr>
          <w:color w:val="000000"/>
        </w:rPr>
        <w:t xml:space="preserve"> </w:t>
      </w:r>
      <w:r w:rsidRPr="00102720">
        <w:rPr>
          <w:color w:val="000000"/>
        </w:rPr>
        <w:t>notice with EPA’s finding.</w:t>
      </w:r>
      <w:r>
        <w:rPr>
          <w:color w:val="000000"/>
        </w:rPr>
        <w:t xml:space="preserve">  </w:t>
      </w:r>
    </w:p>
    <w:p w14:paraId="6D1E22A1"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14:paraId="38237BD1"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FF0000"/>
        </w:rPr>
        <w:lastRenderedPageBreak/>
        <w:tab/>
      </w:r>
      <w:r w:rsidRPr="00AC2F10">
        <w:t>Table</w:t>
      </w:r>
      <w:r w:rsidRPr="00114EE1">
        <w:t xml:space="preserve"> </w:t>
      </w:r>
      <w:r w:rsidR="00B651EF">
        <w:t>26</w:t>
      </w:r>
      <w:r w:rsidR="00B651EF" w:rsidRPr="00114EE1">
        <w:t xml:space="preserve"> </w:t>
      </w:r>
      <w:r w:rsidRPr="00114EE1">
        <w:t xml:space="preserve">illustrates EPA’s burden hours for each adequacy finding.  These estimates were drawn from a recent survey of </w:t>
      </w:r>
      <w:r>
        <w:t>EPA Regional Office</w:t>
      </w:r>
      <w:r w:rsidRPr="00114EE1">
        <w:t xml:space="preserve">s, as well as </w:t>
      </w:r>
      <w:r>
        <w:t>an</w:t>
      </w:r>
      <w:r w:rsidRPr="00114EE1">
        <w:t xml:space="preserve"> estimate of the time</w:t>
      </w:r>
      <w:r>
        <w:t xml:space="preserve"> </w:t>
      </w:r>
      <w:r w:rsidRPr="00114EE1">
        <w:t>spen</w:t>
      </w:r>
      <w:r>
        <w:t>t</w:t>
      </w:r>
      <w:r w:rsidRPr="00114EE1">
        <w:t xml:space="preserve"> at headquarters.   </w:t>
      </w:r>
    </w:p>
    <w:p w14:paraId="4451C82F" w14:textId="77777777" w:rsidR="00A86A2F" w:rsidRPr="00114EE1" w:rsidRDefault="00A86A2F"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7982F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6</w:t>
      </w:r>
      <w:r>
        <w:rPr>
          <w:b/>
        </w:rPr>
        <w:t>: Federal Burden Hours Adequacy Findings of</w:t>
      </w:r>
    </w:p>
    <w:p w14:paraId="20A16FE2"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SIP Motor Vehicle Emissions Budgets</w:t>
      </w:r>
    </w:p>
    <w:p w14:paraId="6C4DEF24"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3482"/>
        <w:gridCol w:w="3938"/>
        <w:gridCol w:w="1920"/>
      </w:tblGrid>
      <w:tr w:rsidR="0051298C" w14:paraId="754D5EF3" w14:textId="77777777" w:rsidTr="0037784F">
        <w:trPr>
          <w:cantSplit/>
          <w:trHeight w:val="432"/>
        </w:trPr>
        <w:tc>
          <w:tcPr>
            <w:tcW w:w="397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04DC2135" w14:textId="77777777"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BF660A">
              <w:rPr>
                <w:b/>
                <w:sz w:val="20"/>
              </w:rPr>
              <w:t>Activity</w:t>
            </w:r>
          </w:p>
        </w:tc>
        <w:tc>
          <w:tcPr>
            <w:tcW w:w="10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0BF29BBD" w14:textId="77777777"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Hours to perform</w:t>
            </w:r>
          </w:p>
        </w:tc>
      </w:tr>
      <w:tr w:rsidR="0051298C" w14:paraId="522C8480" w14:textId="77777777" w:rsidTr="0037784F">
        <w:trPr>
          <w:cantSplit/>
        </w:trPr>
        <w:tc>
          <w:tcPr>
            <w:tcW w:w="1864" w:type="pct"/>
            <w:vMerge w:val="restart"/>
            <w:tcBorders>
              <w:top w:val="single" w:sz="8" w:space="0" w:color="000000"/>
            </w:tcBorders>
            <w:vAlign w:val="center"/>
          </w:tcPr>
          <w:p w14:paraId="3440807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Per Adequacy Finding</w:t>
            </w:r>
          </w:p>
        </w:tc>
        <w:tc>
          <w:tcPr>
            <w:tcW w:w="2108" w:type="pct"/>
            <w:tcBorders>
              <w:top w:val="single" w:sz="8" w:space="0" w:color="000000"/>
            </w:tcBorders>
            <w:vAlign w:val="center"/>
          </w:tcPr>
          <w:p w14:paraId="298C6C1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Review</w:t>
            </w:r>
          </w:p>
        </w:tc>
        <w:tc>
          <w:tcPr>
            <w:tcW w:w="1029" w:type="pct"/>
            <w:tcBorders>
              <w:top w:val="single" w:sz="8" w:space="0" w:color="000000"/>
            </w:tcBorders>
            <w:vAlign w:val="center"/>
          </w:tcPr>
          <w:p w14:paraId="0B1C27B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17</w:t>
            </w:r>
          </w:p>
        </w:tc>
      </w:tr>
      <w:tr w:rsidR="0051298C" w14:paraId="3C4C2F1B" w14:textId="77777777" w:rsidTr="0037784F">
        <w:trPr>
          <w:cantSplit/>
        </w:trPr>
        <w:tc>
          <w:tcPr>
            <w:tcW w:w="1864" w:type="pct"/>
            <w:vMerge/>
            <w:vAlign w:val="center"/>
          </w:tcPr>
          <w:p w14:paraId="10E4075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2108" w:type="pct"/>
            <w:vAlign w:val="center"/>
          </w:tcPr>
          <w:p w14:paraId="16FAF445"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FF0194">
              <w:rPr>
                <w:i/>
                <w:sz w:val="20"/>
              </w:rPr>
              <w:t>Federal Register</w:t>
            </w:r>
            <w:r>
              <w:rPr>
                <w:sz w:val="20"/>
              </w:rPr>
              <w:t xml:space="preserve"> Notice Preparation and Publication</w:t>
            </w:r>
          </w:p>
        </w:tc>
        <w:tc>
          <w:tcPr>
            <w:tcW w:w="1029" w:type="pct"/>
            <w:vAlign w:val="center"/>
          </w:tcPr>
          <w:p w14:paraId="3479B61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w:t>
            </w:r>
          </w:p>
        </w:tc>
      </w:tr>
      <w:tr w:rsidR="0051298C" w14:paraId="4C03053D" w14:textId="77777777" w:rsidTr="0037784F">
        <w:trPr>
          <w:cantSplit/>
        </w:trPr>
        <w:tc>
          <w:tcPr>
            <w:tcW w:w="1864" w:type="pct"/>
            <w:vMerge/>
            <w:vAlign w:val="center"/>
          </w:tcPr>
          <w:p w14:paraId="51B7FDF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2108" w:type="pct"/>
            <w:vAlign w:val="center"/>
          </w:tcPr>
          <w:p w14:paraId="1A96E0CC"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Preparation for and Website Posting</w:t>
            </w:r>
          </w:p>
        </w:tc>
        <w:tc>
          <w:tcPr>
            <w:tcW w:w="1029" w:type="pct"/>
            <w:vAlign w:val="center"/>
          </w:tcPr>
          <w:p w14:paraId="293AB373"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bl>
    <w:p w14:paraId="2AECD36C" w14:textId="77777777" w:rsidR="0051298C" w:rsidRDefault="0051298C" w:rsidP="005525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b/>
          <w:color w:val="FF0000"/>
          <w:sz w:val="20"/>
        </w:rPr>
      </w:pPr>
      <w:r>
        <w:rPr>
          <w:b/>
          <w:color w:val="FF0000"/>
          <w:sz w:val="20"/>
        </w:rPr>
        <w:t xml:space="preserve"> </w:t>
      </w:r>
      <w:r w:rsidRPr="00CC0AF9">
        <w:rPr>
          <w:b/>
          <w:sz w:val="20"/>
        </w:rPr>
        <w:t xml:space="preserve"> Burden hours per Adequacy Finding:</w:t>
      </w:r>
      <w:r>
        <w:rPr>
          <w:b/>
          <w:sz w:val="20"/>
        </w:rPr>
        <w:t xml:space="preserve"> 39</w:t>
      </w:r>
    </w:p>
    <w:p w14:paraId="5A779D0A" w14:textId="77777777" w:rsidR="0051298C" w:rsidRDefault="0051298C" w:rsidP="004E2E4A">
      <w:pPr>
        <w:rPr>
          <w:b/>
          <w:i/>
        </w:rPr>
      </w:pPr>
    </w:p>
    <w:p w14:paraId="39D07B6C" w14:textId="77777777" w:rsidR="00A178D5" w:rsidRDefault="00A178D5" w:rsidP="004E2E4A">
      <w:pPr>
        <w:rPr>
          <w:b/>
          <w:i/>
        </w:rPr>
      </w:pPr>
    </w:p>
    <w:p w14:paraId="0E1BC291" w14:textId="77777777" w:rsidR="0051298C" w:rsidRDefault="0051298C" w:rsidP="004E2E4A">
      <w:pPr>
        <w:rPr>
          <w:b/>
          <w:i/>
        </w:rPr>
      </w:pPr>
      <w:r>
        <w:rPr>
          <w:b/>
          <w:i/>
        </w:rPr>
        <w:t>Adequacy Findings – Federal Costs</w:t>
      </w:r>
    </w:p>
    <w:p w14:paraId="5A03F078" w14:textId="77777777" w:rsidR="0051298C" w:rsidRDefault="0051298C" w:rsidP="004E2E4A">
      <w:pPr>
        <w:rPr>
          <w:b/>
          <w:i/>
        </w:rPr>
      </w:pPr>
    </w:p>
    <w:p w14:paraId="642D037C" w14:textId="77777777"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rPr>
      </w:pPr>
      <w:r>
        <w:tab/>
      </w:r>
      <w:r w:rsidRPr="00AC2F10">
        <w:t>Table</w:t>
      </w:r>
      <w:r>
        <w:t xml:space="preserve"> </w:t>
      </w:r>
      <w:r w:rsidR="00B651EF">
        <w:t>27A</w:t>
      </w:r>
      <w:r>
        <w:t xml:space="preserve"> shows the total federal annualized cost associated with making adequacy determinations for SIP motor vehicle emissions budgets.  EPA based the number of adequacy reviews need each year based on t</w:t>
      </w:r>
      <w:r w:rsidRPr="00102720">
        <w:rPr>
          <w:color w:val="000000"/>
        </w:rPr>
        <w:t>he historical average number of SIPs that EPA has processed for adequacy over the past seven years,</w:t>
      </w:r>
      <w:r>
        <w:rPr>
          <w:color w:val="000000"/>
        </w:rPr>
        <w:t xml:space="preserve"> and re</w:t>
      </w:r>
      <w:r w:rsidRPr="00102720">
        <w:rPr>
          <w:color w:val="000000"/>
        </w:rPr>
        <w:t xml:space="preserve">sponses from EPA regions regarding </w:t>
      </w:r>
      <w:r>
        <w:rPr>
          <w:color w:val="000000"/>
        </w:rPr>
        <w:t xml:space="preserve">the </w:t>
      </w:r>
      <w:r w:rsidRPr="00102720">
        <w:rPr>
          <w:color w:val="000000"/>
        </w:rPr>
        <w:t>anticipated number of SIP</w:t>
      </w:r>
      <w:r>
        <w:rPr>
          <w:color w:val="000000"/>
        </w:rPr>
        <w:t>s</w:t>
      </w:r>
      <w:r w:rsidRPr="00102720">
        <w:rPr>
          <w:color w:val="000000"/>
        </w:rPr>
        <w:t xml:space="preserve"> expected to process for adequacy in fiscal year </w:t>
      </w:r>
      <w:r w:rsidR="00202B2E">
        <w:rPr>
          <w:color w:val="000000"/>
        </w:rPr>
        <w:t>2015</w:t>
      </w:r>
      <w:r>
        <w:rPr>
          <w:color w:val="000000"/>
        </w:rPr>
        <w:t>.</w:t>
      </w:r>
      <w:r w:rsidRPr="00102720">
        <w:rPr>
          <w:color w:val="000000"/>
        </w:rPr>
        <w:t xml:space="preserve"> </w:t>
      </w:r>
    </w:p>
    <w:p w14:paraId="2DEB885C" w14:textId="77777777"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3FDB02DF" w14:textId="77777777"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color w:val="000000"/>
        </w:rPr>
        <w:tab/>
      </w:r>
      <w:r w:rsidRPr="00AC2F10">
        <w:rPr>
          <w:color w:val="000000"/>
        </w:rPr>
        <w:t>Table</w:t>
      </w:r>
      <w:r>
        <w:rPr>
          <w:color w:val="000000"/>
        </w:rPr>
        <w:t xml:space="preserve"> 2</w:t>
      </w:r>
      <w:r w:rsidR="00B651EF">
        <w:rPr>
          <w:color w:val="000000"/>
        </w:rPr>
        <w:t>7</w:t>
      </w:r>
      <w:r>
        <w:rPr>
          <w:color w:val="000000"/>
        </w:rPr>
        <w:t xml:space="preserve">B show costs associated with </w:t>
      </w:r>
      <w:r w:rsidRPr="00FF0194">
        <w:rPr>
          <w:i/>
          <w:color w:val="000000"/>
        </w:rPr>
        <w:t>Federal Register</w:t>
      </w:r>
      <w:r>
        <w:rPr>
          <w:color w:val="000000"/>
        </w:rPr>
        <w:t xml:space="preserve"> notices of adequacy findings.  </w:t>
      </w:r>
      <w:r w:rsidRPr="009D1052">
        <w:rPr>
          <w:color w:val="000000"/>
        </w:rPr>
        <w:t>A</w:t>
      </w:r>
      <w:r w:rsidRPr="00102720">
        <w:rPr>
          <w:color w:val="000000"/>
        </w:rPr>
        <w:t xml:space="preserve"> </w:t>
      </w:r>
      <w:r w:rsidRPr="00FF0194">
        <w:rPr>
          <w:i/>
          <w:color w:val="000000"/>
        </w:rPr>
        <w:t>Federal Register</w:t>
      </w:r>
      <w:r w:rsidRPr="00002844">
        <w:rPr>
          <w:color w:val="000000"/>
        </w:rPr>
        <w:t xml:space="preserve"> </w:t>
      </w:r>
      <w:r w:rsidRPr="00102720">
        <w:rPr>
          <w:color w:val="000000"/>
        </w:rPr>
        <w:t>notice of EPA’s adequacy determination is always required, but often such notice is given with a proposed or final rulemaking action to approve the submitted SIP</w:t>
      </w:r>
      <w:r>
        <w:rPr>
          <w:color w:val="000000"/>
        </w:rPr>
        <w:t xml:space="preserve"> which is required due to other non-conformity requirements</w:t>
      </w:r>
      <w:r w:rsidR="0049467B">
        <w:rPr>
          <w:color w:val="000000"/>
        </w:rPr>
        <w:t xml:space="preserve">. </w:t>
      </w:r>
      <w:r>
        <w:rPr>
          <w:color w:val="000000"/>
        </w:rPr>
        <w:t xml:space="preserve">Therefore, </w:t>
      </w:r>
      <w:r w:rsidRPr="00102720">
        <w:rPr>
          <w:color w:val="000000"/>
        </w:rPr>
        <w:t xml:space="preserve">EPA included </w:t>
      </w:r>
      <w:r>
        <w:rPr>
          <w:color w:val="000000"/>
        </w:rPr>
        <w:t xml:space="preserve">in the above table </w:t>
      </w:r>
      <w:r w:rsidRPr="00102720">
        <w:rPr>
          <w:color w:val="000000"/>
        </w:rPr>
        <w:t xml:space="preserve">only the cost associated with </w:t>
      </w:r>
      <w:r w:rsidRPr="00FF0194">
        <w:rPr>
          <w:i/>
          <w:color w:val="000000"/>
        </w:rPr>
        <w:t>Federal Register</w:t>
      </w:r>
      <w:r w:rsidRPr="00102720">
        <w:rPr>
          <w:color w:val="000000"/>
        </w:rPr>
        <w:t xml:space="preserve"> notices that were published separate from a proposed or final rulemaking action to approve the submitted SIP.  </w:t>
      </w:r>
      <w:r>
        <w:rPr>
          <w:color w:val="000000"/>
        </w:rPr>
        <w:t xml:space="preserve"> </w:t>
      </w:r>
    </w:p>
    <w:p w14:paraId="5009E97F" w14:textId="77777777" w:rsidR="003939ED" w:rsidRDefault="003939ED"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E4C38B6"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D289387"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8B09429"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930B4F2"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C9A8FC3"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08A229B"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E5E440A"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1650229"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B10AB9E"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994CC99"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5C7A01B1"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F9FC3BC"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F24D45F"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2F40886" w14:textId="77777777" w:rsidR="00A845FC" w:rsidRDefault="00A845F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116B533" w14:textId="77777777"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Table 2</w:t>
      </w:r>
      <w:r w:rsidR="00B651EF">
        <w:rPr>
          <w:b/>
        </w:rPr>
        <w:t>7</w:t>
      </w:r>
      <w:r>
        <w:rPr>
          <w:b/>
        </w:rPr>
        <w:t xml:space="preserve">A: Federal Annual Cost of Adequacy Findings </w:t>
      </w:r>
    </w:p>
    <w:p w14:paraId="4F323C12" w14:textId="77777777"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245"/>
        <w:gridCol w:w="1616"/>
        <w:gridCol w:w="988"/>
        <w:gridCol w:w="1257"/>
        <w:gridCol w:w="1078"/>
        <w:gridCol w:w="1078"/>
        <w:gridCol w:w="1078"/>
      </w:tblGrid>
      <w:tr w:rsidR="0051298C" w14:paraId="3AC863EE" w14:textId="77777777" w:rsidTr="0037784F">
        <w:trPr>
          <w:cantSplit/>
        </w:trPr>
        <w:tc>
          <w:tcPr>
            <w:tcW w:w="1202"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5375082"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p w14:paraId="4618807D" w14:textId="77777777"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Action</w:t>
            </w:r>
          </w:p>
        </w:tc>
        <w:tc>
          <w:tcPr>
            <w:tcW w:w="865"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5061F8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Average</w:t>
            </w:r>
          </w:p>
          <w:p w14:paraId="46F3D83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Number of  Actions per Region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3BA2726"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677C91A1"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Regions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0EBA98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BD26F7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 per Action</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3309F0A8"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F623620"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15C31BFB"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Cost Per Hour</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915220E"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Cost</w:t>
            </w:r>
          </w:p>
        </w:tc>
      </w:tr>
      <w:tr w:rsidR="0051298C" w14:paraId="141D7526" w14:textId="77777777" w:rsidTr="00452F74">
        <w:trPr>
          <w:cantSplit/>
        </w:trPr>
        <w:tc>
          <w:tcPr>
            <w:tcW w:w="1202" w:type="pct"/>
            <w:tcBorders>
              <w:top w:val="single" w:sz="8" w:space="0" w:color="000000"/>
            </w:tcBorders>
          </w:tcPr>
          <w:p w14:paraId="34AE6A38" w14:textId="77777777"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rPr>
                <w:sz w:val="20"/>
              </w:rPr>
            </w:pPr>
            <w:r>
              <w:rPr>
                <w:sz w:val="20"/>
              </w:rPr>
              <w:t>Adequacy Finding</w:t>
            </w:r>
          </w:p>
        </w:tc>
        <w:tc>
          <w:tcPr>
            <w:tcW w:w="865" w:type="pct"/>
            <w:tcBorders>
              <w:top w:val="single" w:sz="8" w:space="0" w:color="000000"/>
            </w:tcBorders>
          </w:tcPr>
          <w:p w14:paraId="222DA822" w14:textId="77777777" w:rsidR="0051298C" w:rsidRDefault="00BE22C1"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529" w:type="pct"/>
            <w:tcBorders>
              <w:top w:val="single" w:sz="8" w:space="0" w:color="000000"/>
            </w:tcBorders>
          </w:tcPr>
          <w:p w14:paraId="4C97E642" w14:textId="77777777"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w:t>
            </w:r>
          </w:p>
        </w:tc>
        <w:tc>
          <w:tcPr>
            <w:tcW w:w="673" w:type="pct"/>
            <w:tcBorders>
              <w:top w:val="single" w:sz="8" w:space="0" w:color="000000"/>
            </w:tcBorders>
          </w:tcPr>
          <w:p w14:paraId="7A695DDF" w14:textId="77777777"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p>
        </w:tc>
        <w:tc>
          <w:tcPr>
            <w:tcW w:w="577" w:type="pct"/>
            <w:tcBorders>
              <w:top w:val="single" w:sz="8" w:space="0" w:color="000000"/>
            </w:tcBorders>
          </w:tcPr>
          <w:p w14:paraId="3743236E" w14:textId="77777777" w:rsidR="0051298C" w:rsidRDefault="00BE22C1"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1,170</w:t>
            </w:r>
          </w:p>
        </w:tc>
        <w:tc>
          <w:tcPr>
            <w:tcW w:w="577" w:type="pct"/>
            <w:tcBorders>
              <w:top w:val="single" w:sz="8" w:space="0" w:color="000000"/>
            </w:tcBorders>
          </w:tcPr>
          <w:p w14:paraId="25B310B3" w14:textId="77777777" w:rsidR="0051298C" w:rsidRDefault="0051298C"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EE27EE">
              <w:rPr>
                <w:sz w:val="20"/>
              </w:rPr>
              <w:t>9.40</w:t>
            </w:r>
          </w:p>
        </w:tc>
        <w:tc>
          <w:tcPr>
            <w:tcW w:w="577" w:type="pct"/>
            <w:tcBorders>
              <w:top w:val="single" w:sz="8" w:space="0" w:color="000000"/>
            </w:tcBorders>
          </w:tcPr>
          <w:p w14:paraId="61945F6B" w14:textId="77777777" w:rsidR="0051298C" w:rsidRDefault="00BE22C1" w:rsidP="00EE27E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$69,498</w:t>
            </w:r>
          </w:p>
        </w:tc>
      </w:tr>
    </w:tbl>
    <w:p w14:paraId="4923EE26" w14:textId="77777777" w:rsidR="0051298C" w:rsidRDefault="0051298C"/>
    <w:p w14:paraId="0273FC41" w14:textId="77777777" w:rsidR="00450C3C" w:rsidRDefault="00450C3C"/>
    <w:p w14:paraId="6FF2BEA1" w14:textId="77777777" w:rsidR="0051298C" w:rsidRDefault="0051298C" w:rsidP="00EC74B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7</w:t>
      </w:r>
      <w:r>
        <w:rPr>
          <w:b/>
        </w:rPr>
        <w:t xml:space="preserve">B: Federal Annual Cost of </w:t>
      </w:r>
      <w:r w:rsidRPr="00FF0194">
        <w:rPr>
          <w:b/>
          <w:i/>
        </w:rPr>
        <w:t>Federal Register</w:t>
      </w:r>
      <w:r w:rsidRPr="00FF0194">
        <w:rPr>
          <w:b/>
        </w:rPr>
        <w:t xml:space="preserve"> </w:t>
      </w:r>
      <w:r w:rsidRPr="00D077E2">
        <w:rPr>
          <w:b/>
        </w:rPr>
        <w:t xml:space="preserve">Notices </w:t>
      </w:r>
    </w:p>
    <w:p w14:paraId="4E8809EB" w14:textId="77777777" w:rsidR="0051298C" w:rsidRDefault="0051298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11"/>
        <w:gridCol w:w="1666"/>
        <w:gridCol w:w="968"/>
        <w:gridCol w:w="2199"/>
        <w:gridCol w:w="1250"/>
        <w:gridCol w:w="1046"/>
      </w:tblGrid>
      <w:tr w:rsidR="0051298C" w14:paraId="44972B4C" w14:textId="77777777" w:rsidTr="0049354E">
        <w:trPr>
          <w:cantSplit/>
        </w:trPr>
        <w:tc>
          <w:tcPr>
            <w:tcW w:w="1183" w:type="pct"/>
            <w:tcBorders>
              <w:top w:val="single" w:sz="8" w:space="0" w:color="000000"/>
              <w:left w:val="single" w:sz="8" w:space="0" w:color="000000"/>
              <w:bottom w:val="single" w:sz="8" w:space="0" w:color="000000"/>
              <w:right w:val="single" w:sz="8" w:space="0" w:color="000000"/>
            </w:tcBorders>
            <w:shd w:val="clear" w:color="auto" w:fill="D9D9D9"/>
          </w:tcPr>
          <w:p w14:paraId="53F157B5"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p w14:paraId="6CBEA4B3" w14:textId="77777777" w:rsidR="0051298C" w:rsidRPr="00BF660A" w:rsidRDefault="0051298C" w:rsidP="00045166">
            <w:pPr>
              <w:widowControl w:val="0"/>
              <w:tabs>
                <w:tab w:val="right" w:pos="2048"/>
              </w:tabs>
              <w:spacing w:before="84" w:after="44"/>
              <w:ind w:left="90"/>
              <w:rPr>
                <w:sz w:val="20"/>
              </w:rPr>
            </w:pPr>
            <w:r w:rsidRPr="00A04825">
              <w:rPr>
                <w:b/>
                <w:sz w:val="20"/>
              </w:rPr>
              <w:t>Action</w:t>
            </w:r>
          </w:p>
        </w:tc>
        <w:tc>
          <w:tcPr>
            <w:tcW w:w="892" w:type="pct"/>
            <w:tcBorders>
              <w:top w:val="single" w:sz="8" w:space="0" w:color="000000"/>
              <w:left w:val="single" w:sz="8" w:space="0" w:color="000000"/>
              <w:bottom w:val="single" w:sz="8" w:space="0" w:color="000000"/>
              <w:right w:val="single" w:sz="8" w:space="0" w:color="000000"/>
            </w:tcBorders>
            <w:shd w:val="clear" w:color="auto" w:fill="D9D9D9"/>
          </w:tcPr>
          <w:p w14:paraId="68C16115"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Average</w:t>
            </w:r>
          </w:p>
          <w:p w14:paraId="5DB65EC9"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Number of  Actions</w:t>
            </w:r>
          </w:p>
        </w:tc>
        <w:tc>
          <w:tcPr>
            <w:tcW w:w="518" w:type="pct"/>
            <w:tcBorders>
              <w:top w:val="single" w:sz="8" w:space="0" w:color="000000"/>
              <w:left w:val="single" w:sz="8" w:space="0" w:color="000000"/>
              <w:bottom w:val="single" w:sz="8" w:space="0" w:color="000000"/>
              <w:right w:val="single" w:sz="8" w:space="0" w:color="000000"/>
            </w:tcBorders>
            <w:shd w:val="clear" w:color="auto" w:fill="D9D9D9"/>
          </w:tcPr>
          <w:p w14:paraId="385F1E09"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34101104"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 xml:space="preserve">No. of Regions </w:t>
            </w:r>
          </w:p>
        </w:tc>
        <w:tc>
          <w:tcPr>
            <w:tcW w:w="1177" w:type="pct"/>
            <w:tcBorders>
              <w:top w:val="single" w:sz="8" w:space="0" w:color="000000"/>
              <w:left w:val="single" w:sz="8" w:space="0" w:color="000000"/>
              <w:bottom w:val="single" w:sz="8" w:space="0" w:color="000000"/>
              <w:right w:val="single" w:sz="8" w:space="0" w:color="000000"/>
            </w:tcBorders>
            <w:shd w:val="clear" w:color="auto" w:fill="D9D9D9"/>
          </w:tcPr>
          <w:p w14:paraId="6769A6CF"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5B3143AA"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Total Federal Register Notice Publications</w:t>
            </w:r>
          </w:p>
        </w:tc>
        <w:tc>
          <w:tcPr>
            <w:tcW w:w="669" w:type="pct"/>
            <w:tcBorders>
              <w:top w:val="single" w:sz="8" w:space="0" w:color="000000"/>
              <w:left w:val="single" w:sz="8" w:space="0" w:color="000000"/>
              <w:bottom w:val="single" w:sz="8" w:space="0" w:color="000000"/>
              <w:right w:val="single" w:sz="8" w:space="0" w:color="000000"/>
            </w:tcBorders>
            <w:shd w:val="clear" w:color="auto" w:fill="D9D9D9"/>
          </w:tcPr>
          <w:p w14:paraId="0BFDC340"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14:paraId="213836B5"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Average cost per Publication</w:t>
            </w:r>
          </w:p>
        </w:tc>
        <w:tc>
          <w:tcPr>
            <w:tcW w:w="560" w:type="pct"/>
            <w:tcBorders>
              <w:top w:val="single" w:sz="8" w:space="0" w:color="000000"/>
              <w:left w:val="single" w:sz="8" w:space="0" w:color="000000"/>
              <w:bottom w:val="single" w:sz="8" w:space="0" w:color="000000"/>
              <w:right w:val="single" w:sz="8" w:space="0" w:color="000000"/>
            </w:tcBorders>
            <w:shd w:val="clear" w:color="auto" w:fill="D9D9D9"/>
          </w:tcPr>
          <w:p w14:paraId="04978A09" w14:textId="77777777"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 xml:space="preserve">Total Annual  Burden Cost </w:t>
            </w:r>
          </w:p>
        </w:tc>
      </w:tr>
      <w:tr w:rsidR="0051298C" w14:paraId="2213B8FB" w14:textId="77777777" w:rsidTr="0049354E">
        <w:trPr>
          <w:cantSplit/>
        </w:trPr>
        <w:tc>
          <w:tcPr>
            <w:tcW w:w="1183" w:type="pct"/>
            <w:tcBorders>
              <w:top w:val="single" w:sz="8" w:space="0" w:color="000000"/>
            </w:tcBorders>
            <w:vAlign w:val="center"/>
          </w:tcPr>
          <w:p w14:paraId="7664ED01" w14:textId="77777777" w:rsidR="0051298C" w:rsidRDefault="0051298C" w:rsidP="0037784F">
            <w:pPr>
              <w:widowControl w:val="0"/>
              <w:tabs>
                <w:tab w:val="right" w:pos="2048"/>
              </w:tabs>
              <w:spacing w:before="84" w:after="44"/>
              <w:ind w:left="90"/>
              <w:jc w:val="center"/>
              <w:rPr>
                <w:sz w:val="20"/>
              </w:rPr>
            </w:pPr>
            <w:r w:rsidRPr="00FF0194">
              <w:rPr>
                <w:i/>
                <w:sz w:val="20"/>
              </w:rPr>
              <w:t>Federal Register</w:t>
            </w:r>
            <w:r>
              <w:rPr>
                <w:sz w:val="20"/>
              </w:rPr>
              <w:t xml:space="preserve"> Notice – Publication Costs</w:t>
            </w:r>
          </w:p>
        </w:tc>
        <w:tc>
          <w:tcPr>
            <w:tcW w:w="892" w:type="pct"/>
            <w:tcBorders>
              <w:top w:val="single" w:sz="8" w:space="0" w:color="000000"/>
            </w:tcBorders>
            <w:vAlign w:val="center"/>
          </w:tcPr>
          <w:p w14:paraId="18E53CDF" w14:textId="77777777" w:rsidR="0051298C" w:rsidRDefault="00BE22C1"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518" w:type="pct"/>
            <w:tcBorders>
              <w:top w:val="single" w:sz="8" w:space="0" w:color="000000"/>
            </w:tcBorders>
            <w:vAlign w:val="center"/>
          </w:tcPr>
          <w:p w14:paraId="2D5CF414"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w:t>
            </w:r>
          </w:p>
        </w:tc>
        <w:tc>
          <w:tcPr>
            <w:tcW w:w="1177" w:type="pct"/>
            <w:tcBorders>
              <w:top w:val="single" w:sz="8" w:space="0" w:color="000000"/>
            </w:tcBorders>
            <w:vAlign w:val="center"/>
          </w:tcPr>
          <w:p w14:paraId="620C7E87" w14:textId="77777777" w:rsidR="0051298C" w:rsidRDefault="00BE22C1"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30</w:t>
            </w:r>
          </w:p>
        </w:tc>
        <w:tc>
          <w:tcPr>
            <w:tcW w:w="669" w:type="pct"/>
            <w:tcBorders>
              <w:top w:val="single" w:sz="8" w:space="0" w:color="000000"/>
            </w:tcBorders>
            <w:vAlign w:val="center"/>
          </w:tcPr>
          <w:p w14:paraId="145EE407" w14:textId="77777777"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$413</w:t>
            </w:r>
          </w:p>
        </w:tc>
        <w:tc>
          <w:tcPr>
            <w:tcW w:w="560" w:type="pct"/>
            <w:tcBorders>
              <w:top w:val="single" w:sz="8" w:space="0" w:color="000000"/>
            </w:tcBorders>
            <w:vAlign w:val="center"/>
          </w:tcPr>
          <w:p w14:paraId="175E9200" w14:textId="77777777" w:rsidR="0051298C" w:rsidRDefault="00BE22C1"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$12,390</w:t>
            </w:r>
          </w:p>
        </w:tc>
      </w:tr>
    </w:tbl>
    <w:p w14:paraId="69AC4AC0" w14:textId="77777777" w:rsidR="0051298C" w:rsidRDefault="0051298C" w:rsidP="0015485C">
      <w:pPr>
        <w:jc w:val="right"/>
      </w:pPr>
      <w:r>
        <w:rPr>
          <w:b/>
          <w:sz w:val="20"/>
        </w:rPr>
        <w:t xml:space="preserve">Total Burden for Adequacy Findings: </w:t>
      </w:r>
      <w:r w:rsidR="00BE22C1">
        <w:rPr>
          <w:b/>
          <w:sz w:val="20"/>
        </w:rPr>
        <w:t>1,170</w:t>
      </w:r>
      <w:r>
        <w:rPr>
          <w:b/>
          <w:sz w:val="20"/>
        </w:rPr>
        <w:t xml:space="preserve"> hours/year x $5</w:t>
      </w:r>
      <w:r w:rsidR="00116370">
        <w:rPr>
          <w:b/>
          <w:sz w:val="20"/>
        </w:rPr>
        <w:t>9.40</w:t>
      </w:r>
      <w:r>
        <w:rPr>
          <w:b/>
          <w:sz w:val="20"/>
        </w:rPr>
        <w:t>/hour =$</w:t>
      </w:r>
      <w:r w:rsidR="00BE22C1">
        <w:rPr>
          <w:b/>
          <w:sz w:val="20"/>
        </w:rPr>
        <w:t>69,498</w:t>
      </w:r>
      <w:r>
        <w:rPr>
          <w:b/>
          <w:sz w:val="20"/>
        </w:rPr>
        <w:t>+ $</w:t>
      </w:r>
      <w:r w:rsidR="00BE22C1">
        <w:rPr>
          <w:b/>
          <w:sz w:val="20"/>
        </w:rPr>
        <w:t>12,390</w:t>
      </w:r>
      <w:r>
        <w:rPr>
          <w:b/>
          <w:sz w:val="20"/>
        </w:rPr>
        <w:t xml:space="preserve"> = $</w:t>
      </w:r>
      <w:r w:rsidR="00BE22C1">
        <w:rPr>
          <w:b/>
          <w:sz w:val="20"/>
        </w:rPr>
        <w:t>81,888</w:t>
      </w:r>
    </w:p>
    <w:p w14:paraId="11BC923A" w14:textId="77777777"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FF0000"/>
          <w:sz w:val="20"/>
        </w:rPr>
      </w:pPr>
      <w:r>
        <w:rPr>
          <w:b/>
          <w:color w:val="FF0000"/>
          <w:sz w:val="20"/>
        </w:rPr>
        <w:t xml:space="preserve"> </w:t>
      </w:r>
    </w:p>
    <w:p w14:paraId="0A4272D2" w14:textId="77777777" w:rsidR="0051298C" w:rsidRDefault="0051298C" w:rsidP="001E4489">
      <w:pPr>
        <w:pStyle w:val="Heading1"/>
      </w:pPr>
      <w:bookmarkStart w:id="27" w:name="_Toc411336362"/>
      <w:r>
        <w:t>6(d)</w:t>
      </w:r>
      <w:r>
        <w:tab/>
        <w:t>Estimating the Respondent Universe and Total Burden and Costs</w:t>
      </w:r>
      <w:bookmarkEnd w:id="27"/>
    </w:p>
    <w:p w14:paraId="323B9B29"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33BC4891"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estimates that </w:t>
      </w:r>
      <w:r w:rsidR="00BF2898" w:rsidRPr="00950128">
        <w:t>126</w:t>
      </w:r>
      <w:r w:rsidRPr="00950128">
        <w:t xml:space="preserve"> MPOs</w:t>
      </w:r>
      <w:r>
        <w:t xml:space="preserve"> will </w:t>
      </w:r>
      <w:r w:rsidR="003F3745">
        <w:t>be subject to conformity requirements</w:t>
      </w:r>
      <w:r w:rsidR="00DA7ACA">
        <w:t xml:space="preserve"> during </w:t>
      </w:r>
      <w:r>
        <w:t xml:space="preserve">the period covered by this ICR and that EPA Regional Offices, the FHWA and FTA will be involved in interagency consultation, and review of any transportation-related conformity determinations performed by MPOs during this process.  EPA also estimates that similar consultation will occur for projects in isolated rural areas. </w:t>
      </w:r>
    </w:p>
    <w:p w14:paraId="59389FE4" w14:textId="77777777" w:rsidR="0051298C" w:rsidRDefault="0051298C" w:rsidP="001E4489">
      <w:pPr>
        <w:pStyle w:val="Heading1"/>
      </w:pPr>
      <w:bookmarkStart w:id="28" w:name="_Toc411336363"/>
      <w:r>
        <w:t>6(e)</w:t>
      </w:r>
      <w:r>
        <w:tab/>
        <w:t>Bottom Line Burden Hours and Cost Tables</w:t>
      </w:r>
      <w:bookmarkEnd w:id="28"/>
    </w:p>
    <w:p w14:paraId="6C5AD706"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73F80247" w14:textId="77777777" w:rsidR="00492311"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t xml:space="preserve">The bottom line annual burden for all </w:t>
      </w:r>
      <w:r w:rsidR="0024130A">
        <w:t>s</w:t>
      </w:r>
      <w:r>
        <w:t>tate and local respondents is</w:t>
      </w:r>
      <w:r w:rsidR="00693F67">
        <w:rPr>
          <w:b/>
        </w:rPr>
        <w:t xml:space="preserve"> </w:t>
      </w:r>
      <w:r w:rsidR="009F1164">
        <w:rPr>
          <w:b/>
        </w:rPr>
        <w:t>60,548</w:t>
      </w:r>
      <w:r w:rsidR="00BC30E4">
        <w:rPr>
          <w:b/>
        </w:rPr>
        <w:t xml:space="preserve"> </w:t>
      </w:r>
      <w:r>
        <w:t>hours with a cost of</w:t>
      </w:r>
      <w:r w:rsidRPr="00406351">
        <w:rPr>
          <w:b/>
        </w:rPr>
        <w:t xml:space="preserve"> </w:t>
      </w:r>
      <w:r>
        <w:rPr>
          <w:b/>
        </w:rPr>
        <w:t>$</w:t>
      </w:r>
      <w:r w:rsidR="009F1164">
        <w:rPr>
          <w:b/>
        </w:rPr>
        <w:t>3,596,553</w:t>
      </w:r>
      <w:r>
        <w:rPr>
          <w:b/>
        </w:rPr>
        <w:t>.</w:t>
      </w:r>
      <w:r w:rsidR="00A619BC">
        <w:rPr>
          <w:b/>
        </w:rPr>
        <w:t xml:space="preserve">  </w:t>
      </w:r>
    </w:p>
    <w:p w14:paraId="0C7C5CCD" w14:textId="77777777" w:rsidR="00492311" w:rsidRDefault="00492311"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1A00D375" w14:textId="77777777" w:rsidR="0051298C" w:rsidRDefault="00492311"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0051298C">
        <w:t xml:space="preserve">The bottom line annual burden for </w:t>
      </w:r>
      <w:r w:rsidR="0024130A">
        <w:t>f</w:t>
      </w:r>
      <w:r w:rsidR="0051298C">
        <w:t xml:space="preserve">ederal agency respondents is </w:t>
      </w:r>
      <w:r w:rsidR="002F2E83">
        <w:rPr>
          <w:b/>
        </w:rPr>
        <w:t>12,6</w:t>
      </w:r>
      <w:r w:rsidR="00EA2098">
        <w:rPr>
          <w:b/>
        </w:rPr>
        <w:t>79</w:t>
      </w:r>
      <w:r w:rsidR="0051298C" w:rsidRPr="00E35F63">
        <w:rPr>
          <w:b/>
        </w:rPr>
        <w:t xml:space="preserve"> </w:t>
      </w:r>
      <w:r w:rsidR="0051298C">
        <w:t xml:space="preserve">hours with a cost of </w:t>
      </w:r>
      <w:r w:rsidR="0051298C" w:rsidRPr="00BC442D">
        <w:rPr>
          <w:b/>
        </w:rPr>
        <w:t>$</w:t>
      </w:r>
      <w:r w:rsidR="002F2E83">
        <w:rPr>
          <w:b/>
        </w:rPr>
        <w:t>76</w:t>
      </w:r>
      <w:r w:rsidR="00EA2098">
        <w:rPr>
          <w:b/>
        </w:rPr>
        <w:t>5</w:t>
      </w:r>
      <w:r w:rsidR="002F2E83">
        <w:rPr>
          <w:b/>
        </w:rPr>
        <w:t>,</w:t>
      </w:r>
      <w:r w:rsidR="00EA2098">
        <w:rPr>
          <w:b/>
        </w:rPr>
        <w:t>522</w:t>
      </w:r>
      <w:r w:rsidR="00A619BC">
        <w:rPr>
          <w:b/>
        </w:rPr>
        <w:t>.</w:t>
      </w:r>
    </w:p>
    <w:p w14:paraId="2CBCDEB6"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1C4D7F2F"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14:paraId="6414E6F1" w14:textId="77777777" w:rsidR="0051298C"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Pr>
          <w:b/>
        </w:rPr>
        <w:t>State and Local Agency</w:t>
      </w:r>
      <w:r w:rsidRPr="000669B5">
        <w:rPr>
          <w:b/>
        </w:rPr>
        <w:t xml:space="preserve"> Tally</w:t>
      </w:r>
    </w:p>
    <w:p w14:paraId="10ECA696" w14:textId="77777777" w:rsidR="0051298C" w:rsidRPr="00D64D00" w:rsidRDefault="0051298C" w:rsidP="00D64D00">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14:paraId="61BF85B5" w14:textId="77777777" w:rsidR="0051298C" w:rsidRPr="00C13A3F"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C13A3F">
        <w:t xml:space="preserve">The bottom-line annual burden for all State and local agencies in performing transportation conformity determinations for transportation plans and TIPs in nonattainment and maintenance areas and isolated rural areas is </w:t>
      </w:r>
      <w:r w:rsidR="00041D2A" w:rsidRPr="00C13A3F">
        <w:rPr>
          <w:b/>
        </w:rPr>
        <w:t xml:space="preserve"> </w:t>
      </w:r>
      <w:r w:rsidR="009F1164" w:rsidRPr="00C13A3F">
        <w:rPr>
          <w:b/>
        </w:rPr>
        <w:t xml:space="preserve">43,069 </w:t>
      </w:r>
      <w:r w:rsidRPr="00C13A3F">
        <w:t>hours/year</w:t>
      </w:r>
      <w:r w:rsidRPr="00C13A3F" w:rsidDel="007A6FCF">
        <w:t xml:space="preserve"> </w:t>
      </w:r>
      <w:r w:rsidRPr="00C13A3F">
        <w:t xml:space="preserve">with a cost of </w:t>
      </w:r>
      <w:r w:rsidRPr="00C13A3F">
        <w:rPr>
          <w:b/>
        </w:rPr>
        <w:t>$</w:t>
      </w:r>
      <w:r w:rsidR="009F1164" w:rsidRPr="00C13A3F">
        <w:rPr>
          <w:b/>
        </w:rPr>
        <w:t>2,558,300</w:t>
      </w:r>
      <w:r w:rsidR="00834D2A" w:rsidRPr="00C13A3F">
        <w:rPr>
          <w:b/>
        </w:rPr>
        <w:t>/</w:t>
      </w:r>
      <w:r w:rsidRPr="00C13A3F">
        <w:t xml:space="preserve">year.  </w:t>
      </w:r>
    </w:p>
    <w:p w14:paraId="497CC061" w14:textId="77777777"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C13A3F">
        <w:lastRenderedPageBreak/>
        <w:tab/>
        <w:t>The bottom-line annual burden for all State and local agencies in performing project level conformity determinations and, where applicable, hot-spot analyses in metropolitan areas, and isolated rural areas i</w:t>
      </w:r>
      <w:r w:rsidR="00EE27EE" w:rsidRPr="00C13A3F">
        <w:t xml:space="preserve">s </w:t>
      </w:r>
      <w:r w:rsidR="00834D2A" w:rsidRPr="00C13A3F">
        <w:rPr>
          <w:b/>
        </w:rPr>
        <w:t>17,</w:t>
      </w:r>
      <w:r w:rsidR="00F6331D" w:rsidRPr="00C13A3F">
        <w:rPr>
          <w:b/>
        </w:rPr>
        <w:t>4</w:t>
      </w:r>
      <w:r w:rsidR="00CB0608" w:rsidRPr="00C13A3F">
        <w:rPr>
          <w:b/>
        </w:rPr>
        <w:t>7</w:t>
      </w:r>
      <w:r w:rsidR="00F6331D" w:rsidRPr="00C13A3F">
        <w:rPr>
          <w:b/>
        </w:rPr>
        <w:t>9</w:t>
      </w:r>
      <w:r w:rsidRPr="00C13A3F">
        <w:t xml:space="preserve"> hours/year at a cost of </w:t>
      </w:r>
      <w:r w:rsidRPr="00C13A3F">
        <w:rPr>
          <w:b/>
        </w:rPr>
        <w:t>$</w:t>
      </w:r>
      <w:r w:rsidR="00F6331D" w:rsidRPr="00C13A3F">
        <w:rPr>
          <w:b/>
        </w:rPr>
        <w:t>1,038,253</w:t>
      </w:r>
      <w:r w:rsidRPr="00C13A3F">
        <w:t>/year.</w:t>
      </w:r>
      <w:r>
        <w:t xml:space="preserve">  </w:t>
      </w:r>
    </w:p>
    <w:p w14:paraId="7929D36F" w14:textId="77777777" w:rsidR="0051298C" w:rsidRDefault="0051298C" w:rsidP="00C13A3F">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14:paraId="54A1378B" w14:textId="77777777" w:rsidR="0051298C"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Pr>
          <w:b/>
        </w:rPr>
        <w:t>Federal Agency Tally</w:t>
      </w:r>
    </w:p>
    <w:p w14:paraId="47DCB0D4" w14:textId="77777777" w:rsidR="0051298C" w:rsidRDefault="0051298C" w:rsidP="00395C6D">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14:paraId="78788CFA" w14:textId="77777777"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tab/>
        <w:t xml:space="preserve">The bottom-line annual burden for Agencies associated with transportation conformity determinations for transportation plans and TIPs in nonattainment areas and isolated rural areas is </w:t>
      </w:r>
      <w:r w:rsidR="00834D2A">
        <w:rPr>
          <w:b/>
        </w:rPr>
        <w:t>3,939</w:t>
      </w:r>
      <w:r w:rsidRPr="00785F6C">
        <w:rPr>
          <w:b/>
        </w:rPr>
        <w:t xml:space="preserve"> </w:t>
      </w:r>
      <w:r w:rsidRPr="004C4046">
        <w:t>hours</w:t>
      </w:r>
      <w:r>
        <w:rPr>
          <w:b/>
        </w:rPr>
        <w:t>/</w:t>
      </w:r>
      <w:r>
        <w:t xml:space="preserve">year at a cost of </w:t>
      </w:r>
      <w:r w:rsidRPr="00745001">
        <w:rPr>
          <w:b/>
        </w:rPr>
        <w:t>$</w:t>
      </w:r>
      <w:r w:rsidR="00834D2A">
        <w:rPr>
          <w:b/>
        </w:rPr>
        <w:t>233,977</w:t>
      </w:r>
      <w:r>
        <w:t>/year.</w:t>
      </w:r>
    </w:p>
    <w:p w14:paraId="43C55C77" w14:textId="77777777"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05790EA3" w14:textId="77777777"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tab/>
        <w:t xml:space="preserve">The bottom-line annual burden for Agencies associated with project level conformity determinations (including, where applicable, hot-spot analysis) in metropolitan areas and isolated rural areas is </w:t>
      </w:r>
      <w:r w:rsidR="00F6331D" w:rsidRPr="00F6331D">
        <w:rPr>
          <w:b/>
        </w:rPr>
        <w:t>7,520</w:t>
      </w:r>
      <w:r w:rsidR="00834D2A">
        <w:rPr>
          <w:b/>
        </w:rPr>
        <w:t xml:space="preserve"> </w:t>
      </w:r>
      <w:r>
        <w:t xml:space="preserve">hours/year at a cost of </w:t>
      </w:r>
      <w:r w:rsidRPr="004C4046">
        <w:rPr>
          <w:b/>
        </w:rPr>
        <w:t>$</w:t>
      </w:r>
      <w:r w:rsidR="00F6331D">
        <w:rPr>
          <w:b/>
        </w:rPr>
        <w:t>449,657</w:t>
      </w:r>
      <w:r>
        <w:t>/year.</w:t>
      </w:r>
    </w:p>
    <w:p w14:paraId="103328AF" w14:textId="77777777" w:rsidR="003F5E8D" w:rsidRDefault="0051298C"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p>
    <w:p w14:paraId="15AC6E29" w14:textId="77777777" w:rsidR="0051298C" w:rsidRDefault="003F5E8D"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rsidR="0051298C">
        <w:t xml:space="preserve">The bottom-line annual burden for EPA burden associated with adequacy determinations for motor vehicle emission budgets associated with SIPs is </w:t>
      </w:r>
      <w:r w:rsidR="00785F6C">
        <w:rPr>
          <w:b/>
        </w:rPr>
        <w:t>1,170</w:t>
      </w:r>
      <w:r w:rsidR="0051298C">
        <w:t xml:space="preserve"> hours/year at a cost of </w:t>
      </w:r>
      <w:r w:rsidR="0051298C" w:rsidRPr="000624C0">
        <w:rPr>
          <w:b/>
        </w:rPr>
        <w:t>$</w:t>
      </w:r>
      <w:r w:rsidR="00785F6C">
        <w:rPr>
          <w:b/>
        </w:rPr>
        <w:t>81,888</w:t>
      </w:r>
      <w:r w:rsidR="0051298C">
        <w:t>/year</w:t>
      </w:r>
      <w:r w:rsidR="00F90383">
        <w:t>.</w:t>
      </w:r>
    </w:p>
    <w:p w14:paraId="130AD14C" w14:textId="77777777" w:rsidR="0051298C" w:rsidRDefault="0051298C"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210BFF24" w14:textId="77777777" w:rsidR="0051298C" w:rsidRDefault="0051298C" w:rsidP="00A619BC">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firstLine="720"/>
      </w:pPr>
      <w:r>
        <w:t>Tables 2</w:t>
      </w:r>
      <w:r w:rsidR="00B651EF">
        <w:t>8</w:t>
      </w:r>
      <w:r>
        <w:t xml:space="preserve"> and 2</w:t>
      </w:r>
      <w:r w:rsidR="00B651EF">
        <w:t>9</w:t>
      </w:r>
      <w:r>
        <w:t xml:space="preserve"> show the total annual estimated burden hours and cost associated with transportation conformity determinations requirements incurred by state, local and federal respondents.</w:t>
      </w:r>
    </w:p>
    <w:p w14:paraId="6447DA33" w14:textId="77777777" w:rsidR="0081184B" w:rsidRDefault="0081184B"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38AB35D" w14:textId="77777777" w:rsidR="001663EC" w:rsidRDefault="0051298C" w:rsidP="001663EC">
      <w:pPr>
        <w:jc w:val="center"/>
        <w:rPr>
          <w:b/>
        </w:rPr>
      </w:pPr>
      <w:r>
        <w:rPr>
          <w:b/>
        </w:rPr>
        <w:t>Table 2</w:t>
      </w:r>
      <w:r w:rsidR="00561238">
        <w:rPr>
          <w:b/>
        </w:rPr>
        <w:t>8</w:t>
      </w:r>
      <w:r>
        <w:rPr>
          <w:b/>
        </w:rPr>
        <w:t>: Total Annual Burden Hours</w:t>
      </w:r>
    </w:p>
    <w:p w14:paraId="6B0FD2A5" w14:textId="77777777" w:rsidR="0051298C" w:rsidRDefault="0051298C" w:rsidP="00F70A7D">
      <w:pPr>
        <w:jc w:val="center"/>
      </w:pPr>
      <w:r>
        <w:rPr>
          <w:b/>
        </w:rPr>
        <w:t>Transportation Conformity Determinations</w:t>
      </w:r>
    </w:p>
    <w:p w14:paraId="5910F84E" w14:textId="77777777" w:rsidR="0051298C" w:rsidRDefault="0051298C"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37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425"/>
        <w:gridCol w:w="2240"/>
        <w:gridCol w:w="2331"/>
      </w:tblGrid>
      <w:tr w:rsidR="00F70A7D" w14:paraId="42EF056D" w14:textId="77777777" w:rsidTr="00F70A7D">
        <w:trPr>
          <w:cantSplit/>
          <w:jc w:val="center"/>
        </w:trPr>
        <w:tc>
          <w:tcPr>
            <w:tcW w:w="173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7B12A59E"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Type of Conformity Determination</w:t>
            </w:r>
          </w:p>
        </w:tc>
        <w:tc>
          <w:tcPr>
            <w:tcW w:w="160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1568A413"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14:paraId="6A6B222D"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sz w:val="20"/>
              </w:rPr>
            </w:pPr>
            <w:r>
              <w:rPr>
                <w:b/>
                <w:sz w:val="20"/>
              </w:rPr>
              <w:t>State and Local</w:t>
            </w:r>
          </w:p>
          <w:p w14:paraId="2B0AF7CF"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c>
          <w:tcPr>
            <w:tcW w:w="166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ED18369"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Pr>
                <w:b/>
                <w:sz w:val="20"/>
              </w:rPr>
              <w:t>Total Annual</w:t>
            </w:r>
          </w:p>
          <w:p w14:paraId="26AB2A5D"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Pr>
                <w:b/>
                <w:sz w:val="20"/>
              </w:rPr>
              <w:t>Federal</w:t>
            </w:r>
          </w:p>
          <w:p w14:paraId="0F84F5C0"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b/>
                <w:sz w:val="20"/>
              </w:rPr>
              <w:t>Burden Hours</w:t>
            </w:r>
          </w:p>
        </w:tc>
      </w:tr>
      <w:tr w:rsidR="00F70A7D" w14:paraId="07301B5C" w14:textId="77777777" w:rsidTr="00F70A7D">
        <w:trPr>
          <w:cantSplit/>
          <w:jc w:val="center"/>
        </w:trPr>
        <w:tc>
          <w:tcPr>
            <w:tcW w:w="1733" w:type="pct"/>
            <w:tcBorders>
              <w:top w:val="single" w:sz="8" w:space="0" w:color="000000"/>
            </w:tcBorders>
            <w:vAlign w:val="center"/>
          </w:tcPr>
          <w:p w14:paraId="66AFFA97" w14:textId="0B27835F"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Transportation Plan/ TIP Conformity Determination</w:t>
            </w:r>
          </w:p>
        </w:tc>
        <w:tc>
          <w:tcPr>
            <w:tcW w:w="1601" w:type="pct"/>
            <w:tcBorders>
              <w:top w:val="single" w:sz="8" w:space="0" w:color="000000"/>
            </w:tcBorders>
            <w:vAlign w:val="center"/>
          </w:tcPr>
          <w:p w14:paraId="082D6473"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43,069</w:t>
            </w:r>
          </w:p>
        </w:tc>
        <w:tc>
          <w:tcPr>
            <w:tcW w:w="1666" w:type="pct"/>
            <w:tcBorders>
              <w:top w:val="single" w:sz="8" w:space="0" w:color="000000"/>
            </w:tcBorders>
            <w:vAlign w:val="center"/>
          </w:tcPr>
          <w:p w14:paraId="50735157"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3,939</w:t>
            </w:r>
          </w:p>
        </w:tc>
      </w:tr>
      <w:tr w:rsidR="00F70A7D" w14:paraId="34C995A7" w14:textId="77777777" w:rsidTr="00F70A7D">
        <w:trPr>
          <w:cantSplit/>
          <w:jc w:val="center"/>
        </w:trPr>
        <w:tc>
          <w:tcPr>
            <w:tcW w:w="1733" w:type="pct"/>
            <w:vAlign w:val="center"/>
          </w:tcPr>
          <w:p w14:paraId="5B963A10"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Project Conformity Determination</w:t>
            </w:r>
          </w:p>
        </w:tc>
        <w:tc>
          <w:tcPr>
            <w:tcW w:w="1601" w:type="pct"/>
            <w:vAlign w:val="center"/>
          </w:tcPr>
          <w:p w14:paraId="2D3E6702"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17,479</w:t>
            </w:r>
          </w:p>
        </w:tc>
        <w:tc>
          <w:tcPr>
            <w:tcW w:w="1666" w:type="pct"/>
            <w:vAlign w:val="center"/>
          </w:tcPr>
          <w:p w14:paraId="4E02807B"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7,570</w:t>
            </w:r>
          </w:p>
        </w:tc>
      </w:tr>
      <w:tr w:rsidR="00F70A7D" w14:paraId="329BDAD5" w14:textId="77777777" w:rsidTr="00F70A7D">
        <w:trPr>
          <w:cantSplit/>
          <w:jc w:val="center"/>
        </w:trPr>
        <w:tc>
          <w:tcPr>
            <w:tcW w:w="1733" w:type="pct"/>
            <w:vAlign w:val="center"/>
          </w:tcPr>
          <w:p w14:paraId="347EED34"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Finding</w:t>
            </w:r>
          </w:p>
        </w:tc>
        <w:tc>
          <w:tcPr>
            <w:tcW w:w="1601" w:type="pct"/>
            <w:vAlign w:val="center"/>
          </w:tcPr>
          <w:p w14:paraId="045EACF3"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1666" w:type="pct"/>
            <w:vAlign w:val="center"/>
          </w:tcPr>
          <w:p w14:paraId="3F1D9D93"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1,170</w:t>
            </w:r>
          </w:p>
        </w:tc>
      </w:tr>
      <w:tr w:rsidR="00F70A7D" w14:paraId="676FCC50" w14:textId="77777777" w:rsidTr="00F70A7D">
        <w:trPr>
          <w:cantSplit/>
          <w:jc w:val="center"/>
        </w:trPr>
        <w:tc>
          <w:tcPr>
            <w:tcW w:w="1733" w:type="pct"/>
            <w:vAlign w:val="center"/>
          </w:tcPr>
          <w:p w14:paraId="2026FEB7"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Total</w:t>
            </w:r>
          </w:p>
        </w:tc>
        <w:tc>
          <w:tcPr>
            <w:tcW w:w="1601" w:type="pct"/>
            <w:vAlign w:val="center"/>
          </w:tcPr>
          <w:p w14:paraId="13066416"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60,548</w:t>
            </w:r>
          </w:p>
        </w:tc>
        <w:tc>
          <w:tcPr>
            <w:tcW w:w="1666" w:type="pct"/>
            <w:vAlign w:val="center"/>
          </w:tcPr>
          <w:p w14:paraId="773A5CE8" w14:textId="77777777" w:rsidR="00F70A7D" w:rsidRDefault="00F70A7D"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12,679</w:t>
            </w:r>
          </w:p>
        </w:tc>
      </w:tr>
    </w:tbl>
    <w:p w14:paraId="46FE167E" w14:textId="012FD651" w:rsidR="0051298C" w:rsidRDefault="0051298C"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p w14:paraId="1CB1BC2A" w14:textId="77777777" w:rsidR="00041D2A" w:rsidRDefault="00041D2A"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98C494F" w14:textId="77777777" w:rsidR="00DB4BA6" w:rsidRDefault="00DB4BA6"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5E5426D" w14:textId="77777777" w:rsidR="00DB4BA6" w:rsidRDefault="00DB4BA6" w:rsidP="00F70A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07322A90"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2A979D6C"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157EFA2D"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43503DD4"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7860D1AB"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35587D4A" w14:textId="77777777" w:rsidR="00DB4BA6" w:rsidRDefault="00DB4BA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14:paraId="6AB1881B"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Table 2</w:t>
      </w:r>
      <w:r w:rsidR="00B651EF">
        <w:rPr>
          <w:b/>
        </w:rPr>
        <w:t>9</w:t>
      </w:r>
      <w:r>
        <w:rPr>
          <w:b/>
        </w:rPr>
        <w:t xml:space="preserve">: Total Annual Costs </w:t>
      </w:r>
    </w:p>
    <w:p w14:paraId="37BF511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Conformity Determinations </w:t>
      </w:r>
    </w:p>
    <w:p w14:paraId="4196E50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37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2425"/>
        <w:gridCol w:w="2240"/>
        <w:gridCol w:w="2331"/>
      </w:tblGrid>
      <w:tr w:rsidR="00F70A7D" w14:paraId="5B68D87C" w14:textId="77777777" w:rsidTr="00F70A7D">
        <w:trPr>
          <w:cantSplit/>
          <w:jc w:val="center"/>
        </w:trPr>
        <w:tc>
          <w:tcPr>
            <w:tcW w:w="1733"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54DD192E" w14:textId="77777777" w:rsidR="00F70A7D" w:rsidRDefault="00F70A7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Action</w:t>
            </w:r>
          </w:p>
          <w:p w14:paraId="411BD92B" w14:textId="77777777" w:rsidR="00F70A7D" w:rsidRDefault="00F70A7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1601"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4673031" w14:textId="77777777" w:rsidR="00F70A7D" w:rsidRDefault="00F70A7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State and Local Cost</w:t>
            </w:r>
          </w:p>
        </w:tc>
        <w:tc>
          <w:tcPr>
            <w:tcW w:w="1666" w:type="pct"/>
            <w:tcBorders>
              <w:top w:val="single" w:sz="8" w:space="0" w:color="000000"/>
              <w:left w:val="single" w:sz="8" w:space="0" w:color="000000"/>
              <w:bottom w:val="single" w:sz="8" w:space="0" w:color="000000"/>
              <w:right w:val="single" w:sz="8" w:space="0" w:color="000000"/>
            </w:tcBorders>
            <w:shd w:val="clear" w:color="auto" w:fill="D9D9D9"/>
            <w:vAlign w:val="bottom"/>
          </w:tcPr>
          <w:p w14:paraId="65B0C561" w14:textId="77777777" w:rsidR="00F70A7D" w:rsidRDefault="00F70A7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Federal Cost</w:t>
            </w:r>
          </w:p>
        </w:tc>
      </w:tr>
      <w:tr w:rsidR="00F70A7D" w14:paraId="2587200D" w14:textId="77777777" w:rsidTr="00F70A7D">
        <w:trPr>
          <w:cantSplit/>
          <w:jc w:val="center"/>
        </w:trPr>
        <w:tc>
          <w:tcPr>
            <w:tcW w:w="1733" w:type="pct"/>
            <w:tcBorders>
              <w:top w:val="single" w:sz="8" w:space="0" w:color="000000"/>
            </w:tcBorders>
            <w:vAlign w:val="center"/>
          </w:tcPr>
          <w:p w14:paraId="6045F485"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Transportation Plan/ TIP  Conformity Determination</w:t>
            </w:r>
          </w:p>
        </w:tc>
        <w:tc>
          <w:tcPr>
            <w:tcW w:w="1601" w:type="pct"/>
            <w:tcBorders>
              <w:top w:val="single" w:sz="8" w:space="0" w:color="000000"/>
            </w:tcBorders>
            <w:vAlign w:val="center"/>
          </w:tcPr>
          <w:p w14:paraId="76C28C99" w14:textId="77777777" w:rsidR="00F70A7D" w:rsidRDefault="00F70A7D" w:rsidP="00DF5C7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$2,558,300</w:t>
            </w:r>
          </w:p>
        </w:tc>
        <w:tc>
          <w:tcPr>
            <w:tcW w:w="1666" w:type="pct"/>
            <w:tcBorders>
              <w:top w:val="single" w:sz="8" w:space="0" w:color="000000"/>
            </w:tcBorders>
            <w:vAlign w:val="center"/>
          </w:tcPr>
          <w:p w14:paraId="2098B435" w14:textId="77777777" w:rsidR="00F70A7D" w:rsidRDefault="00F70A7D" w:rsidP="00DF5C7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$233,977</w:t>
            </w:r>
          </w:p>
        </w:tc>
      </w:tr>
      <w:tr w:rsidR="00F70A7D" w14:paraId="4BAFF832" w14:textId="77777777" w:rsidTr="00F70A7D">
        <w:trPr>
          <w:cantSplit/>
          <w:jc w:val="center"/>
        </w:trPr>
        <w:tc>
          <w:tcPr>
            <w:tcW w:w="1733" w:type="pct"/>
            <w:vAlign w:val="center"/>
          </w:tcPr>
          <w:p w14:paraId="4BE56405"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Project Conformity Determination</w:t>
            </w:r>
          </w:p>
        </w:tc>
        <w:tc>
          <w:tcPr>
            <w:tcW w:w="1601" w:type="pct"/>
            <w:vAlign w:val="center"/>
          </w:tcPr>
          <w:p w14:paraId="3A3AF0BA" w14:textId="77777777" w:rsidR="00F70A7D" w:rsidRDefault="00F70A7D" w:rsidP="00FD04E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$1,038,253</w:t>
            </w:r>
          </w:p>
        </w:tc>
        <w:tc>
          <w:tcPr>
            <w:tcW w:w="1666" w:type="pct"/>
            <w:vAlign w:val="center"/>
          </w:tcPr>
          <w:p w14:paraId="0231F268" w14:textId="77777777" w:rsidR="00F70A7D" w:rsidRDefault="00F70A7D" w:rsidP="00FD04E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$449,657</w:t>
            </w:r>
          </w:p>
        </w:tc>
      </w:tr>
      <w:tr w:rsidR="00F70A7D" w14:paraId="070E1B7B" w14:textId="77777777" w:rsidTr="00F70A7D">
        <w:trPr>
          <w:cantSplit/>
          <w:jc w:val="center"/>
        </w:trPr>
        <w:tc>
          <w:tcPr>
            <w:tcW w:w="1733" w:type="pct"/>
            <w:vAlign w:val="center"/>
          </w:tcPr>
          <w:p w14:paraId="38D181FD"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Finding</w:t>
            </w:r>
          </w:p>
          <w:p w14:paraId="587488FF"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Determinations</w:t>
            </w:r>
          </w:p>
        </w:tc>
        <w:tc>
          <w:tcPr>
            <w:tcW w:w="1601" w:type="pct"/>
            <w:vAlign w:val="center"/>
          </w:tcPr>
          <w:p w14:paraId="09B8806C"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1666" w:type="pct"/>
            <w:vAlign w:val="center"/>
          </w:tcPr>
          <w:p w14:paraId="0623644A" w14:textId="77777777" w:rsidR="00F70A7D" w:rsidRDefault="00F70A7D" w:rsidP="00785F6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$81,888</w:t>
            </w:r>
          </w:p>
        </w:tc>
      </w:tr>
      <w:tr w:rsidR="00F70A7D" w14:paraId="6F969FB8" w14:textId="77777777" w:rsidTr="00F70A7D">
        <w:trPr>
          <w:cantSplit/>
          <w:jc w:val="center"/>
        </w:trPr>
        <w:tc>
          <w:tcPr>
            <w:tcW w:w="1733" w:type="pct"/>
            <w:vAlign w:val="center"/>
          </w:tcPr>
          <w:p w14:paraId="4340ED6A" w14:textId="77777777" w:rsidR="00F70A7D" w:rsidRDefault="00F70A7D"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Total</w:t>
            </w:r>
          </w:p>
        </w:tc>
        <w:tc>
          <w:tcPr>
            <w:tcW w:w="1601" w:type="pct"/>
            <w:vAlign w:val="center"/>
          </w:tcPr>
          <w:p w14:paraId="2CE0CA09" w14:textId="77777777" w:rsidR="00F70A7D" w:rsidRDefault="00F70A7D" w:rsidP="00DF5C7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$3,596,553</w:t>
            </w:r>
          </w:p>
        </w:tc>
        <w:tc>
          <w:tcPr>
            <w:tcW w:w="1666" w:type="pct"/>
            <w:vAlign w:val="center"/>
          </w:tcPr>
          <w:p w14:paraId="46B37C88" w14:textId="77777777" w:rsidR="00F70A7D" w:rsidRDefault="00F70A7D" w:rsidP="00DF5C7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$765,522</w:t>
            </w:r>
          </w:p>
        </w:tc>
      </w:tr>
    </w:tbl>
    <w:p w14:paraId="007A42B8" w14:textId="7D9453D1"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tab/>
      </w:r>
      <w:r>
        <w:tab/>
      </w:r>
      <w:r>
        <w:tab/>
      </w:r>
      <w:r>
        <w:tab/>
        <w:t xml:space="preserve">     </w:t>
      </w:r>
    </w:p>
    <w:p w14:paraId="6D5E3D78" w14:textId="77777777" w:rsidR="00DB4BA6" w:rsidRDefault="00DB4BA6" w:rsidP="00DB4BA6">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14:paraId="53692060" w14:textId="77777777" w:rsidR="0051298C" w:rsidRPr="00BF5A60"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sidRPr="00BF5A60">
        <w:rPr>
          <w:b/>
        </w:rPr>
        <w:t>Variations in the Annual Bottom Line</w:t>
      </w:r>
    </w:p>
    <w:p w14:paraId="030BEAF4" w14:textId="77777777" w:rsidR="0051298C" w:rsidRDefault="0051298C" w:rsidP="00395C6D">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14:paraId="7B415194" w14:textId="77777777" w:rsidR="0051298C" w:rsidRPr="00955730" w:rsidRDefault="0051298C" w:rsidP="0074498A">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b/>
        <w:t xml:space="preserve">EPA does not anticipate significant variations in the annual respondent reporting burden or cost over the course of the clearance period.  </w:t>
      </w:r>
    </w:p>
    <w:p w14:paraId="13E38ACA" w14:textId="77777777" w:rsidR="0051298C" w:rsidRDefault="0051298C" w:rsidP="001E4489">
      <w:pPr>
        <w:pStyle w:val="Heading1"/>
      </w:pPr>
      <w:bookmarkStart w:id="29" w:name="_Toc411336364"/>
      <w:r>
        <w:t>6(f)</w:t>
      </w:r>
      <w:r>
        <w:tab/>
        <w:t>Reasons for Change in Burden</w:t>
      </w:r>
      <w:bookmarkEnd w:id="29"/>
    </w:p>
    <w:p w14:paraId="1B5020B5"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14:paraId="6C037181" w14:textId="77777777" w:rsidR="0033146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r>
    </w:p>
    <w:p w14:paraId="5B265314" w14:textId="6A432C06" w:rsidR="0051298C" w:rsidRPr="007A75FA" w:rsidRDefault="0033146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r>
      <w:r w:rsidR="005D6199">
        <w:rPr>
          <w:rFonts w:ascii="Times" w:hAnsi="Times"/>
        </w:rPr>
        <w:t>There is a d</w:t>
      </w:r>
      <w:r w:rsidR="00D726CB">
        <w:rPr>
          <w:rFonts w:ascii="Times" w:hAnsi="Times"/>
        </w:rPr>
        <w:t>ecrease</w:t>
      </w:r>
      <w:r w:rsidR="005D6199">
        <w:rPr>
          <w:rFonts w:ascii="Times" w:hAnsi="Times"/>
        </w:rPr>
        <w:t xml:space="preserve"> of 27,856 hours in the total estimated respondent burden for this ICR compared to the last one with OMB. This is due to the following reasons:</w:t>
      </w:r>
    </w:p>
    <w:p w14:paraId="684E11C9"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14:paraId="160D3EF6" w14:textId="77777777" w:rsidR="00D726CB" w:rsidRDefault="000F15A6" w:rsidP="006A180E">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r>
        <w:rPr>
          <w:rFonts w:ascii="Times" w:hAnsi="Times"/>
          <w:b/>
        </w:rPr>
        <w:t>Adjustment for decreased burden associated with decreased transportation conformity analysis for PM</w:t>
      </w:r>
      <w:r w:rsidRPr="00394817">
        <w:rPr>
          <w:rFonts w:ascii="Times" w:hAnsi="Times"/>
          <w:b/>
          <w:vertAlign w:val="subscript"/>
        </w:rPr>
        <w:t>10</w:t>
      </w:r>
      <w:r>
        <w:rPr>
          <w:rFonts w:ascii="Times" w:hAnsi="Times"/>
          <w:b/>
        </w:rPr>
        <w:t>, CO</w:t>
      </w:r>
      <w:r w:rsidR="003701E8">
        <w:rPr>
          <w:rFonts w:ascii="Times" w:hAnsi="Times"/>
          <w:b/>
        </w:rPr>
        <w:t xml:space="preserve">, </w:t>
      </w:r>
      <w:r w:rsidR="00F831BC">
        <w:rPr>
          <w:rFonts w:ascii="Times" w:hAnsi="Times"/>
          <w:b/>
        </w:rPr>
        <w:t xml:space="preserve">and </w:t>
      </w:r>
      <w:r w:rsidR="003701E8">
        <w:rPr>
          <w:rFonts w:ascii="Times" w:hAnsi="Times"/>
          <w:b/>
        </w:rPr>
        <w:t>1997 Ozone</w:t>
      </w:r>
      <w:r w:rsidR="00C237F7">
        <w:rPr>
          <w:rFonts w:ascii="Times" w:hAnsi="Times"/>
          <w:b/>
        </w:rPr>
        <w:t xml:space="preserve"> NAAQS</w:t>
      </w:r>
    </w:p>
    <w:p w14:paraId="15352F46" w14:textId="77777777" w:rsidR="000F15A6" w:rsidRDefault="000F15A6" w:rsidP="003701E8">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810"/>
        <w:rPr>
          <w:rFonts w:ascii="Times" w:hAnsi="Times"/>
          <w:b/>
        </w:rPr>
      </w:pPr>
    </w:p>
    <w:p w14:paraId="346343FB" w14:textId="5951EB3D" w:rsidR="00F831BC" w:rsidRPr="00F831BC" w:rsidRDefault="003701E8" w:rsidP="00F831BC">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ascii="Times" w:hAnsi="Times"/>
        </w:rPr>
      </w:pPr>
      <w:r>
        <w:rPr>
          <w:rFonts w:ascii="Times" w:hAnsi="Times"/>
        </w:rPr>
        <w:tab/>
      </w:r>
      <w:r>
        <w:rPr>
          <w:rFonts w:ascii="Times" w:hAnsi="Times"/>
        </w:rPr>
        <w:tab/>
        <w:t xml:space="preserve">A decrease in burden was projected due to </w:t>
      </w:r>
      <w:r w:rsidR="00D07AA6">
        <w:rPr>
          <w:rFonts w:ascii="Times" w:hAnsi="Times"/>
        </w:rPr>
        <w:t xml:space="preserve">the requirement for </w:t>
      </w:r>
      <w:r>
        <w:rPr>
          <w:rFonts w:ascii="Times" w:hAnsi="Times"/>
        </w:rPr>
        <w:t xml:space="preserve">transportation conformity </w:t>
      </w:r>
      <w:r w:rsidR="00D07AA6">
        <w:rPr>
          <w:rFonts w:ascii="Times" w:hAnsi="Times"/>
        </w:rPr>
        <w:t xml:space="preserve">ending in </w:t>
      </w:r>
      <w:r>
        <w:rPr>
          <w:rFonts w:ascii="Times" w:hAnsi="Times"/>
        </w:rPr>
        <w:t>PM</w:t>
      </w:r>
      <w:r w:rsidR="00820423" w:rsidRPr="00820423">
        <w:rPr>
          <w:rFonts w:ascii="Times" w:hAnsi="Times"/>
          <w:vertAlign w:val="subscript"/>
        </w:rPr>
        <w:t>10</w:t>
      </w:r>
      <w:r>
        <w:rPr>
          <w:rFonts w:ascii="Times" w:hAnsi="Times"/>
        </w:rPr>
        <w:t xml:space="preserve"> and CO areas that have reached the end of the 20</w:t>
      </w:r>
      <w:r w:rsidR="00C237F7">
        <w:rPr>
          <w:rFonts w:ascii="Times" w:hAnsi="Times"/>
        </w:rPr>
        <w:t>-</w:t>
      </w:r>
      <w:r w:rsidR="005D6199">
        <w:rPr>
          <w:rFonts w:ascii="Times" w:hAnsi="Times"/>
        </w:rPr>
        <w:t xml:space="preserve">year maintenance period. </w:t>
      </w:r>
      <w:r>
        <w:rPr>
          <w:rFonts w:ascii="Times" w:hAnsi="Times"/>
        </w:rPr>
        <w:t xml:space="preserve">A decrease in burden was also projected due to </w:t>
      </w:r>
      <w:r w:rsidR="00D07AA6">
        <w:rPr>
          <w:rFonts w:ascii="Times" w:hAnsi="Times"/>
        </w:rPr>
        <w:t xml:space="preserve">fewer </w:t>
      </w:r>
      <w:r>
        <w:rPr>
          <w:rFonts w:ascii="Times" w:hAnsi="Times"/>
        </w:rPr>
        <w:t>transportation conformity determinations for areas previously designated nonattainment or maintenance for 1997 ozone</w:t>
      </w:r>
      <w:r w:rsidR="00C237F7">
        <w:rPr>
          <w:rFonts w:ascii="Times" w:hAnsi="Times"/>
        </w:rPr>
        <w:t>.</w:t>
      </w:r>
    </w:p>
    <w:p w14:paraId="5F33CCD2" w14:textId="77777777" w:rsidR="00F831BC" w:rsidRPr="00F831BC" w:rsidRDefault="00F831BC" w:rsidP="00F831BC">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ascii="Times" w:hAnsi="Times"/>
          <w:b/>
        </w:rPr>
      </w:pPr>
    </w:p>
    <w:p w14:paraId="61458FEB" w14:textId="77777777" w:rsidR="00F831BC" w:rsidRPr="00F831BC" w:rsidRDefault="00F831BC" w:rsidP="00F831BC">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sidRPr="00F831BC">
        <w:rPr>
          <w:rFonts w:ascii="Times" w:hAnsi="Times"/>
          <w:b/>
        </w:rPr>
        <w:t>Adjustment for decreased burden associated with the transition from MOVES2010 to MOVES2014</w:t>
      </w:r>
    </w:p>
    <w:p w14:paraId="44AF1F56" w14:textId="77777777" w:rsidR="00F831BC" w:rsidRDefault="00F831BC" w:rsidP="00F831B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14:paraId="0D51EE7A" w14:textId="279CD229" w:rsidR="00F831BC" w:rsidRPr="00D66B47" w:rsidRDefault="00F831BC" w:rsidP="00F831B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b/>
        </w:rPr>
        <w:tab/>
      </w:r>
      <w:r>
        <w:rPr>
          <w:rFonts w:ascii="Times" w:hAnsi="Times"/>
          <w:b/>
        </w:rPr>
        <w:tab/>
      </w:r>
      <w:r>
        <w:rPr>
          <w:rFonts w:ascii="Times" w:hAnsi="Times"/>
        </w:rPr>
        <w:t>A decrease in burden was projected over the previ</w:t>
      </w:r>
      <w:r w:rsidR="005D6199">
        <w:rPr>
          <w:rFonts w:ascii="Times" w:hAnsi="Times"/>
        </w:rPr>
        <w:t xml:space="preserve">ous ICR for model transitions. </w:t>
      </w:r>
      <w:r>
        <w:rPr>
          <w:rFonts w:ascii="Times" w:hAnsi="Times"/>
        </w:rPr>
        <w:t>During the period covered by the previous ICR, the transition between MOBILE6.2 to MOVES2010 occurred, which was more resource-intensive than the transitio</w:t>
      </w:r>
      <w:r w:rsidR="005D6199">
        <w:rPr>
          <w:rFonts w:ascii="Times" w:hAnsi="Times"/>
        </w:rPr>
        <w:t xml:space="preserve">n from MOVES2010 to MOVES2014. </w:t>
      </w:r>
      <w:r>
        <w:rPr>
          <w:rFonts w:ascii="Times" w:hAnsi="Times"/>
        </w:rPr>
        <w:t>The amount of training hours w</w:t>
      </w:r>
      <w:r w:rsidR="00350E45">
        <w:rPr>
          <w:rFonts w:ascii="Times" w:hAnsi="Times"/>
        </w:rPr>
        <w:t>as</w:t>
      </w:r>
      <w:r>
        <w:rPr>
          <w:rFonts w:ascii="Times" w:hAnsi="Times"/>
        </w:rPr>
        <w:t xml:space="preserve"> reduced </w:t>
      </w:r>
      <w:r w:rsidR="00DB4BA6">
        <w:rPr>
          <w:rFonts w:ascii="Times" w:hAnsi="Times"/>
        </w:rPr>
        <w:t>however;</w:t>
      </w:r>
      <w:r>
        <w:rPr>
          <w:rFonts w:ascii="Times" w:hAnsi="Times"/>
        </w:rPr>
        <w:t xml:space="preserve"> the burden hours for consultation remained the same</w:t>
      </w:r>
      <w:r w:rsidRPr="00D66B47">
        <w:rPr>
          <w:rFonts w:ascii="Times" w:hAnsi="Times"/>
          <w:b/>
        </w:rPr>
        <w:t xml:space="preserve">. </w:t>
      </w:r>
      <w:r w:rsidRPr="00D66B47">
        <w:rPr>
          <w:rFonts w:ascii="Times" w:hAnsi="Times"/>
        </w:rPr>
        <w:t>The transition from MOVES2010 to MOVES2014 occurs in the period covered by this ICR.</w:t>
      </w:r>
    </w:p>
    <w:p w14:paraId="134DEA0F" w14:textId="77777777" w:rsidR="001B26DA" w:rsidRPr="001B26DA" w:rsidRDefault="001B26DA" w:rsidP="001B26DA">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b/>
        </w:rPr>
        <w:lastRenderedPageBreak/>
        <w:t>Adjustment for decreased burden associated with project-level conformity</w:t>
      </w:r>
    </w:p>
    <w:p w14:paraId="2F19045D" w14:textId="77777777" w:rsidR="001B26DA" w:rsidRDefault="001B26DA" w:rsidP="001B26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14:paraId="6DC91F20" w14:textId="77777777" w:rsidR="00F4562D" w:rsidRDefault="001B26DA" w:rsidP="00F456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t>A decrease in burden was projected over the previous ICR for project-level conformity as fewer areas are performing PM</w:t>
      </w:r>
      <w:r>
        <w:rPr>
          <w:rFonts w:ascii="Times" w:hAnsi="Times"/>
          <w:vertAlign w:val="subscript"/>
        </w:rPr>
        <w:t>2.5</w:t>
      </w:r>
      <w:r>
        <w:rPr>
          <w:rFonts w:ascii="Times" w:hAnsi="Times"/>
        </w:rPr>
        <w:t xml:space="preserve"> and PM</w:t>
      </w:r>
      <w:r>
        <w:rPr>
          <w:rFonts w:ascii="Times" w:hAnsi="Times"/>
          <w:vertAlign w:val="subscript"/>
        </w:rPr>
        <w:t xml:space="preserve">10 </w:t>
      </w:r>
      <w:r>
        <w:rPr>
          <w:rFonts w:ascii="Times" w:hAnsi="Times"/>
        </w:rPr>
        <w:t>quantitative project-level hot-spot analysis.</w:t>
      </w:r>
    </w:p>
    <w:p w14:paraId="57BC096E" w14:textId="77777777" w:rsidR="00F4562D" w:rsidRDefault="00F4562D" w:rsidP="00F456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14:paraId="63C2B612" w14:textId="77777777" w:rsidR="00DF5C79" w:rsidRPr="00F4562D" w:rsidRDefault="00F4562D" w:rsidP="00F4562D">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sidRPr="00F4562D">
        <w:rPr>
          <w:rFonts w:ascii="Times" w:hAnsi="Times"/>
          <w:b/>
        </w:rPr>
        <w:t>A</w:t>
      </w:r>
      <w:r w:rsidR="00DF5C79" w:rsidRPr="00F4562D">
        <w:rPr>
          <w:rFonts w:ascii="Times" w:hAnsi="Times"/>
          <w:b/>
        </w:rPr>
        <w:t>djustment for increased burden associated with increased number of conformity determinations for MPOs with populations greater than 200,000</w:t>
      </w:r>
      <w:r w:rsidR="0052786C" w:rsidRPr="00F4562D">
        <w:rPr>
          <w:rFonts w:ascii="Times" w:hAnsi="Times"/>
          <w:b/>
        </w:rPr>
        <w:t xml:space="preserve"> </w:t>
      </w:r>
      <w:r w:rsidR="00E125FF" w:rsidRPr="00F4562D">
        <w:rPr>
          <w:rFonts w:ascii="Times" w:hAnsi="Times"/>
          <w:b/>
        </w:rPr>
        <w:t>and covered by 3 or more NAAQS</w:t>
      </w:r>
    </w:p>
    <w:p w14:paraId="3FCFCD12" w14:textId="77777777" w:rsidR="00DF5C79" w:rsidRDefault="00DF5C79" w:rsidP="00DF5C79">
      <w:pPr>
        <w:pStyle w:val="ListParagraph"/>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rFonts w:ascii="Times" w:hAnsi="Times"/>
          <w:b/>
        </w:rPr>
      </w:pPr>
    </w:p>
    <w:p w14:paraId="21FB0109" w14:textId="77777777" w:rsidR="00DF5C79" w:rsidRPr="00DF5C79" w:rsidRDefault="00D5053B" w:rsidP="00D5053B">
      <w:pPr>
        <w:pStyle w:val="ListParagraph"/>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rPr>
      </w:pPr>
      <w:r>
        <w:rPr>
          <w:rFonts w:ascii="Times" w:hAnsi="Times"/>
        </w:rPr>
        <w:tab/>
      </w:r>
      <w:r w:rsidR="00DF5C79">
        <w:rPr>
          <w:rFonts w:ascii="Times" w:hAnsi="Times"/>
        </w:rPr>
        <w:t xml:space="preserve">An increase in burden was projected over the previous ICR for </w:t>
      </w:r>
      <w:r w:rsidR="00F4562D">
        <w:rPr>
          <w:rFonts w:ascii="Times" w:hAnsi="Times"/>
        </w:rPr>
        <w:t>MPOs</w:t>
      </w:r>
      <w:r w:rsidR="00DF5C79">
        <w:rPr>
          <w:rFonts w:ascii="Times" w:hAnsi="Times"/>
        </w:rPr>
        <w:t xml:space="preserve"> determining conformity for areas with populations greater than 200,000</w:t>
      </w:r>
      <w:r w:rsidR="00E125FF">
        <w:rPr>
          <w:rFonts w:ascii="Times" w:hAnsi="Times"/>
        </w:rPr>
        <w:t xml:space="preserve"> and covered by 3 or more NAAQS</w:t>
      </w:r>
      <w:r>
        <w:rPr>
          <w:rFonts w:ascii="Times" w:hAnsi="Times"/>
        </w:rPr>
        <w:t>, as identified by commenters who argued that MPOs determine conformity more often than the minimum CAA requirements.</w:t>
      </w:r>
    </w:p>
    <w:p w14:paraId="35637369" w14:textId="77777777" w:rsidR="00DF5C79" w:rsidRPr="00DF5C79" w:rsidRDefault="00DF5C79" w:rsidP="00DF5C79">
      <w:pPr>
        <w:pStyle w:val="ListParagraph"/>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810"/>
        <w:rPr>
          <w:rFonts w:ascii="Times" w:hAnsi="Times"/>
        </w:rPr>
      </w:pPr>
    </w:p>
    <w:p w14:paraId="434F6560" w14:textId="77777777" w:rsidR="0051298C" w:rsidRPr="006524AD" w:rsidRDefault="0051298C" w:rsidP="006524AD">
      <w:pPr>
        <w:pStyle w:val="Heading1"/>
        <w:rPr>
          <w:rFonts w:ascii="Times" w:hAnsi="Times"/>
        </w:rPr>
      </w:pPr>
      <w:bookmarkStart w:id="30" w:name="_Toc411336365"/>
      <w:r w:rsidRPr="006524AD">
        <w:rPr>
          <w:rFonts w:ascii="Times" w:hAnsi="Times"/>
        </w:rPr>
        <w:t>6(g)</w:t>
      </w:r>
      <w:r w:rsidRPr="006524AD">
        <w:rPr>
          <w:rFonts w:ascii="Times" w:hAnsi="Times"/>
        </w:rPr>
        <w:tab/>
        <w:t>Burden Statement</w:t>
      </w:r>
      <w:bookmarkEnd w:id="30"/>
    </w:p>
    <w:p w14:paraId="57F0F2BC" w14:textId="77777777" w:rsidR="0051298C" w:rsidRPr="006A180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rPr>
      </w:pPr>
    </w:p>
    <w:p w14:paraId="519CEE7D" w14:textId="34C80ADE"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6A180E">
        <w:rPr>
          <w:rFonts w:ascii="Times" w:hAnsi="Times"/>
        </w:rPr>
        <w:tab/>
      </w:r>
      <w:r w:rsidR="00DF5C79">
        <w:rPr>
          <w:rFonts w:ascii="Times" w:hAnsi="Times"/>
        </w:rPr>
        <w:t xml:space="preserve">The annual public reporting and recordkeeping burden for this collection of information is estimated to average </w:t>
      </w:r>
      <w:r w:rsidR="003106A5" w:rsidRPr="00FF0194">
        <w:rPr>
          <w:rFonts w:ascii="Times" w:hAnsi="Times"/>
        </w:rPr>
        <w:t>9</w:t>
      </w:r>
      <w:r w:rsidR="00DF5C79">
        <w:rPr>
          <w:rFonts w:ascii="Times" w:hAnsi="Times"/>
        </w:rPr>
        <w:t xml:space="preserve"> hours per response.  </w:t>
      </w:r>
      <w: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tab/>
      </w:r>
    </w:p>
    <w:p w14:paraId="0C76033C" w14:textId="77777777" w:rsidR="0051298C" w:rsidRPr="00D40315" w:rsidRDefault="0051298C" w:rsidP="00D40315">
      <w:pPr>
        <w:pStyle w:val="Heading1"/>
      </w:pPr>
      <w:r>
        <w:br w:type="page"/>
      </w:r>
      <w:bookmarkStart w:id="31" w:name="_Toc411336366"/>
      <w:r w:rsidRPr="00D40315">
        <w:lastRenderedPageBreak/>
        <w:t>Appendix A: Conformity-Related Research Considered for This ICR</w:t>
      </w:r>
      <w:bookmarkEnd w:id="31"/>
    </w:p>
    <w:p w14:paraId="2666D5C3"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52235FD2"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21FEE2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 xml:space="preserve">The following is the conformity research studies that were considered for this ICR.  EPA has cited in the ICR when these studies were utilized as appropriate. </w:t>
      </w:r>
    </w:p>
    <w:p w14:paraId="0E003978"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9A96844"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311D0F8" w14:textId="77777777" w:rsidR="009F6505" w:rsidRDefault="0051298C">
      <w:pPr>
        <w:pStyle w:val="Level1"/>
        <w:numPr>
          <w:ilvl w:val="0"/>
          <w:numId w:val="4"/>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April 2003, “Transportation/Air Quality Issues in Rural Areas,” FHWA and Dye Management Group.</w:t>
      </w:r>
    </w:p>
    <w:p w14:paraId="4D8A92E2" w14:textId="77777777" w:rsidR="0051298C" w:rsidRDefault="0051298C" w:rsidP="00325B73">
      <w:pPr>
        <w:pStyle w:val="Level1"/>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360"/>
      </w:pPr>
    </w:p>
    <w:p w14:paraId="5831CB4E" w14:textId="77777777" w:rsidR="009F6505" w:rsidRDefault="0051298C">
      <w:pPr>
        <w:pStyle w:val="Level1"/>
        <w:numPr>
          <w:ilvl w:val="0"/>
          <w:numId w:val="4"/>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October 2003, “Rural Conformity: A Survey of Practice,” NCHRP and ICF Consulting.</w:t>
      </w:r>
    </w:p>
    <w:p w14:paraId="09515C10"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1145746F"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14:paraId="309076A7" w14:textId="77777777"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14:paraId="3124C494" w14:textId="77777777" w:rsidR="0051298C" w:rsidRDefault="0051298C" w:rsidP="00E40C1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sectPr w:rsidR="0051298C" w:rsidSect="00011FAF">
      <w:headerReference w:type="even" r:id="rId10"/>
      <w:footerReference w:type="even" r:id="rId11"/>
      <w:footerReference w:type="default" r:id="rId12"/>
      <w:type w:val="continuous"/>
      <w:pgSz w:w="12240" w:h="15840" w:code="1"/>
      <w:pgMar w:top="1685" w:right="1440" w:bottom="1440" w:left="144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5F989" w14:textId="77777777" w:rsidR="005B34B6" w:rsidRDefault="005B34B6">
      <w:r>
        <w:separator/>
      </w:r>
    </w:p>
  </w:endnote>
  <w:endnote w:type="continuationSeparator" w:id="0">
    <w:p w14:paraId="313F16CC" w14:textId="77777777" w:rsidR="005B34B6" w:rsidRDefault="005B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D026" w14:textId="77777777" w:rsidR="00DB6E11" w:rsidRDefault="00DB6E11">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pgNum/>
    </w:r>
  </w:p>
  <w:p w14:paraId="2917234A" w14:textId="77777777" w:rsidR="00DB6E11" w:rsidRDefault="00DB6E1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4345" w14:textId="77777777" w:rsidR="00DB6E11" w:rsidRDefault="00DB6E11">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pgNum/>
    </w:r>
  </w:p>
  <w:p w14:paraId="06A0A295" w14:textId="77777777" w:rsidR="00DB6E11" w:rsidRDefault="00DB6E1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C9BFE" w14:textId="77777777" w:rsidR="005B34B6" w:rsidRDefault="005B34B6">
      <w:r>
        <w:separator/>
      </w:r>
    </w:p>
  </w:footnote>
  <w:footnote w:type="continuationSeparator" w:id="0">
    <w:p w14:paraId="2315B4FF" w14:textId="77777777" w:rsidR="005B34B6" w:rsidRDefault="005B34B6">
      <w:r>
        <w:continuationSeparator/>
      </w:r>
    </w:p>
  </w:footnote>
  <w:footnote w:id="1">
    <w:p w14:paraId="4A1B1535" w14:textId="77777777" w:rsidR="00DB6E11" w:rsidRPr="002F6AA1" w:rsidRDefault="00DB6E11" w:rsidP="000B31C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tab/>
      </w:r>
      <w:r w:rsidRPr="002F6AA1">
        <w:rPr>
          <w:sz w:val="20"/>
          <w:vertAlign w:val="superscript"/>
        </w:rPr>
        <w:footnoteRef/>
      </w:r>
      <w:r w:rsidRPr="002F6AA1">
        <w:rPr>
          <w:sz w:val="20"/>
        </w:rPr>
        <w:t xml:space="preserve">Projects that are exempt from all or certain conformity requirements include projects listed in 40 CFR 93.126 (e.g., safety projects, maintenance of current roads), projects that do not impact regional emissions in 40 CFR 93.127, and traffic signal synchronization projects listed in 40 CFR 93.128. </w:t>
      </w:r>
    </w:p>
  </w:footnote>
  <w:footnote w:id="2">
    <w:p w14:paraId="0C096AAC" w14:textId="77777777" w:rsidR="00DB6E11" w:rsidRPr="002F6AA1" w:rsidRDefault="00DB6E11" w:rsidP="00635B82">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Per the transportation conformity rule, submitted SIP budgets are appropriate to use prior to EPA’s approval of the SIP when EPA declares them adequate for transportation conformity purposes (40 CFR 93.118(e) and (f)).</w:t>
      </w:r>
    </w:p>
  </w:footnote>
  <w:footnote w:id="3">
    <w:p w14:paraId="604E08D9" w14:textId="77777777" w:rsidR="00DB6E11" w:rsidRPr="002F6AA1" w:rsidRDefault="00DB6E11" w:rsidP="002700EF">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In this document, “MOVES2010” refers to all of the MOVES2010 models:  MOVES2010, MOVES2010a, and MOVES2010b. </w:t>
      </w:r>
      <w:r>
        <w:rPr>
          <w:rFonts w:ascii="Times New Roman" w:hAnsi="Times New Roman"/>
        </w:rPr>
        <w:t>“MOVES2014” refers to this model and any minor updates to MOVES2014.</w:t>
      </w:r>
    </w:p>
  </w:footnote>
  <w:footnote w:id="4">
    <w:p w14:paraId="2CB647CC" w14:textId="77777777" w:rsidR="00DB6E11" w:rsidRPr="002F6AA1" w:rsidRDefault="00DB6E11" w:rsidP="005A23FC">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See</w:t>
      </w:r>
      <w:r>
        <w:t xml:space="preserve"> </w:t>
      </w:r>
      <w:hyperlink r:id="rId1" w:anchor="page=2" w:history="1">
        <w:r w:rsidRPr="00547497">
          <w:rPr>
            <w:rStyle w:val="Hyperlink"/>
            <w:rFonts w:ascii="Times New Roman" w:hAnsi="Times New Roman"/>
          </w:rPr>
          <w:t>80 FR 12264</w:t>
        </w:r>
      </w:hyperlink>
      <w:r>
        <w:rPr>
          <w:rFonts w:ascii="Times New Roman" w:hAnsi="Times New Roman"/>
        </w:rPr>
        <w:t xml:space="preserve"> (March 6, 2015).</w:t>
      </w:r>
    </w:p>
  </w:footnote>
  <w:footnote w:id="5">
    <w:p w14:paraId="67ED2437" w14:textId="77777777" w:rsidR="00DB6E11" w:rsidRPr="002F6AA1" w:rsidRDefault="00DB6E11" w:rsidP="003F4CF4">
      <w:pPr>
        <w:pStyle w:val="FootnoteText"/>
        <w:ind w:firstLine="720"/>
        <w:rPr>
          <w:rFonts w:ascii="Times" w:hAnsi="Times"/>
        </w:rPr>
      </w:pPr>
      <w:r w:rsidRPr="002F6AA1">
        <w:rPr>
          <w:rStyle w:val="FootnoteReference"/>
          <w:rFonts w:ascii="Times" w:hAnsi="Times"/>
        </w:rPr>
        <w:footnoteRef/>
      </w:r>
      <w:r w:rsidRPr="002F6AA1">
        <w:rPr>
          <w:rFonts w:ascii="Times" w:hAnsi="Times"/>
        </w:rPr>
        <w:t xml:space="preserve"> MPO means the policy board of an organization created and designated to carry out the metropolitan transportation planning process</w:t>
      </w:r>
      <w:r>
        <w:rPr>
          <w:rFonts w:ascii="Times" w:hAnsi="Times"/>
        </w:rPr>
        <w:t xml:space="preserve"> (40 CFR 93.101)</w:t>
      </w:r>
      <w:r w:rsidRPr="002F6AA1">
        <w:rPr>
          <w:rFonts w:ascii="Times" w:hAnsi="Times"/>
        </w:rPr>
        <w:t>.</w:t>
      </w:r>
    </w:p>
    <w:p w14:paraId="0F933A49" w14:textId="77777777" w:rsidR="00DB6E11" w:rsidRDefault="00DB6E11" w:rsidP="003F4CF4">
      <w:pPr>
        <w:pStyle w:val="FootnoteText"/>
        <w:ind w:firstLine="720"/>
      </w:pPr>
    </w:p>
  </w:footnote>
  <w:footnote w:id="6">
    <w:p w14:paraId="1E2FB001" w14:textId="77777777" w:rsidR="00DB6E11" w:rsidRPr="002F6AA1" w:rsidRDefault="00DB6E11" w:rsidP="00980D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tab/>
      </w:r>
      <w:r w:rsidRPr="002F6AA1">
        <w:rPr>
          <w:rStyle w:val="FootnoteReference"/>
          <w:sz w:val="20"/>
        </w:rPr>
        <w:footnoteRef/>
      </w:r>
      <w:r w:rsidRPr="002F6AA1">
        <w:rPr>
          <w:sz w:val="20"/>
        </w:rPr>
        <w:t>To maintain the integrity of the ICR docket and all the associated ICR renewal records, the original docket number and date from the previous ICR continue to be used.  For this renewal, a new Phase of the original docket number has been opened.</w:t>
      </w:r>
    </w:p>
  </w:footnote>
  <w:footnote w:id="7">
    <w:p w14:paraId="267FD3A8" w14:textId="77777777" w:rsidR="00DB6E11" w:rsidRPr="002F6AA1" w:rsidRDefault="00DB6E11">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Isolated rural nonattainment and maintenance areas are areas that do not contain nor are part of any metropolitan planning areas as designated under the transportation planning regulations.  Isolated rural areas do not have federally required metropolitan transportation plans or TIPs and do not have projects that are part of the emissions analysis of any MPO’s metropolitan transportation plan or TIP.  Projects in such areas are instead included in statewide transportation improvement programs.  These areas are distinct from donut areas (40 CFR 93.101).</w:t>
      </w:r>
    </w:p>
  </w:footnote>
  <w:footnote w:id="8">
    <w:p w14:paraId="10E79DD7" w14:textId="77777777" w:rsidR="00DB6E11" w:rsidRPr="002F6AA1" w:rsidRDefault="00DB6E11" w:rsidP="000A390F">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Additional plan/TIP amendments are completed on a voluntary basis beyond the required plan/TIP update cycles.  These are not addressed in this ICR.</w:t>
      </w:r>
    </w:p>
  </w:footnote>
  <w:footnote w:id="9">
    <w:p w14:paraId="209EF15D" w14:textId="77777777" w:rsidR="00DB6E11" w:rsidRPr="002F6AA1" w:rsidRDefault="00DB6E11" w:rsidP="000A390F">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EPA assumed that conformity determinations occur infrequently for this scenario and therefore no burden was included in this ICR.</w:t>
      </w:r>
    </w:p>
  </w:footnote>
  <w:footnote w:id="10">
    <w:p w14:paraId="0C9E2F5D" w14:textId="77777777" w:rsidR="00DB6E11" w:rsidRPr="00600AF1" w:rsidRDefault="00DB6E11" w:rsidP="00600AF1">
      <w:pPr>
        <w:pStyle w:val="FootnoteText"/>
        <w:ind w:firstLine="720"/>
        <w:rPr>
          <w:rFonts w:ascii="Times New Roman" w:hAnsi="Times New Roman"/>
        </w:rPr>
      </w:pPr>
      <w:r w:rsidRPr="00600AF1">
        <w:rPr>
          <w:rStyle w:val="FootnoteReference"/>
          <w:rFonts w:ascii="Times New Roman" w:hAnsi="Times New Roman"/>
        </w:rPr>
        <w:footnoteRef/>
      </w:r>
      <w:r w:rsidRPr="00600AF1">
        <w:rPr>
          <w:rFonts w:ascii="Times New Roman" w:hAnsi="Times New Roman"/>
        </w:rPr>
        <w:t xml:space="preserve">  40 CFR 93.102(b</w:t>
      </w:r>
      <w:proofErr w:type="gramStart"/>
      <w:r w:rsidRPr="00600AF1">
        <w:rPr>
          <w:rFonts w:ascii="Times New Roman" w:hAnsi="Times New Roman"/>
        </w:rPr>
        <w:t>)(</w:t>
      </w:r>
      <w:proofErr w:type="gramEnd"/>
      <w:r w:rsidRPr="00600AF1">
        <w:rPr>
          <w:rFonts w:ascii="Times New Roman" w:hAnsi="Times New Roman"/>
        </w:rPr>
        <w:t>4) and Transportation Conformity Guidance for Areas Reaching the End of the Maintenance Period</w:t>
      </w:r>
      <w:r>
        <w:rPr>
          <w:rFonts w:ascii="Times New Roman" w:hAnsi="Times New Roman"/>
        </w:rPr>
        <w:t xml:space="preserve"> (EPA-420-B-14-093, October 2014).</w:t>
      </w:r>
    </w:p>
  </w:footnote>
  <w:footnote w:id="11">
    <w:p w14:paraId="2B8BCD91" w14:textId="77777777" w:rsidR="00DB6E11" w:rsidRPr="003973B1" w:rsidRDefault="00DB6E11" w:rsidP="00AE6035">
      <w:pPr>
        <w:pStyle w:val="FootnoteText"/>
        <w:ind w:firstLine="720"/>
        <w:rPr>
          <w:rFonts w:ascii="Times New Roman" w:hAnsi="Times New Roman"/>
        </w:rPr>
      </w:pPr>
      <w:r w:rsidRPr="003973B1">
        <w:rPr>
          <w:rStyle w:val="FootnoteReference"/>
          <w:rFonts w:ascii="Times New Roman" w:hAnsi="Times New Roman"/>
        </w:rPr>
        <w:footnoteRef/>
      </w:r>
      <w:r w:rsidRPr="003973B1">
        <w:rPr>
          <w:rFonts w:ascii="Times New Roman" w:hAnsi="Times New Roman"/>
        </w:rPr>
        <w:t xml:space="preserve"> </w:t>
      </w:r>
      <w:r>
        <w:rPr>
          <w:rFonts w:ascii="Times New Roman" w:hAnsi="Times New Roman"/>
        </w:rPr>
        <w:t>The proposed rule can be found at 80 FR 12264 (March 6, 2015),</w:t>
      </w:r>
    </w:p>
  </w:footnote>
  <w:footnote w:id="12">
    <w:p w14:paraId="2D59F1CB" w14:textId="77777777" w:rsidR="00DB6E11" w:rsidRPr="002F6AA1" w:rsidRDefault="00DB6E11" w:rsidP="00D95944">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Donut areas are geographic areas outside a metropolitan planning area boundary, but inside the boundary of a nonattainment or maintenance area that contains any part of a metropolitan area(s).  These areas are not isolated rural nonattainment and maintenance areas (40 CFR 93.101).</w:t>
      </w:r>
    </w:p>
  </w:footnote>
  <w:footnote w:id="13">
    <w:p w14:paraId="6E9DC279" w14:textId="77777777" w:rsidR="00DB6E11" w:rsidRPr="002F6AA1" w:rsidRDefault="00DB6E11" w:rsidP="00236032">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These are minimum requirements are reflected in the ICR, additional plan/TIP amendments that are done on a voluntary basis beyond the required plan/TIP update cycles are not addressed in this ICR.</w:t>
      </w:r>
    </w:p>
  </w:footnote>
  <w:footnote w:id="14">
    <w:p w14:paraId="353A91F8" w14:textId="77777777" w:rsidR="00DB6E11" w:rsidRPr="00D07AA6" w:rsidRDefault="00DB6E11" w:rsidP="00517927">
      <w:pPr>
        <w:pStyle w:val="FootnoteText"/>
        <w:ind w:firstLine="720"/>
        <w:rPr>
          <w:rFonts w:ascii="Times New Roman" w:hAnsi="Times New Roman"/>
        </w:rPr>
      </w:pPr>
      <w:r w:rsidRPr="00FE5736">
        <w:rPr>
          <w:rStyle w:val="FootnoteReference"/>
          <w:rFonts w:ascii="Times New Roman" w:hAnsi="Times New Roman"/>
        </w:rPr>
        <w:footnoteRef/>
      </w:r>
      <w:r w:rsidRPr="00FE5736">
        <w:rPr>
          <w:rFonts w:ascii="Times New Roman" w:hAnsi="Times New Roman"/>
        </w:rPr>
        <w:t xml:space="preserve"> </w:t>
      </w:r>
      <w:r w:rsidRPr="00820423">
        <w:rPr>
          <w:rFonts w:ascii="Times New Roman" w:hAnsi="Times New Roman"/>
        </w:rPr>
        <w:t>http://www.epa.gov/air/oaqps/greenbk/index.html</w:t>
      </w:r>
    </w:p>
  </w:footnote>
  <w:footnote w:id="15">
    <w:p w14:paraId="22FEB43B" w14:textId="77777777" w:rsidR="00DB6E11" w:rsidRPr="003973B1" w:rsidRDefault="00DB6E11" w:rsidP="003973B1">
      <w:pPr>
        <w:pStyle w:val="FootnoteText"/>
        <w:ind w:firstLine="720"/>
        <w:rPr>
          <w:rFonts w:ascii="Times New Roman" w:hAnsi="Times New Roman"/>
        </w:rPr>
      </w:pPr>
      <w:r w:rsidRPr="003973B1">
        <w:rPr>
          <w:rStyle w:val="FootnoteReference"/>
          <w:rFonts w:ascii="Times New Roman" w:hAnsi="Times New Roman"/>
        </w:rPr>
        <w:footnoteRef/>
      </w:r>
      <w:r w:rsidRPr="003973B1">
        <w:rPr>
          <w:rFonts w:ascii="Times New Roman" w:hAnsi="Times New Roman"/>
        </w:rPr>
        <w:t xml:space="preserve"> </w:t>
      </w:r>
      <w:r>
        <w:rPr>
          <w:rFonts w:ascii="Times New Roman" w:hAnsi="Times New Roman"/>
        </w:rPr>
        <w:t xml:space="preserve">  The PM</w:t>
      </w:r>
      <w:r>
        <w:rPr>
          <w:rFonts w:ascii="Times New Roman" w:hAnsi="Times New Roman"/>
          <w:vertAlign w:val="subscript"/>
        </w:rPr>
        <w:t xml:space="preserve">2.5 </w:t>
      </w:r>
      <w:r w:rsidRPr="008E5193">
        <w:rPr>
          <w:rFonts w:ascii="Times New Roman" w:hAnsi="Times New Roman"/>
        </w:rPr>
        <w:t>areas referred</w:t>
      </w:r>
      <w:r>
        <w:rPr>
          <w:rFonts w:ascii="Times New Roman" w:hAnsi="Times New Roman"/>
          <w:vertAlign w:val="subscript"/>
        </w:rPr>
        <w:t xml:space="preserve"> </w:t>
      </w:r>
      <w:r>
        <w:rPr>
          <w:rFonts w:ascii="Times New Roman" w:hAnsi="Times New Roman"/>
        </w:rPr>
        <w:t>to in this row were designated nonattainment for 2012 PM</w:t>
      </w:r>
      <w:r w:rsidRPr="00267E6F">
        <w:rPr>
          <w:rFonts w:ascii="Times New Roman" w:hAnsi="Times New Roman"/>
          <w:vertAlign w:val="subscript"/>
        </w:rPr>
        <w:t xml:space="preserve">2.5 </w:t>
      </w:r>
      <w:r>
        <w:rPr>
          <w:rFonts w:ascii="Times New Roman" w:hAnsi="Times New Roman"/>
        </w:rPr>
        <w:t>NAAQS on January 15, 2015 (80 FR 2206).  Transportation conformity starts applying April 15, 2016.</w:t>
      </w:r>
    </w:p>
  </w:footnote>
  <w:footnote w:id="16">
    <w:p w14:paraId="20550CCF" w14:textId="77777777" w:rsidR="00DB6E11" w:rsidRPr="002F6AA1" w:rsidRDefault="00DB6E11" w:rsidP="006923DD">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ozone areas referred to in this row were designated nonattainment for the 2008 ozone NAAQS on May 21, 2012 (77 FR 30088) and June 11, 2012 (77 FR 34221).</w:t>
      </w:r>
    </w:p>
  </w:footnote>
  <w:footnote w:id="17">
    <w:p w14:paraId="79D91EB6" w14:textId="77777777" w:rsidR="00DB6E11" w:rsidRPr="002F6AA1" w:rsidRDefault="00DB6E11" w:rsidP="00F268AE">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PM</w:t>
      </w:r>
      <w:r w:rsidRPr="002F6AA1">
        <w:rPr>
          <w:rFonts w:ascii="Times New Roman" w:hAnsi="Times New Roman"/>
          <w:vertAlign w:val="subscript"/>
        </w:rPr>
        <w:t>2.5</w:t>
      </w:r>
      <w:r w:rsidRPr="002F6AA1">
        <w:rPr>
          <w:rFonts w:ascii="Times New Roman" w:hAnsi="Times New Roman"/>
        </w:rPr>
        <w:t xml:space="preserve"> areas referred to in this row were designated nonattainment for the 1997 PM</w:t>
      </w:r>
      <w:r w:rsidRPr="002F6AA1">
        <w:rPr>
          <w:rFonts w:ascii="Times New Roman" w:hAnsi="Times New Roman"/>
          <w:vertAlign w:val="subscript"/>
        </w:rPr>
        <w:t>2.5</w:t>
      </w:r>
      <w:r w:rsidRPr="002F6AA1">
        <w:rPr>
          <w:rFonts w:ascii="Times New Roman" w:hAnsi="Times New Roman"/>
        </w:rPr>
        <w:t xml:space="preserve"> NAAQS on January 5, 2005 (70 FR 944).  </w:t>
      </w:r>
    </w:p>
  </w:footnote>
  <w:footnote w:id="18">
    <w:p w14:paraId="197C3131" w14:textId="77777777" w:rsidR="00DB6E11" w:rsidRPr="002F6AA1" w:rsidRDefault="00DB6E11" w:rsidP="006D4268">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PM</w:t>
      </w:r>
      <w:r w:rsidRPr="002F6AA1">
        <w:rPr>
          <w:rFonts w:ascii="Times New Roman" w:hAnsi="Times New Roman"/>
          <w:vertAlign w:val="subscript"/>
        </w:rPr>
        <w:t>2.5</w:t>
      </w:r>
      <w:r w:rsidRPr="002F6AA1">
        <w:rPr>
          <w:rFonts w:ascii="Times New Roman" w:hAnsi="Times New Roman"/>
        </w:rPr>
        <w:t xml:space="preserve"> areas referred to in this row were designated nonattainment for the 2006 PM</w:t>
      </w:r>
      <w:r w:rsidRPr="002F6AA1">
        <w:rPr>
          <w:rFonts w:ascii="Times New Roman" w:hAnsi="Times New Roman"/>
          <w:vertAlign w:val="subscript"/>
        </w:rPr>
        <w:t>2.5</w:t>
      </w:r>
      <w:r w:rsidRPr="002F6AA1">
        <w:rPr>
          <w:rFonts w:ascii="Times New Roman" w:hAnsi="Times New Roman"/>
        </w:rPr>
        <w:t xml:space="preserve"> NAAQS on November 13, 2009 (74 FR 58688).  </w:t>
      </w:r>
    </w:p>
  </w:footnote>
  <w:footnote w:id="19">
    <w:p w14:paraId="4C77EF0E" w14:textId="77777777" w:rsidR="00DB6E11" w:rsidRPr="002F6AA1" w:rsidRDefault="00DB6E11" w:rsidP="006D4268">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This entry is for the 1971 annual NO</w:t>
      </w:r>
      <w:r w:rsidRPr="002F6AA1">
        <w:rPr>
          <w:rFonts w:ascii="Times New Roman" w:hAnsi="Times New Roman"/>
          <w:vertAlign w:val="subscript"/>
        </w:rPr>
        <w:t>2</w:t>
      </w:r>
      <w:r w:rsidRPr="002F6AA1">
        <w:rPr>
          <w:rFonts w:ascii="Times New Roman" w:hAnsi="Times New Roman"/>
        </w:rPr>
        <w:t xml:space="preserve"> NAAQS.  </w:t>
      </w:r>
    </w:p>
  </w:footnote>
  <w:footnote w:id="20">
    <w:p w14:paraId="301AC627" w14:textId="77777777" w:rsidR="00DB6E11" w:rsidRPr="002F6AA1" w:rsidRDefault="00DB6E11" w:rsidP="00174B6B">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NO</w:t>
      </w:r>
      <w:r w:rsidRPr="002F6AA1">
        <w:rPr>
          <w:rFonts w:ascii="Times New Roman" w:hAnsi="Times New Roman"/>
          <w:vertAlign w:val="subscript"/>
        </w:rPr>
        <w:t>2</w:t>
      </w:r>
      <w:r w:rsidRPr="002F6AA1">
        <w:rPr>
          <w:rFonts w:ascii="Times New Roman" w:hAnsi="Times New Roman"/>
        </w:rPr>
        <w:t xml:space="preserve"> areas referred to in this row were designated attainment/unclassifiable for the 2010 NO</w:t>
      </w:r>
      <w:r w:rsidRPr="002F6AA1">
        <w:rPr>
          <w:rFonts w:ascii="Times New Roman" w:hAnsi="Times New Roman"/>
          <w:vertAlign w:val="subscript"/>
        </w:rPr>
        <w:t>2</w:t>
      </w:r>
      <w:r w:rsidRPr="002F6AA1">
        <w:rPr>
          <w:rFonts w:ascii="Times New Roman" w:hAnsi="Times New Roman"/>
        </w:rPr>
        <w:t xml:space="preserve"> NAAQS on February 17, 2012 (77 FR 9532).  No nonattainment areas for this NAAQS were designated at that time.  </w:t>
      </w:r>
    </w:p>
  </w:footnote>
  <w:footnote w:id="21">
    <w:p w14:paraId="0E308663" w14:textId="77777777" w:rsidR="00DB6E11" w:rsidRPr="002F6AA1" w:rsidRDefault="00DB6E11" w:rsidP="00B66EDF">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w:t>
      </w:r>
      <w:r w:rsidRPr="002F6AA1">
        <w:rPr>
          <w:rFonts w:ascii="Times New Roman" w:hAnsi="Times New Roman"/>
          <w:u w:val="single"/>
        </w:rPr>
        <w:t>Federal Register</w:t>
      </w:r>
      <w:r w:rsidRPr="002F6AA1">
        <w:rPr>
          <w:rFonts w:ascii="Times New Roman" w:hAnsi="Times New Roman"/>
        </w:rPr>
        <w:t xml:space="preserve"> Vol. 67, No. 84, May 1, 2002, Department of Commerce, Bureau of the Census, Qualifying Urban Areas for Census 2000 and </w:t>
      </w:r>
      <w:r w:rsidRPr="00A602E9">
        <w:rPr>
          <w:rFonts w:ascii="Times New Roman" w:hAnsi="Times New Roman"/>
          <w:i/>
        </w:rPr>
        <w:t>Federal Register</w:t>
      </w:r>
      <w:r w:rsidRPr="002F6AA1">
        <w:rPr>
          <w:rFonts w:ascii="Times New Roman" w:hAnsi="Times New Roman"/>
        </w:rPr>
        <w:t xml:space="preserve"> Vol. 67, No. 130, July 8, 2002, Department of Transportation, Federal Transit Administration/Federal Highway Administration Designation of Transportation Management Areas.  </w:t>
      </w:r>
    </w:p>
  </w:footnote>
  <w:footnote w:id="22">
    <w:p w14:paraId="76A02AA0" w14:textId="77777777" w:rsidR="00DB6E11" w:rsidRPr="002F6AA1" w:rsidRDefault="00DB6E11" w:rsidP="00C86946">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burden for regional emissions analyses is framed in this ICR as an MPO responsibility but we recognize that some State DOTs or other agencies may also perform the analyses, in cooperation with or instead of the MPO.</w:t>
      </w:r>
    </w:p>
  </w:footnote>
  <w:footnote w:id="23">
    <w:p w14:paraId="42ACD0BC" w14:textId="77777777" w:rsidR="00DB6E11" w:rsidRPr="002F6AA1" w:rsidRDefault="00DB6E11" w:rsidP="000F1AA8">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See Section 6(b) Estimating State and Local Respondent Costs, for a description of how the Cost per Hour was calculated.</w:t>
      </w:r>
    </w:p>
    <w:p w14:paraId="7AD08AE5" w14:textId="77777777" w:rsidR="00DB6E11" w:rsidRDefault="00DB6E11" w:rsidP="000F1AA8">
      <w:pPr>
        <w:pStyle w:val="FootnoteText"/>
        <w:ind w:firstLine="720"/>
      </w:pPr>
    </w:p>
  </w:footnote>
  <w:footnote w:id="24">
    <w:p w14:paraId="1CCAE615" w14:textId="77777777" w:rsidR="00DB6E11" w:rsidRPr="002F6AA1" w:rsidRDefault="00DB6E11" w:rsidP="002F6AA1">
      <w:pPr>
        <w:pStyle w:val="Default"/>
        <w:ind w:firstLine="720"/>
        <w:rPr>
          <w:rFonts w:ascii="Goudy Oldstyle Std" w:hAnsi="Goudy Oldstyle Std" w:cs="Goudy Oldstyle Std"/>
          <w:sz w:val="20"/>
          <w:szCs w:val="20"/>
        </w:rPr>
      </w:pPr>
      <w:r w:rsidRPr="002F6AA1">
        <w:rPr>
          <w:rStyle w:val="FootnoteReference"/>
          <w:sz w:val="20"/>
          <w:szCs w:val="20"/>
        </w:rPr>
        <w:footnoteRef/>
      </w:r>
      <w:r w:rsidRPr="002F6AA1">
        <w:rPr>
          <w:sz w:val="20"/>
          <w:szCs w:val="20"/>
        </w:rPr>
        <w:t xml:space="preserve"> </w:t>
      </w:r>
      <w:r w:rsidRPr="002F6AA1">
        <w:rPr>
          <w:bCs/>
          <w:sz w:val="20"/>
          <w:szCs w:val="20"/>
        </w:rPr>
        <w:t>Policy Guidance on the Use of MOVES2014 for State Implementation Plan Development, Transportation Conformity, and Other Purposes, (</w:t>
      </w:r>
      <w:r w:rsidRPr="002F6AA1">
        <w:rPr>
          <w:sz w:val="20"/>
          <w:szCs w:val="20"/>
        </w:rPr>
        <w:t>EPA-420-B-14-008 July 2014).</w:t>
      </w:r>
    </w:p>
  </w:footnote>
  <w:footnote w:id="25">
    <w:p w14:paraId="2EE9769E" w14:textId="77777777" w:rsidR="00DB6E11" w:rsidRPr="002F6AA1" w:rsidRDefault="00DB6E11" w:rsidP="009F556C">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See the conformity rule (40 CFR 93.123(a)) for the types of projects that require qualitative versus quantitative CO hot-spot analyses. </w:t>
      </w:r>
    </w:p>
  </w:footnote>
  <w:footnote w:id="26">
    <w:p w14:paraId="4D784DB6" w14:textId="77777777" w:rsidR="00DB6E11" w:rsidRPr="002F6AA1" w:rsidRDefault="00DB6E11" w:rsidP="00ED2843">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Per the conformity rule (40 CFR 93.123(b)(1)), projects of local air quality concern include: “(i) new </w:t>
      </w:r>
      <w:r>
        <w:rPr>
          <w:rFonts w:ascii="Times New Roman" w:hAnsi="Times New Roman"/>
        </w:rPr>
        <w:t xml:space="preserve">highway projects that have a significant number of diesel vehicles, and expanded highway projects that have a significant increase in the number of diesel vehicles </w:t>
      </w:r>
      <w:r w:rsidRPr="002F6AA1">
        <w:rPr>
          <w:rFonts w:ascii="Times New Roman" w:hAnsi="Times New Roman"/>
        </w:rPr>
        <w:t>; (ii) projects affecting intersections that are at Level-of-Service D, E, or F because of increased traffic volumes from a significant number of diesel vehicles related to the project; (iii) new bus and rail terminals and transfer points that have a significant number of diesel vehicles congregating at a single location; (iv) expanded bus and rail terminals and transfer points that significantly increase the number of diesel vehicles congregating at a single location; and, (v) projects in or affecting locations, areas, or categories of sites which are identified in the PM</w:t>
      </w:r>
      <w:r w:rsidRPr="002F6AA1">
        <w:rPr>
          <w:rFonts w:ascii="Times New Roman" w:hAnsi="Times New Roman"/>
          <w:vertAlign w:val="subscript"/>
        </w:rPr>
        <w:t>10</w:t>
      </w:r>
      <w:r w:rsidRPr="002F6AA1">
        <w:rPr>
          <w:rFonts w:ascii="Times New Roman" w:hAnsi="Times New Roman"/>
        </w:rPr>
        <w:t xml:space="preserve"> or PM</w:t>
      </w:r>
      <w:r w:rsidRPr="002F6AA1">
        <w:rPr>
          <w:rFonts w:ascii="Times New Roman" w:hAnsi="Times New Roman"/>
          <w:vertAlign w:val="subscript"/>
        </w:rPr>
        <w:t>2.5</w:t>
      </w:r>
      <w:r w:rsidRPr="002F6AA1">
        <w:rPr>
          <w:rFonts w:ascii="Times New Roman" w:hAnsi="Times New Roman"/>
        </w:rPr>
        <w:t xml:space="preserve"> applicable SIP or SIP submission as appropriate, as sites of violation or possible violation.” </w:t>
      </w:r>
    </w:p>
  </w:footnote>
  <w:footnote w:id="27">
    <w:p w14:paraId="1B4A0F71" w14:textId="77777777" w:rsidR="00DB6E11" w:rsidRPr="002F6AA1" w:rsidRDefault="00DB6E11" w:rsidP="00961342">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Notice of Availability:  Official Release of the MOVES2010a and EMFAC2007 Motor Vehicle Emissions Models for Transportation </w:t>
      </w:r>
      <w:r>
        <w:rPr>
          <w:rFonts w:ascii="Times New Roman" w:hAnsi="Times New Roman"/>
        </w:rPr>
        <w:t>C</w:t>
      </w:r>
      <w:r w:rsidRPr="002F6AA1">
        <w:rPr>
          <w:rFonts w:ascii="Times New Roman" w:hAnsi="Times New Roman"/>
        </w:rPr>
        <w:t>onformity Hot-Spot Analyses and Availability of Modeling Guidance, 75 FR 79370 (December 2010).</w:t>
      </w:r>
    </w:p>
  </w:footnote>
  <w:footnote w:id="28">
    <w:p w14:paraId="033F311B" w14:textId="77777777" w:rsidR="00DB6E11" w:rsidRPr="002F6AA1" w:rsidRDefault="00DB6E11" w:rsidP="004D5E43">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“Policy Guidance on the Use of MOVES2014 for State Implementation Plan Development, Transportation Conformity, and Other Purposes,” EPA-420-B-14-0008 (July 2014).</w:t>
      </w:r>
    </w:p>
  </w:footnote>
  <w:footnote w:id="29">
    <w:p w14:paraId="2A4B7E20" w14:textId="77777777" w:rsidR="00DB6E11" w:rsidRPr="002F6AA1" w:rsidRDefault="00DB6E11" w:rsidP="00933F33">
      <w:pPr>
        <w:pStyle w:val="FootnoteText"/>
        <w:ind w:firstLine="720"/>
      </w:pPr>
      <w:r w:rsidRPr="002F6AA1">
        <w:rPr>
          <w:rStyle w:val="FootnoteReference"/>
          <w:rFonts w:ascii="Times New Roman" w:hAnsi="Times New Roman"/>
        </w:rPr>
        <w:footnoteRef/>
      </w:r>
      <w:r w:rsidRPr="002F6AA1">
        <w:rPr>
          <w:rFonts w:ascii="Times New Roman" w:hAnsi="Times New Roman"/>
        </w:rPr>
        <w:t xml:space="preserve"> Most projects in PM</w:t>
      </w:r>
      <w:r w:rsidRPr="002F6AA1">
        <w:rPr>
          <w:rFonts w:ascii="Times New Roman" w:hAnsi="Times New Roman"/>
          <w:vertAlign w:val="subscript"/>
        </w:rPr>
        <w:t>10</w:t>
      </w:r>
      <w:r w:rsidRPr="002F6AA1">
        <w:rPr>
          <w:rFonts w:ascii="Times New Roman" w:hAnsi="Times New Roman"/>
        </w:rPr>
        <w:t xml:space="preserve"> and PM</w:t>
      </w:r>
      <w:r w:rsidRPr="002F6AA1">
        <w:rPr>
          <w:rFonts w:ascii="Times New Roman" w:hAnsi="Times New Roman"/>
          <w:vertAlign w:val="subscript"/>
        </w:rPr>
        <w:t>2.5</w:t>
      </w:r>
      <w:r w:rsidRPr="002F6AA1">
        <w:rPr>
          <w:rFonts w:ascii="Times New Roman" w:hAnsi="Times New Roman"/>
        </w:rPr>
        <w:t xml:space="preserve"> areas do not require a quantitative hot-spot analysis.  In contrast, all non-exempt CO projects in CO areas require some type of hot-spot analysis.</w:t>
      </w:r>
    </w:p>
  </w:footnote>
  <w:footnote w:id="30">
    <w:p w14:paraId="2D3256A3" w14:textId="77777777" w:rsidR="00DB6E11" w:rsidRPr="007A4A54" w:rsidRDefault="00DB6E11" w:rsidP="007A4A54">
      <w:pPr>
        <w:pStyle w:val="FootnoteText"/>
        <w:ind w:firstLine="720"/>
        <w:rPr>
          <w:rFonts w:ascii="Times New Roman" w:hAnsi="Times New Roman"/>
        </w:rPr>
      </w:pPr>
      <w:r w:rsidRPr="007A4A54">
        <w:rPr>
          <w:rStyle w:val="FootnoteReference"/>
          <w:rFonts w:ascii="Times New Roman" w:hAnsi="Times New Roman"/>
        </w:rPr>
        <w:footnoteRef/>
      </w:r>
      <w:r w:rsidRPr="007A4A54">
        <w:rPr>
          <w:rFonts w:ascii="Times New Roman" w:hAnsi="Times New Roman"/>
        </w:rPr>
        <w:t xml:space="preserve"> The number of average actions per year for PM hot-spot analysis has been reduced, reflecting EPA’s experience to date</w:t>
      </w:r>
      <w:r>
        <w:rPr>
          <w:rFonts w:ascii="Times New Roman" w:hAnsi="Times New Roman"/>
        </w:rPr>
        <w:t>.</w:t>
      </w:r>
    </w:p>
  </w:footnote>
  <w:footnote w:id="31">
    <w:p w14:paraId="7F3280DB" w14:textId="77777777" w:rsidR="00DB6E11" w:rsidRPr="002F6AA1" w:rsidRDefault="00DB6E11" w:rsidP="002F6AA1">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EPA has provided guidance for those areas required to do quantitative hot-spot analysis for PM</w:t>
      </w:r>
      <w:r w:rsidRPr="00394817">
        <w:rPr>
          <w:rFonts w:ascii="Times New Roman" w:hAnsi="Times New Roman"/>
          <w:vertAlign w:val="subscript"/>
        </w:rPr>
        <w:t>2.5</w:t>
      </w:r>
      <w:r w:rsidRPr="002F6AA1">
        <w:rPr>
          <w:rFonts w:ascii="Times New Roman" w:hAnsi="Times New Roman"/>
        </w:rPr>
        <w:t xml:space="preserve"> and PM</w:t>
      </w:r>
      <w:r w:rsidRPr="00394817">
        <w:rPr>
          <w:rFonts w:ascii="Times New Roman" w:hAnsi="Times New Roman"/>
          <w:vertAlign w:val="subscript"/>
        </w:rPr>
        <w:t>10</w:t>
      </w:r>
      <w:r w:rsidRPr="002F6AA1">
        <w:rPr>
          <w:rFonts w:ascii="Times New Roman" w:hAnsi="Times New Roman"/>
        </w:rPr>
        <w:t xml:space="preserve"> nonattainment and maintenance areas:  “Transportation Conformity Guidance for Quantitative Hot-spot Analyses in PM</w:t>
      </w:r>
      <w:r w:rsidRPr="00394817">
        <w:rPr>
          <w:rFonts w:ascii="Times New Roman" w:hAnsi="Times New Roman"/>
          <w:vertAlign w:val="subscript"/>
        </w:rPr>
        <w:t>2.5</w:t>
      </w:r>
      <w:r w:rsidRPr="002F6AA1">
        <w:rPr>
          <w:rFonts w:ascii="Times New Roman" w:hAnsi="Times New Roman"/>
        </w:rPr>
        <w:t xml:space="preserve"> and PM</w:t>
      </w:r>
      <w:r w:rsidRPr="00394817">
        <w:rPr>
          <w:rFonts w:ascii="Times New Roman" w:hAnsi="Times New Roman"/>
          <w:vertAlign w:val="subscript"/>
        </w:rPr>
        <w:t>10</w:t>
      </w:r>
      <w:r w:rsidRPr="002F6AA1">
        <w:rPr>
          <w:rFonts w:ascii="Times New Roman" w:hAnsi="Times New Roman"/>
        </w:rPr>
        <w:t xml:space="preserve"> Nonattainment and Maintenance Areas”,</w:t>
      </w:r>
      <w:r w:rsidRPr="002F6AA1">
        <w:rPr>
          <w:rFonts w:ascii="Times New Roman" w:hAnsi="Times New Roman"/>
          <w:bCs/>
          <w:color w:val="000000"/>
        </w:rPr>
        <w:t xml:space="preserve"> EPA-420-</w:t>
      </w:r>
      <w:r>
        <w:rPr>
          <w:rFonts w:ascii="Times New Roman" w:hAnsi="Times New Roman"/>
          <w:bCs/>
          <w:color w:val="000000"/>
        </w:rPr>
        <w:t>B-13-053</w:t>
      </w:r>
      <w:r w:rsidRPr="002F6AA1">
        <w:rPr>
          <w:rFonts w:ascii="Times New Roman" w:hAnsi="Times New Roman"/>
          <w:bCs/>
          <w:color w:val="000000"/>
        </w:rPr>
        <w:t xml:space="preserve"> and “Using MOVES</w:t>
      </w:r>
      <w:r>
        <w:rPr>
          <w:rFonts w:ascii="Times New Roman" w:hAnsi="Times New Roman"/>
          <w:bCs/>
          <w:color w:val="000000"/>
        </w:rPr>
        <w:t>2014</w:t>
      </w:r>
      <w:r w:rsidRPr="002F6AA1">
        <w:rPr>
          <w:rFonts w:ascii="Times New Roman" w:hAnsi="Times New Roman"/>
          <w:bCs/>
          <w:color w:val="000000"/>
        </w:rPr>
        <w:t xml:space="preserve"> in Project-Level Carbon Monoxide Analyses”, EPA-420-B-1</w:t>
      </w:r>
      <w:r>
        <w:rPr>
          <w:rFonts w:ascii="Times New Roman" w:hAnsi="Times New Roman"/>
          <w:bCs/>
          <w:color w:val="000000"/>
        </w:rPr>
        <w:t>5-028</w:t>
      </w:r>
      <w:r w:rsidRPr="002F6AA1">
        <w:rPr>
          <w:rFonts w:ascii="Times New Roman" w:hAnsi="Times New Roman"/>
        </w:rPr>
        <w:t xml:space="preserve">.  </w:t>
      </w:r>
    </w:p>
  </w:footnote>
  <w:footnote w:id="32">
    <w:p w14:paraId="4F864300" w14:textId="77777777" w:rsidR="00DB6E11" w:rsidRPr="002F6AA1" w:rsidRDefault="00DB6E11" w:rsidP="008E026D">
      <w:pPr>
        <w:pStyle w:val="FootnoteText"/>
        <w:ind w:firstLine="720"/>
      </w:pPr>
      <w:r w:rsidRPr="002F6AA1">
        <w:rPr>
          <w:rStyle w:val="FootnoteReference"/>
          <w:rFonts w:ascii="Times New Roman" w:hAnsi="Times New Roman"/>
        </w:rPr>
        <w:footnoteRef/>
      </w:r>
      <w:r w:rsidRPr="002F6AA1">
        <w:rPr>
          <w:rFonts w:ascii="Times New Roman" w:hAnsi="Times New Roman"/>
        </w:rPr>
        <w:t xml:space="preserve"> There are no current NO</w:t>
      </w:r>
      <w:r w:rsidRPr="002F6AA1">
        <w:rPr>
          <w:rFonts w:ascii="Times New Roman" w:hAnsi="Times New Roman"/>
          <w:vertAlign w:val="subscript"/>
        </w:rPr>
        <w:t>2</w:t>
      </w:r>
      <w:r w:rsidRPr="002F6AA1">
        <w:rPr>
          <w:rFonts w:ascii="Times New Roman" w:hAnsi="Times New Roman"/>
        </w:rPr>
        <w:t xml:space="preserve"> nonattainment or maintenance areas in isolated rural areas.  See Table 1 for further information.</w:t>
      </w:r>
    </w:p>
  </w:footnote>
  <w:footnote w:id="33">
    <w:p w14:paraId="6CC53123" w14:textId="77777777" w:rsidR="00DB6E11" w:rsidRPr="002F6AA1" w:rsidRDefault="00DB6E11" w:rsidP="003F374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rPr>
          <w:rFonts w:ascii="Times" w:hAnsi="Times"/>
        </w:rPr>
        <w:tab/>
      </w:r>
      <w:r w:rsidRPr="002F6AA1">
        <w:rPr>
          <w:rFonts w:ascii="Times" w:hAnsi="Times"/>
          <w:sz w:val="20"/>
          <w:vertAlign w:val="superscript"/>
        </w:rPr>
        <w:footnoteRef/>
      </w:r>
      <w:r w:rsidRPr="002F6AA1">
        <w:rPr>
          <w:rFonts w:ascii="Times" w:hAnsi="Times"/>
          <w:sz w:val="20"/>
        </w:rPr>
        <w:t>Isolated rural areas are not required by federal law to develop metropolitan transportation plans or TIPs.</w:t>
      </w:r>
    </w:p>
  </w:footnote>
  <w:footnote w:id="34">
    <w:p w14:paraId="63FAF942" w14:textId="77777777" w:rsidR="00DB6E11" w:rsidRPr="002F6AA1" w:rsidRDefault="00DB6E11" w:rsidP="003F374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rsidRPr="002F6AA1">
        <w:rPr>
          <w:rFonts w:ascii="Times" w:hAnsi="Times"/>
          <w:sz w:val="20"/>
        </w:rPr>
        <w:tab/>
      </w:r>
      <w:r w:rsidRPr="002F6AA1">
        <w:rPr>
          <w:rFonts w:ascii="Times" w:hAnsi="Times"/>
          <w:sz w:val="20"/>
          <w:vertAlign w:val="superscript"/>
        </w:rPr>
        <w:footnoteRef/>
      </w:r>
      <w:r w:rsidRPr="002F6AA1">
        <w:rPr>
          <w:rFonts w:ascii="Times" w:hAnsi="Times"/>
          <w:sz w:val="20"/>
        </w:rPr>
        <w:t>EPA estimates that four state and local agencies would participate in one consultation meeting on each transportation project.</w:t>
      </w:r>
    </w:p>
  </w:footnote>
  <w:footnote w:id="35">
    <w:p w14:paraId="2E394865" w14:textId="77777777" w:rsidR="00DB6E11" w:rsidRPr="002F6AA1" w:rsidRDefault="00DB6E11" w:rsidP="0074498A">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tab/>
      </w:r>
      <w:r w:rsidRPr="002F6AA1">
        <w:rPr>
          <w:sz w:val="20"/>
          <w:vertAlign w:val="superscript"/>
        </w:rPr>
        <w:footnoteRef/>
      </w:r>
      <w:r w:rsidRPr="002F6AA1">
        <w:rPr>
          <w:sz w:val="20"/>
        </w:rPr>
        <w:t xml:space="preserve"> January 2014 U.S. Office of Personal Management, Salary Table 2014-GS, 2014 General Schedule, http://www.opm.gov/policy-data-oversight/pay-leave/salaries-wages/salary-tables/pdf/2014/GS.pdf</w:t>
      </w:r>
    </w:p>
  </w:footnote>
  <w:footnote w:id="36">
    <w:p w14:paraId="669B285A" w14:textId="77777777" w:rsidR="00DB6E11" w:rsidRPr="002F6AA1" w:rsidRDefault="00DB6E11" w:rsidP="00F45999">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tab/>
      </w:r>
      <w:r w:rsidRPr="002F6AA1">
        <w:rPr>
          <w:sz w:val="20"/>
          <w:vertAlign w:val="superscript"/>
        </w:rPr>
        <w:footnoteRef/>
      </w:r>
      <w:r w:rsidRPr="002F6AA1">
        <w:rPr>
          <w:sz w:val="20"/>
        </w:rPr>
        <w:t xml:space="preserve"> January 2014 U.S. Office of Personal Management, Salary Table 2014-GS, 2014 General Schedule, http://www.opm.gov/policy-data-oversight/pay-leave/salaries-wages/salary-tables/pdf/2014/GS.pdf</w:t>
      </w:r>
    </w:p>
  </w:footnote>
  <w:footnote w:id="37">
    <w:p w14:paraId="6967E07B" w14:textId="77777777" w:rsidR="00DB6E11" w:rsidRPr="002F6AA1" w:rsidRDefault="00DB6E11" w:rsidP="00E815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tab/>
      </w:r>
      <w:r w:rsidRPr="002F6AA1">
        <w:rPr>
          <w:rStyle w:val="FootnoteReference"/>
          <w:sz w:val="20"/>
        </w:rPr>
        <w:footnoteRef/>
      </w:r>
      <w:r w:rsidRPr="002F6AA1">
        <w:rPr>
          <w:sz w:val="20"/>
        </w:rPr>
        <w:t xml:space="preserve"> Per 40 CFR 93.118(e)(4), EPA will find a budget adequate if the following minimum criteria is met: (i)The submitted SIP is endorsed by the Governor or his/her designee and has been subject to a state public hearing; (ii) Interagency consultation took place and any EPA stated concerns have been addressed; (iii) The budget is clearly identified and precisely quantified; (iv) The budget, when considered with all other emissions sources, is consistent with applicable SIP requirements; (v) The budget is consistent with and is clearly related to the emissions inventory and submitted SIP control measures; and, (vi) Revisions to a previously submitted SIP explain and document any changes to the previous budget and control measures, impacts on point and source emissions, and any changes to established safety margins and reasons for those changes</w:t>
      </w:r>
    </w:p>
    <w:p w14:paraId="511BBC14" w14:textId="77777777" w:rsidR="00DB6E11" w:rsidRDefault="00DB6E11" w:rsidP="00E815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257C8" w14:textId="77777777" w:rsidR="00DB6E11" w:rsidRDefault="00DB6E1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7E2F"/>
    <w:multiLevelType w:val="hybridMultilevel"/>
    <w:tmpl w:val="9E0231CE"/>
    <w:lvl w:ilvl="0" w:tplc="CE0C598A">
      <w:start w:val="1"/>
      <w:numFmt w:val="low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A943C3"/>
    <w:multiLevelType w:val="hybridMultilevel"/>
    <w:tmpl w:val="28EEAF96"/>
    <w:lvl w:ilvl="0" w:tplc="BF26AACE">
      <w:start w:val="1"/>
      <w:numFmt w:val="lowerRoman"/>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F3D4B"/>
    <w:multiLevelType w:val="hybridMultilevel"/>
    <w:tmpl w:val="FD4C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173A6"/>
    <w:multiLevelType w:val="hybridMultilevel"/>
    <w:tmpl w:val="FF1ED20E"/>
    <w:lvl w:ilvl="0" w:tplc="10F26990">
      <w:numFmt w:val="bullet"/>
      <w:lvlText w:val=""/>
      <w:lvlJc w:val="left"/>
      <w:pPr>
        <w:tabs>
          <w:tab w:val="num" w:pos="1170"/>
        </w:tabs>
        <w:ind w:left="1170" w:hanging="72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17EA1E11"/>
    <w:multiLevelType w:val="hybridMultilevel"/>
    <w:tmpl w:val="3C04AE60"/>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3D6595"/>
    <w:multiLevelType w:val="hybridMultilevel"/>
    <w:tmpl w:val="BEA69306"/>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6">
    <w:nsid w:val="20686D56"/>
    <w:multiLevelType w:val="hybridMultilevel"/>
    <w:tmpl w:val="9C086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F5C75"/>
    <w:multiLevelType w:val="hybridMultilevel"/>
    <w:tmpl w:val="61F4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23B13"/>
    <w:multiLevelType w:val="hybridMultilevel"/>
    <w:tmpl w:val="D31C5C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BCE2E1B"/>
    <w:multiLevelType w:val="hybridMultilevel"/>
    <w:tmpl w:val="CB866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955DB"/>
    <w:multiLevelType w:val="hybridMultilevel"/>
    <w:tmpl w:val="214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17C88"/>
    <w:multiLevelType w:val="hybridMultilevel"/>
    <w:tmpl w:val="6FE4F3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8A8558E"/>
    <w:multiLevelType w:val="hybridMultilevel"/>
    <w:tmpl w:val="78BE95B4"/>
    <w:lvl w:ilvl="0" w:tplc="C0CE33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8B37A95"/>
    <w:multiLevelType w:val="hybridMultilevel"/>
    <w:tmpl w:val="CFD6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965E9"/>
    <w:multiLevelType w:val="hybridMultilevel"/>
    <w:tmpl w:val="E07EE0AA"/>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8D50C2"/>
    <w:multiLevelType w:val="hybridMultilevel"/>
    <w:tmpl w:val="3EA0E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230B50"/>
    <w:multiLevelType w:val="hybridMultilevel"/>
    <w:tmpl w:val="A4EEBFD4"/>
    <w:lvl w:ilvl="0" w:tplc="9926B9F8">
      <w:start w:val="1"/>
      <w:numFmt w:val="lowerRoman"/>
      <w:lvlText w:val="(%1)"/>
      <w:lvlJc w:val="left"/>
      <w:pPr>
        <w:ind w:left="1080" w:hanging="72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93592"/>
    <w:multiLevelType w:val="hybridMultilevel"/>
    <w:tmpl w:val="B70618FE"/>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4390343F"/>
    <w:multiLevelType w:val="hybridMultilevel"/>
    <w:tmpl w:val="48C4F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4C1F6A"/>
    <w:multiLevelType w:val="hybridMultilevel"/>
    <w:tmpl w:val="1AB2976C"/>
    <w:lvl w:ilvl="0" w:tplc="28DAAC66">
      <w:start w:val="1"/>
      <w:numFmt w:val="lowerRoman"/>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0">
    <w:nsid w:val="46C7159C"/>
    <w:multiLevelType w:val="hybridMultilevel"/>
    <w:tmpl w:val="E63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128C4"/>
    <w:multiLevelType w:val="hybridMultilevel"/>
    <w:tmpl w:val="26727008"/>
    <w:lvl w:ilvl="0" w:tplc="10F26990">
      <w:numFmt w:val="bullet"/>
      <w:lvlText w:val=""/>
      <w:lvlJc w:val="left"/>
      <w:pPr>
        <w:tabs>
          <w:tab w:val="num" w:pos="1170"/>
        </w:tabs>
        <w:ind w:left="1170" w:hanging="72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2">
    <w:nsid w:val="50C14D13"/>
    <w:multiLevelType w:val="hybridMultilevel"/>
    <w:tmpl w:val="44443840"/>
    <w:lvl w:ilvl="0" w:tplc="04241BF6">
      <w:start w:val="1"/>
      <w:numFmt w:val="bullet"/>
      <w:lvlText w:val=""/>
      <w:lvlJc w:val="left"/>
      <w:pPr>
        <w:tabs>
          <w:tab w:val="num" w:pos="738"/>
        </w:tabs>
        <w:ind w:left="738" w:hanging="288"/>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nsid w:val="5B035CEC"/>
    <w:multiLevelType w:val="hybridMultilevel"/>
    <w:tmpl w:val="221CF476"/>
    <w:lvl w:ilvl="0" w:tplc="C0BEF56E">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4">
    <w:nsid w:val="5C520922"/>
    <w:multiLevelType w:val="hybridMultilevel"/>
    <w:tmpl w:val="309AE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6E4644"/>
    <w:multiLevelType w:val="hybridMultilevel"/>
    <w:tmpl w:val="31D4F7F0"/>
    <w:lvl w:ilvl="0" w:tplc="10F26990">
      <w:numFmt w:val="bullet"/>
      <w:lvlText w:val=""/>
      <w:lvlJc w:val="left"/>
      <w:pPr>
        <w:tabs>
          <w:tab w:val="num" w:pos="720"/>
        </w:tabs>
        <w:ind w:left="720" w:hanging="72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D84584"/>
    <w:multiLevelType w:val="hybridMultilevel"/>
    <w:tmpl w:val="7888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30BD9"/>
    <w:multiLevelType w:val="hybridMultilevel"/>
    <w:tmpl w:val="78FA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B3C47"/>
    <w:multiLevelType w:val="hybridMultilevel"/>
    <w:tmpl w:val="F4667FFE"/>
    <w:lvl w:ilvl="0" w:tplc="D7AC6F9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E9E037F"/>
    <w:multiLevelType w:val="hybridMultilevel"/>
    <w:tmpl w:val="8E5A75B6"/>
    <w:lvl w:ilvl="0" w:tplc="04241BF6">
      <w:start w:val="1"/>
      <w:numFmt w:val="bullet"/>
      <w:lvlText w:val=""/>
      <w:lvlJc w:val="left"/>
      <w:pPr>
        <w:tabs>
          <w:tab w:val="num" w:pos="708"/>
        </w:tabs>
        <w:ind w:left="708"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7430898"/>
    <w:multiLevelType w:val="hybridMultilevel"/>
    <w:tmpl w:val="6C0A53AC"/>
    <w:lvl w:ilvl="0" w:tplc="DDBE74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B97286E"/>
    <w:multiLevelType w:val="multilevel"/>
    <w:tmpl w:val="68A01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1"/>
  </w:num>
  <w:num w:numId="3">
    <w:abstractNumId w:val="19"/>
  </w:num>
  <w:num w:numId="4">
    <w:abstractNumId w:val="25"/>
  </w:num>
  <w:num w:numId="5">
    <w:abstractNumId w:val="29"/>
  </w:num>
  <w:num w:numId="6">
    <w:abstractNumId w:val="4"/>
  </w:num>
  <w:num w:numId="7">
    <w:abstractNumId w:val="22"/>
  </w:num>
  <w:num w:numId="8">
    <w:abstractNumId w:val="14"/>
  </w:num>
  <w:num w:numId="9">
    <w:abstractNumId w:val="17"/>
  </w:num>
  <w:num w:numId="10">
    <w:abstractNumId w:val="18"/>
  </w:num>
  <w:num w:numId="11">
    <w:abstractNumId w:val="9"/>
  </w:num>
  <w:num w:numId="12">
    <w:abstractNumId w:val="5"/>
  </w:num>
  <w:num w:numId="13">
    <w:abstractNumId w:val="15"/>
  </w:num>
  <w:num w:numId="14">
    <w:abstractNumId w:val="8"/>
  </w:num>
  <w:num w:numId="15">
    <w:abstractNumId w:val="27"/>
  </w:num>
  <w:num w:numId="16">
    <w:abstractNumId w:val="2"/>
  </w:num>
  <w:num w:numId="17">
    <w:abstractNumId w:val="10"/>
  </w:num>
  <w:num w:numId="18">
    <w:abstractNumId w:val="28"/>
  </w:num>
  <w:num w:numId="19">
    <w:abstractNumId w:val="0"/>
  </w:num>
  <w:num w:numId="20">
    <w:abstractNumId w:val="12"/>
  </w:num>
  <w:num w:numId="21">
    <w:abstractNumId w:val="23"/>
  </w:num>
  <w:num w:numId="22">
    <w:abstractNumId w:val="13"/>
  </w:num>
  <w:num w:numId="23">
    <w:abstractNumId w:val="20"/>
  </w:num>
  <w:num w:numId="24">
    <w:abstractNumId w:val="26"/>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num>
  <w:num w:numId="30">
    <w:abstractNumId w:val="16"/>
  </w:num>
  <w:num w:numId="31">
    <w:abstractNumId w:val="30"/>
  </w:num>
  <w:num w:numId="32">
    <w:abstractNumId w:val="1"/>
  </w:num>
  <w:num w:numId="33">
    <w:abstractNumId w:val="6"/>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5"/>
    <w:rsid w:val="000013D5"/>
    <w:rsid w:val="00002844"/>
    <w:rsid w:val="00002D27"/>
    <w:rsid w:val="00002F85"/>
    <w:rsid w:val="0000410D"/>
    <w:rsid w:val="00007774"/>
    <w:rsid w:val="00007A7E"/>
    <w:rsid w:val="00010523"/>
    <w:rsid w:val="000119D7"/>
    <w:rsid w:val="00011F7B"/>
    <w:rsid w:val="00011FAF"/>
    <w:rsid w:val="00013D05"/>
    <w:rsid w:val="00014C8E"/>
    <w:rsid w:val="00015AF6"/>
    <w:rsid w:val="000163A6"/>
    <w:rsid w:val="000173C7"/>
    <w:rsid w:val="000176D9"/>
    <w:rsid w:val="000179C1"/>
    <w:rsid w:val="0002326C"/>
    <w:rsid w:val="00026C98"/>
    <w:rsid w:val="000307E0"/>
    <w:rsid w:val="0003110A"/>
    <w:rsid w:val="00032158"/>
    <w:rsid w:val="00032AFA"/>
    <w:rsid w:val="00034211"/>
    <w:rsid w:val="00034859"/>
    <w:rsid w:val="00036C8E"/>
    <w:rsid w:val="00041D2A"/>
    <w:rsid w:val="00041D62"/>
    <w:rsid w:val="00045166"/>
    <w:rsid w:val="000473D4"/>
    <w:rsid w:val="00047823"/>
    <w:rsid w:val="00047C7D"/>
    <w:rsid w:val="000506CD"/>
    <w:rsid w:val="00051394"/>
    <w:rsid w:val="0005185F"/>
    <w:rsid w:val="00052253"/>
    <w:rsid w:val="0005681E"/>
    <w:rsid w:val="00057917"/>
    <w:rsid w:val="0006050E"/>
    <w:rsid w:val="000615AA"/>
    <w:rsid w:val="000623A9"/>
    <w:rsid w:val="000624C0"/>
    <w:rsid w:val="00062768"/>
    <w:rsid w:val="00064A50"/>
    <w:rsid w:val="00066423"/>
    <w:rsid w:val="000669B5"/>
    <w:rsid w:val="00066E65"/>
    <w:rsid w:val="00070806"/>
    <w:rsid w:val="00070A6F"/>
    <w:rsid w:val="00074DBD"/>
    <w:rsid w:val="00074FB7"/>
    <w:rsid w:val="0007646A"/>
    <w:rsid w:val="00081D99"/>
    <w:rsid w:val="00082506"/>
    <w:rsid w:val="00082D6A"/>
    <w:rsid w:val="000860AC"/>
    <w:rsid w:val="00086769"/>
    <w:rsid w:val="00086868"/>
    <w:rsid w:val="0009132C"/>
    <w:rsid w:val="00093AC5"/>
    <w:rsid w:val="00094276"/>
    <w:rsid w:val="00094532"/>
    <w:rsid w:val="000948CB"/>
    <w:rsid w:val="000952DA"/>
    <w:rsid w:val="000954A8"/>
    <w:rsid w:val="000962FB"/>
    <w:rsid w:val="0009753E"/>
    <w:rsid w:val="00097F25"/>
    <w:rsid w:val="000A1374"/>
    <w:rsid w:val="000A15EA"/>
    <w:rsid w:val="000A390F"/>
    <w:rsid w:val="000A3E5A"/>
    <w:rsid w:val="000A3FED"/>
    <w:rsid w:val="000A70DE"/>
    <w:rsid w:val="000B040F"/>
    <w:rsid w:val="000B0C07"/>
    <w:rsid w:val="000B1AEE"/>
    <w:rsid w:val="000B2360"/>
    <w:rsid w:val="000B2EF2"/>
    <w:rsid w:val="000B31C5"/>
    <w:rsid w:val="000B3E3F"/>
    <w:rsid w:val="000B6CD6"/>
    <w:rsid w:val="000B701A"/>
    <w:rsid w:val="000B708D"/>
    <w:rsid w:val="000B7E4C"/>
    <w:rsid w:val="000C1BE8"/>
    <w:rsid w:val="000C3049"/>
    <w:rsid w:val="000C361C"/>
    <w:rsid w:val="000C55EC"/>
    <w:rsid w:val="000C7B4C"/>
    <w:rsid w:val="000D2C1A"/>
    <w:rsid w:val="000D383B"/>
    <w:rsid w:val="000D421A"/>
    <w:rsid w:val="000D5B52"/>
    <w:rsid w:val="000D5DAC"/>
    <w:rsid w:val="000E08B8"/>
    <w:rsid w:val="000E14FF"/>
    <w:rsid w:val="000E4E00"/>
    <w:rsid w:val="000E4FCA"/>
    <w:rsid w:val="000E550C"/>
    <w:rsid w:val="000E7AB9"/>
    <w:rsid w:val="000E7DE0"/>
    <w:rsid w:val="000F0BEB"/>
    <w:rsid w:val="000F15A6"/>
    <w:rsid w:val="000F1AA8"/>
    <w:rsid w:val="000F21F3"/>
    <w:rsid w:val="000F4E2F"/>
    <w:rsid w:val="000F75CE"/>
    <w:rsid w:val="00100566"/>
    <w:rsid w:val="00101D77"/>
    <w:rsid w:val="00101EF4"/>
    <w:rsid w:val="00102720"/>
    <w:rsid w:val="001048D9"/>
    <w:rsid w:val="001052ED"/>
    <w:rsid w:val="00105D33"/>
    <w:rsid w:val="001070DE"/>
    <w:rsid w:val="00107895"/>
    <w:rsid w:val="00110768"/>
    <w:rsid w:val="00111F84"/>
    <w:rsid w:val="00114EE1"/>
    <w:rsid w:val="00115547"/>
    <w:rsid w:val="00116270"/>
    <w:rsid w:val="00116370"/>
    <w:rsid w:val="0011727F"/>
    <w:rsid w:val="00117856"/>
    <w:rsid w:val="00117923"/>
    <w:rsid w:val="00120022"/>
    <w:rsid w:val="00121B86"/>
    <w:rsid w:val="001225A1"/>
    <w:rsid w:val="00123034"/>
    <w:rsid w:val="00123E5B"/>
    <w:rsid w:val="00124AFC"/>
    <w:rsid w:val="00126882"/>
    <w:rsid w:val="001269A4"/>
    <w:rsid w:val="00127B9C"/>
    <w:rsid w:val="001304B2"/>
    <w:rsid w:val="00132AC6"/>
    <w:rsid w:val="00134CE5"/>
    <w:rsid w:val="00135112"/>
    <w:rsid w:val="00135715"/>
    <w:rsid w:val="001410F3"/>
    <w:rsid w:val="0014179C"/>
    <w:rsid w:val="00141C36"/>
    <w:rsid w:val="00141D34"/>
    <w:rsid w:val="001428BB"/>
    <w:rsid w:val="00142B97"/>
    <w:rsid w:val="00143CF5"/>
    <w:rsid w:val="0014638C"/>
    <w:rsid w:val="00146700"/>
    <w:rsid w:val="0015246A"/>
    <w:rsid w:val="00153CE0"/>
    <w:rsid w:val="00153D63"/>
    <w:rsid w:val="0015485C"/>
    <w:rsid w:val="0015718A"/>
    <w:rsid w:val="00157B99"/>
    <w:rsid w:val="00160095"/>
    <w:rsid w:val="00161757"/>
    <w:rsid w:val="00161F06"/>
    <w:rsid w:val="00162264"/>
    <w:rsid w:val="001633D8"/>
    <w:rsid w:val="001634E7"/>
    <w:rsid w:val="001647C9"/>
    <w:rsid w:val="001663EC"/>
    <w:rsid w:val="001664E0"/>
    <w:rsid w:val="0016678C"/>
    <w:rsid w:val="00166BB3"/>
    <w:rsid w:val="00167B40"/>
    <w:rsid w:val="00167F86"/>
    <w:rsid w:val="0017098F"/>
    <w:rsid w:val="001724A4"/>
    <w:rsid w:val="00172E22"/>
    <w:rsid w:val="001730C0"/>
    <w:rsid w:val="00173310"/>
    <w:rsid w:val="00174A32"/>
    <w:rsid w:val="00174B6B"/>
    <w:rsid w:val="00176615"/>
    <w:rsid w:val="00176722"/>
    <w:rsid w:val="00177F71"/>
    <w:rsid w:val="00180D20"/>
    <w:rsid w:val="00181EFD"/>
    <w:rsid w:val="00182CE7"/>
    <w:rsid w:val="00183DC6"/>
    <w:rsid w:val="0018567E"/>
    <w:rsid w:val="00185820"/>
    <w:rsid w:val="00185F2E"/>
    <w:rsid w:val="0019051C"/>
    <w:rsid w:val="0019238C"/>
    <w:rsid w:val="00192E42"/>
    <w:rsid w:val="00193081"/>
    <w:rsid w:val="001943A8"/>
    <w:rsid w:val="00194758"/>
    <w:rsid w:val="00195A1A"/>
    <w:rsid w:val="00195AC2"/>
    <w:rsid w:val="001A0F0D"/>
    <w:rsid w:val="001A1EDE"/>
    <w:rsid w:val="001A1EFD"/>
    <w:rsid w:val="001A22A5"/>
    <w:rsid w:val="001A4636"/>
    <w:rsid w:val="001A5E17"/>
    <w:rsid w:val="001A638A"/>
    <w:rsid w:val="001A6B02"/>
    <w:rsid w:val="001B098F"/>
    <w:rsid w:val="001B25E2"/>
    <w:rsid w:val="001B26DA"/>
    <w:rsid w:val="001B2D34"/>
    <w:rsid w:val="001B4368"/>
    <w:rsid w:val="001B7C5C"/>
    <w:rsid w:val="001C11EE"/>
    <w:rsid w:val="001C13D6"/>
    <w:rsid w:val="001C1CDF"/>
    <w:rsid w:val="001C2947"/>
    <w:rsid w:val="001C3CA1"/>
    <w:rsid w:val="001C45E4"/>
    <w:rsid w:val="001C4D1E"/>
    <w:rsid w:val="001C790E"/>
    <w:rsid w:val="001C7ABC"/>
    <w:rsid w:val="001D0904"/>
    <w:rsid w:val="001D0B8A"/>
    <w:rsid w:val="001D2BA0"/>
    <w:rsid w:val="001D2D70"/>
    <w:rsid w:val="001D5E4B"/>
    <w:rsid w:val="001E0FA7"/>
    <w:rsid w:val="001E27D0"/>
    <w:rsid w:val="001E4489"/>
    <w:rsid w:val="001E4A09"/>
    <w:rsid w:val="001E5895"/>
    <w:rsid w:val="001E6A3B"/>
    <w:rsid w:val="001E7138"/>
    <w:rsid w:val="001F0A7C"/>
    <w:rsid w:val="001F5B2F"/>
    <w:rsid w:val="001F67D9"/>
    <w:rsid w:val="001F7C06"/>
    <w:rsid w:val="001F7E32"/>
    <w:rsid w:val="00200173"/>
    <w:rsid w:val="00201658"/>
    <w:rsid w:val="00202B2E"/>
    <w:rsid w:val="00205684"/>
    <w:rsid w:val="00206303"/>
    <w:rsid w:val="002064C4"/>
    <w:rsid w:val="002070E5"/>
    <w:rsid w:val="002073E0"/>
    <w:rsid w:val="00207B32"/>
    <w:rsid w:val="00210B2B"/>
    <w:rsid w:val="00212A79"/>
    <w:rsid w:val="0021474C"/>
    <w:rsid w:val="002150B4"/>
    <w:rsid w:val="00215AF3"/>
    <w:rsid w:val="0021616C"/>
    <w:rsid w:val="00217557"/>
    <w:rsid w:val="00217D52"/>
    <w:rsid w:val="002204D7"/>
    <w:rsid w:val="00221735"/>
    <w:rsid w:val="00223F6A"/>
    <w:rsid w:val="0022477E"/>
    <w:rsid w:val="00225811"/>
    <w:rsid w:val="0022648F"/>
    <w:rsid w:val="00226E87"/>
    <w:rsid w:val="00227190"/>
    <w:rsid w:val="002273FC"/>
    <w:rsid w:val="002310B3"/>
    <w:rsid w:val="00231EF9"/>
    <w:rsid w:val="00232487"/>
    <w:rsid w:val="00234DF9"/>
    <w:rsid w:val="00236032"/>
    <w:rsid w:val="00236611"/>
    <w:rsid w:val="00236E18"/>
    <w:rsid w:val="0023795A"/>
    <w:rsid w:val="0024130A"/>
    <w:rsid w:val="002415B1"/>
    <w:rsid w:val="002425D8"/>
    <w:rsid w:val="00244EB4"/>
    <w:rsid w:val="00245478"/>
    <w:rsid w:val="00254F11"/>
    <w:rsid w:val="00255279"/>
    <w:rsid w:val="00256201"/>
    <w:rsid w:val="002570F6"/>
    <w:rsid w:val="0025718A"/>
    <w:rsid w:val="00260DD8"/>
    <w:rsid w:val="00262AFD"/>
    <w:rsid w:val="00263D60"/>
    <w:rsid w:val="00263F91"/>
    <w:rsid w:val="00264877"/>
    <w:rsid w:val="00264EB4"/>
    <w:rsid w:val="00265D18"/>
    <w:rsid w:val="002668AF"/>
    <w:rsid w:val="002669B8"/>
    <w:rsid w:val="00267127"/>
    <w:rsid w:val="00267E6F"/>
    <w:rsid w:val="002700EF"/>
    <w:rsid w:val="002705C8"/>
    <w:rsid w:val="0027064C"/>
    <w:rsid w:val="00272311"/>
    <w:rsid w:val="00273F25"/>
    <w:rsid w:val="002740D9"/>
    <w:rsid w:val="00274196"/>
    <w:rsid w:val="002745FA"/>
    <w:rsid w:val="0027512A"/>
    <w:rsid w:val="002778BE"/>
    <w:rsid w:val="0028301B"/>
    <w:rsid w:val="00283D4A"/>
    <w:rsid w:val="002845DE"/>
    <w:rsid w:val="0028553E"/>
    <w:rsid w:val="0028591B"/>
    <w:rsid w:val="00286594"/>
    <w:rsid w:val="002866EC"/>
    <w:rsid w:val="00286839"/>
    <w:rsid w:val="002870A1"/>
    <w:rsid w:val="0028755C"/>
    <w:rsid w:val="00287E9D"/>
    <w:rsid w:val="00290502"/>
    <w:rsid w:val="00290DD1"/>
    <w:rsid w:val="0029121B"/>
    <w:rsid w:val="00291333"/>
    <w:rsid w:val="00291ED8"/>
    <w:rsid w:val="00292845"/>
    <w:rsid w:val="002942DE"/>
    <w:rsid w:val="002958E7"/>
    <w:rsid w:val="002A19E0"/>
    <w:rsid w:val="002A2CF1"/>
    <w:rsid w:val="002A42A8"/>
    <w:rsid w:val="002A537B"/>
    <w:rsid w:val="002A5467"/>
    <w:rsid w:val="002B06C1"/>
    <w:rsid w:val="002B07EE"/>
    <w:rsid w:val="002B2B87"/>
    <w:rsid w:val="002B5054"/>
    <w:rsid w:val="002B5B98"/>
    <w:rsid w:val="002B673F"/>
    <w:rsid w:val="002B6F79"/>
    <w:rsid w:val="002B7081"/>
    <w:rsid w:val="002C0AC7"/>
    <w:rsid w:val="002C1D5A"/>
    <w:rsid w:val="002C7273"/>
    <w:rsid w:val="002D1363"/>
    <w:rsid w:val="002D4EAD"/>
    <w:rsid w:val="002D5882"/>
    <w:rsid w:val="002D5D1D"/>
    <w:rsid w:val="002D6A89"/>
    <w:rsid w:val="002D7F00"/>
    <w:rsid w:val="002E39A9"/>
    <w:rsid w:val="002E4028"/>
    <w:rsid w:val="002E7A01"/>
    <w:rsid w:val="002F2E83"/>
    <w:rsid w:val="002F3EA2"/>
    <w:rsid w:val="002F6AA1"/>
    <w:rsid w:val="00300BCC"/>
    <w:rsid w:val="0030174B"/>
    <w:rsid w:val="00301D97"/>
    <w:rsid w:val="00301FA5"/>
    <w:rsid w:val="00303077"/>
    <w:rsid w:val="00303B35"/>
    <w:rsid w:val="003045F9"/>
    <w:rsid w:val="00305D2C"/>
    <w:rsid w:val="00306286"/>
    <w:rsid w:val="003106A5"/>
    <w:rsid w:val="0031156F"/>
    <w:rsid w:val="00311DE0"/>
    <w:rsid w:val="00311E0A"/>
    <w:rsid w:val="003121E8"/>
    <w:rsid w:val="003137CC"/>
    <w:rsid w:val="00313C91"/>
    <w:rsid w:val="00314686"/>
    <w:rsid w:val="00317F8E"/>
    <w:rsid w:val="003200FA"/>
    <w:rsid w:val="003202EC"/>
    <w:rsid w:val="00321E0B"/>
    <w:rsid w:val="00321F3E"/>
    <w:rsid w:val="003228D9"/>
    <w:rsid w:val="00325B73"/>
    <w:rsid w:val="0033146C"/>
    <w:rsid w:val="003315F2"/>
    <w:rsid w:val="00331B52"/>
    <w:rsid w:val="00331DB2"/>
    <w:rsid w:val="00332D91"/>
    <w:rsid w:val="00335874"/>
    <w:rsid w:val="0033602E"/>
    <w:rsid w:val="00336838"/>
    <w:rsid w:val="00336AFB"/>
    <w:rsid w:val="00336F60"/>
    <w:rsid w:val="003370D9"/>
    <w:rsid w:val="0034132D"/>
    <w:rsid w:val="00341C4C"/>
    <w:rsid w:val="0034382B"/>
    <w:rsid w:val="003446F6"/>
    <w:rsid w:val="0034531E"/>
    <w:rsid w:val="00345AC6"/>
    <w:rsid w:val="003467CD"/>
    <w:rsid w:val="00347610"/>
    <w:rsid w:val="00350299"/>
    <w:rsid w:val="003509FC"/>
    <w:rsid w:val="00350A82"/>
    <w:rsid w:val="00350BF5"/>
    <w:rsid w:val="00350E45"/>
    <w:rsid w:val="00351207"/>
    <w:rsid w:val="00351F59"/>
    <w:rsid w:val="00352091"/>
    <w:rsid w:val="003525F0"/>
    <w:rsid w:val="00352DE1"/>
    <w:rsid w:val="0035353A"/>
    <w:rsid w:val="00355308"/>
    <w:rsid w:val="00355ADE"/>
    <w:rsid w:val="00355E15"/>
    <w:rsid w:val="00357E39"/>
    <w:rsid w:val="003611DB"/>
    <w:rsid w:val="00362871"/>
    <w:rsid w:val="003645EC"/>
    <w:rsid w:val="0036610D"/>
    <w:rsid w:val="00367105"/>
    <w:rsid w:val="003701E8"/>
    <w:rsid w:val="00370CB2"/>
    <w:rsid w:val="00371BB4"/>
    <w:rsid w:val="0037246B"/>
    <w:rsid w:val="00373181"/>
    <w:rsid w:val="00373230"/>
    <w:rsid w:val="0037327F"/>
    <w:rsid w:val="003735DA"/>
    <w:rsid w:val="00374A20"/>
    <w:rsid w:val="00375A80"/>
    <w:rsid w:val="00375AF1"/>
    <w:rsid w:val="003765CC"/>
    <w:rsid w:val="0037784F"/>
    <w:rsid w:val="0038430B"/>
    <w:rsid w:val="003845A3"/>
    <w:rsid w:val="00384DFA"/>
    <w:rsid w:val="00385F4C"/>
    <w:rsid w:val="00386738"/>
    <w:rsid w:val="0039370B"/>
    <w:rsid w:val="003939ED"/>
    <w:rsid w:val="00394817"/>
    <w:rsid w:val="00395C6D"/>
    <w:rsid w:val="00396C7B"/>
    <w:rsid w:val="0039737F"/>
    <w:rsid w:val="003973B1"/>
    <w:rsid w:val="003A12C0"/>
    <w:rsid w:val="003A1792"/>
    <w:rsid w:val="003A209D"/>
    <w:rsid w:val="003A4132"/>
    <w:rsid w:val="003A53EB"/>
    <w:rsid w:val="003B0A97"/>
    <w:rsid w:val="003B1410"/>
    <w:rsid w:val="003B2892"/>
    <w:rsid w:val="003B2E1B"/>
    <w:rsid w:val="003B57CD"/>
    <w:rsid w:val="003C04EB"/>
    <w:rsid w:val="003C1AB4"/>
    <w:rsid w:val="003C228C"/>
    <w:rsid w:val="003C263C"/>
    <w:rsid w:val="003C30AD"/>
    <w:rsid w:val="003C3597"/>
    <w:rsid w:val="003C4A61"/>
    <w:rsid w:val="003C64E8"/>
    <w:rsid w:val="003D04D3"/>
    <w:rsid w:val="003D06F5"/>
    <w:rsid w:val="003D3372"/>
    <w:rsid w:val="003D3773"/>
    <w:rsid w:val="003D3B0D"/>
    <w:rsid w:val="003D419B"/>
    <w:rsid w:val="003D4E8E"/>
    <w:rsid w:val="003D5467"/>
    <w:rsid w:val="003E0018"/>
    <w:rsid w:val="003E0333"/>
    <w:rsid w:val="003E1F00"/>
    <w:rsid w:val="003E4248"/>
    <w:rsid w:val="003E5E16"/>
    <w:rsid w:val="003E6ADC"/>
    <w:rsid w:val="003E6ED3"/>
    <w:rsid w:val="003F100B"/>
    <w:rsid w:val="003F2CB0"/>
    <w:rsid w:val="003F3745"/>
    <w:rsid w:val="003F4CF4"/>
    <w:rsid w:val="003F5E8D"/>
    <w:rsid w:val="003F60DC"/>
    <w:rsid w:val="003F7126"/>
    <w:rsid w:val="0040050C"/>
    <w:rsid w:val="004045EF"/>
    <w:rsid w:val="00406351"/>
    <w:rsid w:val="00406512"/>
    <w:rsid w:val="004071E9"/>
    <w:rsid w:val="00410AF0"/>
    <w:rsid w:val="004117A4"/>
    <w:rsid w:val="004118D3"/>
    <w:rsid w:val="00411CB9"/>
    <w:rsid w:val="00411D5C"/>
    <w:rsid w:val="00412067"/>
    <w:rsid w:val="00413218"/>
    <w:rsid w:val="004135E1"/>
    <w:rsid w:val="00413603"/>
    <w:rsid w:val="0041558C"/>
    <w:rsid w:val="004169D0"/>
    <w:rsid w:val="00416B82"/>
    <w:rsid w:val="00417581"/>
    <w:rsid w:val="004241AD"/>
    <w:rsid w:val="00425437"/>
    <w:rsid w:val="0042544F"/>
    <w:rsid w:val="00426ADA"/>
    <w:rsid w:val="00426E60"/>
    <w:rsid w:val="00427529"/>
    <w:rsid w:val="00427603"/>
    <w:rsid w:val="00427DAB"/>
    <w:rsid w:val="00432067"/>
    <w:rsid w:val="00433788"/>
    <w:rsid w:val="00433FCE"/>
    <w:rsid w:val="004364D1"/>
    <w:rsid w:val="00444C0C"/>
    <w:rsid w:val="00450148"/>
    <w:rsid w:val="00450C3C"/>
    <w:rsid w:val="00452F74"/>
    <w:rsid w:val="00453527"/>
    <w:rsid w:val="00453F55"/>
    <w:rsid w:val="00454CC3"/>
    <w:rsid w:val="00455964"/>
    <w:rsid w:val="004564D5"/>
    <w:rsid w:val="00456A24"/>
    <w:rsid w:val="00460765"/>
    <w:rsid w:val="00461129"/>
    <w:rsid w:val="0046122D"/>
    <w:rsid w:val="00462F08"/>
    <w:rsid w:val="004650DE"/>
    <w:rsid w:val="00466161"/>
    <w:rsid w:val="004676FC"/>
    <w:rsid w:val="00473080"/>
    <w:rsid w:val="00473EDD"/>
    <w:rsid w:val="00475222"/>
    <w:rsid w:val="00477C97"/>
    <w:rsid w:val="004803DC"/>
    <w:rsid w:val="00481A2B"/>
    <w:rsid w:val="0048506A"/>
    <w:rsid w:val="0048690C"/>
    <w:rsid w:val="00487A2F"/>
    <w:rsid w:val="0049047B"/>
    <w:rsid w:val="004904A7"/>
    <w:rsid w:val="00490A0B"/>
    <w:rsid w:val="00492311"/>
    <w:rsid w:val="0049354E"/>
    <w:rsid w:val="004937BA"/>
    <w:rsid w:val="00493E89"/>
    <w:rsid w:val="004942AF"/>
    <w:rsid w:val="0049467B"/>
    <w:rsid w:val="00494D5F"/>
    <w:rsid w:val="004951BF"/>
    <w:rsid w:val="004962D6"/>
    <w:rsid w:val="00496894"/>
    <w:rsid w:val="004968CE"/>
    <w:rsid w:val="00497263"/>
    <w:rsid w:val="00497AD4"/>
    <w:rsid w:val="004A00BA"/>
    <w:rsid w:val="004A3BB6"/>
    <w:rsid w:val="004A3D5F"/>
    <w:rsid w:val="004A47B4"/>
    <w:rsid w:val="004B10D6"/>
    <w:rsid w:val="004B3511"/>
    <w:rsid w:val="004B3872"/>
    <w:rsid w:val="004B4229"/>
    <w:rsid w:val="004B6FE1"/>
    <w:rsid w:val="004B71EC"/>
    <w:rsid w:val="004C028E"/>
    <w:rsid w:val="004C1B35"/>
    <w:rsid w:val="004C2C60"/>
    <w:rsid w:val="004C4046"/>
    <w:rsid w:val="004C46A6"/>
    <w:rsid w:val="004C4AAF"/>
    <w:rsid w:val="004C5B89"/>
    <w:rsid w:val="004C720B"/>
    <w:rsid w:val="004D0524"/>
    <w:rsid w:val="004D0FAC"/>
    <w:rsid w:val="004D2AAC"/>
    <w:rsid w:val="004D2EB3"/>
    <w:rsid w:val="004D4F75"/>
    <w:rsid w:val="004D50FD"/>
    <w:rsid w:val="004D5214"/>
    <w:rsid w:val="004D5E43"/>
    <w:rsid w:val="004E112B"/>
    <w:rsid w:val="004E1E3E"/>
    <w:rsid w:val="004E22A1"/>
    <w:rsid w:val="004E2E4A"/>
    <w:rsid w:val="004E332A"/>
    <w:rsid w:val="004E5C91"/>
    <w:rsid w:val="004E63BA"/>
    <w:rsid w:val="004E6BF4"/>
    <w:rsid w:val="004E752D"/>
    <w:rsid w:val="004E7B50"/>
    <w:rsid w:val="004F23BC"/>
    <w:rsid w:val="004F25EA"/>
    <w:rsid w:val="004F38A5"/>
    <w:rsid w:val="004F3A6B"/>
    <w:rsid w:val="004F3D3E"/>
    <w:rsid w:val="004F3DC4"/>
    <w:rsid w:val="004F4C71"/>
    <w:rsid w:val="005002A4"/>
    <w:rsid w:val="00501B8D"/>
    <w:rsid w:val="005022E1"/>
    <w:rsid w:val="005023A4"/>
    <w:rsid w:val="00502FC8"/>
    <w:rsid w:val="00503B6E"/>
    <w:rsid w:val="00504A55"/>
    <w:rsid w:val="00504DD6"/>
    <w:rsid w:val="005052A2"/>
    <w:rsid w:val="0050763C"/>
    <w:rsid w:val="0051152E"/>
    <w:rsid w:val="00511C0F"/>
    <w:rsid w:val="0051268E"/>
    <w:rsid w:val="0051298C"/>
    <w:rsid w:val="005133C2"/>
    <w:rsid w:val="0051357D"/>
    <w:rsid w:val="00513A85"/>
    <w:rsid w:val="005144C3"/>
    <w:rsid w:val="0051651D"/>
    <w:rsid w:val="0051655D"/>
    <w:rsid w:val="005175A1"/>
    <w:rsid w:val="00517623"/>
    <w:rsid w:val="00517927"/>
    <w:rsid w:val="00522361"/>
    <w:rsid w:val="00523235"/>
    <w:rsid w:val="005239AC"/>
    <w:rsid w:val="00523A1C"/>
    <w:rsid w:val="0052786C"/>
    <w:rsid w:val="00527B29"/>
    <w:rsid w:val="00530BD9"/>
    <w:rsid w:val="00532CCE"/>
    <w:rsid w:val="005342C0"/>
    <w:rsid w:val="00534BE3"/>
    <w:rsid w:val="005359E1"/>
    <w:rsid w:val="005377A2"/>
    <w:rsid w:val="00537C67"/>
    <w:rsid w:val="00542927"/>
    <w:rsid w:val="00542DC4"/>
    <w:rsid w:val="00543394"/>
    <w:rsid w:val="00545013"/>
    <w:rsid w:val="005457D0"/>
    <w:rsid w:val="0054586C"/>
    <w:rsid w:val="0054619A"/>
    <w:rsid w:val="00546921"/>
    <w:rsid w:val="00546A40"/>
    <w:rsid w:val="0054713D"/>
    <w:rsid w:val="00547497"/>
    <w:rsid w:val="00550F68"/>
    <w:rsid w:val="005521AA"/>
    <w:rsid w:val="005525EA"/>
    <w:rsid w:val="00553622"/>
    <w:rsid w:val="00554978"/>
    <w:rsid w:val="005550DC"/>
    <w:rsid w:val="00555AD3"/>
    <w:rsid w:val="00555D09"/>
    <w:rsid w:val="00561238"/>
    <w:rsid w:val="00562DC3"/>
    <w:rsid w:val="00563034"/>
    <w:rsid w:val="0056396F"/>
    <w:rsid w:val="005641DD"/>
    <w:rsid w:val="005712C1"/>
    <w:rsid w:val="0057173E"/>
    <w:rsid w:val="00571B23"/>
    <w:rsid w:val="00574223"/>
    <w:rsid w:val="00574629"/>
    <w:rsid w:val="00574F85"/>
    <w:rsid w:val="00575547"/>
    <w:rsid w:val="0058078A"/>
    <w:rsid w:val="0058704A"/>
    <w:rsid w:val="005910BB"/>
    <w:rsid w:val="00591315"/>
    <w:rsid w:val="00593585"/>
    <w:rsid w:val="005945DE"/>
    <w:rsid w:val="00597C6B"/>
    <w:rsid w:val="005A14D6"/>
    <w:rsid w:val="005A23FC"/>
    <w:rsid w:val="005A41FF"/>
    <w:rsid w:val="005A4AC1"/>
    <w:rsid w:val="005A6832"/>
    <w:rsid w:val="005A755A"/>
    <w:rsid w:val="005A79DD"/>
    <w:rsid w:val="005A7C57"/>
    <w:rsid w:val="005B03D5"/>
    <w:rsid w:val="005B087D"/>
    <w:rsid w:val="005B197F"/>
    <w:rsid w:val="005B1E42"/>
    <w:rsid w:val="005B2D27"/>
    <w:rsid w:val="005B34B6"/>
    <w:rsid w:val="005B3E44"/>
    <w:rsid w:val="005B44C2"/>
    <w:rsid w:val="005B51B0"/>
    <w:rsid w:val="005B5402"/>
    <w:rsid w:val="005B7FAD"/>
    <w:rsid w:val="005C24AD"/>
    <w:rsid w:val="005C2704"/>
    <w:rsid w:val="005C40DF"/>
    <w:rsid w:val="005C43E9"/>
    <w:rsid w:val="005C5D3A"/>
    <w:rsid w:val="005D30F8"/>
    <w:rsid w:val="005D490D"/>
    <w:rsid w:val="005D6199"/>
    <w:rsid w:val="005E0A0A"/>
    <w:rsid w:val="005E0A34"/>
    <w:rsid w:val="005E0F29"/>
    <w:rsid w:val="005E1571"/>
    <w:rsid w:val="005E1592"/>
    <w:rsid w:val="005E2D63"/>
    <w:rsid w:val="005E49D1"/>
    <w:rsid w:val="005E51A9"/>
    <w:rsid w:val="005E51D8"/>
    <w:rsid w:val="005E5477"/>
    <w:rsid w:val="005E5EDF"/>
    <w:rsid w:val="005E6387"/>
    <w:rsid w:val="005F0542"/>
    <w:rsid w:val="005F1039"/>
    <w:rsid w:val="005F2E2B"/>
    <w:rsid w:val="005F4BD4"/>
    <w:rsid w:val="005F6CD6"/>
    <w:rsid w:val="005F7063"/>
    <w:rsid w:val="00600AF1"/>
    <w:rsid w:val="00601B87"/>
    <w:rsid w:val="0060228E"/>
    <w:rsid w:val="00603180"/>
    <w:rsid w:val="00603638"/>
    <w:rsid w:val="006044F3"/>
    <w:rsid w:val="00604B8A"/>
    <w:rsid w:val="0060515A"/>
    <w:rsid w:val="006118F3"/>
    <w:rsid w:val="006119FA"/>
    <w:rsid w:val="00613663"/>
    <w:rsid w:val="00614365"/>
    <w:rsid w:val="006162F5"/>
    <w:rsid w:val="00616D36"/>
    <w:rsid w:val="00617CAF"/>
    <w:rsid w:val="00622B3F"/>
    <w:rsid w:val="00625D91"/>
    <w:rsid w:val="006266DF"/>
    <w:rsid w:val="006274FE"/>
    <w:rsid w:val="006279AD"/>
    <w:rsid w:val="006323A6"/>
    <w:rsid w:val="0063566B"/>
    <w:rsid w:val="00635B82"/>
    <w:rsid w:val="006401A3"/>
    <w:rsid w:val="00643A0D"/>
    <w:rsid w:val="006443B5"/>
    <w:rsid w:val="00645348"/>
    <w:rsid w:val="006460CE"/>
    <w:rsid w:val="0064687D"/>
    <w:rsid w:val="006502EB"/>
    <w:rsid w:val="006524AD"/>
    <w:rsid w:val="00653391"/>
    <w:rsid w:val="00655052"/>
    <w:rsid w:val="0065577E"/>
    <w:rsid w:val="00661E52"/>
    <w:rsid w:val="00661F21"/>
    <w:rsid w:val="006624A1"/>
    <w:rsid w:val="00662B2B"/>
    <w:rsid w:val="00664388"/>
    <w:rsid w:val="006721A1"/>
    <w:rsid w:val="00674134"/>
    <w:rsid w:val="00674777"/>
    <w:rsid w:val="0067613B"/>
    <w:rsid w:val="00681CC8"/>
    <w:rsid w:val="00682F2C"/>
    <w:rsid w:val="00683009"/>
    <w:rsid w:val="0068356C"/>
    <w:rsid w:val="0068408A"/>
    <w:rsid w:val="006841CD"/>
    <w:rsid w:val="0068542F"/>
    <w:rsid w:val="006905D5"/>
    <w:rsid w:val="0069089F"/>
    <w:rsid w:val="006914BA"/>
    <w:rsid w:val="00691A4B"/>
    <w:rsid w:val="00691CB4"/>
    <w:rsid w:val="00692366"/>
    <w:rsid w:val="006923DD"/>
    <w:rsid w:val="0069333C"/>
    <w:rsid w:val="00693F67"/>
    <w:rsid w:val="00696181"/>
    <w:rsid w:val="00696BA9"/>
    <w:rsid w:val="006A180E"/>
    <w:rsid w:val="006A26D6"/>
    <w:rsid w:val="006A4DB5"/>
    <w:rsid w:val="006A5E7A"/>
    <w:rsid w:val="006A62CE"/>
    <w:rsid w:val="006A73CA"/>
    <w:rsid w:val="006B0296"/>
    <w:rsid w:val="006B04DD"/>
    <w:rsid w:val="006B06A7"/>
    <w:rsid w:val="006B1303"/>
    <w:rsid w:val="006B350D"/>
    <w:rsid w:val="006B36F7"/>
    <w:rsid w:val="006B67FC"/>
    <w:rsid w:val="006B6E09"/>
    <w:rsid w:val="006B705A"/>
    <w:rsid w:val="006B7CD9"/>
    <w:rsid w:val="006C5378"/>
    <w:rsid w:val="006C6D17"/>
    <w:rsid w:val="006D06AF"/>
    <w:rsid w:val="006D0E22"/>
    <w:rsid w:val="006D1409"/>
    <w:rsid w:val="006D1707"/>
    <w:rsid w:val="006D1CA8"/>
    <w:rsid w:val="006D3341"/>
    <w:rsid w:val="006D3B6C"/>
    <w:rsid w:val="006D3FD5"/>
    <w:rsid w:val="006D4268"/>
    <w:rsid w:val="006D50D6"/>
    <w:rsid w:val="006D5F9F"/>
    <w:rsid w:val="006E439A"/>
    <w:rsid w:val="006E5584"/>
    <w:rsid w:val="006E6E42"/>
    <w:rsid w:val="006E770B"/>
    <w:rsid w:val="006E7E63"/>
    <w:rsid w:val="006F0842"/>
    <w:rsid w:val="006F3030"/>
    <w:rsid w:val="006F652C"/>
    <w:rsid w:val="006F6C96"/>
    <w:rsid w:val="006F7B5E"/>
    <w:rsid w:val="007008EB"/>
    <w:rsid w:val="007035C0"/>
    <w:rsid w:val="00704052"/>
    <w:rsid w:val="0070518A"/>
    <w:rsid w:val="00705BC1"/>
    <w:rsid w:val="00706E44"/>
    <w:rsid w:val="007101DC"/>
    <w:rsid w:val="007124CB"/>
    <w:rsid w:val="007127DC"/>
    <w:rsid w:val="0071347B"/>
    <w:rsid w:val="00714D3D"/>
    <w:rsid w:val="007157F5"/>
    <w:rsid w:val="00715B00"/>
    <w:rsid w:val="00715F0E"/>
    <w:rsid w:val="00716B66"/>
    <w:rsid w:val="00716F47"/>
    <w:rsid w:val="007172BE"/>
    <w:rsid w:val="00720411"/>
    <w:rsid w:val="00723A5E"/>
    <w:rsid w:val="00723F0A"/>
    <w:rsid w:val="00724EB9"/>
    <w:rsid w:val="00725272"/>
    <w:rsid w:val="00730493"/>
    <w:rsid w:val="00730802"/>
    <w:rsid w:val="00730B2D"/>
    <w:rsid w:val="00731191"/>
    <w:rsid w:val="00731309"/>
    <w:rsid w:val="0073337A"/>
    <w:rsid w:val="007339CE"/>
    <w:rsid w:val="00734938"/>
    <w:rsid w:val="00734EC6"/>
    <w:rsid w:val="007367BF"/>
    <w:rsid w:val="00737503"/>
    <w:rsid w:val="007375F5"/>
    <w:rsid w:val="007404D7"/>
    <w:rsid w:val="00741768"/>
    <w:rsid w:val="00741FA2"/>
    <w:rsid w:val="00742978"/>
    <w:rsid w:val="00743309"/>
    <w:rsid w:val="00743629"/>
    <w:rsid w:val="0074493F"/>
    <w:rsid w:val="0074498A"/>
    <w:rsid w:val="00745001"/>
    <w:rsid w:val="00750102"/>
    <w:rsid w:val="007502A0"/>
    <w:rsid w:val="007509FD"/>
    <w:rsid w:val="00753140"/>
    <w:rsid w:val="0075797C"/>
    <w:rsid w:val="00760F45"/>
    <w:rsid w:val="0076177E"/>
    <w:rsid w:val="00763C44"/>
    <w:rsid w:val="007649C5"/>
    <w:rsid w:val="00765FF6"/>
    <w:rsid w:val="007661EB"/>
    <w:rsid w:val="007671BF"/>
    <w:rsid w:val="00771DB4"/>
    <w:rsid w:val="00773476"/>
    <w:rsid w:val="00775DD7"/>
    <w:rsid w:val="00780F10"/>
    <w:rsid w:val="0078181E"/>
    <w:rsid w:val="007842B3"/>
    <w:rsid w:val="00784603"/>
    <w:rsid w:val="00784A7C"/>
    <w:rsid w:val="00785306"/>
    <w:rsid w:val="00785F6C"/>
    <w:rsid w:val="00790B8F"/>
    <w:rsid w:val="007919D7"/>
    <w:rsid w:val="00791DC8"/>
    <w:rsid w:val="0079262F"/>
    <w:rsid w:val="007940A7"/>
    <w:rsid w:val="00794447"/>
    <w:rsid w:val="00794910"/>
    <w:rsid w:val="00795676"/>
    <w:rsid w:val="0079611E"/>
    <w:rsid w:val="007978EF"/>
    <w:rsid w:val="00797D16"/>
    <w:rsid w:val="007A0C4E"/>
    <w:rsid w:val="007A4A54"/>
    <w:rsid w:val="007A6FCF"/>
    <w:rsid w:val="007A75FA"/>
    <w:rsid w:val="007B00A2"/>
    <w:rsid w:val="007B0BB8"/>
    <w:rsid w:val="007B17C9"/>
    <w:rsid w:val="007B2615"/>
    <w:rsid w:val="007B2CC6"/>
    <w:rsid w:val="007B38AF"/>
    <w:rsid w:val="007B40E0"/>
    <w:rsid w:val="007B50B6"/>
    <w:rsid w:val="007B5167"/>
    <w:rsid w:val="007B6B2E"/>
    <w:rsid w:val="007C02F8"/>
    <w:rsid w:val="007C132B"/>
    <w:rsid w:val="007C2B10"/>
    <w:rsid w:val="007C4544"/>
    <w:rsid w:val="007C5782"/>
    <w:rsid w:val="007C5B93"/>
    <w:rsid w:val="007C6E05"/>
    <w:rsid w:val="007C78C1"/>
    <w:rsid w:val="007D0DDE"/>
    <w:rsid w:val="007D10D3"/>
    <w:rsid w:val="007D2694"/>
    <w:rsid w:val="007D3526"/>
    <w:rsid w:val="007D4095"/>
    <w:rsid w:val="007D716B"/>
    <w:rsid w:val="007D7514"/>
    <w:rsid w:val="007E13BF"/>
    <w:rsid w:val="007E35DC"/>
    <w:rsid w:val="007E3C27"/>
    <w:rsid w:val="007E44E4"/>
    <w:rsid w:val="007E4608"/>
    <w:rsid w:val="007E4892"/>
    <w:rsid w:val="007E4B64"/>
    <w:rsid w:val="007E501B"/>
    <w:rsid w:val="007E6E9B"/>
    <w:rsid w:val="007F0B7A"/>
    <w:rsid w:val="007F1E44"/>
    <w:rsid w:val="007F2C0D"/>
    <w:rsid w:val="007F6BF3"/>
    <w:rsid w:val="00800070"/>
    <w:rsid w:val="00801B2D"/>
    <w:rsid w:val="00801D0E"/>
    <w:rsid w:val="00803D84"/>
    <w:rsid w:val="00805AA9"/>
    <w:rsid w:val="00806579"/>
    <w:rsid w:val="0080777D"/>
    <w:rsid w:val="00807A01"/>
    <w:rsid w:val="008106AF"/>
    <w:rsid w:val="008109EE"/>
    <w:rsid w:val="00810D52"/>
    <w:rsid w:val="0081184B"/>
    <w:rsid w:val="00811E28"/>
    <w:rsid w:val="0081415B"/>
    <w:rsid w:val="0081648B"/>
    <w:rsid w:val="008168C5"/>
    <w:rsid w:val="0081794E"/>
    <w:rsid w:val="00817DA1"/>
    <w:rsid w:val="00820423"/>
    <w:rsid w:val="00820F95"/>
    <w:rsid w:val="00821BF3"/>
    <w:rsid w:val="008235EE"/>
    <w:rsid w:val="00823D5D"/>
    <w:rsid w:val="00825B7E"/>
    <w:rsid w:val="00827637"/>
    <w:rsid w:val="00827C67"/>
    <w:rsid w:val="00833F04"/>
    <w:rsid w:val="00834D2A"/>
    <w:rsid w:val="00837878"/>
    <w:rsid w:val="00837887"/>
    <w:rsid w:val="0083795C"/>
    <w:rsid w:val="008408DC"/>
    <w:rsid w:val="00840DF5"/>
    <w:rsid w:val="00842CFB"/>
    <w:rsid w:val="0084407F"/>
    <w:rsid w:val="008504BB"/>
    <w:rsid w:val="00855B5C"/>
    <w:rsid w:val="00856162"/>
    <w:rsid w:val="00861FE6"/>
    <w:rsid w:val="008623A1"/>
    <w:rsid w:val="00862A94"/>
    <w:rsid w:val="008630DA"/>
    <w:rsid w:val="00863560"/>
    <w:rsid w:val="00864784"/>
    <w:rsid w:val="008647C5"/>
    <w:rsid w:val="0086571C"/>
    <w:rsid w:val="00865794"/>
    <w:rsid w:val="00866BD1"/>
    <w:rsid w:val="00866F6C"/>
    <w:rsid w:val="00870396"/>
    <w:rsid w:val="00872DA3"/>
    <w:rsid w:val="00873636"/>
    <w:rsid w:val="00873877"/>
    <w:rsid w:val="008744CB"/>
    <w:rsid w:val="0087791C"/>
    <w:rsid w:val="0088091C"/>
    <w:rsid w:val="00880D33"/>
    <w:rsid w:val="00881CF6"/>
    <w:rsid w:val="008836B5"/>
    <w:rsid w:val="00884269"/>
    <w:rsid w:val="0088459E"/>
    <w:rsid w:val="00884CA5"/>
    <w:rsid w:val="00885C79"/>
    <w:rsid w:val="00886209"/>
    <w:rsid w:val="00887C1F"/>
    <w:rsid w:val="00887C93"/>
    <w:rsid w:val="00887F41"/>
    <w:rsid w:val="00890456"/>
    <w:rsid w:val="00890480"/>
    <w:rsid w:val="00891025"/>
    <w:rsid w:val="00894920"/>
    <w:rsid w:val="00896621"/>
    <w:rsid w:val="00897875"/>
    <w:rsid w:val="008A1AB0"/>
    <w:rsid w:val="008A202B"/>
    <w:rsid w:val="008A24C7"/>
    <w:rsid w:val="008A2EF0"/>
    <w:rsid w:val="008A438F"/>
    <w:rsid w:val="008A61AA"/>
    <w:rsid w:val="008A746E"/>
    <w:rsid w:val="008B189A"/>
    <w:rsid w:val="008B1FC1"/>
    <w:rsid w:val="008B26C0"/>
    <w:rsid w:val="008B2D83"/>
    <w:rsid w:val="008B3F32"/>
    <w:rsid w:val="008B4E12"/>
    <w:rsid w:val="008B5B84"/>
    <w:rsid w:val="008C0079"/>
    <w:rsid w:val="008C076D"/>
    <w:rsid w:val="008C0CA3"/>
    <w:rsid w:val="008C0D2B"/>
    <w:rsid w:val="008C1165"/>
    <w:rsid w:val="008C1319"/>
    <w:rsid w:val="008C13C7"/>
    <w:rsid w:val="008C1835"/>
    <w:rsid w:val="008C1895"/>
    <w:rsid w:val="008C1CF0"/>
    <w:rsid w:val="008C1EC3"/>
    <w:rsid w:val="008C4B26"/>
    <w:rsid w:val="008C53DE"/>
    <w:rsid w:val="008C685C"/>
    <w:rsid w:val="008C736E"/>
    <w:rsid w:val="008D182B"/>
    <w:rsid w:val="008D1C59"/>
    <w:rsid w:val="008D1E11"/>
    <w:rsid w:val="008D2A36"/>
    <w:rsid w:val="008D497F"/>
    <w:rsid w:val="008D5136"/>
    <w:rsid w:val="008D6CD4"/>
    <w:rsid w:val="008E026D"/>
    <w:rsid w:val="008E32B0"/>
    <w:rsid w:val="008E42F6"/>
    <w:rsid w:val="008E4923"/>
    <w:rsid w:val="008E4D16"/>
    <w:rsid w:val="008E518B"/>
    <w:rsid w:val="008E5193"/>
    <w:rsid w:val="008F172A"/>
    <w:rsid w:val="008F25B6"/>
    <w:rsid w:val="008F6649"/>
    <w:rsid w:val="008F71FF"/>
    <w:rsid w:val="00902447"/>
    <w:rsid w:val="00904807"/>
    <w:rsid w:val="00905FFB"/>
    <w:rsid w:val="009109C8"/>
    <w:rsid w:val="009139B2"/>
    <w:rsid w:val="009177DC"/>
    <w:rsid w:val="0092213B"/>
    <w:rsid w:val="00923A08"/>
    <w:rsid w:val="00924135"/>
    <w:rsid w:val="00925AB8"/>
    <w:rsid w:val="00926765"/>
    <w:rsid w:val="00930739"/>
    <w:rsid w:val="00930CAA"/>
    <w:rsid w:val="009325AC"/>
    <w:rsid w:val="00932738"/>
    <w:rsid w:val="00932EC0"/>
    <w:rsid w:val="00933F33"/>
    <w:rsid w:val="00934109"/>
    <w:rsid w:val="00935023"/>
    <w:rsid w:val="009351EC"/>
    <w:rsid w:val="00935F24"/>
    <w:rsid w:val="0093724E"/>
    <w:rsid w:val="00937865"/>
    <w:rsid w:val="00940F13"/>
    <w:rsid w:val="009417E4"/>
    <w:rsid w:val="00943411"/>
    <w:rsid w:val="009440E5"/>
    <w:rsid w:val="00945011"/>
    <w:rsid w:val="0094552F"/>
    <w:rsid w:val="0094561C"/>
    <w:rsid w:val="009458CD"/>
    <w:rsid w:val="00945915"/>
    <w:rsid w:val="0094622B"/>
    <w:rsid w:val="00947F10"/>
    <w:rsid w:val="00950128"/>
    <w:rsid w:val="00950272"/>
    <w:rsid w:val="00950FDD"/>
    <w:rsid w:val="00952A66"/>
    <w:rsid w:val="00953006"/>
    <w:rsid w:val="00955730"/>
    <w:rsid w:val="009558D2"/>
    <w:rsid w:val="009558D8"/>
    <w:rsid w:val="00955FE9"/>
    <w:rsid w:val="009575F4"/>
    <w:rsid w:val="00960AE6"/>
    <w:rsid w:val="00961342"/>
    <w:rsid w:val="00961CED"/>
    <w:rsid w:val="00961D96"/>
    <w:rsid w:val="00962ED0"/>
    <w:rsid w:val="00963118"/>
    <w:rsid w:val="00963ADC"/>
    <w:rsid w:val="00966491"/>
    <w:rsid w:val="00967558"/>
    <w:rsid w:val="0097066C"/>
    <w:rsid w:val="009742C4"/>
    <w:rsid w:val="00975ED9"/>
    <w:rsid w:val="009760D6"/>
    <w:rsid w:val="0097646E"/>
    <w:rsid w:val="00976C2B"/>
    <w:rsid w:val="009777C6"/>
    <w:rsid w:val="00980005"/>
    <w:rsid w:val="00980DBE"/>
    <w:rsid w:val="00981F12"/>
    <w:rsid w:val="00982E4C"/>
    <w:rsid w:val="0098785A"/>
    <w:rsid w:val="009879DD"/>
    <w:rsid w:val="00987FFB"/>
    <w:rsid w:val="009904FF"/>
    <w:rsid w:val="00990F78"/>
    <w:rsid w:val="00991149"/>
    <w:rsid w:val="00991788"/>
    <w:rsid w:val="0099192E"/>
    <w:rsid w:val="009960A0"/>
    <w:rsid w:val="00996702"/>
    <w:rsid w:val="009A1AA7"/>
    <w:rsid w:val="009A1B0E"/>
    <w:rsid w:val="009A2176"/>
    <w:rsid w:val="009A25F8"/>
    <w:rsid w:val="009A5683"/>
    <w:rsid w:val="009A72F3"/>
    <w:rsid w:val="009B0702"/>
    <w:rsid w:val="009B182E"/>
    <w:rsid w:val="009B43DA"/>
    <w:rsid w:val="009B539D"/>
    <w:rsid w:val="009C3FB8"/>
    <w:rsid w:val="009C5C20"/>
    <w:rsid w:val="009C5E0C"/>
    <w:rsid w:val="009D0141"/>
    <w:rsid w:val="009D05F9"/>
    <w:rsid w:val="009D1052"/>
    <w:rsid w:val="009D10A2"/>
    <w:rsid w:val="009D146D"/>
    <w:rsid w:val="009D2835"/>
    <w:rsid w:val="009D3470"/>
    <w:rsid w:val="009D517E"/>
    <w:rsid w:val="009D64E2"/>
    <w:rsid w:val="009D677E"/>
    <w:rsid w:val="009D692A"/>
    <w:rsid w:val="009D6999"/>
    <w:rsid w:val="009D6E24"/>
    <w:rsid w:val="009E1074"/>
    <w:rsid w:val="009E1DAE"/>
    <w:rsid w:val="009E34DB"/>
    <w:rsid w:val="009E36FA"/>
    <w:rsid w:val="009E3F14"/>
    <w:rsid w:val="009E4521"/>
    <w:rsid w:val="009E4ADD"/>
    <w:rsid w:val="009E54F4"/>
    <w:rsid w:val="009E6435"/>
    <w:rsid w:val="009E6972"/>
    <w:rsid w:val="009F051F"/>
    <w:rsid w:val="009F0BBC"/>
    <w:rsid w:val="009F1164"/>
    <w:rsid w:val="009F155B"/>
    <w:rsid w:val="009F225C"/>
    <w:rsid w:val="009F22B3"/>
    <w:rsid w:val="009F2EEB"/>
    <w:rsid w:val="009F464F"/>
    <w:rsid w:val="009F4A27"/>
    <w:rsid w:val="009F556C"/>
    <w:rsid w:val="009F6505"/>
    <w:rsid w:val="009F7275"/>
    <w:rsid w:val="009F7EA2"/>
    <w:rsid w:val="00A000D1"/>
    <w:rsid w:val="00A01FCA"/>
    <w:rsid w:val="00A02EEA"/>
    <w:rsid w:val="00A03240"/>
    <w:rsid w:val="00A03B1C"/>
    <w:rsid w:val="00A04825"/>
    <w:rsid w:val="00A04D34"/>
    <w:rsid w:val="00A0582C"/>
    <w:rsid w:val="00A1271A"/>
    <w:rsid w:val="00A13BA4"/>
    <w:rsid w:val="00A15204"/>
    <w:rsid w:val="00A178D5"/>
    <w:rsid w:val="00A17A71"/>
    <w:rsid w:val="00A20DBD"/>
    <w:rsid w:val="00A21716"/>
    <w:rsid w:val="00A23F04"/>
    <w:rsid w:val="00A25007"/>
    <w:rsid w:val="00A25DB6"/>
    <w:rsid w:val="00A27977"/>
    <w:rsid w:val="00A32B2C"/>
    <w:rsid w:val="00A35D91"/>
    <w:rsid w:val="00A36711"/>
    <w:rsid w:val="00A370E2"/>
    <w:rsid w:val="00A3712F"/>
    <w:rsid w:val="00A37342"/>
    <w:rsid w:val="00A40429"/>
    <w:rsid w:val="00A423C1"/>
    <w:rsid w:val="00A4258A"/>
    <w:rsid w:val="00A43DBE"/>
    <w:rsid w:val="00A442F2"/>
    <w:rsid w:val="00A454A6"/>
    <w:rsid w:val="00A46FA1"/>
    <w:rsid w:val="00A47C92"/>
    <w:rsid w:val="00A50F40"/>
    <w:rsid w:val="00A51706"/>
    <w:rsid w:val="00A55D06"/>
    <w:rsid w:val="00A56308"/>
    <w:rsid w:val="00A56DDE"/>
    <w:rsid w:val="00A578EA"/>
    <w:rsid w:val="00A602E9"/>
    <w:rsid w:val="00A60CD1"/>
    <w:rsid w:val="00A619BC"/>
    <w:rsid w:val="00A62626"/>
    <w:rsid w:val="00A6551E"/>
    <w:rsid w:val="00A66DB0"/>
    <w:rsid w:val="00A67FEA"/>
    <w:rsid w:val="00A707D3"/>
    <w:rsid w:val="00A70957"/>
    <w:rsid w:val="00A7260B"/>
    <w:rsid w:val="00A728C3"/>
    <w:rsid w:val="00A72BAA"/>
    <w:rsid w:val="00A73DE4"/>
    <w:rsid w:val="00A77D9F"/>
    <w:rsid w:val="00A800B1"/>
    <w:rsid w:val="00A8135F"/>
    <w:rsid w:val="00A844B6"/>
    <w:rsid w:val="00A845FC"/>
    <w:rsid w:val="00A85F79"/>
    <w:rsid w:val="00A8654F"/>
    <w:rsid w:val="00A86A2F"/>
    <w:rsid w:val="00A90F26"/>
    <w:rsid w:val="00A93596"/>
    <w:rsid w:val="00A940B2"/>
    <w:rsid w:val="00A96763"/>
    <w:rsid w:val="00AA0F1A"/>
    <w:rsid w:val="00AA1D92"/>
    <w:rsid w:val="00AA4F83"/>
    <w:rsid w:val="00AA5BED"/>
    <w:rsid w:val="00AA7704"/>
    <w:rsid w:val="00AB08E0"/>
    <w:rsid w:val="00AB2B10"/>
    <w:rsid w:val="00AB2C2E"/>
    <w:rsid w:val="00AB4348"/>
    <w:rsid w:val="00AB438E"/>
    <w:rsid w:val="00AB5880"/>
    <w:rsid w:val="00AB5B74"/>
    <w:rsid w:val="00AB5C31"/>
    <w:rsid w:val="00AB5D65"/>
    <w:rsid w:val="00AB61A1"/>
    <w:rsid w:val="00AB6705"/>
    <w:rsid w:val="00AB6F93"/>
    <w:rsid w:val="00AB7962"/>
    <w:rsid w:val="00AB7D8A"/>
    <w:rsid w:val="00AC0A7B"/>
    <w:rsid w:val="00AC1E97"/>
    <w:rsid w:val="00AC250B"/>
    <w:rsid w:val="00AC25B3"/>
    <w:rsid w:val="00AC2F10"/>
    <w:rsid w:val="00AC32A2"/>
    <w:rsid w:val="00AC770A"/>
    <w:rsid w:val="00AD2489"/>
    <w:rsid w:val="00AD2B53"/>
    <w:rsid w:val="00AD36E8"/>
    <w:rsid w:val="00AD3CDE"/>
    <w:rsid w:val="00AD61A5"/>
    <w:rsid w:val="00AD6E8E"/>
    <w:rsid w:val="00AD76ED"/>
    <w:rsid w:val="00AE03B2"/>
    <w:rsid w:val="00AE0450"/>
    <w:rsid w:val="00AE110A"/>
    <w:rsid w:val="00AE4373"/>
    <w:rsid w:val="00AE6035"/>
    <w:rsid w:val="00AE683B"/>
    <w:rsid w:val="00AE70F2"/>
    <w:rsid w:val="00AE7129"/>
    <w:rsid w:val="00AF0725"/>
    <w:rsid w:val="00AF2BFF"/>
    <w:rsid w:val="00AF330B"/>
    <w:rsid w:val="00AF3548"/>
    <w:rsid w:val="00AF5778"/>
    <w:rsid w:val="00B0673C"/>
    <w:rsid w:val="00B07962"/>
    <w:rsid w:val="00B1365E"/>
    <w:rsid w:val="00B20F7E"/>
    <w:rsid w:val="00B21CE9"/>
    <w:rsid w:val="00B21D40"/>
    <w:rsid w:val="00B2615C"/>
    <w:rsid w:val="00B277C6"/>
    <w:rsid w:val="00B27E01"/>
    <w:rsid w:val="00B300E6"/>
    <w:rsid w:val="00B30C0D"/>
    <w:rsid w:val="00B30C40"/>
    <w:rsid w:val="00B31833"/>
    <w:rsid w:val="00B332FE"/>
    <w:rsid w:val="00B3409F"/>
    <w:rsid w:val="00B36BCD"/>
    <w:rsid w:val="00B372A7"/>
    <w:rsid w:val="00B37802"/>
    <w:rsid w:val="00B40278"/>
    <w:rsid w:val="00B417B4"/>
    <w:rsid w:val="00B41A05"/>
    <w:rsid w:val="00B41B7F"/>
    <w:rsid w:val="00B4288B"/>
    <w:rsid w:val="00B42BDF"/>
    <w:rsid w:val="00B45973"/>
    <w:rsid w:val="00B45F7A"/>
    <w:rsid w:val="00B4773E"/>
    <w:rsid w:val="00B502EF"/>
    <w:rsid w:val="00B5205E"/>
    <w:rsid w:val="00B52C9A"/>
    <w:rsid w:val="00B604F0"/>
    <w:rsid w:val="00B648A4"/>
    <w:rsid w:val="00B651EF"/>
    <w:rsid w:val="00B66EDF"/>
    <w:rsid w:val="00B704F0"/>
    <w:rsid w:val="00B718D0"/>
    <w:rsid w:val="00B71A5A"/>
    <w:rsid w:val="00B738A2"/>
    <w:rsid w:val="00B73948"/>
    <w:rsid w:val="00B749BB"/>
    <w:rsid w:val="00B75335"/>
    <w:rsid w:val="00B7617B"/>
    <w:rsid w:val="00B801F9"/>
    <w:rsid w:val="00B805FF"/>
    <w:rsid w:val="00B808B4"/>
    <w:rsid w:val="00B81F6C"/>
    <w:rsid w:val="00B82014"/>
    <w:rsid w:val="00B823EF"/>
    <w:rsid w:val="00B83A60"/>
    <w:rsid w:val="00B843D0"/>
    <w:rsid w:val="00B8716B"/>
    <w:rsid w:val="00B87A2F"/>
    <w:rsid w:val="00B93B90"/>
    <w:rsid w:val="00B948D0"/>
    <w:rsid w:val="00B96C18"/>
    <w:rsid w:val="00B97587"/>
    <w:rsid w:val="00B97892"/>
    <w:rsid w:val="00B97DE6"/>
    <w:rsid w:val="00BA3384"/>
    <w:rsid w:val="00BA372B"/>
    <w:rsid w:val="00BA3DC0"/>
    <w:rsid w:val="00BA3EF0"/>
    <w:rsid w:val="00BA5C9F"/>
    <w:rsid w:val="00BA6B57"/>
    <w:rsid w:val="00BB1BA9"/>
    <w:rsid w:val="00BB3B0C"/>
    <w:rsid w:val="00BB7F7A"/>
    <w:rsid w:val="00BC18B4"/>
    <w:rsid w:val="00BC1BEE"/>
    <w:rsid w:val="00BC21AA"/>
    <w:rsid w:val="00BC2D64"/>
    <w:rsid w:val="00BC30E4"/>
    <w:rsid w:val="00BC3A6E"/>
    <w:rsid w:val="00BC3FC9"/>
    <w:rsid w:val="00BC442D"/>
    <w:rsid w:val="00BC762D"/>
    <w:rsid w:val="00BD1717"/>
    <w:rsid w:val="00BD1800"/>
    <w:rsid w:val="00BD1D7F"/>
    <w:rsid w:val="00BD4760"/>
    <w:rsid w:val="00BD6BB4"/>
    <w:rsid w:val="00BE1869"/>
    <w:rsid w:val="00BE22C1"/>
    <w:rsid w:val="00BE31FA"/>
    <w:rsid w:val="00BE3BE8"/>
    <w:rsid w:val="00BE49BB"/>
    <w:rsid w:val="00BE504B"/>
    <w:rsid w:val="00BE5572"/>
    <w:rsid w:val="00BE60E4"/>
    <w:rsid w:val="00BF06B1"/>
    <w:rsid w:val="00BF17C0"/>
    <w:rsid w:val="00BF1EEC"/>
    <w:rsid w:val="00BF2898"/>
    <w:rsid w:val="00BF5A60"/>
    <w:rsid w:val="00BF5ACC"/>
    <w:rsid w:val="00BF660A"/>
    <w:rsid w:val="00BF70CE"/>
    <w:rsid w:val="00BF7FD4"/>
    <w:rsid w:val="00C00214"/>
    <w:rsid w:val="00C00E20"/>
    <w:rsid w:val="00C01FF6"/>
    <w:rsid w:val="00C030B3"/>
    <w:rsid w:val="00C04513"/>
    <w:rsid w:val="00C04557"/>
    <w:rsid w:val="00C104F4"/>
    <w:rsid w:val="00C10ECF"/>
    <w:rsid w:val="00C12597"/>
    <w:rsid w:val="00C12CFF"/>
    <w:rsid w:val="00C13553"/>
    <w:rsid w:val="00C13722"/>
    <w:rsid w:val="00C13A3F"/>
    <w:rsid w:val="00C157CB"/>
    <w:rsid w:val="00C15F6F"/>
    <w:rsid w:val="00C1728F"/>
    <w:rsid w:val="00C216D9"/>
    <w:rsid w:val="00C237F7"/>
    <w:rsid w:val="00C264E9"/>
    <w:rsid w:val="00C27E97"/>
    <w:rsid w:val="00C30D6C"/>
    <w:rsid w:val="00C3287E"/>
    <w:rsid w:val="00C3389B"/>
    <w:rsid w:val="00C35759"/>
    <w:rsid w:val="00C36310"/>
    <w:rsid w:val="00C36414"/>
    <w:rsid w:val="00C36419"/>
    <w:rsid w:val="00C364B5"/>
    <w:rsid w:val="00C37F0B"/>
    <w:rsid w:val="00C40E18"/>
    <w:rsid w:val="00C41FFB"/>
    <w:rsid w:val="00C42630"/>
    <w:rsid w:val="00C42A55"/>
    <w:rsid w:val="00C452BB"/>
    <w:rsid w:val="00C457E3"/>
    <w:rsid w:val="00C500E2"/>
    <w:rsid w:val="00C503E3"/>
    <w:rsid w:val="00C50EF6"/>
    <w:rsid w:val="00C543FD"/>
    <w:rsid w:val="00C565FE"/>
    <w:rsid w:val="00C60DB1"/>
    <w:rsid w:val="00C613E7"/>
    <w:rsid w:val="00C6182A"/>
    <w:rsid w:val="00C621CF"/>
    <w:rsid w:val="00C622FE"/>
    <w:rsid w:val="00C630D7"/>
    <w:rsid w:val="00C63412"/>
    <w:rsid w:val="00C63D92"/>
    <w:rsid w:val="00C65494"/>
    <w:rsid w:val="00C66499"/>
    <w:rsid w:val="00C66F71"/>
    <w:rsid w:val="00C67033"/>
    <w:rsid w:val="00C70C5A"/>
    <w:rsid w:val="00C72C60"/>
    <w:rsid w:val="00C73432"/>
    <w:rsid w:val="00C7402C"/>
    <w:rsid w:val="00C74390"/>
    <w:rsid w:val="00C745A6"/>
    <w:rsid w:val="00C74FCC"/>
    <w:rsid w:val="00C772AB"/>
    <w:rsid w:val="00C81544"/>
    <w:rsid w:val="00C81752"/>
    <w:rsid w:val="00C81B57"/>
    <w:rsid w:val="00C84B8B"/>
    <w:rsid w:val="00C86946"/>
    <w:rsid w:val="00C86A21"/>
    <w:rsid w:val="00C86E42"/>
    <w:rsid w:val="00C87A6A"/>
    <w:rsid w:val="00C906EF"/>
    <w:rsid w:val="00C92B5A"/>
    <w:rsid w:val="00C9319B"/>
    <w:rsid w:val="00C9419E"/>
    <w:rsid w:val="00C9463A"/>
    <w:rsid w:val="00C9565F"/>
    <w:rsid w:val="00C95F9B"/>
    <w:rsid w:val="00C9766A"/>
    <w:rsid w:val="00CA1F65"/>
    <w:rsid w:val="00CA256D"/>
    <w:rsid w:val="00CA4335"/>
    <w:rsid w:val="00CA4864"/>
    <w:rsid w:val="00CA7DEC"/>
    <w:rsid w:val="00CB0608"/>
    <w:rsid w:val="00CB148A"/>
    <w:rsid w:val="00CB1790"/>
    <w:rsid w:val="00CB473C"/>
    <w:rsid w:val="00CB6096"/>
    <w:rsid w:val="00CB72F0"/>
    <w:rsid w:val="00CB7B40"/>
    <w:rsid w:val="00CB7F08"/>
    <w:rsid w:val="00CC06C0"/>
    <w:rsid w:val="00CC0AF9"/>
    <w:rsid w:val="00CC100B"/>
    <w:rsid w:val="00CC3195"/>
    <w:rsid w:val="00CC437F"/>
    <w:rsid w:val="00CC4808"/>
    <w:rsid w:val="00CC58E5"/>
    <w:rsid w:val="00CD0AE0"/>
    <w:rsid w:val="00CD3B3E"/>
    <w:rsid w:val="00CD3C34"/>
    <w:rsid w:val="00CD63E3"/>
    <w:rsid w:val="00CD6695"/>
    <w:rsid w:val="00CE0D3B"/>
    <w:rsid w:val="00CE130F"/>
    <w:rsid w:val="00CE4524"/>
    <w:rsid w:val="00CE649E"/>
    <w:rsid w:val="00CE736D"/>
    <w:rsid w:val="00CE7D47"/>
    <w:rsid w:val="00CF0392"/>
    <w:rsid w:val="00CF1FDA"/>
    <w:rsid w:val="00CF2152"/>
    <w:rsid w:val="00CF3653"/>
    <w:rsid w:val="00CF371A"/>
    <w:rsid w:val="00D01FE7"/>
    <w:rsid w:val="00D05DB0"/>
    <w:rsid w:val="00D06761"/>
    <w:rsid w:val="00D069E8"/>
    <w:rsid w:val="00D077E2"/>
    <w:rsid w:val="00D07AA6"/>
    <w:rsid w:val="00D1265D"/>
    <w:rsid w:val="00D12F24"/>
    <w:rsid w:val="00D22DC0"/>
    <w:rsid w:val="00D26D43"/>
    <w:rsid w:val="00D318A7"/>
    <w:rsid w:val="00D40315"/>
    <w:rsid w:val="00D41E56"/>
    <w:rsid w:val="00D42401"/>
    <w:rsid w:val="00D4524A"/>
    <w:rsid w:val="00D4535B"/>
    <w:rsid w:val="00D45D0F"/>
    <w:rsid w:val="00D46F5A"/>
    <w:rsid w:val="00D50113"/>
    <w:rsid w:val="00D50172"/>
    <w:rsid w:val="00D5053B"/>
    <w:rsid w:val="00D516B7"/>
    <w:rsid w:val="00D51A2D"/>
    <w:rsid w:val="00D5527A"/>
    <w:rsid w:val="00D60C97"/>
    <w:rsid w:val="00D64629"/>
    <w:rsid w:val="00D64D00"/>
    <w:rsid w:val="00D653AC"/>
    <w:rsid w:val="00D65645"/>
    <w:rsid w:val="00D66B47"/>
    <w:rsid w:val="00D67139"/>
    <w:rsid w:val="00D7103C"/>
    <w:rsid w:val="00D71539"/>
    <w:rsid w:val="00D726CB"/>
    <w:rsid w:val="00D72FD2"/>
    <w:rsid w:val="00D73151"/>
    <w:rsid w:val="00D73B18"/>
    <w:rsid w:val="00D74FCC"/>
    <w:rsid w:val="00D77969"/>
    <w:rsid w:val="00D800AD"/>
    <w:rsid w:val="00D80513"/>
    <w:rsid w:val="00D8108B"/>
    <w:rsid w:val="00D8193B"/>
    <w:rsid w:val="00D822B5"/>
    <w:rsid w:val="00D829C0"/>
    <w:rsid w:val="00D83555"/>
    <w:rsid w:val="00D856EE"/>
    <w:rsid w:val="00D87EA4"/>
    <w:rsid w:val="00D916C0"/>
    <w:rsid w:val="00D938FC"/>
    <w:rsid w:val="00D95944"/>
    <w:rsid w:val="00D95E59"/>
    <w:rsid w:val="00D976A2"/>
    <w:rsid w:val="00D97A51"/>
    <w:rsid w:val="00DA047A"/>
    <w:rsid w:val="00DA0974"/>
    <w:rsid w:val="00DA1326"/>
    <w:rsid w:val="00DA2503"/>
    <w:rsid w:val="00DA2B4A"/>
    <w:rsid w:val="00DA3ECC"/>
    <w:rsid w:val="00DA468F"/>
    <w:rsid w:val="00DA48C3"/>
    <w:rsid w:val="00DA7ACA"/>
    <w:rsid w:val="00DB145A"/>
    <w:rsid w:val="00DB4747"/>
    <w:rsid w:val="00DB4B46"/>
    <w:rsid w:val="00DB4BA6"/>
    <w:rsid w:val="00DB4E86"/>
    <w:rsid w:val="00DB62AE"/>
    <w:rsid w:val="00DB62BE"/>
    <w:rsid w:val="00DB6E11"/>
    <w:rsid w:val="00DB7004"/>
    <w:rsid w:val="00DB7F1A"/>
    <w:rsid w:val="00DC0269"/>
    <w:rsid w:val="00DC1C28"/>
    <w:rsid w:val="00DC2C71"/>
    <w:rsid w:val="00DC2DC8"/>
    <w:rsid w:val="00DC35AA"/>
    <w:rsid w:val="00DC48C7"/>
    <w:rsid w:val="00DD00ED"/>
    <w:rsid w:val="00DD10F8"/>
    <w:rsid w:val="00DD3D81"/>
    <w:rsid w:val="00DD40F6"/>
    <w:rsid w:val="00DD4DE5"/>
    <w:rsid w:val="00DD5CA9"/>
    <w:rsid w:val="00DD6558"/>
    <w:rsid w:val="00DE0D7A"/>
    <w:rsid w:val="00DE14E9"/>
    <w:rsid w:val="00DE1DF6"/>
    <w:rsid w:val="00DE256C"/>
    <w:rsid w:val="00DE45B7"/>
    <w:rsid w:val="00DE5B98"/>
    <w:rsid w:val="00DE5CA2"/>
    <w:rsid w:val="00DE73A6"/>
    <w:rsid w:val="00DF002D"/>
    <w:rsid w:val="00DF158A"/>
    <w:rsid w:val="00DF17F1"/>
    <w:rsid w:val="00DF2C36"/>
    <w:rsid w:val="00DF2D63"/>
    <w:rsid w:val="00DF5697"/>
    <w:rsid w:val="00DF5C79"/>
    <w:rsid w:val="00E00E19"/>
    <w:rsid w:val="00E02014"/>
    <w:rsid w:val="00E04217"/>
    <w:rsid w:val="00E04951"/>
    <w:rsid w:val="00E0544E"/>
    <w:rsid w:val="00E05FBF"/>
    <w:rsid w:val="00E0739C"/>
    <w:rsid w:val="00E125FF"/>
    <w:rsid w:val="00E12606"/>
    <w:rsid w:val="00E138E1"/>
    <w:rsid w:val="00E1411C"/>
    <w:rsid w:val="00E14AE5"/>
    <w:rsid w:val="00E15BF2"/>
    <w:rsid w:val="00E15C9F"/>
    <w:rsid w:val="00E17AE8"/>
    <w:rsid w:val="00E17E47"/>
    <w:rsid w:val="00E2381C"/>
    <w:rsid w:val="00E25385"/>
    <w:rsid w:val="00E265AE"/>
    <w:rsid w:val="00E30440"/>
    <w:rsid w:val="00E319D5"/>
    <w:rsid w:val="00E33A56"/>
    <w:rsid w:val="00E33AD3"/>
    <w:rsid w:val="00E35F63"/>
    <w:rsid w:val="00E40C19"/>
    <w:rsid w:val="00E4187C"/>
    <w:rsid w:val="00E4309F"/>
    <w:rsid w:val="00E43582"/>
    <w:rsid w:val="00E4536C"/>
    <w:rsid w:val="00E455AE"/>
    <w:rsid w:val="00E455F9"/>
    <w:rsid w:val="00E47716"/>
    <w:rsid w:val="00E50324"/>
    <w:rsid w:val="00E50A00"/>
    <w:rsid w:val="00E50AA7"/>
    <w:rsid w:val="00E511DD"/>
    <w:rsid w:val="00E54135"/>
    <w:rsid w:val="00E54AD6"/>
    <w:rsid w:val="00E54E17"/>
    <w:rsid w:val="00E564FB"/>
    <w:rsid w:val="00E6018E"/>
    <w:rsid w:val="00E61D94"/>
    <w:rsid w:val="00E62419"/>
    <w:rsid w:val="00E630EE"/>
    <w:rsid w:val="00E63490"/>
    <w:rsid w:val="00E64E2E"/>
    <w:rsid w:val="00E66AAB"/>
    <w:rsid w:val="00E66EA6"/>
    <w:rsid w:val="00E672F0"/>
    <w:rsid w:val="00E716D2"/>
    <w:rsid w:val="00E72BAC"/>
    <w:rsid w:val="00E7348F"/>
    <w:rsid w:val="00E76479"/>
    <w:rsid w:val="00E76C77"/>
    <w:rsid w:val="00E77058"/>
    <w:rsid w:val="00E770A7"/>
    <w:rsid w:val="00E80126"/>
    <w:rsid w:val="00E81551"/>
    <w:rsid w:val="00E83048"/>
    <w:rsid w:val="00E91E2C"/>
    <w:rsid w:val="00E9295F"/>
    <w:rsid w:val="00E95BF3"/>
    <w:rsid w:val="00E96017"/>
    <w:rsid w:val="00EA2098"/>
    <w:rsid w:val="00EA3F66"/>
    <w:rsid w:val="00EA5B55"/>
    <w:rsid w:val="00EA5BB1"/>
    <w:rsid w:val="00EA6C88"/>
    <w:rsid w:val="00EA6ED3"/>
    <w:rsid w:val="00EA7450"/>
    <w:rsid w:val="00EB0AE5"/>
    <w:rsid w:val="00EB1095"/>
    <w:rsid w:val="00EB257F"/>
    <w:rsid w:val="00EB25D9"/>
    <w:rsid w:val="00EB2B39"/>
    <w:rsid w:val="00EB6EEF"/>
    <w:rsid w:val="00EC183A"/>
    <w:rsid w:val="00EC3BF3"/>
    <w:rsid w:val="00EC4A53"/>
    <w:rsid w:val="00EC4F6C"/>
    <w:rsid w:val="00EC6EB9"/>
    <w:rsid w:val="00EC74B7"/>
    <w:rsid w:val="00ED0141"/>
    <w:rsid w:val="00ED1581"/>
    <w:rsid w:val="00ED2843"/>
    <w:rsid w:val="00ED47F2"/>
    <w:rsid w:val="00ED6850"/>
    <w:rsid w:val="00EE25F9"/>
    <w:rsid w:val="00EE27EE"/>
    <w:rsid w:val="00EE45E7"/>
    <w:rsid w:val="00EE5B0F"/>
    <w:rsid w:val="00EE74D6"/>
    <w:rsid w:val="00EF1007"/>
    <w:rsid w:val="00EF1530"/>
    <w:rsid w:val="00EF166D"/>
    <w:rsid w:val="00EF1A90"/>
    <w:rsid w:val="00EF1C64"/>
    <w:rsid w:val="00EF3313"/>
    <w:rsid w:val="00EF33E4"/>
    <w:rsid w:val="00EF367C"/>
    <w:rsid w:val="00EF5BB2"/>
    <w:rsid w:val="00F00841"/>
    <w:rsid w:val="00F00EA8"/>
    <w:rsid w:val="00F01C41"/>
    <w:rsid w:val="00F029F1"/>
    <w:rsid w:val="00F02B7C"/>
    <w:rsid w:val="00F02E10"/>
    <w:rsid w:val="00F04099"/>
    <w:rsid w:val="00F04E5D"/>
    <w:rsid w:val="00F10198"/>
    <w:rsid w:val="00F1202A"/>
    <w:rsid w:val="00F12B6C"/>
    <w:rsid w:val="00F13369"/>
    <w:rsid w:val="00F134E1"/>
    <w:rsid w:val="00F138F7"/>
    <w:rsid w:val="00F152E7"/>
    <w:rsid w:val="00F15E81"/>
    <w:rsid w:val="00F173E5"/>
    <w:rsid w:val="00F2044F"/>
    <w:rsid w:val="00F22C6B"/>
    <w:rsid w:val="00F22DD2"/>
    <w:rsid w:val="00F235D2"/>
    <w:rsid w:val="00F23E2C"/>
    <w:rsid w:val="00F2427C"/>
    <w:rsid w:val="00F25C63"/>
    <w:rsid w:val="00F267F5"/>
    <w:rsid w:val="00F268AE"/>
    <w:rsid w:val="00F35BCD"/>
    <w:rsid w:val="00F406DB"/>
    <w:rsid w:val="00F40D43"/>
    <w:rsid w:val="00F41766"/>
    <w:rsid w:val="00F41E7F"/>
    <w:rsid w:val="00F42737"/>
    <w:rsid w:val="00F4562D"/>
    <w:rsid w:val="00F45726"/>
    <w:rsid w:val="00F45999"/>
    <w:rsid w:val="00F45C16"/>
    <w:rsid w:val="00F46C57"/>
    <w:rsid w:val="00F50B36"/>
    <w:rsid w:val="00F50FE6"/>
    <w:rsid w:val="00F54266"/>
    <w:rsid w:val="00F54FD4"/>
    <w:rsid w:val="00F55130"/>
    <w:rsid w:val="00F55147"/>
    <w:rsid w:val="00F5553C"/>
    <w:rsid w:val="00F60332"/>
    <w:rsid w:val="00F606F6"/>
    <w:rsid w:val="00F610BE"/>
    <w:rsid w:val="00F61F14"/>
    <w:rsid w:val="00F6227C"/>
    <w:rsid w:val="00F62558"/>
    <w:rsid w:val="00F6331D"/>
    <w:rsid w:val="00F633B8"/>
    <w:rsid w:val="00F70A7D"/>
    <w:rsid w:val="00F718D3"/>
    <w:rsid w:val="00F72DF4"/>
    <w:rsid w:val="00F74DCF"/>
    <w:rsid w:val="00F750F8"/>
    <w:rsid w:val="00F7542B"/>
    <w:rsid w:val="00F7589D"/>
    <w:rsid w:val="00F75B7E"/>
    <w:rsid w:val="00F812D2"/>
    <w:rsid w:val="00F820A6"/>
    <w:rsid w:val="00F831BC"/>
    <w:rsid w:val="00F832E3"/>
    <w:rsid w:val="00F83563"/>
    <w:rsid w:val="00F84CAE"/>
    <w:rsid w:val="00F854D1"/>
    <w:rsid w:val="00F90383"/>
    <w:rsid w:val="00F90C70"/>
    <w:rsid w:val="00F914F5"/>
    <w:rsid w:val="00F9176B"/>
    <w:rsid w:val="00F919F3"/>
    <w:rsid w:val="00F94812"/>
    <w:rsid w:val="00F9531F"/>
    <w:rsid w:val="00F95372"/>
    <w:rsid w:val="00F95854"/>
    <w:rsid w:val="00F9646B"/>
    <w:rsid w:val="00F96A76"/>
    <w:rsid w:val="00F96BBF"/>
    <w:rsid w:val="00F97AC9"/>
    <w:rsid w:val="00F97F6C"/>
    <w:rsid w:val="00FA0384"/>
    <w:rsid w:val="00FA09FA"/>
    <w:rsid w:val="00FA0B16"/>
    <w:rsid w:val="00FA262A"/>
    <w:rsid w:val="00FA2A6D"/>
    <w:rsid w:val="00FA3F5D"/>
    <w:rsid w:val="00FA46B1"/>
    <w:rsid w:val="00FA4C7D"/>
    <w:rsid w:val="00FA6A5D"/>
    <w:rsid w:val="00FA7201"/>
    <w:rsid w:val="00FA7379"/>
    <w:rsid w:val="00FB0895"/>
    <w:rsid w:val="00FB0D74"/>
    <w:rsid w:val="00FB0E09"/>
    <w:rsid w:val="00FB0EF5"/>
    <w:rsid w:val="00FB2E5E"/>
    <w:rsid w:val="00FB4076"/>
    <w:rsid w:val="00FB46DB"/>
    <w:rsid w:val="00FB6724"/>
    <w:rsid w:val="00FC00E5"/>
    <w:rsid w:val="00FC221F"/>
    <w:rsid w:val="00FC283B"/>
    <w:rsid w:val="00FC2E1A"/>
    <w:rsid w:val="00FC470E"/>
    <w:rsid w:val="00FC4BA8"/>
    <w:rsid w:val="00FC4F68"/>
    <w:rsid w:val="00FC59F7"/>
    <w:rsid w:val="00FC5B69"/>
    <w:rsid w:val="00FC6529"/>
    <w:rsid w:val="00FC7018"/>
    <w:rsid w:val="00FD04E6"/>
    <w:rsid w:val="00FD408A"/>
    <w:rsid w:val="00FD4E30"/>
    <w:rsid w:val="00FD4E82"/>
    <w:rsid w:val="00FD5237"/>
    <w:rsid w:val="00FD691D"/>
    <w:rsid w:val="00FD74C1"/>
    <w:rsid w:val="00FE0645"/>
    <w:rsid w:val="00FE36EE"/>
    <w:rsid w:val="00FE3C09"/>
    <w:rsid w:val="00FE4514"/>
    <w:rsid w:val="00FE5736"/>
    <w:rsid w:val="00FE59FD"/>
    <w:rsid w:val="00FE5CB5"/>
    <w:rsid w:val="00FE6478"/>
    <w:rsid w:val="00FE7F02"/>
    <w:rsid w:val="00FF0044"/>
    <w:rsid w:val="00FF0194"/>
    <w:rsid w:val="00FF0F43"/>
    <w:rsid w:val="00FF174F"/>
    <w:rsid w:val="00FF249E"/>
    <w:rsid w:val="00FF5AC3"/>
    <w:rsid w:val="00FF602B"/>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0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5"/>
    <w:rPr>
      <w:sz w:val="24"/>
      <w:szCs w:val="20"/>
    </w:rPr>
  </w:style>
  <w:style w:type="paragraph" w:styleId="Heading1">
    <w:name w:val="heading 1"/>
    <w:basedOn w:val="Normal"/>
    <w:next w:val="Normal"/>
    <w:link w:val="Heading1Char"/>
    <w:uiPriority w:val="99"/>
    <w:qFormat/>
    <w:rsid w:val="008B3F3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F32"/>
    <w:rPr>
      <w:rFonts w:ascii="Cambria" w:hAnsi="Cambria" w:cs="Times New Roman"/>
      <w:b/>
      <w:bCs/>
      <w:color w:val="365F91"/>
      <w:sz w:val="28"/>
      <w:szCs w:val="28"/>
    </w:rPr>
  </w:style>
  <w:style w:type="paragraph" w:customStyle="1" w:styleId="Level1">
    <w:name w:val="Level 1"/>
    <w:basedOn w:val="Normal"/>
    <w:uiPriority w:val="99"/>
    <w:rsid w:val="000B31C5"/>
    <w:pPr>
      <w:widowControl w:val="0"/>
    </w:pPr>
  </w:style>
  <w:style w:type="character" w:styleId="CommentReference">
    <w:name w:val="annotation reference"/>
    <w:basedOn w:val="DefaultParagraphFont"/>
    <w:uiPriority w:val="99"/>
    <w:semiHidden/>
    <w:rsid w:val="000B31C5"/>
    <w:rPr>
      <w:rFonts w:cs="Times New Roman"/>
      <w:sz w:val="16"/>
      <w:szCs w:val="16"/>
    </w:rPr>
  </w:style>
  <w:style w:type="paragraph" w:styleId="CommentText">
    <w:name w:val="annotation text"/>
    <w:basedOn w:val="Normal"/>
    <w:link w:val="CommentTextChar"/>
    <w:uiPriority w:val="99"/>
    <w:semiHidden/>
    <w:rsid w:val="000B31C5"/>
    <w:rPr>
      <w:sz w:val="20"/>
    </w:rPr>
  </w:style>
  <w:style w:type="character" w:customStyle="1" w:styleId="CommentTextChar">
    <w:name w:val="Comment Text Char"/>
    <w:basedOn w:val="DefaultParagraphFont"/>
    <w:link w:val="CommentText"/>
    <w:uiPriority w:val="99"/>
    <w:semiHidden/>
    <w:rsid w:val="00591516"/>
    <w:rPr>
      <w:sz w:val="20"/>
      <w:szCs w:val="20"/>
    </w:rPr>
  </w:style>
  <w:style w:type="paragraph" w:styleId="BalloonText">
    <w:name w:val="Balloon Text"/>
    <w:basedOn w:val="Normal"/>
    <w:link w:val="BalloonTextChar"/>
    <w:uiPriority w:val="99"/>
    <w:semiHidden/>
    <w:rsid w:val="000B31C5"/>
    <w:rPr>
      <w:rFonts w:ascii="Tahoma" w:hAnsi="Tahoma" w:cs="Tahoma"/>
      <w:sz w:val="16"/>
      <w:szCs w:val="16"/>
    </w:rPr>
  </w:style>
  <w:style w:type="character" w:customStyle="1" w:styleId="BalloonTextChar">
    <w:name w:val="Balloon Text Char"/>
    <w:basedOn w:val="DefaultParagraphFont"/>
    <w:link w:val="BalloonText"/>
    <w:uiPriority w:val="99"/>
    <w:semiHidden/>
    <w:rsid w:val="00591516"/>
    <w:rPr>
      <w:sz w:val="0"/>
      <w:szCs w:val="0"/>
    </w:rPr>
  </w:style>
  <w:style w:type="paragraph" w:styleId="Footer">
    <w:name w:val="footer"/>
    <w:basedOn w:val="Normal"/>
    <w:link w:val="FooterChar"/>
    <w:uiPriority w:val="99"/>
    <w:rsid w:val="001730C0"/>
    <w:pPr>
      <w:tabs>
        <w:tab w:val="center" w:pos="4320"/>
        <w:tab w:val="right" w:pos="8640"/>
      </w:tabs>
    </w:pPr>
  </w:style>
  <w:style w:type="character" w:customStyle="1" w:styleId="FooterChar">
    <w:name w:val="Footer Char"/>
    <w:basedOn w:val="DefaultParagraphFont"/>
    <w:link w:val="Footer"/>
    <w:uiPriority w:val="99"/>
    <w:semiHidden/>
    <w:rsid w:val="00591516"/>
    <w:rPr>
      <w:sz w:val="24"/>
      <w:szCs w:val="20"/>
    </w:rPr>
  </w:style>
  <w:style w:type="character" w:styleId="PageNumber">
    <w:name w:val="page number"/>
    <w:basedOn w:val="DefaultParagraphFont"/>
    <w:uiPriority w:val="99"/>
    <w:rsid w:val="001730C0"/>
    <w:rPr>
      <w:rFonts w:cs="Times New Roman"/>
    </w:rPr>
  </w:style>
  <w:style w:type="paragraph" w:styleId="Header">
    <w:name w:val="header"/>
    <w:basedOn w:val="Normal"/>
    <w:link w:val="HeaderChar"/>
    <w:uiPriority w:val="99"/>
    <w:rsid w:val="001730C0"/>
    <w:pPr>
      <w:tabs>
        <w:tab w:val="center" w:pos="4320"/>
        <w:tab w:val="right" w:pos="8640"/>
      </w:tabs>
    </w:pPr>
  </w:style>
  <w:style w:type="character" w:customStyle="1" w:styleId="HeaderChar">
    <w:name w:val="Header Char"/>
    <w:basedOn w:val="DefaultParagraphFont"/>
    <w:link w:val="Header"/>
    <w:uiPriority w:val="99"/>
    <w:locked/>
    <w:rsid w:val="00C00214"/>
    <w:rPr>
      <w:rFonts w:cs="Times New Roman"/>
      <w:sz w:val="24"/>
    </w:rPr>
  </w:style>
  <w:style w:type="paragraph" w:styleId="FootnoteText">
    <w:name w:val="footnote text"/>
    <w:basedOn w:val="Normal"/>
    <w:link w:val="FootnoteTextChar"/>
    <w:uiPriority w:val="99"/>
    <w:semiHidden/>
    <w:rsid w:val="008C1EC3"/>
    <w:rPr>
      <w:rFonts w:ascii="Arial" w:hAnsi="Arial"/>
      <w:sz w:val="20"/>
    </w:rPr>
  </w:style>
  <w:style w:type="character" w:customStyle="1" w:styleId="FootnoteTextChar">
    <w:name w:val="Footnote Text Char"/>
    <w:basedOn w:val="DefaultParagraphFont"/>
    <w:link w:val="FootnoteText"/>
    <w:uiPriority w:val="99"/>
    <w:semiHidden/>
    <w:rsid w:val="00591516"/>
    <w:rPr>
      <w:sz w:val="20"/>
      <w:szCs w:val="20"/>
    </w:rPr>
  </w:style>
  <w:style w:type="character" w:styleId="FootnoteReference">
    <w:name w:val="footnote reference"/>
    <w:basedOn w:val="DefaultParagraphFont"/>
    <w:uiPriority w:val="99"/>
    <w:semiHidden/>
    <w:rsid w:val="008C1EC3"/>
    <w:rPr>
      <w:rFonts w:cs="Times New Roman"/>
      <w:vertAlign w:val="superscript"/>
    </w:rPr>
  </w:style>
  <w:style w:type="character" w:styleId="Hyperlink">
    <w:name w:val="Hyperlink"/>
    <w:basedOn w:val="DefaultParagraphFont"/>
    <w:uiPriority w:val="99"/>
    <w:rsid w:val="008C1EC3"/>
    <w:rPr>
      <w:rFonts w:cs="Times New Roman"/>
      <w:color w:val="0000FF"/>
      <w:u w:val="single"/>
    </w:rPr>
  </w:style>
  <w:style w:type="paragraph" w:styleId="BodyTextIndent">
    <w:name w:val="Body Text Indent"/>
    <w:basedOn w:val="Normal"/>
    <w:link w:val="BodyTextIndentChar"/>
    <w:uiPriority w:val="99"/>
    <w:rsid w:val="00F718D3"/>
    <w:pPr>
      <w:autoSpaceDE w:val="0"/>
      <w:autoSpaceDN w:val="0"/>
      <w:adjustRightInd w:val="0"/>
      <w:ind w:firstLine="1440"/>
    </w:pPr>
    <w:rPr>
      <w:rFonts w:ascii="NewCenturySchlbk-Roman" w:hAnsi="NewCenturySchlbk-Roman"/>
      <w:sz w:val="20"/>
    </w:rPr>
  </w:style>
  <w:style w:type="character" w:customStyle="1" w:styleId="BodyTextIndentChar">
    <w:name w:val="Body Text Indent Char"/>
    <w:basedOn w:val="DefaultParagraphFont"/>
    <w:link w:val="BodyTextIndent"/>
    <w:uiPriority w:val="99"/>
    <w:semiHidden/>
    <w:rsid w:val="00591516"/>
    <w:rPr>
      <w:sz w:val="24"/>
      <w:szCs w:val="20"/>
    </w:rPr>
  </w:style>
  <w:style w:type="paragraph" w:styleId="HTMLPreformatted">
    <w:name w:val="HTML Preformatted"/>
    <w:basedOn w:val="Normal"/>
    <w:link w:val="HTMLPreformattedChar"/>
    <w:uiPriority w:val="99"/>
    <w:rsid w:val="00F7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rsid w:val="00591516"/>
    <w:rPr>
      <w:rFonts w:ascii="Courier New" w:hAnsi="Courier New" w:cs="Courier New"/>
      <w:sz w:val="20"/>
      <w:szCs w:val="20"/>
    </w:rPr>
  </w:style>
  <w:style w:type="character" w:styleId="Strong">
    <w:name w:val="Strong"/>
    <w:basedOn w:val="DefaultParagraphFont"/>
    <w:uiPriority w:val="99"/>
    <w:qFormat/>
    <w:rsid w:val="00F718D3"/>
    <w:rPr>
      <w:rFonts w:cs="Times New Roman"/>
      <w:b/>
      <w:bCs/>
    </w:rPr>
  </w:style>
  <w:style w:type="table" w:styleId="TableGrid">
    <w:name w:val="Table Grid"/>
    <w:basedOn w:val="TableNormal"/>
    <w:uiPriority w:val="99"/>
    <w:rsid w:val="008744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015AF6"/>
    <w:rPr>
      <w:b/>
      <w:bCs/>
    </w:rPr>
  </w:style>
  <w:style w:type="character" w:customStyle="1" w:styleId="CommentSubjectChar">
    <w:name w:val="Comment Subject Char"/>
    <w:basedOn w:val="CommentTextChar"/>
    <w:link w:val="CommentSubject"/>
    <w:uiPriority w:val="99"/>
    <w:semiHidden/>
    <w:rsid w:val="00591516"/>
    <w:rPr>
      <w:b/>
      <w:bCs/>
      <w:sz w:val="20"/>
      <w:szCs w:val="20"/>
    </w:rPr>
  </w:style>
  <w:style w:type="paragraph" w:styleId="ListParagraph">
    <w:name w:val="List Paragraph"/>
    <w:basedOn w:val="Normal"/>
    <w:uiPriority w:val="99"/>
    <w:qFormat/>
    <w:rsid w:val="009F0BBC"/>
    <w:pPr>
      <w:ind w:left="720"/>
    </w:pPr>
  </w:style>
  <w:style w:type="paragraph" w:styleId="TOCHeading">
    <w:name w:val="TOC Heading"/>
    <w:basedOn w:val="Heading1"/>
    <w:next w:val="Normal"/>
    <w:uiPriority w:val="99"/>
    <w:qFormat/>
    <w:rsid w:val="008B3F32"/>
    <w:pPr>
      <w:spacing w:line="276" w:lineRule="auto"/>
      <w:outlineLvl w:val="9"/>
    </w:pPr>
  </w:style>
  <w:style w:type="paragraph" w:styleId="TOC1">
    <w:name w:val="toc 1"/>
    <w:basedOn w:val="Normal"/>
    <w:next w:val="Normal"/>
    <w:autoRedefine/>
    <w:uiPriority w:val="39"/>
    <w:rsid w:val="00BE3BE8"/>
    <w:pPr>
      <w:spacing w:after="100"/>
    </w:pPr>
  </w:style>
  <w:style w:type="paragraph" w:styleId="EndnoteText">
    <w:name w:val="endnote text"/>
    <w:basedOn w:val="Normal"/>
    <w:link w:val="EndnoteTextChar"/>
    <w:uiPriority w:val="99"/>
    <w:rsid w:val="000F1AA8"/>
    <w:rPr>
      <w:sz w:val="20"/>
    </w:rPr>
  </w:style>
  <w:style w:type="character" w:customStyle="1" w:styleId="EndnoteTextChar">
    <w:name w:val="Endnote Text Char"/>
    <w:basedOn w:val="DefaultParagraphFont"/>
    <w:link w:val="EndnoteText"/>
    <w:uiPriority w:val="99"/>
    <w:locked/>
    <w:rsid w:val="000F1AA8"/>
    <w:rPr>
      <w:rFonts w:cs="Times New Roman"/>
    </w:rPr>
  </w:style>
  <w:style w:type="character" w:styleId="EndnoteReference">
    <w:name w:val="endnote reference"/>
    <w:basedOn w:val="DefaultParagraphFont"/>
    <w:uiPriority w:val="99"/>
    <w:rsid w:val="000F1AA8"/>
    <w:rPr>
      <w:rFonts w:cs="Times New Roman"/>
      <w:vertAlign w:val="superscript"/>
    </w:rPr>
  </w:style>
  <w:style w:type="paragraph" w:styleId="TOC2">
    <w:name w:val="toc 2"/>
    <w:basedOn w:val="Normal"/>
    <w:next w:val="Normal"/>
    <w:autoRedefine/>
    <w:uiPriority w:val="99"/>
    <w:rsid w:val="00D40315"/>
    <w:pPr>
      <w:spacing w:after="100"/>
      <w:ind w:left="240"/>
    </w:pPr>
  </w:style>
  <w:style w:type="paragraph" w:customStyle="1" w:styleId="Default">
    <w:name w:val="Default"/>
    <w:rsid w:val="00D26D43"/>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F54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0-07/pdf/2014-2325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otaq/models/moves/documents/420b14008.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FR-2015-03-06/pdf/2015-04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5D89-F196-4297-B581-D4EE42E2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11635</Words>
  <Characters>66321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2015-08-07T13:55:00Z</dcterms:created>
  <dcterms:modified xsi:type="dcterms:W3CDTF">2015-08-07T13:55:00Z</dcterms:modified>
</cp:coreProperties>
</file>