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776476"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C146F1" w:rsidRDefault="00776476" w:rsidP="00D6543A">
      <w:pPr>
        <w:rPr>
          <w:b/>
        </w:rPr>
      </w:pPr>
      <w:r w:rsidRPr="00776476">
        <w:rPr>
          <w:b/>
        </w:rPr>
        <w:t xml:space="preserve">NESHAP for Polyvinyl Chloride and Copolymers Production Area Sources </w:t>
      </w:r>
      <w:r w:rsidR="00957C6F">
        <w:rPr>
          <w:b/>
        </w:rPr>
        <w:t xml:space="preserve">(40 CFR Part 63, Subpart </w:t>
      </w:r>
      <w:r w:rsidRPr="00776476">
        <w:rPr>
          <w:b/>
        </w:rPr>
        <w:t xml:space="preserve">DDDDDD) (Renewal)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776476" w:rsidP="002B29A5">
      <w:pPr>
        <w:rPr>
          <w:bCs/>
          <w:color w:val="000000"/>
        </w:rPr>
      </w:pPr>
      <w:r w:rsidRPr="00776476">
        <w:t>NESHAP for Polyvinyl Chloride and Copolymers Production Area Sources (40 CFR Part 63, Subpart DDDDDD) (Renewal)</w:t>
      </w:r>
      <w:r w:rsidRPr="00776476">
        <w:rPr>
          <w:bCs/>
        </w:rPr>
        <w:t>,</w:t>
      </w:r>
      <w:r w:rsidR="002B29A5" w:rsidRPr="004C5E95">
        <w:rPr>
          <w:bCs/>
        </w:rPr>
        <w:t xml:space="preserve"> EPA ICR Number </w:t>
      </w:r>
      <w:r w:rsidR="00C146F1">
        <w:rPr>
          <w:bCs/>
        </w:rPr>
        <w:t>2454.02</w:t>
      </w:r>
      <w:r w:rsidRPr="00776476">
        <w:rPr>
          <w:bCs/>
        </w:rPr>
        <w:t>,</w:t>
      </w:r>
      <w:r w:rsidR="002B29A5">
        <w:rPr>
          <w:bCs/>
          <w:color w:val="FF0000"/>
        </w:rPr>
        <w:t xml:space="preserve"> </w:t>
      </w:r>
      <w:r w:rsidR="002B29A5" w:rsidRPr="004C5E95">
        <w:rPr>
          <w:bCs/>
        </w:rPr>
        <w:t>OMB Control Number 2060-</w:t>
      </w:r>
      <w:r w:rsidR="00C146F1">
        <w:rPr>
          <w:bCs/>
        </w:rPr>
        <w:t>0684</w:t>
      </w:r>
      <w:r w:rsidRPr="00776476">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rsidP="00D6543A">
      <w:pPr>
        <w:ind w:firstLine="720"/>
        <w:rPr>
          <w:color w:val="000000"/>
        </w:rPr>
      </w:pPr>
      <w:r>
        <w:rPr>
          <w:color w:val="FF0000"/>
        </w:rPr>
        <w:tab/>
      </w:r>
    </w:p>
    <w:p w:rsidR="00CA7A8D" w:rsidRDefault="00776476">
      <w:pPr>
        <w:ind w:firstLine="720"/>
      </w:pPr>
      <w:r w:rsidRPr="00776476">
        <w:t>The National Emission Standards for Hazardous Air Pollutants (NESHAP) for</w:t>
      </w:r>
      <w:r w:rsidR="00CA4CD6">
        <w:rPr>
          <w:color w:val="000000"/>
        </w:rPr>
        <w:t xml:space="preserve"> </w:t>
      </w:r>
      <w:r w:rsidR="00C146F1">
        <w:t xml:space="preserve">Polyvinyl Chloride </w:t>
      </w:r>
      <w:r w:rsidR="00E00DF4">
        <w:t xml:space="preserve">(PVC) </w:t>
      </w:r>
      <w:r w:rsidR="00C146F1">
        <w:t>and Copolymers Production Area Sources</w:t>
      </w:r>
      <w:r w:rsidR="00CA4CD6">
        <w:rPr>
          <w:color w:val="000000"/>
        </w:rPr>
        <w:t xml:space="preserve"> were </w:t>
      </w:r>
      <w:r w:rsidR="00CA7A8D">
        <w:rPr>
          <w:color w:val="000000"/>
        </w:rPr>
        <w:t xml:space="preserve">originally promulgated on January 23, 2007.  </w:t>
      </w:r>
      <w:r w:rsidR="00CA7A8D">
        <w:t xml:space="preserve">The original rule was based on GACT and required area sources to meet the requirements imposed by the NESHAP for PVC Production, in 40 CFR, part 61, subpart F, referred to as the part 61 NESHAP.  The part 61 NESHAP requirements address only </w:t>
      </w:r>
      <w:r w:rsidR="00CA7A8D" w:rsidRPr="00C014A1">
        <w:t xml:space="preserve">vinyl chloride emissions. </w:t>
      </w:r>
      <w:r w:rsidR="00CA7A8D">
        <w:t xml:space="preserve"> </w:t>
      </w:r>
      <w:r w:rsidR="00CA7A8D" w:rsidRPr="00C014A1">
        <w:t xml:space="preserve">On May 20, 2011, the EPA issued a proposal to update the PVC Area Source NESHAP in accordance with the Clean Air Act (CAA) section 112. </w:t>
      </w:r>
      <w:r w:rsidR="00CA7A8D">
        <w:t xml:space="preserve"> The updated Subpart DDDDDD is promulgated on April 17, 2012, and applies to new and existing </w:t>
      </w:r>
      <w:r w:rsidR="00E00DF4">
        <w:t>PVC</w:t>
      </w:r>
      <w:r w:rsidR="00CA7A8D">
        <w:t xml:space="preserve"> and copolymer production facilities that </w:t>
      </w:r>
      <w:r w:rsidR="00EB73D8">
        <w:t>are</w:t>
      </w:r>
      <w:r w:rsidR="00CA7A8D">
        <w:t xml:space="preserve"> an area source of hazardous air pollutants (HAP). </w:t>
      </w:r>
    </w:p>
    <w:p w:rsidR="00CA7A8D" w:rsidRDefault="00CA7A8D">
      <w:pPr>
        <w:ind w:firstLine="720"/>
      </w:pPr>
    </w:p>
    <w:p w:rsidR="00CA4CD6" w:rsidRPr="00CA7A8D" w:rsidRDefault="00CA7A8D" w:rsidP="00CA7A8D">
      <w:pPr>
        <w:ind w:firstLine="720"/>
      </w:pPr>
      <w:r>
        <w:t>This ICR includes burden estimates for area sources only.  Major sources are regulated under NESHAP Subpart HHHHHHH and the</w:t>
      </w:r>
      <w:r w:rsidR="00EB73D8">
        <w:t>ir</w:t>
      </w:r>
      <w:r>
        <w:t xml:space="preserve"> burden</w:t>
      </w:r>
      <w:r w:rsidR="00EB73D8">
        <w:t>s</w:t>
      </w:r>
      <w:r>
        <w:t xml:space="preserve"> are included in a </w:t>
      </w:r>
      <w:r w:rsidR="001C3200">
        <w:t>separate ICR (</w:t>
      </w:r>
      <w:r>
        <w:t xml:space="preserve">EPA ICR Number </w:t>
      </w:r>
      <w:r w:rsidR="001C3200">
        <w:t>2432.0</w:t>
      </w:r>
      <w:r>
        <w:t>2</w:t>
      </w:r>
      <w:r w:rsidR="001C3200">
        <w:t>).</w:t>
      </w:r>
      <w:r w:rsidR="00E00DF4">
        <w:t xml:space="preserve"> </w:t>
      </w:r>
      <w:r w:rsidR="00A87CAA">
        <w:t xml:space="preserve"> </w:t>
      </w:r>
      <w:r w:rsidR="00CA4CD6">
        <w:rPr>
          <w:color w:val="000000"/>
        </w:rPr>
        <w:t xml:space="preserve">New facilities include those that commenced construction or reconstruction after the date of proposal.  This information is being collected to assure compliance with 40 CFR </w:t>
      </w:r>
      <w:r w:rsidR="00776476" w:rsidRPr="00776476">
        <w:t>Part 63, Subpart</w:t>
      </w:r>
      <w:r w:rsidR="006810C3">
        <w:rPr>
          <w:color w:val="000000"/>
        </w:rPr>
        <w:t xml:space="preserve"> </w:t>
      </w:r>
      <w:r w:rsidR="00AC668A">
        <w:rPr>
          <w:color w:val="000000"/>
        </w:rPr>
        <w:t>DDDDDD</w:t>
      </w:r>
      <w:r w:rsidR="00CA4CD6">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00776476" w:rsidRPr="00776476">
        <w:t>all NESHAP standards require initial notifications, performance tests, and periodic reports by the owners/operators</w:t>
      </w:r>
      <w:r>
        <w:rPr>
          <w:color w:val="000000"/>
        </w:rPr>
        <w:t xml:space="preserve">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776476" w:rsidRPr="00776476">
        <w:t>NESHAP.</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776476" w:rsidRPr="00776476">
        <w:t>five</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DC0941" w:rsidRDefault="00DC0941">
      <w:pPr>
        <w:pBdr>
          <w:top w:val="single" w:sz="6" w:space="0" w:color="FFFFFF"/>
          <w:left w:val="single" w:sz="6" w:space="0" w:color="FFFFFF"/>
          <w:bottom w:val="single" w:sz="6" w:space="0" w:color="FFFFFF"/>
          <w:right w:val="single" w:sz="6" w:space="0" w:color="FFFFFF"/>
        </w:pBdr>
      </w:pPr>
    </w:p>
    <w:p w:rsidR="00CA4CD6" w:rsidRDefault="00DC0941" w:rsidP="009A79AB">
      <w:pPr>
        <w:pBdr>
          <w:top w:val="single" w:sz="6" w:space="0" w:color="FFFFFF"/>
          <w:left w:val="single" w:sz="6" w:space="0" w:color="FFFFFF"/>
          <w:bottom w:val="single" w:sz="6" w:space="0" w:color="FFFFFF"/>
          <w:right w:val="single" w:sz="6" w:space="0" w:color="FFFFFF"/>
        </w:pBdr>
        <w:ind w:firstLine="720"/>
      </w:pPr>
      <w:r>
        <w:t xml:space="preserve">All of the PVC and copolymer area source facilities are owned by the private sector.  </w:t>
      </w:r>
      <w:r w:rsidRPr="00776476">
        <w:t>The burden to the “Affected Public” may be found in Table 1: Annual Respondent Burden and Cost –</w:t>
      </w:r>
      <w:r>
        <w:rPr>
          <w:color w:val="FF0000"/>
        </w:rPr>
        <w:t xml:space="preserve"> </w:t>
      </w:r>
      <w:r w:rsidRPr="00957C6F">
        <w:t xml:space="preserve">NESHAP for Polyvinyl Chloride and Copolymers Production Area Sources (40 CFR Part 63, </w:t>
      </w:r>
      <w:r w:rsidRPr="00957C6F">
        <w:lastRenderedPageBreak/>
        <w:t>Subpart DDDDDD) (Renewal</w:t>
      </w:r>
      <w:r w:rsidRPr="00D50845">
        <w:t>)</w:t>
      </w:r>
      <w:r w:rsidRPr="00776476">
        <w:t>.  The “Federal Government” burden is attributed entirely to work performed by federal employees or government contractors and may be found in Table 2: Average Annual EPA Burden and Cost –</w:t>
      </w:r>
      <w:r>
        <w:rPr>
          <w:color w:val="FF0000"/>
        </w:rPr>
        <w:t xml:space="preserve"> </w:t>
      </w:r>
      <w:r w:rsidRPr="00957C6F">
        <w:t>NESHAP for Polyvinyl Chloride and Copolymers Production Area Sources (40 CFR Part 63, Subpart DDDDDD) (Renewal)</w:t>
      </w:r>
      <w:r w:rsidRPr="00776476">
        <w:t>.</w:t>
      </w:r>
    </w:p>
    <w:p w:rsidR="00DC0941" w:rsidRDefault="00DC0941" w:rsidP="009A79A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C0941">
        <w:rPr>
          <w:color w:val="000000"/>
        </w:rPr>
        <w:t>approximately</w:t>
      </w:r>
      <w:r>
        <w:rPr>
          <w:color w:val="000000"/>
        </w:rPr>
        <w:t xml:space="preserve"> </w:t>
      </w:r>
      <w:r w:rsidR="00FC1309">
        <w:rPr>
          <w:color w:val="000000"/>
        </w:rPr>
        <w:t>3</w:t>
      </w:r>
      <w:r w:rsidR="00CA4CD6">
        <w:rPr>
          <w:color w:val="000000"/>
        </w:rPr>
        <w:t xml:space="preserve"> respondents </w:t>
      </w:r>
      <w:r>
        <w:rPr>
          <w:color w:val="000000"/>
        </w:rPr>
        <w:t>per year will be subject to the standard</w:t>
      </w:r>
      <w:r w:rsidR="00CA4CD6">
        <w:rPr>
          <w:color w:val="000000"/>
        </w:rPr>
        <w:t xml:space="preserve">, and </w:t>
      </w:r>
      <w:r w:rsidR="00182021">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D6567" w:rsidRDefault="00776476" w:rsidP="00AF087C">
      <w:pPr>
        <w:pBdr>
          <w:top w:val="single" w:sz="6" w:space="0" w:color="FFFFFF"/>
          <w:left w:val="single" w:sz="6" w:space="0" w:color="FFFFFF"/>
          <w:bottom w:val="single" w:sz="6" w:space="0" w:color="FFFFFF"/>
          <w:right w:val="single" w:sz="6" w:space="0" w:color="FFFFFF"/>
        </w:pBdr>
        <w:ind w:firstLine="720"/>
        <w:rPr>
          <w:color w:val="FF0000"/>
        </w:rPr>
      </w:pPr>
      <w:r w:rsidRPr="00776476">
        <w:t xml:space="preserve">The Office of Management and Budget (OMB) approved the currently active ICR without any “Terms of Clearance.” </w:t>
      </w:r>
    </w:p>
    <w:p w:rsidR="00CA4CD6" w:rsidRDefault="00CA4CD6" w:rsidP="002B29A5">
      <w:pPr>
        <w:rPr>
          <w:color w:val="FF0000"/>
        </w:rPr>
      </w:pP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0845" w:rsidRDefault="00776476">
      <w:pPr>
        <w:pBdr>
          <w:top w:val="single" w:sz="6" w:space="0" w:color="FFFFFF"/>
          <w:left w:val="single" w:sz="6" w:space="0" w:color="FFFFFF"/>
          <w:bottom w:val="single" w:sz="6" w:space="0" w:color="FFFFFF"/>
          <w:right w:val="single" w:sz="6" w:space="0" w:color="FFFFFF"/>
        </w:pBdr>
        <w:ind w:firstLine="720"/>
      </w:pPr>
      <w:r w:rsidRPr="00776476">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D50845" w:rsidRDefault="00CA4CD6">
      <w:pPr>
        <w:pBdr>
          <w:top w:val="single" w:sz="6" w:space="0" w:color="FFFFFF"/>
          <w:left w:val="single" w:sz="6" w:space="0" w:color="FFFFFF"/>
          <w:bottom w:val="single" w:sz="6" w:space="0" w:color="FFFFFF"/>
          <w:right w:val="single" w:sz="6" w:space="0" w:color="FFFFFF"/>
        </w:pBdr>
      </w:pPr>
    </w:p>
    <w:p w:rsidR="00CA4CD6" w:rsidRPr="00D50845" w:rsidRDefault="00776476">
      <w:pPr>
        <w:pBdr>
          <w:top w:val="single" w:sz="6" w:space="0" w:color="FFFFFF"/>
          <w:left w:val="single" w:sz="6" w:space="0" w:color="FFFFFF"/>
          <w:bottom w:val="single" w:sz="6" w:space="0" w:color="FFFFFF"/>
          <w:right w:val="single" w:sz="6" w:space="0" w:color="FFFFFF"/>
        </w:pBdr>
        <w:ind w:left="1440" w:right="1440"/>
      </w:pPr>
      <w:r w:rsidRPr="0077647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D50845" w:rsidRDefault="00CA4CD6" w:rsidP="00D6543A">
      <w:pPr>
        <w:pBdr>
          <w:top w:val="single" w:sz="6" w:space="0" w:color="FFFFFF"/>
          <w:left w:val="single" w:sz="6" w:space="2" w:color="FFFFFF"/>
          <w:bottom w:val="single" w:sz="6" w:space="0" w:color="FFFFFF"/>
          <w:right w:val="single" w:sz="6" w:space="0" w:color="FFFFFF"/>
        </w:pBdr>
      </w:pPr>
    </w:p>
    <w:p w:rsidR="00CA4CD6" w:rsidRPr="00D50845" w:rsidRDefault="00776476" w:rsidP="00D6543A">
      <w:pPr>
        <w:pBdr>
          <w:top w:val="single" w:sz="6" w:space="0" w:color="FFFFFF"/>
          <w:left w:val="single" w:sz="6" w:space="2" w:color="FFFFFF"/>
          <w:bottom w:val="single" w:sz="6" w:space="0" w:color="FFFFFF"/>
          <w:right w:val="single" w:sz="6" w:space="0" w:color="FFFFFF"/>
        </w:pBdr>
        <w:ind w:firstLine="720"/>
      </w:pPr>
      <w:r w:rsidRPr="00776476">
        <w:t>In the Administrator's judgment, HAP emissions from PVC production area source facilities cause or contribute to air pollution that may reasonably be anticipated to endanger public health or welfare.  Therefore, the NESHAP were promulgated for this source category at 40 CFR Part 63,</w:t>
      </w:r>
      <w:r w:rsidRPr="00776476">
        <w:rPr>
          <w:b/>
          <w:bCs/>
          <w:i/>
          <w:iCs/>
        </w:rPr>
        <w:t xml:space="preserve"> </w:t>
      </w:r>
      <w:r w:rsidRPr="00776476">
        <w:t>Subpart DDDDDD.</w:t>
      </w: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Pr>
          <w:color w:val="000000"/>
        </w:rPr>
        <w:t xml:space="preserve">The recordkeeping and </w:t>
      </w:r>
      <w:r w:rsidRPr="00D6543A">
        <w:t>reporting requirements in the standard ensure compliance with the</w:t>
      </w:r>
      <w:r w:rsidR="00BC11E9" w:rsidRPr="00D6543A">
        <w:t xml:space="preserve"> applicable regulations which w</w:t>
      </w:r>
      <w:r w:rsidRPr="00D6543A">
        <w:t>ere promulgated in accordance with the Clean Air Act.  The collected information is also used for targeting inspections and as evidence in legal proceedings.</w:t>
      </w:r>
    </w:p>
    <w:p w:rsidR="00CA4CD6" w:rsidRPr="00D6543A" w:rsidRDefault="00CA4CD6" w:rsidP="00D6543A">
      <w:pPr>
        <w:pBdr>
          <w:top w:val="single" w:sz="6" w:space="0" w:color="FFFFFF"/>
          <w:left w:val="single" w:sz="6" w:space="2" w:color="FFFFFF"/>
          <w:bottom w:val="single" w:sz="6" w:space="0" w:color="FFFFFF"/>
          <w:right w:val="single" w:sz="6" w:space="0" w:color="FFFFFF"/>
        </w:pBd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Performance tests are required in order to determine an affected facility</w:t>
      </w:r>
      <w:r w:rsidR="00724BC7" w:rsidRPr="00D6543A">
        <w:t>’</w:t>
      </w:r>
      <w:r w:rsidRPr="00D6543A">
        <w:t xml:space="preserve">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w:t>
      </w:r>
      <w:r w:rsidR="00D6543A" w:rsidRPr="00D6543A">
        <w:t>a continuous emission monitor.</w:t>
      </w:r>
      <w:r w:rsidRPr="00D6543A">
        <w:t xml:space="preserve"> </w:t>
      </w:r>
    </w:p>
    <w:p w:rsidR="00CA4CD6" w:rsidRPr="00D6543A" w:rsidRDefault="00CA4CD6" w:rsidP="00D6543A">
      <w:pPr>
        <w:pBdr>
          <w:top w:val="single" w:sz="6" w:space="0" w:color="FFFFFF"/>
          <w:left w:val="single" w:sz="6" w:space="2" w:color="FFFFFF"/>
          <w:bottom w:val="single" w:sz="6" w:space="0" w:color="FFFFFF"/>
          <w:right w:val="single" w:sz="6" w:space="0" w:color="FFFFFF"/>
        </w:pBd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D6543A" w:rsidRPr="00D6543A">
        <w:t>,</w:t>
      </w:r>
      <w:r w:rsidRPr="00D6543A">
        <w:t xml:space="preserve"> leaks are being detected and repaired</w:t>
      </w:r>
      <w:r w:rsidR="00D6543A" w:rsidRPr="00D6543A">
        <w:t>,</w:t>
      </w:r>
      <w:r w:rsidRPr="00D6543A">
        <w:t xml:space="preserve"> and the standard</w:t>
      </w:r>
      <w:r w:rsidR="00177B30">
        <w:t xml:space="preserve"> is</w:t>
      </w:r>
      <w:r w:rsidRPr="00D6543A">
        <w:t xml:space="preserve"> being met.  The performance test may also be observed.</w:t>
      </w: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required </w:t>
      </w:r>
      <w:r w:rsidR="00E00DF4">
        <w:rPr>
          <w:color w:val="000000"/>
        </w:rPr>
        <w:t xml:space="preserve">semiannual </w:t>
      </w:r>
      <w:r>
        <w:rPr>
          <w:color w:val="000000"/>
        </w:rPr>
        <w:t>reports are used to determine periods of excess emissions, identify problems at the facility, verify operation/maintenance procedures and for compliance determinations.</w:t>
      </w:r>
    </w:p>
    <w:p w:rsidR="00606DEF" w:rsidRDefault="00606DEF"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776476" w:rsidRPr="00776476">
        <w:t>63</w:t>
      </w:r>
      <w:r>
        <w:rPr>
          <w:color w:val="000000"/>
        </w:rPr>
        <w:t xml:space="preserve">, </w:t>
      </w:r>
      <w:r w:rsidR="006810C3">
        <w:rPr>
          <w:color w:val="000000"/>
        </w:rPr>
        <w:t>Subpart</w:t>
      </w:r>
      <w:r w:rsidR="003F1AFC">
        <w:rPr>
          <w:color w:val="000000"/>
        </w:rPr>
        <w:t xml:space="preserve"> </w:t>
      </w:r>
      <w:r w:rsidR="007D7BA0">
        <w:rPr>
          <w:color w:val="000000"/>
        </w:rPr>
        <w:t>DDDDDD</w:t>
      </w:r>
      <w:r>
        <w:rPr>
          <w:color w:val="000000"/>
        </w:rPr>
        <w:t>.</w:t>
      </w:r>
    </w:p>
    <w:p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  Nonduplication</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776476" w:rsidRPr="00776476">
        <w:t xml:space="preserve">(79 </w:t>
      </w:r>
      <w:r w:rsidR="00776476" w:rsidRPr="00776476">
        <w:rPr>
          <w:u w:val="single"/>
        </w:rPr>
        <w:t>FR</w:t>
      </w:r>
      <w:r w:rsidR="00776476" w:rsidRPr="00776476">
        <w:t xml:space="preserve"> 30117) on May 27, 2014.  No comments were received on the burden published in the </w:t>
      </w:r>
      <w:r w:rsidR="00776476" w:rsidRPr="00776476">
        <w:rPr>
          <w:u w:val="single"/>
        </w:rPr>
        <w:t>Federal Register</w:t>
      </w:r>
      <w:r w:rsidR="00776476" w:rsidRPr="00776476">
        <w:t xml:space="preserve">. </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D6543A" w:rsidRDefault="00D6543A" w:rsidP="00D6543A">
      <w:pPr>
        <w:widowControl/>
        <w:ind w:firstLine="720"/>
      </w:pPr>
      <w:r w:rsidRPr="005222B8">
        <w:t>The Agency has consulted i</w:t>
      </w:r>
      <w:r w:rsidRPr="005222B8">
        <w:rPr>
          <w:bCs/>
        </w:rPr>
        <w:t>ndustry experts and internal data sources to project the number of affected facilities and industry growth over the next three years.</w:t>
      </w:r>
      <w:r w:rsidRPr="005222B8">
        <w:rPr>
          <w:b/>
          <w:bCs/>
        </w:rPr>
        <w:t xml:space="preserve">  </w:t>
      </w:r>
      <w:r w:rsidRPr="005222B8">
        <w:t xml:space="preserve">The primary source of information as reported by industry, in compliance with the recordkeeping and reporting provisions in the standard, is Enforcement and Compliance History Online (ECHO), which is operated and maintained by EPA's Office of Compliance.  ECHO is EPA’s database for the </w:t>
      </w:r>
      <w:r w:rsidRPr="005222B8">
        <w:lastRenderedPageBreak/>
        <w:t>collection, maintenance, and retrieval of all compliance data.</w:t>
      </w:r>
      <w:r w:rsidRPr="00277F42">
        <w:rPr>
          <w:color w:val="FF0000"/>
        </w:rPr>
        <w:t xml:space="preserve">  </w:t>
      </w:r>
      <w:r>
        <w:t>The growth rate for the industry is based on our consultations with the Agency’s internal industry experts.</w:t>
      </w:r>
    </w:p>
    <w:p w:rsidR="00D6543A" w:rsidRDefault="00D6543A" w:rsidP="00D6543A"/>
    <w:p w:rsidR="00CF2B37" w:rsidRDefault="00D6543A" w:rsidP="00E00DF4">
      <w:pPr>
        <w:ind w:firstLine="720"/>
        <w:rPr>
          <w:color w:val="000000"/>
        </w:rPr>
      </w:pPr>
      <w:r w:rsidRPr="00F23407">
        <w:t xml:space="preserve">Industry trade associations and other interested parties were provided an opportunity to comment on the burden associated with the standard as it was being developed.  </w:t>
      </w:r>
      <w:r>
        <w:t>In developing this ICR, we contacted both the</w:t>
      </w:r>
      <w:r w:rsidR="008D6671">
        <w:t xml:space="preserve"> Vinyl Institute</w:t>
      </w:r>
      <w:r>
        <w:t xml:space="preserve"> </w:t>
      </w:r>
      <w:r w:rsidR="00EB73D8">
        <w:t xml:space="preserve">(VI) </w:t>
      </w:r>
      <w:r>
        <w:t xml:space="preserve">at </w:t>
      </w:r>
      <w:r w:rsidR="008D6671">
        <w:t>(202) 765-2200</w:t>
      </w:r>
      <w:r>
        <w:t xml:space="preserve"> and the </w:t>
      </w:r>
      <w:r w:rsidR="00B37BD0" w:rsidRPr="00B37BD0">
        <w:t xml:space="preserve">Occidental Chemical Corporation </w:t>
      </w:r>
      <w:r w:rsidR="00B37BD0">
        <w:t>(</w:t>
      </w:r>
      <w:r w:rsidR="00B37BD0" w:rsidRPr="00B37BD0">
        <w:t>OxyVinyls Deer Park, TX PVC facility</w:t>
      </w:r>
      <w:r w:rsidR="00B37BD0">
        <w:t>)</w:t>
      </w:r>
      <w:r w:rsidR="00B37BD0" w:rsidRPr="00B37BD0">
        <w:t xml:space="preserve"> </w:t>
      </w:r>
      <w:r>
        <w:t>at</w:t>
      </w:r>
      <w:r w:rsidR="00B37BD0">
        <w:t xml:space="preserve"> </w:t>
      </w:r>
      <w:r w:rsidR="00B37BD0" w:rsidRPr="00B37BD0">
        <w:t>(972) 404-3800</w:t>
      </w:r>
      <w:r w:rsidR="00776476" w:rsidRPr="00776476">
        <w:t>.</w:t>
      </w:r>
      <w:r w:rsidR="00E00DF4">
        <w:t xml:space="preserve">  The Vinyl Institute provided substantial comments on the respondent universe and specific burden hours and costs associated with the reporting and recordkeeping requirements.  We have updated this ICR to incorporate the comments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Pr="00081F16" w:rsidRDefault="00CA4CD6">
      <w:pPr>
        <w:pBdr>
          <w:top w:val="single" w:sz="6" w:space="0" w:color="FFFFFF"/>
          <w:left w:val="single" w:sz="6" w:space="0" w:color="FFFFFF"/>
          <w:bottom w:val="single" w:sz="6" w:space="0" w:color="FFFFFF"/>
          <w:right w:val="single" w:sz="6" w:space="0" w:color="FFFFFF"/>
        </w:pBdr>
      </w:pPr>
    </w:p>
    <w:p w:rsidR="00887873" w:rsidRDefault="00776476">
      <w:pPr>
        <w:pBdr>
          <w:top w:val="single" w:sz="6" w:space="0" w:color="FFFFFF"/>
          <w:left w:val="single" w:sz="6" w:space="0" w:color="FFFFFF"/>
          <w:bottom w:val="single" w:sz="6" w:space="0" w:color="FFFFFF"/>
          <w:right w:val="single" w:sz="6" w:space="0" w:color="FFFFFF"/>
        </w:pBdr>
        <w:ind w:firstLine="720"/>
      </w:pPr>
      <w:r w:rsidRPr="00776476">
        <w:t>These standards require the respondents to maintain all records, including reports and notifications for at least five years.  This is consistent with the General Provisions as applied to the standards.  EPA believes that the five year records retention requirement is consistent with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177B30" w:rsidRPr="00D50845">
        <w:t>PVC production area source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60466F">
        <w:rPr>
          <w:color w:val="000000"/>
        </w:rPr>
        <w:t>2821</w:t>
      </w:r>
      <w:r>
        <w:rPr>
          <w:color w:val="000000"/>
        </w:rPr>
        <w:t xml:space="preserve"> which corresponds to the North American Industry Classification System</w:t>
      </w:r>
      <w:r w:rsidR="00CF2B37">
        <w:rPr>
          <w:color w:val="000000"/>
        </w:rPr>
        <w:t xml:space="preserve"> (NAICS</w:t>
      </w:r>
      <w:r>
        <w:rPr>
          <w:color w:val="000000"/>
        </w:rPr>
        <w:t xml:space="preserve">) </w:t>
      </w:r>
      <w:r w:rsidR="001B0592">
        <w:rPr>
          <w:color w:val="000000"/>
        </w:rPr>
        <w:t xml:space="preserve">code </w:t>
      </w:r>
      <w:r w:rsidR="00177B30" w:rsidRPr="00BC3626">
        <w:t>325211</w:t>
      </w:r>
      <w:r>
        <w:rPr>
          <w:color w:val="000000"/>
        </w:rPr>
        <w:t xml:space="preserve"> for </w:t>
      </w:r>
      <w:r w:rsidR="00177B30">
        <w:t xml:space="preserve">Plastics Material and Resin </w:t>
      </w:r>
      <w:r w:rsidR="005A32F5">
        <w:t>Manufacturin</w:t>
      </w:r>
      <w:r w:rsidR="005A32F5" w:rsidRPr="005A32F5">
        <w:t>g</w:t>
      </w:r>
      <w:r w:rsidR="00776476" w:rsidRPr="0077647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rsidP="008D73D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776476" w:rsidRPr="00776476">
        <w:t xml:space="preserve">the </w:t>
      </w:r>
      <w:r w:rsidR="009E58E8" w:rsidRPr="00957C6F">
        <w:t>NESHAP for Polyvinyl Chloride and Copolymers Production Area Sources (40 CFR Part 63, Subpart DDDDDD)</w:t>
      </w:r>
      <w:r w:rsidR="00776476" w:rsidRPr="00776476">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3174B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4A5D9F">
              <w:rPr>
                <w:b/>
              </w:rPr>
              <w:t xml:space="preserve"> / Reports</w:t>
            </w:r>
          </w:p>
        </w:tc>
      </w:tr>
      <w:tr w:rsidR="003174B6" w:rsidRPr="00CF2B37" w:rsidTr="003174B6">
        <w:trPr>
          <w:jc w:val="center"/>
        </w:trPr>
        <w:tc>
          <w:tcPr>
            <w:tcW w:w="7020" w:type="dxa"/>
            <w:tcBorders>
              <w:top w:val="single" w:sz="7" w:space="0" w:color="000000"/>
              <w:left w:val="single" w:sz="7" w:space="0" w:color="000000"/>
              <w:bottom w:val="single" w:sz="7" w:space="0" w:color="000000"/>
              <w:right w:val="single" w:sz="7" w:space="0" w:color="000000"/>
            </w:tcBorders>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Submit an 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63.9(b)</w:t>
            </w:r>
          </w:p>
        </w:tc>
      </w:tr>
      <w:tr w:rsidR="003174B6" w:rsidRPr="00CF2B37" w:rsidTr="003174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Submit a 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63.11142(f)(18)</w:t>
            </w:r>
          </w:p>
        </w:tc>
      </w:tr>
      <w:tr w:rsidR="003174B6" w:rsidRPr="00CF2B37" w:rsidTr="003174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Submit a 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63.9(e)</w:t>
            </w:r>
          </w:p>
        </w:tc>
      </w:tr>
      <w:tr w:rsidR="003174B6" w:rsidRPr="00CF2B37" w:rsidTr="003174B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Submit a 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63.11142(f)(18)</w:t>
            </w:r>
          </w:p>
        </w:tc>
      </w:tr>
      <w:tr w:rsidR="003174B6" w:rsidRPr="00CF2B37" w:rsidTr="003174B6">
        <w:trPr>
          <w:jc w:val="center"/>
        </w:trPr>
        <w:tc>
          <w:tcPr>
            <w:tcW w:w="7020" w:type="dxa"/>
            <w:tcBorders>
              <w:top w:val="single" w:sz="7" w:space="0" w:color="000000"/>
              <w:left w:val="single" w:sz="7" w:space="0" w:color="000000"/>
              <w:bottom w:val="single" w:sz="8"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Submit a notification of inspection</w:t>
            </w:r>
          </w:p>
        </w:tc>
        <w:tc>
          <w:tcPr>
            <w:tcW w:w="2340" w:type="dxa"/>
            <w:tcBorders>
              <w:top w:val="single" w:sz="7" w:space="0" w:color="000000"/>
              <w:left w:val="single" w:sz="7" w:space="0" w:color="000000"/>
              <w:bottom w:val="single" w:sz="8"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63.11142(f)(18)</w:t>
            </w:r>
          </w:p>
        </w:tc>
      </w:tr>
      <w:tr w:rsidR="003174B6" w:rsidRPr="00CF2B37" w:rsidTr="003174B6">
        <w:trPr>
          <w:jc w:val="center"/>
        </w:trPr>
        <w:tc>
          <w:tcPr>
            <w:tcW w:w="7020" w:type="dxa"/>
            <w:tcBorders>
              <w:top w:val="single" w:sz="8" w:space="0" w:color="000000"/>
              <w:left w:val="single" w:sz="8" w:space="0" w:color="000000"/>
              <w:bottom w:val="single" w:sz="8" w:space="0" w:color="000000"/>
              <w:right w:val="single" w:sz="8"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rsidRPr="0005627B">
              <w:t>Submit a batch pre</w:t>
            </w:r>
            <w:r w:rsidR="001B0592">
              <w:t>-</w:t>
            </w:r>
            <w:r w:rsidRPr="0005627B">
              <w:t>compliance report</w:t>
            </w:r>
          </w:p>
        </w:tc>
        <w:tc>
          <w:tcPr>
            <w:tcW w:w="2340" w:type="dxa"/>
            <w:tcBorders>
              <w:top w:val="single" w:sz="8" w:space="0" w:color="000000"/>
              <w:left w:val="single" w:sz="8" w:space="0" w:color="000000"/>
              <w:bottom w:val="single" w:sz="8" w:space="0" w:color="000000"/>
              <w:right w:val="single" w:sz="8"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63.11142(f)(18)</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3174B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174B6" w:rsidRPr="00CF2B37" w:rsidTr="003174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rsidRPr="00666A77">
              <w:t>A copy of each notification and report submitted to comply with this subpart</w:t>
            </w:r>
          </w:p>
        </w:tc>
        <w:tc>
          <w:tcPr>
            <w:tcW w:w="225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63.11142(f)(19)</w:t>
            </w:r>
          </w:p>
        </w:tc>
      </w:tr>
      <w:tr w:rsidR="003174B6" w:rsidRPr="00CF2B37" w:rsidTr="003174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rsidRPr="00D966EF">
              <w:t xml:space="preserve">Records of </w:t>
            </w:r>
            <w:r>
              <w:t>storage vessels</w:t>
            </w:r>
          </w:p>
        </w:tc>
        <w:tc>
          <w:tcPr>
            <w:tcW w:w="225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63.11142(f)(19)</w:t>
            </w:r>
          </w:p>
        </w:tc>
      </w:tr>
      <w:tr w:rsidR="003174B6" w:rsidRPr="00CF2B37" w:rsidTr="003174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Records of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63.11142(f)(19)</w:t>
            </w:r>
          </w:p>
        </w:tc>
      </w:tr>
      <w:tr w:rsidR="003174B6" w:rsidRPr="00CF2B37" w:rsidTr="003174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Records of heat exchanger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63.11142(f)(19)</w:t>
            </w:r>
          </w:p>
        </w:tc>
      </w:tr>
      <w:tr w:rsidR="003174B6" w:rsidRPr="00CF2B37" w:rsidTr="003174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lastRenderedPageBreak/>
              <w:t>Records of process vents</w:t>
            </w:r>
          </w:p>
        </w:tc>
        <w:tc>
          <w:tcPr>
            <w:tcW w:w="225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63.11142(f)(19)</w:t>
            </w:r>
          </w:p>
        </w:tc>
      </w:tr>
      <w:tr w:rsidR="003174B6" w:rsidRPr="00CF2B37" w:rsidTr="003174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Records of closed vent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3174B6" w:rsidRDefault="003174B6" w:rsidP="003174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63.11142(f)(9) and</w:t>
            </w:r>
          </w:p>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63.11142(f)(19)</w:t>
            </w:r>
          </w:p>
        </w:tc>
      </w:tr>
      <w:tr w:rsidR="003174B6" w:rsidRPr="00CF2B37" w:rsidTr="003174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Records of resin strippers</w:t>
            </w:r>
          </w:p>
        </w:tc>
        <w:tc>
          <w:tcPr>
            <w:tcW w:w="225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63.11142(f)(19)</w:t>
            </w:r>
          </w:p>
        </w:tc>
      </w:tr>
      <w:tr w:rsidR="003174B6" w:rsidRPr="00CF2B37" w:rsidTr="003174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Records of process wastewater</w:t>
            </w:r>
          </w:p>
        </w:tc>
        <w:tc>
          <w:tcPr>
            <w:tcW w:w="225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63.11142(f)(19)</w:t>
            </w:r>
          </w:p>
        </w:tc>
      </w:tr>
      <w:tr w:rsidR="003174B6" w:rsidRPr="00CF2B37" w:rsidTr="003174B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Keep records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3174B6" w:rsidRPr="00CF2B37" w:rsidRDefault="003174B6">
            <w:pPr>
              <w:pBdr>
                <w:top w:val="single" w:sz="6" w:space="0" w:color="FFFFFF"/>
                <w:left w:val="single" w:sz="6" w:space="0" w:color="FFFFFF"/>
                <w:bottom w:val="single" w:sz="6" w:space="0" w:color="FFFFFF"/>
                <w:right w:val="single" w:sz="6" w:space="0" w:color="FFFFFF"/>
              </w:pBdr>
              <w:spacing w:after="58"/>
            </w:pPr>
            <w:r>
              <w:t>63.11142(f)(19)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bookmarkStart w:id="0" w:name="_GoBack"/>
      <w:bookmarkEnd w:id="0"/>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DC0941">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r w:rsidR="00CA4CD6">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3174B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776476" w:rsidRPr="00776476">
              <w:t>control device.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4958F9">
              <w:rPr>
                <w:color w:val="000000"/>
              </w:rPr>
              <w:t xml:space="preserve">1 or 1A; 2, 2A, 2C, 2D, 2F, or 2G; 3, 3A, or 3B; 4 or 320; 25A or 18; 308; 316; 204 and 204A – 204F </w:t>
            </w:r>
            <w:r>
              <w:rPr>
                <w:color w:val="000000"/>
              </w:rPr>
              <w:t>test</w:t>
            </w:r>
            <w:r w:rsidR="004958F9">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lastRenderedPageBreak/>
              <w:t>Transmit, or otherwise disclose the information.</w:t>
            </w:r>
          </w:p>
        </w:tc>
      </w:tr>
    </w:tbl>
    <w:p w:rsidR="00CA4CD6" w:rsidRPr="008D73D3" w:rsidRDefault="00CA4CD6">
      <w:pPr>
        <w:pBdr>
          <w:top w:val="single" w:sz="6" w:space="0" w:color="FFFFFF"/>
          <w:left w:val="single" w:sz="6" w:space="0" w:color="FFFFFF"/>
          <w:bottom w:val="single" w:sz="6" w:space="0" w:color="FFFFFF"/>
          <w:right w:val="single" w:sz="6" w:space="0" w:color="FFFFFF"/>
        </w:pBdr>
      </w:pP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Pr="008D73D3">
        <w:t>inspect the source to determine whether the pollution control devices are p</w:t>
      </w:r>
      <w:r w:rsidR="008D73D3" w:rsidRPr="008D73D3">
        <w:t>roperly installed and operated.</w:t>
      </w:r>
      <w:r w:rsidRPr="008D73D3">
        <w:t xml:space="preserve">  Performance test reports are used by the Agency to discern a source</w:t>
      </w:r>
      <w:r w:rsidR="004C701D" w:rsidRPr="008D73D3">
        <w:t>’</w:t>
      </w:r>
      <w:r w:rsidRPr="008D73D3">
        <w:t>s initial capability to 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r w:rsidR="00776476" w:rsidRPr="0077647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76476" w:rsidRPr="00776476">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195A8B" w:rsidRDefault="00776476" w:rsidP="00195A8B">
      <w:pPr>
        <w:pBdr>
          <w:top w:val="single" w:sz="6" w:space="0" w:color="FFFFFF"/>
          <w:left w:val="single" w:sz="6" w:space="0" w:color="FFFFFF"/>
          <w:bottom w:val="single" w:sz="6" w:space="0" w:color="FFFFFF"/>
          <w:right w:val="single" w:sz="6" w:space="0" w:color="FFFFFF"/>
        </w:pBdr>
        <w:ind w:firstLine="720"/>
      </w:pPr>
      <w:r w:rsidRPr="00776476">
        <w:t xml:space="preserve">There are no small entities (i.e., small businesses) affected by this regulation. </w:t>
      </w:r>
    </w:p>
    <w:p w:rsidR="00195A8B" w:rsidRDefault="00195A8B" w:rsidP="00195A8B">
      <w:pPr>
        <w:pBdr>
          <w:top w:val="single" w:sz="6" w:space="0" w:color="FFFFFF"/>
          <w:left w:val="single" w:sz="6" w:space="0" w:color="FFFFFF"/>
          <w:bottom w:val="single" w:sz="6" w:space="0" w:color="FFFFFF"/>
          <w:right w:val="single" w:sz="6" w:space="0" w:color="FFFFFF"/>
        </w:pBdr>
        <w:ind w:firstLine="720"/>
      </w:pPr>
    </w:p>
    <w:p w:rsidR="00887873" w:rsidRDefault="00195A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color w:val="FF0000"/>
        </w:rPr>
      </w:pPr>
      <w:r w:rsidRPr="00500BDF">
        <w:t xml:space="preserve">The </w:t>
      </w:r>
      <w:r>
        <w:t xml:space="preserve">PVC </w:t>
      </w:r>
      <w:r w:rsidRPr="00500BDF">
        <w:t>NESHAP does not contain any provisions reserved exclusively for the benefit of small entities; however, there are provisions that reduce the impact on all regulated entities, which wou</w:t>
      </w:r>
      <w:r>
        <w:t xml:space="preserve">ld include any small entities. </w:t>
      </w:r>
      <w:r w:rsidRPr="00500BDF">
        <w:t>Reporting is annual and operating parameter monitoring is required instead of CEMS.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195A8B" w:rsidRPr="00A87CAA">
        <w:t>Table 1: Annual Respondent Burden and Cost –</w:t>
      </w:r>
      <w:r w:rsidR="00195A8B">
        <w:rPr>
          <w:color w:val="FF0000"/>
        </w:rPr>
        <w:t xml:space="preserve"> </w:t>
      </w:r>
      <w:r w:rsidR="00195A8B" w:rsidRPr="00957C6F">
        <w:t>NESHAP for Polyvinyl Chloride and Copolymers Production Area Sources (40 CFR Part 63, Subpart DDDDDD) (Renewal</w:t>
      </w:r>
      <w:r w:rsidR="00195A8B" w:rsidRPr="00D50845">
        <w: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D001D">
        <w:rPr>
          <w:color w:val="000000"/>
        </w:rPr>
        <w:t>69,</w:t>
      </w:r>
      <w:r w:rsidR="00AF087C">
        <w:rPr>
          <w:color w:val="000000"/>
        </w:rPr>
        <w:t xml:space="preserve">200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76476" w:rsidRPr="00776476">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C123DC" w:rsidRPr="00C123DC" w:rsidRDefault="00C123DC">
      <w:pPr>
        <w:pBdr>
          <w:top w:val="single" w:sz="6" w:space="0" w:color="FFFFFF"/>
          <w:left w:val="single" w:sz="6" w:space="0" w:color="FFFFFF"/>
          <w:bottom w:val="single" w:sz="6" w:space="0" w:color="FFFFFF"/>
          <w:right w:val="single" w:sz="6" w:space="0" w:color="FFFFFF"/>
        </w:pBdr>
        <w:ind w:firstLine="720"/>
      </w:pPr>
    </w:p>
    <w:p w:rsidR="00887873" w:rsidRDefault="00776476">
      <w:pPr>
        <w:pBdr>
          <w:top w:val="single" w:sz="6" w:space="0" w:color="FFFFFF"/>
          <w:left w:val="single" w:sz="6" w:space="0" w:color="FFFFFF"/>
          <w:bottom w:val="single" w:sz="6" w:space="0" w:color="FFFFFF"/>
          <w:right w:val="single" w:sz="6" w:space="0" w:color="FFFFFF"/>
        </w:pBdr>
        <w:ind w:firstLine="720"/>
        <w:rPr>
          <w:color w:val="FF0000"/>
        </w:rPr>
      </w:pPr>
      <w:r w:rsidRPr="00776476">
        <w:t>The type of industry costs associated with the information collection activities in the subject standard are both labor costs which are addressed elsewhere in this ICR and the costs associated with continuous monitoring.  The capital/startup costs are one</w:t>
      </w:r>
      <w:r w:rsidR="005D001D">
        <w:t>-</w:t>
      </w:r>
      <w:r w:rsidRPr="00776476">
        <w:t>time costs when a facility becomes subject to the regulation</w:t>
      </w:r>
      <w:r w:rsidR="005D001D">
        <w:t>, which includes monitoring system installation, performance testing, resin stripper testing, and wastewater testing</w:t>
      </w:r>
      <w:r w:rsidRPr="00776476">
        <w:t>.  The annual operation and maintenance costs are the ongoing costs to maintain the monitor</w:t>
      </w:r>
      <w:r w:rsidR="005D001D">
        <w:t>s</w:t>
      </w:r>
      <w:r w:rsidRPr="00776476">
        <w:t xml:space="preserve">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  Capital/Startup vs. Operation and Maintenance (O&amp;M) Costs</w:t>
      </w:r>
    </w:p>
    <w:p w:rsidR="00FC1309" w:rsidRDefault="00FC1309"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tbl>
      <w:tblPr>
        <w:tblW w:w="5464" w:type="pct"/>
        <w:jc w:val="center"/>
        <w:tblLook w:val="04A0" w:firstRow="1" w:lastRow="0" w:firstColumn="1" w:lastColumn="0" w:noHBand="0" w:noVBand="1"/>
      </w:tblPr>
      <w:tblGrid>
        <w:gridCol w:w="2329"/>
        <w:gridCol w:w="1431"/>
        <w:gridCol w:w="1344"/>
        <w:gridCol w:w="1432"/>
        <w:gridCol w:w="1346"/>
        <w:gridCol w:w="1346"/>
        <w:gridCol w:w="1237"/>
      </w:tblGrid>
      <w:tr w:rsidR="00FC1309" w:rsidRPr="00FC1309" w:rsidTr="005D001D">
        <w:trPr>
          <w:trHeight w:val="31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b/>
                <w:bCs/>
                <w:color w:val="000000"/>
              </w:rPr>
            </w:pPr>
            <w:r w:rsidRPr="00FC1309">
              <w:rPr>
                <w:b/>
                <w:bCs/>
                <w:color w:val="000000"/>
              </w:rPr>
              <w:lastRenderedPageBreak/>
              <w:t>Capital/Startup vs. Operation and Maintenance (O&amp;M) Costs</w:t>
            </w:r>
          </w:p>
        </w:tc>
      </w:tr>
      <w:tr w:rsidR="00FC1309" w:rsidRPr="00FC1309" w:rsidTr="005D001D">
        <w:trPr>
          <w:trHeight w:val="910"/>
          <w:jc w:val="center"/>
        </w:trPr>
        <w:tc>
          <w:tcPr>
            <w:tcW w:w="1113" w:type="pct"/>
            <w:tcBorders>
              <w:top w:val="nil"/>
              <w:left w:val="single" w:sz="4" w:space="0" w:color="auto"/>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(A)</w:t>
            </w:r>
          </w:p>
          <w:p w:rsidR="00FC1309" w:rsidRPr="00FC1309" w:rsidRDefault="00FC1309" w:rsidP="000F7A1F">
            <w:pPr>
              <w:keepNext/>
              <w:keepLines/>
              <w:jc w:val="center"/>
              <w:rPr>
                <w:color w:val="000000"/>
                <w:sz w:val="20"/>
                <w:szCs w:val="20"/>
              </w:rPr>
            </w:pPr>
            <w:r w:rsidRPr="00FC1309">
              <w:rPr>
                <w:color w:val="000000"/>
                <w:sz w:val="20"/>
                <w:szCs w:val="20"/>
              </w:rPr>
              <w:t>Continuous Monitoring Device</w:t>
            </w:r>
          </w:p>
        </w:tc>
        <w:tc>
          <w:tcPr>
            <w:tcW w:w="684" w:type="pct"/>
            <w:tcBorders>
              <w:top w:val="nil"/>
              <w:left w:val="nil"/>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(B)</w:t>
            </w:r>
          </w:p>
          <w:p w:rsidR="00FC1309" w:rsidRPr="00FC1309" w:rsidRDefault="00FC1309" w:rsidP="000F7A1F">
            <w:pPr>
              <w:keepNext/>
              <w:keepLines/>
              <w:jc w:val="center"/>
              <w:rPr>
                <w:color w:val="000000"/>
                <w:sz w:val="20"/>
                <w:szCs w:val="20"/>
              </w:rPr>
            </w:pPr>
            <w:r w:rsidRPr="00FC1309">
              <w:rPr>
                <w:color w:val="000000"/>
                <w:sz w:val="20"/>
                <w:szCs w:val="20"/>
              </w:rPr>
              <w:t>Capital/Startup Cost for One Respondent</w:t>
            </w:r>
          </w:p>
        </w:tc>
        <w:tc>
          <w:tcPr>
            <w:tcW w:w="642" w:type="pct"/>
            <w:tcBorders>
              <w:top w:val="nil"/>
              <w:left w:val="nil"/>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(C)</w:t>
            </w:r>
          </w:p>
          <w:p w:rsidR="00FC1309" w:rsidRPr="00FC1309" w:rsidRDefault="00FC1309" w:rsidP="000F7A1F">
            <w:pPr>
              <w:keepNext/>
              <w:keepLines/>
              <w:jc w:val="center"/>
              <w:rPr>
                <w:color w:val="000000"/>
                <w:sz w:val="20"/>
                <w:szCs w:val="20"/>
              </w:rPr>
            </w:pPr>
            <w:r w:rsidRPr="00FC1309">
              <w:rPr>
                <w:color w:val="000000"/>
                <w:sz w:val="20"/>
                <w:szCs w:val="20"/>
              </w:rPr>
              <w:t>Number of New Respondents</w:t>
            </w:r>
          </w:p>
        </w:tc>
        <w:tc>
          <w:tcPr>
            <w:tcW w:w="684" w:type="pct"/>
            <w:tcBorders>
              <w:top w:val="nil"/>
              <w:left w:val="nil"/>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(D)</w:t>
            </w:r>
          </w:p>
          <w:p w:rsidR="00FC1309" w:rsidRPr="00FC1309" w:rsidRDefault="00FC1309" w:rsidP="000F7A1F">
            <w:pPr>
              <w:keepNext/>
              <w:keepLines/>
              <w:jc w:val="center"/>
              <w:rPr>
                <w:color w:val="000000"/>
                <w:sz w:val="20"/>
                <w:szCs w:val="20"/>
              </w:rPr>
            </w:pPr>
            <w:r w:rsidRPr="00FC1309">
              <w:rPr>
                <w:color w:val="000000"/>
                <w:sz w:val="20"/>
                <w:szCs w:val="20"/>
              </w:rPr>
              <w:t>Total Capital/Startup Cost,  (B X C)</w:t>
            </w:r>
          </w:p>
        </w:tc>
        <w:tc>
          <w:tcPr>
            <w:tcW w:w="643" w:type="pct"/>
            <w:tcBorders>
              <w:top w:val="nil"/>
              <w:left w:val="nil"/>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(E)</w:t>
            </w:r>
          </w:p>
          <w:p w:rsidR="00FC1309" w:rsidRPr="00FC1309" w:rsidRDefault="00FC1309" w:rsidP="000F7A1F">
            <w:pPr>
              <w:keepNext/>
              <w:keepLines/>
              <w:jc w:val="center"/>
              <w:rPr>
                <w:color w:val="000000"/>
                <w:sz w:val="20"/>
                <w:szCs w:val="20"/>
              </w:rPr>
            </w:pPr>
            <w:r w:rsidRPr="00FC1309">
              <w:rPr>
                <w:color w:val="000000"/>
                <w:sz w:val="20"/>
                <w:szCs w:val="20"/>
              </w:rPr>
              <w:t>Annual O&amp;M Costs for One Respondent</w:t>
            </w:r>
          </w:p>
        </w:tc>
        <w:tc>
          <w:tcPr>
            <w:tcW w:w="643" w:type="pct"/>
            <w:tcBorders>
              <w:top w:val="nil"/>
              <w:left w:val="nil"/>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(F)</w:t>
            </w:r>
          </w:p>
          <w:p w:rsidR="00FC1309" w:rsidRPr="00FC1309" w:rsidRDefault="00FC1309" w:rsidP="000F7A1F">
            <w:pPr>
              <w:keepNext/>
              <w:keepLines/>
              <w:jc w:val="center"/>
              <w:rPr>
                <w:color w:val="000000"/>
                <w:sz w:val="20"/>
                <w:szCs w:val="20"/>
              </w:rPr>
            </w:pPr>
            <w:r w:rsidRPr="00FC1309">
              <w:rPr>
                <w:color w:val="000000"/>
                <w:sz w:val="20"/>
                <w:szCs w:val="20"/>
              </w:rPr>
              <w:t>Number of Respondents  with O&amp;M</w:t>
            </w:r>
          </w:p>
        </w:tc>
        <w:tc>
          <w:tcPr>
            <w:tcW w:w="591" w:type="pct"/>
            <w:tcBorders>
              <w:top w:val="nil"/>
              <w:left w:val="nil"/>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(G)</w:t>
            </w:r>
          </w:p>
          <w:p w:rsidR="00FC1309" w:rsidRDefault="00FC1309" w:rsidP="000F7A1F">
            <w:pPr>
              <w:keepNext/>
              <w:keepLines/>
              <w:widowControl/>
              <w:autoSpaceDE/>
              <w:autoSpaceDN/>
              <w:adjustRightInd/>
              <w:jc w:val="center"/>
              <w:rPr>
                <w:color w:val="000000"/>
                <w:sz w:val="20"/>
                <w:szCs w:val="20"/>
              </w:rPr>
            </w:pPr>
            <w:r w:rsidRPr="00FC1309">
              <w:rPr>
                <w:color w:val="000000"/>
                <w:sz w:val="20"/>
                <w:szCs w:val="20"/>
              </w:rPr>
              <w:t>Total O&amp;M,</w:t>
            </w:r>
          </w:p>
          <w:p w:rsidR="00FC1309" w:rsidRPr="00FC1309" w:rsidRDefault="00FC1309" w:rsidP="000F7A1F">
            <w:pPr>
              <w:keepNext/>
              <w:keepLines/>
              <w:jc w:val="center"/>
              <w:rPr>
                <w:color w:val="000000"/>
                <w:sz w:val="20"/>
                <w:szCs w:val="20"/>
              </w:rPr>
            </w:pPr>
            <w:r w:rsidRPr="00FC1309">
              <w:rPr>
                <w:color w:val="000000"/>
                <w:sz w:val="20"/>
                <w:szCs w:val="20"/>
              </w:rPr>
              <w:t>(E X F)</w:t>
            </w:r>
          </w:p>
        </w:tc>
      </w:tr>
      <w:tr w:rsidR="00FC1309" w:rsidRPr="00FC1309" w:rsidTr="005D001D">
        <w:trPr>
          <w:trHeight w:val="25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b/>
                <w:bCs/>
                <w:color w:val="000000"/>
                <w:sz w:val="20"/>
                <w:szCs w:val="20"/>
              </w:rPr>
            </w:pPr>
            <w:r w:rsidRPr="00FC1309">
              <w:rPr>
                <w:b/>
                <w:bCs/>
                <w:color w:val="000000"/>
                <w:sz w:val="20"/>
                <w:szCs w:val="20"/>
              </w:rPr>
              <w:t>Continuous Parameter Monitoring</w:t>
            </w:r>
          </w:p>
        </w:tc>
      </w:tr>
      <w:tr w:rsidR="005D001D" w:rsidRPr="00FC1309" w:rsidTr="005D001D">
        <w:trPr>
          <w:trHeight w:val="315"/>
          <w:jc w:val="center"/>
        </w:trPr>
        <w:tc>
          <w:tcPr>
            <w:tcW w:w="1113" w:type="pct"/>
            <w:tcBorders>
              <w:top w:val="nil"/>
              <w:left w:val="single" w:sz="4" w:space="0" w:color="auto"/>
              <w:bottom w:val="single" w:sz="4" w:space="0" w:color="auto"/>
              <w:right w:val="single" w:sz="4" w:space="0" w:color="auto"/>
            </w:tcBorders>
            <w:shd w:val="clear" w:color="auto" w:fill="auto"/>
            <w:hideMark/>
          </w:tcPr>
          <w:p w:rsidR="005D001D" w:rsidRPr="00FC1309" w:rsidRDefault="005D001D" w:rsidP="000F7A1F">
            <w:pPr>
              <w:keepNext/>
              <w:keepLines/>
              <w:widowControl/>
              <w:autoSpaceDE/>
              <w:autoSpaceDN/>
              <w:adjustRightInd/>
              <w:rPr>
                <w:color w:val="000000"/>
                <w:sz w:val="20"/>
                <w:szCs w:val="20"/>
              </w:rPr>
            </w:pPr>
            <w:r w:rsidRPr="00FC1309">
              <w:rPr>
                <w:color w:val="000000"/>
                <w:sz w:val="20"/>
                <w:szCs w:val="20"/>
              </w:rPr>
              <w:t>PRD Electronic Monitor</w:t>
            </w:r>
            <w:r>
              <w:rPr>
                <w:color w:val="000000"/>
                <w:sz w:val="20"/>
                <w:szCs w:val="20"/>
              </w:rPr>
              <w:t xml:space="preserve"> </w:t>
            </w:r>
            <w:r>
              <w:rPr>
                <w:color w:val="000000"/>
                <w:sz w:val="20"/>
                <w:szCs w:val="20"/>
                <w:vertAlign w:val="superscript"/>
              </w:rPr>
              <w:t>1</w:t>
            </w:r>
          </w:p>
        </w:tc>
        <w:tc>
          <w:tcPr>
            <w:tcW w:w="684"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sidRPr="00FC1309">
              <w:rPr>
                <w:color w:val="000000"/>
                <w:sz w:val="20"/>
                <w:szCs w:val="20"/>
              </w:rPr>
              <w:t>$375,000</w:t>
            </w:r>
          </w:p>
        </w:tc>
        <w:tc>
          <w:tcPr>
            <w:tcW w:w="642"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sidRPr="00FC1309">
              <w:rPr>
                <w:color w:val="000000"/>
                <w:sz w:val="20"/>
                <w:szCs w:val="20"/>
              </w:rPr>
              <w:t>$31,772</w:t>
            </w:r>
          </w:p>
        </w:tc>
        <w:tc>
          <w:tcPr>
            <w:tcW w:w="643"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sidRPr="00FC1309">
              <w:rPr>
                <w:color w:val="000000"/>
                <w:sz w:val="20"/>
                <w:szCs w:val="20"/>
              </w:rPr>
              <w:t>$95,316</w:t>
            </w:r>
          </w:p>
        </w:tc>
      </w:tr>
      <w:tr w:rsidR="005D001D" w:rsidRPr="00FC1309" w:rsidTr="005D001D">
        <w:trPr>
          <w:trHeight w:val="315"/>
          <w:jc w:val="center"/>
        </w:trPr>
        <w:tc>
          <w:tcPr>
            <w:tcW w:w="1113" w:type="pct"/>
            <w:tcBorders>
              <w:top w:val="nil"/>
              <w:left w:val="single" w:sz="4" w:space="0" w:color="auto"/>
              <w:bottom w:val="single" w:sz="4" w:space="0" w:color="auto"/>
              <w:right w:val="single" w:sz="4" w:space="0" w:color="auto"/>
            </w:tcBorders>
            <w:shd w:val="clear" w:color="auto" w:fill="auto"/>
            <w:hideMark/>
          </w:tcPr>
          <w:p w:rsidR="005D001D" w:rsidRPr="00FC1309" w:rsidRDefault="005D001D" w:rsidP="000F7A1F">
            <w:pPr>
              <w:keepNext/>
              <w:keepLines/>
              <w:widowControl/>
              <w:autoSpaceDE/>
              <w:autoSpaceDN/>
              <w:adjustRightInd/>
              <w:rPr>
                <w:color w:val="000000"/>
                <w:sz w:val="20"/>
                <w:szCs w:val="20"/>
              </w:rPr>
            </w:pPr>
            <w:r>
              <w:rPr>
                <w:color w:val="000000"/>
                <w:sz w:val="20"/>
                <w:szCs w:val="20"/>
              </w:rPr>
              <w:t xml:space="preserve">VC Ambient Monitoring </w:t>
            </w:r>
            <w:r w:rsidRPr="005D001D">
              <w:rPr>
                <w:color w:val="000000"/>
                <w:sz w:val="20"/>
                <w:szCs w:val="20"/>
                <w:vertAlign w:val="superscript"/>
              </w:rPr>
              <w:t>2</w:t>
            </w:r>
          </w:p>
        </w:tc>
        <w:tc>
          <w:tcPr>
            <w:tcW w:w="684"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Pr>
                <w:color w:val="000000"/>
                <w:sz w:val="20"/>
                <w:szCs w:val="20"/>
              </w:rPr>
              <w:t>NA</w:t>
            </w:r>
          </w:p>
        </w:tc>
        <w:tc>
          <w:tcPr>
            <w:tcW w:w="642"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Pr>
                <w:color w:val="000000"/>
                <w:sz w:val="20"/>
                <w:szCs w:val="20"/>
              </w:rPr>
              <w:t>$164,250</w:t>
            </w:r>
          </w:p>
        </w:tc>
        <w:tc>
          <w:tcPr>
            <w:tcW w:w="643"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tcBorders>
              <w:top w:val="nil"/>
              <w:left w:val="nil"/>
              <w:bottom w:val="single" w:sz="4" w:space="0" w:color="auto"/>
              <w:right w:val="single" w:sz="4" w:space="0" w:color="auto"/>
            </w:tcBorders>
            <w:shd w:val="clear" w:color="auto" w:fill="auto"/>
            <w:vAlign w:val="center"/>
            <w:hideMark/>
          </w:tcPr>
          <w:p w:rsidR="005D001D" w:rsidRPr="00FC1309" w:rsidRDefault="005D001D" w:rsidP="000F7A1F">
            <w:pPr>
              <w:keepNext/>
              <w:keepLines/>
              <w:widowControl/>
              <w:autoSpaceDE/>
              <w:autoSpaceDN/>
              <w:adjustRightInd/>
              <w:jc w:val="center"/>
              <w:rPr>
                <w:color w:val="000000"/>
                <w:sz w:val="20"/>
                <w:szCs w:val="20"/>
              </w:rPr>
            </w:pPr>
            <w:r>
              <w:rPr>
                <w:color w:val="000000"/>
                <w:sz w:val="20"/>
                <w:szCs w:val="20"/>
              </w:rPr>
              <w:t>$492,750</w:t>
            </w:r>
          </w:p>
        </w:tc>
      </w:tr>
      <w:tr w:rsidR="00FC1309" w:rsidRPr="00FC1309" w:rsidTr="005D001D">
        <w:trPr>
          <w:trHeight w:val="315"/>
          <w:jc w:val="center"/>
        </w:trPr>
        <w:tc>
          <w:tcPr>
            <w:tcW w:w="1113" w:type="pct"/>
            <w:tcBorders>
              <w:top w:val="nil"/>
              <w:left w:val="single" w:sz="4" w:space="0" w:color="auto"/>
              <w:bottom w:val="single" w:sz="4" w:space="0" w:color="auto"/>
              <w:right w:val="single" w:sz="4" w:space="0" w:color="auto"/>
            </w:tcBorders>
            <w:shd w:val="clear" w:color="auto" w:fill="auto"/>
            <w:hideMark/>
          </w:tcPr>
          <w:p w:rsidR="00FC1309" w:rsidRPr="00FC1309" w:rsidRDefault="005D001D" w:rsidP="000F7A1F">
            <w:pPr>
              <w:keepNext/>
              <w:keepLines/>
              <w:widowControl/>
              <w:autoSpaceDE/>
              <w:autoSpaceDN/>
              <w:adjustRightInd/>
              <w:rPr>
                <w:color w:val="000000"/>
                <w:sz w:val="20"/>
                <w:szCs w:val="20"/>
              </w:rPr>
            </w:pPr>
            <w:r>
              <w:rPr>
                <w:color w:val="000000"/>
                <w:sz w:val="20"/>
                <w:szCs w:val="20"/>
              </w:rPr>
              <w:t xml:space="preserve">Gasholder </w:t>
            </w:r>
            <w:r>
              <w:rPr>
                <w:color w:val="000000"/>
                <w:sz w:val="20"/>
                <w:szCs w:val="20"/>
                <w:vertAlign w:val="superscript"/>
              </w:rPr>
              <w:t>3</w:t>
            </w:r>
          </w:p>
        </w:tc>
        <w:tc>
          <w:tcPr>
            <w:tcW w:w="684" w:type="pct"/>
            <w:tcBorders>
              <w:top w:val="nil"/>
              <w:left w:val="nil"/>
              <w:bottom w:val="single" w:sz="4" w:space="0" w:color="auto"/>
              <w:right w:val="single" w:sz="4" w:space="0" w:color="auto"/>
            </w:tcBorders>
            <w:shd w:val="clear" w:color="auto" w:fill="auto"/>
            <w:vAlign w:val="center"/>
            <w:hideMark/>
          </w:tcPr>
          <w:p w:rsidR="00FC1309" w:rsidRPr="00FC1309" w:rsidRDefault="005D001D" w:rsidP="000F7A1F">
            <w:pPr>
              <w:keepNext/>
              <w:keepLines/>
              <w:widowControl/>
              <w:autoSpaceDE/>
              <w:autoSpaceDN/>
              <w:adjustRightInd/>
              <w:jc w:val="center"/>
              <w:rPr>
                <w:color w:val="000000"/>
                <w:sz w:val="20"/>
                <w:szCs w:val="20"/>
              </w:rPr>
            </w:pPr>
            <w:r>
              <w:rPr>
                <w:color w:val="000000"/>
                <w:sz w:val="20"/>
                <w:szCs w:val="20"/>
              </w:rPr>
              <w:t>$5,000</w:t>
            </w:r>
          </w:p>
        </w:tc>
        <w:tc>
          <w:tcPr>
            <w:tcW w:w="642" w:type="pct"/>
            <w:tcBorders>
              <w:top w:val="nil"/>
              <w:left w:val="nil"/>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tcBorders>
              <w:top w:val="nil"/>
              <w:left w:val="nil"/>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tcBorders>
              <w:top w:val="nil"/>
              <w:left w:val="nil"/>
              <w:bottom w:val="single" w:sz="4" w:space="0" w:color="auto"/>
              <w:right w:val="single" w:sz="4" w:space="0" w:color="auto"/>
            </w:tcBorders>
            <w:shd w:val="clear" w:color="auto" w:fill="auto"/>
            <w:vAlign w:val="center"/>
            <w:hideMark/>
          </w:tcPr>
          <w:p w:rsidR="00FC1309" w:rsidRPr="00FC1309" w:rsidRDefault="005D001D" w:rsidP="000F7A1F">
            <w:pPr>
              <w:keepNext/>
              <w:keepLines/>
              <w:widowControl/>
              <w:autoSpaceDE/>
              <w:autoSpaceDN/>
              <w:adjustRightInd/>
              <w:jc w:val="center"/>
              <w:rPr>
                <w:color w:val="000000"/>
                <w:sz w:val="20"/>
                <w:szCs w:val="20"/>
              </w:rPr>
            </w:pPr>
            <w:r>
              <w:rPr>
                <w:color w:val="000000"/>
                <w:sz w:val="20"/>
                <w:szCs w:val="20"/>
              </w:rPr>
              <w:t>NA</w:t>
            </w:r>
          </w:p>
        </w:tc>
        <w:tc>
          <w:tcPr>
            <w:tcW w:w="643" w:type="pct"/>
            <w:tcBorders>
              <w:top w:val="nil"/>
              <w:left w:val="nil"/>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tcBorders>
              <w:top w:val="nil"/>
              <w:left w:val="nil"/>
              <w:bottom w:val="single" w:sz="4" w:space="0" w:color="auto"/>
              <w:right w:val="single" w:sz="4" w:space="0" w:color="auto"/>
            </w:tcBorders>
            <w:shd w:val="clear" w:color="auto" w:fill="auto"/>
            <w:vAlign w:val="center"/>
            <w:hideMark/>
          </w:tcPr>
          <w:p w:rsidR="00FC1309" w:rsidRPr="00FC1309" w:rsidRDefault="005D001D" w:rsidP="000F7A1F">
            <w:pPr>
              <w:keepNext/>
              <w:keepLines/>
              <w:widowControl/>
              <w:autoSpaceDE/>
              <w:autoSpaceDN/>
              <w:adjustRightInd/>
              <w:jc w:val="center"/>
              <w:rPr>
                <w:color w:val="000000"/>
                <w:sz w:val="20"/>
                <w:szCs w:val="20"/>
              </w:rPr>
            </w:pPr>
            <w:r>
              <w:rPr>
                <w:color w:val="000000"/>
                <w:sz w:val="20"/>
                <w:szCs w:val="20"/>
              </w:rPr>
              <w:t>$0</w:t>
            </w:r>
          </w:p>
        </w:tc>
      </w:tr>
      <w:tr w:rsidR="00FC1309" w:rsidRPr="00FC1309" w:rsidTr="005D001D">
        <w:trPr>
          <w:trHeight w:val="25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rsidR="00FC1309" w:rsidRPr="00FC1309" w:rsidRDefault="00FC1309" w:rsidP="000F7A1F">
            <w:pPr>
              <w:keepNext/>
              <w:keepLines/>
              <w:widowControl/>
              <w:autoSpaceDE/>
              <w:autoSpaceDN/>
              <w:adjustRightInd/>
              <w:jc w:val="center"/>
              <w:rPr>
                <w:b/>
                <w:bCs/>
                <w:color w:val="000000"/>
                <w:sz w:val="20"/>
                <w:szCs w:val="20"/>
              </w:rPr>
            </w:pPr>
            <w:r w:rsidRPr="00FC1309">
              <w:rPr>
                <w:b/>
                <w:bCs/>
                <w:color w:val="000000"/>
                <w:sz w:val="20"/>
                <w:szCs w:val="20"/>
              </w:rPr>
              <w:t>Periodic Testing</w:t>
            </w:r>
          </w:p>
        </w:tc>
      </w:tr>
      <w:tr w:rsidR="00FC1309" w:rsidRPr="00FC1309" w:rsidTr="005D001D">
        <w:trPr>
          <w:trHeight w:val="230"/>
          <w:jc w:val="center"/>
        </w:trPr>
        <w:tc>
          <w:tcPr>
            <w:tcW w:w="111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rPr>
                <w:color w:val="000000"/>
                <w:sz w:val="20"/>
                <w:szCs w:val="20"/>
              </w:rPr>
            </w:pPr>
            <w:r w:rsidRPr="00FC1309">
              <w:rPr>
                <w:color w:val="000000"/>
                <w:sz w:val="20"/>
                <w:szCs w:val="20"/>
              </w:rPr>
              <w:t>Process Vent Testing</w:t>
            </w:r>
          </w:p>
        </w:tc>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$43,198</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vMerge w:val="restart"/>
            <w:tcBorders>
              <w:top w:val="nil"/>
              <w:left w:val="single" w:sz="4" w:space="0" w:color="auto"/>
              <w:bottom w:val="single" w:sz="4" w:space="0" w:color="000000"/>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$8,640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$25,920</w:t>
            </w:r>
          </w:p>
        </w:tc>
      </w:tr>
      <w:tr w:rsidR="00FC1309" w:rsidRPr="00FC1309" w:rsidTr="005D001D">
        <w:trPr>
          <w:trHeight w:val="230"/>
          <w:jc w:val="center"/>
        </w:trPr>
        <w:tc>
          <w:tcPr>
            <w:tcW w:w="111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84"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84" w:type="pct"/>
            <w:vMerge/>
            <w:tcBorders>
              <w:top w:val="nil"/>
              <w:left w:val="single" w:sz="4" w:space="0" w:color="auto"/>
              <w:bottom w:val="single" w:sz="4" w:space="0" w:color="000000"/>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591"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r>
      <w:tr w:rsidR="00FC1309" w:rsidRPr="00FC1309" w:rsidTr="005D001D">
        <w:trPr>
          <w:trHeight w:val="230"/>
          <w:jc w:val="center"/>
        </w:trPr>
        <w:tc>
          <w:tcPr>
            <w:tcW w:w="111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rPr>
                <w:color w:val="000000"/>
                <w:sz w:val="20"/>
                <w:szCs w:val="20"/>
              </w:rPr>
            </w:pPr>
            <w:r w:rsidRPr="00FC1309">
              <w:rPr>
                <w:color w:val="000000"/>
                <w:sz w:val="20"/>
                <w:szCs w:val="20"/>
              </w:rPr>
              <w:t>Resin Sampling and Monitoring</w:t>
            </w:r>
            <w:r w:rsidR="005D001D">
              <w:rPr>
                <w:color w:val="000000"/>
                <w:sz w:val="20"/>
                <w:szCs w:val="20"/>
                <w:vertAlign w:val="superscript"/>
              </w:rPr>
              <w:t>4</w:t>
            </w:r>
          </w:p>
        </w:tc>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$1,803</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vMerge w:val="restart"/>
            <w:tcBorders>
              <w:top w:val="nil"/>
              <w:left w:val="single" w:sz="4" w:space="0" w:color="auto"/>
              <w:bottom w:val="single" w:sz="4" w:space="0" w:color="000000"/>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$7,212</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$21,636</w:t>
            </w:r>
          </w:p>
        </w:tc>
      </w:tr>
      <w:tr w:rsidR="00FC1309" w:rsidRPr="00FC1309" w:rsidTr="005D001D">
        <w:trPr>
          <w:trHeight w:val="360"/>
          <w:jc w:val="center"/>
        </w:trPr>
        <w:tc>
          <w:tcPr>
            <w:tcW w:w="111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84"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84" w:type="pct"/>
            <w:vMerge/>
            <w:tcBorders>
              <w:top w:val="nil"/>
              <w:left w:val="single" w:sz="4" w:space="0" w:color="auto"/>
              <w:bottom w:val="single" w:sz="4" w:space="0" w:color="000000"/>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591"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r>
      <w:tr w:rsidR="00FC1309" w:rsidRPr="00FC1309" w:rsidTr="005D001D">
        <w:trPr>
          <w:trHeight w:val="330"/>
          <w:jc w:val="center"/>
        </w:trPr>
        <w:tc>
          <w:tcPr>
            <w:tcW w:w="111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rPr>
                <w:color w:val="000000"/>
                <w:sz w:val="20"/>
                <w:szCs w:val="20"/>
              </w:rPr>
            </w:pPr>
            <w:r w:rsidRPr="00FC1309">
              <w:rPr>
                <w:color w:val="000000"/>
                <w:sz w:val="20"/>
                <w:szCs w:val="20"/>
              </w:rPr>
              <w:t>Resin: Non-VC TOHAP testing</w:t>
            </w:r>
            <w:r w:rsidR="005D001D">
              <w:rPr>
                <w:color w:val="000000"/>
                <w:sz w:val="20"/>
                <w:szCs w:val="20"/>
                <w:vertAlign w:val="superscript"/>
              </w:rPr>
              <w:t>5</w:t>
            </w:r>
          </w:p>
        </w:tc>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$1,950</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vMerge w:val="restart"/>
            <w:tcBorders>
              <w:top w:val="nil"/>
              <w:left w:val="single" w:sz="4" w:space="0" w:color="auto"/>
              <w:bottom w:val="single" w:sz="4" w:space="0" w:color="000000"/>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$23,400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$70,200</w:t>
            </w:r>
          </w:p>
        </w:tc>
      </w:tr>
      <w:tr w:rsidR="00FC1309" w:rsidRPr="00FC1309" w:rsidTr="005D001D">
        <w:trPr>
          <w:trHeight w:val="330"/>
          <w:jc w:val="center"/>
        </w:trPr>
        <w:tc>
          <w:tcPr>
            <w:tcW w:w="111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84"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84" w:type="pct"/>
            <w:vMerge/>
            <w:tcBorders>
              <w:top w:val="nil"/>
              <w:left w:val="single" w:sz="4" w:space="0" w:color="auto"/>
              <w:bottom w:val="single" w:sz="4" w:space="0" w:color="000000"/>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591"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r>
      <w:tr w:rsidR="00FC1309" w:rsidRPr="00FC1309" w:rsidTr="005D001D">
        <w:trPr>
          <w:trHeight w:val="230"/>
          <w:jc w:val="center"/>
        </w:trPr>
        <w:tc>
          <w:tcPr>
            <w:tcW w:w="111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rPr>
                <w:color w:val="000000"/>
                <w:sz w:val="20"/>
                <w:szCs w:val="20"/>
              </w:rPr>
            </w:pPr>
            <w:r w:rsidRPr="00FC1309">
              <w:rPr>
                <w:color w:val="000000"/>
                <w:sz w:val="20"/>
                <w:szCs w:val="20"/>
              </w:rPr>
              <w:t>Wastewater Testing</w:t>
            </w:r>
            <w:r w:rsidR="005D001D">
              <w:rPr>
                <w:color w:val="000000"/>
                <w:sz w:val="20"/>
                <w:szCs w:val="20"/>
                <w:vertAlign w:val="superscript"/>
              </w:rPr>
              <w:t>6</w:t>
            </w:r>
          </w:p>
        </w:tc>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$491</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vMerge w:val="restart"/>
            <w:tcBorders>
              <w:top w:val="nil"/>
              <w:left w:val="single" w:sz="4" w:space="0" w:color="auto"/>
              <w:bottom w:val="single" w:sz="4" w:space="0" w:color="000000"/>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$5,892</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$17,676</w:t>
            </w:r>
          </w:p>
        </w:tc>
      </w:tr>
      <w:tr w:rsidR="00FC1309" w:rsidRPr="00FC1309" w:rsidTr="005D001D">
        <w:trPr>
          <w:trHeight w:val="230"/>
          <w:jc w:val="center"/>
        </w:trPr>
        <w:tc>
          <w:tcPr>
            <w:tcW w:w="111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84"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84" w:type="pct"/>
            <w:vMerge/>
            <w:tcBorders>
              <w:top w:val="nil"/>
              <w:left w:val="single" w:sz="4" w:space="0" w:color="auto"/>
              <w:bottom w:val="single" w:sz="4" w:space="0" w:color="000000"/>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591"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r>
      <w:tr w:rsidR="00FC1309" w:rsidRPr="00FC1309" w:rsidTr="005D001D">
        <w:trPr>
          <w:trHeight w:val="230"/>
          <w:jc w:val="center"/>
        </w:trPr>
        <w:tc>
          <w:tcPr>
            <w:tcW w:w="111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rPr>
                <w:color w:val="000000"/>
                <w:sz w:val="20"/>
                <w:szCs w:val="20"/>
              </w:rPr>
            </w:pPr>
            <w:r w:rsidRPr="00FC1309">
              <w:rPr>
                <w:color w:val="000000"/>
                <w:sz w:val="20"/>
                <w:szCs w:val="20"/>
              </w:rPr>
              <w:t>Wastewater Testing: Non-VC TOHAP testing</w:t>
            </w:r>
          </w:p>
        </w:tc>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$650</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vMerge w:val="restart"/>
            <w:tcBorders>
              <w:top w:val="nil"/>
              <w:left w:val="single" w:sz="4" w:space="0" w:color="auto"/>
              <w:bottom w:val="single" w:sz="4" w:space="0" w:color="000000"/>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$7,800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$23,400</w:t>
            </w:r>
          </w:p>
        </w:tc>
      </w:tr>
      <w:tr w:rsidR="00FC1309" w:rsidRPr="00FC1309" w:rsidTr="005D001D">
        <w:trPr>
          <w:trHeight w:val="345"/>
          <w:jc w:val="center"/>
        </w:trPr>
        <w:tc>
          <w:tcPr>
            <w:tcW w:w="111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84"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84" w:type="pct"/>
            <w:vMerge/>
            <w:tcBorders>
              <w:top w:val="nil"/>
              <w:left w:val="single" w:sz="4" w:space="0" w:color="auto"/>
              <w:bottom w:val="single" w:sz="4" w:space="0" w:color="000000"/>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591"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r>
      <w:tr w:rsidR="00FC1309" w:rsidRPr="00FC1309" w:rsidTr="005D001D">
        <w:trPr>
          <w:trHeight w:val="230"/>
          <w:jc w:val="center"/>
        </w:trPr>
        <w:tc>
          <w:tcPr>
            <w:tcW w:w="111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rPr>
                <w:color w:val="000000"/>
                <w:sz w:val="20"/>
                <w:szCs w:val="20"/>
              </w:rPr>
            </w:pPr>
            <w:r w:rsidRPr="00FC1309">
              <w:rPr>
                <w:color w:val="000000"/>
                <w:sz w:val="20"/>
                <w:szCs w:val="20"/>
              </w:rPr>
              <w:t>Uncontrolled Wastewater testing</w:t>
            </w:r>
          </w:p>
        </w:tc>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vMerge w:val="restart"/>
            <w:tcBorders>
              <w:top w:val="nil"/>
              <w:left w:val="single" w:sz="4" w:space="0" w:color="auto"/>
              <w:bottom w:val="single" w:sz="4" w:space="0" w:color="000000"/>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$491</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$1,473</w:t>
            </w:r>
          </w:p>
        </w:tc>
      </w:tr>
      <w:tr w:rsidR="00FC1309" w:rsidRPr="00FC1309" w:rsidTr="005D001D">
        <w:trPr>
          <w:trHeight w:val="300"/>
          <w:jc w:val="center"/>
        </w:trPr>
        <w:tc>
          <w:tcPr>
            <w:tcW w:w="111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84"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84" w:type="pct"/>
            <w:vMerge/>
            <w:tcBorders>
              <w:top w:val="nil"/>
              <w:left w:val="single" w:sz="4" w:space="0" w:color="auto"/>
              <w:bottom w:val="single" w:sz="4" w:space="0" w:color="000000"/>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591"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r>
      <w:tr w:rsidR="00FC1309" w:rsidRPr="00FC1309" w:rsidTr="005D001D">
        <w:trPr>
          <w:trHeight w:val="230"/>
          <w:jc w:val="center"/>
        </w:trPr>
        <w:tc>
          <w:tcPr>
            <w:tcW w:w="111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rPr>
                <w:color w:val="000000"/>
                <w:sz w:val="20"/>
                <w:szCs w:val="20"/>
              </w:rPr>
            </w:pPr>
            <w:r w:rsidRPr="00FC1309">
              <w:rPr>
                <w:color w:val="000000"/>
                <w:sz w:val="20"/>
                <w:szCs w:val="20"/>
              </w:rPr>
              <w:t xml:space="preserve">Uncontrolled Wastewater testing: Non-VC TOHAP testing </w:t>
            </w:r>
            <w:r w:rsidR="000F7A1F">
              <w:rPr>
                <w:color w:val="000000"/>
                <w:sz w:val="20"/>
                <w:szCs w:val="20"/>
                <w:vertAlign w:val="superscript"/>
              </w:rPr>
              <w:t>7</w:t>
            </w:r>
          </w:p>
        </w:tc>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$3,250</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vMerge w:val="restart"/>
            <w:tcBorders>
              <w:top w:val="nil"/>
              <w:left w:val="single" w:sz="4" w:space="0" w:color="auto"/>
              <w:bottom w:val="single" w:sz="4" w:space="0" w:color="000000"/>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$3,250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$9,750</w:t>
            </w:r>
          </w:p>
        </w:tc>
      </w:tr>
      <w:tr w:rsidR="00FC1309" w:rsidRPr="00FC1309" w:rsidTr="005D001D">
        <w:trPr>
          <w:trHeight w:val="600"/>
          <w:jc w:val="center"/>
        </w:trPr>
        <w:tc>
          <w:tcPr>
            <w:tcW w:w="111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84"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84" w:type="pct"/>
            <w:vMerge/>
            <w:tcBorders>
              <w:top w:val="nil"/>
              <w:left w:val="single" w:sz="4" w:space="0" w:color="auto"/>
              <w:bottom w:val="single" w:sz="4" w:space="0" w:color="000000"/>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c>
          <w:tcPr>
            <w:tcW w:w="591"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jc w:val="center"/>
              <w:rPr>
                <w:color w:val="000000"/>
                <w:sz w:val="20"/>
                <w:szCs w:val="20"/>
              </w:rPr>
            </w:pPr>
          </w:p>
        </w:tc>
      </w:tr>
      <w:tr w:rsidR="00FC1309" w:rsidRPr="00FC1309" w:rsidTr="005D001D">
        <w:trPr>
          <w:trHeight w:val="230"/>
          <w:jc w:val="center"/>
        </w:trPr>
        <w:tc>
          <w:tcPr>
            <w:tcW w:w="111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rPr>
                <w:color w:val="000000"/>
                <w:sz w:val="20"/>
                <w:szCs w:val="20"/>
              </w:rPr>
            </w:pPr>
            <w:r w:rsidRPr="00FC1309">
              <w:rPr>
                <w:color w:val="000000"/>
                <w:sz w:val="20"/>
                <w:szCs w:val="20"/>
              </w:rPr>
              <w:t>Equipment Leak Testing</w:t>
            </w:r>
          </w:p>
        </w:tc>
        <w:tc>
          <w:tcPr>
            <w:tcW w:w="684"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$177,360</w:t>
            </w:r>
          </w:p>
        </w:tc>
        <w:tc>
          <w:tcPr>
            <w:tcW w:w="642"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84" w:type="pct"/>
            <w:vMerge w:val="restart"/>
            <w:tcBorders>
              <w:top w:val="nil"/>
              <w:left w:val="single" w:sz="4" w:space="0" w:color="auto"/>
              <w:bottom w:val="single" w:sz="4" w:space="0" w:color="000000"/>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$0</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$16,105</w:t>
            </w:r>
          </w:p>
        </w:tc>
        <w:tc>
          <w:tcPr>
            <w:tcW w:w="643"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3</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FC1309" w:rsidRPr="00FC1309" w:rsidRDefault="00FC1309" w:rsidP="000F7A1F">
            <w:pPr>
              <w:keepNext/>
              <w:keepLines/>
              <w:widowControl/>
              <w:autoSpaceDE/>
              <w:autoSpaceDN/>
              <w:adjustRightInd/>
              <w:jc w:val="center"/>
              <w:rPr>
                <w:color w:val="000000"/>
                <w:sz w:val="20"/>
                <w:szCs w:val="20"/>
              </w:rPr>
            </w:pPr>
            <w:r w:rsidRPr="00FC1309">
              <w:rPr>
                <w:color w:val="000000"/>
                <w:sz w:val="20"/>
                <w:szCs w:val="20"/>
              </w:rPr>
              <w:t>$48,315</w:t>
            </w:r>
          </w:p>
        </w:tc>
      </w:tr>
      <w:tr w:rsidR="00FC1309" w:rsidRPr="00FC1309" w:rsidTr="005D001D">
        <w:trPr>
          <w:trHeight w:val="230"/>
          <w:jc w:val="center"/>
        </w:trPr>
        <w:tc>
          <w:tcPr>
            <w:tcW w:w="111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84"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84" w:type="pct"/>
            <w:vMerge/>
            <w:tcBorders>
              <w:top w:val="nil"/>
              <w:left w:val="single" w:sz="4" w:space="0" w:color="auto"/>
              <w:bottom w:val="single" w:sz="4" w:space="0" w:color="000000"/>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643"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c>
          <w:tcPr>
            <w:tcW w:w="591" w:type="pct"/>
            <w:vMerge/>
            <w:tcBorders>
              <w:top w:val="nil"/>
              <w:left w:val="single" w:sz="4" w:space="0" w:color="auto"/>
              <w:bottom w:val="single" w:sz="4" w:space="0" w:color="auto"/>
              <w:right w:val="single" w:sz="4" w:space="0" w:color="auto"/>
            </w:tcBorders>
            <w:vAlign w:val="center"/>
            <w:hideMark/>
          </w:tcPr>
          <w:p w:rsidR="00FC1309" w:rsidRPr="00FC1309" w:rsidRDefault="00FC1309" w:rsidP="000F7A1F">
            <w:pPr>
              <w:keepNext/>
              <w:keepLines/>
              <w:widowControl/>
              <w:autoSpaceDE/>
              <w:autoSpaceDN/>
              <w:adjustRightInd/>
              <w:rPr>
                <w:color w:val="000000"/>
                <w:sz w:val="20"/>
                <w:szCs w:val="20"/>
              </w:rPr>
            </w:pPr>
          </w:p>
        </w:tc>
      </w:tr>
      <w:tr w:rsidR="00FC1309" w:rsidRPr="00FC1309" w:rsidTr="005D001D">
        <w:trPr>
          <w:trHeight w:val="255"/>
          <w:jc w:val="center"/>
        </w:trPr>
        <w:tc>
          <w:tcPr>
            <w:tcW w:w="1113" w:type="pct"/>
            <w:tcBorders>
              <w:top w:val="nil"/>
              <w:left w:val="single" w:sz="4" w:space="0" w:color="auto"/>
              <w:bottom w:val="single" w:sz="4" w:space="0" w:color="auto"/>
              <w:right w:val="single" w:sz="4" w:space="0" w:color="auto"/>
            </w:tcBorders>
            <w:shd w:val="clear" w:color="auto" w:fill="auto"/>
            <w:hideMark/>
          </w:tcPr>
          <w:p w:rsidR="00FC1309" w:rsidRPr="00FC1309" w:rsidRDefault="005D001D" w:rsidP="000F7A1F">
            <w:pPr>
              <w:keepNext/>
              <w:keepLines/>
              <w:widowControl/>
              <w:autoSpaceDE/>
              <w:autoSpaceDN/>
              <w:adjustRightInd/>
              <w:rPr>
                <w:color w:val="000000"/>
                <w:sz w:val="20"/>
                <w:szCs w:val="20"/>
              </w:rPr>
            </w:pPr>
            <w:r w:rsidRPr="00FC1309">
              <w:rPr>
                <w:b/>
                <w:bCs/>
                <w:color w:val="000000"/>
                <w:sz w:val="20"/>
                <w:szCs w:val="20"/>
              </w:rPr>
              <w:t>Total</w:t>
            </w:r>
            <w:r w:rsidR="00DC0941">
              <w:rPr>
                <w:b/>
                <w:bCs/>
                <w:color w:val="000000"/>
                <w:sz w:val="20"/>
                <w:szCs w:val="20"/>
              </w:rPr>
              <w:t xml:space="preserve"> (rounded)</w:t>
            </w:r>
          </w:p>
        </w:tc>
        <w:tc>
          <w:tcPr>
            <w:tcW w:w="684" w:type="pct"/>
            <w:tcBorders>
              <w:top w:val="nil"/>
              <w:left w:val="nil"/>
              <w:bottom w:val="single" w:sz="4" w:space="0" w:color="auto"/>
              <w:right w:val="single" w:sz="4" w:space="0" w:color="auto"/>
            </w:tcBorders>
            <w:shd w:val="clear" w:color="auto" w:fill="auto"/>
            <w:hideMark/>
          </w:tcPr>
          <w:p w:rsidR="00FC1309" w:rsidRPr="00FC1309" w:rsidRDefault="00FC1309" w:rsidP="000F7A1F">
            <w:pPr>
              <w:keepNext/>
              <w:keepLines/>
              <w:widowControl/>
              <w:autoSpaceDE/>
              <w:autoSpaceDN/>
              <w:adjustRightInd/>
              <w:rPr>
                <w:color w:val="000000"/>
                <w:sz w:val="20"/>
                <w:szCs w:val="20"/>
              </w:rPr>
            </w:pPr>
          </w:p>
        </w:tc>
        <w:tc>
          <w:tcPr>
            <w:tcW w:w="642" w:type="pct"/>
            <w:tcBorders>
              <w:top w:val="nil"/>
              <w:left w:val="nil"/>
              <w:bottom w:val="single" w:sz="4" w:space="0" w:color="auto"/>
              <w:right w:val="single" w:sz="4" w:space="0" w:color="auto"/>
            </w:tcBorders>
            <w:shd w:val="clear" w:color="auto" w:fill="auto"/>
            <w:hideMark/>
          </w:tcPr>
          <w:p w:rsidR="00FC1309" w:rsidRPr="00FC1309" w:rsidRDefault="00FC1309" w:rsidP="000F7A1F">
            <w:pPr>
              <w:keepNext/>
              <w:keepLines/>
              <w:widowControl/>
              <w:autoSpaceDE/>
              <w:autoSpaceDN/>
              <w:adjustRightInd/>
              <w:rPr>
                <w:color w:val="000000"/>
                <w:sz w:val="20"/>
                <w:szCs w:val="20"/>
              </w:rPr>
            </w:pPr>
          </w:p>
        </w:tc>
        <w:tc>
          <w:tcPr>
            <w:tcW w:w="684" w:type="pct"/>
            <w:tcBorders>
              <w:top w:val="nil"/>
              <w:left w:val="nil"/>
              <w:bottom w:val="single" w:sz="4" w:space="0" w:color="auto"/>
              <w:right w:val="single" w:sz="4" w:space="0" w:color="auto"/>
            </w:tcBorders>
            <w:shd w:val="clear" w:color="auto" w:fill="auto"/>
            <w:hideMark/>
          </w:tcPr>
          <w:p w:rsidR="00FC1309" w:rsidRPr="000F7A1F" w:rsidRDefault="00FC1309" w:rsidP="000F7A1F">
            <w:pPr>
              <w:keepNext/>
              <w:keepLines/>
              <w:widowControl/>
              <w:autoSpaceDE/>
              <w:autoSpaceDN/>
              <w:adjustRightInd/>
              <w:jc w:val="center"/>
              <w:rPr>
                <w:b/>
                <w:color w:val="000000"/>
                <w:sz w:val="20"/>
                <w:szCs w:val="20"/>
              </w:rPr>
            </w:pPr>
            <w:r w:rsidRPr="000F7A1F">
              <w:rPr>
                <w:b/>
                <w:color w:val="000000"/>
                <w:sz w:val="20"/>
                <w:szCs w:val="20"/>
              </w:rPr>
              <w:t>$0</w:t>
            </w:r>
          </w:p>
        </w:tc>
        <w:tc>
          <w:tcPr>
            <w:tcW w:w="643" w:type="pct"/>
            <w:tcBorders>
              <w:top w:val="nil"/>
              <w:left w:val="nil"/>
              <w:bottom w:val="single" w:sz="4" w:space="0" w:color="auto"/>
              <w:right w:val="single" w:sz="4" w:space="0" w:color="auto"/>
            </w:tcBorders>
            <w:shd w:val="clear" w:color="auto" w:fill="auto"/>
            <w:hideMark/>
          </w:tcPr>
          <w:p w:rsidR="00FC1309" w:rsidRPr="000F7A1F" w:rsidRDefault="00FC1309" w:rsidP="000F7A1F">
            <w:pPr>
              <w:keepNext/>
              <w:keepLines/>
              <w:widowControl/>
              <w:autoSpaceDE/>
              <w:autoSpaceDN/>
              <w:adjustRightInd/>
              <w:rPr>
                <w:b/>
                <w:color w:val="000000"/>
                <w:sz w:val="20"/>
                <w:szCs w:val="20"/>
              </w:rPr>
            </w:pPr>
          </w:p>
        </w:tc>
        <w:tc>
          <w:tcPr>
            <w:tcW w:w="643" w:type="pct"/>
            <w:tcBorders>
              <w:top w:val="nil"/>
              <w:left w:val="nil"/>
              <w:bottom w:val="single" w:sz="4" w:space="0" w:color="auto"/>
              <w:right w:val="single" w:sz="4" w:space="0" w:color="auto"/>
            </w:tcBorders>
            <w:shd w:val="clear" w:color="auto" w:fill="auto"/>
            <w:hideMark/>
          </w:tcPr>
          <w:p w:rsidR="00FC1309" w:rsidRPr="000F7A1F" w:rsidRDefault="00FC1309" w:rsidP="000F7A1F">
            <w:pPr>
              <w:keepNext/>
              <w:keepLines/>
              <w:widowControl/>
              <w:autoSpaceDE/>
              <w:autoSpaceDN/>
              <w:adjustRightInd/>
              <w:rPr>
                <w:b/>
                <w:color w:val="000000"/>
                <w:sz w:val="20"/>
                <w:szCs w:val="20"/>
              </w:rPr>
            </w:pPr>
          </w:p>
        </w:tc>
        <w:tc>
          <w:tcPr>
            <w:tcW w:w="591" w:type="pct"/>
            <w:tcBorders>
              <w:top w:val="nil"/>
              <w:left w:val="nil"/>
              <w:bottom w:val="single" w:sz="4" w:space="0" w:color="auto"/>
              <w:right w:val="single" w:sz="4" w:space="0" w:color="auto"/>
            </w:tcBorders>
            <w:shd w:val="clear" w:color="auto" w:fill="auto"/>
            <w:hideMark/>
          </w:tcPr>
          <w:p w:rsidR="00FC1309" w:rsidRPr="000F7A1F" w:rsidRDefault="005D001D" w:rsidP="00DC0941">
            <w:pPr>
              <w:keepNext/>
              <w:keepLines/>
              <w:widowControl/>
              <w:autoSpaceDE/>
              <w:autoSpaceDN/>
              <w:adjustRightInd/>
              <w:jc w:val="center"/>
              <w:rPr>
                <w:b/>
                <w:color w:val="000000"/>
                <w:sz w:val="20"/>
                <w:szCs w:val="20"/>
              </w:rPr>
            </w:pPr>
            <w:r w:rsidRPr="000F7A1F">
              <w:rPr>
                <w:b/>
                <w:color w:val="000000"/>
                <w:sz w:val="20"/>
                <w:szCs w:val="20"/>
              </w:rPr>
              <w:t>$806,</w:t>
            </w:r>
            <w:r w:rsidR="00DC0941">
              <w:rPr>
                <w:b/>
                <w:color w:val="000000"/>
                <w:sz w:val="20"/>
                <w:szCs w:val="20"/>
              </w:rPr>
              <w:t>000</w:t>
            </w:r>
          </w:p>
        </w:tc>
      </w:tr>
    </w:tbl>
    <w:p w:rsidR="00DC0941" w:rsidRPr="009A79AB" w:rsidRDefault="00DC0941" w:rsidP="005D001D">
      <w:pPr>
        <w:pBdr>
          <w:top w:val="single" w:sz="6" w:space="0" w:color="FFFFFF"/>
          <w:left w:val="single" w:sz="6" w:space="0" w:color="FFFFFF"/>
          <w:bottom w:val="single" w:sz="6" w:space="0" w:color="FFFFFF"/>
          <w:right w:val="single" w:sz="6" w:space="0" w:color="FFFFFF"/>
        </w:pBdr>
        <w:rPr>
          <w:sz w:val="18"/>
          <w:szCs w:val="18"/>
        </w:rPr>
      </w:pPr>
      <w:r>
        <w:rPr>
          <w:sz w:val="18"/>
          <w:szCs w:val="18"/>
        </w:rPr>
        <w:t xml:space="preserve">Note: Totals have been rounded to 3 significant digits. Figures may not add exactly due to rounding. </w:t>
      </w:r>
    </w:p>
    <w:p w:rsidR="005D001D" w:rsidRDefault="005D001D" w:rsidP="005D001D">
      <w:pPr>
        <w:pBdr>
          <w:top w:val="single" w:sz="6" w:space="0" w:color="FFFFFF"/>
          <w:left w:val="single" w:sz="6" w:space="0" w:color="FFFFFF"/>
          <w:bottom w:val="single" w:sz="6" w:space="0" w:color="FFFFFF"/>
          <w:right w:val="single" w:sz="6" w:space="0" w:color="FFFFFF"/>
        </w:pBdr>
        <w:rPr>
          <w:sz w:val="18"/>
          <w:szCs w:val="18"/>
        </w:rPr>
      </w:pPr>
      <w:r>
        <w:rPr>
          <w:sz w:val="18"/>
          <w:szCs w:val="18"/>
          <w:vertAlign w:val="superscript"/>
        </w:rPr>
        <w:t>1</w:t>
      </w:r>
      <w:r w:rsidRPr="005D001D">
        <w:rPr>
          <w:sz w:val="18"/>
          <w:szCs w:val="18"/>
        </w:rPr>
        <w:t xml:space="preserve"> Per VI's comments, the capital cost of the PRD monitor is $15,000 per device, and it is assumed that 25 devices per facility require indicators.</w:t>
      </w:r>
    </w:p>
    <w:p w:rsidR="005D001D" w:rsidRDefault="005D001D" w:rsidP="005D001D">
      <w:pPr>
        <w:pBdr>
          <w:top w:val="single" w:sz="6" w:space="0" w:color="FFFFFF"/>
          <w:left w:val="single" w:sz="6" w:space="0" w:color="FFFFFF"/>
          <w:bottom w:val="single" w:sz="6" w:space="0" w:color="FFFFFF"/>
          <w:right w:val="single" w:sz="6" w:space="0" w:color="FFFFFF"/>
        </w:pBdr>
        <w:ind w:left="180" w:hanging="180"/>
        <w:rPr>
          <w:color w:val="000000"/>
          <w:sz w:val="18"/>
          <w:szCs w:val="18"/>
          <w:vertAlign w:val="superscript"/>
        </w:rPr>
      </w:pPr>
      <w:r>
        <w:rPr>
          <w:sz w:val="18"/>
          <w:szCs w:val="18"/>
          <w:vertAlign w:val="superscript"/>
        </w:rPr>
        <w:t>2</w:t>
      </w:r>
      <w:r w:rsidRPr="005D001D">
        <w:rPr>
          <w:sz w:val="18"/>
          <w:szCs w:val="18"/>
        </w:rPr>
        <w:t xml:space="preserve"> Per VI's comments,</w:t>
      </w:r>
      <w:r>
        <w:rPr>
          <w:sz w:val="18"/>
          <w:szCs w:val="18"/>
        </w:rPr>
        <w:t xml:space="preserve"> there are 73 GC monitors in the industry with an annual cost of $45,000 per monitor for vinyl chloride (for 3 area and 17 major source facilities). The average cost per facility is therefore $164,250. </w:t>
      </w:r>
    </w:p>
    <w:p w:rsidR="005D001D" w:rsidRDefault="005D001D" w:rsidP="005D001D">
      <w:pPr>
        <w:pBdr>
          <w:top w:val="single" w:sz="6" w:space="0" w:color="FFFFFF"/>
          <w:left w:val="single" w:sz="6" w:space="0" w:color="FFFFFF"/>
          <w:bottom w:val="single" w:sz="6" w:space="0" w:color="FFFFFF"/>
          <w:right w:val="single" w:sz="6" w:space="0" w:color="FFFFFF"/>
        </w:pBdr>
        <w:ind w:left="180" w:hanging="180"/>
        <w:rPr>
          <w:color w:val="000000"/>
          <w:sz w:val="18"/>
          <w:szCs w:val="18"/>
          <w:vertAlign w:val="superscript"/>
        </w:rPr>
      </w:pPr>
      <w:r>
        <w:rPr>
          <w:sz w:val="18"/>
          <w:szCs w:val="18"/>
          <w:vertAlign w:val="superscript"/>
        </w:rPr>
        <w:t>3</w:t>
      </w:r>
      <w:r w:rsidRPr="005D001D">
        <w:rPr>
          <w:sz w:val="18"/>
          <w:szCs w:val="18"/>
        </w:rPr>
        <w:t xml:space="preserve"> Per VI's comments,</w:t>
      </w:r>
      <w:r>
        <w:rPr>
          <w:sz w:val="18"/>
          <w:szCs w:val="18"/>
        </w:rPr>
        <w:t xml:space="preserve"> estimated installation cost for gasholder is $5,000.  Note there are only 15 gasholders in the industry across both major and area source facilities. </w:t>
      </w:r>
    </w:p>
    <w:p w:rsidR="003D430F" w:rsidRPr="005D001D" w:rsidRDefault="005D001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vertAlign w:val="superscript"/>
        </w:rPr>
        <w:t>4</w:t>
      </w:r>
      <w:r w:rsidRPr="005D001D">
        <w:rPr>
          <w:color w:val="000000"/>
          <w:sz w:val="18"/>
          <w:szCs w:val="18"/>
        </w:rPr>
        <w:t xml:space="preserve"> Monthly testing ($601 x 12 months = $7,212 per year)</w:t>
      </w:r>
    </w:p>
    <w:p w:rsidR="005D001D" w:rsidRDefault="005D001D">
      <w:pPr>
        <w:pBdr>
          <w:top w:val="single" w:sz="6" w:space="0" w:color="FFFFFF"/>
          <w:left w:val="single" w:sz="6" w:space="0" w:color="FFFFFF"/>
          <w:bottom w:val="single" w:sz="6" w:space="0" w:color="FFFFFF"/>
          <w:right w:val="single" w:sz="6" w:space="0" w:color="FFFFFF"/>
        </w:pBdr>
        <w:rPr>
          <w:sz w:val="18"/>
          <w:szCs w:val="18"/>
        </w:rPr>
      </w:pPr>
      <w:r>
        <w:rPr>
          <w:sz w:val="18"/>
          <w:szCs w:val="18"/>
          <w:vertAlign w:val="superscript"/>
        </w:rPr>
        <w:t>5</w:t>
      </w:r>
      <w:r w:rsidRPr="005D001D">
        <w:rPr>
          <w:sz w:val="18"/>
          <w:szCs w:val="18"/>
        </w:rPr>
        <w:t xml:space="preserve"> Per VI's comments, the costs of Non-VC TOHAP testing is $650 per sample, and three samples per facility.</w:t>
      </w:r>
    </w:p>
    <w:p w:rsidR="005D001D" w:rsidRPr="000F7A1F" w:rsidRDefault="005D001D">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vertAlign w:val="superscript"/>
        </w:rPr>
        <w:t>6</w:t>
      </w:r>
      <w:r w:rsidRPr="005D001D">
        <w:rPr>
          <w:color w:val="000000"/>
          <w:sz w:val="18"/>
          <w:szCs w:val="18"/>
          <w:vertAlign w:val="superscript"/>
        </w:rPr>
        <w:t xml:space="preserve"> </w:t>
      </w:r>
      <w:r w:rsidRPr="005D001D">
        <w:rPr>
          <w:color w:val="000000"/>
          <w:sz w:val="18"/>
          <w:szCs w:val="18"/>
        </w:rPr>
        <w:t>Monthly testing ($491 x 12 months = $5,892 per year)</w:t>
      </w:r>
    </w:p>
    <w:p w:rsidR="005D001D" w:rsidRPr="005D001D" w:rsidRDefault="000F7A1F">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vertAlign w:val="superscript"/>
        </w:rPr>
        <w:t>7</w:t>
      </w:r>
      <w:r w:rsidR="005D001D" w:rsidRPr="005D001D">
        <w:rPr>
          <w:sz w:val="18"/>
          <w:szCs w:val="18"/>
        </w:rPr>
        <w:t xml:space="preserve"> Per VI's comments, the costs of Non-VC TOHAP testing is $650 per sample, and five samples per facility.</w:t>
      </w:r>
    </w:p>
    <w:p w:rsidR="005D001D" w:rsidRDefault="005D001D">
      <w:pPr>
        <w:pBdr>
          <w:top w:val="single" w:sz="6" w:space="0" w:color="FFFFFF"/>
          <w:left w:val="single" w:sz="6" w:space="0" w:color="FFFFFF"/>
          <w:bottom w:val="single" w:sz="6" w:space="0" w:color="FFFFFF"/>
          <w:right w:val="single" w:sz="6" w:space="0" w:color="FFFFFF"/>
        </w:pBdr>
        <w:rPr>
          <w:color w:val="000000"/>
        </w:rPr>
      </w:pPr>
    </w:p>
    <w:p w:rsidR="005D001D" w:rsidRDefault="005D001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3D430F">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5D001D">
        <w:rPr>
          <w:color w:val="000000"/>
        </w:rPr>
        <w:t>806,</w:t>
      </w:r>
      <w:r w:rsidR="00DC0941">
        <w:rPr>
          <w:color w:val="000000"/>
        </w:rPr>
        <w:t>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4958F9"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The average annual cost for capital/startup and operation and maintenance costs to industry over the next three years of the ICR is estimated to be $</w:t>
      </w:r>
      <w:r w:rsidR="005D001D">
        <w:rPr>
          <w:color w:val="000000"/>
        </w:rPr>
        <w:t>806,</w:t>
      </w:r>
      <w:r w:rsidR="00DC0941">
        <w:rPr>
          <w:color w:val="000000"/>
        </w:rPr>
        <w:t>000</w:t>
      </w:r>
      <w:r>
        <w:rPr>
          <w:color w:val="000000"/>
        </w:rPr>
        <w:t xml:space="preserve">. </w:t>
      </w:r>
    </w:p>
    <w:p w:rsidR="00CA4CD6" w:rsidRDefault="00CA4CD6" w:rsidP="003D430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3005DB">
        <w:rPr>
          <w:color w:val="000000"/>
        </w:rPr>
        <w:t>7,</w:t>
      </w:r>
      <w:r w:rsidR="00AF087C">
        <w:rPr>
          <w:color w:val="000000"/>
        </w:rPr>
        <w:t>170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EF2D4C">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EF2D4C" w:rsidRPr="00D50845">
        <w:t>Table 2: Average Annual EPA Burden and Cost –</w:t>
      </w:r>
      <w:r w:rsidR="00EF2D4C">
        <w:rPr>
          <w:color w:val="FF0000"/>
        </w:rPr>
        <w:t xml:space="preserve"> </w:t>
      </w:r>
      <w:r w:rsidR="00EF2D4C" w:rsidRPr="00957C6F">
        <w:t>NESHAP for Polyvinyl Chloride and Copolymers Production Area Sources (40 CFR Part 63, Subpart DDDDDD) (Renewal)</w:t>
      </w:r>
      <w:r w:rsidR="00776476" w:rsidRPr="0077647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FC5371">
        <w:rPr>
          <w:color w:val="000000"/>
        </w:rPr>
        <w:t>t</w:t>
      </w:r>
      <w:r w:rsidR="00FC1309">
        <w:rPr>
          <w:color w:val="000000"/>
        </w:rPr>
        <w:t>hree</w:t>
      </w:r>
      <w:r>
        <w:rPr>
          <w:color w:val="000000"/>
        </w:rPr>
        <w:t xml:space="preserve"> existing respondents will be subject to the standard.  It is estimated that </w:t>
      </w:r>
      <w:r w:rsidR="00FC5371">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5A40C9">
        <w:rPr>
          <w:color w:val="000000"/>
        </w:rPr>
        <w:t>t</w:t>
      </w:r>
      <w:r w:rsidR="00FC1309">
        <w:rPr>
          <w:color w:val="000000"/>
        </w:rPr>
        <w:t>hree</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5A40C9">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rsidP="00D57408">
            <w:pPr>
              <w:keepNext/>
              <w:keepLines/>
              <w:spacing w:line="120" w:lineRule="exact"/>
              <w:rPr>
                <w:color w:val="000000"/>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5A40C9">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D57408">
            <w:pPr>
              <w:keepNext/>
              <w:keepLines/>
              <w:spacing w:line="120" w:lineRule="exact"/>
              <w:rPr>
                <w:b/>
                <w:bCs/>
                <w:color w:val="000000"/>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rsidP="00D57408">
            <w:pPr>
              <w:keepNext/>
              <w:keepLines/>
              <w:spacing w:line="120" w:lineRule="exact"/>
              <w:rPr>
                <w:color w:val="000000"/>
                <w:sz w:val="18"/>
                <w:szCs w:val="18"/>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D57408">
            <w:pPr>
              <w:keepNext/>
              <w:keepLines/>
              <w:spacing w:line="120" w:lineRule="exact"/>
              <w:rPr>
                <w:color w:val="000000"/>
                <w:sz w:val="18"/>
                <w:szCs w:val="18"/>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rsidP="00D57408">
            <w:pPr>
              <w:keepNext/>
              <w:keepLines/>
              <w:spacing w:line="120" w:lineRule="exact"/>
              <w:rPr>
                <w:color w:val="000000"/>
                <w:sz w:val="18"/>
                <w:szCs w:val="18"/>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D57408">
            <w:pPr>
              <w:keepNext/>
              <w:keepLines/>
              <w:spacing w:line="120" w:lineRule="exact"/>
              <w:rPr>
                <w:color w:val="000000"/>
                <w:sz w:val="18"/>
                <w:szCs w:val="18"/>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D57408">
            <w:pPr>
              <w:keepNext/>
              <w:keepLines/>
              <w:spacing w:line="120" w:lineRule="exact"/>
              <w:rPr>
                <w:color w:val="000000"/>
                <w:sz w:val="20"/>
                <w:szCs w:val="20"/>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D57408">
            <w:pPr>
              <w:keepNext/>
              <w:keepLines/>
              <w:spacing w:line="120" w:lineRule="exact"/>
              <w:rPr>
                <w:color w:val="000000"/>
                <w:sz w:val="20"/>
                <w:szCs w:val="20"/>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D57408">
            <w:pPr>
              <w:keepNext/>
              <w:keepLines/>
              <w:spacing w:line="120" w:lineRule="exact"/>
              <w:rPr>
                <w:color w:val="000000"/>
                <w:sz w:val="20"/>
                <w:szCs w:val="20"/>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rsidP="00D57408">
            <w:pPr>
              <w:keepNext/>
              <w:keepLines/>
              <w:spacing w:line="120" w:lineRule="exact"/>
              <w:rPr>
                <w:color w:val="000000"/>
                <w:sz w:val="20"/>
                <w:szCs w:val="20"/>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rsidP="00D57408">
            <w:pPr>
              <w:keepNext/>
              <w:keepLines/>
              <w:spacing w:line="120" w:lineRule="exact"/>
              <w:rPr>
                <w:color w:val="000000"/>
                <w:sz w:val="20"/>
                <w:szCs w:val="20"/>
              </w:rPr>
            </w:pPr>
          </w:p>
          <w:p w:rsidR="00CA4CD6" w:rsidRDefault="00CA4CD6" w:rsidP="00D5740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D5740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D5740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C1309">
        <w:tc>
          <w:tcPr>
            <w:tcW w:w="900" w:type="dxa"/>
            <w:tcBorders>
              <w:top w:val="single" w:sz="8" w:space="0" w:color="000000"/>
              <w:left w:val="single" w:sz="8" w:space="0" w:color="000000"/>
              <w:bottom w:val="single" w:sz="6" w:space="0" w:color="000000"/>
              <w:right w:val="single" w:sz="6" w:space="0" w:color="000000"/>
            </w:tcBorders>
          </w:tcPr>
          <w:p w:rsidR="00FC1309" w:rsidRDefault="00FC1309" w:rsidP="00D57408">
            <w:pPr>
              <w:keepNext/>
              <w:keepLines/>
              <w:spacing w:line="120" w:lineRule="exact"/>
              <w:rPr>
                <w:color w:val="000000"/>
                <w:sz w:val="20"/>
                <w:szCs w:val="20"/>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2070" w:type="dxa"/>
            <w:tcBorders>
              <w:top w:val="single" w:sz="8"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r>
      <w:tr w:rsidR="00FC1309">
        <w:tc>
          <w:tcPr>
            <w:tcW w:w="900" w:type="dxa"/>
            <w:tcBorders>
              <w:top w:val="single" w:sz="6" w:space="0" w:color="000000"/>
              <w:left w:val="single" w:sz="8"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CA7A8D"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r>
      <w:tr w:rsidR="00FC1309">
        <w:tc>
          <w:tcPr>
            <w:tcW w:w="900" w:type="dxa"/>
            <w:tcBorders>
              <w:top w:val="single" w:sz="6" w:space="0" w:color="000000"/>
              <w:left w:val="single" w:sz="8"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r>
      <w:tr w:rsidR="00FC1309">
        <w:tc>
          <w:tcPr>
            <w:tcW w:w="900" w:type="dxa"/>
            <w:tcBorders>
              <w:top w:val="single" w:sz="6" w:space="0" w:color="000000"/>
              <w:left w:val="single" w:sz="8" w:space="0" w:color="000000"/>
              <w:bottom w:val="single" w:sz="8"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8"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FC1309" w:rsidRDefault="00FC1309" w:rsidP="00D57408">
            <w:pPr>
              <w:keepNext/>
              <w:keepLines/>
              <w:spacing w:line="120" w:lineRule="exact"/>
              <w:rPr>
                <w:color w:val="000000"/>
                <w:sz w:val="18"/>
                <w:szCs w:val="18"/>
              </w:rPr>
            </w:pPr>
          </w:p>
          <w:p w:rsidR="00FC1309" w:rsidRDefault="00FC1309" w:rsidP="00D5740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FC1309">
        <w:rPr>
          <w:color w:val="000000"/>
        </w:rPr>
        <w:t>three</w:t>
      </w:r>
      <w:r w:rsidR="00507EC5">
        <w:rPr>
          <w:color w:val="000000"/>
        </w:rPr>
        <w:t xml:space="preserve">. </w:t>
      </w:r>
    </w:p>
    <w:p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5A40C9">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454F3D" w:rsidTr="00454F3D">
        <w:tc>
          <w:tcPr>
            <w:tcW w:w="270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76476">
              <w:rPr>
                <w:sz w:val="18"/>
                <w:szCs w:val="18"/>
              </w:rPr>
              <w:t>1) Initial Notification</w:t>
            </w:r>
          </w:p>
        </w:tc>
        <w:tc>
          <w:tcPr>
            <w:tcW w:w="1260" w:type="dxa"/>
            <w:vAlign w:val="center"/>
          </w:tcPr>
          <w:p w:rsidR="004958F9"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0</w:t>
            </w:r>
          </w:p>
        </w:tc>
        <w:tc>
          <w:tcPr>
            <w:tcW w:w="1260" w:type="dxa"/>
            <w:vAlign w:val="center"/>
          </w:tcPr>
          <w:p w:rsidR="004958F9"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1</w:t>
            </w:r>
          </w:p>
        </w:tc>
        <w:tc>
          <w:tcPr>
            <w:tcW w:w="1890" w:type="dxa"/>
          </w:tcPr>
          <w:p w:rsidR="00454F3D" w:rsidRPr="00454F3D" w:rsidRDefault="00BB23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4958F9"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0</w:t>
            </w:r>
          </w:p>
        </w:tc>
      </w:tr>
      <w:tr w:rsidR="00454F3D" w:rsidTr="00454F3D">
        <w:tc>
          <w:tcPr>
            <w:tcW w:w="270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76476">
              <w:rPr>
                <w:sz w:val="18"/>
                <w:szCs w:val="18"/>
              </w:rPr>
              <w:t>2) Batch pre</w:t>
            </w:r>
            <w:r w:rsidR="00D57408">
              <w:rPr>
                <w:sz w:val="18"/>
                <w:szCs w:val="18"/>
              </w:rPr>
              <w:t>-</w:t>
            </w:r>
            <w:r w:rsidRPr="00776476">
              <w:rPr>
                <w:sz w:val="18"/>
                <w:szCs w:val="18"/>
              </w:rPr>
              <w:t>compliance report</w:t>
            </w:r>
          </w:p>
        </w:tc>
        <w:tc>
          <w:tcPr>
            <w:tcW w:w="1260" w:type="dxa"/>
            <w:vAlign w:val="center"/>
          </w:tcPr>
          <w:p w:rsidR="004958F9"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0</w:t>
            </w:r>
          </w:p>
        </w:tc>
        <w:tc>
          <w:tcPr>
            <w:tcW w:w="1260" w:type="dxa"/>
            <w:vAlign w:val="center"/>
          </w:tcPr>
          <w:p w:rsidR="004958F9"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1</w:t>
            </w:r>
          </w:p>
        </w:tc>
        <w:tc>
          <w:tcPr>
            <w:tcW w:w="1890" w:type="dxa"/>
            <w:vAlign w:val="center"/>
          </w:tcPr>
          <w:p w:rsidR="004958F9" w:rsidRDefault="00BB23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4958F9"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0</w:t>
            </w:r>
          </w:p>
        </w:tc>
      </w:tr>
      <w:tr w:rsidR="00454F3D" w:rsidTr="00454F3D">
        <w:tc>
          <w:tcPr>
            <w:tcW w:w="2700" w:type="dxa"/>
            <w:vAlign w:val="center"/>
          </w:tcPr>
          <w:p w:rsidR="004958F9" w:rsidRDefault="0077647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76476">
              <w:rPr>
                <w:sz w:val="18"/>
                <w:szCs w:val="18"/>
              </w:rPr>
              <w:t>3) Notification of performance test with test plan</w:t>
            </w:r>
          </w:p>
        </w:tc>
        <w:tc>
          <w:tcPr>
            <w:tcW w:w="126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0</w:t>
            </w:r>
          </w:p>
        </w:tc>
        <w:tc>
          <w:tcPr>
            <w:tcW w:w="126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1</w:t>
            </w:r>
          </w:p>
        </w:tc>
        <w:tc>
          <w:tcPr>
            <w:tcW w:w="1890" w:type="dxa"/>
            <w:vAlign w:val="center"/>
          </w:tcPr>
          <w:p w:rsidR="00887873" w:rsidRDefault="00BB23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0</w:t>
            </w:r>
          </w:p>
        </w:tc>
      </w:tr>
      <w:tr w:rsidR="00454F3D" w:rsidTr="00454F3D">
        <w:tc>
          <w:tcPr>
            <w:tcW w:w="2700" w:type="dxa"/>
            <w:vAlign w:val="center"/>
          </w:tcPr>
          <w:p w:rsidR="004958F9" w:rsidRDefault="0077647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76476">
              <w:rPr>
                <w:sz w:val="18"/>
                <w:szCs w:val="18"/>
              </w:rPr>
              <w:t>4) Notification of compliance status</w:t>
            </w:r>
          </w:p>
        </w:tc>
        <w:tc>
          <w:tcPr>
            <w:tcW w:w="126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0</w:t>
            </w:r>
          </w:p>
        </w:tc>
        <w:tc>
          <w:tcPr>
            <w:tcW w:w="126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1</w:t>
            </w:r>
          </w:p>
        </w:tc>
        <w:tc>
          <w:tcPr>
            <w:tcW w:w="1890" w:type="dxa"/>
            <w:vAlign w:val="center"/>
          </w:tcPr>
          <w:p w:rsidR="00887873" w:rsidRDefault="00BB23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0</w:t>
            </w:r>
          </w:p>
        </w:tc>
      </w:tr>
      <w:tr w:rsidR="00454F3D" w:rsidTr="00454F3D">
        <w:tc>
          <w:tcPr>
            <w:tcW w:w="270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76476">
              <w:rPr>
                <w:sz w:val="18"/>
                <w:szCs w:val="18"/>
              </w:rPr>
              <w:t>5) Compliance report</w:t>
            </w:r>
          </w:p>
        </w:tc>
        <w:tc>
          <w:tcPr>
            <w:tcW w:w="1260" w:type="dxa"/>
            <w:vAlign w:val="center"/>
          </w:tcPr>
          <w:p w:rsidR="004958F9" w:rsidRDefault="00FC130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1260" w:type="dxa"/>
            <w:vAlign w:val="center"/>
          </w:tcPr>
          <w:p w:rsidR="004958F9" w:rsidRDefault="00FC130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rsidR="004958F9" w:rsidRDefault="00BB23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4958F9" w:rsidRDefault="00FC130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6</w:t>
            </w:r>
          </w:p>
        </w:tc>
      </w:tr>
      <w:tr w:rsidR="00454F3D" w:rsidTr="00454F3D">
        <w:tc>
          <w:tcPr>
            <w:tcW w:w="2700" w:type="dxa"/>
            <w:vAlign w:val="center"/>
          </w:tcPr>
          <w:p w:rsidR="00887873" w:rsidRDefault="00776476">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776476">
              <w:rPr>
                <w:sz w:val="18"/>
                <w:szCs w:val="18"/>
              </w:rPr>
              <w:t>6) Notice of inspection</w:t>
            </w:r>
          </w:p>
        </w:tc>
        <w:tc>
          <w:tcPr>
            <w:tcW w:w="1260" w:type="dxa"/>
            <w:vAlign w:val="center"/>
          </w:tcPr>
          <w:p w:rsidR="004958F9" w:rsidRDefault="00FC130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1260" w:type="dxa"/>
            <w:vAlign w:val="center"/>
          </w:tcPr>
          <w:p w:rsidR="004958F9" w:rsidRDefault="0077647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76476">
              <w:rPr>
                <w:sz w:val="18"/>
                <w:szCs w:val="18"/>
              </w:rPr>
              <w:t>1</w:t>
            </w:r>
          </w:p>
        </w:tc>
        <w:tc>
          <w:tcPr>
            <w:tcW w:w="1890" w:type="dxa"/>
            <w:vAlign w:val="center"/>
          </w:tcPr>
          <w:p w:rsidR="004958F9" w:rsidRDefault="00BB23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rsidR="004958F9" w:rsidRDefault="00FC130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r>
      <w:tr w:rsidR="00454F3D" w:rsidTr="00454F3D">
        <w:tc>
          <w:tcPr>
            <w:tcW w:w="2700" w:type="dxa"/>
          </w:tcPr>
          <w:p w:rsidR="00454F3D" w:rsidRPr="00454F3D" w:rsidRDefault="00454F3D">
            <w:pPr>
              <w:spacing w:line="120" w:lineRule="exact"/>
              <w:rPr>
                <w:color w:val="000000"/>
                <w:sz w:val="18"/>
                <w:szCs w:val="18"/>
              </w:rPr>
            </w:pPr>
          </w:p>
          <w:p w:rsidR="00454F3D" w:rsidRPr="00454F3D" w:rsidRDefault="00454F3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454F3D" w:rsidRPr="00454F3D" w:rsidRDefault="00454F3D">
            <w:pPr>
              <w:spacing w:line="120" w:lineRule="exact"/>
              <w:rPr>
                <w:color w:val="000000"/>
                <w:sz w:val="18"/>
                <w:szCs w:val="18"/>
              </w:rPr>
            </w:pPr>
          </w:p>
          <w:p w:rsidR="00454F3D" w:rsidRPr="00454F3D" w:rsidRDefault="00454F3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454F3D" w:rsidRPr="00454F3D" w:rsidRDefault="00454F3D">
            <w:pPr>
              <w:spacing w:line="120" w:lineRule="exact"/>
              <w:rPr>
                <w:color w:val="000000"/>
                <w:sz w:val="18"/>
                <w:szCs w:val="18"/>
              </w:rPr>
            </w:pPr>
          </w:p>
          <w:p w:rsidR="00454F3D" w:rsidRPr="00454F3D" w:rsidRDefault="00454F3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454F3D" w:rsidRPr="00454F3D" w:rsidRDefault="00454F3D">
            <w:pPr>
              <w:spacing w:line="120" w:lineRule="exact"/>
              <w:rPr>
                <w:color w:val="000000"/>
                <w:sz w:val="18"/>
                <w:szCs w:val="18"/>
              </w:rPr>
            </w:pPr>
          </w:p>
          <w:p w:rsidR="00454F3D" w:rsidRPr="00454F3D" w:rsidRDefault="00BB234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vAlign w:val="center"/>
          </w:tcPr>
          <w:p w:rsidR="004958F9" w:rsidRDefault="00FC1309">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color w:val="000000"/>
                <w:sz w:val="18"/>
                <w:szCs w:val="18"/>
              </w:rPr>
              <w:t>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00776476" w:rsidRPr="00776476">
        <w:t xml:space="preserve">Responses is </w:t>
      </w:r>
      <w:r w:rsidR="00D57408">
        <w:t>9</w:t>
      </w:r>
      <w:r w:rsidR="00776476" w:rsidRPr="0077647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B93408">
        <w:rPr>
          <w:color w:val="000000"/>
        </w:rPr>
        <w:t>$</w:t>
      </w:r>
      <w:r w:rsidR="00FC1309">
        <w:rPr>
          <w:color w:val="000000"/>
        </w:rPr>
        <w:t>6,</w:t>
      </w:r>
      <w:r w:rsidR="00AF087C">
        <w:rPr>
          <w:color w:val="000000"/>
        </w:rPr>
        <w:t>960,000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195A8B" w:rsidRPr="00A87CAA">
        <w:t>Table 1: Annual Respondent Burden and Cost –</w:t>
      </w:r>
      <w:r w:rsidR="00195A8B">
        <w:rPr>
          <w:color w:val="FF0000"/>
        </w:rPr>
        <w:t xml:space="preserve"> </w:t>
      </w:r>
      <w:r w:rsidR="00195A8B" w:rsidRPr="00957C6F">
        <w:t xml:space="preserve">NESHAP for Polyvinyl Chloride </w:t>
      </w:r>
      <w:r w:rsidR="00195A8B" w:rsidRPr="00957C6F">
        <w:lastRenderedPageBreak/>
        <w:t>and Copolymers Production Area Sources (40 CFR Part 63, Subpart DDDDDD) (Renewal</w:t>
      </w:r>
      <w:r w:rsidR="00195A8B" w:rsidRPr="00D50845">
        <w: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C1309">
        <w:rPr>
          <w:color w:val="000000"/>
        </w:rPr>
        <w:t>6</w:t>
      </w:r>
      <w:r w:rsidR="00D57408">
        <w:rPr>
          <w:color w:val="000000"/>
        </w:rPr>
        <w:t>9</w:t>
      </w:r>
      <w:r w:rsidR="00FC1309">
        <w:rPr>
          <w:color w:val="000000"/>
        </w:rPr>
        <w:t>,</w:t>
      </w:r>
      <w:r w:rsidR="00AF087C">
        <w:rPr>
          <w:color w:val="000000"/>
        </w:rPr>
        <w:t>200</w:t>
      </w:r>
      <w:r>
        <w:rPr>
          <w:color w:val="000000"/>
        </w:rPr>
        <w:t>.</w:t>
      </w:r>
      <w:r w:rsidR="00507EC5">
        <w:rPr>
          <w:color w:val="000000"/>
        </w:rPr>
        <w:t xml:space="preserve">  </w:t>
      </w:r>
      <w:r>
        <w:rPr>
          <w:color w:val="000000"/>
        </w:rPr>
        <w:t xml:space="preserve">Details regarding these estimates may be found in </w:t>
      </w:r>
      <w:r w:rsidR="00195A8B" w:rsidRPr="00A87CAA">
        <w:t>Table 1: Annual Respondent Burden and Cost –</w:t>
      </w:r>
      <w:r w:rsidR="00195A8B">
        <w:rPr>
          <w:color w:val="FF0000"/>
        </w:rPr>
        <w:t xml:space="preserve"> </w:t>
      </w:r>
      <w:r w:rsidR="00195A8B" w:rsidRPr="00957C6F">
        <w:t>NESHAP for Polyvinyl Chloride and Copolymers Production Area Sources (40 CFR Part 63, Subpart DDDDDD) (Renewal</w:t>
      </w:r>
      <w:r w:rsidR="00195A8B" w:rsidRPr="00D50845">
        <w:t>)</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DC0941" w:rsidRDefault="00DC0941" w:rsidP="0021722B">
      <w:pPr>
        <w:pBdr>
          <w:top w:val="single" w:sz="6" w:space="0" w:color="FFFFFF"/>
          <w:left w:val="single" w:sz="6" w:space="0" w:color="FFFFFF"/>
          <w:bottom w:val="single" w:sz="6" w:space="0" w:color="FFFFFF"/>
          <w:right w:val="single" w:sz="6" w:space="0" w:color="FFFFFF"/>
        </w:pBdr>
        <w:ind w:firstLine="720"/>
        <w:rPr>
          <w:color w:val="000000"/>
        </w:rPr>
      </w:pPr>
      <w:r>
        <w:t xml:space="preserve">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 </w:t>
      </w:r>
    </w:p>
    <w:p w:rsidR="00DC0941" w:rsidRDefault="00DC0941"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C1309">
        <w:rPr>
          <w:color w:val="000000"/>
        </w:rPr>
        <w:t>7,</w:t>
      </w:r>
      <w:r w:rsidR="00AF087C">
        <w:rPr>
          <w:color w:val="000000"/>
        </w:rPr>
        <w:t xml:space="preserve">689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93408">
        <w:rPr>
          <w:color w:val="000000"/>
        </w:rPr>
        <w:t>$</w:t>
      </w:r>
      <w:r w:rsidR="00D57408">
        <w:rPr>
          <w:color w:val="000000"/>
        </w:rPr>
        <w:t>806,</w:t>
      </w:r>
      <w:r w:rsidR="00AF087C">
        <w:rPr>
          <w:color w:val="000000"/>
        </w:rPr>
        <w:t>000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3005DB">
        <w:rPr>
          <w:color w:val="000000"/>
        </w:rPr>
        <w:t>158</w:t>
      </w:r>
      <w:r>
        <w:rPr>
          <w:color w:val="000000"/>
        </w:rPr>
        <w:t xml:space="preserve"> labor hours at a cost of </w:t>
      </w:r>
      <w:r w:rsidR="00B93408">
        <w:rPr>
          <w:color w:val="000000"/>
        </w:rPr>
        <w:t>$</w:t>
      </w:r>
      <w:r w:rsidR="003005DB">
        <w:rPr>
          <w:color w:val="000000"/>
        </w:rPr>
        <w:t>7,</w:t>
      </w:r>
      <w:r w:rsidR="00AF087C">
        <w:rPr>
          <w:color w:val="000000"/>
        </w:rPr>
        <w:t>170</w:t>
      </w:r>
      <w:r w:rsidR="00144F35">
        <w:rPr>
          <w:color w:val="000000"/>
        </w:rPr>
        <w:t xml:space="preserve">.  See </w:t>
      </w:r>
      <w:r w:rsidR="00EF2D4C" w:rsidRPr="00D50845">
        <w:t>Table 2: Average Annual EPA Burden and Cost –</w:t>
      </w:r>
      <w:r w:rsidR="00EF2D4C">
        <w:rPr>
          <w:color w:val="FF0000"/>
        </w:rPr>
        <w:t xml:space="preserve"> </w:t>
      </w:r>
      <w:r w:rsidR="00EF2D4C" w:rsidRPr="00957C6F">
        <w:t>NESHAP for Polyvinyl Chloride and Copolymers Production Area Sources (40 CFR Part 63, Subpart DDDDDD) (Renewal)</w:t>
      </w:r>
      <w:r w:rsidR="00776476" w:rsidRPr="00776476">
        <w:t>.</w:t>
      </w:r>
    </w:p>
    <w:p w:rsidR="00DC0941" w:rsidRDefault="00DC0941" w:rsidP="00144F35">
      <w:pPr>
        <w:pBdr>
          <w:top w:val="single" w:sz="6" w:space="0" w:color="FFFFFF"/>
          <w:left w:val="single" w:sz="6" w:space="0" w:color="FFFFFF"/>
          <w:bottom w:val="single" w:sz="6" w:space="0" w:color="FFFFFF"/>
          <w:right w:val="single" w:sz="6" w:space="0" w:color="FFFFFF"/>
        </w:pBdr>
        <w:ind w:firstLine="720"/>
      </w:pPr>
    </w:p>
    <w:p w:rsidR="00DC0941" w:rsidRPr="00144F35" w:rsidRDefault="00DC0941" w:rsidP="00DC0941">
      <w:pPr>
        <w:pBdr>
          <w:top w:val="single" w:sz="6" w:space="0" w:color="FFFFFF"/>
          <w:left w:val="single" w:sz="6" w:space="0" w:color="FFFFFF"/>
          <w:bottom w:val="single" w:sz="6" w:space="0" w:color="FFFFFF"/>
          <w:right w:val="single" w:sz="6" w:space="0" w:color="FFFFFF"/>
        </w:pBdr>
        <w:ind w:firstLine="720"/>
        <w:rPr>
          <w:color w:val="000000"/>
        </w:rPr>
      </w:pPr>
      <w:r>
        <w:t xml:space="preserve">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EA3BA9" w:rsidRDefault="00B93408" w:rsidP="00B93408">
      <w:pPr>
        <w:ind w:firstLine="720"/>
      </w:pPr>
      <w:r w:rsidRPr="004B4EDD">
        <w:t>There is an adjustment increase in the estimated burden as currently identified in the OMB Inventory of Approved Burdens</w:t>
      </w:r>
      <w:r w:rsidR="00EA3BA9">
        <w:t>.  In consulting with the Vinyl Institute during the renewal of this ICR, EPA received comprehensive comments on the burden associated with specific reporting and recordkeeping requirements</w:t>
      </w:r>
      <w:r w:rsidR="005F572A">
        <w:t>, including, but not limited to, performance test, monitor installation, resin and wastewater sampling, equipment leak and process vent monitoring</w:t>
      </w:r>
      <w:r w:rsidR="00EA3BA9">
        <w:t xml:space="preserve">.  We have updated </w:t>
      </w:r>
      <w:r w:rsidR="005F572A">
        <w:t xml:space="preserve">the </w:t>
      </w:r>
      <w:r w:rsidR="00EA3BA9">
        <w:t xml:space="preserve">burden items to more accurately reflect the costs incurred by </w:t>
      </w:r>
      <w:r w:rsidR="00EA3BA9">
        <w:lastRenderedPageBreak/>
        <w:t>the industry</w:t>
      </w:r>
      <w:r w:rsidR="00055FD2">
        <w:t>.</w:t>
      </w:r>
      <w:r w:rsidR="00EA3BA9">
        <w:t xml:space="preserve"> </w:t>
      </w:r>
      <w:r w:rsidR="005F572A">
        <w:t xml:space="preserve"> The</w:t>
      </w:r>
      <w:r w:rsidR="00EA3BA9">
        <w:t xml:space="preserve"> update results in </w:t>
      </w:r>
      <w:r w:rsidR="005F572A">
        <w:t xml:space="preserve">a </w:t>
      </w:r>
      <w:r w:rsidR="00EA3BA9">
        <w:t>substantial</w:t>
      </w:r>
      <w:r w:rsidR="005F572A">
        <w:t xml:space="preserve"> increase</w:t>
      </w:r>
      <w:r w:rsidR="00EA3BA9">
        <w:t xml:space="preserve"> in the respondent </w:t>
      </w:r>
      <w:r w:rsidR="005F572A">
        <w:t>labor</w:t>
      </w:r>
      <w:r w:rsidR="00EA3BA9">
        <w:t xml:space="preserve"> hours, labor costs, and capital/O&amp;M costs.  There is also a small increase in the number of responses as we have updated the number of subject area sources from two to three based on data provided by the Vinyl Institute.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910F2C">
        <w:rPr>
          <w:color w:val="000000"/>
        </w:rPr>
        <w:t>7,</w:t>
      </w:r>
      <w:r w:rsidR="00AF087C">
        <w:rPr>
          <w:color w:val="000000"/>
        </w:rPr>
        <w:t xml:space="preserve">689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C146F1">
        <w:t>2014-0104</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C146F1">
        <w:t>EPA-HQ-OECA-2014-0104</w:t>
      </w:r>
      <w:r w:rsidR="00CA4CD6">
        <w:t xml:space="preserve"> and OMB Control Number</w:t>
      </w:r>
      <w:r w:rsidR="00C146F1">
        <w:t xml:space="preserve"> 2060-0684</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CA7A8D" w:rsidRDefault="00195A8B" w:rsidP="005F572A">
      <w:pPr>
        <w:jc w:val="center"/>
        <w:outlineLvl w:val="0"/>
      </w:pPr>
      <w:r w:rsidRPr="00195A8B">
        <w:rPr>
          <w:b/>
          <w:bCs/>
          <w:color w:val="000000"/>
        </w:rPr>
        <w:lastRenderedPageBreak/>
        <w:t>Table 1: Annual Respondent Burden and Cost – NESHAP for Polyvinyl Chloride and Copolymers Production Area Sources (40 CFR Part 63, Subpart DDDDDD) (Renewal)</w:t>
      </w:r>
    </w:p>
    <w:p w:rsidR="00CA7A8D" w:rsidRDefault="00CA7A8D">
      <w:pPr>
        <w:outlineLvl w:val="0"/>
      </w:pPr>
    </w:p>
    <w:tbl>
      <w:tblPr>
        <w:tblW w:w="13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1120"/>
        <w:gridCol w:w="1060"/>
        <w:gridCol w:w="1100"/>
        <w:gridCol w:w="1060"/>
        <w:gridCol w:w="847"/>
        <w:gridCol w:w="1052"/>
        <w:gridCol w:w="780"/>
        <w:gridCol w:w="1400"/>
      </w:tblGrid>
      <w:tr w:rsidR="005F572A" w:rsidRPr="00853348" w:rsidTr="00EB73D8">
        <w:trPr>
          <w:trHeight w:val="225"/>
          <w:jc w:val="center"/>
        </w:trPr>
        <w:tc>
          <w:tcPr>
            <w:tcW w:w="5263" w:type="dxa"/>
            <w:vMerge w:val="restart"/>
            <w:shd w:val="clear" w:color="auto" w:fill="auto"/>
            <w:noWrap/>
            <w:vAlign w:val="center"/>
            <w:hideMark/>
          </w:tcPr>
          <w:p w:rsidR="005F572A" w:rsidRPr="00853348" w:rsidRDefault="005F572A" w:rsidP="005F572A">
            <w:pPr>
              <w:widowControl/>
              <w:autoSpaceDE/>
              <w:autoSpaceDN/>
              <w:adjustRightInd/>
              <w:jc w:val="center"/>
              <w:rPr>
                <w:b/>
                <w:bCs/>
                <w:sz w:val="16"/>
                <w:szCs w:val="16"/>
              </w:rPr>
            </w:pPr>
            <w:r w:rsidRPr="00853348">
              <w:rPr>
                <w:b/>
                <w:bCs/>
                <w:sz w:val="16"/>
                <w:szCs w:val="16"/>
              </w:rPr>
              <w:t>Burden Item</w:t>
            </w:r>
          </w:p>
        </w:tc>
        <w:tc>
          <w:tcPr>
            <w:tcW w:w="1120" w:type="dxa"/>
            <w:tcBorders>
              <w:bottom w:val="nil"/>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(A)</w:t>
            </w:r>
          </w:p>
        </w:tc>
        <w:tc>
          <w:tcPr>
            <w:tcW w:w="1060" w:type="dxa"/>
            <w:tcBorders>
              <w:bottom w:val="nil"/>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(B)</w:t>
            </w:r>
          </w:p>
        </w:tc>
        <w:tc>
          <w:tcPr>
            <w:tcW w:w="1100" w:type="dxa"/>
            <w:tcBorders>
              <w:bottom w:val="nil"/>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(C)</w:t>
            </w:r>
          </w:p>
        </w:tc>
        <w:tc>
          <w:tcPr>
            <w:tcW w:w="1060" w:type="dxa"/>
            <w:tcBorders>
              <w:bottom w:val="nil"/>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(D)</w:t>
            </w:r>
          </w:p>
        </w:tc>
        <w:tc>
          <w:tcPr>
            <w:tcW w:w="847" w:type="dxa"/>
            <w:tcBorders>
              <w:bottom w:val="nil"/>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(E)</w:t>
            </w:r>
          </w:p>
        </w:tc>
        <w:tc>
          <w:tcPr>
            <w:tcW w:w="1052" w:type="dxa"/>
            <w:tcBorders>
              <w:bottom w:val="nil"/>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(F)</w:t>
            </w:r>
          </w:p>
        </w:tc>
        <w:tc>
          <w:tcPr>
            <w:tcW w:w="780" w:type="dxa"/>
            <w:tcBorders>
              <w:bottom w:val="nil"/>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(G)</w:t>
            </w:r>
          </w:p>
        </w:tc>
        <w:tc>
          <w:tcPr>
            <w:tcW w:w="1400" w:type="dxa"/>
            <w:tcBorders>
              <w:bottom w:val="nil"/>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(H)</w:t>
            </w:r>
          </w:p>
        </w:tc>
      </w:tr>
      <w:tr w:rsidR="005F572A" w:rsidRPr="00853348" w:rsidTr="00EB73D8">
        <w:trPr>
          <w:trHeight w:val="225"/>
          <w:jc w:val="center"/>
        </w:trPr>
        <w:tc>
          <w:tcPr>
            <w:tcW w:w="5263" w:type="dxa"/>
            <w:vMerge/>
            <w:tcBorders>
              <w:right w:val="single" w:sz="4" w:space="0" w:color="auto"/>
            </w:tcBorders>
            <w:vAlign w:val="center"/>
            <w:hideMark/>
          </w:tcPr>
          <w:p w:rsidR="005F572A" w:rsidRPr="00853348" w:rsidRDefault="005F572A" w:rsidP="005F572A">
            <w:pPr>
              <w:widowControl/>
              <w:autoSpaceDE/>
              <w:autoSpaceDN/>
              <w:adjustRightInd/>
              <w:rPr>
                <w:b/>
                <w:bCs/>
                <w:sz w:val="16"/>
                <w:szCs w:val="16"/>
              </w:rPr>
            </w:pPr>
          </w:p>
        </w:tc>
        <w:tc>
          <w:tcPr>
            <w:tcW w:w="112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Respondent</w:t>
            </w:r>
          </w:p>
        </w:tc>
        <w:tc>
          <w:tcPr>
            <w:tcW w:w="106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Number of</w:t>
            </w:r>
          </w:p>
        </w:tc>
        <w:tc>
          <w:tcPr>
            <w:tcW w:w="110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Hours</w:t>
            </w:r>
          </w:p>
        </w:tc>
        <w:tc>
          <w:tcPr>
            <w:tcW w:w="106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Number of</w:t>
            </w:r>
          </w:p>
        </w:tc>
        <w:tc>
          <w:tcPr>
            <w:tcW w:w="847"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Technical</w:t>
            </w:r>
          </w:p>
        </w:tc>
        <w:tc>
          <w:tcPr>
            <w:tcW w:w="1052"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Management</w:t>
            </w:r>
          </w:p>
        </w:tc>
        <w:tc>
          <w:tcPr>
            <w:tcW w:w="78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Clerical</w:t>
            </w:r>
          </w:p>
        </w:tc>
        <w:tc>
          <w:tcPr>
            <w:tcW w:w="140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Total</w:t>
            </w:r>
          </w:p>
        </w:tc>
      </w:tr>
      <w:tr w:rsidR="005F572A" w:rsidRPr="00853348" w:rsidTr="00EB73D8">
        <w:trPr>
          <w:trHeight w:val="225"/>
          <w:jc w:val="center"/>
        </w:trPr>
        <w:tc>
          <w:tcPr>
            <w:tcW w:w="5263" w:type="dxa"/>
            <w:vMerge/>
            <w:tcBorders>
              <w:right w:val="single" w:sz="4" w:space="0" w:color="auto"/>
            </w:tcBorders>
            <w:vAlign w:val="center"/>
            <w:hideMark/>
          </w:tcPr>
          <w:p w:rsidR="005F572A" w:rsidRPr="00853348" w:rsidRDefault="005F572A" w:rsidP="005F572A">
            <w:pPr>
              <w:widowControl/>
              <w:autoSpaceDE/>
              <w:autoSpaceDN/>
              <w:adjustRightInd/>
              <w:rPr>
                <w:b/>
                <w:bCs/>
                <w:sz w:val="16"/>
                <w:szCs w:val="16"/>
              </w:rPr>
            </w:pPr>
          </w:p>
        </w:tc>
        <w:tc>
          <w:tcPr>
            <w:tcW w:w="112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Hours per</w:t>
            </w:r>
          </w:p>
        </w:tc>
        <w:tc>
          <w:tcPr>
            <w:tcW w:w="106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Occurrences</w:t>
            </w:r>
          </w:p>
        </w:tc>
        <w:tc>
          <w:tcPr>
            <w:tcW w:w="110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Per</w:t>
            </w:r>
          </w:p>
        </w:tc>
        <w:tc>
          <w:tcPr>
            <w:tcW w:w="106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Respondents</w:t>
            </w:r>
          </w:p>
        </w:tc>
        <w:tc>
          <w:tcPr>
            <w:tcW w:w="847"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Hours</w:t>
            </w:r>
          </w:p>
        </w:tc>
        <w:tc>
          <w:tcPr>
            <w:tcW w:w="1052"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Hours</w:t>
            </w:r>
          </w:p>
        </w:tc>
        <w:tc>
          <w:tcPr>
            <w:tcW w:w="78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Hours</w:t>
            </w:r>
          </w:p>
        </w:tc>
        <w:tc>
          <w:tcPr>
            <w:tcW w:w="140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Labor Costs</w:t>
            </w:r>
          </w:p>
        </w:tc>
      </w:tr>
      <w:tr w:rsidR="005F572A" w:rsidRPr="00853348" w:rsidTr="00EB73D8">
        <w:trPr>
          <w:trHeight w:val="225"/>
          <w:jc w:val="center"/>
        </w:trPr>
        <w:tc>
          <w:tcPr>
            <w:tcW w:w="5263" w:type="dxa"/>
            <w:vMerge/>
            <w:tcBorders>
              <w:right w:val="single" w:sz="4" w:space="0" w:color="auto"/>
            </w:tcBorders>
            <w:vAlign w:val="center"/>
            <w:hideMark/>
          </w:tcPr>
          <w:p w:rsidR="005F572A" w:rsidRPr="00853348" w:rsidRDefault="005F572A" w:rsidP="005F572A">
            <w:pPr>
              <w:widowControl/>
              <w:autoSpaceDE/>
              <w:autoSpaceDN/>
              <w:adjustRightInd/>
              <w:rPr>
                <w:b/>
                <w:bCs/>
                <w:sz w:val="16"/>
                <w:szCs w:val="16"/>
              </w:rPr>
            </w:pPr>
          </w:p>
        </w:tc>
        <w:tc>
          <w:tcPr>
            <w:tcW w:w="112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Occurrence</w:t>
            </w:r>
          </w:p>
        </w:tc>
        <w:tc>
          <w:tcPr>
            <w:tcW w:w="106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Per</w:t>
            </w:r>
          </w:p>
        </w:tc>
        <w:tc>
          <w:tcPr>
            <w:tcW w:w="110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Respondent</w:t>
            </w:r>
          </w:p>
        </w:tc>
        <w:tc>
          <w:tcPr>
            <w:tcW w:w="106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Per Year</w:t>
            </w:r>
          </w:p>
        </w:tc>
        <w:tc>
          <w:tcPr>
            <w:tcW w:w="847"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Per Year</w:t>
            </w:r>
          </w:p>
        </w:tc>
        <w:tc>
          <w:tcPr>
            <w:tcW w:w="1052"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Per Year</w:t>
            </w:r>
          </w:p>
        </w:tc>
        <w:tc>
          <w:tcPr>
            <w:tcW w:w="78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Per Year</w:t>
            </w:r>
          </w:p>
        </w:tc>
        <w:tc>
          <w:tcPr>
            <w:tcW w:w="140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Per Year</w:t>
            </w:r>
          </w:p>
        </w:tc>
      </w:tr>
      <w:tr w:rsidR="005F572A" w:rsidRPr="00853348" w:rsidTr="00EB73D8">
        <w:trPr>
          <w:trHeight w:val="225"/>
          <w:jc w:val="center"/>
        </w:trPr>
        <w:tc>
          <w:tcPr>
            <w:tcW w:w="5263" w:type="dxa"/>
            <w:vMerge/>
            <w:tcBorders>
              <w:right w:val="single" w:sz="4" w:space="0" w:color="auto"/>
            </w:tcBorders>
            <w:vAlign w:val="center"/>
            <w:hideMark/>
          </w:tcPr>
          <w:p w:rsidR="005F572A" w:rsidRPr="00853348" w:rsidRDefault="005F572A" w:rsidP="005F572A">
            <w:pPr>
              <w:widowControl/>
              <w:autoSpaceDE/>
              <w:autoSpaceDN/>
              <w:adjustRightInd/>
              <w:rPr>
                <w:b/>
                <w:bCs/>
                <w:sz w:val="16"/>
                <w:szCs w:val="16"/>
              </w:rPr>
            </w:pPr>
          </w:p>
        </w:tc>
        <w:tc>
          <w:tcPr>
            <w:tcW w:w="112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Respondent</w:t>
            </w:r>
          </w:p>
        </w:tc>
        <w:tc>
          <w:tcPr>
            <w:tcW w:w="110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Per Year</w:t>
            </w:r>
          </w:p>
        </w:tc>
        <w:tc>
          <w:tcPr>
            <w:tcW w:w="106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tcBorders>
              <w:top w:val="nil"/>
              <w:left w:val="single" w:sz="4" w:space="0" w:color="auto"/>
              <w:bottom w:val="nil"/>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40"/>
          <w:jc w:val="center"/>
        </w:trPr>
        <w:tc>
          <w:tcPr>
            <w:tcW w:w="5263" w:type="dxa"/>
            <w:vMerge/>
            <w:tcBorders>
              <w:right w:val="single" w:sz="4" w:space="0" w:color="auto"/>
            </w:tcBorders>
            <w:vAlign w:val="center"/>
            <w:hideMark/>
          </w:tcPr>
          <w:p w:rsidR="005F572A" w:rsidRPr="00853348" w:rsidRDefault="005F572A" w:rsidP="005F572A">
            <w:pPr>
              <w:widowControl/>
              <w:autoSpaceDE/>
              <w:autoSpaceDN/>
              <w:adjustRightInd/>
              <w:rPr>
                <w:b/>
                <w:bCs/>
                <w:sz w:val="16"/>
                <w:szCs w:val="16"/>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Per Year</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(C=A x B)</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tcBorders>
              <w:top w:val="nil"/>
              <w:left w:val="single" w:sz="4" w:space="0" w:color="auto"/>
              <w:bottom w:val="single" w:sz="4" w:space="0" w:color="auto"/>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(D x E)</w:t>
            </w:r>
          </w:p>
        </w:tc>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(F x 0.05)</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(F x 0.1)</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rPr>
                <w:sz w:val="16"/>
                <w:szCs w:val="16"/>
              </w:rPr>
            </w:pPr>
            <w:r w:rsidRPr="00853348">
              <w:rPr>
                <w:sz w:val="16"/>
                <w:szCs w:val="16"/>
              </w:rPr>
              <w:t>1. Applications</w:t>
            </w:r>
          </w:p>
        </w:tc>
        <w:tc>
          <w:tcPr>
            <w:tcW w:w="1120" w:type="dxa"/>
            <w:tcBorders>
              <w:top w:val="single" w:sz="4" w:space="0" w:color="auto"/>
            </w:tcBorders>
            <w:shd w:val="clear" w:color="000000" w:fill="FFFFFF"/>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N/A</w:t>
            </w:r>
          </w:p>
        </w:tc>
        <w:tc>
          <w:tcPr>
            <w:tcW w:w="1060" w:type="dxa"/>
            <w:tcBorders>
              <w:top w:val="single" w:sz="4" w:space="0" w:color="auto"/>
            </w:tcBorders>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tcBorders>
              <w:top w:val="single" w:sz="4" w:space="0" w:color="auto"/>
            </w:tcBorders>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tcBorders>
              <w:top w:val="single" w:sz="4" w:space="0" w:color="auto"/>
            </w:tcBorders>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tcBorders>
              <w:top w:val="single" w:sz="4" w:space="0" w:color="auto"/>
            </w:tcBorders>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tcBorders>
              <w:top w:val="single" w:sz="4" w:space="0" w:color="auto"/>
            </w:tcBorders>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tcBorders>
              <w:top w:val="single" w:sz="4" w:space="0" w:color="auto"/>
            </w:tcBorders>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tcBorders>
              <w:top w:val="single" w:sz="4" w:space="0" w:color="auto"/>
            </w:tcBorders>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rPr>
                <w:sz w:val="16"/>
                <w:szCs w:val="16"/>
              </w:rPr>
            </w:pPr>
            <w:r w:rsidRPr="00853348">
              <w:rPr>
                <w:sz w:val="16"/>
                <w:szCs w:val="16"/>
              </w:rPr>
              <w:t>2. Surveys and Studies</w:t>
            </w:r>
          </w:p>
        </w:tc>
        <w:tc>
          <w:tcPr>
            <w:tcW w:w="1120" w:type="dxa"/>
            <w:shd w:val="clear" w:color="000000" w:fill="FFFFFF"/>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N/A</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540"/>
          <w:jc w:val="center"/>
        </w:trPr>
        <w:tc>
          <w:tcPr>
            <w:tcW w:w="5263" w:type="dxa"/>
            <w:shd w:val="clear" w:color="auto" w:fill="auto"/>
            <w:noWrap/>
            <w:vAlign w:val="center"/>
            <w:hideMark/>
          </w:tcPr>
          <w:p w:rsidR="005F572A" w:rsidRPr="00853348" w:rsidRDefault="005F572A" w:rsidP="005F572A">
            <w:pPr>
              <w:widowControl/>
              <w:autoSpaceDE/>
              <w:autoSpaceDN/>
              <w:adjustRightInd/>
              <w:rPr>
                <w:sz w:val="16"/>
                <w:szCs w:val="16"/>
              </w:rPr>
            </w:pPr>
            <w:r w:rsidRPr="00853348">
              <w:rPr>
                <w:sz w:val="16"/>
                <w:szCs w:val="16"/>
              </w:rPr>
              <w:t>3. Reporting Requirements</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44"/>
                <w:szCs w:val="44"/>
              </w:rPr>
            </w:pPr>
            <w:r w:rsidRPr="00853348">
              <w:rPr>
                <w:sz w:val="44"/>
                <w:szCs w:val="44"/>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AF087C">
        <w:trPr>
          <w:trHeight w:val="450"/>
          <w:jc w:val="center"/>
        </w:trPr>
        <w:tc>
          <w:tcPr>
            <w:tcW w:w="5263" w:type="dxa"/>
            <w:shd w:val="clear" w:color="auto" w:fill="auto"/>
            <w:noWrap/>
            <w:vAlign w:val="center"/>
            <w:hideMark/>
          </w:tcPr>
          <w:p w:rsidR="005F572A" w:rsidRPr="00853348" w:rsidRDefault="005F572A" w:rsidP="00AF087C">
            <w:pPr>
              <w:widowControl/>
              <w:autoSpaceDE/>
              <w:autoSpaceDN/>
              <w:adjustRightInd/>
              <w:ind w:firstLineChars="100" w:firstLine="160"/>
              <w:rPr>
                <w:sz w:val="16"/>
                <w:szCs w:val="16"/>
              </w:rPr>
            </w:pPr>
            <w:r w:rsidRPr="00853348">
              <w:rPr>
                <w:sz w:val="16"/>
                <w:szCs w:val="16"/>
              </w:rPr>
              <w:t xml:space="preserve">A. </w:t>
            </w:r>
            <w:r w:rsidR="00DC0941">
              <w:rPr>
                <w:sz w:val="16"/>
                <w:szCs w:val="16"/>
              </w:rPr>
              <w:t>Familiarization with the</w:t>
            </w:r>
            <w:r w:rsidRPr="00853348">
              <w:rPr>
                <w:sz w:val="16"/>
                <w:szCs w:val="16"/>
              </w:rPr>
              <w:t xml:space="preserve"> Rule Requirements</w:t>
            </w:r>
            <w:r w:rsidR="00853348" w:rsidRPr="00853348">
              <w:rPr>
                <w:sz w:val="16"/>
                <w:szCs w:val="16"/>
              </w:rPr>
              <w:t xml:space="preserve"> </w:t>
            </w:r>
          </w:p>
        </w:tc>
        <w:tc>
          <w:tcPr>
            <w:tcW w:w="1120" w:type="dxa"/>
            <w:shd w:val="clear" w:color="auto" w:fill="auto"/>
            <w:noWrap/>
            <w:vAlign w:val="center"/>
          </w:tcPr>
          <w:p w:rsidR="005F572A" w:rsidRPr="00853348" w:rsidRDefault="005F572A" w:rsidP="005F572A">
            <w:pPr>
              <w:widowControl/>
              <w:autoSpaceDE/>
              <w:autoSpaceDN/>
              <w:adjustRightInd/>
              <w:jc w:val="center"/>
              <w:rPr>
                <w:sz w:val="16"/>
                <w:szCs w:val="16"/>
              </w:rPr>
            </w:pPr>
          </w:p>
        </w:tc>
        <w:tc>
          <w:tcPr>
            <w:tcW w:w="1060" w:type="dxa"/>
            <w:shd w:val="clear" w:color="auto" w:fill="auto"/>
            <w:noWrap/>
            <w:vAlign w:val="center"/>
          </w:tcPr>
          <w:p w:rsidR="005F572A" w:rsidRPr="00853348" w:rsidRDefault="005F572A" w:rsidP="005F572A">
            <w:pPr>
              <w:widowControl/>
              <w:autoSpaceDE/>
              <w:autoSpaceDN/>
              <w:adjustRightInd/>
              <w:jc w:val="center"/>
              <w:rPr>
                <w:sz w:val="16"/>
                <w:szCs w:val="16"/>
              </w:rPr>
            </w:pPr>
          </w:p>
        </w:tc>
        <w:tc>
          <w:tcPr>
            <w:tcW w:w="1100" w:type="dxa"/>
            <w:shd w:val="clear" w:color="auto" w:fill="auto"/>
            <w:noWrap/>
            <w:vAlign w:val="center"/>
          </w:tcPr>
          <w:p w:rsidR="005F572A" w:rsidRPr="00853348" w:rsidRDefault="005F572A" w:rsidP="005F572A">
            <w:pPr>
              <w:widowControl/>
              <w:autoSpaceDE/>
              <w:autoSpaceDN/>
              <w:adjustRightInd/>
              <w:jc w:val="center"/>
              <w:rPr>
                <w:sz w:val="16"/>
                <w:szCs w:val="16"/>
              </w:rPr>
            </w:pPr>
          </w:p>
        </w:tc>
        <w:tc>
          <w:tcPr>
            <w:tcW w:w="1060" w:type="dxa"/>
            <w:shd w:val="clear" w:color="auto" w:fill="auto"/>
            <w:noWrap/>
            <w:vAlign w:val="center"/>
          </w:tcPr>
          <w:p w:rsidR="005F572A" w:rsidRPr="00853348" w:rsidRDefault="005F572A" w:rsidP="005F572A">
            <w:pPr>
              <w:widowControl/>
              <w:autoSpaceDE/>
              <w:autoSpaceDN/>
              <w:adjustRightInd/>
              <w:jc w:val="center"/>
              <w:rPr>
                <w:sz w:val="16"/>
                <w:szCs w:val="16"/>
              </w:rPr>
            </w:pPr>
          </w:p>
        </w:tc>
        <w:tc>
          <w:tcPr>
            <w:tcW w:w="847" w:type="dxa"/>
            <w:shd w:val="clear" w:color="auto" w:fill="auto"/>
            <w:noWrap/>
            <w:vAlign w:val="center"/>
          </w:tcPr>
          <w:p w:rsidR="005F572A" w:rsidRPr="00853348" w:rsidRDefault="005F572A" w:rsidP="005F572A">
            <w:pPr>
              <w:widowControl/>
              <w:autoSpaceDE/>
              <w:autoSpaceDN/>
              <w:adjustRightInd/>
              <w:jc w:val="center"/>
              <w:rPr>
                <w:sz w:val="16"/>
                <w:szCs w:val="16"/>
              </w:rPr>
            </w:pPr>
          </w:p>
        </w:tc>
        <w:tc>
          <w:tcPr>
            <w:tcW w:w="1052" w:type="dxa"/>
            <w:shd w:val="clear" w:color="auto" w:fill="auto"/>
            <w:noWrap/>
            <w:vAlign w:val="center"/>
          </w:tcPr>
          <w:p w:rsidR="005F572A" w:rsidRPr="00853348" w:rsidRDefault="005F572A" w:rsidP="005F572A">
            <w:pPr>
              <w:widowControl/>
              <w:autoSpaceDE/>
              <w:autoSpaceDN/>
              <w:adjustRightInd/>
              <w:jc w:val="center"/>
              <w:rPr>
                <w:sz w:val="16"/>
                <w:szCs w:val="16"/>
              </w:rPr>
            </w:pPr>
          </w:p>
        </w:tc>
        <w:tc>
          <w:tcPr>
            <w:tcW w:w="780" w:type="dxa"/>
            <w:shd w:val="clear" w:color="auto" w:fill="auto"/>
            <w:noWrap/>
            <w:vAlign w:val="center"/>
          </w:tcPr>
          <w:p w:rsidR="005F572A" w:rsidRPr="00853348" w:rsidRDefault="005F572A" w:rsidP="005F572A">
            <w:pPr>
              <w:widowControl/>
              <w:autoSpaceDE/>
              <w:autoSpaceDN/>
              <w:adjustRightInd/>
              <w:jc w:val="center"/>
              <w:rPr>
                <w:sz w:val="16"/>
                <w:szCs w:val="16"/>
              </w:rPr>
            </w:pPr>
          </w:p>
        </w:tc>
        <w:tc>
          <w:tcPr>
            <w:tcW w:w="1400" w:type="dxa"/>
            <w:shd w:val="clear" w:color="auto" w:fill="auto"/>
            <w:noWrap/>
            <w:vAlign w:val="center"/>
          </w:tcPr>
          <w:p w:rsidR="005F572A" w:rsidRPr="00853348" w:rsidRDefault="005F572A" w:rsidP="005F572A">
            <w:pPr>
              <w:widowControl/>
              <w:autoSpaceDE/>
              <w:autoSpaceDN/>
              <w:adjustRightInd/>
              <w:jc w:val="center"/>
              <w:rPr>
                <w:sz w:val="16"/>
                <w:szCs w:val="16"/>
              </w:rPr>
            </w:pPr>
          </w:p>
        </w:tc>
      </w:tr>
      <w:tr w:rsidR="00AF087C" w:rsidRPr="00853348" w:rsidTr="009A79AB">
        <w:trPr>
          <w:trHeight w:val="278"/>
          <w:jc w:val="center"/>
        </w:trPr>
        <w:tc>
          <w:tcPr>
            <w:tcW w:w="5263" w:type="dxa"/>
            <w:shd w:val="clear" w:color="auto" w:fill="auto"/>
            <w:noWrap/>
            <w:vAlign w:val="center"/>
          </w:tcPr>
          <w:p w:rsidR="00AF087C" w:rsidRPr="00853348" w:rsidRDefault="00AF087C" w:rsidP="00AF087C">
            <w:pPr>
              <w:widowControl/>
              <w:autoSpaceDE/>
              <w:autoSpaceDN/>
              <w:adjustRightInd/>
              <w:ind w:firstLineChars="100" w:firstLine="160"/>
              <w:rPr>
                <w:sz w:val="16"/>
                <w:szCs w:val="16"/>
              </w:rPr>
            </w:pPr>
            <w:r>
              <w:rPr>
                <w:sz w:val="16"/>
                <w:szCs w:val="16"/>
              </w:rPr>
              <w:t xml:space="preserve">     New sources </w:t>
            </w:r>
            <w:r w:rsidRPr="00853348">
              <w:rPr>
                <w:sz w:val="16"/>
                <w:szCs w:val="16"/>
                <w:vertAlign w:val="superscript"/>
              </w:rPr>
              <w:t>a,b,c,j</w:t>
            </w:r>
          </w:p>
        </w:tc>
        <w:tc>
          <w:tcPr>
            <w:tcW w:w="1120" w:type="dxa"/>
            <w:shd w:val="clear" w:color="auto" w:fill="auto"/>
            <w:noWrap/>
            <w:vAlign w:val="center"/>
          </w:tcPr>
          <w:p w:rsidR="00AF087C" w:rsidRPr="00853348" w:rsidRDefault="00AF087C" w:rsidP="00AF087C">
            <w:pPr>
              <w:widowControl/>
              <w:autoSpaceDE/>
              <w:autoSpaceDN/>
              <w:adjustRightInd/>
              <w:jc w:val="center"/>
              <w:rPr>
                <w:sz w:val="16"/>
                <w:szCs w:val="16"/>
              </w:rPr>
            </w:pPr>
            <w:r w:rsidRPr="00853348">
              <w:rPr>
                <w:sz w:val="16"/>
                <w:szCs w:val="16"/>
              </w:rPr>
              <w:t xml:space="preserve">320 </w:t>
            </w:r>
          </w:p>
        </w:tc>
        <w:tc>
          <w:tcPr>
            <w:tcW w:w="1060" w:type="dxa"/>
            <w:shd w:val="clear" w:color="auto" w:fill="auto"/>
            <w:noWrap/>
            <w:vAlign w:val="center"/>
          </w:tcPr>
          <w:p w:rsidR="00AF087C" w:rsidRPr="00853348" w:rsidRDefault="00AF087C" w:rsidP="00AF087C">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tcPr>
          <w:p w:rsidR="00AF087C" w:rsidRPr="00853348" w:rsidRDefault="00AF087C" w:rsidP="00AF087C">
            <w:pPr>
              <w:widowControl/>
              <w:autoSpaceDE/>
              <w:autoSpaceDN/>
              <w:adjustRightInd/>
              <w:jc w:val="center"/>
              <w:rPr>
                <w:sz w:val="16"/>
                <w:szCs w:val="16"/>
              </w:rPr>
            </w:pPr>
            <w:r w:rsidRPr="00853348">
              <w:rPr>
                <w:sz w:val="16"/>
                <w:szCs w:val="16"/>
              </w:rPr>
              <w:t xml:space="preserve">320 </w:t>
            </w:r>
          </w:p>
        </w:tc>
        <w:tc>
          <w:tcPr>
            <w:tcW w:w="1060" w:type="dxa"/>
            <w:shd w:val="clear" w:color="auto" w:fill="auto"/>
            <w:noWrap/>
            <w:vAlign w:val="center"/>
          </w:tcPr>
          <w:p w:rsidR="00AF087C" w:rsidRPr="00853348" w:rsidRDefault="00AF087C" w:rsidP="00AF087C">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tcPr>
          <w:p w:rsidR="00AF087C" w:rsidRPr="00853348" w:rsidRDefault="00AF087C" w:rsidP="00AF087C">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tcPr>
          <w:p w:rsidR="00AF087C" w:rsidRPr="00853348" w:rsidRDefault="00AF087C" w:rsidP="00AF087C">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tcPr>
          <w:p w:rsidR="00AF087C" w:rsidRPr="00853348" w:rsidRDefault="00AF087C" w:rsidP="00AF087C">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tcPr>
          <w:p w:rsidR="00AF087C" w:rsidRPr="00853348" w:rsidRDefault="00AF087C" w:rsidP="00AF087C">
            <w:pPr>
              <w:widowControl/>
              <w:autoSpaceDE/>
              <w:autoSpaceDN/>
              <w:adjustRightInd/>
              <w:jc w:val="center"/>
              <w:rPr>
                <w:sz w:val="16"/>
                <w:szCs w:val="16"/>
              </w:rPr>
            </w:pPr>
            <w:r w:rsidRPr="00853348">
              <w:rPr>
                <w:sz w:val="16"/>
                <w:szCs w:val="16"/>
              </w:rPr>
              <w:t xml:space="preserve">$0 </w:t>
            </w:r>
          </w:p>
        </w:tc>
      </w:tr>
      <w:tr w:rsidR="00AF087C" w:rsidRPr="00853348" w:rsidTr="009A79AB">
        <w:trPr>
          <w:trHeight w:val="260"/>
          <w:jc w:val="center"/>
        </w:trPr>
        <w:tc>
          <w:tcPr>
            <w:tcW w:w="5263" w:type="dxa"/>
            <w:shd w:val="clear" w:color="auto" w:fill="auto"/>
            <w:noWrap/>
            <w:vAlign w:val="center"/>
          </w:tcPr>
          <w:p w:rsidR="00AF087C" w:rsidRPr="00853348" w:rsidRDefault="00AF087C" w:rsidP="00AF087C">
            <w:pPr>
              <w:widowControl/>
              <w:autoSpaceDE/>
              <w:autoSpaceDN/>
              <w:adjustRightInd/>
              <w:ind w:firstLineChars="100" w:firstLine="160"/>
              <w:rPr>
                <w:sz w:val="16"/>
                <w:szCs w:val="16"/>
              </w:rPr>
            </w:pPr>
            <w:r>
              <w:rPr>
                <w:sz w:val="16"/>
                <w:szCs w:val="16"/>
              </w:rPr>
              <w:t xml:space="preserve">     Existing sources </w:t>
            </w:r>
            <w:r w:rsidRPr="00853348">
              <w:rPr>
                <w:sz w:val="16"/>
                <w:szCs w:val="16"/>
                <w:vertAlign w:val="superscript"/>
              </w:rPr>
              <w:t>,j</w:t>
            </w:r>
          </w:p>
        </w:tc>
        <w:tc>
          <w:tcPr>
            <w:tcW w:w="1120" w:type="dxa"/>
            <w:shd w:val="clear" w:color="auto" w:fill="auto"/>
            <w:noWrap/>
            <w:vAlign w:val="center"/>
          </w:tcPr>
          <w:p w:rsidR="00AF087C" w:rsidRPr="00AF087C" w:rsidRDefault="00AF087C" w:rsidP="00AF087C">
            <w:pPr>
              <w:widowControl/>
              <w:autoSpaceDE/>
              <w:autoSpaceDN/>
              <w:adjustRightInd/>
              <w:jc w:val="center"/>
              <w:rPr>
                <w:sz w:val="16"/>
                <w:szCs w:val="16"/>
              </w:rPr>
            </w:pPr>
            <w:r w:rsidRPr="00AF087C">
              <w:rPr>
                <w:sz w:val="16"/>
                <w:szCs w:val="16"/>
              </w:rPr>
              <w:t xml:space="preserve">8 </w:t>
            </w:r>
          </w:p>
        </w:tc>
        <w:tc>
          <w:tcPr>
            <w:tcW w:w="1060" w:type="dxa"/>
            <w:shd w:val="clear" w:color="auto" w:fill="auto"/>
            <w:noWrap/>
            <w:vAlign w:val="center"/>
          </w:tcPr>
          <w:p w:rsidR="00AF087C" w:rsidRPr="00AF087C" w:rsidRDefault="00AF087C" w:rsidP="00AF087C">
            <w:pPr>
              <w:widowControl/>
              <w:autoSpaceDE/>
              <w:autoSpaceDN/>
              <w:adjustRightInd/>
              <w:jc w:val="center"/>
              <w:rPr>
                <w:sz w:val="16"/>
                <w:szCs w:val="16"/>
              </w:rPr>
            </w:pPr>
            <w:r w:rsidRPr="00AF087C">
              <w:rPr>
                <w:sz w:val="16"/>
                <w:szCs w:val="16"/>
              </w:rPr>
              <w:t xml:space="preserve">1 </w:t>
            </w:r>
          </w:p>
        </w:tc>
        <w:tc>
          <w:tcPr>
            <w:tcW w:w="1100" w:type="dxa"/>
            <w:shd w:val="clear" w:color="auto" w:fill="auto"/>
            <w:noWrap/>
            <w:vAlign w:val="center"/>
          </w:tcPr>
          <w:p w:rsidR="00AF087C" w:rsidRPr="00AF087C" w:rsidRDefault="00AF087C" w:rsidP="00AF087C">
            <w:pPr>
              <w:widowControl/>
              <w:autoSpaceDE/>
              <w:autoSpaceDN/>
              <w:adjustRightInd/>
              <w:jc w:val="center"/>
              <w:rPr>
                <w:sz w:val="16"/>
                <w:szCs w:val="16"/>
              </w:rPr>
            </w:pPr>
            <w:r w:rsidRPr="00AF087C">
              <w:rPr>
                <w:sz w:val="16"/>
                <w:szCs w:val="16"/>
              </w:rPr>
              <w:t xml:space="preserve">8 </w:t>
            </w:r>
          </w:p>
        </w:tc>
        <w:tc>
          <w:tcPr>
            <w:tcW w:w="1060" w:type="dxa"/>
            <w:shd w:val="clear" w:color="auto" w:fill="auto"/>
            <w:noWrap/>
            <w:vAlign w:val="center"/>
          </w:tcPr>
          <w:p w:rsidR="00AF087C" w:rsidRPr="00AF087C" w:rsidRDefault="00AF087C" w:rsidP="00AF087C">
            <w:pPr>
              <w:widowControl/>
              <w:autoSpaceDE/>
              <w:autoSpaceDN/>
              <w:adjustRightInd/>
              <w:jc w:val="center"/>
              <w:rPr>
                <w:sz w:val="16"/>
                <w:szCs w:val="16"/>
              </w:rPr>
            </w:pPr>
            <w:r w:rsidRPr="00AF087C">
              <w:rPr>
                <w:sz w:val="16"/>
                <w:szCs w:val="16"/>
              </w:rPr>
              <w:t xml:space="preserve">3 </w:t>
            </w:r>
          </w:p>
        </w:tc>
        <w:tc>
          <w:tcPr>
            <w:tcW w:w="847" w:type="dxa"/>
            <w:shd w:val="clear" w:color="auto" w:fill="auto"/>
            <w:noWrap/>
            <w:vAlign w:val="center"/>
          </w:tcPr>
          <w:p w:rsidR="00AF087C" w:rsidRPr="00AF087C" w:rsidRDefault="00AF087C" w:rsidP="00AF087C">
            <w:pPr>
              <w:widowControl/>
              <w:autoSpaceDE/>
              <w:autoSpaceDN/>
              <w:adjustRightInd/>
              <w:jc w:val="center"/>
              <w:rPr>
                <w:sz w:val="16"/>
                <w:szCs w:val="16"/>
              </w:rPr>
            </w:pPr>
            <w:r w:rsidRPr="00AF087C">
              <w:rPr>
                <w:sz w:val="16"/>
                <w:szCs w:val="16"/>
              </w:rPr>
              <w:t xml:space="preserve">24 </w:t>
            </w:r>
          </w:p>
        </w:tc>
        <w:tc>
          <w:tcPr>
            <w:tcW w:w="1052" w:type="dxa"/>
            <w:shd w:val="clear" w:color="auto" w:fill="auto"/>
            <w:noWrap/>
            <w:vAlign w:val="center"/>
          </w:tcPr>
          <w:p w:rsidR="00AF087C" w:rsidRPr="00AF087C" w:rsidRDefault="00AF087C" w:rsidP="00AF087C">
            <w:pPr>
              <w:widowControl/>
              <w:autoSpaceDE/>
              <w:autoSpaceDN/>
              <w:adjustRightInd/>
              <w:jc w:val="center"/>
              <w:rPr>
                <w:sz w:val="16"/>
                <w:szCs w:val="16"/>
              </w:rPr>
            </w:pPr>
            <w:r w:rsidRPr="00AF087C">
              <w:rPr>
                <w:sz w:val="16"/>
                <w:szCs w:val="16"/>
              </w:rPr>
              <w:t xml:space="preserve">1.2 </w:t>
            </w:r>
          </w:p>
        </w:tc>
        <w:tc>
          <w:tcPr>
            <w:tcW w:w="780" w:type="dxa"/>
            <w:shd w:val="clear" w:color="auto" w:fill="auto"/>
            <w:noWrap/>
            <w:vAlign w:val="center"/>
          </w:tcPr>
          <w:p w:rsidR="00AF087C" w:rsidRPr="00AF087C" w:rsidRDefault="00AF087C" w:rsidP="00AF087C">
            <w:pPr>
              <w:widowControl/>
              <w:autoSpaceDE/>
              <w:autoSpaceDN/>
              <w:adjustRightInd/>
              <w:jc w:val="center"/>
              <w:rPr>
                <w:sz w:val="16"/>
                <w:szCs w:val="16"/>
              </w:rPr>
            </w:pPr>
            <w:r w:rsidRPr="00AF087C">
              <w:rPr>
                <w:sz w:val="16"/>
                <w:szCs w:val="16"/>
              </w:rPr>
              <w:t xml:space="preserve">2.4 </w:t>
            </w:r>
          </w:p>
        </w:tc>
        <w:tc>
          <w:tcPr>
            <w:tcW w:w="1400" w:type="dxa"/>
            <w:shd w:val="clear" w:color="auto" w:fill="auto"/>
            <w:noWrap/>
            <w:vAlign w:val="center"/>
          </w:tcPr>
          <w:p w:rsidR="00AF087C" w:rsidRPr="00AF087C" w:rsidRDefault="00AF087C" w:rsidP="00AF087C">
            <w:pPr>
              <w:widowControl/>
              <w:autoSpaceDE/>
              <w:autoSpaceDN/>
              <w:adjustRightInd/>
              <w:jc w:val="center"/>
              <w:rPr>
                <w:sz w:val="16"/>
                <w:szCs w:val="16"/>
              </w:rPr>
            </w:pPr>
            <w:r w:rsidRPr="00AF087C">
              <w:rPr>
                <w:sz w:val="16"/>
                <w:szCs w:val="16"/>
              </w:rPr>
              <w:t xml:space="preserve">$2,775.49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100" w:firstLine="160"/>
              <w:rPr>
                <w:sz w:val="16"/>
                <w:szCs w:val="16"/>
              </w:rPr>
            </w:pPr>
            <w:r w:rsidRPr="00853348">
              <w:rPr>
                <w:sz w:val="16"/>
                <w:szCs w:val="16"/>
              </w:rPr>
              <w:t>B. Required Activities</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000000" w:fill="FFFFFF"/>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1) Initial performance test, sampling, and report</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a) Process Vents</w:t>
            </w:r>
            <w:r w:rsidR="00853348" w:rsidRPr="00853348">
              <w:rPr>
                <w:sz w:val="16"/>
                <w:szCs w:val="16"/>
              </w:rPr>
              <w:t xml:space="preserve"> </w:t>
            </w:r>
            <w:r w:rsidRPr="00853348">
              <w:rPr>
                <w:sz w:val="16"/>
                <w:szCs w:val="16"/>
                <w:vertAlign w:val="superscript"/>
              </w:rPr>
              <w:t>a,d</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120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120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000000" w:fill="FFFFFF"/>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b) Resins</w:t>
            </w:r>
            <w:r w:rsidR="00853348" w:rsidRPr="00853348">
              <w:rPr>
                <w:sz w:val="16"/>
                <w:szCs w:val="16"/>
              </w:rPr>
              <w:t xml:space="preserve"> </w:t>
            </w:r>
            <w:r w:rsidRPr="00853348">
              <w:rPr>
                <w:sz w:val="16"/>
                <w:szCs w:val="16"/>
                <w:vertAlign w:val="superscript"/>
              </w:rPr>
              <w:t>a,e</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36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36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323"/>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c) wastewater</w:t>
            </w:r>
            <w:r w:rsidR="00853348" w:rsidRPr="00853348">
              <w:rPr>
                <w:sz w:val="16"/>
                <w:szCs w:val="16"/>
              </w:rPr>
              <w:t xml:space="preserve"> </w:t>
            </w:r>
            <w:r w:rsidRPr="00853348">
              <w:rPr>
                <w:sz w:val="16"/>
                <w:szCs w:val="16"/>
                <w:vertAlign w:val="superscript"/>
              </w:rPr>
              <w:t>a,f</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323"/>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d) uncontrolled wastewater</w:t>
            </w:r>
            <w:r w:rsidR="00853348" w:rsidRPr="00853348">
              <w:rPr>
                <w:sz w:val="16"/>
                <w:szCs w:val="16"/>
              </w:rPr>
              <w:t xml:space="preserve"> </w:t>
            </w:r>
            <w:r w:rsidRPr="00853348">
              <w:rPr>
                <w:sz w:val="16"/>
                <w:szCs w:val="16"/>
                <w:vertAlign w:val="superscript"/>
              </w:rPr>
              <w:t>f</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e) heat exchangers</w:t>
            </w:r>
            <w:r w:rsidR="00853348" w:rsidRPr="00853348">
              <w:rPr>
                <w:sz w:val="16"/>
                <w:szCs w:val="16"/>
              </w:rPr>
              <w:t xml:space="preserve"> </w:t>
            </w:r>
            <w:r w:rsidRPr="00853348">
              <w:rPr>
                <w:sz w:val="16"/>
                <w:szCs w:val="16"/>
                <w:vertAlign w:val="superscript"/>
              </w:rPr>
              <w:t>g</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8</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323"/>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f) equipment leaks</w:t>
            </w:r>
            <w:r w:rsidR="00853348" w:rsidRPr="00853348">
              <w:rPr>
                <w:sz w:val="16"/>
                <w:szCs w:val="16"/>
              </w:rPr>
              <w:t xml:space="preserve"> </w:t>
            </w:r>
            <w:r w:rsidRPr="00853348">
              <w:rPr>
                <w:sz w:val="16"/>
                <w:szCs w:val="16"/>
                <w:vertAlign w:val="superscript"/>
              </w:rPr>
              <w:t>h</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850</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850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000000" w:fill="FFFFFF"/>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2) Periodic performance test, sampling, and report</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06"/>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a) Process Vents</w:t>
            </w:r>
            <w:r w:rsidR="00853348" w:rsidRPr="00853348">
              <w:rPr>
                <w:sz w:val="16"/>
                <w:szCs w:val="16"/>
              </w:rPr>
              <w:t xml:space="preserve"> </w:t>
            </w:r>
            <w:r w:rsidRPr="00853348">
              <w:rPr>
                <w:sz w:val="16"/>
                <w:szCs w:val="16"/>
                <w:vertAlign w:val="superscript"/>
              </w:rPr>
              <w:t>d</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17.1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350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5,985</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17,955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897.75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1,795.50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$2,076,414.95 </w:t>
            </w:r>
          </w:p>
        </w:tc>
      </w:tr>
      <w:tr w:rsidR="005F572A" w:rsidRPr="00853348" w:rsidTr="00EB73D8">
        <w:trPr>
          <w:trHeight w:val="269"/>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b) Resins</w:t>
            </w:r>
            <w:r w:rsidR="00853348" w:rsidRPr="00853348">
              <w:rPr>
                <w:sz w:val="16"/>
                <w:szCs w:val="16"/>
              </w:rPr>
              <w:t xml:space="preserve"> </w:t>
            </w:r>
            <w:r w:rsidRPr="00853348">
              <w:rPr>
                <w:sz w:val="16"/>
                <w:szCs w:val="16"/>
                <w:vertAlign w:val="superscript"/>
              </w:rPr>
              <w:t>e</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36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350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12,600</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37,800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1,890</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3,780</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$4,371,399.90 </w:t>
            </w:r>
          </w:p>
        </w:tc>
      </w:tr>
      <w:tr w:rsidR="005F572A" w:rsidRPr="00853348" w:rsidTr="00EB73D8">
        <w:trPr>
          <w:trHeight w:val="260"/>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c) wastewater</w:t>
            </w:r>
            <w:r w:rsidR="00EB73D8">
              <w:rPr>
                <w:sz w:val="16"/>
                <w:szCs w:val="16"/>
              </w:rPr>
              <w:t xml:space="preserve"> </w:t>
            </w:r>
            <w:r w:rsidRPr="00853348">
              <w:rPr>
                <w:sz w:val="16"/>
                <w:szCs w:val="16"/>
                <w:vertAlign w:val="superscript"/>
              </w:rPr>
              <w:t>f</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12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96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288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14.4</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28.8</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$33,305.90 </w:t>
            </w:r>
          </w:p>
        </w:tc>
      </w:tr>
      <w:tr w:rsidR="005F572A" w:rsidRPr="00853348" w:rsidTr="00EB73D8">
        <w:trPr>
          <w:trHeight w:val="341"/>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d) uncontrolled wastewater</w:t>
            </w:r>
            <w:r w:rsidR="00EB73D8">
              <w:rPr>
                <w:sz w:val="16"/>
                <w:szCs w:val="16"/>
              </w:rPr>
              <w:t xml:space="preserve"> </w:t>
            </w:r>
            <w:r w:rsidRPr="00853348">
              <w:rPr>
                <w:sz w:val="16"/>
                <w:szCs w:val="16"/>
                <w:vertAlign w:val="superscript"/>
              </w:rPr>
              <w:t>f</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120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6</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12</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$13,877.46 </w:t>
            </w:r>
          </w:p>
        </w:tc>
      </w:tr>
      <w:tr w:rsidR="005F572A" w:rsidRPr="00853348" w:rsidTr="00EB73D8">
        <w:trPr>
          <w:trHeight w:val="225"/>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e) heat exchangers</w:t>
            </w:r>
            <w:r w:rsidR="00EB73D8">
              <w:rPr>
                <w:sz w:val="16"/>
                <w:szCs w:val="16"/>
              </w:rPr>
              <w:t xml:space="preserve"> </w:t>
            </w:r>
            <w:r w:rsidRPr="00853348">
              <w:rPr>
                <w:sz w:val="16"/>
                <w:szCs w:val="16"/>
                <w:vertAlign w:val="superscript"/>
              </w:rPr>
              <w:t>g</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8</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12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96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288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14.4</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28.8</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$33,305.90 </w:t>
            </w:r>
          </w:p>
        </w:tc>
      </w:tr>
      <w:tr w:rsidR="005F572A" w:rsidRPr="00853348" w:rsidTr="00EB73D8">
        <w:trPr>
          <w:trHeight w:val="296"/>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f) equipment leaks</w:t>
            </w:r>
            <w:r w:rsidR="00EB73D8">
              <w:rPr>
                <w:sz w:val="16"/>
                <w:szCs w:val="16"/>
              </w:rPr>
              <w:t xml:space="preserve"> </w:t>
            </w:r>
            <w:r w:rsidRPr="00853348">
              <w:rPr>
                <w:sz w:val="16"/>
                <w:szCs w:val="16"/>
                <w:vertAlign w:val="superscript"/>
              </w:rPr>
              <w:t>h</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43</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12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1,530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76.5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153</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$176,937.62 </w:t>
            </w:r>
          </w:p>
        </w:tc>
      </w:tr>
      <w:tr w:rsidR="005F572A" w:rsidRPr="00853348" w:rsidTr="00EB73D8">
        <w:trPr>
          <w:trHeight w:val="225"/>
          <w:jc w:val="center"/>
        </w:trPr>
        <w:tc>
          <w:tcPr>
            <w:tcW w:w="5263" w:type="dxa"/>
            <w:shd w:val="clear" w:color="000000" w:fill="FFFFFF"/>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3) Establish operating parameters and monitoring plan</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lastRenderedPageBreak/>
              <w:t>a) Process Vents</w:t>
            </w:r>
            <w:r w:rsidR="00EB73D8">
              <w:rPr>
                <w:sz w:val="16"/>
                <w:szCs w:val="16"/>
              </w:rPr>
              <w:t xml:space="preserve"> </w:t>
            </w:r>
            <w:r w:rsidRPr="00853348">
              <w:rPr>
                <w:sz w:val="16"/>
                <w:szCs w:val="16"/>
                <w:vertAlign w:val="superscript"/>
              </w:rPr>
              <w:t>a,b,d</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000000" w:fill="FFFFFF"/>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4) Continuous parameter monitoring</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a) Initial capital costs (PRD Electronic Monitor)</w:t>
            </w:r>
            <w:r w:rsidRPr="00853348">
              <w:rPr>
                <w:sz w:val="16"/>
                <w:szCs w:val="16"/>
                <w:vertAlign w:val="superscript"/>
              </w:rPr>
              <w:t>a,i</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524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524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b) Annualized capital and O&amp;M costs (PRD Electronic Monitor)</w:t>
            </w:r>
            <w:r w:rsidRPr="00853348">
              <w:rPr>
                <w:sz w:val="16"/>
                <w:szCs w:val="16"/>
                <w:vertAlign w:val="superscript"/>
              </w:rPr>
              <w:t>i</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24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24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0.81</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19.44</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0.97</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1.94</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$2,248.15 </w:t>
            </w:r>
          </w:p>
        </w:tc>
      </w:tr>
      <w:tr w:rsidR="005F572A" w:rsidRPr="00853348" w:rsidTr="00EB73D8">
        <w:trPr>
          <w:trHeight w:val="225"/>
          <w:jc w:val="center"/>
        </w:trPr>
        <w:tc>
          <w:tcPr>
            <w:tcW w:w="5263" w:type="dxa"/>
            <w:shd w:val="clear" w:color="000000" w:fill="FFFFFF"/>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5) Other requirements</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 xml:space="preserve">a) equipment openings, initial measurement </w:t>
            </w:r>
            <w:r w:rsidRPr="00853348">
              <w:rPr>
                <w:sz w:val="16"/>
                <w:szCs w:val="16"/>
                <w:vertAlign w:val="superscript"/>
              </w:rPr>
              <w:t>k</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1.5</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 xml:space="preserve">b) equipment openings, daily measurement </w:t>
            </w:r>
            <w:r w:rsidRPr="00853348">
              <w:rPr>
                <w:sz w:val="16"/>
                <w:szCs w:val="16"/>
                <w:vertAlign w:val="superscript"/>
              </w:rPr>
              <w:t>k</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1.5</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350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525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1,575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78.75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157.5</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$182,141.66 </w:t>
            </w:r>
          </w:p>
        </w:tc>
      </w:tr>
      <w:tr w:rsidR="005F572A" w:rsidRPr="00853348" w:rsidTr="00EB73D8">
        <w:trPr>
          <w:trHeight w:val="242"/>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 xml:space="preserve">c) gasholders </w:t>
            </w:r>
            <w:r w:rsidRPr="00853348">
              <w:rPr>
                <w:sz w:val="16"/>
                <w:szCs w:val="16"/>
                <w:vertAlign w:val="superscript"/>
              </w:rPr>
              <w:t>k</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24</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24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69"/>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 xml:space="preserve">d) storage vessels </w:t>
            </w:r>
            <w:r w:rsidRPr="00853348">
              <w:rPr>
                <w:sz w:val="16"/>
                <w:szCs w:val="16"/>
                <w:vertAlign w:val="superscript"/>
              </w:rPr>
              <w:t>k</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40</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51"/>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 xml:space="preserve">e) bypasses, initial requirement </w:t>
            </w:r>
            <w:r w:rsidRPr="00853348">
              <w:rPr>
                <w:sz w:val="16"/>
                <w:szCs w:val="16"/>
                <w:vertAlign w:val="superscript"/>
              </w:rPr>
              <w:t>k</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40</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auto" w:fill="auto"/>
            <w:vAlign w:val="center"/>
            <w:hideMark/>
          </w:tcPr>
          <w:p w:rsidR="005F572A" w:rsidRPr="00853348" w:rsidRDefault="005F572A" w:rsidP="005F572A">
            <w:pPr>
              <w:widowControl/>
              <w:autoSpaceDE/>
              <w:autoSpaceDN/>
              <w:adjustRightInd/>
              <w:ind w:firstLineChars="300" w:firstLine="480"/>
              <w:rPr>
                <w:sz w:val="16"/>
                <w:szCs w:val="16"/>
              </w:rPr>
            </w:pPr>
            <w:r w:rsidRPr="00853348">
              <w:rPr>
                <w:sz w:val="16"/>
                <w:szCs w:val="16"/>
              </w:rPr>
              <w:t xml:space="preserve">f) bypasses, ongoing inspection </w:t>
            </w:r>
            <w:r w:rsidRPr="00853348">
              <w:rPr>
                <w:sz w:val="16"/>
                <w:szCs w:val="16"/>
                <w:vertAlign w:val="superscript"/>
              </w:rPr>
              <w:t>k</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12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12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3</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36</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1.8</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$4,163.24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100" w:firstLine="160"/>
              <w:rPr>
                <w:sz w:val="16"/>
                <w:szCs w:val="16"/>
              </w:rPr>
            </w:pPr>
            <w:r w:rsidRPr="00853348">
              <w:rPr>
                <w:sz w:val="16"/>
                <w:szCs w:val="16"/>
              </w:rPr>
              <w:t>C. Create Information</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Incl. in 3.B</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100" w:firstLine="160"/>
              <w:rPr>
                <w:sz w:val="16"/>
                <w:szCs w:val="16"/>
              </w:rPr>
            </w:pPr>
            <w:r w:rsidRPr="00853348">
              <w:rPr>
                <w:sz w:val="16"/>
                <w:szCs w:val="16"/>
              </w:rPr>
              <w:t>D. Gather Information</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Incl. in 3.E</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100" w:firstLine="160"/>
              <w:rPr>
                <w:sz w:val="16"/>
                <w:szCs w:val="16"/>
              </w:rPr>
            </w:pPr>
            <w:r w:rsidRPr="00853348">
              <w:rPr>
                <w:sz w:val="16"/>
                <w:szCs w:val="16"/>
              </w:rPr>
              <w:t>E. Report Preparation</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1) Initial Notification</w:t>
            </w:r>
            <w:r w:rsidR="00853348" w:rsidRPr="00853348">
              <w:rPr>
                <w:sz w:val="16"/>
                <w:szCs w:val="16"/>
              </w:rPr>
              <w:t xml:space="preserve"> </w:t>
            </w:r>
            <w:r w:rsidRPr="00853348">
              <w:rPr>
                <w:sz w:val="16"/>
                <w:szCs w:val="16"/>
                <w:vertAlign w:val="superscript"/>
              </w:rPr>
              <w:t>a,b</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2) Batch pre</w:t>
            </w:r>
            <w:r w:rsidR="00853348" w:rsidRPr="00853348">
              <w:rPr>
                <w:sz w:val="16"/>
                <w:szCs w:val="16"/>
              </w:rPr>
              <w:t>-</w:t>
            </w:r>
            <w:r w:rsidRPr="00853348">
              <w:rPr>
                <w:sz w:val="16"/>
                <w:szCs w:val="16"/>
              </w:rPr>
              <w:t>compliance report</w:t>
            </w:r>
            <w:r w:rsidR="00853348" w:rsidRPr="00853348">
              <w:rPr>
                <w:sz w:val="16"/>
                <w:szCs w:val="16"/>
              </w:rPr>
              <w:t xml:space="preserve"> </w:t>
            </w:r>
            <w:r w:rsidRPr="00853348">
              <w:rPr>
                <w:sz w:val="16"/>
                <w:szCs w:val="16"/>
                <w:vertAlign w:val="superscript"/>
              </w:rPr>
              <w:t>a,b</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3) Notification of performance test with test plan</w:t>
            </w:r>
            <w:r w:rsidR="00853348" w:rsidRPr="00853348">
              <w:rPr>
                <w:sz w:val="16"/>
                <w:szCs w:val="16"/>
              </w:rPr>
              <w:t xml:space="preserve"> </w:t>
            </w:r>
            <w:r w:rsidRPr="00853348">
              <w:rPr>
                <w:sz w:val="16"/>
                <w:szCs w:val="16"/>
                <w:vertAlign w:val="superscript"/>
              </w:rPr>
              <w:t>a,b</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4) Notification of compliance status</w:t>
            </w:r>
            <w:r w:rsidR="00853348" w:rsidRPr="00853348">
              <w:rPr>
                <w:sz w:val="16"/>
                <w:szCs w:val="16"/>
              </w:rPr>
              <w:t xml:space="preserve"> </w:t>
            </w:r>
            <w:r w:rsidRPr="00853348">
              <w:rPr>
                <w:sz w:val="16"/>
                <w:szCs w:val="16"/>
                <w:vertAlign w:val="superscript"/>
              </w:rPr>
              <w:t>a,b</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$0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5) Compliance report</w:t>
            </w:r>
            <w:r w:rsidR="00853348" w:rsidRPr="00853348">
              <w:rPr>
                <w:sz w:val="16"/>
                <w:szCs w:val="16"/>
              </w:rPr>
              <w:t xml:space="preserve"> </w:t>
            </w:r>
            <w:r w:rsidRPr="00853348">
              <w:rPr>
                <w:sz w:val="16"/>
                <w:szCs w:val="16"/>
                <w:vertAlign w:val="superscript"/>
              </w:rPr>
              <w:t>b</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240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12</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24</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$27,754.92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6) Notice of inspection</w:t>
            </w:r>
            <w:r w:rsidR="00853348" w:rsidRPr="00853348">
              <w:rPr>
                <w:sz w:val="16"/>
                <w:szCs w:val="16"/>
              </w:rPr>
              <w:t xml:space="preserve"> </w:t>
            </w:r>
            <w:r w:rsidRPr="00853348">
              <w:rPr>
                <w:sz w:val="16"/>
                <w:szCs w:val="16"/>
                <w:vertAlign w:val="superscript"/>
              </w:rPr>
              <w:t>b</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15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0.75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1.5</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$1,734.68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rPr>
                <w:b/>
                <w:bCs/>
                <w:i/>
                <w:iCs/>
                <w:sz w:val="16"/>
                <w:szCs w:val="16"/>
              </w:rPr>
            </w:pPr>
            <w:r w:rsidRPr="00853348">
              <w:rPr>
                <w:b/>
                <w:bCs/>
                <w:i/>
                <w:iCs/>
                <w:sz w:val="16"/>
                <w:szCs w:val="16"/>
              </w:rPr>
              <w:t>Reporting Subtotal</w:t>
            </w:r>
          </w:p>
        </w:tc>
        <w:tc>
          <w:tcPr>
            <w:tcW w:w="1120" w:type="dxa"/>
            <w:shd w:val="clear" w:color="auto" w:fill="auto"/>
            <w:noWrap/>
            <w:vAlign w:val="center"/>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 </w:t>
            </w:r>
          </w:p>
        </w:tc>
        <w:tc>
          <w:tcPr>
            <w:tcW w:w="2679" w:type="dxa"/>
            <w:gridSpan w:val="3"/>
            <w:shd w:val="clear" w:color="auto" w:fill="auto"/>
            <w:noWrap/>
            <w:vAlign w:val="center"/>
            <w:hideMark/>
          </w:tcPr>
          <w:p w:rsidR="005F572A" w:rsidRPr="00853348" w:rsidRDefault="005F572A" w:rsidP="00AF087C">
            <w:pPr>
              <w:widowControl/>
              <w:autoSpaceDE/>
              <w:autoSpaceDN/>
              <w:adjustRightInd/>
              <w:jc w:val="center"/>
              <w:rPr>
                <w:b/>
                <w:bCs/>
                <w:i/>
                <w:iCs/>
                <w:sz w:val="16"/>
                <w:szCs w:val="16"/>
              </w:rPr>
            </w:pPr>
            <w:r w:rsidRPr="00853348">
              <w:rPr>
                <w:b/>
                <w:bCs/>
                <w:i/>
                <w:iCs/>
                <w:sz w:val="16"/>
                <w:szCs w:val="16"/>
              </w:rPr>
              <w:t>68,8</w:t>
            </w:r>
            <w:r w:rsidR="00AF087C">
              <w:rPr>
                <w:b/>
                <w:bCs/>
                <w:i/>
                <w:iCs/>
                <w:sz w:val="16"/>
                <w:szCs w:val="16"/>
              </w:rPr>
              <w:t>74</w:t>
            </w:r>
          </w:p>
        </w:tc>
        <w:tc>
          <w:tcPr>
            <w:tcW w:w="1400" w:type="dxa"/>
            <w:shd w:val="clear" w:color="auto" w:fill="auto"/>
            <w:noWrap/>
            <w:vAlign w:val="center"/>
            <w:hideMark/>
          </w:tcPr>
          <w:p w:rsidR="005F572A" w:rsidRPr="00853348" w:rsidRDefault="005F572A" w:rsidP="00AF087C">
            <w:pPr>
              <w:widowControl/>
              <w:autoSpaceDE/>
              <w:autoSpaceDN/>
              <w:adjustRightInd/>
              <w:jc w:val="center"/>
              <w:rPr>
                <w:b/>
                <w:bCs/>
                <w:i/>
                <w:iCs/>
                <w:sz w:val="16"/>
                <w:szCs w:val="16"/>
              </w:rPr>
            </w:pPr>
            <w:r w:rsidRPr="00853348">
              <w:rPr>
                <w:b/>
                <w:bCs/>
                <w:i/>
                <w:iCs/>
                <w:sz w:val="16"/>
                <w:szCs w:val="16"/>
              </w:rPr>
              <w:t>$6,</w:t>
            </w:r>
            <w:r w:rsidR="00AF087C" w:rsidRPr="00853348">
              <w:rPr>
                <w:b/>
                <w:bCs/>
                <w:i/>
                <w:iCs/>
                <w:sz w:val="16"/>
                <w:szCs w:val="16"/>
              </w:rPr>
              <w:t>92</w:t>
            </w:r>
            <w:r w:rsidR="00AF087C">
              <w:rPr>
                <w:b/>
                <w:bCs/>
                <w:i/>
                <w:iCs/>
                <w:sz w:val="16"/>
                <w:szCs w:val="16"/>
              </w:rPr>
              <w:t>6</w:t>
            </w:r>
            <w:r w:rsidRPr="00853348">
              <w:rPr>
                <w:b/>
                <w:bCs/>
                <w:i/>
                <w:iCs/>
                <w:sz w:val="16"/>
                <w:szCs w:val="16"/>
              </w:rPr>
              <w:t>,</w:t>
            </w:r>
            <w:r w:rsidR="00AF087C">
              <w:rPr>
                <w:b/>
                <w:bCs/>
                <w:i/>
                <w:iCs/>
                <w:sz w:val="16"/>
                <w:szCs w:val="16"/>
              </w:rPr>
              <w:t>059</w:t>
            </w:r>
            <w:r w:rsidRPr="00853348">
              <w:rPr>
                <w:b/>
                <w:bCs/>
                <w:i/>
                <w:iCs/>
                <w:sz w:val="16"/>
                <w:szCs w:val="16"/>
              </w:rPr>
              <w:t>.</w:t>
            </w:r>
            <w:r w:rsidR="00AF087C">
              <w:rPr>
                <w:b/>
                <w:bCs/>
                <w:i/>
                <w:iCs/>
                <w:sz w:val="16"/>
                <w:szCs w:val="16"/>
              </w:rPr>
              <w:t>88</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rPr>
                <w:sz w:val="16"/>
                <w:szCs w:val="16"/>
              </w:rPr>
            </w:pPr>
            <w:r w:rsidRPr="00853348">
              <w:rPr>
                <w:sz w:val="16"/>
                <w:szCs w:val="16"/>
              </w:rPr>
              <w:t>4.  Recordkeeping Requirements</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AF087C">
            <w:pPr>
              <w:widowControl/>
              <w:autoSpaceDE/>
              <w:autoSpaceDN/>
              <w:adjustRightInd/>
              <w:ind w:firstLineChars="100" w:firstLine="160"/>
              <w:rPr>
                <w:sz w:val="16"/>
                <w:szCs w:val="16"/>
              </w:rPr>
            </w:pPr>
            <w:r w:rsidRPr="00853348">
              <w:rPr>
                <w:sz w:val="16"/>
                <w:szCs w:val="16"/>
              </w:rPr>
              <w:t xml:space="preserve">A.  </w:t>
            </w:r>
            <w:r w:rsidR="00AF087C">
              <w:rPr>
                <w:sz w:val="16"/>
                <w:szCs w:val="16"/>
              </w:rPr>
              <w:t>Familiarize with Rule Requirements</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Incl. in 3.A</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100" w:firstLine="160"/>
              <w:rPr>
                <w:sz w:val="16"/>
                <w:szCs w:val="16"/>
              </w:rPr>
            </w:pPr>
            <w:r w:rsidRPr="00853348">
              <w:rPr>
                <w:sz w:val="16"/>
                <w:szCs w:val="16"/>
              </w:rPr>
              <w:t>B.  Implement Activities</w:t>
            </w:r>
          </w:p>
        </w:tc>
        <w:tc>
          <w:tcPr>
            <w:tcW w:w="1120" w:type="dxa"/>
            <w:shd w:val="clear" w:color="000000" w:fill="FFFFFF"/>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N/A</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100" w:firstLine="160"/>
              <w:rPr>
                <w:sz w:val="16"/>
                <w:szCs w:val="16"/>
              </w:rPr>
            </w:pPr>
            <w:r w:rsidRPr="00853348">
              <w:rPr>
                <w:sz w:val="16"/>
                <w:szCs w:val="16"/>
              </w:rPr>
              <w:t>C.  Develop Record System</w:t>
            </w:r>
          </w:p>
        </w:tc>
        <w:tc>
          <w:tcPr>
            <w:tcW w:w="1120" w:type="dxa"/>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N/A</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100" w:firstLine="160"/>
              <w:rPr>
                <w:sz w:val="16"/>
                <w:szCs w:val="16"/>
              </w:rPr>
            </w:pPr>
            <w:r w:rsidRPr="00853348">
              <w:rPr>
                <w:sz w:val="16"/>
                <w:szCs w:val="16"/>
              </w:rPr>
              <w:t>D.  Record Information</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1) Records of process vent requirements</w:t>
            </w:r>
            <w:r w:rsidR="00853348" w:rsidRPr="00853348">
              <w:rPr>
                <w:sz w:val="16"/>
                <w:szCs w:val="16"/>
              </w:rPr>
              <w:t xml:space="preserve"> </w:t>
            </w:r>
            <w:r w:rsidRPr="00853348">
              <w:rPr>
                <w:sz w:val="16"/>
                <w:szCs w:val="16"/>
                <w:vertAlign w:val="superscript"/>
              </w:rPr>
              <w:t>b</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3</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$3,469.37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2) Records of resin stripper requirements</w:t>
            </w:r>
            <w:r w:rsidR="00853348" w:rsidRPr="00853348">
              <w:rPr>
                <w:sz w:val="16"/>
                <w:szCs w:val="16"/>
              </w:rPr>
              <w:t xml:space="preserve"> </w:t>
            </w:r>
            <w:r w:rsidRPr="00853348">
              <w:rPr>
                <w:sz w:val="16"/>
                <w:szCs w:val="16"/>
                <w:vertAlign w:val="superscript"/>
              </w:rPr>
              <w:t>b</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45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2.25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4.5</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$5,204.05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3) Records wastewater requirements</w:t>
            </w:r>
            <w:r w:rsidR="00853348" w:rsidRPr="00853348">
              <w:rPr>
                <w:sz w:val="16"/>
                <w:szCs w:val="16"/>
              </w:rPr>
              <w:t xml:space="preserve"> </w:t>
            </w:r>
            <w:r w:rsidRPr="00853348">
              <w:rPr>
                <w:sz w:val="16"/>
                <w:szCs w:val="16"/>
                <w:vertAlign w:val="superscript"/>
              </w:rPr>
              <w:t>b</w:t>
            </w:r>
          </w:p>
        </w:tc>
        <w:tc>
          <w:tcPr>
            <w:tcW w:w="112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45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2.25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4.5</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$5,204.05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4) Records of storage vessel requirements</w:t>
            </w:r>
            <w:r w:rsidR="00853348" w:rsidRPr="00853348">
              <w:rPr>
                <w:sz w:val="16"/>
                <w:szCs w:val="16"/>
              </w:rPr>
              <w:t xml:space="preserve"> </w:t>
            </w:r>
            <w:r w:rsidRPr="00853348">
              <w:rPr>
                <w:sz w:val="16"/>
                <w:szCs w:val="16"/>
                <w:vertAlign w:val="superscript"/>
              </w:rPr>
              <w:t>b</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3</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$3,469.37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5) Records of equipment leak requirements</w:t>
            </w:r>
            <w:r w:rsidR="00853348" w:rsidRPr="00853348">
              <w:rPr>
                <w:sz w:val="16"/>
                <w:szCs w:val="16"/>
              </w:rPr>
              <w:t xml:space="preserve"> </w:t>
            </w:r>
            <w:r w:rsidRPr="00853348">
              <w:rPr>
                <w:sz w:val="16"/>
                <w:szCs w:val="16"/>
                <w:vertAlign w:val="superscript"/>
              </w:rPr>
              <w:t>b</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25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75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3.75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7.5</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$8,673.41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6) Records of heat exchanger requirements</w:t>
            </w:r>
            <w:r w:rsidR="00853348" w:rsidRPr="00853348">
              <w:rPr>
                <w:sz w:val="16"/>
                <w:szCs w:val="16"/>
              </w:rPr>
              <w:t xml:space="preserve"> </w:t>
            </w:r>
            <w:r w:rsidRPr="00853348">
              <w:rPr>
                <w:sz w:val="16"/>
                <w:szCs w:val="16"/>
                <w:vertAlign w:val="superscript"/>
              </w:rPr>
              <w:t>b</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3</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$3,469.37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200" w:firstLine="320"/>
              <w:rPr>
                <w:sz w:val="16"/>
                <w:szCs w:val="16"/>
              </w:rPr>
            </w:pPr>
            <w:r w:rsidRPr="00853348">
              <w:rPr>
                <w:sz w:val="16"/>
                <w:szCs w:val="16"/>
              </w:rPr>
              <w:t>7) Records of other emission sources requirements</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10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30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1.5</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3</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$3,469.37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100" w:firstLine="160"/>
              <w:rPr>
                <w:sz w:val="16"/>
                <w:szCs w:val="16"/>
              </w:rPr>
            </w:pPr>
            <w:r w:rsidRPr="00853348">
              <w:rPr>
                <w:sz w:val="16"/>
                <w:szCs w:val="16"/>
              </w:rPr>
              <w:t>E. Personnel Training</w:t>
            </w:r>
          </w:p>
        </w:tc>
        <w:tc>
          <w:tcPr>
            <w:tcW w:w="1120" w:type="dxa"/>
            <w:shd w:val="clear" w:color="000000" w:fill="FFFFFF"/>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Incl. in 3.B</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xml:space="preserve">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ind w:firstLineChars="100" w:firstLine="160"/>
              <w:rPr>
                <w:sz w:val="16"/>
                <w:szCs w:val="16"/>
              </w:rPr>
            </w:pPr>
            <w:r w:rsidRPr="00853348">
              <w:rPr>
                <w:sz w:val="16"/>
                <w:szCs w:val="16"/>
              </w:rPr>
              <w:t>F. Time for Audits</w:t>
            </w:r>
          </w:p>
        </w:tc>
        <w:tc>
          <w:tcPr>
            <w:tcW w:w="1120" w:type="dxa"/>
            <w:shd w:val="clear" w:color="000000" w:fill="FFFFFF"/>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N/A</w:t>
            </w:r>
          </w:p>
        </w:tc>
        <w:tc>
          <w:tcPr>
            <w:tcW w:w="1060" w:type="dxa"/>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100" w:type="dxa"/>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60" w:type="dxa"/>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847" w:type="dxa"/>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052" w:type="dxa"/>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780" w:type="dxa"/>
            <w:shd w:val="clear" w:color="auto" w:fill="auto"/>
            <w:noWrap/>
            <w:vAlign w:val="bottom"/>
            <w:hideMark/>
          </w:tcPr>
          <w:p w:rsidR="005F572A" w:rsidRPr="00853348" w:rsidRDefault="005F572A" w:rsidP="005F572A">
            <w:pPr>
              <w:widowControl/>
              <w:autoSpaceDE/>
              <w:autoSpaceDN/>
              <w:adjustRightInd/>
              <w:jc w:val="center"/>
              <w:rPr>
                <w:sz w:val="16"/>
                <w:szCs w:val="16"/>
              </w:rPr>
            </w:pPr>
            <w:r w:rsidRPr="00853348">
              <w:rPr>
                <w:sz w:val="16"/>
                <w:szCs w:val="16"/>
              </w:rPr>
              <w:t> </w:t>
            </w:r>
          </w:p>
        </w:tc>
        <w:tc>
          <w:tcPr>
            <w:tcW w:w="1400" w:type="dxa"/>
            <w:shd w:val="clear" w:color="auto" w:fill="auto"/>
            <w:noWrap/>
            <w:vAlign w:val="center"/>
            <w:hideMark/>
          </w:tcPr>
          <w:p w:rsidR="005F572A" w:rsidRPr="00853348" w:rsidRDefault="005F572A" w:rsidP="005F572A">
            <w:pPr>
              <w:widowControl/>
              <w:autoSpaceDE/>
              <w:autoSpaceDN/>
              <w:adjustRightInd/>
              <w:jc w:val="center"/>
              <w:rPr>
                <w:sz w:val="16"/>
                <w:szCs w:val="16"/>
              </w:rPr>
            </w:pPr>
            <w:r w:rsidRPr="00853348">
              <w:rPr>
                <w:sz w:val="16"/>
                <w:szCs w:val="16"/>
              </w:rPr>
              <w:t> </w:t>
            </w:r>
          </w:p>
        </w:tc>
      </w:tr>
      <w:tr w:rsidR="005F572A" w:rsidRPr="00853348" w:rsidTr="00EB73D8">
        <w:trPr>
          <w:trHeight w:val="225"/>
          <w:jc w:val="center"/>
        </w:trPr>
        <w:tc>
          <w:tcPr>
            <w:tcW w:w="5263" w:type="dxa"/>
            <w:shd w:val="clear" w:color="auto" w:fill="auto"/>
            <w:noWrap/>
            <w:vAlign w:val="center"/>
            <w:hideMark/>
          </w:tcPr>
          <w:p w:rsidR="005F572A" w:rsidRPr="00853348" w:rsidRDefault="005F572A" w:rsidP="005F572A">
            <w:pPr>
              <w:widowControl/>
              <w:autoSpaceDE/>
              <w:autoSpaceDN/>
              <w:adjustRightInd/>
              <w:rPr>
                <w:b/>
                <w:bCs/>
                <w:i/>
                <w:iCs/>
                <w:sz w:val="16"/>
                <w:szCs w:val="16"/>
              </w:rPr>
            </w:pPr>
            <w:r w:rsidRPr="00853348">
              <w:rPr>
                <w:b/>
                <w:bCs/>
                <w:i/>
                <w:iCs/>
                <w:sz w:val="16"/>
                <w:szCs w:val="16"/>
              </w:rPr>
              <w:t>Recordkeeping Subtotal</w:t>
            </w:r>
          </w:p>
        </w:tc>
        <w:tc>
          <w:tcPr>
            <w:tcW w:w="1120" w:type="dxa"/>
            <w:shd w:val="clear" w:color="auto" w:fill="auto"/>
            <w:noWrap/>
            <w:vAlign w:val="bottom"/>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 </w:t>
            </w:r>
          </w:p>
        </w:tc>
        <w:tc>
          <w:tcPr>
            <w:tcW w:w="1060" w:type="dxa"/>
            <w:shd w:val="clear" w:color="auto" w:fill="auto"/>
            <w:noWrap/>
            <w:vAlign w:val="bottom"/>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 </w:t>
            </w:r>
          </w:p>
        </w:tc>
        <w:tc>
          <w:tcPr>
            <w:tcW w:w="1100" w:type="dxa"/>
            <w:shd w:val="clear" w:color="auto" w:fill="auto"/>
            <w:noWrap/>
            <w:vAlign w:val="bottom"/>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 </w:t>
            </w:r>
          </w:p>
        </w:tc>
        <w:tc>
          <w:tcPr>
            <w:tcW w:w="1060" w:type="dxa"/>
            <w:shd w:val="clear" w:color="auto" w:fill="auto"/>
            <w:noWrap/>
            <w:vAlign w:val="bottom"/>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 </w:t>
            </w:r>
          </w:p>
        </w:tc>
        <w:tc>
          <w:tcPr>
            <w:tcW w:w="2679" w:type="dxa"/>
            <w:gridSpan w:val="3"/>
            <w:shd w:val="clear" w:color="auto" w:fill="auto"/>
            <w:noWrap/>
            <w:vAlign w:val="bottom"/>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328</w:t>
            </w:r>
          </w:p>
        </w:tc>
        <w:tc>
          <w:tcPr>
            <w:tcW w:w="1400" w:type="dxa"/>
            <w:shd w:val="clear" w:color="auto" w:fill="auto"/>
            <w:noWrap/>
            <w:vAlign w:val="center"/>
            <w:hideMark/>
          </w:tcPr>
          <w:p w:rsidR="005F572A" w:rsidRPr="00853348" w:rsidRDefault="005F572A" w:rsidP="005F572A">
            <w:pPr>
              <w:widowControl/>
              <w:autoSpaceDE/>
              <w:autoSpaceDN/>
              <w:adjustRightInd/>
              <w:jc w:val="center"/>
              <w:rPr>
                <w:b/>
                <w:bCs/>
                <w:i/>
                <w:iCs/>
                <w:sz w:val="16"/>
                <w:szCs w:val="16"/>
              </w:rPr>
            </w:pPr>
            <w:r w:rsidRPr="00853348">
              <w:rPr>
                <w:b/>
                <w:bCs/>
                <w:i/>
                <w:iCs/>
                <w:sz w:val="16"/>
                <w:szCs w:val="16"/>
              </w:rPr>
              <w:t xml:space="preserve">$32,958.97 </w:t>
            </w:r>
          </w:p>
        </w:tc>
      </w:tr>
      <w:tr w:rsidR="005F572A" w:rsidRPr="00853348" w:rsidTr="00EB73D8">
        <w:trPr>
          <w:trHeight w:val="225"/>
          <w:jc w:val="center"/>
        </w:trPr>
        <w:tc>
          <w:tcPr>
            <w:tcW w:w="5263" w:type="dxa"/>
            <w:shd w:val="clear" w:color="auto" w:fill="auto"/>
            <w:noWrap/>
            <w:vAlign w:val="bottom"/>
            <w:hideMark/>
          </w:tcPr>
          <w:p w:rsidR="005F572A" w:rsidRPr="00853348" w:rsidRDefault="005F572A" w:rsidP="005F572A">
            <w:pPr>
              <w:widowControl/>
              <w:autoSpaceDE/>
              <w:autoSpaceDN/>
              <w:adjustRightInd/>
              <w:rPr>
                <w:b/>
                <w:bCs/>
                <w:sz w:val="16"/>
                <w:szCs w:val="16"/>
              </w:rPr>
            </w:pPr>
            <w:r w:rsidRPr="00853348">
              <w:rPr>
                <w:b/>
                <w:bCs/>
                <w:sz w:val="16"/>
                <w:szCs w:val="16"/>
              </w:rPr>
              <w:t>TOTAL ANNUAL BURDEN AND COSTS</w:t>
            </w:r>
          </w:p>
        </w:tc>
        <w:tc>
          <w:tcPr>
            <w:tcW w:w="112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r w:rsidRPr="00853348">
              <w:rPr>
                <w:b/>
                <w:bCs/>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r w:rsidRPr="00853348">
              <w:rPr>
                <w:b/>
                <w:bCs/>
                <w:sz w:val="16"/>
                <w:szCs w:val="16"/>
              </w:rPr>
              <w:t> </w:t>
            </w:r>
          </w:p>
        </w:tc>
        <w:tc>
          <w:tcPr>
            <w:tcW w:w="110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r w:rsidRPr="00853348">
              <w:rPr>
                <w:b/>
                <w:bCs/>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r w:rsidRPr="00853348">
              <w:rPr>
                <w:b/>
                <w:bCs/>
                <w:sz w:val="16"/>
                <w:szCs w:val="16"/>
              </w:rPr>
              <w:t> </w:t>
            </w:r>
          </w:p>
        </w:tc>
        <w:tc>
          <w:tcPr>
            <w:tcW w:w="2679" w:type="dxa"/>
            <w:gridSpan w:val="3"/>
            <w:shd w:val="clear" w:color="auto" w:fill="auto"/>
            <w:noWrap/>
            <w:vAlign w:val="center"/>
            <w:hideMark/>
          </w:tcPr>
          <w:p w:rsidR="005F572A" w:rsidRPr="00853348" w:rsidRDefault="005F572A" w:rsidP="00AF087C">
            <w:pPr>
              <w:widowControl/>
              <w:autoSpaceDE/>
              <w:autoSpaceDN/>
              <w:adjustRightInd/>
              <w:jc w:val="center"/>
              <w:rPr>
                <w:sz w:val="16"/>
                <w:szCs w:val="16"/>
              </w:rPr>
            </w:pPr>
            <w:r w:rsidRPr="00853348">
              <w:rPr>
                <w:sz w:val="16"/>
                <w:szCs w:val="16"/>
              </w:rPr>
              <w:t>69,</w:t>
            </w:r>
            <w:r w:rsidR="00AF087C">
              <w:rPr>
                <w:sz w:val="16"/>
                <w:szCs w:val="16"/>
              </w:rPr>
              <w:t>201.8</w:t>
            </w:r>
          </w:p>
        </w:tc>
        <w:tc>
          <w:tcPr>
            <w:tcW w:w="1400" w:type="dxa"/>
            <w:shd w:val="clear" w:color="auto" w:fill="auto"/>
            <w:noWrap/>
            <w:vAlign w:val="center"/>
            <w:hideMark/>
          </w:tcPr>
          <w:p w:rsidR="005F572A" w:rsidRPr="00853348" w:rsidRDefault="005F572A" w:rsidP="00AF087C">
            <w:pPr>
              <w:widowControl/>
              <w:autoSpaceDE/>
              <w:autoSpaceDN/>
              <w:adjustRightInd/>
              <w:jc w:val="center"/>
              <w:rPr>
                <w:sz w:val="16"/>
                <w:szCs w:val="16"/>
              </w:rPr>
            </w:pPr>
            <w:r w:rsidRPr="00853348">
              <w:rPr>
                <w:sz w:val="16"/>
                <w:szCs w:val="16"/>
              </w:rPr>
              <w:t>$6,</w:t>
            </w:r>
            <w:r w:rsidR="00AF087C" w:rsidRPr="00853348">
              <w:rPr>
                <w:sz w:val="16"/>
                <w:szCs w:val="16"/>
              </w:rPr>
              <w:t>95</w:t>
            </w:r>
            <w:r w:rsidR="00AF087C">
              <w:rPr>
                <w:sz w:val="16"/>
                <w:szCs w:val="16"/>
              </w:rPr>
              <w:t>9</w:t>
            </w:r>
            <w:r w:rsidRPr="00853348">
              <w:rPr>
                <w:sz w:val="16"/>
                <w:szCs w:val="16"/>
              </w:rPr>
              <w:t>,</w:t>
            </w:r>
            <w:r w:rsidR="00AF087C">
              <w:rPr>
                <w:sz w:val="16"/>
                <w:szCs w:val="16"/>
              </w:rPr>
              <w:t>018.85</w:t>
            </w:r>
            <w:r w:rsidRPr="00853348">
              <w:rPr>
                <w:sz w:val="16"/>
                <w:szCs w:val="16"/>
              </w:rPr>
              <w:t xml:space="preserve"> </w:t>
            </w:r>
          </w:p>
        </w:tc>
      </w:tr>
      <w:tr w:rsidR="005F572A" w:rsidRPr="00853348" w:rsidTr="00EB73D8">
        <w:trPr>
          <w:trHeight w:val="225"/>
          <w:jc w:val="center"/>
        </w:trPr>
        <w:tc>
          <w:tcPr>
            <w:tcW w:w="5263" w:type="dxa"/>
            <w:shd w:val="clear" w:color="auto" w:fill="auto"/>
            <w:noWrap/>
            <w:vAlign w:val="bottom"/>
            <w:hideMark/>
          </w:tcPr>
          <w:p w:rsidR="005F572A" w:rsidRPr="00853348" w:rsidRDefault="005F572A" w:rsidP="005F572A">
            <w:pPr>
              <w:widowControl/>
              <w:autoSpaceDE/>
              <w:autoSpaceDN/>
              <w:adjustRightInd/>
              <w:rPr>
                <w:b/>
                <w:bCs/>
                <w:sz w:val="16"/>
                <w:szCs w:val="16"/>
              </w:rPr>
            </w:pPr>
            <w:r w:rsidRPr="00853348">
              <w:rPr>
                <w:b/>
                <w:bCs/>
                <w:sz w:val="16"/>
                <w:szCs w:val="16"/>
              </w:rPr>
              <w:lastRenderedPageBreak/>
              <w:t>(rounded)</w:t>
            </w:r>
          </w:p>
        </w:tc>
        <w:tc>
          <w:tcPr>
            <w:tcW w:w="112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p>
        </w:tc>
        <w:tc>
          <w:tcPr>
            <w:tcW w:w="106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p>
        </w:tc>
        <w:tc>
          <w:tcPr>
            <w:tcW w:w="1100" w:type="dxa"/>
            <w:shd w:val="clear" w:color="auto" w:fill="auto"/>
            <w:noWrap/>
            <w:vAlign w:val="center"/>
            <w:hideMark/>
          </w:tcPr>
          <w:p w:rsidR="005F572A" w:rsidRPr="00853348" w:rsidRDefault="005F572A" w:rsidP="005F572A">
            <w:pPr>
              <w:widowControl/>
              <w:autoSpaceDE/>
              <w:autoSpaceDN/>
              <w:adjustRightInd/>
              <w:rPr>
                <w:b/>
                <w:bCs/>
                <w:sz w:val="16"/>
                <w:szCs w:val="16"/>
              </w:rPr>
            </w:pPr>
          </w:p>
        </w:tc>
        <w:tc>
          <w:tcPr>
            <w:tcW w:w="106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p>
        </w:tc>
        <w:tc>
          <w:tcPr>
            <w:tcW w:w="2679" w:type="dxa"/>
            <w:gridSpan w:val="3"/>
            <w:shd w:val="clear" w:color="auto" w:fill="auto"/>
            <w:noWrap/>
            <w:vAlign w:val="center"/>
            <w:hideMark/>
          </w:tcPr>
          <w:p w:rsidR="005F572A" w:rsidRPr="00853348" w:rsidRDefault="005F572A" w:rsidP="00AF087C">
            <w:pPr>
              <w:widowControl/>
              <w:autoSpaceDE/>
              <w:autoSpaceDN/>
              <w:adjustRightInd/>
              <w:jc w:val="center"/>
              <w:rPr>
                <w:b/>
                <w:bCs/>
                <w:sz w:val="16"/>
                <w:szCs w:val="16"/>
              </w:rPr>
            </w:pPr>
            <w:r w:rsidRPr="00853348">
              <w:rPr>
                <w:b/>
                <w:bCs/>
                <w:sz w:val="16"/>
                <w:szCs w:val="16"/>
              </w:rPr>
              <w:t>69,</w:t>
            </w:r>
            <w:r w:rsidR="00AF087C">
              <w:rPr>
                <w:b/>
                <w:bCs/>
                <w:sz w:val="16"/>
                <w:szCs w:val="16"/>
              </w:rPr>
              <w:t>200</w:t>
            </w:r>
          </w:p>
        </w:tc>
        <w:tc>
          <w:tcPr>
            <w:tcW w:w="1400" w:type="dxa"/>
            <w:shd w:val="clear" w:color="auto" w:fill="auto"/>
            <w:noWrap/>
            <w:vAlign w:val="center"/>
            <w:hideMark/>
          </w:tcPr>
          <w:p w:rsidR="005F572A" w:rsidRPr="00853348" w:rsidRDefault="005F572A" w:rsidP="00AF087C">
            <w:pPr>
              <w:widowControl/>
              <w:autoSpaceDE/>
              <w:autoSpaceDN/>
              <w:adjustRightInd/>
              <w:jc w:val="center"/>
              <w:rPr>
                <w:b/>
                <w:bCs/>
                <w:sz w:val="16"/>
                <w:szCs w:val="16"/>
              </w:rPr>
            </w:pPr>
            <w:r w:rsidRPr="00853348">
              <w:rPr>
                <w:b/>
                <w:bCs/>
                <w:sz w:val="16"/>
                <w:szCs w:val="16"/>
              </w:rPr>
              <w:t>$6,</w:t>
            </w:r>
            <w:r w:rsidR="00AF087C" w:rsidRPr="00853348">
              <w:rPr>
                <w:b/>
                <w:bCs/>
                <w:sz w:val="16"/>
                <w:szCs w:val="16"/>
              </w:rPr>
              <w:t>9</w:t>
            </w:r>
            <w:r w:rsidR="00AF087C">
              <w:rPr>
                <w:b/>
                <w:bCs/>
                <w:sz w:val="16"/>
                <w:szCs w:val="16"/>
              </w:rPr>
              <w:t>60,000</w:t>
            </w:r>
          </w:p>
        </w:tc>
      </w:tr>
      <w:tr w:rsidR="005F572A" w:rsidRPr="00853348" w:rsidTr="00EB73D8">
        <w:trPr>
          <w:trHeight w:val="225"/>
          <w:jc w:val="center"/>
        </w:trPr>
        <w:tc>
          <w:tcPr>
            <w:tcW w:w="5263" w:type="dxa"/>
            <w:shd w:val="clear" w:color="auto" w:fill="auto"/>
            <w:noWrap/>
            <w:vAlign w:val="bottom"/>
            <w:hideMark/>
          </w:tcPr>
          <w:p w:rsidR="005F572A" w:rsidRPr="00853348" w:rsidRDefault="005F572A" w:rsidP="005F572A">
            <w:pPr>
              <w:widowControl/>
              <w:autoSpaceDE/>
              <w:autoSpaceDN/>
              <w:adjustRightInd/>
              <w:rPr>
                <w:b/>
                <w:bCs/>
                <w:sz w:val="16"/>
                <w:szCs w:val="16"/>
              </w:rPr>
            </w:pPr>
            <w:r w:rsidRPr="00853348">
              <w:rPr>
                <w:b/>
                <w:bCs/>
                <w:sz w:val="16"/>
                <w:szCs w:val="16"/>
              </w:rPr>
              <w:t>Capital and O&amp;M Cost (see Section 6(b)(iii)):</w:t>
            </w:r>
          </w:p>
        </w:tc>
        <w:tc>
          <w:tcPr>
            <w:tcW w:w="112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p>
        </w:tc>
        <w:tc>
          <w:tcPr>
            <w:tcW w:w="106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p>
        </w:tc>
        <w:tc>
          <w:tcPr>
            <w:tcW w:w="1100" w:type="dxa"/>
            <w:shd w:val="clear" w:color="auto" w:fill="auto"/>
            <w:noWrap/>
            <w:vAlign w:val="center"/>
            <w:hideMark/>
          </w:tcPr>
          <w:p w:rsidR="005F572A" w:rsidRPr="00853348" w:rsidRDefault="005F572A" w:rsidP="005F572A">
            <w:pPr>
              <w:widowControl/>
              <w:autoSpaceDE/>
              <w:autoSpaceDN/>
              <w:adjustRightInd/>
              <w:rPr>
                <w:b/>
                <w:bCs/>
                <w:sz w:val="16"/>
                <w:szCs w:val="16"/>
              </w:rPr>
            </w:pPr>
          </w:p>
        </w:tc>
        <w:tc>
          <w:tcPr>
            <w:tcW w:w="106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p>
        </w:tc>
        <w:tc>
          <w:tcPr>
            <w:tcW w:w="847"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p>
        </w:tc>
        <w:tc>
          <w:tcPr>
            <w:tcW w:w="1052"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p>
        </w:tc>
        <w:tc>
          <w:tcPr>
            <w:tcW w:w="78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p>
        </w:tc>
        <w:tc>
          <w:tcPr>
            <w:tcW w:w="1400" w:type="dxa"/>
            <w:shd w:val="clear" w:color="auto" w:fill="auto"/>
            <w:noWrap/>
            <w:vAlign w:val="center"/>
            <w:hideMark/>
          </w:tcPr>
          <w:p w:rsidR="005F572A" w:rsidRPr="00853348" w:rsidRDefault="005F572A" w:rsidP="00DC0941">
            <w:pPr>
              <w:widowControl/>
              <w:autoSpaceDE/>
              <w:autoSpaceDN/>
              <w:adjustRightInd/>
              <w:jc w:val="center"/>
              <w:rPr>
                <w:sz w:val="16"/>
                <w:szCs w:val="16"/>
              </w:rPr>
            </w:pPr>
            <w:r w:rsidRPr="00853348">
              <w:rPr>
                <w:sz w:val="16"/>
                <w:szCs w:val="16"/>
              </w:rPr>
              <w:t>$806,</w:t>
            </w:r>
            <w:r w:rsidR="00DC0941">
              <w:rPr>
                <w:sz w:val="16"/>
                <w:szCs w:val="16"/>
              </w:rPr>
              <w:t>000</w:t>
            </w:r>
          </w:p>
        </w:tc>
      </w:tr>
      <w:tr w:rsidR="005F572A" w:rsidRPr="00853348" w:rsidTr="00EB73D8">
        <w:trPr>
          <w:trHeight w:val="240"/>
          <w:jc w:val="center"/>
        </w:trPr>
        <w:tc>
          <w:tcPr>
            <w:tcW w:w="5263" w:type="dxa"/>
            <w:shd w:val="clear" w:color="auto" w:fill="auto"/>
            <w:noWrap/>
            <w:vAlign w:val="bottom"/>
            <w:hideMark/>
          </w:tcPr>
          <w:p w:rsidR="005F572A" w:rsidRPr="00853348" w:rsidRDefault="005F572A" w:rsidP="005F572A">
            <w:pPr>
              <w:widowControl/>
              <w:autoSpaceDE/>
              <w:autoSpaceDN/>
              <w:adjustRightInd/>
              <w:rPr>
                <w:b/>
                <w:bCs/>
                <w:sz w:val="16"/>
                <w:szCs w:val="16"/>
              </w:rPr>
            </w:pPr>
            <w:r w:rsidRPr="00853348">
              <w:rPr>
                <w:b/>
                <w:bCs/>
                <w:sz w:val="16"/>
                <w:szCs w:val="16"/>
              </w:rPr>
              <w:t xml:space="preserve">TOTAL COST: </w:t>
            </w:r>
          </w:p>
        </w:tc>
        <w:tc>
          <w:tcPr>
            <w:tcW w:w="112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r w:rsidRPr="00853348">
              <w:rPr>
                <w:b/>
                <w:bCs/>
                <w:sz w:val="16"/>
                <w:szCs w:val="16"/>
              </w:rPr>
              <w:t> </w:t>
            </w:r>
          </w:p>
        </w:tc>
        <w:tc>
          <w:tcPr>
            <w:tcW w:w="106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r w:rsidRPr="00853348">
              <w:rPr>
                <w:b/>
                <w:bCs/>
                <w:sz w:val="16"/>
                <w:szCs w:val="16"/>
              </w:rPr>
              <w:t> </w:t>
            </w:r>
          </w:p>
        </w:tc>
        <w:tc>
          <w:tcPr>
            <w:tcW w:w="4059" w:type="dxa"/>
            <w:gridSpan w:val="4"/>
            <w:shd w:val="clear" w:color="auto" w:fill="auto"/>
            <w:noWrap/>
            <w:vAlign w:val="center"/>
            <w:hideMark/>
          </w:tcPr>
          <w:p w:rsidR="005F572A" w:rsidRPr="00853348" w:rsidRDefault="005F572A" w:rsidP="005F572A">
            <w:pPr>
              <w:widowControl/>
              <w:autoSpaceDE/>
              <w:autoSpaceDN/>
              <w:adjustRightInd/>
              <w:rPr>
                <w:b/>
                <w:bCs/>
                <w:sz w:val="16"/>
                <w:szCs w:val="16"/>
              </w:rPr>
            </w:pPr>
            <w:r w:rsidRPr="00853348">
              <w:rPr>
                <w:b/>
                <w:bCs/>
                <w:sz w:val="16"/>
                <w:szCs w:val="16"/>
              </w:rPr>
              <w:t> </w:t>
            </w:r>
          </w:p>
        </w:tc>
        <w:tc>
          <w:tcPr>
            <w:tcW w:w="780" w:type="dxa"/>
            <w:shd w:val="clear" w:color="auto" w:fill="auto"/>
            <w:noWrap/>
            <w:vAlign w:val="center"/>
            <w:hideMark/>
          </w:tcPr>
          <w:p w:rsidR="005F572A" w:rsidRPr="00853348" w:rsidRDefault="005F572A" w:rsidP="005F572A">
            <w:pPr>
              <w:widowControl/>
              <w:autoSpaceDE/>
              <w:autoSpaceDN/>
              <w:adjustRightInd/>
              <w:jc w:val="center"/>
              <w:rPr>
                <w:b/>
                <w:bCs/>
                <w:sz w:val="16"/>
                <w:szCs w:val="16"/>
              </w:rPr>
            </w:pPr>
            <w:r w:rsidRPr="00853348">
              <w:rPr>
                <w:b/>
                <w:bCs/>
                <w:sz w:val="16"/>
                <w:szCs w:val="16"/>
              </w:rPr>
              <w:t> </w:t>
            </w:r>
          </w:p>
        </w:tc>
        <w:tc>
          <w:tcPr>
            <w:tcW w:w="1400" w:type="dxa"/>
            <w:shd w:val="clear" w:color="auto" w:fill="auto"/>
            <w:noWrap/>
            <w:vAlign w:val="center"/>
            <w:hideMark/>
          </w:tcPr>
          <w:p w:rsidR="005F572A" w:rsidRPr="00853348" w:rsidRDefault="005F572A" w:rsidP="00AF087C">
            <w:pPr>
              <w:widowControl/>
              <w:autoSpaceDE/>
              <w:autoSpaceDN/>
              <w:adjustRightInd/>
              <w:jc w:val="center"/>
              <w:rPr>
                <w:b/>
                <w:bCs/>
                <w:sz w:val="16"/>
                <w:szCs w:val="16"/>
              </w:rPr>
            </w:pPr>
            <w:r w:rsidRPr="00853348">
              <w:rPr>
                <w:b/>
                <w:bCs/>
                <w:sz w:val="16"/>
                <w:szCs w:val="16"/>
              </w:rPr>
              <w:t>$7,7</w:t>
            </w:r>
            <w:r w:rsidR="00AF087C">
              <w:rPr>
                <w:b/>
                <w:bCs/>
                <w:sz w:val="16"/>
                <w:szCs w:val="16"/>
              </w:rPr>
              <w:t>70,000</w:t>
            </w:r>
          </w:p>
        </w:tc>
      </w:tr>
    </w:tbl>
    <w:p w:rsidR="00CA7A8D" w:rsidRPr="009A79AB" w:rsidRDefault="00AF087C">
      <w:pPr>
        <w:outlineLvl w:val="0"/>
        <w:rPr>
          <w:bCs/>
          <w:color w:val="000000"/>
          <w:sz w:val="20"/>
          <w:szCs w:val="20"/>
        </w:rPr>
      </w:pPr>
      <w:r>
        <w:rPr>
          <w:b/>
          <w:bCs/>
          <w:color w:val="000000"/>
          <w:sz w:val="20"/>
          <w:szCs w:val="20"/>
        </w:rPr>
        <w:t xml:space="preserve">Note: </w:t>
      </w:r>
      <w:r>
        <w:rPr>
          <w:bCs/>
          <w:color w:val="000000"/>
          <w:sz w:val="20"/>
          <w:szCs w:val="20"/>
        </w:rPr>
        <w:t xml:space="preserve">Totals have been rounded to 3 significant digits. Figures may not add exactly due to rounding. </w:t>
      </w:r>
    </w:p>
    <w:tbl>
      <w:tblPr>
        <w:tblW w:w="5005" w:type="pct"/>
        <w:tblLook w:val="04A0" w:firstRow="1" w:lastRow="0" w:firstColumn="1" w:lastColumn="0" w:noHBand="0" w:noVBand="1"/>
      </w:tblPr>
      <w:tblGrid>
        <w:gridCol w:w="296"/>
        <w:gridCol w:w="9811"/>
        <w:gridCol w:w="2113"/>
        <w:gridCol w:w="223"/>
        <w:gridCol w:w="223"/>
        <w:gridCol w:w="227"/>
        <w:gridCol w:w="16"/>
        <w:gridCol w:w="208"/>
        <w:gridCol w:w="15"/>
        <w:gridCol w:w="207"/>
        <w:gridCol w:w="15"/>
        <w:gridCol w:w="207"/>
        <w:gridCol w:w="15"/>
        <w:gridCol w:w="207"/>
        <w:gridCol w:w="15"/>
        <w:gridCol w:w="207"/>
        <w:gridCol w:w="15"/>
      </w:tblGrid>
      <w:tr w:rsidR="00AF087C" w:rsidRPr="00EB73D8" w:rsidTr="00AF087C">
        <w:trPr>
          <w:trHeight w:val="300"/>
        </w:trPr>
        <w:tc>
          <w:tcPr>
            <w:tcW w:w="355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r w:rsidRPr="00EB73D8">
              <w:rPr>
                <w:sz w:val="16"/>
                <w:szCs w:val="16"/>
              </w:rPr>
              <w:t>FOOTNOTES</w:t>
            </w:r>
          </w:p>
        </w:tc>
        <w:tc>
          <w:tcPr>
            <w:tcW w:w="742"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84"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11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r w:rsidR="00AF087C" w:rsidRPr="00EB73D8" w:rsidTr="009A79AB">
        <w:trPr>
          <w:trHeight w:val="300"/>
        </w:trPr>
        <w:tc>
          <w:tcPr>
            <w:tcW w:w="10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right"/>
              <w:rPr>
                <w:sz w:val="16"/>
                <w:szCs w:val="16"/>
              </w:rPr>
            </w:pPr>
            <w:r w:rsidRPr="00EB73D8">
              <w:rPr>
                <w:sz w:val="16"/>
                <w:szCs w:val="16"/>
                <w:vertAlign w:val="superscript"/>
              </w:rPr>
              <w:t>a</w:t>
            </w:r>
          </w:p>
        </w:tc>
        <w:tc>
          <w:tcPr>
            <w:tcW w:w="3445"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r w:rsidRPr="00EB73D8">
              <w:rPr>
                <w:sz w:val="16"/>
                <w:szCs w:val="16"/>
              </w:rPr>
              <w:t>One-time only costs.</w:t>
            </w:r>
          </w:p>
        </w:tc>
        <w:tc>
          <w:tcPr>
            <w:tcW w:w="742"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8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84"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11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r w:rsidR="00AF087C" w:rsidRPr="00EB73D8" w:rsidTr="009A79AB">
        <w:trPr>
          <w:trHeight w:val="300"/>
        </w:trPr>
        <w:tc>
          <w:tcPr>
            <w:tcW w:w="10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right"/>
              <w:rPr>
                <w:sz w:val="16"/>
                <w:szCs w:val="16"/>
              </w:rPr>
            </w:pPr>
            <w:r w:rsidRPr="00EB73D8">
              <w:rPr>
                <w:sz w:val="16"/>
                <w:szCs w:val="16"/>
                <w:vertAlign w:val="superscript"/>
              </w:rPr>
              <w:t>b</w:t>
            </w:r>
          </w:p>
        </w:tc>
        <w:tc>
          <w:tcPr>
            <w:tcW w:w="3445"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r w:rsidRPr="00EB73D8">
              <w:rPr>
                <w:sz w:val="16"/>
                <w:szCs w:val="16"/>
              </w:rPr>
              <w:t>Cost incurred by a facility regardless of the number of affected units at the plant.</w:t>
            </w:r>
          </w:p>
        </w:tc>
        <w:tc>
          <w:tcPr>
            <w:tcW w:w="742"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8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84"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11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r w:rsidR="00AF087C" w:rsidRPr="00EB73D8" w:rsidTr="009A79AB">
        <w:trPr>
          <w:trHeight w:val="300"/>
        </w:trPr>
        <w:tc>
          <w:tcPr>
            <w:tcW w:w="10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right"/>
              <w:rPr>
                <w:sz w:val="16"/>
                <w:szCs w:val="16"/>
              </w:rPr>
            </w:pPr>
            <w:r w:rsidRPr="00EB73D8">
              <w:rPr>
                <w:sz w:val="16"/>
                <w:szCs w:val="16"/>
                <w:vertAlign w:val="superscript"/>
              </w:rPr>
              <w:t>c</w:t>
            </w:r>
          </w:p>
        </w:tc>
        <w:tc>
          <w:tcPr>
            <w:tcW w:w="3445"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r w:rsidRPr="00EB73D8">
              <w:rPr>
                <w:sz w:val="16"/>
                <w:szCs w:val="16"/>
              </w:rPr>
              <w:t>3 area sources in affected source category</w:t>
            </w:r>
          </w:p>
        </w:tc>
        <w:tc>
          <w:tcPr>
            <w:tcW w:w="742"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8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84"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p>
        </w:tc>
        <w:tc>
          <w:tcPr>
            <w:tcW w:w="11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r w:rsidR="00AF087C" w:rsidRPr="00EB73D8" w:rsidTr="009A79AB">
        <w:trPr>
          <w:gridAfter w:val="1"/>
          <w:wAfter w:w="5" w:type="pct"/>
          <w:trHeight w:val="780"/>
        </w:trPr>
        <w:tc>
          <w:tcPr>
            <w:tcW w:w="109" w:type="pct"/>
            <w:tcBorders>
              <w:top w:val="nil"/>
              <w:left w:val="nil"/>
              <w:bottom w:val="nil"/>
              <w:right w:val="nil"/>
            </w:tcBorders>
            <w:shd w:val="clear" w:color="auto" w:fill="auto"/>
            <w:noWrap/>
            <w:hideMark/>
          </w:tcPr>
          <w:p w:rsidR="00AC0105" w:rsidRPr="00EB73D8" w:rsidRDefault="00AC0105" w:rsidP="00AC0105">
            <w:pPr>
              <w:widowControl/>
              <w:autoSpaceDE/>
              <w:autoSpaceDN/>
              <w:adjustRightInd/>
              <w:jc w:val="right"/>
              <w:rPr>
                <w:sz w:val="16"/>
                <w:szCs w:val="16"/>
              </w:rPr>
            </w:pPr>
            <w:r w:rsidRPr="00EB73D8">
              <w:rPr>
                <w:sz w:val="16"/>
                <w:szCs w:val="16"/>
                <w:vertAlign w:val="superscript"/>
              </w:rPr>
              <w:t>d</w:t>
            </w:r>
          </w:p>
        </w:tc>
        <w:tc>
          <w:tcPr>
            <w:tcW w:w="4803" w:type="pct"/>
            <w:gridSpan w:val="13"/>
            <w:tcBorders>
              <w:top w:val="nil"/>
              <w:left w:val="nil"/>
              <w:bottom w:val="nil"/>
              <w:right w:val="nil"/>
            </w:tcBorders>
            <w:shd w:val="clear" w:color="auto" w:fill="auto"/>
            <w:hideMark/>
          </w:tcPr>
          <w:p w:rsidR="00AC0105" w:rsidRPr="00EB73D8" w:rsidRDefault="00AC0105" w:rsidP="00AC0105">
            <w:pPr>
              <w:widowControl/>
              <w:autoSpaceDE/>
              <w:autoSpaceDN/>
              <w:adjustRightInd/>
              <w:rPr>
                <w:sz w:val="16"/>
                <w:szCs w:val="16"/>
              </w:rPr>
            </w:pPr>
            <w:r w:rsidRPr="00EB73D8">
              <w:rPr>
                <w:sz w:val="16"/>
                <w:szCs w:val="16"/>
              </w:rPr>
              <w:t xml:space="preserve">Per </w:t>
            </w:r>
            <w:r w:rsidR="005F572A" w:rsidRPr="00EB73D8">
              <w:rPr>
                <w:sz w:val="16"/>
                <w:szCs w:val="16"/>
              </w:rPr>
              <w:t>the Vinyl Institute (</w:t>
            </w:r>
            <w:r w:rsidRPr="00EB73D8">
              <w:rPr>
                <w:sz w:val="16"/>
                <w:szCs w:val="16"/>
              </w:rPr>
              <w:t>VI</w:t>
            </w:r>
            <w:r w:rsidR="005F572A" w:rsidRPr="00EB73D8">
              <w:rPr>
                <w:sz w:val="16"/>
                <w:szCs w:val="16"/>
              </w:rPr>
              <w:t>)</w:t>
            </w:r>
            <w:r w:rsidRPr="00EB73D8">
              <w:rPr>
                <w:sz w:val="16"/>
                <w:szCs w:val="16"/>
              </w:rPr>
              <w:t xml:space="preserve">, it is assumed that performance testing for process vents will take 120 hours per occurrence initially.  The initial compliance and operating procedure development for continuous compliance and will take 8 hours.  The daily monitoring of parameters wil take 5 min per record with 112 records a day across 33 devices in the industry.  There are 3 area source and 15 major source subject to this requirement.  Therefore, the continous/daily monitoring wil take on avg 17.1 hr per facility per day over 350 day/yr. </w:t>
            </w: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r w:rsidR="00AF087C" w:rsidRPr="00EB73D8" w:rsidTr="009A79AB">
        <w:trPr>
          <w:gridAfter w:val="1"/>
          <w:wAfter w:w="5" w:type="pct"/>
          <w:trHeight w:val="450"/>
        </w:trPr>
        <w:tc>
          <w:tcPr>
            <w:tcW w:w="109" w:type="pct"/>
            <w:tcBorders>
              <w:top w:val="nil"/>
              <w:left w:val="nil"/>
              <w:bottom w:val="nil"/>
              <w:right w:val="nil"/>
            </w:tcBorders>
            <w:shd w:val="clear" w:color="auto" w:fill="auto"/>
            <w:noWrap/>
            <w:hideMark/>
          </w:tcPr>
          <w:p w:rsidR="00AC0105" w:rsidRPr="00EB73D8" w:rsidRDefault="00AC0105" w:rsidP="00AC0105">
            <w:pPr>
              <w:widowControl/>
              <w:autoSpaceDE/>
              <w:autoSpaceDN/>
              <w:adjustRightInd/>
              <w:jc w:val="right"/>
              <w:rPr>
                <w:sz w:val="16"/>
                <w:szCs w:val="16"/>
              </w:rPr>
            </w:pPr>
            <w:r w:rsidRPr="00EB73D8">
              <w:rPr>
                <w:sz w:val="16"/>
                <w:szCs w:val="16"/>
                <w:vertAlign w:val="superscript"/>
              </w:rPr>
              <w:t>e</w:t>
            </w:r>
          </w:p>
        </w:tc>
        <w:tc>
          <w:tcPr>
            <w:tcW w:w="4803" w:type="pct"/>
            <w:gridSpan w:val="13"/>
            <w:tcBorders>
              <w:top w:val="nil"/>
              <w:left w:val="nil"/>
              <w:bottom w:val="nil"/>
              <w:right w:val="nil"/>
            </w:tcBorders>
            <w:shd w:val="clear" w:color="auto" w:fill="auto"/>
            <w:hideMark/>
          </w:tcPr>
          <w:p w:rsidR="00AC0105" w:rsidRPr="00EB73D8" w:rsidRDefault="00AC0105" w:rsidP="00AC0105">
            <w:pPr>
              <w:widowControl/>
              <w:autoSpaceDE/>
              <w:autoSpaceDN/>
              <w:adjustRightInd/>
              <w:rPr>
                <w:sz w:val="16"/>
                <w:szCs w:val="16"/>
              </w:rPr>
            </w:pPr>
            <w:r w:rsidRPr="00EB73D8">
              <w:rPr>
                <w:sz w:val="16"/>
                <w:szCs w:val="16"/>
              </w:rPr>
              <w:t>Per VI, it is assumed that performance testing for process vents will take 4 hours per sample for 9 samples per facility, initially and daily (350 days per year). See continuous monthly sampling &amp; testing of Non-VC TOHAP in O&amp;M section.</w:t>
            </w: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r w:rsidR="00AF087C" w:rsidRPr="00EB73D8" w:rsidTr="009A79AB">
        <w:trPr>
          <w:gridAfter w:val="1"/>
          <w:wAfter w:w="5" w:type="pct"/>
          <w:trHeight w:val="510"/>
        </w:trPr>
        <w:tc>
          <w:tcPr>
            <w:tcW w:w="109" w:type="pct"/>
            <w:tcBorders>
              <w:top w:val="nil"/>
              <w:left w:val="nil"/>
              <w:bottom w:val="nil"/>
              <w:right w:val="nil"/>
            </w:tcBorders>
            <w:shd w:val="clear" w:color="auto" w:fill="auto"/>
            <w:noWrap/>
            <w:hideMark/>
          </w:tcPr>
          <w:p w:rsidR="00AC0105" w:rsidRPr="00EB73D8" w:rsidRDefault="00AC0105" w:rsidP="00AC0105">
            <w:pPr>
              <w:widowControl/>
              <w:autoSpaceDE/>
              <w:autoSpaceDN/>
              <w:adjustRightInd/>
              <w:jc w:val="right"/>
              <w:rPr>
                <w:sz w:val="16"/>
                <w:szCs w:val="16"/>
              </w:rPr>
            </w:pPr>
            <w:r w:rsidRPr="00EB73D8">
              <w:rPr>
                <w:sz w:val="16"/>
                <w:szCs w:val="16"/>
                <w:vertAlign w:val="superscript"/>
              </w:rPr>
              <w:t>f</w:t>
            </w:r>
          </w:p>
        </w:tc>
        <w:tc>
          <w:tcPr>
            <w:tcW w:w="4803" w:type="pct"/>
            <w:gridSpan w:val="13"/>
            <w:tcBorders>
              <w:top w:val="nil"/>
              <w:left w:val="nil"/>
              <w:bottom w:val="nil"/>
              <w:right w:val="nil"/>
            </w:tcBorders>
            <w:shd w:val="clear" w:color="auto" w:fill="auto"/>
            <w:hideMark/>
          </w:tcPr>
          <w:p w:rsidR="00AC0105" w:rsidRPr="00EB73D8" w:rsidRDefault="00AC0105" w:rsidP="00AC0105">
            <w:pPr>
              <w:widowControl/>
              <w:autoSpaceDE/>
              <w:autoSpaceDN/>
              <w:adjustRightInd/>
              <w:rPr>
                <w:sz w:val="16"/>
                <w:szCs w:val="16"/>
              </w:rPr>
            </w:pPr>
            <w:r w:rsidRPr="00EB73D8">
              <w:rPr>
                <w:sz w:val="16"/>
                <w:szCs w:val="16"/>
              </w:rPr>
              <w:t>Estimated 1 uncontrolled stream and 1 wastewater stripper per facility. 1 wastewater stripper outlet is expected to require monthly testing;  5 uncontrolled stream will require annual testing (per facility).  Per VI, it will take 4 hours per sample for 2 samples per stream.</w:t>
            </w: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r w:rsidR="00AF087C" w:rsidRPr="00EB73D8" w:rsidTr="00AF087C">
        <w:trPr>
          <w:gridAfter w:val="1"/>
          <w:wAfter w:w="5" w:type="pct"/>
          <w:trHeight w:val="300"/>
        </w:trPr>
        <w:tc>
          <w:tcPr>
            <w:tcW w:w="10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right"/>
              <w:rPr>
                <w:sz w:val="16"/>
                <w:szCs w:val="16"/>
              </w:rPr>
            </w:pPr>
            <w:r w:rsidRPr="00EB73D8">
              <w:rPr>
                <w:sz w:val="16"/>
                <w:szCs w:val="16"/>
                <w:vertAlign w:val="superscript"/>
              </w:rPr>
              <w:t>g</w:t>
            </w:r>
          </w:p>
        </w:tc>
        <w:tc>
          <w:tcPr>
            <w:tcW w:w="4468" w:type="pct"/>
            <w:gridSpan w:val="5"/>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rPr>
                <w:sz w:val="16"/>
                <w:szCs w:val="16"/>
              </w:rPr>
            </w:pPr>
            <w:r w:rsidRPr="00EB73D8">
              <w:rPr>
                <w:sz w:val="16"/>
                <w:szCs w:val="16"/>
              </w:rPr>
              <w:t xml:space="preserve">Per VI, it is assumed that performance testing on heat exchangers will take 4 hours per sample for 2 samples per facility, initially and monthly. </w:t>
            </w: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r w:rsidR="00AC0105" w:rsidRPr="00EB73D8" w:rsidTr="009A79AB">
        <w:trPr>
          <w:gridAfter w:val="1"/>
          <w:wAfter w:w="5" w:type="pct"/>
          <w:trHeight w:val="240"/>
        </w:trPr>
        <w:tc>
          <w:tcPr>
            <w:tcW w:w="10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right"/>
              <w:rPr>
                <w:sz w:val="16"/>
                <w:szCs w:val="16"/>
              </w:rPr>
            </w:pPr>
            <w:r w:rsidRPr="00EB73D8">
              <w:rPr>
                <w:sz w:val="16"/>
                <w:szCs w:val="16"/>
                <w:vertAlign w:val="superscript"/>
              </w:rPr>
              <w:t>h</w:t>
            </w:r>
          </w:p>
        </w:tc>
        <w:tc>
          <w:tcPr>
            <w:tcW w:w="4886" w:type="pct"/>
            <w:gridSpan w:val="15"/>
            <w:vMerge w:val="restart"/>
            <w:tcBorders>
              <w:top w:val="nil"/>
              <w:left w:val="nil"/>
              <w:bottom w:val="nil"/>
              <w:right w:val="nil"/>
            </w:tcBorders>
            <w:shd w:val="clear" w:color="auto" w:fill="auto"/>
            <w:vAlign w:val="center"/>
            <w:hideMark/>
          </w:tcPr>
          <w:p w:rsidR="00AC0105" w:rsidRPr="00EB73D8" w:rsidRDefault="00AC0105" w:rsidP="00AC0105">
            <w:pPr>
              <w:widowControl/>
              <w:autoSpaceDE/>
              <w:autoSpaceDN/>
              <w:adjustRightInd/>
              <w:rPr>
                <w:sz w:val="16"/>
                <w:szCs w:val="16"/>
              </w:rPr>
            </w:pPr>
            <w:r w:rsidRPr="00EB73D8">
              <w:rPr>
                <w:sz w:val="16"/>
                <w:szCs w:val="16"/>
              </w:rPr>
              <w:t xml:space="preserve">For Equipment leaks, VI estimates approx 10,000 components per facility and 5 minutes per component, plus additional time calibration of analytical device for a total of 850 hr per facility.  For continuous monitoring, VI assumes 1 hr is required per component for leak repair, if detected.  It was assumed that overall continuous compliace of leak monitoring will take 5% of the time with initial monitoring per month. </w:t>
            </w:r>
          </w:p>
        </w:tc>
      </w:tr>
      <w:tr w:rsidR="00AC0105" w:rsidRPr="00EB73D8" w:rsidTr="009A79AB">
        <w:trPr>
          <w:gridAfter w:val="1"/>
          <w:wAfter w:w="5" w:type="pct"/>
          <w:trHeight w:val="300"/>
        </w:trPr>
        <w:tc>
          <w:tcPr>
            <w:tcW w:w="10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right"/>
              <w:rPr>
                <w:sz w:val="16"/>
                <w:szCs w:val="16"/>
              </w:rPr>
            </w:pPr>
          </w:p>
        </w:tc>
        <w:tc>
          <w:tcPr>
            <w:tcW w:w="4886" w:type="pct"/>
            <w:gridSpan w:val="15"/>
            <w:vMerge/>
            <w:tcBorders>
              <w:top w:val="nil"/>
              <w:left w:val="nil"/>
              <w:bottom w:val="nil"/>
              <w:right w:val="nil"/>
            </w:tcBorders>
            <w:vAlign w:val="center"/>
            <w:hideMark/>
          </w:tcPr>
          <w:p w:rsidR="00AC0105" w:rsidRPr="00EB73D8" w:rsidRDefault="00AC0105" w:rsidP="00AC0105">
            <w:pPr>
              <w:widowControl/>
              <w:autoSpaceDE/>
              <w:autoSpaceDN/>
              <w:adjustRightInd/>
              <w:rPr>
                <w:sz w:val="16"/>
                <w:szCs w:val="16"/>
              </w:rPr>
            </w:pPr>
          </w:p>
        </w:tc>
      </w:tr>
      <w:tr w:rsidR="00AF087C" w:rsidRPr="00EB73D8" w:rsidTr="009A79AB">
        <w:trPr>
          <w:gridAfter w:val="1"/>
          <w:wAfter w:w="5" w:type="pct"/>
          <w:trHeight w:val="435"/>
        </w:trPr>
        <w:tc>
          <w:tcPr>
            <w:tcW w:w="109" w:type="pct"/>
            <w:tcBorders>
              <w:top w:val="nil"/>
              <w:left w:val="nil"/>
              <w:bottom w:val="nil"/>
              <w:right w:val="nil"/>
            </w:tcBorders>
            <w:shd w:val="clear" w:color="auto" w:fill="auto"/>
            <w:noWrap/>
            <w:hideMark/>
          </w:tcPr>
          <w:p w:rsidR="00AC0105" w:rsidRPr="00EB73D8" w:rsidRDefault="005F572A" w:rsidP="00AC0105">
            <w:pPr>
              <w:widowControl/>
              <w:autoSpaceDE/>
              <w:autoSpaceDN/>
              <w:adjustRightInd/>
              <w:jc w:val="right"/>
              <w:rPr>
                <w:sz w:val="16"/>
                <w:szCs w:val="16"/>
              </w:rPr>
            </w:pPr>
            <w:r w:rsidRPr="00EB73D8">
              <w:rPr>
                <w:sz w:val="16"/>
                <w:szCs w:val="16"/>
                <w:vertAlign w:val="superscript"/>
              </w:rPr>
              <w:t>i</w:t>
            </w:r>
          </w:p>
        </w:tc>
        <w:tc>
          <w:tcPr>
            <w:tcW w:w="4803" w:type="pct"/>
            <w:gridSpan w:val="13"/>
            <w:tcBorders>
              <w:top w:val="nil"/>
              <w:left w:val="nil"/>
              <w:bottom w:val="nil"/>
              <w:right w:val="nil"/>
            </w:tcBorders>
            <w:shd w:val="clear" w:color="auto" w:fill="auto"/>
            <w:hideMark/>
          </w:tcPr>
          <w:p w:rsidR="00AC0105" w:rsidRPr="00EB73D8" w:rsidRDefault="00AC0105" w:rsidP="00AC0105">
            <w:pPr>
              <w:widowControl/>
              <w:autoSpaceDE/>
              <w:autoSpaceDN/>
              <w:adjustRightInd/>
              <w:rPr>
                <w:sz w:val="16"/>
                <w:szCs w:val="16"/>
              </w:rPr>
            </w:pPr>
            <w:r w:rsidRPr="00EB73D8">
              <w:rPr>
                <w:sz w:val="16"/>
                <w:szCs w:val="16"/>
              </w:rPr>
              <w:t>Per VI, the initial performance testing for pressure relieft devices (PRD), would take 524 hours per facility.  Periodically, corrective action for discharge from a PRD would take 24 hours.  It is estimated that 27% of the respondents would experience discharge from a PRD each year.</w:t>
            </w: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r w:rsidR="00AF087C" w:rsidRPr="00EB73D8" w:rsidTr="009A79AB">
        <w:trPr>
          <w:trHeight w:val="225"/>
        </w:trPr>
        <w:tc>
          <w:tcPr>
            <w:tcW w:w="109" w:type="pct"/>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jc w:val="right"/>
              <w:rPr>
                <w:sz w:val="16"/>
                <w:szCs w:val="16"/>
              </w:rPr>
            </w:pPr>
            <w:r w:rsidRPr="00EB73D8">
              <w:rPr>
                <w:sz w:val="16"/>
                <w:szCs w:val="16"/>
              </w:rPr>
              <w:t>j</w:t>
            </w:r>
          </w:p>
        </w:tc>
        <w:tc>
          <w:tcPr>
            <w:tcW w:w="4187" w:type="pct"/>
            <w:gridSpan w:val="2"/>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rPr>
                <w:sz w:val="16"/>
                <w:szCs w:val="16"/>
              </w:rPr>
            </w:pPr>
            <w:r w:rsidRPr="00EB73D8">
              <w:rPr>
                <w:sz w:val="16"/>
                <w:szCs w:val="16"/>
              </w:rPr>
              <w:t>It will take 8 employees 40 hours per person to read and understand the rule requirements</w:t>
            </w:r>
            <w:r w:rsidR="00AF087C">
              <w:rPr>
                <w:sz w:val="16"/>
                <w:szCs w:val="16"/>
              </w:rPr>
              <w:t xml:space="preserve"> for new sources</w:t>
            </w:r>
            <w:r w:rsidRPr="00EB73D8">
              <w:rPr>
                <w:sz w:val="16"/>
                <w:szCs w:val="16"/>
              </w:rPr>
              <w:t>.</w:t>
            </w:r>
            <w:r w:rsidR="00AF087C">
              <w:rPr>
                <w:sz w:val="16"/>
                <w:szCs w:val="16"/>
              </w:rPr>
              <w:t xml:space="preserve"> For existing sources, we assume it will take 8 employees 1 hour per person. </w:t>
            </w:r>
          </w:p>
        </w:tc>
        <w:tc>
          <w:tcPr>
            <w:tcW w:w="89" w:type="pct"/>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jc w:val="center"/>
              <w:rPr>
                <w:sz w:val="16"/>
                <w:szCs w:val="16"/>
              </w:rPr>
            </w:pPr>
          </w:p>
        </w:tc>
        <w:tc>
          <w:tcPr>
            <w:tcW w:w="84" w:type="pct"/>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jc w:val="center"/>
              <w:rPr>
                <w:sz w:val="16"/>
                <w:szCs w:val="16"/>
              </w:rPr>
            </w:pPr>
          </w:p>
        </w:tc>
        <w:tc>
          <w:tcPr>
            <w:tcW w:w="114" w:type="pct"/>
            <w:gridSpan w:val="2"/>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5F572A" w:rsidRPr="00EB73D8" w:rsidRDefault="005F572A" w:rsidP="005F572A">
            <w:pPr>
              <w:widowControl/>
              <w:autoSpaceDE/>
              <w:autoSpaceDN/>
              <w:adjustRightInd/>
              <w:jc w:val="center"/>
              <w:rPr>
                <w:sz w:val="16"/>
                <w:szCs w:val="16"/>
              </w:rPr>
            </w:pPr>
          </w:p>
        </w:tc>
      </w:tr>
      <w:tr w:rsidR="00AF087C" w:rsidRPr="00EB73D8" w:rsidTr="009A79AB">
        <w:trPr>
          <w:trHeight w:val="225"/>
        </w:trPr>
        <w:tc>
          <w:tcPr>
            <w:tcW w:w="109" w:type="pct"/>
            <w:tcBorders>
              <w:top w:val="nil"/>
              <w:left w:val="nil"/>
              <w:bottom w:val="nil"/>
              <w:right w:val="nil"/>
            </w:tcBorders>
            <w:shd w:val="clear" w:color="auto" w:fill="auto"/>
            <w:noWrap/>
            <w:vAlign w:val="bottom"/>
            <w:hideMark/>
          </w:tcPr>
          <w:p w:rsidR="00AC0105" w:rsidRPr="00EB73D8" w:rsidRDefault="005F572A" w:rsidP="00AC0105">
            <w:pPr>
              <w:widowControl/>
              <w:autoSpaceDE/>
              <w:autoSpaceDN/>
              <w:adjustRightInd/>
              <w:jc w:val="right"/>
              <w:rPr>
                <w:sz w:val="16"/>
                <w:szCs w:val="16"/>
              </w:rPr>
            </w:pPr>
            <w:r w:rsidRPr="00EB73D8">
              <w:rPr>
                <w:sz w:val="16"/>
                <w:szCs w:val="16"/>
              </w:rPr>
              <w:t>k</w:t>
            </w:r>
          </w:p>
        </w:tc>
        <w:tc>
          <w:tcPr>
            <w:tcW w:w="4187" w:type="pct"/>
            <w:gridSpan w:val="2"/>
            <w:tcBorders>
              <w:top w:val="nil"/>
              <w:left w:val="nil"/>
              <w:bottom w:val="nil"/>
              <w:right w:val="nil"/>
            </w:tcBorders>
            <w:shd w:val="clear" w:color="auto" w:fill="auto"/>
            <w:noWrap/>
            <w:vAlign w:val="bottom"/>
            <w:hideMark/>
          </w:tcPr>
          <w:p w:rsidR="005F572A" w:rsidRPr="00EB73D8" w:rsidRDefault="005F572A" w:rsidP="00AC0105">
            <w:pPr>
              <w:widowControl/>
              <w:autoSpaceDE/>
              <w:autoSpaceDN/>
              <w:adjustRightInd/>
              <w:rPr>
                <w:sz w:val="16"/>
                <w:szCs w:val="16"/>
              </w:rPr>
            </w:pPr>
            <w:r w:rsidRPr="00EB73D8">
              <w:rPr>
                <w:sz w:val="16"/>
                <w:szCs w:val="16"/>
              </w:rPr>
              <w:t xml:space="preserve">We have included this burden item per comment from VI. </w:t>
            </w:r>
          </w:p>
        </w:tc>
        <w:tc>
          <w:tcPr>
            <w:tcW w:w="89"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11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c>
          <w:tcPr>
            <w:tcW w:w="84" w:type="pct"/>
            <w:gridSpan w:val="2"/>
            <w:tcBorders>
              <w:top w:val="nil"/>
              <w:left w:val="nil"/>
              <w:bottom w:val="nil"/>
              <w:right w:val="nil"/>
            </w:tcBorders>
            <w:shd w:val="clear" w:color="auto" w:fill="auto"/>
            <w:noWrap/>
            <w:vAlign w:val="bottom"/>
            <w:hideMark/>
          </w:tcPr>
          <w:p w:rsidR="00AC0105" w:rsidRPr="00EB73D8" w:rsidRDefault="00AC0105" w:rsidP="00AC0105">
            <w:pPr>
              <w:widowControl/>
              <w:autoSpaceDE/>
              <w:autoSpaceDN/>
              <w:adjustRightInd/>
              <w:jc w:val="center"/>
              <w:rPr>
                <w:sz w:val="16"/>
                <w:szCs w:val="16"/>
              </w:rPr>
            </w:pPr>
          </w:p>
        </w:tc>
      </w:tr>
    </w:tbl>
    <w:p w:rsidR="00144F35" w:rsidRDefault="00144F35" w:rsidP="00853348">
      <w:pPr>
        <w:jc w:val="center"/>
        <w:outlineLvl w:val="0"/>
        <w:rPr>
          <w:b/>
          <w:bCs/>
          <w:color w:val="000000"/>
        </w:rPr>
      </w:pPr>
      <w:r>
        <w:rPr>
          <w:b/>
          <w:bCs/>
          <w:color w:val="000000"/>
        </w:rPr>
        <w:br w:type="page"/>
      </w:r>
      <w:r w:rsidR="00EF2D4C" w:rsidRPr="00EF2D4C">
        <w:rPr>
          <w:b/>
          <w:bCs/>
          <w:color w:val="000000"/>
        </w:rPr>
        <w:lastRenderedPageBreak/>
        <w:t>Table 2: Average Annual EPA Burden and Cost – NESHAP for Polyvinyl Chloride and Copolymers Production Area Sources (40 CFR Part 63, Subpart DDDDDD) (Renewal)</w:t>
      </w:r>
    </w:p>
    <w:p w:rsidR="00144F35" w:rsidRDefault="00144F35" w:rsidP="00F340DF">
      <w:pPr>
        <w:rPr>
          <w:b/>
          <w:bCs/>
          <w:color w:val="000000"/>
        </w:rPr>
      </w:pPr>
    </w:p>
    <w:tbl>
      <w:tblPr>
        <w:tblW w:w="13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1134"/>
        <w:gridCol w:w="1217"/>
        <w:gridCol w:w="1161"/>
        <w:gridCol w:w="1133"/>
        <w:gridCol w:w="1381"/>
        <w:gridCol w:w="1474"/>
        <w:gridCol w:w="1190"/>
        <w:gridCol w:w="1288"/>
      </w:tblGrid>
      <w:tr w:rsidR="00853348" w:rsidRPr="00853348" w:rsidTr="00EB73D8">
        <w:trPr>
          <w:trHeight w:val="1200"/>
          <w:jc w:val="center"/>
        </w:trPr>
        <w:tc>
          <w:tcPr>
            <w:tcW w:w="3882" w:type="dxa"/>
            <w:shd w:val="clear" w:color="auto" w:fill="auto"/>
            <w:noWrap/>
            <w:vAlign w:val="center"/>
            <w:hideMark/>
          </w:tcPr>
          <w:p w:rsidR="00853348" w:rsidRPr="00853348" w:rsidRDefault="00853348" w:rsidP="00853348">
            <w:pPr>
              <w:widowControl/>
              <w:autoSpaceDE/>
              <w:autoSpaceDN/>
              <w:adjustRightInd/>
              <w:jc w:val="center"/>
              <w:rPr>
                <w:b/>
                <w:bCs/>
                <w:sz w:val="18"/>
                <w:szCs w:val="18"/>
              </w:rPr>
            </w:pPr>
            <w:r w:rsidRPr="00853348">
              <w:rPr>
                <w:b/>
                <w:bCs/>
                <w:sz w:val="18"/>
                <w:szCs w:val="18"/>
              </w:rPr>
              <w:t>Burden Item</w:t>
            </w:r>
          </w:p>
        </w:tc>
        <w:tc>
          <w:tcPr>
            <w:tcW w:w="1134" w:type="dxa"/>
            <w:shd w:val="clear" w:color="auto" w:fill="auto"/>
            <w:vAlign w:val="center"/>
            <w:hideMark/>
          </w:tcPr>
          <w:p w:rsidR="00853348" w:rsidRPr="00853348" w:rsidRDefault="00853348" w:rsidP="00853348">
            <w:pPr>
              <w:widowControl/>
              <w:autoSpaceDE/>
              <w:autoSpaceDN/>
              <w:adjustRightInd/>
              <w:jc w:val="center"/>
              <w:rPr>
                <w:b/>
                <w:bCs/>
                <w:color w:val="000000"/>
                <w:sz w:val="18"/>
                <w:szCs w:val="18"/>
              </w:rPr>
            </w:pPr>
            <w:r w:rsidRPr="00853348">
              <w:rPr>
                <w:b/>
                <w:bCs/>
                <w:color w:val="000000"/>
                <w:sz w:val="18"/>
                <w:szCs w:val="18"/>
              </w:rPr>
              <w:t>(A)</w:t>
            </w:r>
            <w:r w:rsidRPr="00853348">
              <w:rPr>
                <w:b/>
                <w:bCs/>
                <w:color w:val="000000"/>
                <w:sz w:val="18"/>
                <w:szCs w:val="18"/>
              </w:rPr>
              <w:br/>
              <w:t>EPA person-hours per occurrence</w:t>
            </w:r>
          </w:p>
        </w:tc>
        <w:tc>
          <w:tcPr>
            <w:tcW w:w="1217" w:type="dxa"/>
            <w:shd w:val="clear" w:color="auto" w:fill="auto"/>
            <w:vAlign w:val="center"/>
            <w:hideMark/>
          </w:tcPr>
          <w:p w:rsidR="00853348" w:rsidRPr="00853348" w:rsidRDefault="00853348" w:rsidP="00853348">
            <w:pPr>
              <w:widowControl/>
              <w:autoSpaceDE/>
              <w:autoSpaceDN/>
              <w:adjustRightInd/>
              <w:jc w:val="center"/>
              <w:rPr>
                <w:b/>
                <w:bCs/>
                <w:color w:val="000000"/>
                <w:sz w:val="18"/>
                <w:szCs w:val="18"/>
              </w:rPr>
            </w:pPr>
            <w:r w:rsidRPr="00853348">
              <w:rPr>
                <w:b/>
                <w:bCs/>
                <w:color w:val="000000"/>
                <w:sz w:val="18"/>
                <w:szCs w:val="18"/>
              </w:rPr>
              <w:t>(B)</w:t>
            </w:r>
            <w:r w:rsidRPr="00853348">
              <w:rPr>
                <w:b/>
                <w:bCs/>
                <w:color w:val="000000"/>
                <w:sz w:val="18"/>
                <w:szCs w:val="18"/>
              </w:rPr>
              <w:br/>
              <w:t>No. of occurrences per plant per year</w:t>
            </w:r>
          </w:p>
        </w:tc>
        <w:tc>
          <w:tcPr>
            <w:tcW w:w="1161" w:type="dxa"/>
            <w:shd w:val="clear" w:color="auto" w:fill="auto"/>
            <w:vAlign w:val="center"/>
            <w:hideMark/>
          </w:tcPr>
          <w:p w:rsidR="00853348" w:rsidRPr="00853348" w:rsidRDefault="00853348" w:rsidP="00853348">
            <w:pPr>
              <w:widowControl/>
              <w:autoSpaceDE/>
              <w:autoSpaceDN/>
              <w:adjustRightInd/>
              <w:jc w:val="center"/>
              <w:rPr>
                <w:b/>
                <w:bCs/>
                <w:color w:val="000000"/>
                <w:sz w:val="18"/>
                <w:szCs w:val="18"/>
              </w:rPr>
            </w:pPr>
            <w:r w:rsidRPr="00853348">
              <w:rPr>
                <w:b/>
                <w:bCs/>
                <w:color w:val="000000"/>
                <w:sz w:val="18"/>
                <w:szCs w:val="18"/>
              </w:rPr>
              <w:t xml:space="preserve">(C) </w:t>
            </w:r>
            <w:r w:rsidRPr="00853348">
              <w:rPr>
                <w:b/>
                <w:bCs/>
                <w:color w:val="000000"/>
                <w:sz w:val="18"/>
                <w:szCs w:val="18"/>
              </w:rPr>
              <w:br/>
              <w:t>EPA person-hours per plant per year (C=AxB)</w:t>
            </w:r>
          </w:p>
        </w:tc>
        <w:tc>
          <w:tcPr>
            <w:tcW w:w="1133" w:type="dxa"/>
            <w:shd w:val="clear" w:color="auto" w:fill="auto"/>
            <w:vAlign w:val="center"/>
            <w:hideMark/>
          </w:tcPr>
          <w:p w:rsidR="00853348" w:rsidRPr="00853348" w:rsidRDefault="00853348" w:rsidP="00853348">
            <w:pPr>
              <w:widowControl/>
              <w:autoSpaceDE/>
              <w:autoSpaceDN/>
              <w:adjustRightInd/>
              <w:jc w:val="center"/>
              <w:rPr>
                <w:b/>
                <w:bCs/>
                <w:color w:val="000000"/>
                <w:sz w:val="18"/>
                <w:szCs w:val="18"/>
              </w:rPr>
            </w:pPr>
            <w:r w:rsidRPr="00853348">
              <w:rPr>
                <w:b/>
                <w:bCs/>
                <w:color w:val="000000"/>
                <w:sz w:val="18"/>
                <w:szCs w:val="18"/>
              </w:rPr>
              <w:t>(D)</w:t>
            </w:r>
            <w:r w:rsidRPr="00853348">
              <w:rPr>
                <w:b/>
                <w:bCs/>
                <w:color w:val="000000"/>
                <w:sz w:val="18"/>
                <w:szCs w:val="18"/>
              </w:rPr>
              <w:br/>
              <w:t xml:space="preserve">Plants Per Year </w:t>
            </w:r>
          </w:p>
        </w:tc>
        <w:tc>
          <w:tcPr>
            <w:tcW w:w="1381" w:type="dxa"/>
            <w:shd w:val="clear" w:color="auto" w:fill="auto"/>
            <w:vAlign w:val="center"/>
            <w:hideMark/>
          </w:tcPr>
          <w:p w:rsidR="00853348" w:rsidRPr="00853348" w:rsidRDefault="00853348" w:rsidP="00853348">
            <w:pPr>
              <w:widowControl/>
              <w:autoSpaceDE/>
              <w:autoSpaceDN/>
              <w:adjustRightInd/>
              <w:jc w:val="center"/>
              <w:rPr>
                <w:b/>
                <w:bCs/>
                <w:color w:val="000000"/>
                <w:sz w:val="18"/>
                <w:szCs w:val="18"/>
              </w:rPr>
            </w:pPr>
            <w:r w:rsidRPr="00853348">
              <w:rPr>
                <w:b/>
                <w:bCs/>
                <w:color w:val="000000"/>
                <w:sz w:val="18"/>
                <w:szCs w:val="18"/>
              </w:rPr>
              <w:t xml:space="preserve">(E) </w:t>
            </w:r>
            <w:r w:rsidRPr="00853348">
              <w:rPr>
                <w:b/>
                <w:bCs/>
                <w:color w:val="000000"/>
                <w:sz w:val="18"/>
                <w:szCs w:val="18"/>
              </w:rPr>
              <w:br/>
              <w:t>Technical person-hours per year (E=CxD)</w:t>
            </w:r>
          </w:p>
        </w:tc>
        <w:tc>
          <w:tcPr>
            <w:tcW w:w="1474" w:type="dxa"/>
            <w:shd w:val="clear" w:color="auto" w:fill="auto"/>
            <w:vAlign w:val="center"/>
            <w:hideMark/>
          </w:tcPr>
          <w:p w:rsidR="00853348" w:rsidRPr="00853348" w:rsidRDefault="00853348" w:rsidP="00853348">
            <w:pPr>
              <w:widowControl/>
              <w:autoSpaceDE/>
              <w:autoSpaceDN/>
              <w:adjustRightInd/>
              <w:jc w:val="center"/>
              <w:rPr>
                <w:b/>
                <w:bCs/>
                <w:color w:val="000000"/>
                <w:sz w:val="18"/>
                <w:szCs w:val="18"/>
              </w:rPr>
            </w:pPr>
            <w:r w:rsidRPr="00853348">
              <w:rPr>
                <w:b/>
                <w:bCs/>
                <w:color w:val="000000"/>
                <w:sz w:val="18"/>
                <w:szCs w:val="18"/>
              </w:rPr>
              <w:t>(F) Management person-hours per year (Ex0.05)</w:t>
            </w:r>
          </w:p>
        </w:tc>
        <w:tc>
          <w:tcPr>
            <w:tcW w:w="1190" w:type="dxa"/>
            <w:shd w:val="clear" w:color="auto" w:fill="auto"/>
            <w:vAlign w:val="center"/>
            <w:hideMark/>
          </w:tcPr>
          <w:p w:rsidR="00853348" w:rsidRPr="00853348" w:rsidRDefault="00853348" w:rsidP="00853348">
            <w:pPr>
              <w:widowControl/>
              <w:autoSpaceDE/>
              <w:autoSpaceDN/>
              <w:adjustRightInd/>
              <w:jc w:val="center"/>
              <w:rPr>
                <w:b/>
                <w:bCs/>
                <w:color w:val="000000"/>
                <w:sz w:val="18"/>
                <w:szCs w:val="18"/>
              </w:rPr>
            </w:pPr>
            <w:r w:rsidRPr="00853348">
              <w:rPr>
                <w:b/>
                <w:bCs/>
                <w:color w:val="000000"/>
                <w:sz w:val="18"/>
                <w:szCs w:val="18"/>
              </w:rPr>
              <w:t xml:space="preserve">(G) </w:t>
            </w:r>
            <w:r w:rsidRPr="00853348">
              <w:rPr>
                <w:b/>
                <w:bCs/>
                <w:color w:val="000000"/>
                <w:sz w:val="18"/>
                <w:szCs w:val="18"/>
              </w:rPr>
              <w:br/>
              <w:t>Clerical person-hours per year (Ex0.10)</w:t>
            </w:r>
          </w:p>
        </w:tc>
        <w:tc>
          <w:tcPr>
            <w:tcW w:w="1288" w:type="dxa"/>
            <w:shd w:val="clear" w:color="auto" w:fill="auto"/>
            <w:vAlign w:val="center"/>
            <w:hideMark/>
          </w:tcPr>
          <w:p w:rsidR="00853348" w:rsidRPr="00853348" w:rsidRDefault="00853348" w:rsidP="00853348">
            <w:pPr>
              <w:widowControl/>
              <w:autoSpaceDE/>
              <w:autoSpaceDN/>
              <w:adjustRightInd/>
              <w:jc w:val="center"/>
              <w:rPr>
                <w:b/>
                <w:bCs/>
                <w:sz w:val="18"/>
                <w:szCs w:val="18"/>
              </w:rPr>
            </w:pPr>
            <w:r w:rsidRPr="00853348">
              <w:rPr>
                <w:b/>
                <w:bCs/>
                <w:sz w:val="18"/>
                <w:szCs w:val="18"/>
              </w:rPr>
              <w:t xml:space="preserve">(H) </w:t>
            </w:r>
            <w:r w:rsidRPr="00853348">
              <w:rPr>
                <w:b/>
                <w:bCs/>
                <w:sz w:val="18"/>
                <w:szCs w:val="18"/>
              </w:rPr>
              <w:br/>
              <w:t>EPA Cost Per Year</w:t>
            </w:r>
            <w:r w:rsidR="00EB73D8">
              <w:rPr>
                <w:b/>
                <w:bCs/>
                <w:sz w:val="18"/>
                <w:szCs w:val="18"/>
              </w:rPr>
              <w:t xml:space="preserve"> </w:t>
            </w:r>
            <w:r w:rsidRPr="00853348">
              <w:rPr>
                <w:b/>
                <w:bCs/>
                <w:sz w:val="18"/>
                <w:szCs w:val="18"/>
                <w:vertAlign w:val="superscript"/>
              </w:rPr>
              <w:t>a,b</w:t>
            </w:r>
          </w:p>
        </w:tc>
      </w:tr>
      <w:tr w:rsidR="00853348" w:rsidRPr="00853348" w:rsidTr="00EB73D8">
        <w:trPr>
          <w:trHeight w:val="240"/>
          <w:jc w:val="center"/>
        </w:trPr>
        <w:tc>
          <w:tcPr>
            <w:tcW w:w="3882" w:type="dxa"/>
            <w:shd w:val="clear" w:color="auto" w:fill="auto"/>
            <w:noWrap/>
            <w:vAlign w:val="center"/>
            <w:hideMark/>
          </w:tcPr>
          <w:p w:rsidR="00853348" w:rsidRPr="00853348" w:rsidRDefault="00853348" w:rsidP="00853348">
            <w:pPr>
              <w:widowControl/>
              <w:autoSpaceDE/>
              <w:autoSpaceDN/>
              <w:adjustRightInd/>
              <w:rPr>
                <w:sz w:val="18"/>
                <w:szCs w:val="18"/>
              </w:rPr>
            </w:pPr>
            <w:r w:rsidRPr="00853348">
              <w:rPr>
                <w:sz w:val="18"/>
                <w:szCs w:val="18"/>
              </w:rPr>
              <w:t>1. Applications</w:t>
            </w:r>
          </w:p>
        </w:tc>
        <w:tc>
          <w:tcPr>
            <w:tcW w:w="9978" w:type="dxa"/>
            <w:gridSpan w:val="8"/>
            <w:shd w:val="clear" w:color="auto" w:fill="auto"/>
            <w:vAlign w:val="center"/>
            <w:hideMark/>
          </w:tcPr>
          <w:p w:rsidR="00853348" w:rsidRPr="00853348" w:rsidRDefault="00853348" w:rsidP="00853348">
            <w:pPr>
              <w:widowControl/>
              <w:autoSpaceDE/>
              <w:autoSpaceDN/>
              <w:adjustRightInd/>
              <w:jc w:val="center"/>
              <w:rPr>
                <w:sz w:val="18"/>
                <w:szCs w:val="18"/>
              </w:rPr>
            </w:pPr>
            <w:r w:rsidRPr="00853348">
              <w:rPr>
                <w:sz w:val="18"/>
                <w:szCs w:val="18"/>
              </w:rPr>
              <w:t>not applicable</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AF087C">
            <w:pPr>
              <w:widowControl/>
              <w:autoSpaceDE/>
              <w:autoSpaceDN/>
              <w:adjustRightInd/>
              <w:rPr>
                <w:sz w:val="18"/>
                <w:szCs w:val="18"/>
              </w:rPr>
            </w:pPr>
            <w:r w:rsidRPr="00853348">
              <w:rPr>
                <w:sz w:val="18"/>
                <w:szCs w:val="18"/>
              </w:rPr>
              <w:t xml:space="preserve">2. </w:t>
            </w:r>
            <w:r w:rsidR="00AF087C">
              <w:rPr>
                <w:sz w:val="18"/>
                <w:szCs w:val="18"/>
              </w:rPr>
              <w:t>Familiarize with</w:t>
            </w:r>
            <w:r w:rsidRPr="00853348">
              <w:rPr>
                <w:sz w:val="18"/>
                <w:szCs w:val="18"/>
              </w:rPr>
              <w:t xml:space="preserve"> Rule Requirements</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16</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rPr>
                <w:sz w:val="18"/>
                <w:szCs w:val="18"/>
              </w:rPr>
            </w:pPr>
            <w:r w:rsidRPr="00853348">
              <w:rPr>
                <w:sz w:val="18"/>
                <w:szCs w:val="18"/>
              </w:rPr>
              <w:t>3. Required Activities</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r>
      <w:tr w:rsidR="00853348" w:rsidRPr="00853348" w:rsidTr="00EB73D8">
        <w:trPr>
          <w:trHeight w:val="315"/>
          <w:jc w:val="center"/>
        </w:trPr>
        <w:tc>
          <w:tcPr>
            <w:tcW w:w="3882" w:type="dxa"/>
            <w:shd w:val="clear" w:color="auto" w:fill="auto"/>
            <w:vAlign w:val="center"/>
            <w:hideMark/>
          </w:tcPr>
          <w:p w:rsidR="00853348" w:rsidRPr="00853348" w:rsidRDefault="00853348" w:rsidP="00853348">
            <w:pPr>
              <w:widowControl/>
              <w:autoSpaceDE/>
              <w:autoSpaceDN/>
              <w:adjustRightInd/>
              <w:ind w:firstLineChars="100" w:firstLine="180"/>
              <w:rPr>
                <w:sz w:val="18"/>
                <w:szCs w:val="18"/>
              </w:rPr>
            </w:pPr>
            <w:r w:rsidRPr="00853348">
              <w:rPr>
                <w:sz w:val="18"/>
                <w:szCs w:val="18"/>
              </w:rPr>
              <w:t>A. Observe initial performance tests</w:t>
            </w:r>
            <w:r w:rsidR="00EB73D8">
              <w:rPr>
                <w:sz w:val="18"/>
                <w:szCs w:val="18"/>
              </w:rPr>
              <w:t xml:space="preserve"> </w:t>
            </w:r>
            <w:r w:rsidRPr="00853348">
              <w:rPr>
                <w:sz w:val="18"/>
                <w:szCs w:val="18"/>
                <w:vertAlign w:val="superscript"/>
              </w:rPr>
              <w:t>b</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48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100" w:firstLine="180"/>
              <w:rPr>
                <w:sz w:val="18"/>
                <w:szCs w:val="18"/>
              </w:rPr>
            </w:pPr>
            <w:r w:rsidRPr="00853348">
              <w:rPr>
                <w:sz w:val="18"/>
                <w:szCs w:val="18"/>
              </w:rPr>
              <w:t>B. Excess emissions -- Enforcement Activities</w:t>
            </w:r>
            <w:r w:rsidR="00EB73D8">
              <w:rPr>
                <w:sz w:val="18"/>
                <w:szCs w:val="18"/>
              </w:rPr>
              <w:t xml:space="preserve"> </w:t>
            </w:r>
            <w:r w:rsidRPr="00853348">
              <w:rPr>
                <w:sz w:val="18"/>
                <w:szCs w:val="18"/>
                <w:vertAlign w:val="superscript"/>
              </w:rPr>
              <w:t>d</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24 </w:t>
            </w:r>
          </w:p>
        </w:tc>
        <w:tc>
          <w:tcPr>
            <w:tcW w:w="1217" w:type="dxa"/>
            <w:shd w:val="clear" w:color="000000" w:fill="FFFFFF"/>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100" w:firstLine="180"/>
              <w:rPr>
                <w:sz w:val="18"/>
                <w:szCs w:val="18"/>
              </w:rPr>
            </w:pPr>
            <w:r w:rsidRPr="00853348">
              <w:rPr>
                <w:sz w:val="18"/>
                <w:szCs w:val="18"/>
              </w:rPr>
              <w:t>C. Create Information</w:t>
            </w:r>
          </w:p>
        </w:tc>
        <w:tc>
          <w:tcPr>
            <w:tcW w:w="9978" w:type="dxa"/>
            <w:gridSpan w:val="8"/>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not applicable</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100" w:firstLine="180"/>
              <w:rPr>
                <w:sz w:val="18"/>
                <w:szCs w:val="18"/>
              </w:rPr>
            </w:pPr>
            <w:r w:rsidRPr="00853348">
              <w:rPr>
                <w:sz w:val="18"/>
                <w:szCs w:val="18"/>
              </w:rPr>
              <w:t>D. Gather Information</w:t>
            </w:r>
          </w:p>
        </w:tc>
        <w:tc>
          <w:tcPr>
            <w:tcW w:w="9978" w:type="dxa"/>
            <w:gridSpan w:val="8"/>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not applicable</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100" w:firstLine="180"/>
              <w:rPr>
                <w:sz w:val="18"/>
                <w:szCs w:val="18"/>
              </w:rPr>
            </w:pPr>
            <w:r w:rsidRPr="00853348">
              <w:rPr>
                <w:sz w:val="18"/>
                <w:szCs w:val="18"/>
              </w:rPr>
              <w:t>E. Report Reviews</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200" w:firstLine="360"/>
              <w:rPr>
                <w:sz w:val="18"/>
                <w:szCs w:val="18"/>
              </w:rPr>
            </w:pPr>
            <w:r w:rsidRPr="00853348">
              <w:rPr>
                <w:sz w:val="18"/>
                <w:szCs w:val="18"/>
              </w:rPr>
              <w:t>1) Review initial notification</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3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200" w:firstLine="360"/>
              <w:rPr>
                <w:sz w:val="18"/>
                <w:szCs w:val="18"/>
              </w:rPr>
            </w:pPr>
            <w:r w:rsidRPr="00853348">
              <w:rPr>
                <w:sz w:val="18"/>
                <w:szCs w:val="18"/>
              </w:rPr>
              <w:t>2) Review batch pre</w:t>
            </w:r>
            <w:r w:rsidR="00EB73D8">
              <w:rPr>
                <w:sz w:val="18"/>
                <w:szCs w:val="18"/>
              </w:rPr>
              <w:t>-</w:t>
            </w:r>
            <w:r w:rsidRPr="00853348">
              <w:rPr>
                <w:sz w:val="18"/>
                <w:szCs w:val="18"/>
              </w:rPr>
              <w:t>compliance report</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5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200" w:firstLine="360"/>
              <w:rPr>
                <w:sz w:val="18"/>
                <w:szCs w:val="18"/>
              </w:rPr>
            </w:pPr>
            <w:r w:rsidRPr="00853348">
              <w:rPr>
                <w:sz w:val="18"/>
                <w:szCs w:val="18"/>
              </w:rPr>
              <w:t>3) Review notification of performance test</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10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200" w:firstLine="360"/>
              <w:rPr>
                <w:sz w:val="18"/>
                <w:szCs w:val="18"/>
              </w:rPr>
            </w:pPr>
            <w:r w:rsidRPr="00853348">
              <w:rPr>
                <w:sz w:val="18"/>
                <w:szCs w:val="18"/>
              </w:rPr>
              <w:t>4) Review notification of compliance status</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40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$0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200" w:firstLine="360"/>
              <w:rPr>
                <w:sz w:val="18"/>
                <w:szCs w:val="18"/>
              </w:rPr>
            </w:pPr>
            <w:r w:rsidRPr="00853348">
              <w:rPr>
                <w:sz w:val="18"/>
                <w:szCs w:val="18"/>
              </w:rPr>
              <w:t>5) Review compliance report</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20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2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40</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3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120</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6</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12</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$6,281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200" w:firstLine="360"/>
              <w:rPr>
                <w:sz w:val="18"/>
                <w:szCs w:val="18"/>
              </w:rPr>
            </w:pPr>
            <w:r w:rsidRPr="00853348">
              <w:rPr>
                <w:sz w:val="18"/>
                <w:szCs w:val="18"/>
              </w:rPr>
              <w:t>6) Review notice of inspection</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3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1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3</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3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9</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0.45</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0.9</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$471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ind w:firstLineChars="100" w:firstLine="180"/>
              <w:rPr>
                <w:sz w:val="18"/>
                <w:szCs w:val="18"/>
              </w:rPr>
            </w:pPr>
            <w:r w:rsidRPr="00853348">
              <w:rPr>
                <w:sz w:val="18"/>
                <w:szCs w:val="18"/>
              </w:rPr>
              <w:t>F. Prepare annual summary report</w:t>
            </w:r>
            <w:r w:rsidR="00EB73D8">
              <w:rPr>
                <w:sz w:val="18"/>
                <w:szCs w:val="18"/>
              </w:rPr>
              <w:t xml:space="preserve"> </w:t>
            </w:r>
            <w:r w:rsidRPr="00853348">
              <w:rPr>
                <w:sz w:val="18"/>
                <w:szCs w:val="18"/>
                <w:vertAlign w:val="superscript"/>
              </w:rPr>
              <w:t>c</w:t>
            </w:r>
          </w:p>
        </w:tc>
        <w:tc>
          <w:tcPr>
            <w:tcW w:w="113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8</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1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8</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1 </w:t>
            </w:r>
          </w:p>
        </w:tc>
        <w:tc>
          <w:tcPr>
            <w:tcW w:w="138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8</w:t>
            </w:r>
          </w:p>
        </w:tc>
        <w:tc>
          <w:tcPr>
            <w:tcW w:w="1474"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0.4</w:t>
            </w:r>
          </w:p>
        </w:tc>
        <w:tc>
          <w:tcPr>
            <w:tcW w:w="1190"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0.8</w:t>
            </w:r>
          </w:p>
        </w:tc>
        <w:tc>
          <w:tcPr>
            <w:tcW w:w="1288"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xml:space="preserve">$419 </w:t>
            </w:r>
          </w:p>
        </w:tc>
      </w:tr>
      <w:tr w:rsidR="00853348" w:rsidRPr="00853348" w:rsidTr="00EB73D8">
        <w:trPr>
          <w:trHeight w:val="315"/>
          <w:jc w:val="center"/>
        </w:trPr>
        <w:tc>
          <w:tcPr>
            <w:tcW w:w="3882" w:type="dxa"/>
            <w:shd w:val="clear" w:color="auto" w:fill="auto"/>
            <w:noWrap/>
            <w:vAlign w:val="center"/>
            <w:hideMark/>
          </w:tcPr>
          <w:p w:rsidR="00853348" w:rsidRPr="00853348" w:rsidRDefault="00853348" w:rsidP="00853348">
            <w:pPr>
              <w:widowControl/>
              <w:autoSpaceDE/>
              <w:autoSpaceDN/>
              <w:adjustRightInd/>
              <w:rPr>
                <w:b/>
                <w:bCs/>
                <w:sz w:val="18"/>
                <w:szCs w:val="18"/>
              </w:rPr>
            </w:pPr>
            <w:r w:rsidRPr="00853348">
              <w:rPr>
                <w:b/>
                <w:bCs/>
                <w:sz w:val="18"/>
                <w:szCs w:val="18"/>
              </w:rPr>
              <w:t>TOTAL</w:t>
            </w:r>
            <w:r w:rsidR="00AF087C">
              <w:rPr>
                <w:b/>
                <w:bCs/>
                <w:sz w:val="18"/>
                <w:szCs w:val="18"/>
              </w:rPr>
              <w:t xml:space="preserve"> (rounded)</w:t>
            </w:r>
          </w:p>
        </w:tc>
        <w:tc>
          <w:tcPr>
            <w:tcW w:w="1134" w:type="dxa"/>
            <w:shd w:val="clear" w:color="auto" w:fill="auto"/>
            <w:noWrap/>
            <w:vAlign w:val="center"/>
            <w:hideMark/>
          </w:tcPr>
          <w:p w:rsidR="00853348" w:rsidRPr="00853348" w:rsidRDefault="00853348" w:rsidP="00853348">
            <w:pPr>
              <w:widowControl/>
              <w:autoSpaceDE/>
              <w:autoSpaceDN/>
              <w:adjustRightInd/>
              <w:jc w:val="center"/>
              <w:rPr>
                <w:color w:val="0000FF"/>
                <w:sz w:val="18"/>
                <w:szCs w:val="18"/>
              </w:rPr>
            </w:pPr>
            <w:r w:rsidRPr="00853348">
              <w:rPr>
                <w:color w:val="0000FF"/>
                <w:sz w:val="18"/>
                <w:szCs w:val="18"/>
              </w:rPr>
              <w:t> </w:t>
            </w:r>
          </w:p>
        </w:tc>
        <w:tc>
          <w:tcPr>
            <w:tcW w:w="1217"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161"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1133" w:type="dxa"/>
            <w:shd w:val="clear" w:color="auto" w:fill="auto"/>
            <w:noWrap/>
            <w:vAlign w:val="center"/>
            <w:hideMark/>
          </w:tcPr>
          <w:p w:rsidR="00853348" w:rsidRPr="00853348" w:rsidRDefault="00853348" w:rsidP="00853348">
            <w:pPr>
              <w:widowControl/>
              <w:autoSpaceDE/>
              <w:autoSpaceDN/>
              <w:adjustRightInd/>
              <w:jc w:val="center"/>
              <w:rPr>
                <w:sz w:val="18"/>
                <w:szCs w:val="18"/>
              </w:rPr>
            </w:pPr>
            <w:r w:rsidRPr="00853348">
              <w:rPr>
                <w:sz w:val="18"/>
                <w:szCs w:val="18"/>
              </w:rPr>
              <w:t> </w:t>
            </w:r>
          </w:p>
        </w:tc>
        <w:tc>
          <w:tcPr>
            <w:tcW w:w="4045" w:type="dxa"/>
            <w:gridSpan w:val="3"/>
            <w:shd w:val="clear" w:color="auto" w:fill="auto"/>
            <w:noWrap/>
            <w:vAlign w:val="center"/>
            <w:hideMark/>
          </w:tcPr>
          <w:p w:rsidR="00853348" w:rsidRPr="00853348" w:rsidRDefault="00853348" w:rsidP="00853348">
            <w:pPr>
              <w:widowControl/>
              <w:autoSpaceDE/>
              <w:autoSpaceDN/>
              <w:adjustRightInd/>
              <w:jc w:val="center"/>
              <w:rPr>
                <w:b/>
                <w:bCs/>
                <w:sz w:val="18"/>
                <w:szCs w:val="18"/>
              </w:rPr>
            </w:pPr>
            <w:r w:rsidRPr="00853348">
              <w:rPr>
                <w:b/>
                <w:bCs/>
                <w:sz w:val="18"/>
                <w:szCs w:val="18"/>
              </w:rPr>
              <w:t>158</w:t>
            </w:r>
          </w:p>
        </w:tc>
        <w:tc>
          <w:tcPr>
            <w:tcW w:w="1288" w:type="dxa"/>
            <w:shd w:val="clear" w:color="auto" w:fill="auto"/>
            <w:noWrap/>
            <w:vAlign w:val="center"/>
            <w:hideMark/>
          </w:tcPr>
          <w:p w:rsidR="00853348" w:rsidRPr="00853348" w:rsidRDefault="00853348" w:rsidP="00AF087C">
            <w:pPr>
              <w:widowControl/>
              <w:autoSpaceDE/>
              <w:autoSpaceDN/>
              <w:adjustRightInd/>
              <w:jc w:val="center"/>
              <w:rPr>
                <w:b/>
                <w:bCs/>
                <w:sz w:val="18"/>
                <w:szCs w:val="18"/>
              </w:rPr>
            </w:pPr>
            <w:r w:rsidRPr="00853348">
              <w:rPr>
                <w:b/>
                <w:bCs/>
                <w:sz w:val="18"/>
                <w:szCs w:val="18"/>
              </w:rPr>
              <w:t>$7,</w:t>
            </w:r>
            <w:r w:rsidR="00AF087C" w:rsidRPr="00853348">
              <w:rPr>
                <w:b/>
                <w:bCs/>
                <w:sz w:val="18"/>
                <w:szCs w:val="18"/>
              </w:rPr>
              <w:t>17</w:t>
            </w:r>
            <w:r w:rsidR="00AF087C">
              <w:rPr>
                <w:b/>
                <w:bCs/>
                <w:sz w:val="18"/>
                <w:szCs w:val="18"/>
              </w:rPr>
              <w:t>0</w:t>
            </w:r>
            <w:r w:rsidR="00AF087C" w:rsidRPr="00853348">
              <w:rPr>
                <w:b/>
                <w:bCs/>
                <w:sz w:val="18"/>
                <w:szCs w:val="18"/>
              </w:rPr>
              <w:t xml:space="preserve"> </w:t>
            </w:r>
          </w:p>
        </w:tc>
      </w:tr>
    </w:tbl>
    <w:p w:rsidR="00AF087C" w:rsidRPr="006C7C0F" w:rsidRDefault="00AF087C" w:rsidP="00AF087C">
      <w:pPr>
        <w:outlineLvl w:val="0"/>
        <w:rPr>
          <w:bCs/>
          <w:color w:val="000000"/>
          <w:sz w:val="20"/>
          <w:szCs w:val="20"/>
        </w:rPr>
      </w:pPr>
      <w:r>
        <w:rPr>
          <w:b/>
          <w:bCs/>
          <w:color w:val="000000"/>
          <w:sz w:val="20"/>
          <w:szCs w:val="20"/>
        </w:rPr>
        <w:t xml:space="preserve">Note: </w:t>
      </w:r>
      <w:r>
        <w:rPr>
          <w:bCs/>
          <w:color w:val="000000"/>
          <w:sz w:val="20"/>
          <w:szCs w:val="20"/>
        </w:rPr>
        <w:t xml:space="preserve">Totals have been rounded to 3 significant digits. Figures may not add exactly due to rounding. </w:t>
      </w:r>
    </w:p>
    <w:p w:rsidR="00CA7A8D" w:rsidRDefault="00CA7A8D" w:rsidP="00853348">
      <w:pPr>
        <w:rPr>
          <w:bCs/>
          <w:color w:val="FF0000"/>
        </w:rPr>
      </w:pPr>
    </w:p>
    <w:tbl>
      <w:tblPr>
        <w:tblW w:w="5217" w:type="dxa"/>
        <w:tblCellMar>
          <w:left w:w="0" w:type="dxa"/>
          <w:right w:w="0" w:type="dxa"/>
        </w:tblCellMar>
        <w:tblLook w:val="04A0" w:firstRow="1" w:lastRow="0" w:firstColumn="1" w:lastColumn="0" w:noHBand="0" w:noVBand="1"/>
      </w:tblPr>
      <w:tblGrid>
        <w:gridCol w:w="76"/>
        <w:gridCol w:w="5141"/>
      </w:tblGrid>
      <w:tr w:rsidR="00EB3874" w:rsidRPr="00853348" w:rsidTr="00EB73D8">
        <w:trPr>
          <w:trHeight w:val="315"/>
        </w:trPr>
        <w:tc>
          <w:tcPr>
            <w:tcW w:w="5217" w:type="dxa"/>
            <w:gridSpan w:val="2"/>
            <w:tcBorders>
              <w:top w:val="nil"/>
              <w:left w:val="nil"/>
              <w:bottom w:val="nil"/>
              <w:right w:val="nil"/>
            </w:tcBorders>
            <w:shd w:val="clear" w:color="auto" w:fill="auto"/>
            <w:noWrap/>
            <w:tcMar>
              <w:top w:w="13" w:type="dxa"/>
              <w:left w:w="13" w:type="dxa"/>
              <w:bottom w:w="0" w:type="dxa"/>
              <w:right w:w="13" w:type="dxa"/>
            </w:tcMar>
            <w:vAlign w:val="bottom"/>
            <w:hideMark/>
          </w:tcPr>
          <w:p w:rsidR="00EB3874" w:rsidRPr="00853348" w:rsidRDefault="00EB3874">
            <w:pPr>
              <w:rPr>
                <w:sz w:val="16"/>
                <w:szCs w:val="16"/>
              </w:rPr>
            </w:pPr>
            <w:r w:rsidRPr="00144F35" w:rsidDel="00DB29A6">
              <w:rPr>
                <w:bCs/>
                <w:color w:val="FF0000"/>
              </w:rPr>
              <w:t xml:space="preserve"> </w:t>
            </w:r>
            <w:r w:rsidRPr="00853348">
              <w:rPr>
                <w:sz w:val="16"/>
                <w:szCs w:val="16"/>
              </w:rPr>
              <w:t>FOOTNOTES</w:t>
            </w:r>
          </w:p>
        </w:tc>
      </w:tr>
      <w:tr w:rsidR="00EB3874" w:rsidRPr="00853348" w:rsidTr="00EB73D8">
        <w:trPr>
          <w:trHeight w:val="315"/>
        </w:trPr>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EB3874" w:rsidRPr="00853348" w:rsidRDefault="00EB3874">
            <w:pPr>
              <w:jc w:val="right"/>
              <w:rPr>
                <w:sz w:val="16"/>
                <w:szCs w:val="16"/>
              </w:rPr>
            </w:pPr>
            <w:r w:rsidRPr="00853348">
              <w:rPr>
                <w:sz w:val="16"/>
                <w:szCs w:val="16"/>
                <w:vertAlign w:val="superscript"/>
              </w:rPr>
              <w:t>a</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EB3874" w:rsidRPr="00853348" w:rsidRDefault="00EB3874">
            <w:pPr>
              <w:rPr>
                <w:sz w:val="16"/>
                <w:szCs w:val="16"/>
              </w:rPr>
            </w:pPr>
            <w:r w:rsidRPr="00853348">
              <w:rPr>
                <w:sz w:val="16"/>
                <w:szCs w:val="16"/>
              </w:rPr>
              <w:t>Figures may not add exactly due to rounding.</w:t>
            </w:r>
          </w:p>
        </w:tc>
      </w:tr>
      <w:tr w:rsidR="00EB3874" w:rsidRPr="00853348" w:rsidTr="00EB73D8">
        <w:trPr>
          <w:trHeight w:val="315"/>
        </w:trPr>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EB3874" w:rsidRPr="00853348" w:rsidRDefault="00EB3874">
            <w:pPr>
              <w:jc w:val="right"/>
              <w:rPr>
                <w:sz w:val="16"/>
                <w:szCs w:val="16"/>
              </w:rPr>
            </w:pPr>
            <w:r w:rsidRPr="00853348">
              <w:rPr>
                <w:sz w:val="16"/>
                <w:szCs w:val="16"/>
                <w:vertAlign w:val="superscript"/>
              </w:rPr>
              <w:t>b</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EB3874" w:rsidRPr="00853348" w:rsidRDefault="00EB3874">
            <w:pPr>
              <w:rPr>
                <w:sz w:val="16"/>
                <w:szCs w:val="16"/>
              </w:rPr>
            </w:pPr>
            <w:r w:rsidRPr="00853348">
              <w:rPr>
                <w:sz w:val="16"/>
                <w:szCs w:val="16"/>
              </w:rPr>
              <w:t>Assumes EPA personnel attend 20 percent of the initial process vent stack tests.</w:t>
            </w:r>
          </w:p>
        </w:tc>
      </w:tr>
      <w:tr w:rsidR="00EB3874" w:rsidRPr="00853348" w:rsidTr="00EB73D8">
        <w:trPr>
          <w:trHeight w:val="315"/>
        </w:trPr>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EB3874" w:rsidRPr="00853348" w:rsidRDefault="00EB3874">
            <w:pPr>
              <w:jc w:val="right"/>
              <w:rPr>
                <w:sz w:val="16"/>
                <w:szCs w:val="16"/>
              </w:rPr>
            </w:pPr>
            <w:r w:rsidRPr="00853348">
              <w:rPr>
                <w:sz w:val="16"/>
                <w:szCs w:val="16"/>
                <w:vertAlign w:val="superscript"/>
              </w:rPr>
              <w:lastRenderedPageBreak/>
              <w:t>c</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EB3874" w:rsidRPr="00853348" w:rsidRDefault="00EB3874">
            <w:pPr>
              <w:rPr>
                <w:sz w:val="16"/>
                <w:szCs w:val="16"/>
              </w:rPr>
            </w:pPr>
            <w:r w:rsidRPr="00853348">
              <w:rPr>
                <w:sz w:val="16"/>
                <w:szCs w:val="16"/>
              </w:rPr>
              <w:t>Using four hours per state to write annual summary report.</w:t>
            </w:r>
          </w:p>
        </w:tc>
      </w:tr>
      <w:tr w:rsidR="00EB3874" w:rsidRPr="00853348" w:rsidTr="00EB73D8">
        <w:trPr>
          <w:trHeight w:val="315"/>
        </w:trPr>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EB3874" w:rsidRPr="00853348" w:rsidRDefault="00EB3874">
            <w:pPr>
              <w:jc w:val="right"/>
              <w:rPr>
                <w:sz w:val="16"/>
                <w:szCs w:val="16"/>
              </w:rPr>
            </w:pPr>
            <w:r w:rsidRPr="00853348">
              <w:rPr>
                <w:sz w:val="16"/>
                <w:szCs w:val="16"/>
                <w:vertAlign w:val="superscript"/>
              </w:rPr>
              <w:t>d</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hideMark/>
          </w:tcPr>
          <w:p w:rsidR="00EB3874" w:rsidRPr="00853348" w:rsidRDefault="00EB3874">
            <w:pPr>
              <w:rPr>
                <w:sz w:val="16"/>
                <w:szCs w:val="16"/>
              </w:rPr>
            </w:pPr>
            <w:r w:rsidRPr="00853348">
              <w:rPr>
                <w:sz w:val="16"/>
                <w:szCs w:val="16"/>
              </w:rPr>
              <w:t>Assume no emissions exceedances.</w:t>
            </w:r>
          </w:p>
        </w:tc>
      </w:tr>
    </w:tbl>
    <w:p w:rsidR="00144F35" w:rsidRDefault="00EB3874" w:rsidP="00F340DF">
      <w:pPr>
        <w:rPr>
          <w:color w:val="000000"/>
        </w:rPr>
      </w:pPr>
      <w:r w:rsidRPr="00144F35" w:rsidDel="00DB29A6">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A05" w:rsidRDefault="009A3A05">
      <w:r>
        <w:separator/>
      </w:r>
    </w:p>
  </w:endnote>
  <w:endnote w:type="continuationSeparator" w:id="0">
    <w:p w:rsidR="009A3A05" w:rsidRDefault="009A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A05" w:rsidRDefault="009A3A05">
      <w:r>
        <w:separator/>
      </w:r>
    </w:p>
  </w:footnote>
  <w:footnote w:type="continuationSeparator" w:id="0">
    <w:p w:rsidR="009A3A05" w:rsidRDefault="009A3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941" w:rsidRDefault="00DC0941">
    <w:pPr>
      <w:framePr w:w="9361" w:wrap="notBeside" w:vAnchor="text" w:hAnchor="text" w:x="1" w:y="1"/>
      <w:jc w:val="center"/>
    </w:pPr>
    <w:r>
      <w:fldChar w:fldCharType="begin"/>
    </w:r>
    <w:r>
      <w:instrText xml:space="preserve">PAGE </w:instrText>
    </w:r>
    <w:r>
      <w:fldChar w:fldCharType="separate"/>
    </w:r>
    <w:r w:rsidR="00CD69CF">
      <w:rPr>
        <w:noProof/>
      </w:rPr>
      <w:t>14</w:t>
    </w:r>
    <w:r>
      <w:rPr>
        <w:noProof/>
      </w:rPr>
      <w:fldChar w:fldCharType="end"/>
    </w:r>
  </w:p>
  <w:p w:rsidR="00DC0941" w:rsidRDefault="00DC0941"/>
  <w:p w:rsidR="00DC0941" w:rsidRDefault="00DC094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FEE"/>
    <w:rsid w:val="00020EB3"/>
    <w:rsid w:val="0003619B"/>
    <w:rsid w:val="00055BDF"/>
    <w:rsid w:val="00055DC5"/>
    <w:rsid w:val="00055FD2"/>
    <w:rsid w:val="00056EF0"/>
    <w:rsid w:val="00081F16"/>
    <w:rsid w:val="000A1FBB"/>
    <w:rsid w:val="000A687C"/>
    <w:rsid w:val="000D2272"/>
    <w:rsid w:val="000F772C"/>
    <w:rsid w:val="000F7A1F"/>
    <w:rsid w:val="00101B40"/>
    <w:rsid w:val="00102B52"/>
    <w:rsid w:val="0010697C"/>
    <w:rsid w:val="00121D59"/>
    <w:rsid w:val="00123889"/>
    <w:rsid w:val="00126A7C"/>
    <w:rsid w:val="001307BD"/>
    <w:rsid w:val="001356D4"/>
    <w:rsid w:val="001400C8"/>
    <w:rsid w:val="0014079D"/>
    <w:rsid w:val="00144978"/>
    <w:rsid w:val="00144A82"/>
    <w:rsid w:val="00144F35"/>
    <w:rsid w:val="0015433E"/>
    <w:rsid w:val="00177B30"/>
    <w:rsid w:val="00182021"/>
    <w:rsid w:val="0018581F"/>
    <w:rsid w:val="00186DA3"/>
    <w:rsid w:val="00195753"/>
    <w:rsid w:val="00195A8B"/>
    <w:rsid w:val="001A0B41"/>
    <w:rsid w:val="001B0592"/>
    <w:rsid w:val="001B0B9A"/>
    <w:rsid w:val="001B35F2"/>
    <w:rsid w:val="001C3200"/>
    <w:rsid w:val="001C5991"/>
    <w:rsid w:val="001D7301"/>
    <w:rsid w:val="001D762C"/>
    <w:rsid w:val="001E4D90"/>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57BC"/>
    <w:rsid w:val="002D7683"/>
    <w:rsid w:val="002F674B"/>
    <w:rsid w:val="002F6DB3"/>
    <w:rsid w:val="003005DB"/>
    <w:rsid w:val="0030575D"/>
    <w:rsid w:val="003139FC"/>
    <w:rsid w:val="003174B6"/>
    <w:rsid w:val="00341540"/>
    <w:rsid w:val="003511C6"/>
    <w:rsid w:val="0035325B"/>
    <w:rsid w:val="00354C15"/>
    <w:rsid w:val="0036229C"/>
    <w:rsid w:val="00377D7F"/>
    <w:rsid w:val="003B384B"/>
    <w:rsid w:val="003C248F"/>
    <w:rsid w:val="003C4B46"/>
    <w:rsid w:val="003C5023"/>
    <w:rsid w:val="003D430F"/>
    <w:rsid w:val="003D536B"/>
    <w:rsid w:val="003D6951"/>
    <w:rsid w:val="003E30B5"/>
    <w:rsid w:val="003E3BD0"/>
    <w:rsid w:val="003E4C18"/>
    <w:rsid w:val="003F1AFC"/>
    <w:rsid w:val="0040391F"/>
    <w:rsid w:val="0044133C"/>
    <w:rsid w:val="00454F3D"/>
    <w:rsid w:val="00455557"/>
    <w:rsid w:val="00457C0A"/>
    <w:rsid w:val="00466AFA"/>
    <w:rsid w:val="00473407"/>
    <w:rsid w:val="00484A45"/>
    <w:rsid w:val="00490B2B"/>
    <w:rsid w:val="004958F9"/>
    <w:rsid w:val="004A4B25"/>
    <w:rsid w:val="004A5D9F"/>
    <w:rsid w:val="004C5E95"/>
    <w:rsid w:val="004C701D"/>
    <w:rsid w:val="004F1469"/>
    <w:rsid w:val="004F6FCD"/>
    <w:rsid w:val="00504745"/>
    <w:rsid w:val="00507EC5"/>
    <w:rsid w:val="00510F20"/>
    <w:rsid w:val="0051553F"/>
    <w:rsid w:val="00516952"/>
    <w:rsid w:val="005242D9"/>
    <w:rsid w:val="005253D4"/>
    <w:rsid w:val="00525AD7"/>
    <w:rsid w:val="00551815"/>
    <w:rsid w:val="00560AD2"/>
    <w:rsid w:val="00565A51"/>
    <w:rsid w:val="00571260"/>
    <w:rsid w:val="00583626"/>
    <w:rsid w:val="005916D8"/>
    <w:rsid w:val="005A1986"/>
    <w:rsid w:val="005A32F5"/>
    <w:rsid w:val="005A40C9"/>
    <w:rsid w:val="005B5DE8"/>
    <w:rsid w:val="005C3665"/>
    <w:rsid w:val="005C42AC"/>
    <w:rsid w:val="005D001D"/>
    <w:rsid w:val="005D385C"/>
    <w:rsid w:val="005E194B"/>
    <w:rsid w:val="005F42F8"/>
    <w:rsid w:val="005F572A"/>
    <w:rsid w:val="00601205"/>
    <w:rsid w:val="0060466F"/>
    <w:rsid w:val="00606DEF"/>
    <w:rsid w:val="00631517"/>
    <w:rsid w:val="00635DBD"/>
    <w:rsid w:val="006741F7"/>
    <w:rsid w:val="006810C3"/>
    <w:rsid w:val="00694B55"/>
    <w:rsid w:val="006D1B12"/>
    <w:rsid w:val="006E4A6E"/>
    <w:rsid w:val="006E642B"/>
    <w:rsid w:val="00724BC7"/>
    <w:rsid w:val="00763160"/>
    <w:rsid w:val="00775BC3"/>
    <w:rsid w:val="00776476"/>
    <w:rsid w:val="00780612"/>
    <w:rsid w:val="00786A20"/>
    <w:rsid w:val="007A0634"/>
    <w:rsid w:val="007A16F4"/>
    <w:rsid w:val="007A458D"/>
    <w:rsid w:val="007C0FAA"/>
    <w:rsid w:val="007D7BA0"/>
    <w:rsid w:val="007E05A4"/>
    <w:rsid w:val="007E6FF4"/>
    <w:rsid w:val="007F07FB"/>
    <w:rsid w:val="00801440"/>
    <w:rsid w:val="00810507"/>
    <w:rsid w:val="00813E69"/>
    <w:rsid w:val="00817E8B"/>
    <w:rsid w:val="008338D4"/>
    <w:rsid w:val="00837642"/>
    <w:rsid w:val="0084255D"/>
    <w:rsid w:val="00850ACF"/>
    <w:rsid w:val="00852038"/>
    <w:rsid w:val="0085293A"/>
    <w:rsid w:val="00853348"/>
    <w:rsid w:val="00861489"/>
    <w:rsid w:val="0088639E"/>
    <w:rsid w:val="00887873"/>
    <w:rsid w:val="008A46EB"/>
    <w:rsid w:val="008B407C"/>
    <w:rsid w:val="008D6671"/>
    <w:rsid w:val="008D73D3"/>
    <w:rsid w:val="008E65E6"/>
    <w:rsid w:val="008F285B"/>
    <w:rsid w:val="008F4564"/>
    <w:rsid w:val="009011CE"/>
    <w:rsid w:val="009018EC"/>
    <w:rsid w:val="00906EDB"/>
    <w:rsid w:val="00910F2C"/>
    <w:rsid w:val="00912E00"/>
    <w:rsid w:val="00923C46"/>
    <w:rsid w:val="00926E92"/>
    <w:rsid w:val="00957C6F"/>
    <w:rsid w:val="009635C4"/>
    <w:rsid w:val="009711DB"/>
    <w:rsid w:val="009A0F50"/>
    <w:rsid w:val="009A16CD"/>
    <w:rsid w:val="009A3A05"/>
    <w:rsid w:val="009A7755"/>
    <w:rsid w:val="009A79AB"/>
    <w:rsid w:val="009C06F5"/>
    <w:rsid w:val="009D6567"/>
    <w:rsid w:val="009E0F31"/>
    <w:rsid w:val="009E58E8"/>
    <w:rsid w:val="00A007F5"/>
    <w:rsid w:val="00A038EC"/>
    <w:rsid w:val="00A145B0"/>
    <w:rsid w:val="00A15172"/>
    <w:rsid w:val="00A26EF7"/>
    <w:rsid w:val="00A277D6"/>
    <w:rsid w:val="00A379F8"/>
    <w:rsid w:val="00A54EEA"/>
    <w:rsid w:val="00A56BFF"/>
    <w:rsid w:val="00A575EC"/>
    <w:rsid w:val="00A73600"/>
    <w:rsid w:val="00A74C1E"/>
    <w:rsid w:val="00A7661C"/>
    <w:rsid w:val="00A87CAA"/>
    <w:rsid w:val="00A949F7"/>
    <w:rsid w:val="00A95BC7"/>
    <w:rsid w:val="00A962DF"/>
    <w:rsid w:val="00AA4008"/>
    <w:rsid w:val="00AC0105"/>
    <w:rsid w:val="00AC668A"/>
    <w:rsid w:val="00AD0508"/>
    <w:rsid w:val="00AF087C"/>
    <w:rsid w:val="00AF21D7"/>
    <w:rsid w:val="00AF70A1"/>
    <w:rsid w:val="00B07F79"/>
    <w:rsid w:val="00B1341D"/>
    <w:rsid w:val="00B16C07"/>
    <w:rsid w:val="00B37BD0"/>
    <w:rsid w:val="00B446D9"/>
    <w:rsid w:val="00B46A57"/>
    <w:rsid w:val="00B47E1A"/>
    <w:rsid w:val="00B5720D"/>
    <w:rsid w:val="00B65754"/>
    <w:rsid w:val="00B66231"/>
    <w:rsid w:val="00B769F1"/>
    <w:rsid w:val="00B82025"/>
    <w:rsid w:val="00B93408"/>
    <w:rsid w:val="00BA0A91"/>
    <w:rsid w:val="00BA4887"/>
    <w:rsid w:val="00BA5BCC"/>
    <w:rsid w:val="00BB2345"/>
    <w:rsid w:val="00BB3390"/>
    <w:rsid w:val="00BB3C1A"/>
    <w:rsid w:val="00BC11E9"/>
    <w:rsid w:val="00BC6DEF"/>
    <w:rsid w:val="00BD7CAE"/>
    <w:rsid w:val="00BE2989"/>
    <w:rsid w:val="00BE7A11"/>
    <w:rsid w:val="00BF722F"/>
    <w:rsid w:val="00C123DC"/>
    <w:rsid w:val="00C13FE8"/>
    <w:rsid w:val="00C146F1"/>
    <w:rsid w:val="00C30A60"/>
    <w:rsid w:val="00C33ABA"/>
    <w:rsid w:val="00C37BB6"/>
    <w:rsid w:val="00C52EFD"/>
    <w:rsid w:val="00C62F93"/>
    <w:rsid w:val="00C64378"/>
    <w:rsid w:val="00C75CF0"/>
    <w:rsid w:val="00C808B5"/>
    <w:rsid w:val="00C82DB6"/>
    <w:rsid w:val="00CA4CD6"/>
    <w:rsid w:val="00CA7A8D"/>
    <w:rsid w:val="00CA7DA0"/>
    <w:rsid w:val="00CB7E3B"/>
    <w:rsid w:val="00CC48AB"/>
    <w:rsid w:val="00CC58F6"/>
    <w:rsid w:val="00CD2069"/>
    <w:rsid w:val="00CD280D"/>
    <w:rsid w:val="00CD69CF"/>
    <w:rsid w:val="00CF2B37"/>
    <w:rsid w:val="00D043CA"/>
    <w:rsid w:val="00D13D9A"/>
    <w:rsid w:val="00D14A8D"/>
    <w:rsid w:val="00D21198"/>
    <w:rsid w:val="00D2273E"/>
    <w:rsid w:val="00D42D52"/>
    <w:rsid w:val="00D46FA2"/>
    <w:rsid w:val="00D5080D"/>
    <w:rsid w:val="00D50845"/>
    <w:rsid w:val="00D56F5F"/>
    <w:rsid w:val="00D57408"/>
    <w:rsid w:val="00D61B37"/>
    <w:rsid w:val="00D63B96"/>
    <w:rsid w:val="00D6543A"/>
    <w:rsid w:val="00D92F66"/>
    <w:rsid w:val="00D95819"/>
    <w:rsid w:val="00DA4856"/>
    <w:rsid w:val="00DA7285"/>
    <w:rsid w:val="00DB29A6"/>
    <w:rsid w:val="00DB59E1"/>
    <w:rsid w:val="00DC0941"/>
    <w:rsid w:val="00DD0312"/>
    <w:rsid w:val="00DD1AC1"/>
    <w:rsid w:val="00DD7D49"/>
    <w:rsid w:val="00DF5C4E"/>
    <w:rsid w:val="00E00DF4"/>
    <w:rsid w:val="00E10DA7"/>
    <w:rsid w:val="00E1538C"/>
    <w:rsid w:val="00E25DB6"/>
    <w:rsid w:val="00E276CD"/>
    <w:rsid w:val="00E32EDA"/>
    <w:rsid w:val="00E53137"/>
    <w:rsid w:val="00E56E62"/>
    <w:rsid w:val="00E702F6"/>
    <w:rsid w:val="00E711BC"/>
    <w:rsid w:val="00E72D70"/>
    <w:rsid w:val="00E77D5E"/>
    <w:rsid w:val="00E868BB"/>
    <w:rsid w:val="00EA37A9"/>
    <w:rsid w:val="00EA3BA9"/>
    <w:rsid w:val="00EA7026"/>
    <w:rsid w:val="00EB3874"/>
    <w:rsid w:val="00EB73D8"/>
    <w:rsid w:val="00EC4074"/>
    <w:rsid w:val="00ED7350"/>
    <w:rsid w:val="00ED741E"/>
    <w:rsid w:val="00EE13F3"/>
    <w:rsid w:val="00EF113F"/>
    <w:rsid w:val="00EF2D4C"/>
    <w:rsid w:val="00F02EB3"/>
    <w:rsid w:val="00F033F0"/>
    <w:rsid w:val="00F03803"/>
    <w:rsid w:val="00F066C9"/>
    <w:rsid w:val="00F20584"/>
    <w:rsid w:val="00F20822"/>
    <w:rsid w:val="00F30FDB"/>
    <w:rsid w:val="00F31443"/>
    <w:rsid w:val="00F340DF"/>
    <w:rsid w:val="00F538BC"/>
    <w:rsid w:val="00F87E6A"/>
    <w:rsid w:val="00F9092B"/>
    <w:rsid w:val="00F92D22"/>
    <w:rsid w:val="00FB0650"/>
    <w:rsid w:val="00FB4D98"/>
    <w:rsid w:val="00FB6378"/>
    <w:rsid w:val="00FB7BCE"/>
    <w:rsid w:val="00FC1309"/>
    <w:rsid w:val="00FC4E09"/>
    <w:rsid w:val="00FC5371"/>
    <w:rsid w:val="00FD520B"/>
    <w:rsid w:val="00FD72B2"/>
    <w:rsid w:val="00FD77C8"/>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BFCBF7-8491-4395-984D-D05769BE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6832">
      <w:bodyDiv w:val="1"/>
      <w:marLeft w:val="0"/>
      <w:marRight w:val="0"/>
      <w:marTop w:val="0"/>
      <w:marBottom w:val="0"/>
      <w:divBdr>
        <w:top w:val="none" w:sz="0" w:space="0" w:color="auto"/>
        <w:left w:val="none" w:sz="0" w:space="0" w:color="auto"/>
        <w:bottom w:val="none" w:sz="0" w:space="0" w:color="auto"/>
        <w:right w:val="none" w:sz="0" w:space="0" w:color="auto"/>
      </w:divBdr>
    </w:div>
    <w:div w:id="107164995">
      <w:bodyDiv w:val="1"/>
      <w:marLeft w:val="0"/>
      <w:marRight w:val="0"/>
      <w:marTop w:val="0"/>
      <w:marBottom w:val="0"/>
      <w:divBdr>
        <w:top w:val="none" w:sz="0" w:space="0" w:color="auto"/>
        <w:left w:val="none" w:sz="0" w:space="0" w:color="auto"/>
        <w:bottom w:val="none" w:sz="0" w:space="0" w:color="auto"/>
        <w:right w:val="none" w:sz="0" w:space="0" w:color="auto"/>
      </w:divBdr>
    </w:div>
    <w:div w:id="10927885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4903088">
      <w:bodyDiv w:val="1"/>
      <w:marLeft w:val="0"/>
      <w:marRight w:val="0"/>
      <w:marTop w:val="0"/>
      <w:marBottom w:val="0"/>
      <w:divBdr>
        <w:top w:val="none" w:sz="0" w:space="0" w:color="auto"/>
        <w:left w:val="none" w:sz="0" w:space="0" w:color="auto"/>
        <w:bottom w:val="none" w:sz="0" w:space="0" w:color="auto"/>
        <w:right w:val="none" w:sz="0" w:space="0" w:color="auto"/>
      </w:divBdr>
    </w:div>
    <w:div w:id="21994282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6878019">
      <w:bodyDiv w:val="1"/>
      <w:marLeft w:val="0"/>
      <w:marRight w:val="0"/>
      <w:marTop w:val="0"/>
      <w:marBottom w:val="0"/>
      <w:divBdr>
        <w:top w:val="none" w:sz="0" w:space="0" w:color="auto"/>
        <w:left w:val="none" w:sz="0" w:space="0" w:color="auto"/>
        <w:bottom w:val="none" w:sz="0" w:space="0" w:color="auto"/>
        <w:right w:val="none" w:sz="0" w:space="0" w:color="auto"/>
      </w:divBdr>
    </w:div>
    <w:div w:id="502431299">
      <w:bodyDiv w:val="1"/>
      <w:marLeft w:val="0"/>
      <w:marRight w:val="0"/>
      <w:marTop w:val="0"/>
      <w:marBottom w:val="0"/>
      <w:divBdr>
        <w:top w:val="none" w:sz="0" w:space="0" w:color="auto"/>
        <w:left w:val="none" w:sz="0" w:space="0" w:color="auto"/>
        <w:bottom w:val="none" w:sz="0" w:space="0" w:color="auto"/>
        <w:right w:val="none" w:sz="0" w:space="0" w:color="auto"/>
      </w:divBdr>
    </w:div>
    <w:div w:id="518159661">
      <w:bodyDiv w:val="1"/>
      <w:marLeft w:val="0"/>
      <w:marRight w:val="0"/>
      <w:marTop w:val="0"/>
      <w:marBottom w:val="0"/>
      <w:divBdr>
        <w:top w:val="none" w:sz="0" w:space="0" w:color="auto"/>
        <w:left w:val="none" w:sz="0" w:space="0" w:color="auto"/>
        <w:bottom w:val="none" w:sz="0" w:space="0" w:color="auto"/>
        <w:right w:val="none" w:sz="0" w:space="0" w:color="auto"/>
      </w:divBdr>
    </w:div>
    <w:div w:id="520315069">
      <w:bodyDiv w:val="1"/>
      <w:marLeft w:val="0"/>
      <w:marRight w:val="0"/>
      <w:marTop w:val="0"/>
      <w:marBottom w:val="0"/>
      <w:divBdr>
        <w:top w:val="none" w:sz="0" w:space="0" w:color="auto"/>
        <w:left w:val="none" w:sz="0" w:space="0" w:color="auto"/>
        <w:bottom w:val="none" w:sz="0" w:space="0" w:color="auto"/>
        <w:right w:val="none" w:sz="0" w:space="0" w:color="auto"/>
      </w:divBdr>
    </w:div>
    <w:div w:id="521019985">
      <w:bodyDiv w:val="1"/>
      <w:marLeft w:val="0"/>
      <w:marRight w:val="0"/>
      <w:marTop w:val="0"/>
      <w:marBottom w:val="0"/>
      <w:divBdr>
        <w:top w:val="none" w:sz="0" w:space="0" w:color="auto"/>
        <w:left w:val="none" w:sz="0" w:space="0" w:color="auto"/>
        <w:bottom w:val="none" w:sz="0" w:space="0" w:color="auto"/>
        <w:right w:val="none" w:sz="0" w:space="0" w:color="auto"/>
      </w:divBdr>
    </w:div>
    <w:div w:id="525558119">
      <w:bodyDiv w:val="1"/>
      <w:marLeft w:val="0"/>
      <w:marRight w:val="0"/>
      <w:marTop w:val="0"/>
      <w:marBottom w:val="0"/>
      <w:divBdr>
        <w:top w:val="none" w:sz="0" w:space="0" w:color="auto"/>
        <w:left w:val="none" w:sz="0" w:space="0" w:color="auto"/>
        <w:bottom w:val="none" w:sz="0" w:space="0" w:color="auto"/>
        <w:right w:val="none" w:sz="0" w:space="0" w:color="auto"/>
      </w:divBdr>
    </w:div>
    <w:div w:id="547036364">
      <w:bodyDiv w:val="1"/>
      <w:marLeft w:val="0"/>
      <w:marRight w:val="0"/>
      <w:marTop w:val="0"/>
      <w:marBottom w:val="0"/>
      <w:divBdr>
        <w:top w:val="none" w:sz="0" w:space="0" w:color="auto"/>
        <w:left w:val="none" w:sz="0" w:space="0" w:color="auto"/>
        <w:bottom w:val="none" w:sz="0" w:space="0" w:color="auto"/>
        <w:right w:val="none" w:sz="0" w:space="0" w:color="auto"/>
      </w:divBdr>
    </w:div>
    <w:div w:id="554048539">
      <w:bodyDiv w:val="1"/>
      <w:marLeft w:val="0"/>
      <w:marRight w:val="0"/>
      <w:marTop w:val="0"/>
      <w:marBottom w:val="0"/>
      <w:divBdr>
        <w:top w:val="none" w:sz="0" w:space="0" w:color="auto"/>
        <w:left w:val="none" w:sz="0" w:space="0" w:color="auto"/>
        <w:bottom w:val="none" w:sz="0" w:space="0" w:color="auto"/>
        <w:right w:val="none" w:sz="0" w:space="0" w:color="auto"/>
      </w:divBdr>
    </w:div>
    <w:div w:id="621963994">
      <w:bodyDiv w:val="1"/>
      <w:marLeft w:val="0"/>
      <w:marRight w:val="0"/>
      <w:marTop w:val="0"/>
      <w:marBottom w:val="0"/>
      <w:divBdr>
        <w:top w:val="none" w:sz="0" w:space="0" w:color="auto"/>
        <w:left w:val="none" w:sz="0" w:space="0" w:color="auto"/>
        <w:bottom w:val="none" w:sz="0" w:space="0" w:color="auto"/>
        <w:right w:val="none" w:sz="0" w:space="0" w:color="auto"/>
      </w:divBdr>
    </w:div>
    <w:div w:id="633295172">
      <w:bodyDiv w:val="1"/>
      <w:marLeft w:val="0"/>
      <w:marRight w:val="0"/>
      <w:marTop w:val="0"/>
      <w:marBottom w:val="0"/>
      <w:divBdr>
        <w:top w:val="none" w:sz="0" w:space="0" w:color="auto"/>
        <w:left w:val="none" w:sz="0" w:space="0" w:color="auto"/>
        <w:bottom w:val="none" w:sz="0" w:space="0" w:color="auto"/>
        <w:right w:val="none" w:sz="0" w:space="0" w:color="auto"/>
      </w:divBdr>
    </w:div>
    <w:div w:id="641543823">
      <w:bodyDiv w:val="1"/>
      <w:marLeft w:val="0"/>
      <w:marRight w:val="0"/>
      <w:marTop w:val="0"/>
      <w:marBottom w:val="0"/>
      <w:divBdr>
        <w:top w:val="none" w:sz="0" w:space="0" w:color="auto"/>
        <w:left w:val="none" w:sz="0" w:space="0" w:color="auto"/>
        <w:bottom w:val="none" w:sz="0" w:space="0" w:color="auto"/>
        <w:right w:val="none" w:sz="0" w:space="0" w:color="auto"/>
      </w:divBdr>
    </w:div>
    <w:div w:id="723260535">
      <w:bodyDiv w:val="1"/>
      <w:marLeft w:val="0"/>
      <w:marRight w:val="0"/>
      <w:marTop w:val="0"/>
      <w:marBottom w:val="0"/>
      <w:divBdr>
        <w:top w:val="none" w:sz="0" w:space="0" w:color="auto"/>
        <w:left w:val="none" w:sz="0" w:space="0" w:color="auto"/>
        <w:bottom w:val="none" w:sz="0" w:space="0" w:color="auto"/>
        <w:right w:val="none" w:sz="0" w:space="0" w:color="auto"/>
      </w:divBdr>
    </w:div>
    <w:div w:id="796413147">
      <w:bodyDiv w:val="1"/>
      <w:marLeft w:val="0"/>
      <w:marRight w:val="0"/>
      <w:marTop w:val="0"/>
      <w:marBottom w:val="0"/>
      <w:divBdr>
        <w:top w:val="none" w:sz="0" w:space="0" w:color="auto"/>
        <w:left w:val="none" w:sz="0" w:space="0" w:color="auto"/>
        <w:bottom w:val="none" w:sz="0" w:space="0" w:color="auto"/>
        <w:right w:val="none" w:sz="0" w:space="0" w:color="auto"/>
      </w:divBdr>
    </w:div>
    <w:div w:id="817381905">
      <w:bodyDiv w:val="1"/>
      <w:marLeft w:val="0"/>
      <w:marRight w:val="0"/>
      <w:marTop w:val="0"/>
      <w:marBottom w:val="0"/>
      <w:divBdr>
        <w:top w:val="none" w:sz="0" w:space="0" w:color="auto"/>
        <w:left w:val="none" w:sz="0" w:space="0" w:color="auto"/>
        <w:bottom w:val="none" w:sz="0" w:space="0" w:color="auto"/>
        <w:right w:val="none" w:sz="0" w:space="0" w:color="auto"/>
      </w:divBdr>
    </w:div>
    <w:div w:id="854660890">
      <w:bodyDiv w:val="1"/>
      <w:marLeft w:val="0"/>
      <w:marRight w:val="0"/>
      <w:marTop w:val="0"/>
      <w:marBottom w:val="0"/>
      <w:divBdr>
        <w:top w:val="none" w:sz="0" w:space="0" w:color="auto"/>
        <w:left w:val="none" w:sz="0" w:space="0" w:color="auto"/>
        <w:bottom w:val="none" w:sz="0" w:space="0" w:color="auto"/>
        <w:right w:val="none" w:sz="0" w:space="0" w:color="auto"/>
      </w:divBdr>
    </w:div>
    <w:div w:id="944535690">
      <w:bodyDiv w:val="1"/>
      <w:marLeft w:val="0"/>
      <w:marRight w:val="0"/>
      <w:marTop w:val="0"/>
      <w:marBottom w:val="0"/>
      <w:divBdr>
        <w:top w:val="none" w:sz="0" w:space="0" w:color="auto"/>
        <w:left w:val="none" w:sz="0" w:space="0" w:color="auto"/>
        <w:bottom w:val="none" w:sz="0" w:space="0" w:color="auto"/>
        <w:right w:val="none" w:sz="0" w:space="0" w:color="auto"/>
      </w:divBdr>
    </w:div>
    <w:div w:id="969285984">
      <w:bodyDiv w:val="1"/>
      <w:marLeft w:val="0"/>
      <w:marRight w:val="0"/>
      <w:marTop w:val="0"/>
      <w:marBottom w:val="0"/>
      <w:divBdr>
        <w:top w:val="none" w:sz="0" w:space="0" w:color="auto"/>
        <w:left w:val="none" w:sz="0" w:space="0" w:color="auto"/>
        <w:bottom w:val="none" w:sz="0" w:space="0" w:color="auto"/>
        <w:right w:val="none" w:sz="0" w:space="0" w:color="auto"/>
      </w:divBdr>
    </w:div>
    <w:div w:id="1014764857">
      <w:bodyDiv w:val="1"/>
      <w:marLeft w:val="0"/>
      <w:marRight w:val="0"/>
      <w:marTop w:val="0"/>
      <w:marBottom w:val="0"/>
      <w:divBdr>
        <w:top w:val="none" w:sz="0" w:space="0" w:color="auto"/>
        <w:left w:val="none" w:sz="0" w:space="0" w:color="auto"/>
        <w:bottom w:val="none" w:sz="0" w:space="0" w:color="auto"/>
        <w:right w:val="none" w:sz="0" w:space="0" w:color="auto"/>
      </w:divBdr>
    </w:div>
    <w:div w:id="1046879119">
      <w:bodyDiv w:val="1"/>
      <w:marLeft w:val="0"/>
      <w:marRight w:val="0"/>
      <w:marTop w:val="0"/>
      <w:marBottom w:val="0"/>
      <w:divBdr>
        <w:top w:val="none" w:sz="0" w:space="0" w:color="auto"/>
        <w:left w:val="none" w:sz="0" w:space="0" w:color="auto"/>
        <w:bottom w:val="none" w:sz="0" w:space="0" w:color="auto"/>
        <w:right w:val="none" w:sz="0" w:space="0" w:color="auto"/>
      </w:divBdr>
    </w:div>
    <w:div w:id="1048258654">
      <w:bodyDiv w:val="1"/>
      <w:marLeft w:val="0"/>
      <w:marRight w:val="0"/>
      <w:marTop w:val="0"/>
      <w:marBottom w:val="0"/>
      <w:divBdr>
        <w:top w:val="none" w:sz="0" w:space="0" w:color="auto"/>
        <w:left w:val="none" w:sz="0" w:space="0" w:color="auto"/>
        <w:bottom w:val="none" w:sz="0" w:space="0" w:color="auto"/>
        <w:right w:val="none" w:sz="0" w:space="0" w:color="auto"/>
      </w:divBdr>
    </w:div>
    <w:div w:id="1153835386">
      <w:bodyDiv w:val="1"/>
      <w:marLeft w:val="0"/>
      <w:marRight w:val="0"/>
      <w:marTop w:val="0"/>
      <w:marBottom w:val="0"/>
      <w:divBdr>
        <w:top w:val="none" w:sz="0" w:space="0" w:color="auto"/>
        <w:left w:val="none" w:sz="0" w:space="0" w:color="auto"/>
        <w:bottom w:val="none" w:sz="0" w:space="0" w:color="auto"/>
        <w:right w:val="none" w:sz="0" w:space="0" w:color="auto"/>
      </w:divBdr>
    </w:div>
    <w:div w:id="1170758584">
      <w:bodyDiv w:val="1"/>
      <w:marLeft w:val="0"/>
      <w:marRight w:val="0"/>
      <w:marTop w:val="0"/>
      <w:marBottom w:val="0"/>
      <w:divBdr>
        <w:top w:val="none" w:sz="0" w:space="0" w:color="auto"/>
        <w:left w:val="none" w:sz="0" w:space="0" w:color="auto"/>
        <w:bottom w:val="none" w:sz="0" w:space="0" w:color="auto"/>
        <w:right w:val="none" w:sz="0" w:space="0" w:color="auto"/>
      </w:divBdr>
    </w:div>
    <w:div w:id="1180850391">
      <w:bodyDiv w:val="1"/>
      <w:marLeft w:val="0"/>
      <w:marRight w:val="0"/>
      <w:marTop w:val="0"/>
      <w:marBottom w:val="0"/>
      <w:divBdr>
        <w:top w:val="none" w:sz="0" w:space="0" w:color="auto"/>
        <w:left w:val="none" w:sz="0" w:space="0" w:color="auto"/>
        <w:bottom w:val="none" w:sz="0" w:space="0" w:color="auto"/>
        <w:right w:val="none" w:sz="0" w:space="0" w:color="auto"/>
      </w:divBdr>
    </w:div>
    <w:div w:id="1218782221">
      <w:bodyDiv w:val="1"/>
      <w:marLeft w:val="0"/>
      <w:marRight w:val="0"/>
      <w:marTop w:val="0"/>
      <w:marBottom w:val="0"/>
      <w:divBdr>
        <w:top w:val="none" w:sz="0" w:space="0" w:color="auto"/>
        <w:left w:val="none" w:sz="0" w:space="0" w:color="auto"/>
        <w:bottom w:val="none" w:sz="0" w:space="0" w:color="auto"/>
        <w:right w:val="none" w:sz="0" w:space="0" w:color="auto"/>
      </w:divBdr>
    </w:div>
    <w:div w:id="1219245164">
      <w:bodyDiv w:val="1"/>
      <w:marLeft w:val="0"/>
      <w:marRight w:val="0"/>
      <w:marTop w:val="0"/>
      <w:marBottom w:val="0"/>
      <w:divBdr>
        <w:top w:val="none" w:sz="0" w:space="0" w:color="auto"/>
        <w:left w:val="none" w:sz="0" w:space="0" w:color="auto"/>
        <w:bottom w:val="none" w:sz="0" w:space="0" w:color="auto"/>
        <w:right w:val="none" w:sz="0" w:space="0" w:color="auto"/>
      </w:divBdr>
    </w:div>
    <w:div w:id="1232693118">
      <w:bodyDiv w:val="1"/>
      <w:marLeft w:val="0"/>
      <w:marRight w:val="0"/>
      <w:marTop w:val="0"/>
      <w:marBottom w:val="0"/>
      <w:divBdr>
        <w:top w:val="none" w:sz="0" w:space="0" w:color="auto"/>
        <w:left w:val="none" w:sz="0" w:space="0" w:color="auto"/>
        <w:bottom w:val="none" w:sz="0" w:space="0" w:color="auto"/>
        <w:right w:val="none" w:sz="0" w:space="0" w:color="auto"/>
      </w:divBdr>
    </w:div>
    <w:div w:id="1246575707">
      <w:bodyDiv w:val="1"/>
      <w:marLeft w:val="0"/>
      <w:marRight w:val="0"/>
      <w:marTop w:val="0"/>
      <w:marBottom w:val="0"/>
      <w:divBdr>
        <w:top w:val="none" w:sz="0" w:space="0" w:color="auto"/>
        <w:left w:val="none" w:sz="0" w:space="0" w:color="auto"/>
        <w:bottom w:val="none" w:sz="0" w:space="0" w:color="auto"/>
        <w:right w:val="none" w:sz="0" w:space="0" w:color="auto"/>
      </w:divBdr>
    </w:div>
    <w:div w:id="1264800429">
      <w:bodyDiv w:val="1"/>
      <w:marLeft w:val="0"/>
      <w:marRight w:val="0"/>
      <w:marTop w:val="0"/>
      <w:marBottom w:val="0"/>
      <w:divBdr>
        <w:top w:val="none" w:sz="0" w:space="0" w:color="auto"/>
        <w:left w:val="none" w:sz="0" w:space="0" w:color="auto"/>
        <w:bottom w:val="none" w:sz="0" w:space="0" w:color="auto"/>
        <w:right w:val="none" w:sz="0" w:space="0" w:color="auto"/>
      </w:divBdr>
    </w:div>
    <w:div w:id="1268461619">
      <w:bodyDiv w:val="1"/>
      <w:marLeft w:val="0"/>
      <w:marRight w:val="0"/>
      <w:marTop w:val="0"/>
      <w:marBottom w:val="0"/>
      <w:divBdr>
        <w:top w:val="none" w:sz="0" w:space="0" w:color="auto"/>
        <w:left w:val="none" w:sz="0" w:space="0" w:color="auto"/>
        <w:bottom w:val="none" w:sz="0" w:space="0" w:color="auto"/>
        <w:right w:val="none" w:sz="0" w:space="0" w:color="auto"/>
      </w:divBdr>
    </w:div>
    <w:div w:id="1315179789">
      <w:bodyDiv w:val="1"/>
      <w:marLeft w:val="0"/>
      <w:marRight w:val="0"/>
      <w:marTop w:val="0"/>
      <w:marBottom w:val="0"/>
      <w:divBdr>
        <w:top w:val="none" w:sz="0" w:space="0" w:color="auto"/>
        <w:left w:val="none" w:sz="0" w:space="0" w:color="auto"/>
        <w:bottom w:val="none" w:sz="0" w:space="0" w:color="auto"/>
        <w:right w:val="none" w:sz="0" w:space="0" w:color="auto"/>
      </w:divBdr>
    </w:div>
    <w:div w:id="1318417150">
      <w:bodyDiv w:val="1"/>
      <w:marLeft w:val="0"/>
      <w:marRight w:val="0"/>
      <w:marTop w:val="0"/>
      <w:marBottom w:val="0"/>
      <w:divBdr>
        <w:top w:val="none" w:sz="0" w:space="0" w:color="auto"/>
        <w:left w:val="none" w:sz="0" w:space="0" w:color="auto"/>
        <w:bottom w:val="none" w:sz="0" w:space="0" w:color="auto"/>
        <w:right w:val="none" w:sz="0" w:space="0" w:color="auto"/>
      </w:divBdr>
    </w:div>
    <w:div w:id="1366517898">
      <w:bodyDiv w:val="1"/>
      <w:marLeft w:val="0"/>
      <w:marRight w:val="0"/>
      <w:marTop w:val="0"/>
      <w:marBottom w:val="0"/>
      <w:divBdr>
        <w:top w:val="none" w:sz="0" w:space="0" w:color="auto"/>
        <w:left w:val="none" w:sz="0" w:space="0" w:color="auto"/>
        <w:bottom w:val="none" w:sz="0" w:space="0" w:color="auto"/>
        <w:right w:val="none" w:sz="0" w:space="0" w:color="auto"/>
      </w:divBdr>
    </w:div>
    <w:div w:id="1523662524">
      <w:bodyDiv w:val="1"/>
      <w:marLeft w:val="0"/>
      <w:marRight w:val="0"/>
      <w:marTop w:val="0"/>
      <w:marBottom w:val="0"/>
      <w:divBdr>
        <w:top w:val="none" w:sz="0" w:space="0" w:color="auto"/>
        <w:left w:val="none" w:sz="0" w:space="0" w:color="auto"/>
        <w:bottom w:val="none" w:sz="0" w:space="0" w:color="auto"/>
        <w:right w:val="none" w:sz="0" w:space="0" w:color="auto"/>
      </w:divBdr>
    </w:div>
    <w:div w:id="1610044917">
      <w:bodyDiv w:val="1"/>
      <w:marLeft w:val="0"/>
      <w:marRight w:val="0"/>
      <w:marTop w:val="0"/>
      <w:marBottom w:val="0"/>
      <w:divBdr>
        <w:top w:val="none" w:sz="0" w:space="0" w:color="auto"/>
        <w:left w:val="none" w:sz="0" w:space="0" w:color="auto"/>
        <w:bottom w:val="none" w:sz="0" w:space="0" w:color="auto"/>
        <w:right w:val="none" w:sz="0" w:space="0" w:color="auto"/>
      </w:divBdr>
    </w:div>
    <w:div w:id="1613587019">
      <w:bodyDiv w:val="1"/>
      <w:marLeft w:val="0"/>
      <w:marRight w:val="0"/>
      <w:marTop w:val="0"/>
      <w:marBottom w:val="0"/>
      <w:divBdr>
        <w:top w:val="none" w:sz="0" w:space="0" w:color="auto"/>
        <w:left w:val="none" w:sz="0" w:space="0" w:color="auto"/>
        <w:bottom w:val="none" w:sz="0" w:space="0" w:color="auto"/>
        <w:right w:val="none" w:sz="0" w:space="0" w:color="auto"/>
      </w:divBdr>
    </w:div>
    <w:div w:id="1620641449">
      <w:bodyDiv w:val="1"/>
      <w:marLeft w:val="0"/>
      <w:marRight w:val="0"/>
      <w:marTop w:val="0"/>
      <w:marBottom w:val="0"/>
      <w:divBdr>
        <w:top w:val="none" w:sz="0" w:space="0" w:color="auto"/>
        <w:left w:val="none" w:sz="0" w:space="0" w:color="auto"/>
        <w:bottom w:val="none" w:sz="0" w:space="0" w:color="auto"/>
        <w:right w:val="none" w:sz="0" w:space="0" w:color="auto"/>
      </w:divBdr>
    </w:div>
    <w:div w:id="1646085826">
      <w:bodyDiv w:val="1"/>
      <w:marLeft w:val="0"/>
      <w:marRight w:val="0"/>
      <w:marTop w:val="0"/>
      <w:marBottom w:val="0"/>
      <w:divBdr>
        <w:top w:val="none" w:sz="0" w:space="0" w:color="auto"/>
        <w:left w:val="none" w:sz="0" w:space="0" w:color="auto"/>
        <w:bottom w:val="none" w:sz="0" w:space="0" w:color="auto"/>
        <w:right w:val="none" w:sz="0" w:space="0" w:color="auto"/>
      </w:divBdr>
    </w:div>
    <w:div w:id="1657805366">
      <w:bodyDiv w:val="1"/>
      <w:marLeft w:val="0"/>
      <w:marRight w:val="0"/>
      <w:marTop w:val="0"/>
      <w:marBottom w:val="0"/>
      <w:divBdr>
        <w:top w:val="none" w:sz="0" w:space="0" w:color="auto"/>
        <w:left w:val="none" w:sz="0" w:space="0" w:color="auto"/>
        <w:bottom w:val="none" w:sz="0" w:space="0" w:color="auto"/>
        <w:right w:val="none" w:sz="0" w:space="0" w:color="auto"/>
      </w:divBdr>
    </w:div>
    <w:div w:id="2030066166">
      <w:bodyDiv w:val="1"/>
      <w:marLeft w:val="0"/>
      <w:marRight w:val="0"/>
      <w:marTop w:val="0"/>
      <w:marBottom w:val="0"/>
      <w:divBdr>
        <w:top w:val="none" w:sz="0" w:space="0" w:color="auto"/>
        <w:left w:val="none" w:sz="0" w:space="0" w:color="auto"/>
        <w:bottom w:val="none" w:sz="0" w:space="0" w:color="auto"/>
        <w:right w:val="none" w:sz="0" w:space="0" w:color="auto"/>
      </w:divBdr>
    </w:div>
    <w:div w:id="2091926978">
      <w:bodyDiv w:val="1"/>
      <w:marLeft w:val="0"/>
      <w:marRight w:val="0"/>
      <w:marTop w:val="0"/>
      <w:marBottom w:val="0"/>
      <w:divBdr>
        <w:top w:val="none" w:sz="0" w:space="0" w:color="auto"/>
        <w:left w:val="none" w:sz="0" w:space="0" w:color="auto"/>
        <w:bottom w:val="none" w:sz="0" w:space="0" w:color="auto"/>
        <w:right w:val="none" w:sz="0" w:space="0" w:color="auto"/>
      </w:divBdr>
    </w:div>
    <w:div w:id="2139059943">
      <w:bodyDiv w:val="1"/>
      <w:marLeft w:val="0"/>
      <w:marRight w:val="0"/>
      <w:marTop w:val="0"/>
      <w:marBottom w:val="0"/>
      <w:divBdr>
        <w:top w:val="none" w:sz="0" w:space="0" w:color="auto"/>
        <w:left w:val="none" w:sz="0" w:space="0" w:color="auto"/>
        <w:bottom w:val="none" w:sz="0" w:space="0" w:color="auto"/>
        <w:right w:val="none" w:sz="0" w:space="0" w:color="auto"/>
      </w:divBdr>
    </w:div>
    <w:div w:id="21466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0A0D0-99E6-4D5A-A364-5DE5BE92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5716</Words>
  <Characters>32585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2015-06-23T18:37:00Z</dcterms:created>
  <dcterms:modified xsi:type="dcterms:W3CDTF">2015-06-23T18:37:00Z</dcterms:modified>
</cp:coreProperties>
</file>