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w:t>
            </w:r>
            <w:proofErr w:type="spellStart"/>
            <w:r>
              <w:rPr>
                <w:rFonts w:ascii="Helvetica" w:hAnsi="Helvetica"/>
                <w:color w:val="000000"/>
                <w:sz w:val="14"/>
              </w:rPr>
              <w:t>Subagency</w:t>
            </w:r>
            <w:proofErr w:type="spellEnd"/>
            <w:r>
              <w:rPr>
                <w:rFonts w:ascii="Helvetica" w:hAnsi="Helvetica"/>
                <w:color w:val="000000"/>
                <w:sz w:val="14"/>
              </w:rPr>
              <w:t xml:space="preserve">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rsidP="00F47DF3">
            <w:pPr>
              <w:spacing w:after="40"/>
              <w:ind w:left="120"/>
              <w:rPr>
                <w:rFonts w:ascii="Helvetica" w:hAnsi="Helvetica"/>
                <w:color w:val="000000"/>
                <w:sz w:val="16"/>
              </w:rPr>
            </w:pPr>
            <w:r>
              <w:rPr>
                <w:rFonts w:ascii="Helvetica" w:hAnsi="Helvetica"/>
                <w:noProof/>
                <w:sz w:val="18"/>
              </w:rPr>
              <w:t xml:space="preserve">Office of </w:t>
            </w:r>
            <w:r w:rsidR="00F47DF3">
              <w:rPr>
                <w:rFonts w:ascii="Helvetica" w:hAnsi="Helvetica"/>
                <w:noProof/>
                <w:sz w:val="18"/>
              </w:rPr>
              <w:t>Block Grant Assistance</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 xml:space="preserve">a. </w:t>
            </w:r>
          </w:p>
        </w:tc>
        <w:tc>
          <w:tcPr>
            <w:tcW w:w="1788" w:type="dxa"/>
            <w:tcBorders>
              <w:top w:val="single" w:sz="6" w:space="0" w:color="auto"/>
            </w:tcBorders>
          </w:tcPr>
          <w:p w:rsidR="00354A58" w:rsidRPr="00337EDD" w:rsidRDefault="00337EDD" w:rsidP="00337EDD">
            <w:pPr>
              <w:spacing w:before="120"/>
              <w:rPr>
                <w:rFonts w:ascii="Helvetica" w:hAnsi="Helvetica"/>
                <w:color w:val="000000"/>
              </w:rPr>
            </w:pPr>
            <w:r w:rsidRPr="00337EDD">
              <w:rPr>
                <w:rFonts w:ascii="Helvetica" w:hAnsi="Helvetica"/>
                <w:color w:val="000000"/>
              </w:rPr>
              <w:t>2506-0185</w:t>
            </w:r>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AE162A">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225A41">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F854F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F854F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0" w:name="Check10"/>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r w:rsidR="00225A41">
              <w:rPr>
                <w:rFonts w:ascii="Helvetica" w:hAnsi="Helvetica"/>
                <w:b/>
                <w:color w:val="000000"/>
              </w:rPr>
              <w:instrText xml:space="preserve"> FORMCHECKBOX </w:instrText>
            </w:r>
            <w:r w:rsidR="00486CAC">
              <w:rPr>
                <w:rFonts w:ascii="Helvetica" w:hAnsi="Helvetica"/>
                <w:b/>
                <w:color w:val="000000"/>
              </w:rPr>
            </w:r>
            <w:r w:rsidR="00486CAC">
              <w:rPr>
                <w:rFonts w:ascii="Helvetica" w:hAnsi="Helvetica"/>
                <w:b/>
                <w:color w:val="000000"/>
              </w:rPr>
              <w:fldChar w:fldCharType="separate"/>
            </w:r>
            <w:r>
              <w:rPr>
                <w:rFonts w:ascii="Helvetica" w:hAnsi="Helvetica"/>
                <w:b/>
                <w:color w:val="000000"/>
              </w:rPr>
              <w:fldChar w:fldCharType="end"/>
            </w:r>
            <w:bookmarkEnd w:id="0"/>
            <w:r w:rsidR="00354A58">
              <w:rPr>
                <w:rFonts w:ascii="Helvetica" w:hAnsi="Helvetica"/>
                <w:b/>
                <w:color w:val="000000"/>
              </w:rPr>
              <w:t xml:space="preserve">  </w:t>
            </w:r>
            <w:r w:rsidR="00354A58">
              <w:rPr>
                <w:rFonts w:ascii="Helvetica" w:hAnsi="Helvetica"/>
                <w:color w:val="000000"/>
                <w:sz w:val="16"/>
              </w:rPr>
              <w:t>Regular</w:t>
            </w:r>
          </w:p>
          <w:p w:rsidR="004C203E" w:rsidRPr="004C203E" w:rsidRDefault="00AE162A" w:rsidP="004C203E">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0"/>
                  </w:checkBox>
                </w:ffData>
              </w:fldChar>
            </w:r>
            <w:r w:rsidR="00225A41">
              <w:rPr>
                <w:rFonts w:ascii="Helvetica" w:hAnsi="Helvetica"/>
                <w:b/>
                <w:color w:val="000000"/>
              </w:rPr>
              <w:instrText xml:space="preserve"> FORMCHECKBOX </w:instrText>
            </w:r>
            <w:r w:rsidR="00486CAC">
              <w:rPr>
                <w:rFonts w:ascii="Helvetica" w:hAnsi="Helvetica"/>
                <w:b/>
                <w:color w:val="000000"/>
              </w:rPr>
            </w:r>
            <w:r w:rsidR="00486CAC">
              <w:rPr>
                <w:rFonts w:ascii="Helvetica" w:hAnsi="Helvetica"/>
                <w:b/>
                <w:color w:val="000000"/>
              </w:rPr>
              <w:fldChar w:fldCharType="separate"/>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w:t>
            </w:r>
          </w:p>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AE162A">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354A58" w:rsidRPr="00D2515B"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1"/>
                  </w:checkBox>
                </w:ffData>
              </w:fldChar>
            </w:r>
            <w:r w:rsidR="00225A41">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 xml:space="preserve">Three years from approval date  </w:t>
            </w:r>
            <w:r w:rsidRPr="00D2515B">
              <w:rPr>
                <w:rFonts w:ascii="Helvetica" w:hAnsi="Helvetica"/>
                <w:color w:val="000000"/>
                <w:sz w:val="16"/>
              </w:rPr>
              <w:tab/>
              <w:t xml:space="preserve">b. </w:t>
            </w:r>
            <w:r w:rsidR="00AE162A">
              <w:rPr>
                <w:rFonts w:ascii="Helvetica" w:hAnsi="Helvetica"/>
                <w:b/>
                <w:color w:val="000000"/>
                <w:sz w:val="18"/>
              </w:rPr>
              <w:fldChar w:fldCharType="begin">
                <w:ffData>
                  <w:name w:val=""/>
                  <w:enabled/>
                  <w:calcOnExit w:val="0"/>
                  <w:checkBox>
                    <w:sizeAuto/>
                    <w:default w:val="0"/>
                  </w:checkBox>
                </w:ffData>
              </w:fldChar>
            </w:r>
            <w:r w:rsidR="00225A41">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Other (specify)</w:t>
            </w:r>
          </w:p>
          <w:p w:rsidR="00354A58" w:rsidRPr="003A3307" w:rsidRDefault="00BC4702" w:rsidP="00225A41">
            <w:pPr>
              <w:tabs>
                <w:tab w:val="left" w:pos="3252"/>
              </w:tabs>
              <w:spacing w:after="60"/>
              <w:rPr>
                <w:rFonts w:ascii="Helvetica" w:hAnsi="Helvetica"/>
                <w:color w:val="000000"/>
                <w:sz w:val="16"/>
                <w:szCs w:val="16"/>
              </w:rPr>
            </w:pPr>
            <w:r w:rsidRPr="00D2515B">
              <w:rPr>
                <w:rFonts w:ascii="Helvetica" w:hAnsi="Helvetica"/>
                <w:color w:val="000000"/>
                <w:sz w:val="18"/>
              </w:rPr>
              <w:tab/>
              <w:t xml:space="preserve"> </w:t>
            </w: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1F365B">
      <w:pPr>
        <w:tabs>
          <w:tab w:val="left" w:pos="240"/>
        </w:tabs>
        <w:spacing w:after="40"/>
        <w:ind w:left="120" w:right="-120"/>
        <w:rPr>
          <w:rFonts w:ascii="Helvetica" w:hAnsi="Helvetica"/>
          <w:color w:val="000000"/>
          <w:sz w:val="18"/>
        </w:rPr>
      </w:pPr>
      <w:r>
        <w:rPr>
          <w:rFonts w:ascii="Helvetica" w:hAnsi="Helvetica"/>
          <w:b/>
          <w:noProof/>
          <w:sz w:val="18"/>
        </w:rPr>
        <w:t>Neighborhood Stabilization Program 2 (NSP2)</w:t>
      </w:r>
      <w:r w:rsidR="0087481C">
        <w:rPr>
          <w:rFonts w:ascii="Helvetica" w:hAnsi="Helvetica"/>
          <w:b/>
          <w:noProof/>
          <w:sz w:val="18"/>
        </w:rPr>
        <w:t xml:space="preserve"> Reporting</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333599" w:rsidP="007753C0">
      <w:pPr>
        <w:spacing w:after="40"/>
        <w:ind w:left="120"/>
        <w:rPr>
          <w:rFonts w:ascii="Helvetica" w:hAnsi="Helvetica"/>
          <w:noProof/>
          <w:sz w:val="18"/>
        </w:rPr>
      </w:pPr>
      <w:r>
        <w:rPr>
          <w:rFonts w:ascii="Helvetica" w:hAnsi="Helvetica"/>
          <w:noProof/>
          <w:sz w:val="18"/>
        </w:rPr>
        <w:t>Neighborhood Stabilization</w:t>
      </w:r>
      <w:r w:rsidR="007753C0">
        <w:rPr>
          <w:rFonts w:ascii="Helvetica" w:hAnsi="Helvetica"/>
          <w:noProof/>
          <w:sz w:val="18"/>
        </w:rPr>
        <w:t>, Grants Admin</w:t>
      </w:r>
      <w:r>
        <w:rPr>
          <w:rFonts w:ascii="Helvetica" w:hAnsi="Helvetica"/>
          <w:noProof/>
          <w:sz w:val="18"/>
        </w:rPr>
        <w:t>is</w:t>
      </w:r>
      <w:r w:rsidR="007753C0">
        <w:rPr>
          <w:rFonts w:ascii="Helvetica" w:hAnsi="Helvetica"/>
          <w:noProof/>
          <w:sz w:val="18"/>
        </w:rPr>
        <w:t xml:space="preserve">tration, </w:t>
      </w:r>
      <w:r>
        <w:rPr>
          <w:rFonts w:ascii="Helvetica" w:hAnsi="Helvetica"/>
          <w:noProof/>
          <w:sz w:val="18"/>
        </w:rPr>
        <w:t>Foreclosure</w:t>
      </w:r>
      <w:r w:rsidR="00354A58">
        <w:rPr>
          <w:rFonts w:ascii="Helvetica" w:hAnsi="Helvetica"/>
          <w:noProof/>
          <w:sz w:val="18"/>
        </w:rPr>
        <w:t>,</w:t>
      </w:r>
      <w:r w:rsidR="007753C0">
        <w:rPr>
          <w:rFonts w:ascii="Helvetica" w:hAnsi="Helvetica"/>
          <w:noProof/>
          <w:sz w:val="18"/>
        </w:rPr>
        <w:t xml:space="preserve"> </w:t>
      </w:r>
      <w:r>
        <w:rPr>
          <w:rFonts w:ascii="Helvetica" w:hAnsi="Helvetica"/>
          <w:noProof/>
          <w:sz w:val="18"/>
        </w:rPr>
        <w:t>Community Development</w:t>
      </w:r>
      <w:r w:rsidR="007753C0">
        <w:rPr>
          <w:rFonts w:ascii="Helvetica" w:hAnsi="Helvetica"/>
          <w:noProof/>
          <w:sz w:val="18"/>
        </w:rPr>
        <w:t xml:space="preserve"> </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354A58">
      <w:pPr>
        <w:pStyle w:val="BodyText3"/>
      </w:pPr>
      <w:r>
        <w:rPr>
          <w:rFonts w:ascii="Helvetica" w:hAnsi="Helvetica"/>
          <w:noProof/>
          <w:sz w:val="18"/>
        </w:rPr>
        <w:t>This information describes the</w:t>
      </w:r>
      <w:r w:rsidR="007753C0">
        <w:rPr>
          <w:rFonts w:ascii="Helvetica" w:hAnsi="Helvetica"/>
          <w:noProof/>
          <w:sz w:val="18"/>
        </w:rPr>
        <w:t xml:space="preserve"> reporting and recordkeeping requirement</w:t>
      </w:r>
      <w:r w:rsidR="003248F2">
        <w:rPr>
          <w:rFonts w:ascii="Helvetica" w:hAnsi="Helvetica"/>
          <w:noProof/>
          <w:sz w:val="18"/>
        </w:rPr>
        <w:t>s</w:t>
      </w:r>
      <w:r w:rsidR="007753C0">
        <w:rPr>
          <w:rFonts w:ascii="Helvetica" w:hAnsi="Helvetica"/>
          <w:noProof/>
          <w:sz w:val="18"/>
        </w:rPr>
        <w:t xml:space="preserve"> of the</w:t>
      </w:r>
      <w:r w:rsidR="00333599">
        <w:rPr>
          <w:rFonts w:ascii="Helvetica" w:hAnsi="Helvetica"/>
          <w:noProof/>
          <w:sz w:val="18"/>
        </w:rPr>
        <w:t xml:space="preserve"> Neighborhood Stabilization Program 2 (NSP2)</w:t>
      </w:r>
      <w:r w:rsidR="007753C0">
        <w:rPr>
          <w:rFonts w:ascii="Helvetica" w:hAnsi="Helvetica"/>
          <w:noProof/>
          <w:sz w:val="18"/>
        </w:rPr>
        <w:t>.  The data required includ</w:t>
      </w:r>
      <w:r w:rsidR="003248F2">
        <w:rPr>
          <w:rFonts w:ascii="Helvetica" w:hAnsi="Helvetica"/>
          <w:noProof/>
          <w:sz w:val="18"/>
        </w:rPr>
        <w:t>es</w:t>
      </w:r>
      <w:r w:rsidR="007753C0">
        <w:rPr>
          <w:rFonts w:ascii="Helvetica" w:hAnsi="Helvetica"/>
          <w:noProof/>
          <w:sz w:val="18"/>
        </w:rPr>
        <w:t xml:space="preserve"> program level, project level and </w:t>
      </w:r>
      <w:r>
        <w:rPr>
          <w:rFonts w:ascii="Helvetica" w:hAnsi="Helvetica"/>
          <w:noProof/>
          <w:sz w:val="18"/>
        </w:rPr>
        <w:t>beneficiar</w:t>
      </w:r>
      <w:r w:rsidR="007753C0">
        <w:rPr>
          <w:rFonts w:ascii="Helvetica" w:hAnsi="Helvetica"/>
          <w:noProof/>
          <w:sz w:val="18"/>
        </w:rPr>
        <w:t xml:space="preserve">y level information collected and reported on by </w:t>
      </w:r>
      <w:r w:rsidR="00333599">
        <w:rPr>
          <w:rFonts w:ascii="Helvetica" w:hAnsi="Helvetica"/>
          <w:noProof/>
          <w:sz w:val="18"/>
        </w:rPr>
        <w:t xml:space="preserve">NSP2 </w:t>
      </w:r>
      <w:r w:rsidR="007753C0">
        <w:rPr>
          <w:rFonts w:ascii="Helvetica" w:hAnsi="Helvetica"/>
          <w:noProof/>
          <w:sz w:val="18"/>
        </w:rPr>
        <w:t>grantees</w:t>
      </w:r>
      <w:r>
        <w:rPr>
          <w:rFonts w:ascii="Helvetica" w:hAnsi="Helvetica"/>
          <w:noProof/>
          <w:sz w:val="18"/>
        </w:rPr>
        <w:t xml:space="preserve">.  The data identifies who benefits from the </w:t>
      </w:r>
      <w:r w:rsidR="00333599">
        <w:rPr>
          <w:rFonts w:ascii="Helvetica" w:hAnsi="Helvetica"/>
          <w:noProof/>
          <w:sz w:val="18"/>
        </w:rPr>
        <w:t>NSP2</w:t>
      </w:r>
      <w:r w:rsidR="007753C0">
        <w:rPr>
          <w:rFonts w:ascii="Helvetica" w:hAnsi="Helvetica"/>
          <w:noProof/>
          <w:sz w:val="18"/>
        </w:rPr>
        <w:t xml:space="preserve"> </w:t>
      </w:r>
      <w:r>
        <w:rPr>
          <w:rFonts w:ascii="Helvetica" w:hAnsi="Helvetica"/>
          <w:noProof/>
          <w:sz w:val="18"/>
        </w:rPr>
        <w:t>program and how statutory requirements are satisfied.  The respondents are</w:t>
      </w:r>
      <w:r w:rsidR="00333599">
        <w:rPr>
          <w:rFonts w:ascii="Helvetica" w:hAnsi="Helvetica"/>
          <w:noProof/>
          <w:sz w:val="18"/>
        </w:rPr>
        <w:t xml:space="preserve"> state, local government, non-profit and consortium applicants</w:t>
      </w:r>
      <w:r>
        <w:rPr>
          <w:rFonts w:ascii="Helvetica" w:hAnsi="Helvetica"/>
          <w:noProof/>
          <w:sz w:val="18"/>
        </w:rPr>
        <w:t>.</w:t>
      </w:r>
      <w:r>
        <w:t xml:space="preserve">                              </w:t>
      </w:r>
    </w:p>
    <w:p w:rsidR="00354A58" w:rsidRDefault="00354A58">
      <w:pPr>
        <w:pStyle w:val="BodyText3"/>
      </w:pPr>
    </w:p>
    <w:tbl>
      <w:tblPr>
        <w:tblW w:w="0" w:type="auto"/>
        <w:tblLayout w:type="fixed"/>
        <w:tblLook w:val="0000" w:firstRow="0" w:lastRow="0" w:firstColumn="0" w:lastColumn="0" w:noHBand="0" w:noVBand="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AE162A" w:rsidRPr="00D2515B">
              <w:rPr>
                <w:rFonts w:ascii="Helvetica" w:hAnsi="Helvetica"/>
                <w:b/>
                <w:color w:val="000000"/>
                <w:sz w:val="18"/>
              </w:rPr>
              <w:fldChar w:fldCharType="begin">
                <w:ffData>
                  <w:name w:val="Text17"/>
                  <w:enabled/>
                  <w:calcOnExit w:val="0"/>
                  <w:textInput>
                    <w:maxLength w:val="1"/>
                  </w:textInput>
                </w:ffData>
              </w:fldChar>
            </w:r>
            <w:bookmarkStart w:id="1" w:name="Text1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1"/>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b.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000C42FC" w:rsidRPr="00D2515B">
              <w:rPr>
                <w:rFonts w:ascii="Helvetica" w:hAnsi="Helvetica"/>
                <w:b/>
                <w:color w:val="000000"/>
                <w:sz w:val="18"/>
              </w:rPr>
              <w:t xml:space="preserve"> </w:t>
            </w:r>
            <w:r w:rsidR="00AE162A" w:rsidRPr="00D2515B">
              <w:rPr>
                <w:rFonts w:ascii="Helvetica" w:hAnsi="Helvetica"/>
                <w:b/>
                <w:color w:val="000000"/>
                <w:sz w:val="18"/>
              </w:rPr>
              <w:fldChar w:fldCharType="begin">
                <w:ffData>
                  <w:name w:val=""/>
                  <w:enabled/>
                  <w:calcOnExit w:val="0"/>
                  <w:textInput>
                    <w:default w:val="P"/>
                    <w:maxLength w:val="1"/>
                  </w:textInput>
                </w:ffData>
              </w:fldChar>
            </w:r>
            <w:r w:rsidR="00333599"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00333599" w:rsidRPr="00D2515B">
              <w:rPr>
                <w:rFonts w:ascii="Helvetica" w:hAnsi="Helvetica"/>
                <w:b/>
                <w:noProof/>
                <w:color w:val="000000"/>
                <w:sz w:val="18"/>
              </w:rPr>
              <w:t>P</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 xml:space="preserve">g. </w:t>
            </w:r>
            <w:r w:rsidRPr="00D2515B">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00AE162A" w:rsidRPr="00D2515B">
              <w:rPr>
                <w:rFonts w:ascii="Helvetica" w:hAnsi="Helvetica"/>
                <w:b/>
                <w:color w:val="000000"/>
                <w:sz w:val="18"/>
              </w:rPr>
              <w:fldChar w:fldCharType="begin">
                <w:ffData>
                  <w:name w:val="Text25"/>
                  <w:enabled/>
                  <w:calcOnExit w:val="0"/>
                  <w:textInput>
                    <w:maxLength w:val="1"/>
                  </w:textInput>
                </w:ffData>
              </w:fldChar>
            </w:r>
            <w:bookmarkStart w:id="2" w:name="Text25"/>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2"/>
            <w:r w:rsidRPr="00D2515B">
              <w:rPr>
                <w:rFonts w:ascii="Helvetica" w:hAnsi="Helvetica"/>
                <w:color w:val="000000"/>
                <w:sz w:val="14"/>
              </w:rPr>
              <w:tab/>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Pr="00D2515B">
              <w:rPr>
                <w:rFonts w:ascii="Helvetica" w:hAnsi="Helvetica"/>
                <w:b/>
                <w:color w:val="000000"/>
                <w:sz w:val="18"/>
              </w:rPr>
              <w:t>P</w:t>
            </w:r>
            <w:r w:rsidRPr="00D2515B">
              <w:rPr>
                <w:rFonts w:ascii="Helvetica" w:hAnsi="Helvetica"/>
                <w:color w:val="000000"/>
                <w:sz w:val="16"/>
              </w:rPr>
              <w:tab/>
              <w:t>Required to obtain or retain benefits</w:t>
            </w:r>
          </w:p>
          <w:p w:rsidR="00354A58" w:rsidRPr="00D2515B" w:rsidRDefault="00354A58">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00AE162A" w:rsidRPr="00D2515B">
              <w:rPr>
                <w:rFonts w:ascii="Helvetica" w:hAnsi="Helvetica"/>
                <w:b/>
                <w:color w:val="000000"/>
                <w:sz w:val="18"/>
              </w:rPr>
              <w:fldChar w:fldCharType="begin">
                <w:ffData>
                  <w:name w:val="Text27"/>
                  <w:enabled/>
                  <w:calcOnExit w:val="0"/>
                  <w:textInput>
                    <w:maxLength w:val="1"/>
                  </w:textInput>
                </w:ffData>
              </w:fldChar>
            </w:r>
            <w:bookmarkStart w:id="3" w:name="Text2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3"/>
            <w:r w:rsidRPr="00D2515B">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Pr="00EF2BF1" w:rsidRDefault="00BC4702" w:rsidP="00EF2BF1">
            <w:pPr>
              <w:keepLines/>
              <w:shd w:val="clear" w:color="auto" w:fill="FFFFFF" w:themeFill="background1"/>
              <w:tabs>
                <w:tab w:val="left" w:pos="240"/>
              </w:tabs>
              <w:rPr>
                <w:rFonts w:ascii="Helvetica" w:hAnsi="Helvetica"/>
                <w:color w:val="000000"/>
                <w:sz w:val="14"/>
              </w:rPr>
            </w:pPr>
            <w:r w:rsidRPr="00EF2BF1">
              <w:rPr>
                <w:rFonts w:ascii="Helvetica" w:hAnsi="Helvetica"/>
                <w:color w:val="000000"/>
                <w:sz w:val="16"/>
              </w:rPr>
              <w:t xml:space="preserve">13. </w:t>
            </w:r>
            <w:r w:rsidR="008D18A4">
              <w:rPr>
                <w:rFonts w:ascii="Helvetica" w:hAnsi="Helvetica"/>
                <w:color w:val="000000"/>
                <w:sz w:val="14"/>
              </w:rPr>
              <w:t>Total</w:t>
            </w:r>
            <w:r w:rsidRPr="00EF2BF1">
              <w:rPr>
                <w:rFonts w:ascii="Helvetica" w:hAnsi="Helvetica"/>
                <w:color w:val="000000"/>
                <w:sz w:val="14"/>
              </w:rPr>
              <w:t xml:space="preserve"> reporting and recordkeeping hour burden:</w:t>
            </w:r>
          </w:p>
          <w:p w:rsidR="003A412A"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a. Number of respondents</w:t>
            </w:r>
            <w:r w:rsidRPr="00EF2BF1">
              <w:rPr>
                <w:rFonts w:ascii="Helvetica" w:hAnsi="Helvetica"/>
                <w:color w:val="000000"/>
                <w:sz w:val="16"/>
                <w:szCs w:val="16"/>
              </w:rPr>
              <w:tab/>
            </w:r>
            <w:r w:rsidR="008D18A4">
              <w:rPr>
                <w:rFonts w:ascii="Helvetica" w:hAnsi="Helvetica"/>
                <w:color w:val="000000"/>
                <w:sz w:val="16"/>
                <w:szCs w:val="16"/>
              </w:rPr>
              <w:t>62</w:t>
            </w:r>
          </w:p>
          <w:p w:rsidR="00354A58" w:rsidRPr="00EF2BF1" w:rsidRDefault="008D18A4" w:rsidP="00EF2BF1">
            <w:pPr>
              <w:keepLines/>
              <w:shd w:val="clear" w:color="auto" w:fill="FFFFFF" w:themeFill="background1"/>
              <w:tabs>
                <w:tab w:val="left" w:pos="240"/>
                <w:tab w:val="right" w:pos="5040"/>
              </w:tabs>
              <w:ind w:left="120"/>
              <w:rPr>
                <w:rFonts w:ascii="Helvetica" w:hAnsi="Helvetica"/>
                <w:color w:val="000000"/>
                <w:sz w:val="16"/>
                <w:szCs w:val="16"/>
              </w:rPr>
            </w:pPr>
            <w:r>
              <w:rPr>
                <w:rFonts w:ascii="Helvetica" w:hAnsi="Helvetica"/>
                <w:color w:val="000000"/>
                <w:sz w:val="16"/>
                <w:szCs w:val="16"/>
              </w:rPr>
              <w:t>b. Total</w:t>
            </w:r>
            <w:r w:rsidR="00BC4702" w:rsidRPr="00EF2BF1">
              <w:rPr>
                <w:rFonts w:ascii="Helvetica" w:hAnsi="Helvetica"/>
                <w:color w:val="000000"/>
                <w:sz w:val="16"/>
                <w:szCs w:val="16"/>
              </w:rPr>
              <w:t xml:space="preserve"> responses</w:t>
            </w:r>
            <w:r w:rsidR="00BC4702" w:rsidRPr="00EF2BF1">
              <w:rPr>
                <w:rFonts w:ascii="Helvetica" w:hAnsi="Helvetica"/>
                <w:color w:val="000000"/>
                <w:sz w:val="16"/>
                <w:szCs w:val="16"/>
              </w:rPr>
              <w:tab/>
            </w:r>
            <w:r w:rsidRPr="008D18A4">
              <w:rPr>
                <w:rFonts w:ascii="Helvetica" w:hAnsi="Helvetica"/>
                <w:color w:val="000000"/>
                <w:sz w:val="16"/>
                <w:szCs w:val="16"/>
              </w:rPr>
              <w:t>4</w:t>
            </w:r>
            <w:r>
              <w:rPr>
                <w:rFonts w:ascii="Helvetica" w:hAnsi="Helvetica"/>
                <w:color w:val="000000"/>
                <w:sz w:val="16"/>
                <w:szCs w:val="16"/>
              </w:rPr>
              <w:t>,</w:t>
            </w:r>
            <w:r w:rsidRPr="008D18A4">
              <w:rPr>
                <w:rFonts w:ascii="Helvetica" w:hAnsi="Helvetica"/>
                <w:color w:val="000000"/>
                <w:sz w:val="16"/>
                <w:szCs w:val="16"/>
              </w:rPr>
              <w:t>362</w:t>
            </w:r>
          </w:p>
          <w:p w:rsidR="00354A58" w:rsidRPr="00F91206"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EF2BF1">
              <w:rPr>
                <w:rFonts w:ascii="Helvetica" w:hAnsi="Helvetica"/>
                <w:color w:val="000000"/>
                <w:sz w:val="16"/>
                <w:szCs w:val="16"/>
              </w:rPr>
              <w:t xml:space="preserve">Percentage of these responses collected electronically </w:t>
            </w:r>
            <w:r w:rsidRPr="00EF2BF1">
              <w:rPr>
                <w:rFonts w:ascii="Helvetica" w:hAnsi="Helvetica"/>
                <w:color w:val="000000"/>
                <w:sz w:val="16"/>
                <w:szCs w:val="16"/>
              </w:rPr>
              <w:tab/>
            </w:r>
            <w:r w:rsidR="00711139" w:rsidRPr="00F91206">
              <w:rPr>
                <w:rFonts w:ascii="Helvetica" w:hAnsi="Helvetica"/>
                <w:color w:val="000000"/>
                <w:sz w:val="16"/>
                <w:szCs w:val="16"/>
              </w:rPr>
              <w:t>100</w:t>
            </w:r>
            <w:r w:rsidRPr="00F91206">
              <w:rPr>
                <w:rFonts w:ascii="Helvetica" w:hAnsi="Helvetica"/>
                <w:color w:val="000000"/>
                <w:sz w:val="16"/>
                <w:szCs w:val="16"/>
              </w:rPr>
              <w:t>%</w:t>
            </w:r>
          </w:p>
          <w:p w:rsidR="00354A58" w:rsidRPr="00F91206" w:rsidRDefault="008D18A4"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Pr>
                <w:rFonts w:ascii="Helvetica" w:hAnsi="Helvetica"/>
                <w:color w:val="000000"/>
                <w:sz w:val="16"/>
                <w:szCs w:val="16"/>
              </w:rPr>
              <w:t>c. Total</w:t>
            </w:r>
            <w:r w:rsidR="00BC4702" w:rsidRPr="00F91206">
              <w:rPr>
                <w:rFonts w:ascii="Helvetica" w:hAnsi="Helvetica"/>
                <w:color w:val="000000"/>
                <w:sz w:val="16"/>
                <w:szCs w:val="16"/>
              </w:rPr>
              <w:t xml:space="preserve"> hours requested</w:t>
            </w:r>
            <w:r w:rsidR="00BC4702" w:rsidRPr="00F91206">
              <w:rPr>
                <w:rFonts w:ascii="Helvetica" w:hAnsi="Helvetica"/>
                <w:color w:val="000000"/>
                <w:sz w:val="16"/>
                <w:szCs w:val="16"/>
              </w:rPr>
              <w:tab/>
            </w:r>
            <w:r>
              <w:rPr>
                <w:rFonts w:ascii="Helvetica" w:hAnsi="Helvetica"/>
                <w:color w:val="000000"/>
                <w:sz w:val="16"/>
                <w:szCs w:val="16"/>
              </w:rPr>
              <w:t>2,923</w:t>
            </w:r>
          </w:p>
          <w:p w:rsidR="00354A58" w:rsidRPr="00F91206" w:rsidRDefault="00225A41"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F91206">
              <w:rPr>
                <w:rFonts w:ascii="Helvetica" w:hAnsi="Helvetica"/>
                <w:color w:val="000000"/>
                <w:sz w:val="16"/>
                <w:szCs w:val="16"/>
              </w:rPr>
              <w:t>d. Current OMB inventory</w:t>
            </w:r>
            <w:r w:rsidRPr="00F91206">
              <w:rPr>
                <w:rFonts w:ascii="Helvetica" w:hAnsi="Helvetica"/>
                <w:color w:val="000000"/>
                <w:sz w:val="16"/>
                <w:szCs w:val="16"/>
              </w:rPr>
              <w:tab/>
              <w:t>27,744</w:t>
            </w:r>
          </w:p>
          <w:p w:rsidR="00354A58" w:rsidRPr="00F91206"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F91206">
              <w:rPr>
                <w:rFonts w:ascii="Helvetica" w:hAnsi="Helvetica"/>
                <w:color w:val="000000"/>
                <w:sz w:val="16"/>
                <w:szCs w:val="16"/>
              </w:rPr>
              <w:t>e. Difference (+,-)</w:t>
            </w:r>
            <w:r w:rsidRPr="00F91206">
              <w:rPr>
                <w:rFonts w:ascii="Helvetica" w:hAnsi="Helvetica"/>
                <w:color w:val="000000"/>
                <w:sz w:val="16"/>
                <w:szCs w:val="16"/>
              </w:rPr>
              <w:tab/>
            </w:r>
            <w:r w:rsidR="00EF0DA8" w:rsidRPr="00F91206">
              <w:rPr>
                <w:rFonts w:ascii="Helvetica" w:hAnsi="Helvetica"/>
                <w:color w:val="000000"/>
                <w:sz w:val="16"/>
                <w:szCs w:val="16"/>
              </w:rPr>
              <w:t>-</w:t>
            </w:r>
            <w:r w:rsidR="00665E13" w:rsidRPr="00665E13">
              <w:rPr>
                <w:rFonts w:ascii="Helvetica" w:hAnsi="Helvetica"/>
                <w:color w:val="000000"/>
                <w:sz w:val="16"/>
                <w:szCs w:val="16"/>
              </w:rPr>
              <w:t>24</w:t>
            </w:r>
            <w:r w:rsidR="00665E13">
              <w:rPr>
                <w:rFonts w:ascii="Helvetica" w:hAnsi="Helvetica"/>
                <w:color w:val="000000"/>
                <w:sz w:val="16"/>
                <w:szCs w:val="16"/>
              </w:rPr>
              <w:t>,821</w:t>
            </w:r>
          </w:p>
          <w:p w:rsidR="00354A58" w:rsidRPr="00F91206"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F91206">
              <w:rPr>
                <w:rFonts w:ascii="Helvetica" w:hAnsi="Helvetica"/>
                <w:color w:val="000000"/>
                <w:sz w:val="16"/>
                <w:szCs w:val="16"/>
              </w:rPr>
              <w:t>f. Explanation of difference:</w:t>
            </w:r>
          </w:p>
          <w:p w:rsidR="00354A58" w:rsidRPr="00F91206"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F91206">
              <w:rPr>
                <w:rFonts w:ascii="Helvetica" w:hAnsi="Helvetica"/>
                <w:color w:val="000000"/>
                <w:sz w:val="16"/>
                <w:szCs w:val="16"/>
              </w:rPr>
              <w:t>1. Program change:</w:t>
            </w:r>
            <w:r w:rsidRPr="00F91206">
              <w:rPr>
                <w:rFonts w:ascii="Helvetica" w:hAnsi="Helvetica"/>
                <w:color w:val="000000"/>
                <w:sz w:val="16"/>
                <w:szCs w:val="16"/>
              </w:rPr>
              <w:tab/>
            </w:r>
          </w:p>
          <w:p w:rsidR="00354A58" w:rsidRPr="00D2515B" w:rsidRDefault="00BC4702" w:rsidP="00665E13">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F91206">
              <w:rPr>
                <w:rFonts w:ascii="Helvetica" w:hAnsi="Helvetica"/>
                <w:color w:val="000000"/>
                <w:sz w:val="16"/>
                <w:szCs w:val="16"/>
              </w:rPr>
              <w:t>2. Adjustment:</w:t>
            </w:r>
            <w:r w:rsidR="00354A58" w:rsidRPr="00F91206">
              <w:rPr>
                <w:rFonts w:ascii="Helvetica" w:hAnsi="Helvetica"/>
                <w:color w:val="000000"/>
                <w:sz w:val="16"/>
                <w:szCs w:val="16"/>
              </w:rPr>
              <w:tab/>
            </w:r>
            <w:r w:rsidR="00E92915" w:rsidRPr="00F91206">
              <w:rPr>
                <w:rFonts w:ascii="Helvetica" w:hAnsi="Helvetica"/>
                <w:color w:val="000000"/>
                <w:sz w:val="16"/>
                <w:szCs w:val="16"/>
              </w:rPr>
              <w:t>-</w:t>
            </w:r>
            <w:r w:rsidR="00665E13" w:rsidRPr="00665E13">
              <w:rPr>
                <w:rFonts w:ascii="Helvetica" w:hAnsi="Helvetica"/>
                <w:color w:val="000000"/>
                <w:sz w:val="16"/>
                <w:szCs w:val="16"/>
              </w:rPr>
              <w:t>24</w:t>
            </w:r>
            <w:r w:rsidR="00665E13">
              <w:rPr>
                <w:rFonts w:ascii="Helvetica" w:hAnsi="Helvetica"/>
                <w:color w:val="000000"/>
                <w:sz w:val="16"/>
                <w:szCs w:val="16"/>
              </w:rPr>
              <w:t>,</w:t>
            </w:r>
            <w:r w:rsidR="00665E13" w:rsidRPr="00665E13">
              <w:rPr>
                <w:rFonts w:ascii="Helvetica" w:hAnsi="Helvetica"/>
                <w:color w:val="000000"/>
                <w:sz w:val="16"/>
                <w:szCs w:val="16"/>
              </w:rPr>
              <w:t>82</w:t>
            </w:r>
            <w:r w:rsidR="00665E13">
              <w:rPr>
                <w:rFonts w:ascii="Helvetica" w:hAnsi="Helvetica"/>
                <w:color w:val="000000"/>
                <w:sz w:val="16"/>
                <w:szCs w:val="16"/>
              </w:rPr>
              <w:t>1</w:t>
            </w:r>
          </w:p>
        </w:tc>
        <w:tc>
          <w:tcPr>
            <w:tcW w:w="5388" w:type="dxa"/>
            <w:tcBorders>
              <w:top w:val="single" w:sz="6" w:space="0" w:color="auto"/>
              <w:left w:val="nil"/>
            </w:tcBorders>
          </w:tcPr>
          <w:p w:rsidR="00354A58" w:rsidRPr="00D2515B" w:rsidRDefault="00BC4702">
            <w:pPr>
              <w:tabs>
                <w:tab w:val="left" w:pos="240"/>
              </w:tabs>
              <w:rPr>
                <w:rFonts w:ascii="Helvetica" w:hAnsi="Helvetica"/>
                <w:color w:val="000000"/>
                <w:sz w:val="14"/>
              </w:rPr>
            </w:pPr>
            <w:r w:rsidRPr="00D2515B">
              <w:rPr>
                <w:rFonts w:ascii="Helvetica" w:hAnsi="Helvetica"/>
                <w:color w:val="000000"/>
                <w:sz w:val="16"/>
              </w:rPr>
              <w:t xml:space="preserve">14. </w:t>
            </w:r>
            <w:r w:rsidRPr="00D2515B">
              <w:rPr>
                <w:rFonts w:ascii="Helvetica" w:hAnsi="Helvetica"/>
                <w:color w:val="000000"/>
                <w:sz w:val="14"/>
              </w:rPr>
              <w:t>Annual reporting and recordkeeping cost burden: (in thousands of dollars)</w:t>
            </w:r>
          </w:p>
          <w:p w:rsidR="00354A58" w:rsidRPr="00D2515B" w:rsidRDefault="00BC4702">
            <w:pPr>
              <w:tabs>
                <w:tab w:val="left" w:pos="240"/>
              </w:tabs>
              <w:rPr>
                <w:rFonts w:ascii="Helvetica" w:hAnsi="Helvetica"/>
                <w:color w:val="000000"/>
                <w:sz w:val="14"/>
              </w:rPr>
            </w:pPr>
            <w:r w:rsidRPr="00D2515B">
              <w:rPr>
                <w:rFonts w:ascii="Helvetica" w:hAnsi="Helvetica"/>
                <w:color w:val="000000"/>
                <w:sz w:val="14"/>
              </w:rPr>
              <w:tab/>
              <w:t>Do not include costs based on the hours in item 13.</w:t>
            </w:r>
          </w:p>
          <w:p w:rsidR="00354A58" w:rsidRPr="00D2515B" w:rsidRDefault="00BC4702">
            <w:pPr>
              <w:tabs>
                <w:tab w:val="left" w:pos="240"/>
                <w:tab w:val="right" w:pos="4800"/>
              </w:tabs>
              <w:ind w:left="120"/>
              <w:rPr>
                <w:rFonts w:ascii="Helvetica" w:hAnsi="Helvetica"/>
                <w:color w:val="000000"/>
                <w:sz w:val="16"/>
                <w:szCs w:val="16"/>
              </w:rPr>
            </w:pPr>
            <w:r w:rsidRPr="00D2515B">
              <w:rPr>
                <w:rFonts w:ascii="Helvetica" w:hAnsi="Helvetica"/>
                <w:color w:val="000000"/>
                <w:sz w:val="16"/>
                <w:szCs w:val="16"/>
              </w:rPr>
              <w:t>a. Total annualized capital/startup costs</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b. Total annual costs (O&amp;M)</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c. Total annualized cost requested</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d. Current OMB inventory</w:t>
            </w:r>
            <w:r w:rsidRPr="00D2515B">
              <w:rPr>
                <w:rFonts w:ascii="Helvetica" w:hAnsi="Helvetica"/>
                <w:color w:val="000000"/>
                <w:sz w:val="16"/>
                <w:szCs w:val="16"/>
              </w:rPr>
              <w:tab/>
              <w:t>0</w:t>
            </w:r>
          </w:p>
          <w:p w:rsidR="00354A58" w:rsidRPr="00D2515B" w:rsidRDefault="00BC4702">
            <w:pPr>
              <w:tabs>
                <w:tab w:val="left" w:pos="132"/>
                <w:tab w:val="right" w:pos="4800"/>
              </w:tabs>
              <w:ind w:left="132"/>
              <w:rPr>
                <w:rFonts w:ascii="Helvetica" w:hAnsi="Helvetica"/>
                <w:color w:val="000000"/>
                <w:sz w:val="16"/>
                <w:szCs w:val="16"/>
              </w:rPr>
            </w:pPr>
            <w:r w:rsidRPr="00D2515B">
              <w:rPr>
                <w:rFonts w:ascii="Helvetica" w:hAnsi="Helvetica"/>
                <w:color w:val="000000"/>
                <w:sz w:val="16"/>
                <w:szCs w:val="16"/>
              </w:rPr>
              <w:t>e. Difference</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f. Explanation of difference:</w:t>
            </w:r>
          </w:p>
          <w:p w:rsidR="00354A58" w:rsidRPr="00D2515B" w:rsidRDefault="00BC4702">
            <w:pPr>
              <w:numPr>
                <w:ilvl w:val="12"/>
                <w:numId w:val="0"/>
              </w:numPr>
              <w:tabs>
                <w:tab w:val="left" w:pos="240"/>
                <w:tab w:val="right" w:pos="4800"/>
              </w:tabs>
              <w:ind w:left="360" w:hanging="108"/>
              <w:rPr>
                <w:rFonts w:ascii="Helvetica" w:hAnsi="Helvetica"/>
                <w:color w:val="000000"/>
                <w:sz w:val="16"/>
                <w:szCs w:val="16"/>
              </w:rPr>
            </w:pPr>
            <w:r w:rsidRPr="00D2515B">
              <w:rPr>
                <w:rFonts w:ascii="Helvetica" w:hAnsi="Helvetica"/>
                <w:color w:val="000000"/>
                <w:sz w:val="16"/>
                <w:szCs w:val="16"/>
              </w:rPr>
              <w:t>1. Program change:</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p w:rsidR="00354A58" w:rsidRPr="00D2515B" w:rsidRDefault="00BC4702">
            <w:pPr>
              <w:numPr>
                <w:ilvl w:val="12"/>
                <w:numId w:val="0"/>
              </w:numPr>
              <w:tabs>
                <w:tab w:val="left" w:pos="240"/>
                <w:tab w:val="right" w:pos="4800"/>
              </w:tabs>
              <w:spacing w:after="60"/>
              <w:ind w:left="360" w:hanging="108"/>
              <w:rPr>
                <w:rFonts w:ascii="Helvetica" w:hAnsi="Helvetica"/>
                <w:color w:val="000000"/>
                <w:sz w:val="16"/>
              </w:rPr>
            </w:pPr>
            <w:r w:rsidRPr="00D2515B">
              <w:rPr>
                <w:rFonts w:ascii="Helvetica" w:hAnsi="Helvetica"/>
                <w:color w:val="000000"/>
                <w:sz w:val="16"/>
                <w:szCs w:val="16"/>
              </w:rPr>
              <w:t>2. Adjustment:</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Text16"/>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proofErr w:type="spellStart"/>
            <w:r>
              <w:rPr>
                <w:rFonts w:ascii="Helvetica" w:hAnsi="Helvetica"/>
                <w:color w:val="000000"/>
                <w:sz w:val="16"/>
              </w:rPr>
              <w:t>Requlatory</w:t>
            </w:r>
            <w:proofErr w:type="spellEnd"/>
            <w:r>
              <w:rPr>
                <w:rFonts w:ascii="Helvetica" w:hAnsi="Helvetica"/>
                <w:color w:val="000000"/>
                <w:sz w:val="16"/>
              </w:rPr>
              <w:t xml:space="preserve">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AE162A">
              <w:rPr>
                <w:rFonts w:ascii="Helvetica" w:hAnsi="Helvetica"/>
                <w:b/>
                <w:color w:val="000000"/>
                <w:sz w:val="18"/>
              </w:rPr>
              <w:fldChar w:fldCharType="begin">
                <w:ffData>
                  <w:name w:val=""/>
                  <w:enabled/>
                  <w:calcOnExit w:val="0"/>
                  <w:checkBox>
                    <w:sizeAuto/>
                    <w:default w:val="1"/>
                  </w:checkBox>
                </w:ffData>
              </w:fldChar>
            </w:r>
            <w:r w:rsidR="000D0062">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rsidP="007D72D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proofErr w:type="spellStart"/>
            <w:r>
              <w:rPr>
                <w:rFonts w:ascii="Helvetica" w:hAnsi="Helvetica"/>
                <w:color w:val="000000"/>
                <w:sz w:val="16"/>
              </w:rPr>
              <w:t>Biennually</w:t>
            </w:r>
            <w:proofErr w:type="spellEnd"/>
            <w:r>
              <w:rPr>
                <w:rFonts w:ascii="Helvetica" w:hAnsi="Helvetica"/>
                <w:color w:val="000000"/>
                <w:sz w:val="16"/>
              </w:rPr>
              <w:tab/>
              <w:t xml:space="preserve">8. </w:t>
            </w:r>
            <w:r w:rsidR="00AE162A">
              <w:rPr>
                <w:rFonts w:ascii="Helvetica" w:hAnsi="Helvetica"/>
                <w:b/>
                <w:color w:val="000000"/>
                <w:sz w:val="18"/>
              </w:rPr>
              <w:fldChar w:fldCharType="begin">
                <w:ffData>
                  <w:name w:val=""/>
                  <w:enabled/>
                  <w:calcOnExit w:val="0"/>
                  <w:checkBox>
                    <w:sizeAuto/>
                    <w:default w:val="0"/>
                  </w:checkBox>
                </w:ffData>
              </w:fldChar>
            </w:r>
            <w:r w:rsidR="00417A35">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AE162A">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sidR="00486CAC">
              <w:rPr>
                <w:rFonts w:ascii="Helvetica" w:hAnsi="Helvetica"/>
                <w:b/>
                <w:color w:val="000000"/>
                <w:sz w:val="18"/>
              </w:rPr>
            </w:r>
            <w:r w:rsidR="00486CAC">
              <w:rPr>
                <w:rFonts w:ascii="Helvetica" w:hAnsi="Helvetica"/>
                <w:b/>
                <w:color w:val="000000"/>
                <w:sz w:val="18"/>
              </w:rPr>
              <w:fldChar w:fldCharType="separate"/>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C6635E">
              <w:rPr>
                <w:rFonts w:ascii="Helvetica" w:hAnsi="Helvetica"/>
                <w:color w:val="000000"/>
                <w:sz w:val="16"/>
              </w:rPr>
              <w:t>Stanley Gimont</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C6635E" w:rsidRPr="00C6635E">
              <w:rPr>
                <w:rFonts w:ascii="Helvetica" w:hAnsi="Helvetica"/>
                <w:color w:val="000000"/>
                <w:sz w:val="16"/>
              </w:rPr>
              <w:t>) 708-3587</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9"/>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 of information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AE162A">
      <w:pPr>
        <w:tabs>
          <w:tab w:val="left" w:pos="240"/>
        </w:tabs>
        <w:ind w:left="240"/>
      </w:pPr>
      <w:r>
        <w:fldChar w:fldCharType="begin">
          <w:ffData>
            <w:name w:val="Text20"/>
            <w:enabled/>
            <w:calcOnExit w:val="0"/>
            <w:textInput/>
          </w:ffData>
        </w:fldChar>
      </w:r>
      <w:bookmarkStart w:id="4"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4"/>
    </w:p>
    <w:p w:rsidR="00354A58" w:rsidRDefault="00354A58">
      <w:pPr>
        <w:tabs>
          <w:tab w:val="left" w:pos="240"/>
        </w:tabs>
      </w:pPr>
    </w:p>
    <w:tbl>
      <w:tblPr>
        <w:tblW w:w="0" w:type="auto"/>
        <w:tblLayout w:type="fixed"/>
        <w:tblLook w:val="0000" w:firstRow="0" w:lastRow="0" w:firstColumn="0" w:lastColumn="0" w:noHBand="0" w:noVBand="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AE162A">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5"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5"/>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54A58" w:rsidRDefault="00093392">
      <w:pPr>
        <w:jc w:val="center"/>
        <w:rPr>
          <w:b/>
          <w:sz w:val="22"/>
        </w:rPr>
      </w:pPr>
      <w:r>
        <w:rPr>
          <w:b/>
          <w:sz w:val="22"/>
        </w:rPr>
        <w:t>Neighborhood Stabilization Program 2</w:t>
      </w:r>
    </w:p>
    <w:p w:rsidR="00354A58" w:rsidRDefault="00354A58">
      <w:pP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785688" w:rsidRDefault="002E67B1" w:rsidP="002E67B1">
      <w:pPr>
        <w:tabs>
          <w:tab w:val="left" w:pos="0"/>
          <w:tab w:val="left" w:pos="720"/>
          <w:tab w:val="left" w:pos="840"/>
        </w:tabs>
        <w:rPr>
          <w:sz w:val="22"/>
        </w:rPr>
      </w:pPr>
      <w:r w:rsidRPr="002E67B1">
        <w:rPr>
          <w:sz w:val="22"/>
        </w:rPr>
        <w:t>On February 17, 2009</w:t>
      </w:r>
      <w:r>
        <w:rPr>
          <w:sz w:val="22"/>
        </w:rPr>
        <w:t>,</w:t>
      </w:r>
      <w:r w:rsidRPr="002E67B1">
        <w:rPr>
          <w:sz w:val="22"/>
        </w:rPr>
        <w:t xml:space="preserve"> President Obama signed the American Recovery and Reinvestment Act (</w:t>
      </w:r>
      <w:r w:rsidR="008F2416">
        <w:rPr>
          <w:sz w:val="22"/>
        </w:rPr>
        <w:t>Recovery Act</w:t>
      </w:r>
      <w:r w:rsidRPr="002E67B1">
        <w:rPr>
          <w:sz w:val="22"/>
        </w:rPr>
        <w:t>) of 2009 into law</w:t>
      </w:r>
      <w:r w:rsidR="00521B6A">
        <w:rPr>
          <w:sz w:val="22"/>
        </w:rPr>
        <w:t xml:space="preserve"> </w:t>
      </w:r>
      <w:r w:rsidR="00521B6A" w:rsidRPr="00521B6A">
        <w:rPr>
          <w:sz w:val="22"/>
        </w:rPr>
        <w:t>(Public Law 111-5, Section 2, Division A, Title XII of the Recovery Act, entitled “</w:t>
      </w:r>
      <w:r w:rsidR="00785688" w:rsidRPr="00785688">
        <w:rPr>
          <w:sz w:val="22"/>
        </w:rPr>
        <w:t>Community Development Fund</w:t>
      </w:r>
      <w:r w:rsidR="00521B6A" w:rsidRPr="00521B6A">
        <w:rPr>
          <w:sz w:val="22"/>
        </w:rPr>
        <w:t>”)</w:t>
      </w:r>
      <w:r w:rsidRPr="002E67B1">
        <w:rPr>
          <w:sz w:val="22"/>
        </w:rPr>
        <w:t xml:space="preserve">.  </w:t>
      </w:r>
      <w:r>
        <w:rPr>
          <w:sz w:val="22"/>
        </w:rPr>
        <w:t>T</w:t>
      </w:r>
      <w:r w:rsidRPr="002E67B1">
        <w:rPr>
          <w:sz w:val="22"/>
        </w:rPr>
        <w:t>his law provides</w:t>
      </w:r>
      <w:r w:rsidR="00785688">
        <w:rPr>
          <w:sz w:val="22"/>
        </w:rPr>
        <w:t xml:space="preserve"> </w:t>
      </w:r>
      <w:r w:rsidRPr="002E67B1">
        <w:rPr>
          <w:sz w:val="22"/>
        </w:rPr>
        <w:t>$</w:t>
      </w:r>
      <w:r w:rsidR="0084584B">
        <w:rPr>
          <w:sz w:val="22"/>
        </w:rPr>
        <w:t>1.93</w:t>
      </w:r>
      <w:r w:rsidRPr="002E67B1">
        <w:rPr>
          <w:sz w:val="22"/>
        </w:rPr>
        <w:t xml:space="preserve"> billion of </w:t>
      </w:r>
      <w:r w:rsidR="00785688">
        <w:rPr>
          <w:sz w:val="22"/>
        </w:rPr>
        <w:t xml:space="preserve">competitive </w:t>
      </w:r>
      <w:r w:rsidRPr="002E67B1">
        <w:rPr>
          <w:sz w:val="22"/>
        </w:rPr>
        <w:t>grant funding for</w:t>
      </w:r>
      <w:r w:rsidR="00785688">
        <w:rPr>
          <w:sz w:val="22"/>
        </w:rPr>
        <w:t xml:space="preserve"> the redevelopment of foreclosed upon and abandoned homes in accordance with Title III of Division B of the Housing and Economic Recovery Act of 2008 (HERA) (Public Law 110-289)</w:t>
      </w:r>
      <w:r w:rsidRPr="002E67B1">
        <w:rPr>
          <w:sz w:val="22"/>
        </w:rPr>
        <w:t xml:space="preserve">.  </w:t>
      </w:r>
      <w:r w:rsidR="00785688">
        <w:rPr>
          <w:sz w:val="22"/>
        </w:rPr>
        <w:t>HERA provided for an initial round of formula funding to regular State and entitlement Community Development Block Grant (CDBG) grantees through the Neighborhood Stabilizatio</w:t>
      </w:r>
      <w:r w:rsidR="008769F7">
        <w:rPr>
          <w:sz w:val="22"/>
        </w:rPr>
        <w:t>n Program (NSP1).  ARRA provided for a competition that opened</w:t>
      </w:r>
      <w:r w:rsidR="00785688">
        <w:rPr>
          <w:sz w:val="22"/>
        </w:rPr>
        <w:t xml:space="preserve"> eligibility to non-profit groups and consortia that may include for-profit entities.</w:t>
      </w:r>
    </w:p>
    <w:p w:rsidR="00785688" w:rsidRDefault="00785688" w:rsidP="002E67B1">
      <w:pPr>
        <w:tabs>
          <w:tab w:val="left" w:pos="0"/>
          <w:tab w:val="left" w:pos="720"/>
          <w:tab w:val="left" w:pos="840"/>
        </w:tabs>
        <w:rPr>
          <w:sz w:val="22"/>
        </w:rPr>
      </w:pPr>
    </w:p>
    <w:p w:rsidR="00093392" w:rsidRDefault="002E67B1" w:rsidP="002E67B1">
      <w:pPr>
        <w:tabs>
          <w:tab w:val="left" w:pos="0"/>
          <w:tab w:val="left" w:pos="720"/>
          <w:tab w:val="left" w:pos="840"/>
        </w:tabs>
        <w:rPr>
          <w:sz w:val="22"/>
        </w:rPr>
      </w:pPr>
      <w:r w:rsidRPr="002E67B1">
        <w:rPr>
          <w:sz w:val="22"/>
        </w:rPr>
        <w:t xml:space="preserve">HUD will administer these funds as the </w:t>
      </w:r>
      <w:r w:rsidR="00785688">
        <w:rPr>
          <w:sz w:val="22"/>
        </w:rPr>
        <w:t>Neighborhood Stabilization Prog</w:t>
      </w:r>
      <w:r w:rsidR="0084584B">
        <w:rPr>
          <w:sz w:val="22"/>
        </w:rPr>
        <w:t>r</w:t>
      </w:r>
      <w:r w:rsidR="00785688">
        <w:rPr>
          <w:sz w:val="22"/>
        </w:rPr>
        <w:t>am 2 (NSP2)</w:t>
      </w:r>
      <w:r w:rsidR="00370633">
        <w:rPr>
          <w:sz w:val="22"/>
        </w:rPr>
        <w:t>, and through a separate technical assistance grant</w:t>
      </w:r>
      <w:r w:rsidR="00A16A4D">
        <w:rPr>
          <w:sz w:val="22"/>
        </w:rPr>
        <w:t xml:space="preserve"> program </w:t>
      </w:r>
      <w:r w:rsidR="00370633">
        <w:rPr>
          <w:sz w:val="22"/>
        </w:rPr>
        <w:t>(NSP-TA)</w:t>
      </w:r>
      <w:r w:rsidRPr="002E67B1">
        <w:rPr>
          <w:sz w:val="22"/>
        </w:rPr>
        <w:t xml:space="preserve">.  </w:t>
      </w:r>
      <w:r w:rsidR="00785688">
        <w:rPr>
          <w:sz w:val="22"/>
        </w:rPr>
        <w:t>Although funds are otherwise to be considered CDBG funds, HERA and ARRA make substantive revisions to the eligibility, use, and method of distribution of NSP2 funds</w:t>
      </w:r>
      <w:r w:rsidRPr="002E67B1">
        <w:rPr>
          <w:sz w:val="22"/>
        </w:rPr>
        <w:t xml:space="preserve">.  </w:t>
      </w:r>
      <w:r w:rsidR="00093392">
        <w:rPr>
          <w:sz w:val="22"/>
        </w:rPr>
        <w:t>In NSP1, grantees submitted substantial amendments to their consolidated plans to secure funding they were entitled to under the formula.  In NSP2,</w:t>
      </w:r>
      <w:r w:rsidR="00093392" w:rsidRPr="002E67B1">
        <w:rPr>
          <w:sz w:val="22"/>
        </w:rPr>
        <w:t xml:space="preserve"> </w:t>
      </w:r>
      <w:r w:rsidRPr="002E67B1">
        <w:rPr>
          <w:sz w:val="22"/>
        </w:rPr>
        <w:t xml:space="preserve">grant amounts </w:t>
      </w:r>
      <w:r w:rsidR="008769F7">
        <w:rPr>
          <w:sz w:val="22"/>
        </w:rPr>
        <w:t>were</w:t>
      </w:r>
      <w:r w:rsidRPr="002E67B1">
        <w:rPr>
          <w:sz w:val="22"/>
        </w:rPr>
        <w:t xml:space="preserve"> determined by a </w:t>
      </w:r>
      <w:r w:rsidR="00093392">
        <w:rPr>
          <w:sz w:val="22"/>
        </w:rPr>
        <w:t>competition as described in the NSP2 Notice, and require</w:t>
      </w:r>
      <w:r w:rsidR="008769F7">
        <w:rPr>
          <w:sz w:val="22"/>
        </w:rPr>
        <w:t xml:space="preserve">d </w:t>
      </w:r>
      <w:r w:rsidR="00093392">
        <w:rPr>
          <w:sz w:val="22"/>
        </w:rPr>
        <w:t>applications demonstrating threshold eligibility and capability for HUD to make funding decisions.</w:t>
      </w:r>
    </w:p>
    <w:p w:rsidR="000202F5" w:rsidRDefault="000202F5" w:rsidP="002E67B1">
      <w:pPr>
        <w:tabs>
          <w:tab w:val="left" w:pos="0"/>
          <w:tab w:val="left" w:pos="720"/>
          <w:tab w:val="left" w:pos="840"/>
        </w:tabs>
        <w:rPr>
          <w:sz w:val="22"/>
        </w:rPr>
      </w:pPr>
    </w:p>
    <w:p w:rsidR="000202F5" w:rsidRDefault="000202F5" w:rsidP="002E67B1">
      <w:pPr>
        <w:tabs>
          <w:tab w:val="left" w:pos="0"/>
          <w:tab w:val="left" w:pos="720"/>
          <w:tab w:val="left" w:pos="840"/>
        </w:tabs>
        <w:rPr>
          <w:sz w:val="22"/>
        </w:rPr>
      </w:pPr>
      <w:r>
        <w:rPr>
          <w:sz w:val="22"/>
        </w:rPr>
        <w:t xml:space="preserve">On February 18, 2009, the Office of Management and Budget (OMB) issued Initial Implementing Guidance for the American Recovery and Reinvestment Act of 2009.  This guidance spelled out the reporting requirements for funds allocated under </w:t>
      </w:r>
      <w:r w:rsidR="008F2416">
        <w:rPr>
          <w:sz w:val="22"/>
        </w:rPr>
        <w:t>the Recovery Act</w:t>
      </w:r>
      <w:r>
        <w:rPr>
          <w:sz w:val="22"/>
        </w:rPr>
        <w:t xml:space="preserve">, including </w:t>
      </w:r>
      <w:r w:rsidR="00583FA3">
        <w:rPr>
          <w:sz w:val="22"/>
        </w:rPr>
        <w:t xml:space="preserve">NSP2 </w:t>
      </w:r>
      <w:r>
        <w:rPr>
          <w:sz w:val="22"/>
        </w:rPr>
        <w:t xml:space="preserve">funds.  </w:t>
      </w:r>
      <w:r w:rsidR="00B139A5">
        <w:rPr>
          <w:sz w:val="22"/>
        </w:rPr>
        <w:t>Specifically, the guidance requires quarterly reporting on:</w:t>
      </w:r>
    </w:p>
    <w:p w:rsidR="00B139A5" w:rsidRDefault="00B139A5" w:rsidP="00B139A5">
      <w:pPr>
        <w:numPr>
          <w:ilvl w:val="0"/>
          <w:numId w:val="14"/>
        </w:numPr>
        <w:tabs>
          <w:tab w:val="left" w:pos="0"/>
          <w:tab w:val="left" w:pos="720"/>
          <w:tab w:val="left" w:pos="840"/>
        </w:tabs>
        <w:rPr>
          <w:sz w:val="22"/>
        </w:rPr>
      </w:pPr>
      <w:r>
        <w:rPr>
          <w:sz w:val="22"/>
        </w:rPr>
        <w:t>The total amount of recovery funds received from that agency;</w:t>
      </w:r>
    </w:p>
    <w:p w:rsidR="00B139A5" w:rsidRDefault="00B139A5" w:rsidP="00B139A5">
      <w:pPr>
        <w:numPr>
          <w:ilvl w:val="0"/>
          <w:numId w:val="14"/>
        </w:numPr>
        <w:tabs>
          <w:tab w:val="left" w:pos="0"/>
          <w:tab w:val="left" w:pos="720"/>
          <w:tab w:val="left" w:pos="840"/>
        </w:tabs>
        <w:rPr>
          <w:sz w:val="22"/>
        </w:rPr>
      </w:pPr>
      <w:r>
        <w:rPr>
          <w:sz w:val="22"/>
        </w:rPr>
        <w:t>The amount of recovery funds received that were obligated and expended to projects or activities.  This reporting will also include unobligated Allotment balances to facilitate reconciliations.</w:t>
      </w:r>
    </w:p>
    <w:p w:rsidR="00B139A5" w:rsidRDefault="00B139A5" w:rsidP="00B139A5">
      <w:pPr>
        <w:numPr>
          <w:ilvl w:val="0"/>
          <w:numId w:val="14"/>
        </w:numPr>
        <w:tabs>
          <w:tab w:val="left" w:pos="0"/>
          <w:tab w:val="left" w:pos="720"/>
          <w:tab w:val="left" w:pos="840"/>
        </w:tabs>
        <w:rPr>
          <w:sz w:val="22"/>
        </w:rPr>
      </w:pPr>
      <w:r>
        <w:rPr>
          <w:sz w:val="22"/>
        </w:rPr>
        <w:t xml:space="preserve">A detailed list of all projects or activities for which recovery funds were obligated and expended, including -- </w:t>
      </w:r>
    </w:p>
    <w:p w:rsidR="00B139A5" w:rsidRDefault="00B139A5" w:rsidP="00B139A5">
      <w:pPr>
        <w:numPr>
          <w:ilvl w:val="1"/>
          <w:numId w:val="14"/>
        </w:numPr>
        <w:tabs>
          <w:tab w:val="left" w:pos="0"/>
          <w:tab w:val="left" w:pos="720"/>
          <w:tab w:val="left" w:pos="840"/>
        </w:tabs>
        <w:rPr>
          <w:sz w:val="22"/>
        </w:rPr>
      </w:pPr>
      <w:r>
        <w:rPr>
          <w:sz w:val="22"/>
        </w:rPr>
        <w:t>The name of the project or activity;</w:t>
      </w:r>
    </w:p>
    <w:p w:rsidR="00B139A5" w:rsidRDefault="00B139A5" w:rsidP="00B139A5">
      <w:pPr>
        <w:numPr>
          <w:ilvl w:val="1"/>
          <w:numId w:val="14"/>
        </w:numPr>
        <w:tabs>
          <w:tab w:val="left" w:pos="0"/>
          <w:tab w:val="left" w:pos="720"/>
          <w:tab w:val="left" w:pos="840"/>
        </w:tabs>
        <w:rPr>
          <w:sz w:val="22"/>
        </w:rPr>
      </w:pPr>
      <w:r>
        <w:rPr>
          <w:sz w:val="22"/>
        </w:rPr>
        <w:t>A description of the project or activity;</w:t>
      </w:r>
    </w:p>
    <w:p w:rsidR="00B139A5" w:rsidRDefault="00B139A5" w:rsidP="00B139A5">
      <w:pPr>
        <w:numPr>
          <w:ilvl w:val="1"/>
          <w:numId w:val="14"/>
        </w:numPr>
        <w:tabs>
          <w:tab w:val="left" w:pos="0"/>
          <w:tab w:val="left" w:pos="720"/>
          <w:tab w:val="left" w:pos="840"/>
        </w:tabs>
        <w:rPr>
          <w:sz w:val="22"/>
        </w:rPr>
      </w:pPr>
      <w:r>
        <w:rPr>
          <w:sz w:val="22"/>
        </w:rPr>
        <w:t>An evaluation of the completion status of the project or activity;</w:t>
      </w:r>
    </w:p>
    <w:p w:rsidR="00B139A5" w:rsidRDefault="00B139A5" w:rsidP="00B139A5">
      <w:pPr>
        <w:numPr>
          <w:ilvl w:val="1"/>
          <w:numId w:val="14"/>
        </w:numPr>
        <w:tabs>
          <w:tab w:val="left" w:pos="0"/>
          <w:tab w:val="left" w:pos="720"/>
          <w:tab w:val="left" w:pos="840"/>
        </w:tabs>
        <w:rPr>
          <w:sz w:val="22"/>
        </w:rPr>
      </w:pPr>
      <w:r>
        <w:rPr>
          <w:sz w:val="22"/>
        </w:rPr>
        <w:t>An estimate of the number of jobs created and the number of jobs retained by the project or activity; and</w:t>
      </w:r>
    </w:p>
    <w:p w:rsidR="00B139A5" w:rsidRDefault="00B139A5" w:rsidP="00B139A5">
      <w:pPr>
        <w:numPr>
          <w:ilvl w:val="1"/>
          <w:numId w:val="14"/>
        </w:numPr>
        <w:tabs>
          <w:tab w:val="left" w:pos="0"/>
          <w:tab w:val="left" w:pos="720"/>
          <w:tab w:val="left" w:pos="840"/>
        </w:tabs>
        <w:rPr>
          <w:sz w:val="22"/>
        </w:rPr>
      </w:pPr>
      <w:r>
        <w:rPr>
          <w:sz w:val="22"/>
        </w:rPr>
        <w:t>For infrastructure investments made by State and local governments, the purpose, total cost, and rationale of the agency for funding the infrastructure investment with fund</w:t>
      </w:r>
      <w:r w:rsidR="00162B56">
        <w:rPr>
          <w:sz w:val="22"/>
        </w:rPr>
        <w:t>s</w:t>
      </w:r>
      <w:r>
        <w:rPr>
          <w:sz w:val="22"/>
        </w:rPr>
        <w:t xml:space="preserve"> made available under this Act, and name of the person to contact at the agency if there are concerns with the infrastructure investment.</w:t>
      </w:r>
    </w:p>
    <w:p w:rsidR="00B139A5" w:rsidRDefault="00B139A5" w:rsidP="00B139A5">
      <w:pPr>
        <w:numPr>
          <w:ilvl w:val="0"/>
          <w:numId w:val="14"/>
        </w:numPr>
        <w:tabs>
          <w:tab w:val="left" w:pos="0"/>
          <w:tab w:val="left" w:pos="720"/>
          <w:tab w:val="left" w:pos="840"/>
        </w:tabs>
        <w:rPr>
          <w:sz w:val="22"/>
        </w:rPr>
      </w:pPr>
      <w:r>
        <w:rPr>
          <w:sz w:val="22"/>
        </w:rPr>
        <w:t>Detailed information on any subcontracts or subgrants awarded by the recipient to include the data elements required to comply with the Federal Funding Accountability and Transparency act of 2006 (P.L. 109-282), allowing aggregate reporting on awards below $25,000 or to individuals, as prescribed by the Director of OMB.</w:t>
      </w:r>
    </w:p>
    <w:p w:rsidR="003A3307" w:rsidRPr="00E24B39" w:rsidRDefault="003A3307" w:rsidP="003A3307">
      <w:pPr>
        <w:tabs>
          <w:tab w:val="left" w:pos="0"/>
          <w:tab w:val="left" w:pos="720"/>
          <w:tab w:val="left" w:pos="840"/>
        </w:tabs>
        <w:rPr>
          <w:sz w:val="22"/>
          <w:szCs w:val="22"/>
        </w:rPr>
      </w:pPr>
    </w:p>
    <w:p w:rsidR="003A3307" w:rsidRPr="00E24B39" w:rsidRDefault="003A3307" w:rsidP="003A3307">
      <w:pPr>
        <w:tabs>
          <w:tab w:val="left" w:pos="0"/>
          <w:tab w:val="left" w:pos="720"/>
          <w:tab w:val="left" w:pos="840"/>
        </w:tabs>
        <w:rPr>
          <w:sz w:val="22"/>
          <w:szCs w:val="22"/>
        </w:rPr>
      </w:pPr>
      <w:r w:rsidRPr="00E24B39">
        <w:rPr>
          <w:sz w:val="22"/>
          <w:szCs w:val="22"/>
        </w:rPr>
        <w:t>The applicable section of the American Recovery and Reinvestment Act (Public Law 111-5, Section 2, Division A, Title XII of the Recovery Act, entitled “</w:t>
      </w:r>
      <w:r w:rsidR="00583FA3" w:rsidRPr="00E24B39">
        <w:rPr>
          <w:sz w:val="22"/>
          <w:szCs w:val="22"/>
        </w:rPr>
        <w:t>Community Development Fund</w:t>
      </w:r>
      <w:r w:rsidRPr="00E24B39">
        <w:rPr>
          <w:sz w:val="22"/>
          <w:szCs w:val="22"/>
        </w:rPr>
        <w:t xml:space="preserve">”) is attached to this submission.  </w:t>
      </w:r>
      <w:r w:rsidR="00583FA3" w:rsidRPr="00E24B39">
        <w:rPr>
          <w:sz w:val="22"/>
          <w:szCs w:val="22"/>
        </w:rPr>
        <w:t>Additionally, the applicable section of the Housing and Economic Recovery Act of 2008 (Public Law 110-289) is attached.  Also attached is</w:t>
      </w:r>
      <w:r w:rsidRPr="00E24B39">
        <w:rPr>
          <w:sz w:val="22"/>
          <w:szCs w:val="22"/>
        </w:rPr>
        <w:t xml:space="preserve"> </w:t>
      </w:r>
      <w:r w:rsidR="008F0581" w:rsidRPr="00E24B39">
        <w:rPr>
          <w:sz w:val="22"/>
          <w:szCs w:val="22"/>
        </w:rPr>
        <w:t>the Initial Implementing Guidance for the American Recovery and Reinvestment Act of 2009 issues by OMB on February 18, 2009.  These</w:t>
      </w:r>
      <w:r w:rsidR="00583FA3" w:rsidRPr="00E24B39">
        <w:rPr>
          <w:sz w:val="22"/>
          <w:szCs w:val="22"/>
        </w:rPr>
        <w:t xml:space="preserve"> three</w:t>
      </w:r>
      <w:r w:rsidR="008F0581" w:rsidRPr="00E24B39">
        <w:rPr>
          <w:sz w:val="22"/>
          <w:szCs w:val="22"/>
        </w:rPr>
        <w:t xml:space="preserve"> documents mandate and/or authorize the collection of data in this submission.</w:t>
      </w:r>
    </w:p>
    <w:p w:rsidR="00354A58" w:rsidRPr="00E24B39" w:rsidRDefault="002E67B1" w:rsidP="002E67B1">
      <w:pPr>
        <w:tabs>
          <w:tab w:val="left" w:pos="360"/>
          <w:tab w:val="left" w:pos="720"/>
          <w:tab w:val="left" w:pos="840"/>
        </w:tabs>
        <w:ind w:left="360" w:hanging="360"/>
        <w:rPr>
          <w:sz w:val="22"/>
          <w:szCs w:val="22"/>
        </w:rPr>
      </w:pPr>
      <w:r w:rsidRPr="00E24B39">
        <w:rPr>
          <w:sz w:val="22"/>
          <w:szCs w:val="22"/>
        </w:rPr>
        <w:t xml:space="preserve">  </w:t>
      </w:r>
      <w:r w:rsidR="00354A58" w:rsidRPr="00E24B39">
        <w:rPr>
          <w:sz w:val="22"/>
          <w:szCs w:val="22"/>
        </w:rPr>
        <w:tab/>
      </w:r>
    </w:p>
    <w:p w:rsidR="00E24B39" w:rsidRPr="00E24B39" w:rsidRDefault="00354A58" w:rsidP="00E24B39">
      <w:pPr>
        <w:keepNext/>
        <w:numPr>
          <w:ilvl w:val="1"/>
          <w:numId w:val="10"/>
        </w:numPr>
        <w:tabs>
          <w:tab w:val="left" w:pos="0"/>
          <w:tab w:val="left" w:pos="720"/>
          <w:tab w:val="left" w:pos="840"/>
        </w:tabs>
        <w:rPr>
          <w:sz w:val="22"/>
          <w:szCs w:val="22"/>
        </w:rPr>
      </w:pPr>
      <w:r w:rsidRPr="00E24B39">
        <w:rPr>
          <w:b/>
          <w:sz w:val="22"/>
          <w:szCs w:val="22"/>
        </w:rPr>
        <w:t>How the information is used</w:t>
      </w:r>
    </w:p>
    <w:p w:rsidR="00E24B39" w:rsidRPr="00E24B39" w:rsidRDefault="00E24B39" w:rsidP="00E24B39">
      <w:pPr>
        <w:keepNext/>
        <w:tabs>
          <w:tab w:val="left" w:pos="0"/>
          <w:tab w:val="left" w:pos="720"/>
          <w:tab w:val="left" w:pos="840"/>
        </w:tabs>
        <w:rPr>
          <w:sz w:val="22"/>
          <w:szCs w:val="22"/>
        </w:rPr>
      </w:pPr>
      <w:r w:rsidRPr="00E24B39">
        <w:rPr>
          <w:sz w:val="22"/>
          <w:szCs w:val="22"/>
        </w:rPr>
        <w:t xml:space="preserve">This request identifies the estimated reporting burden associated with additional information that NSP 2 grantees will report in </w:t>
      </w:r>
      <w:r w:rsidR="00681485">
        <w:rPr>
          <w:sz w:val="22"/>
          <w:szCs w:val="22"/>
        </w:rPr>
        <w:t>the Disaster Recovery</w:t>
      </w:r>
      <w:r w:rsidR="00EE1550">
        <w:rPr>
          <w:sz w:val="22"/>
          <w:szCs w:val="22"/>
        </w:rPr>
        <w:t xml:space="preserve"> Grant Reporting System (DRGR),</w:t>
      </w:r>
      <w:r w:rsidRPr="00E24B39">
        <w:rPr>
          <w:sz w:val="22"/>
          <w:szCs w:val="22"/>
        </w:rPr>
        <w:t xml:space="preserve"> for </w:t>
      </w:r>
      <w:r w:rsidR="00681485">
        <w:rPr>
          <w:sz w:val="22"/>
          <w:szCs w:val="22"/>
        </w:rPr>
        <w:t xml:space="preserve">NSP 2 </w:t>
      </w:r>
      <w:r w:rsidRPr="00E24B39">
        <w:rPr>
          <w:sz w:val="22"/>
          <w:szCs w:val="22"/>
        </w:rPr>
        <w:t xml:space="preserve">assisted activities.  The information required </w:t>
      </w:r>
      <w:r w:rsidRPr="00E24B39">
        <w:rPr>
          <w:sz w:val="22"/>
          <w:szCs w:val="22"/>
        </w:rPr>
        <w:lastRenderedPageBreak/>
        <w:t>for any particular activity is generally based on the eligibility of the activity and</w:t>
      </w:r>
      <w:r w:rsidR="00681485">
        <w:rPr>
          <w:sz w:val="22"/>
          <w:szCs w:val="22"/>
        </w:rPr>
        <w:t xml:space="preserve"> the </w:t>
      </w:r>
      <w:r w:rsidRPr="00E24B39">
        <w:rPr>
          <w:sz w:val="22"/>
          <w:szCs w:val="22"/>
        </w:rPr>
        <w:t>benefit</w:t>
      </w:r>
      <w:r w:rsidR="00837B85">
        <w:rPr>
          <w:sz w:val="22"/>
          <w:szCs w:val="22"/>
        </w:rPr>
        <w:t xml:space="preserve"> to</w:t>
      </w:r>
      <w:r w:rsidR="00A16A4D">
        <w:rPr>
          <w:sz w:val="22"/>
          <w:szCs w:val="22"/>
        </w:rPr>
        <w:t xml:space="preserve"> low-,</w:t>
      </w:r>
      <w:r w:rsidRPr="00E24B39">
        <w:rPr>
          <w:sz w:val="22"/>
          <w:szCs w:val="22"/>
        </w:rPr>
        <w:t xml:space="preserve"> moderate-</w:t>
      </w:r>
      <w:r w:rsidR="00A16A4D">
        <w:rPr>
          <w:sz w:val="22"/>
          <w:szCs w:val="22"/>
        </w:rPr>
        <w:t>, and middle-</w:t>
      </w:r>
      <w:r w:rsidRPr="00E24B39">
        <w:rPr>
          <w:sz w:val="22"/>
          <w:szCs w:val="22"/>
        </w:rPr>
        <w:t>income persons</w:t>
      </w:r>
      <w:r w:rsidR="00681485">
        <w:rPr>
          <w:sz w:val="22"/>
          <w:szCs w:val="22"/>
        </w:rPr>
        <w:t xml:space="preserve"> </w:t>
      </w:r>
      <w:r w:rsidRPr="00E24B39">
        <w:rPr>
          <w:sz w:val="22"/>
          <w:szCs w:val="22"/>
        </w:rPr>
        <w:t xml:space="preserve">the grantee has determined that the activity will address.  Grantees provide information in </w:t>
      </w:r>
      <w:r w:rsidR="00681485">
        <w:rPr>
          <w:sz w:val="22"/>
          <w:szCs w:val="22"/>
        </w:rPr>
        <w:t>DRGR</w:t>
      </w:r>
      <w:r w:rsidRPr="00E24B39">
        <w:rPr>
          <w:sz w:val="22"/>
          <w:szCs w:val="22"/>
        </w:rPr>
        <w:t xml:space="preserve"> and on federalreporting.gov</w:t>
      </w:r>
      <w:r w:rsidR="00890F22">
        <w:rPr>
          <w:rStyle w:val="FootnoteReference"/>
          <w:sz w:val="22"/>
          <w:szCs w:val="22"/>
        </w:rPr>
        <w:footnoteReference w:id="1"/>
      </w:r>
      <w:r w:rsidRPr="00E24B39">
        <w:rPr>
          <w:sz w:val="22"/>
          <w:szCs w:val="22"/>
        </w:rPr>
        <w:t xml:space="preserve"> that documents the outputs obtained from individual activities, and the performance measurement data will enable HUD to report on the outcomes that result from the use of</w:t>
      </w:r>
      <w:r w:rsidR="00681485">
        <w:rPr>
          <w:sz w:val="22"/>
          <w:szCs w:val="22"/>
        </w:rPr>
        <w:t xml:space="preserve"> NSP 2 </w:t>
      </w:r>
      <w:r w:rsidRPr="00E24B39">
        <w:rPr>
          <w:sz w:val="22"/>
          <w:szCs w:val="22"/>
        </w:rPr>
        <w:t xml:space="preserve">funds.  </w:t>
      </w:r>
    </w:p>
    <w:p w:rsidR="00E24B39" w:rsidRPr="00E24B39" w:rsidRDefault="00E24B39" w:rsidP="00C6635E">
      <w:pPr>
        <w:pStyle w:val="BodyTextIndent"/>
        <w:keepNext/>
        <w:tabs>
          <w:tab w:val="clear" w:pos="360"/>
          <w:tab w:val="left" w:pos="0"/>
          <w:tab w:val="left" w:pos="720"/>
        </w:tabs>
        <w:ind w:left="0" w:firstLine="0"/>
        <w:rPr>
          <w:szCs w:val="22"/>
        </w:rPr>
      </w:pPr>
    </w:p>
    <w:p w:rsidR="00350E97" w:rsidRPr="00E24B39" w:rsidRDefault="005F5D90" w:rsidP="00681485">
      <w:pPr>
        <w:pStyle w:val="BodyTextIndent"/>
        <w:keepNext/>
        <w:tabs>
          <w:tab w:val="clear" w:pos="360"/>
          <w:tab w:val="left" w:pos="0"/>
          <w:tab w:val="left" w:pos="720"/>
        </w:tabs>
        <w:ind w:left="0" w:firstLine="0"/>
        <w:rPr>
          <w:szCs w:val="22"/>
        </w:rPr>
      </w:pPr>
      <w:r w:rsidRPr="00E24B39">
        <w:rPr>
          <w:szCs w:val="22"/>
        </w:rPr>
        <w:t>The respondents are</w:t>
      </w:r>
      <w:r w:rsidR="00350E97" w:rsidRPr="00E24B39">
        <w:rPr>
          <w:szCs w:val="22"/>
        </w:rPr>
        <w:t xml:space="preserve"> applicants </w:t>
      </w:r>
      <w:r w:rsidR="00681485">
        <w:rPr>
          <w:szCs w:val="22"/>
        </w:rPr>
        <w:t xml:space="preserve">that were awarded NSP 2 grants in the NSP 2 competition.  NSP 2 grantees are required to serve </w:t>
      </w:r>
      <w:r w:rsidR="00350E97" w:rsidRPr="00E24B39">
        <w:rPr>
          <w:szCs w:val="22"/>
        </w:rPr>
        <w:t>areas of greatest need, capacity of the organizations, and the soundness of approach among other factors addressed in the Notice of Funding Availability.</w:t>
      </w:r>
      <w:r w:rsidR="00681485">
        <w:rPr>
          <w:szCs w:val="22"/>
        </w:rPr>
        <w:t xml:space="preserve">  </w:t>
      </w:r>
      <w:r w:rsidR="00350E97" w:rsidRPr="00E24B39">
        <w:rPr>
          <w:szCs w:val="22"/>
        </w:rPr>
        <w:t>NSP1 and NSP2 grantees</w:t>
      </w:r>
      <w:r w:rsidR="00681485">
        <w:rPr>
          <w:szCs w:val="22"/>
        </w:rPr>
        <w:t xml:space="preserve"> are required</w:t>
      </w:r>
      <w:r w:rsidR="002E67B1" w:rsidRPr="00E24B39">
        <w:rPr>
          <w:szCs w:val="22"/>
        </w:rPr>
        <w:t xml:space="preserve"> </w:t>
      </w:r>
      <w:r w:rsidR="00354A58" w:rsidRPr="00E24B39">
        <w:rPr>
          <w:szCs w:val="22"/>
        </w:rPr>
        <w:t xml:space="preserve">to collect information on the activities undertaken with </w:t>
      </w:r>
      <w:r w:rsidR="00350E97" w:rsidRPr="00E24B39">
        <w:rPr>
          <w:szCs w:val="22"/>
        </w:rPr>
        <w:t xml:space="preserve">NSP </w:t>
      </w:r>
      <w:r w:rsidR="00354A58" w:rsidRPr="00E24B39">
        <w:rPr>
          <w:szCs w:val="22"/>
        </w:rPr>
        <w:t xml:space="preserve">funds.  HUD collects this information from </w:t>
      </w:r>
      <w:r w:rsidR="00350E97" w:rsidRPr="00E24B39">
        <w:rPr>
          <w:szCs w:val="22"/>
        </w:rPr>
        <w:t>recipients thro</w:t>
      </w:r>
      <w:r w:rsidR="00681485">
        <w:rPr>
          <w:szCs w:val="22"/>
        </w:rPr>
        <w:t>ugh DRGR</w:t>
      </w:r>
      <w:r w:rsidR="00354A58" w:rsidRPr="00E24B39">
        <w:rPr>
          <w:szCs w:val="22"/>
        </w:rPr>
        <w:t>.  HUD Headquarters</w:t>
      </w:r>
      <w:r w:rsidR="002E67B1" w:rsidRPr="00E24B39">
        <w:rPr>
          <w:szCs w:val="22"/>
        </w:rPr>
        <w:t xml:space="preserve"> will </w:t>
      </w:r>
      <w:r w:rsidR="00354A58" w:rsidRPr="00E24B39">
        <w:rPr>
          <w:szCs w:val="22"/>
        </w:rPr>
        <w:t xml:space="preserve">use the information collected through </w:t>
      </w:r>
      <w:r w:rsidR="00350E97" w:rsidRPr="00E24B39">
        <w:rPr>
          <w:szCs w:val="22"/>
        </w:rPr>
        <w:t xml:space="preserve">DRGR </w:t>
      </w:r>
      <w:r w:rsidR="002E67B1" w:rsidRPr="00E24B39">
        <w:rPr>
          <w:szCs w:val="22"/>
        </w:rPr>
        <w:t xml:space="preserve">to track compliance with </w:t>
      </w:r>
      <w:r w:rsidR="00350E97" w:rsidRPr="00E24B39">
        <w:rPr>
          <w:szCs w:val="22"/>
        </w:rPr>
        <w:t xml:space="preserve">NSP’s </w:t>
      </w:r>
      <w:r w:rsidR="002E67B1" w:rsidRPr="00E24B39">
        <w:rPr>
          <w:szCs w:val="22"/>
        </w:rPr>
        <w:t>statutory commitment and expenditure requirements</w:t>
      </w:r>
      <w:r w:rsidR="00B40275" w:rsidRPr="00E24B39">
        <w:rPr>
          <w:szCs w:val="22"/>
        </w:rPr>
        <w:t xml:space="preserve"> and to generate the OMB prescribed quarterly reports</w:t>
      </w:r>
      <w:r w:rsidR="002E67B1" w:rsidRPr="00E24B39">
        <w:rPr>
          <w:szCs w:val="22"/>
        </w:rPr>
        <w:t xml:space="preserve">.  Program management reports are generated by </w:t>
      </w:r>
      <w:r w:rsidR="00350E97" w:rsidRPr="00E24B39">
        <w:rPr>
          <w:szCs w:val="22"/>
        </w:rPr>
        <w:t xml:space="preserve">DRGR </w:t>
      </w:r>
      <w:r w:rsidR="002E67B1" w:rsidRPr="00E24B39">
        <w:rPr>
          <w:szCs w:val="22"/>
        </w:rPr>
        <w:t xml:space="preserve">to provide data on the status of each </w:t>
      </w:r>
      <w:r w:rsidR="00350E97" w:rsidRPr="00E24B39">
        <w:rPr>
          <w:szCs w:val="22"/>
        </w:rPr>
        <w:t>NSP recipients</w:t>
      </w:r>
      <w:r w:rsidR="002E67B1" w:rsidRPr="00E24B39">
        <w:rPr>
          <w:szCs w:val="22"/>
        </w:rPr>
        <w:t xml:space="preserve">’ commitment and disbursement of </w:t>
      </w:r>
      <w:r w:rsidR="00350E97" w:rsidRPr="00E24B39">
        <w:rPr>
          <w:szCs w:val="22"/>
        </w:rPr>
        <w:t xml:space="preserve">NSP </w:t>
      </w:r>
      <w:r w:rsidR="002E67B1" w:rsidRPr="00E24B39">
        <w:rPr>
          <w:szCs w:val="22"/>
        </w:rPr>
        <w:t xml:space="preserve">funds.  </w:t>
      </w:r>
      <w:r w:rsidRPr="00E24B39">
        <w:rPr>
          <w:szCs w:val="22"/>
        </w:rPr>
        <w:t>HUD will use t</w:t>
      </w:r>
      <w:r w:rsidR="00B40275" w:rsidRPr="00E24B39">
        <w:rPr>
          <w:szCs w:val="22"/>
        </w:rPr>
        <w:t>his data</w:t>
      </w:r>
      <w:r w:rsidR="00350E97" w:rsidRPr="00E24B39">
        <w:rPr>
          <w:szCs w:val="22"/>
        </w:rPr>
        <w:t xml:space="preserve"> </w:t>
      </w:r>
      <w:r w:rsidR="00354A58" w:rsidRPr="00E24B39">
        <w:rPr>
          <w:szCs w:val="22"/>
        </w:rPr>
        <w:t xml:space="preserve">to compile </w:t>
      </w:r>
      <w:r w:rsidR="009A30EF" w:rsidRPr="00E24B39">
        <w:rPr>
          <w:szCs w:val="22"/>
        </w:rPr>
        <w:t xml:space="preserve">quarterly and </w:t>
      </w:r>
      <w:r w:rsidR="00354A58" w:rsidRPr="00E24B39">
        <w:rPr>
          <w:szCs w:val="22"/>
        </w:rPr>
        <w:t xml:space="preserve">annual reports to </w:t>
      </w:r>
      <w:r w:rsidR="002E67B1" w:rsidRPr="00E24B39">
        <w:rPr>
          <w:szCs w:val="22"/>
        </w:rPr>
        <w:t xml:space="preserve">be posted on </w:t>
      </w:r>
      <w:hyperlink r:id="rId13" w:history="1">
        <w:r w:rsidR="002E67B1" w:rsidRPr="00E24B39">
          <w:rPr>
            <w:rStyle w:val="Hyperlink"/>
            <w:szCs w:val="22"/>
          </w:rPr>
          <w:t>www.recovery.gov</w:t>
        </w:r>
      </w:hyperlink>
      <w:r w:rsidR="00B139A5" w:rsidRPr="00E24B39">
        <w:rPr>
          <w:szCs w:val="22"/>
        </w:rPr>
        <w:t xml:space="preserve"> </w:t>
      </w:r>
      <w:r w:rsidR="009A30EF" w:rsidRPr="00E24B39">
        <w:rPr>
          <w:szCs w:val="22"/>
        </w:rPr>
        <w:t xml:space="preserve">and </w:t>
      </w:r>
      <w:hyperlink r:id="rId14" w:history="1">
        <w:r w:rsidR="008F2416" w:rsidRPr="00E24B39">
          <w:rPr>
            <w:rStyle w:val="Hyperlink"/>
            <w:szCs w:val="22"/>
          </w:rPr>
          <w:t>www.hud.gov/recovery/</w:t>
        </w:r>
      </w:hyperlink>
      <w:r w:rsidR="009A30EF" w:rsidRPr="00E24B39">
        <w:rPr>
          <w:szCs w:val="22"/>
        </w:rPr>
        <w:t>.</w:t>
      </w:r>
      <w:r w:rsidR="00276746" w:rsidRPr="00E24B39">
        <w:rPr>
          <w:szCs w:val="22"/>
        </w:rPr>
        <w:t xml:space="preserve">  </w:t>
      </w:r>
    </w:p>
    <w:p w:rsidR="00354A58" w:rsidRPr="00E24B39" w:rsidRDefault="00354A58">
      <w:pPr>
        <w:pStyle w:val="BodyTextIndent"/>
        <w:tabs>
          <w:tab w:val="clear" w:pos="360"/>
          <w:tab w:val="left" w:pos="0"/>
          <w:tab w:val="left" w:pos="720"/>
        </w:tabs>
        <w:ind w:left="0" w:firstLine="0"/>
        <w:rPr>
          <w:szCs w:val="22"/>
        </w:rPr>
      </w:pPr>
    </w:p>
    <w:p w:rsidR="00354A58" w:rsidRDefault="00354A58">
      <w:pPr>
        <w:numPr>
          <w:ilvl w:val="1"/>
          <w:numId w:val="10"/>
        </w:numPr>
        <w:tabs>
          <w:tab w:val="left" w:pos="360"/>
          <w:tab w:val="left" w:pos="720"/>
          <w:tab w:val="left" w:pos="840"/>
        </w:tabs>
        <w:rPr>
          <w:b/>
          <w:sz w:val="22"/>
          <w:szCs w:val="22"/>
        </w:rPr>
      </w:pPr>
      <w:r w:rsidRPr="00E24B39">
        <w:rPr>
          <w:b/>
          <w:sz w:val="22"/>
          <w:szCs w:val="22"/>
        </w:rPr>
        <w:t>Improved technology.</w:t>
      </w:r>
    </w:p>
    <w:p w:rsidR="00F854F3" w:rsidRPr="00E24B39" w:rsidRDefault="00F854F3" w:rsidP="00F854F3">
      <w:pPr>
        <w:tabs>
          <w:tab w:val="left" w:pos="360"/>
          <w:tab w:val="left" w:pos="720"/>
          <w:tab w:val="left" w:pos="840"/>
        </w:tabs>
        <w:rPr>
          <w:b/>
          <w:sz w:val="22"/>
          <w:szCs w:val="22"/>
        </w:rPr>
      </w:pPr>
    </w:p>
    <w:p w:rsidR="00F854F3" w:rsidRPr="00F91206" w:rsidRDefault="00F854F3" w:rsidP="00F854F3">
      <w:pPr>
        <w:pStyle w:val="BodyText"/>
        <w:tabs>
          <w:tab w:val="left" w:pos="0"/>
          <w:tab w:val="left" w:pos="720"/>
          <w:tab w:val="left" w:pos="840"/>
        </w:tabs>
        <w:rPr>
          <w:sz w:val="22"/>
          <w:szCs w:val="22"/>
        </w:rPr>
      </w:pPr>
      <w:r w:rsidRPr="00F91206">
        <w:rPr>
          <w:sz w:val="22"/>
          <w:szCs w:val="22"/>
        </w:rPr>
        <w:t>DRGR is a computerized, web-based data management system.  As of July 2009, HUD users are able to use a single sign-on capability by entering the ID and password they use to log in their workstations. The collection of grant and project level information has been automated by DRGR.  DRGR eliminates the need for respondents to submit paper reports.  Once recipients are selected, they will be able to get system access by following the instructions on HUD’s DRGR system website at https://drgr.hud.gov/DRGRWeb/request.jsp.</w:t>
      </w:r>
    </w:p>
    <w:p w:rsidR="00F854F3" w:rsidRPr="00F91206" w:rsidRDefault="00F854F3" w:rsidP="00F854F3">
      <w:pPr>
        <w:pStyle w:val="BodyText"/>
        <w:tabs>
          <w:tab w:val="left" w:pos="0"/>
          <w:tab w:val="left" w:pos="720"/>
          <w:tab w:val="left" w:pos="840"/>
        </w:tabs>
        <w:rPr>
          <w:sz w:val="22"/>
          <w:szCs w:val="22"/>
        </w:rPr>
      </w:pPr>
    </w:p>
    <w:p w:rsidR="00F854F3" w:rsidRPr="00F91206" w:rsidRDefault="00F854F3" w:rsidP="00F854F3">
      <w:pPr>
        <w:pStyle w:val="BodyText"/>
        <w:tabs>
          <w:tab w:val="left" w:pos="0"/>
          <w:tab w:val="left" w:pos="720"/>
          <w:tab w:val="left" w:pos="840"/>
        </w:tabs>
        <w:rPr>
          <w:sz w:val="22"/>
          <w:szCs w:val="22"/>
        </w:rPr>
      </w:pPr>
      <w:r w:rsidRPr="00F91206">
        <w:rPr>
          <w:sz w:val="22"/>
          <w:szCs w:val="22"/>
        </w:rPr>
        <w:t xml:space="preserve">Last year’s DRGR release (7.0) improved security by instituting a certification system where DRGR now requires users to include periodic user acceptance of “Rules of Behavior” for access to the system and certification/recertification of each DRGR user by higher-level users in DRGR. </w:t>
      </w:r>
    </w:p>
    <w:p w:rsidR="00F854F3" w:rsidRPr="00F91206" w:rsidRDefault="00F854F3" w:rsidP="00F854F3">
      <w:pPr>
        <w:pStyle w:val="BodyText"/>
        <w:tabs>
          <w:tab w:val="left" w:pos="0"/>
          <w:tab w:val="left" w:pos="720"/>
          <w:tab w:val="left" w:pos="840"/>
        </w:tabs>
        <w:rPr>
          <w:sz w:val="22"/>
          <w:szCs w:val="22"/>
        </w:rPr>
      </w:pPr>
    </w:p>
    <w:p w:rsidR="00F854F3" w:rsidRDefault="005C1B55" w:rsidP="00F854F3">
      <w:pPr>
        <w:pStyle w:val="BodyText"/>
        <w:tabs>
          <w:tab w:val="left" w:pos="0"/>
          <w:tab w:val="left" w:pos="720"/>
          <w:tab w:val="left" w:pos="840"/>
        </w:tabs>
        <w:rPr>
          <w:sz w:val="22"/>
          <w:szCs w:val="22"/>
        </w:rPr>
      </w:pPr>
      <w:r w:rsidRPr="00F91206">
        <w:rPr>
          <w:sz w:val="22"/>
          <w:szCs w:val="22"/>
        </w:rPr>
        <w:t>Release 7.3</w:t>
      </w:r>
      <w:r w:rsidR="00F854F3" w:rsidRPr="00F91206">
        <w:rPr>
          <w:sz w:val="22"/>
          <w:szCs w:val="22"/>
        </w:rPr>
        <w:t xml:space="preserve"> enables grantees to create a receipt for each Program Income (PI) transaction, budget and obligate PI funds, identify Revolving Loan Fund activities, create PI accounts identified with development partners and activities, and will require the grantee to utilize all PI or RLF funds prior to using grant funds. It also makes </w:t>
      </w:r>
      <w:proofErr w:type="spellStart"/>
      <w:r w:rsidR="00F854F3" w:rsidRPr="00F91206">
        <w:rPr>
          <w:sz w:val="22"/>
          <w:szCs w:val="22"/>
        </w:rPr>
        <w:t>inprovements</w:t>
      </w:r>
      <w:proofErr w:type="spellEnd"/>
      <w:r w:rsidR="00F854F3" w:rsidRPr="00F91206">
        <w:rPr>
          <w:sz w:val="22"/>
          <w:szCs w:val="22"/>
        </w:rPr>
        <w:t xml:space="preserve"> to drawdown vouchers by allowing users to identify multiple revisions to each line item once. There will also be enhanced functionalities such as enhanced tracking of grantee and HUD user data changes and geocoding of addresses entered into the Quarterly Performance Report (QPR).</w:t>
      </w:r>
    </w:p>
    <w:p w:rsidR="00354A58" w:rsidRPr="00E24B39" w:rsidRDefault="00354A58" w:rsidP="00F854F3">
      <w:pPr>
        <w:pStyle w:val="BodyText"/>
        <w:tabs>
          <w:tab w:val="left" w:pos="0"/>
          <w:tab w:val="left" w:pos="720"/>
          <w:tab w:val="left" w:pos="840"/>
        </w:tabs>
        <w:rPr>
          <w:sz w:val="22"/>
          <w:szCs w:val="22"/>
        </w:rPr>
      </w:pPr>
      <w:r w:rsidRPr="00E24B39">
        <w:rPr>
          <w:noProof/>
          <w:sz w:val="22"/>
          <w:szCs w:val="22"/>
        </w:rPr>
        <w:tab/>
      </w:r>
      <w:r w:rsidRPr="00E24B39">
        <w:rPr>
          <w:noProof/>
          <w:sz w:val="22"/>
          <w:szCs w:val="22"/>
        </w:rPr>
        <w:tab/>
      </w:r>
    </w:p>
    <w:p w:rsidR="00354A58" w:rsidRDefault="00354A58">
      <w:pPr>
        <w:numPr>
          <w:ilvl w:val="1"/>
          <w:numId w:val="10"/>
        </w:numPr>
        <w:tabs>
          <w:tab w:val="left" w:pos="360"/>
          <w:tab w:val="left" w:pos="720"/>
          <w:tab w:val="left" w:pos="840"/>
        </w:tabs>
        <w:rPr>
          <w:b/>
          <w:sz w:val="22"/>
        </w:rPr>
      </w:pPr>
      <w:r>
        <w:rPr>
          <w:b/>
          <w:sz w:val="22"/>
        </w:rPr>
        <w:t>Efforts to identify duplication.</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similar information exists.  The information collected through </w:t>
      </w:r>
      <w:r w:rsidR="007F1E8E">
        <w:t xml:space="preserve">DRGR </w:t>
      </w:r>
      <w:r>
        <w:t xml:space="preserve">is project-specific and, therefore, unique to each </w:t>
      </w:r>
      <w:r w:rsidR="007F1E8E">
        <w:t>recipient’s NSP program</w:t>
      </w:r>
      <w:r>
        <w:t xml:space="preserve">.  </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7F1E8E">
      <w:pPr>
        <w:pStyle w:val="BodyText3"/>
        <w:tabs>
          <w:tab w:val="clear" w:pos="1440"/>
          <w:tab w:val="clear" w:pos="2160"/>
          <w:tab w:val="clear" w:pos="2880"/>
          <w:tab w:val="clear" w:pos="3600"/>
          <w:tab w:val="clear" w:pos="4320"/>
          <w:tab w:val="left" w:pos="840"/>
        </w:tabs>
        <w:overflowPunct w:val="0"/>
        <w:spacing w:line="240" w:lineRule="auto"/>
        <w:textAlignment w:val="baseline"/>
      </w:pPr>
      <w:r>
        <w:t>The NSP2 Notice maintains a minimum threshold eligibility requirement that limits grantees to those with significant housing-related capacity</w:t>
      </w:r>
      <w:r w:rsidR="00354A58">
        <w:t>.</w:t>
      </w:r>
      <w:r>
        <w:t xml:space="preserve">  As such, HUD expects that such organizations should have the capacity to adhere to the reporting requirements in the Notice that are necessitated by program management rules, specific ARRA provisions, and the goal of prevention of fraud, waste and abuse.</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354A58" w:rsidRDefault="006A1F25">
      <w:pPr>
        <w:pStyle w:val="BodyText3"/>
        <w:tabs>
          <w:tab w:val="clear" w:pos="1440"/>
          <w:tab w:val="clear" w:pos="2160"/>
          <w:tab w:val="clear" w:pos="2880"/>
          <w:tab w:val="clear" w:pos="3600"/>
          <w:tab w:val="clear" w:pos="4320"/>
          <w:tab w:val="left" w:pos="840"/>
        </w:tabs>
        <w:overflowPunct w:val="0"/>
        <w:spacing w:line="240" w:lineRule="auto"/>
        <w:textAlignment w:val="baseline"/>
      </w:pPr>
      <w:r>
        <w:t>Less</w:t>
      </w:r>
      <w:r w:rsidR="00D5032C">
        <w:t xml:space="preserve"> frequent data collection would prevent timely reporting of the OMB prescribed reports</w:t>
      </w:r>
      <w:r w:rsidR="00F543A0">
        <w:t xml:space="preserve"> and statutory requirements</w:t>
      </w:r>
      <w:r w:rsidR="00D5032C">
        <w:t xml:space="preserve">.  </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Pr="00D64A55" w:rsidRDefault="00F97B4B">
      <w:pPr>
        <w:pStyle w:val="BodyText3"/>
        <w:tabs>
          <w:tab w:val="clear" w:pos="1440"/>
          <w:tab w:val="clear" w:pos="2160"/>
          <w:tab w:val="clear" w:pos="2880"/>
          <w:tab w:val="clear" w:pos="3600"/>
          <w:tab w:val="clear" w:pos="4320"/>
          <w:tab w:val="left" w:pos="840"/>
        </w:tabs>
        <w:overflowPunct w:val="0"/>
        <w:spacing w:line="240" w:lineRule="auto"/>
        <w:textAlignment w:val="baseline"/>
      </w:pPr>
      <w:r w:rsidRPr="00E13BF9">
        <w:t>HUD published a notice describing the Paperwork Reduction Act Submis</w:t>
      </w:r>
      <w:r w:rsidR="00F854F3">
        <w:t>sion in the Federal Register on</w:t>
      </w:r>
      <w:r w:rsidR="00B872E3">
        <w:t xml:space="preserve"> June 30, 2015; page 37285, </w:t>
      </w:r>
      <w:proofErr w:type="spellStart"/>
      <w:r w:rsidR="00B872E3">
        <w:t>vol</w:t>
      </w:r>
      <w:proofErr w:type="spellEnd"/>
      <w:r w:rsidR="00B872E3">
        <w:t xml:space="preserve"> 80,</w:t>
      </w:r>
      <w:r w:rsidRPr="00E13BF9">
        <w:t xml:space="preserve"> for 60 days, and no comments were received</w:t>
      </w:r>
      <w:r w:rsidR="00D64A55">
        <w:t>.</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lastRenderedPageBreak/>
        <w:t>Payment or gifts.</w:t>
      </w:r>
    </w:p>
    <w:p w:rsidR="00354A58" w:rsidRDefault="00354A58">
      <w:pPr>
        <w:pStyle w:val="BodyText"/>
        <w:tabs>
          <w:tab w:val="left" w:pos="0"/>
          <w:tab w:val="left" w:pos="720"/>
          <w:tab w:val="left" w:pos="840"/>
        </w:tabs>
        <w:rPr>
          <w:sz w:val="22"/>
        </w:rPr>
      </w:pPr>
      <w:proofErr w:type="gramStart"/>
      <w:r>
        <w:rPr>
          <w:sz w:val="22"/>
        </w:rPr>
        <w:t>None.</w:t>
      </w:r>
      <w:proofErr w:type="gramEnd"/>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proofErr w:type="gramStart"/>
      <w:r>
        <w:t>None.</w:t>
      </w:r>
      <w:proofErr w:type="gramEnd"/>
    </w:p>
    <w:p w:rsidR="00354A58" w:rsidRDefault="00354A58">
      <w:pPr>
        <w:tabs>
          <w:tab w:val="left" w:pos="360"/>
          <w:tab w:val="left" w:pos="720"/>
          <w:tab w:val="left" w:pos="840"/>
        </w:tabs>
        <w:ind w:left="360" w:hanging="360"/>
        <w:rPr>
          <w:b/>
          <w:sz w:val="22"/>
        </w:rPr>
      </w:pPr>
      <w:r>
        <w:rPr>
          <w:b/>
          <w:sz w:val="22"/>
        </w:rPr>
        <w:br w:type="page"/>
      </w:r>
    </w:p>
    <w:p w:rsidR="00354A58" w:rsidRDefault="00354A58" w:rsidP="00C63E76">
      <w:pPr>
        <w:pStyle w:val="Heading2"/>
        <w:numPr>
          <w:ilvl w:val="1"/>
          <w:numId w:val="10"/>
        </w:numPr>
      </w:pPr>
      <w:r>
        <w:lastRenderedPageBreak/>
        <w:t>Annual Reporting and Recordkeeping Burden</w:t>
      </w:r>
    </w:p>
    <w:p w:rsidR="00EF2BF1" w:rsidRDefault="00EF2BF1" w:rsidP="00FB2F04">
      <w:r w:rsidRPr="00F91206">
        <w:t>The following table</w:t>
      </w:r>
      <w:r w:rsidR="00FB2F04" w:rsidRPr="00F91206">
        <w:t>s</w:t>
      </w:r>
      <w:r w:rsidRPr="00F91206">
        <w:t xml:space="preserve"> demonstrate the estimated paperwork burden for recipients in the</w:t>
      </w:r>
      <w:r w:rsidR="00C50CC5" w:rsidRPr="00F91206">
        <w:t xml:space="preserve"> </w:t>
      </w:r>
      <w:r w:rsidRPr="00F91206">
        <w:t>repo</w:t>
      </w:r>
      <w:r w:rsidR="00C50CC5" w:rsidRPr="00F91206">
        <w:t xml:space="preserve">rting processes.  </w:t>
      </w:r>
      <w:r w:rsidR="00FB2F04" w:rsidRPr="00F91206">
        <w:t>The deadline for the expenditure of NSP2 funds equivalent to the original award amount is February 11, 2013. Following the expenditure deadline, grantees will have the option of requesting closeout of their grant. Post-closeout, grantees will be required to report annually on affordability restriction certification</w:t>
      </w:r>
      <w:r w:rsidR="00D53983" w:rsidRPr="00F91206">
        <w:t>s</w:t>
      </w:r>
      <w:r w:rsidR="00FB2F04" w:rsidRPr="00F91206">
        <w:t xml:space="preserve">, and </w:t>
      </w:r>
      <w:r w:rsidR="00D53983" w:rsidRPr="00F91206">
        <w:t>program income (PI), if more than $250,000 of PI is generated in a program year.</w:t>
      </w:r>
      <w:r w:rsidR="00FB2F04" w:rsidRPr="00F91206">
        <w:t xml:space="preserve"> </w:t>
      </w:r>
      <w:r w:rsidR="00D53983" w:rsidRPr="00F91206">
        <w:t>The following three tables show burden hours based on HUD’s estimates of grantees requesting and completing closeout, and thus, reflect different burden hours for each of the three fiscal years covered by this collection.</w:t>
      </w:r>
      <w:r w:rsidR="00665E13">
        <w:t xml:space="preserve"> </w:t>
      </w:r>
      <w:r w:rsidR="00665E13">
        <w:rPr>
          <w:b/>
        </w:rPr>
        <w:t>The total</w:t>
      </w:r>
      <w:r w:rsidR="00665E13" w:rsidRPr="00544FDF">
        <w:rPr>
          <w:b/>
        </w:rPr>
        <w:t xml:space="preserve"> burden hours r</w:t>
      </w:r>
      <w:r w:rsidR="00665E13">
        <w:rPr>
          <w:b/>
        </w:rPr>
        <w:t>equested is</w:t>
      </w:r>
      <w:r w:rsidR="00665E13" w:rsidRPr="00544FDF">
        <w:rPr>
          <w:b/>
        </w:rPr>
        <w:t xml:space="preserve"> </w:t>
      </w:r>
      <w:r w:rsidR="00665E13" w:rsidRPr="001D5D2D">
        <w:rPr>
          <w:b/>
        </w:rPr>
        <w:t>2</w:t>
      </w:r>
      <w:r w:rsidR="00665E13">
        <w:rPr>
          <w:b/>
        </w:rPr>
        <w:t>,</w:t>
      </w:r>
      <w:r w:rsidR="00665E13" w:rsidRPr="001D5D2D">
        <w:rPr>
          <w:b/>
        </w:rPr>
        <w:t>923</w:t>
      </w:r>
      <w:r w:rsidR="00A82AD3">
        <w:rPr>
          <w:b/>
        </w:rPr>
        <w:t>, annualized to an average of</w:t>
      </w:r>
      <w:r w:rsidR="002C6C1C">
        <w:rPr>
          <w:b/>
        </w:rPr>
        <w:t xml:space="preserve"> 975 responses per year</w:t>
      </w:r>
      <w:r w:rsidR="00665E13" w:rsidRPr="00544FDF">
        <w:rPr>
          <w:b/>
        </w:rPr>
        <w:t>.</w:t>
      </w:r>
    </w:p>
    <w:p w:rsidR="00D53983" w:rsidRDefault="00D53983" w:rsidP="00EF2BF1">
      <w:pPr>
        <w:ind w:firstLine="720"/>
      </w:pPr>
    </w:p>
    <w:tbl>
      <w:tblPr>
        <w:tblW w:w="9121" w:type="dxa"/>
        <w:tblInd w:w="85" w:type="dxa"/>
        <w:tblLayout w:type="fixed"/>
        <w:tblLook w:val="04A0" w:firstRow="1" w:lastRow="0" w:firstColumn="1" w:lastColumn="0" w:noHBand="0" w:noVBand="1"/>
      </w:tblPr>
      <w:tblGrid>
        <w:gridCol w:w="1440"/>
        <w:gridCol w:w="23"/>
        <w:gridCol w:w="1401"/>
        <w:gridCol w:w="1070"/>
        <w:gridCol w:w="1070"/>
        <w:gridCol w:w="1043"/>
        <w:gridCol w:w="788"/>
        <w:gridCol w:w="1106"/>
        <w:gridCol w:w="1180"/>
      </w:tblGrid>
      <w:tr w:rsidR="00D53983" w:rsidRPr="00D53983" w:rsidTr="00D53983">
        <w:trPr>
          <w:trHeight w:val="330"/>
        </w:trPr>
        <w:tc>
          <w:tcPr>
            <w:tcW w:w="9121" w:type="dxa"/>
            <w:gridSpan w:val="9"/>
            <w:tcBorders>
              <w:top w:val="double" w:sz="6" w:space="0" w:color="3F3F3F"/>
              <w:left w:val="double" w:sz="6" w:space="0" w:color="3F3F3F"/>
              <w:bottom w:val="nil"/>
              <w:right w:val="double" w:sz="6" w:space="0" w:color="3F3F3F"/>
            </w:tcBorders>
            <w:shd w:val="clear" w:color="000000" w:fill="A5A5A5"/>
            <w:noWrap/>
            <w:vAlign w:val="bottom"/>
            <w:hideMark/>
          </w:tcPr>
          <w:p w:rsidR="00D53983" w:rsidRPr="00D53983" w:rsidRDefault="00D53983" w:rsidP="00D53983">
            <w:pPr>
              <w:overflowPunct/>
              <w:autoSpaceDE/>
              <w:autoSpaceDN/>
              <w:adjustRightInd/>
              <w:jc w:val="center"/>
              <w:textAlignment w:val="auto"/>
              <w:rPr>
                <w:rFonts w:ascii="Calibri" w:hAnsi="Calibri" w:cs="Calibri"/>
                <w:b/>
                <w:bCs/>
                <w:color w:val="FFFFFF"/>
                <w:sz w:val="22"/>
                <w:szCs w:val="22"/>
              </w:rPr>
            </w:pPr>
            <w:r w:rsidRPr="00D53983">
              <w:rPr>
                <w:rFonts w:ascii="Calibri" w:hAnsi="Calibri" w:cs="Calibri"/>
                <w:b/>
                <w:bCs/>
                <w:color w:val="FFFFFF"/>
                <w:sz w:val="22"/>
                <w:szCs w:val="22"/>
              </w:rPr>
              <w:t xml:space="preserve">Neighborhood Stabilization Program </w:t>
            </w:r>
            <w:r w:rsidR="00E50808">
              <w:rPr>
                <w:rFonts w:ascii="Calibri" w:hAnsi="Calibri" w:cs="Calibri"/>
                <w:b/>
                <w:bCs/>
                <w:color w:val="FFFFFF"/>
                <w:sz w:val="22"/>
                <w:szCs w:val="22"/>
              </w:rPr>
              <w:t xml:space="preserve">2 </w:t>
            </w:r>
            <w:r w:rsidRPr="00D53983">
              <w:rPr>
                <w:rFonts w:ascii="Calibri" w:hAnsi="Calibri" w:cs="Calibri"/>
                <w:b/>
                <w:bCs/>
                <w:color w:val="FFFFFF"/>
                <w:sz w:val="22"/>
                <w:szCs w:val="22"/>
              </w:rPr>
              <w:t>(Year 1)</w:t>
            </w:r>
          </w:p>
        </w:tc>
      </w:tr>
      <w:tr w:rsidR="00D53983" w:rsidRPr="00D53983" w:rsidTr="00D53983">
        <w:trPr>
          <w:trHeight w:val="915"/>
        </w:trPr>
        <w:tc>
          <w:tcPr>
            <w:tcW w:w="1463" w:type="dxa"/>
            <w:gridSpan w:val="2"/>
            <w:tcBorders>
              <w:top w:val="single" w:sz="8" w:space="0" w:color="auto"/>
              <w:left w:val="single" w:sz="8" w:space="0" w:color="auto"/>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Description of Information Collection</w:t>
            </w:r>
          </w:p>
        </w:tc>
        <w:tc>
          <w:tcPr>
            <w:tcW w:w="1401"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Number of Respondents</w:t>
            </w:r>
          </w:p>
        </w:tc>
        <w:tc>
          <w:tcPr>
            <w:tcW w:w="1070"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Number of Responses</w:t>
            </w:r>
          </w:p>
        </w:tc>
        <w:tc>
          <w:tcPr>
            <w:tcW w:w="1070"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Total Number of Responses</w:t>
            </w:r>
          </w:p>
        </w:tc>
        <w:tc>
          <w:tcPr>
            <w:tcW w:w="1043"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Hours Per Response</w:t>
            </w:r>
          </w:p>
        </w:tc>
        <w:tc>
          <w:tcPr>
            <w:tcW w:w="788"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Total Hours</w:t>
            </w:r>
          </w:p>
        </w:tc>
        <w:tc>
          <w:tcPr>
            <w:tcW w:w="1106"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Cost Per Response</w:t>
            </w:r>
          </w:p>
        </w:tc>
        <w:tc>
          <w:tcPr>
            <w:tcW w:w="1180"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Total Cost</w:t>
            </w:r>
          </w:p>
        </w:tc>
      </w:tr>
      <w:tr w:rsidR="00665E13" w:rsidRPr="00D53983" w:rsidTr="00D53983">
        <w:trPr>
          <w:trHeight w:val="670"/>
        </w:trPr>
        <w:tc>
          <w:tcPr>
            <w:tcW w:w="1463" w:type="dxa"/>
            <w:gridSpan w:val="2"/>
            <w:tcBorders>
              <w:top w:val="single" w:sz="4" w:space="0" w:color="auto"/>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 xml:space="preserve">Online Quarterly Reporting via DRGR </w:t>
            </w:r>
          </w:p>
        </w:tc>
        <w:tc>
          <w:tcPr>
            <w:tcW w:w="140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56</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224</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788"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896</w:t>
            </w:r>
          </w:p>
        </w:tc>
        <w:tc>
          <w:tcPr>
            <w:tcW w:w="1106"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$96.40 </w:t>
            </w:r>
          </w:p>
        </w:tc>
        <w:tc>
          <w:tcPr>
            <w:tcW w:w="1180" w:type="dxa"/>
            <w:tcBorders>
              <w:top w:val="single" w:sz="8" w:space="0" w:color="auto"/>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$86,374 </w:t>
            </w:r>
          </w:p>
        </w:tc>
      </w:tr>
      <w:tr w:rsidR="00665E13" w:rsidRPr="00D53983" w:rsidTr="00D53983">
        <w:trPr>
          <w:trHeight w:val="480"/>
        </w:trPr>
        <w:tc>
          <w:tcPr>
            <w:tcW w:w="1463" w:type="dxa"/>
            <w:gridSpan w:val="2"/>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DRGR voucher submissions</w:t>
            </w:r>
          </w:p>
        </w:tc>
        <w:tc>
          <w:tcPr>
            <w:tcW w:w="1401" w:type="dxa"/>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56</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38</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2102</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0.18</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378</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$4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$1,642 </w:t>
            </w:r>
          </w:p>
        </w:tc>
      </w:tr>
      <w:tr w:rsidR="00665E13" w:rsidRPr="00D53983" w:rsidTr="00D53983">
        <w:trPr>
          <w:trHeight w:val="572"/>
        </w:trPr>
        <w:tc>
          <w:tcPr>
            <w:tcW w:w="1463" w:type="dxa"/>
            <w:gridSpan w:val="2"/>
            <w:tcBorders>
              <w:top w:val="nil"/>
              <w:left w:val="single" w:sz="8" w:space="0" w:color="auto"/>
              <w:bottom w:val="single" w:sz="8"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b/>
                <w:bCs/>
                <w:color w:val="000000"/>
                <w:sz w:val="18"/>
                <w:szCs w:val="18"/>
              </w:rPr>
            </w:pPr>
            <w:r w:rsidRPr="00D53983">
              <w:rPr>
                <w:rFonts w:ascii="Calibri" w:hAnsi="Calibri" w:cs="Calibri"/>
                <w:b/>
                <w:bCs/>
                <w:color w:val="000000"/>
                <w:sz w:val="18"/>
                <w:szCs w:val="18"/>
              </w:rPr>
              <w:t>TOTAL PAPERWORK BURDEN</w:t>
            </w:r>
          </w:p>
        </w:tc>
        <w:tc>
          <w:tcPr>
            <w:tcW w:w="1401" w:type="dxa"/>
            <w:tcBorders>
              <w:top w:val="nil"/>
              <w:left w:val="single" w:sz="8" w:space="0" w:color="auto"/>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42</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2326</w:t>
            </w:r>
          </w:p>
        </w:tc>
        <w:tc>
          <w:tcPr>
            <w:tcW w:w="1043"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788"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1274</w:t>
            </w:r>
          </w:p>
        </w:tc>
        <w:tc>
          <w:tcPr>
            <w:tcW w:w="1106"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180" w:type="dxa"/>
            <w:tcBorders>
              <w:top w:val="nil"/>
              <w:left w:val="nil"/>
              <w:bottom w:val="single" w:sz="8" w:space="0" w:color="auto"/>
              <w:right w:val="single" w:sz="8"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 xml:space="preserve">$88,016 </w:t>
            </w:r>
          </w:p>
        </w:tc>
      </w:tr>
      <w:tr w:rsidR="00D53983" w:rsidRPr="00D53983" w:rsidTr="00D53983">
        <w:trPr>
          <w:trHeight w:val="315"/>
        </w:trPr>
        <w:tc>
          <w:tcPr>
            <w:tcW w:w="9121" w:type="dxa"/>
            <w:gridSpan w:val="9"/>
            <w:tcBorders>
              <w:top w:val="double" w:sz="6" w:space="0" w:color="3F3F3F"/>
              <w:left w:val="double" w:sz="6" w:space="0" w:color="3F3F3F"/>
              <w:bottom w:val="nil"/>
              <w:right w:val="double" w:sz="6" w:space="0" w:color="3F3F3F"/>
            </w:tcBorders>
            <w:shd w:val="clear" w:color="000000" w:fill="A5A5A5"/>
            <w:noWrap/>
            <w:vAlign w:val="center"/>
            <w:hideMark/>
          </w:tcPr>
          <w:p w:rsidR="00D53983" w:rsidRPr="00D53983" w:rsidRDefault="00D53983" w:rsidP="00D53983">
            <w:pPr>
              <w:overflowPunct/>
              <w:autoSpaceDE/>
              <w:autoSpaceDN/>
              <w:adjustRightInd/>
              <w:jc w:val="center"/>
              <w:textAlignment w:val="auto"/>
              <w:rPr>
                <w:rFonts w:ascii="Calibri" w:hAnsi="Calibri" w:cs="Calibri"/>
                <w:b/>
                <w:bCs/>
                <w:color w:val="FFFFFF"/>
                <w:sz w:val="22"/>
                <w:szCs w:val="22"/>
              </w:rPr>
            </w:pPr>
            <w:r w:rsidRPr="00D53983">
              <w:rPr>
                <w:rFonts w:ascii="Calibri" w:hAnsi="Calibri" w:cs="Calibri"/>
                <w:b/>
                <w:bCs/>
                <w:color w:val="FFFFFF"/>
                <w:sz w:val="22"/>
                <w:szCs w:val="22"/>
              </w:rPr>
              <w:t>(Year 2)</w:t>
            </w:r>
          </w:p>
        </w:tc>
      </w:tr>
      <w:tr w:rsidR="00665E13" w:rsidRPr="00D53983" w:rsidTr="00D53983">
        <w:trPr>
          <w:trHeight w:val="787"/>
        </w:trPr>
        <w:tc>
          <w:tcPr>
            <w:tcW w:w="1440" w:type="dxa"/>
            <w:tcBorders>
              <w:top w:val="single" w:sz="4" w:space="0" w:color="auto"/>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 xml:space="preserve">Online Quarterly Reporting via DRGR </w:t>
            </w:r>
          </w:p>
        </w:tc>
        <w:tc>
          <w:tcPr>
            <w:tcW w:w="142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42</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168</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788"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672</w:t>
            </w:r>
          </w:p>
        </w:tc>
        <w:tc>
          <w:tcPr>
            <w:tcW w:w="1106"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$96.40 </w:t>
            </w:r>
          </w:p>
        </w:tc>
        <w:tc>
          <w:tcPr>
            <w:tcW w:w="1180" w:type="dxa"/>
            <w:tcBorders>
              <w:top w:val="single" w:sz="8" w:space="0" w:color="auto"/>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$64,781 </w:t>
            </w:r>
          </w:p>
        </w:tc>
      </w:tr>
      <w:tr w:rsidR="00665E13" w:rsidRPr="00D53983" w:rsidTr="00D53983">
        <w:trPr>
          <w:trHeight w:val="735"/>
        </w:trPr>
        <w:tc>
          <w:tcPr>
            <w:tcW w:w="1440" w:type="dxa"/>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Quarterly Voucher Submissions</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42</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38</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1596</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0.18</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287</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$4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$1,246 </w:t>
            </w:r>
          </w:p>
        </w:tc>
      </w:tr>
      <w:tr w:rsidR="00665E13" w:rsidRPr="00D53983" w:rsidTr="00D53983">
        <w:trPr>
          <w:trHeight w:val="735"/>
        </w:trPr>
        <w:tc>
          <w:tcPr>
            <w:tcW w:w="1440" w:type="dxa"/>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Annual Reporting via DRGR/IDIS</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14</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14</w:t>
            </w:r>
          </w:p>
        </w:tc>
        <w:tc>
          <w:tcPr>
            <w:tcW w:w="1043" w:type="dxa"/>
            <w:tcBorders>
              <w:top w:val="nil"/>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42</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$72.30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$3,037 </w:t>
            </w:r>
          </w:p>
        </w:tc>
      </w:tr>
      <w:tr w:rsidR="00665E13" w:rsidRPr="00D53983" w:rsidTr="00D53983">
        <w:trPr>
          <w:trHeight w:val="720"/>
        </w:trPr>
        <w:tc>
          <w:tcPr>
            <w:tcW w:w="1440" w:type="dxa"/>
            <w:tcBorders>
              <w:top w:val="nil"/>
              <w:left w:val="single" w:sz="8" w:space="0" w:color="auto"/>
              <w:bottom w:val="nil"/>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Annual Income Certification Reporting</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14</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14</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42</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$72.30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$3,037 </w:t>
            </w:r>
          </w:p>
        </w:tc>
      </w:tr>
      <w:tr w:rsidR="00665E13" w:rsidRPr="00D53983" w:rsidTr="00D53983">
        <w:trPr>
          <w:trHeight w:val="527"/>
        </w:trPr>
        <w:tc>
          <w:tcPr>
            <w:tcW w:w="1440" w:type="dxa"/>
            <w:tcBorders>
              <w:top w:val="single" w:sz="4" w:space="0" w:color="auto"/>
              <w:left w:val="single" w:sz="8" w:space="0" w:color="auto"/>
              <w:bottom w:val="single" w:sz="8"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b/>
                <w:bCs/>
                <w:color w:val="000000"/>
                <w:sz w:val="18"/>
                <w:szCs w:val="18"/>
              </w:rPr>
            </w:pPr>
            <w:r w:rsidRPr="00D53983">
              <w:rPr>
                <w:rFonts w:ascii="Calibri" w:hAnsi="Calibri" w:cs="Calibri"/>
                <w:b/>
                <w:bCs/>
                <w:color w:val="000000"/>
                <w:sz w:val="18"/>
                <w:szCs w:val="18"/>
              </w:rPr>
              <w:t>TOTAL PAPERWORK BURDEN</w:t>
            </w:r>
          </w:p>
        </w:tc>
        <w:tc>
          <w:tcPr>
            <w:tcW w:w="1424" w:type="dxa"/>
            <w:gridSpan w:val="2"/>
            <w:tcBorders>
              <w:top w:val="nil"/>
              <w:left w:val="single" w:sz="8" w:space="0" w:color="auto"/>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10</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1792</w:t>
            </w:r>
          </w:p>
        </w:tc>
        <w:tc>
          <w:tcPr>
            <w:tcW w:w="1043"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788"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1043</w:t>
            </w:r>
          </w:p>
        </w:tc>
        <w:tc>
          <w:tcPr>
            <w:tcW w:w="1106"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180" w:type="dxa"/>
            <w:tcBorders>
              <w:top w:val="nil"/>
              <w:left w:val="nil"/>
              <w:bottom w:val="single" w:sz="8" w:space="0" w:color="auto"/>
              <w:right w:val="single" w:sz="8"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 xml:space="preserve">$72,100 </w:t>
            </w:r>
          </w:p>
        </w:tc>
      </w:tr>
      <w:tr w:rsidR="00D53983" w:rsidRPr="00D53983" w:rsidTr="00D53983">
        <w:trPr>
          <w:trHeight w:val="330"/>
        </w:trPr>
        <w:tc>
          <w:tcPr>
            <w:tcW w:w="9121" w:type="dxa"/>
            <w:gridSpan w:val="9"/>
            <w:tcBorders>
              <w:top w:val="double" w:sz="6" w:space="0" w:color="3F3F3F"/>
              <w:left w:val="double" w:sz="6" w:space="0" w:color="3F3F3F"/>
              <w:bottom w:val="nil"/>
              <w:right w:val="double" w:sz="6" w:space="0" w:color="3F3F3F"/>
            </w:tcBorders>
            <w:shd w:val="clear" w:color="000000" w:fill="A5A5A5"/>
            <w:noWrap/>
            <w:vAlign w:val="center"/>
            <w:hideMark/>
          </w:tcPr>
          <w:p w:rsidR="00D53983" w:rsidRPr="00D53983" w:rsidRDefault="00D53983" w:rsidP="00D53983">
            <w:pPr>
              <w:overflowPunct/>
              <w:autoSpaceDE/>
              <w:autoSpaceDN/>
              <w:adjustRightInd/>
              <w:jc w:val="center"/>
              <w:textAlignment w:val="auto"/>
              <w:rPr>
                <w:rFonts w:ascii="Calibri" w:hAnsi="Calibri" w:cs="Calibri"/>
                <w:b/>
                <w:bCs/>
                <w:color w:val="FFFFFF"/>
                <w:sz w:val="22"/>
                <w:szCs w:val="22"/>
              </w:rPr>
            </w:pPr>
            <w:r w:rsidRPr="00D53983">
              <w:rPr>
                <w:rFonts w:ascii="Calibri" w:hAnsi="Calibri" w:cs="Calibri"/>
                <w:b/>
                <w:bCs/>
                <w:color w:val="FFFFFF"/>
                <w:sz w:val="22"/>
                <w:szCs w:val="22"/>
              </w:rPr>
              <w:t>(Year 3)</w:t>
            </w:r>
          </w:p>
        </w:tc>
      </w:tr>
      <w:tr w:rsidR="00665E13" w:rsidRPr="00D53983" w:rsidTr="00D53983">
        <w:trPr>
          <w:trHeight w:val="742"/>
        </w:trPr>
        <w:tc>
          <w:tcPr>
            <w:tcW w:w="1440" w:type="dxa"/>
            <w:tcBorders>
              <w:top w:val="single" w:sz="4" w:space="0" w:color="auto"/>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 xml:space="preserve">Online Quarterly Reporting via DRGR </w:t>
            </w:r>
          </w:p>
        </w:tc>
        <w:tc>
          <w:tcPr>
            <w:tcW w:w="142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22</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88</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788"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352</w:t>
            </w:r>
          </w:p>
        </w:tc>
        <w:tc>
          <w:tcPr>
            <w:tcW w:w="1106"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$96.40 </w:t>
            </w:r>
          </w:p>
        </w:tc>
        <w:tc>
          <w:tcPr>
            <w:tcW w:w="1180" w:type="dxa"/>
            <w:tcBorders>
              <w:top w:val="single" w:sz="8" w:space="0" w:color="auto"/>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$33,933 </w:t>
            </w:r>
          </w:p>
        </w:tc>
      </w:tr>
      <w:tr w:rsidR="00665E13" w:rsidRPr="00D53983" w:rsidTr="00D53983">
        <w:trPr>
          <w:trHeight w:val="735"/>
        </w:trPr>
        <w:tc>
          <w:tcPr>
            <w:tcW w:w="1440" w:type="dxa"/>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Annual Reporting via DRGR/IDIS</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34</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34</w:t>
            </w:r>
          </w:p>
        </w:tc>
        <w:tc>
          <w:tcPr>
            <w:tcW w:w="1043" w:type="dxa"/>
            <w:tcBorders>
              <w:top w:val="nil"/>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136</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$96.40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$13,110 </w:t>
            </w:r>
          </w:p>
        </w:tc>
      </w:tr>
      <w:tr w:rsidR="00665E13" w:rsidRPr="00D53983" w:rsidTr="00D53983">
        <w:trPr>
          <w:trHeight w:val="735"/>
        </w:trPr>
        <w:tc>
          <w:tcPr>
            <w:tcW w:w="1440" w:type="dxa"/>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Quarterly Voucher Submissions</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22</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88</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0.18</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16</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$4.34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$69 </w:t>
            </w:r>
          </w:p>
        </w:tc>
      </w:tr>
      <w:tr w:rsidR="00665E13" w:rsidRPr="00D53983" w:rsidTr="00D53983">
        <w:trPr>
          <w:trHeight w:val="720"/>
        </w:trPr>
        <w:tc>
          <w:tcPr>
            <w:tcW w:w="1440" w:type="dxa"/>
            <w:tcBorders>
              <w:top w:val="nil"/>
              <w:left w:val="single" w:sz="8" w:space="0" w:color="auto"/>
              <w:bottom w:val="nil"/>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Annual Income Certification Reporting</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34</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34</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102</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$72.30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$7,375 </w:t>
            </w:r>
          </w:p>
        </w:tc>
      </w:tr>
      <w:tr w:rsidR="00665E13" w:rsidRPr="00D53983" w:rsidTr="00D53983">
        <w:trPr>
          <w:trHeight w:val="735"/>
        </w:trPr>
        <w:tc>
          <w:tcPr>
            <w:tcW w:w="1440" w:type="dxa"/>
            <w:tcBorders>
              <w:top w:val="single" w:sz="4" w:space="0" w:color="auto"/>
              <w:left w:val="single" w:sz="8" w:space="0" w:color="auto"/>
              <w:bottom w:val="single" w:sz="8"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b/>
                <w:bCs/>
                <w:color w:val="000000"/>
                <w:sz w:val="18"/>
                <w:szCs w:val="18"/>
              </w:rPr>
            </w:pPr>
            <w:r w:rsidRPr="00D53983">
              <w:rPr>
                <w:rFonts w:ascii="Calibri" w:hAnsi="Calibri" w:cs="Calibri"/>
                <w:b/>
                <w:bCs/>
                <w:color w:val="000000"/>
                <w:sz w:val="18"/>
                <w:szCs w:val="18"/>
              </w:rPr>
              <w:t>TOTAL PAPERWORK BURDEN</w:t>
            </w:r>
          </w:p>
        </w:tc>
        <w:tc>
          <w:tcPr>
            <w:tcW w:w="1424" w:type="dxa"/>
            <w:gridSpan w:val="2"/>
            <w:tcBorders>
              <w:top w:val="nil"/>
              <w:left w:val="single" w:sz="8" w:space="0" w:color="auto"/>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10</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244</w:t>
            </w:r>
          </w:p>
        </w:tc>
        <w:tc>
          <w:tcPr>
            <w:tcW w:w="1043"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788"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606</w:t>
            </w:r>
          </w:p>
        </w:tc>
        <w:tc>
          <w:tcPr>
            <w:tcW w:w="1106"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180" w:type="dxa"/>
            <w:tcBorders>
              <w:top w:val="nil"/>
              <w:left w:val="nil"/>
              <w:bottom w:val="single" w:sz="8" w:space="0" w:color="auto"/>
              <w:right w:val="single" w:sz="8"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 xml:space="preserve">$54,487 </w:t>
            </w:r>
          </w:p>
        </w:tc>
      </w:tr>
    </w:tbl>
    <w:p w:rsidR="00D53983" w:rsidRDefault="00D53983" w:rsidP="00EF2BF1">
      <w:pPr>
        <w:ind w:firstLine="720"/>
      </w:pPr>
    </w:p>
    <w:p w:rsidR="00C50CC5" w:rsidRDefault="00C50CC5" w:rsidP="00C50CC5">
      <w:pPr>
        <w:ind w:left="720"/>
      </w:pPr>
    </w:p>
    <w:p w:rsidR="00354A58" w:rsidRDefault="00354A58" w:rsidP="003A412A">
      <w:pPr>
        <w:keepNext/>
        <w:numPr>
          <w:ilvl w:val="1"/>
          <w:numId w:val="10"/>
        </w:numPr>
        <w:tabs>
          <w:tab w:val="left" w:pos="360"/>
          <w:tab w:val="left" w:pos="720"/>
          <w:tab w:val="right" w:pos="7680"/>
        </w:tabs>
        <w:rPr>
          <w:b/>
          <w:sz w:val="22"/>
        </w:rPr>
      </w:pPr>
      <w:r>
        <w:rPr>
          <w:b/>
          <w:sz w:val="22"/>
        </w:rPr>
        <w:lastRenderedPageBreak/>
        <w:t>Estimate of Total Costs to Respondents</w:t>
      </w:r>
    </w:p>
    <w:p w:rsidR="00354A58" w:rsidRDefault="00354A58" w:rsidP="003A412A">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rsidP="003A412A">
      <w:pPr>
        <w:tabs>
          <w:tab w:val="left" w:pos="360"/>
          <w:tab w:val="left" w:pos="720"/>
          <w:tab w:val="right" w:pos="7680"/>
        </w:tabs>
        <w:ind w:left="360" w:hanging="360"/>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C50CC5" w:rsidRDefault="00C50CC5" w:rsidP="003A412A">
      <w:pPr>
        <w:tabs>
          <w:tab w:val="left" w:pos="720"/>
        </w:tabs>
      </w:pPr>
    </w:p>
    <w:p w:rsidR="00FD2F6C" w:rsidRPr="00F91206" w:rsidRDefault="00FD2F6C" w:rsidP="003A412A">
      <w:pPr>
        <w:tabs>
          <w:tab w:val="left" w:pos="720"/>
        </w:tabs>
        <w:rPr>
          <w:sz w:val="22"/>
          <w:szCs w:val="22"/>
        </w:rPr>
      </w:pPr>
      <w:r w:rsidRPr="00F91206">
        <w:rPr>
          <w:sz w:val="22"/>
          <w:szCs w:val="22"/>
        </w:rPr>
        <w:t xml:space="preserve">HUD estimates QPR reviews to take 2 hours, and annual reporting/income certification reviews to each take 1 hour. Because the types of reviews being undertaken will change each of the three years covered by this collection, HUD cannot provide an annualized cost. However, the total cost for three years is estimated at $36,041. This amount is based on 1,056 hours of review at a GS-13 salary of $34.34/hr. </w:t>
      </w:r>
    </w:p>
    <w:p w:rsidR="00C50CC5" w:rsidRPr="00F91206" w:rsidRDefault="00FD2F6C" w:rsidP="003A412A">
      <w:pPr>
        <w:tabs>
          <w:tab w:val="left" w:pos="720"/>
        </w:tabs>
        <w:rPr>
          <w:sz w:val="22"/>
        </w:rPr>
      </w:pPr>
      <w:r w:rsidRPr="00F91206">
        <w:rPr>
          <w:sz w:val="22"/>
          <w:szCs w:val="22"/>
        </w:rPr>
        <w:t xml:space="preserve"> </w:t>
      </w:r>
    </w:p>
    <w:p w:rsidR="00354A58" w:rsidRPr="00F91206" w:rsidRDefault="00354A58" w:rsidP="003A412A">
      <w:pPr>
        <w:keepNext/>
        <w:numPr>
          <w:ilvl w:val="1"/>
          <w:numId w:val="10"/>
        </w:numPr>
        <w:tabs>
          <w:tab w:val="left" w:pos="360"/>
          <w:tab w:val="left" w:pos="720"/>
        </w:tabs>
        <w:rPr>
          <w:b/>
          <w:sz w:val="22"/>
        </w:rPr>
      </w:pPr>
      <w:r w:rsidRPr="00F91206">
        <w:rPr>
          <w:b/>
          <w:sz w:val="22"/>
        </w:rPr>
        <w:t>Explanation of Program Changes / Adjustments</w:t>
      </w:r>
    </w:p>
    <w:p w:rsidR="00354A58" w:rsidRPr="00F91206" w:rsidRDefault="005C1B55" w:rsidP="003A412A">
      <w:pPr>
        <w:pStyle w:val="BodyTextIndent3"/>
        <w:tabs>
          <w:tab w:val="clear" w:pos="360"/>
          <w:tab w:val="clear" w:pos="840"/>
          <w:tab w:val="left" w:pos="0"/>
          <w:tab w:val="left" w:pos="720"/>
          <w:tab w:val="left" w:pos="1080"/>
        </w:tabs>
        <w:ind w:left="0"/>
        <w:rPr>
          <w:sz w:val="22"/>
          <w:szCs w:val="22"/>
        </w:rPr>
      </w:pPr>
      <w:bookmarkStart w:id="6" w:name="_GoBack"/>
      <w:r w:rsidRPr="00F91206">
        <w:rPr>
          <w:sz w:val="22"/>
          <w:szCs w:val="22"/>
        </w:rPr>
        <w:t>This is an extension of a previously approved</w:t>
      </w:r>
      <w:r w:rsidR="00182D65" w:rsidRPr="00F91206">
        <w:rPr>
          <w:sz w:val="22"/>
          <w:szCs w:val="22"/>
        </w:rPr>
        <w:t xml:space="preserve"> </w:t>
      </w:r>
      <w:r w:rsidRPr="00F91206">
        <w:rPr>
          <w:sz w:val="22"/>
          <w:szCs w:val="22"/>
        </w:rPr>
        <w:t xml:space="preserve">collection that was </w:t>
      </w:r>
      <w:r w:rsidR="00337EDD" w:rsidRPr="00F91206">
        <w:rPr>
          <w:sz w:val="22"/>
          <w:szCs w:val="22"/>
        </w:rPr>
        <w:t>approved</w:t>
      </w:r>
      <w:bookmarkEnd w:id="6"/>
      <w:r w:rsidR="00337EDD" w:rsidRPr="00F91206">
        <w:rPr>
          <w:sz w:val="22"/>
          <w:szCs w:val="22"/>
        </w:rPr>
        <w:t xml:space="preserve"> by OMB on May 4</w:t>
      </w:r>
      <w:r w:rsidR="00C50CC5" w:rsidRPr="00F91206">
        <w:rPr>
          <w:sz w:val="22"/>
          <w:szCs w:val="22"/>
        </w:rPr>
        <w:t>, 2009</w:t>
      </w:r>
      <w:r w:rsidR="00E85DA6" w:rsidRPr="00F91206">
        <w:rPr>
          <w:sz w:val="22"/>
          <w:szCs w:val="22"/>
        </w:rPr>
        <w:t xml:space="preserve">, </w:t>
      </w:r>
      <w:r w:rsidR="00C50CC5" w:rsidRPr="00F91206">
        <w:rPr>
          <w:sz w:val="22"/>
          <w:szCs w:val="22"/>
        </w:rPr>
        <w:t>and expires on November 30, 2009.</w:t>
      </w:r>
      <w:r w:rsidRPr="00F91206">
        <w:rPr>
          <w:sz w:val="22"/>
          <w:szCs w:val="22"/>
        </w:rPr>
        <w:t xml:space="preserve">  Reporting requirements post-closeout of NSP2 grants require annual reporting, as opposed to quarterly. These changes have been reflected in the burden hour calculations.</w:t>
      </w:r>
    </w:p>
    <w:p w:rsidR="00354A58" w:rsidRPr="00F91206" w:rsidRDefault="00354A58" w:rsidP="003A412A">
      <w:pPr>
        <w:pStyle w:val="BodyTextIndent"/>
        <w:keepNext/>
        <w:tabs>
          <w:tab w:val="clear" w:pos="360"/>
          <w:tab w:val="clear" w:pos="840"/>
          <w:tab w:val="left" w:pos="0"/>
          <w:tab w:val="left" w:pos="720"/>
        </w:tabs>
        <w:ind w:left="0" w:firstLine="0"/>
      </w:pPr>
    </w:p>
    <w:p w:rsidR="00354A58" w:rsidRPr="00F91206" w:rsidRDefault="00354A58" w:rsidP="003A412A">
      <w:pPr>
        <w:numPr>
          <w:ilvl w:val="1"/>
          <w:numId w:val="10"/>
        </w:numPr>
        <w:tabs>
          <w:tab w:val="left" w:pos="360"/>
          <w:tab w:val="left" w:pos="720"/>
        </w:tabs>
        <w:rPr>
          <w:b/>
          <w:sz w:val="22"/>
        </w:rPr>
      </w:pPr>
      <w:r w:rsidRPr="00F91206">
        <w:rPr>
          <w:b/>
          <w:sz w:val="22"/>
        </w:rPr>
        <w:t>Publication of Results</w:t>
      </w:r>
    </w:p>
    <w:p w:rsidR="00354A58" w:rsidRDefault="005C1B55" w:rsidP="005C1B55">
      <w:pPr>
        <w:tabs>
          <w:tab w:val="left" w:pos="0"/>
          <w:tab w:val="left" w:pos="720"/>
          <w:tab w:val="left" w:pos="840"/>
        </w:tabs>
      </w:pPr>
      <w:r w:rsidRPr="00F91206">
        <w:rPr>
          <w:sz w:val="22"/>
        </w:rPr>
        <w:t>For grantees that have not closed out their NSP2 grant, n</w:t>
      </w:r>
      <w:r w:rsidR="00354A58" w:rsidRPr="00F91206">
        <w:rPr>
          <w:sz w:val="22"/>
        </w:rPr>
        <w:t xml:space="preserve">ot later than </w:t>
      </w:r>
      <w:r w:rsidR="002F3A27" w:rsidRPr="00F91206">
        <w:rPr>
          <w:sz w:val="22"/>
        </w:rPr>
        <w:t xml:space="preserve">10 days after the end of each calendar year quarter, starting on </w:t>
      </w:r>
      <w:r w:rsidR="00417A35" w:rsidRPr="00F91206">
        <w:rPr>
          <w:sz w:val="22"/>
        </w:rPr>
        <w:t>October</w:t>
      </w:r>
      <w:r w:rsidR="002F3A27" w:rsidRPr="00F91206">
        <w:rPr>
          <w:sz w:val="22"/>
        </w:rPr>
        <w:t xml:space="preserve"> 10, 2009, each recipient of </w:t>
      </w:r>
      <w:r w:rsidR="00F543A0" w:rsidRPr="00F91206">
        <w:rPr>
          <w:sz w:val="22"/>
        </w:rPr>
        <w:t xml:space="preserve">NSP2 </w:t>
      </w:r>
      <w:r w:rsidR="002F3A27" w:rsidRPr="00F91206">
        <w:rPr>
          <w:sz w:val="22"/>
        </w:rPr>
        <w:t>funds must report to HUD on those items prescribed by OMB in its Initial Implementing Guidance for the American Recovery and Reinvestment Act of 2009</w:t>
      </w:r>
      <w:r w:rsidR="004E7BBD" w:rsidRPr="00F91206">
        <w:rPr>
          <w:sz w:val="22"/>
        </w:rPr>
        <w:t xml:space="preserve"> issued on February 18, 2009</w:t>
      </w:r>
      <w:r w:rsidR="002F3A27" w:rsidRPr="00F91206">
        <w:rPr>
          <w:sz w:val="22"/>
        </w:rPr>
        <w:t>.</w:t>
      </w:r>
      <w:r w:rsidRPr="00F91206">
        <w:rPr>
          <w:sz w:val="22"/>
        </w:rPr>
        <w:t xml:space="preserve"> Following closeout, program income receipt/usage and unit affordability certifications will be reported on annually as described in the Notice of Neighborhood Stabilization Program; Closeout Requirements and Recapture, published in the Federal Register on November 27</w:t>
      </w:r>
      <w:r w:rsidRPr="00F91206">
        <w:rPr>
          <w:sz w:val="22"/>
          <w:vertAlign w:val="superscript"/>
        </w:rPr>
        <w:t>th</w:t>
      </w:r>
      <w:r w:rsidRPr="00F91206">
        <w:rPr>
          <w:sz w:val="22"/>
        </w:rPr>
        <w:t>, 2012.</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354A58" w:rsidRDefault="00354A58" w:rsidP="003A412A">
      <w:pPr>
        <w:tabs>
          <w:tab w:val="left" w:pos="0"/>
          <w:tab w:val="left" w:pos="720"/>
        </w:tabs>
        <w:rPr>
          <w:bCs/>
          <w:sz w:val="22"/>
        </w:rPr>
      </w:pPr>
      <w:r w:rsidRPr="00370633">
        <w:rPr>
          <w:bCs/>
          <w:sz w:val="22"/>
        </w:rPr>
        <w:t xml:space="preserve">The Office of </w:t>
      </w:r>
      <w:r w:rsidR="002D65A0" w:rsidRPr="00370633">
        <w:rPr>
          <w:bCs/>
          <w:sz w:val="22"/>
        </w:rPr>
        <w:t>Community Planning and Development</w:t>
      </w:r>
      <w:r w:rsidRPr="00370633">
        <w:rPr>
          <w:bCs/>
          <w:sz w:val="22"/>
        </w:rPr>
        <w:t xml:space="preserve"> is </w:t>
      </w:r>
      <w:r w:rsidRPr="00370633">
        <w:rPr>
          <w:bCs/>
          <w:sz w:val="22"/>
          <w:u w:val="single"/>
        </w:rPr>
        <w:t>not</w:t>
      </w:r>
      <w:r w:rsidRPr="00370633">
        <w:rPr>
          <w:bCs/>
          <w:sz w:val="22"/>
        </w:rPr>
        <w:t xml:space="preserve"> seeking to not display the expiration date for OMB approval of the information collection.</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3A412A">
      <w:pPr>
        <w:tabs>
          <w:tab w:val="left" w:pos="360"/>
        </w:tabs>
        <w:ind w:left="360" w:hanging="360"/>
        <w:rPr>
          <w:sz w:val="22"/>
        </w:rPr>
      </w:pPr>
      <w:r>
        <w:rPr>
          <w:b/>
          <w:sz w:val="22"/>
        </w:rPr>
        <w:t>B.</w:t>
      </w:r>
      <w:r>
        <w:rPr>
          <w:b/>
          <w:sz w:val="22"/>
        </w:rPr>
        <w:tab/>
        <w:t>This collection does not employ statistical methods.</w:t>
      </w:r>
    </w:p>
    <w:sectPr w:rsidR="00354A58" w:rsidSect="00140DB2">
      <w:type w:val="continuous"/>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CAC" w:rsidRDefault="00486CAC">
      <w:r>
        <w:separator/>
      </w:r>
    </w:p>
  </w:endnote>
  <w:endnote w:type="continuationSeparator" w:id="0">
    <w:p w:rsidR="00486CAC" w:rsidRDefault="0048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E1550">
      <w:tc>
        <w:tcPr>
          <w:tcW w:w="8388" w:type="dxa"/>
          <w:tcBorders>
            <w:top w:val="single" w:sz="6" w:space="0" w:color="auto"/>
            <w:left w:val="nil"/>
            <w:right w:val="single" w:sz="6" w:space="0" w:color="auto"/>
          </w:tcBorders>
        </w:tcPr>
        <w:p w:rsidR="00EE1550" w:rsidRDefault="00EE1550">
          <w:pPr>
            <w:pStyle w:val="Footer"/>
            <w:rPr>
              <w:rFonts w:ascii="Helvetica" w:hAnsi="Helvetica"/>
              <w:sz w:val="16"/>
            </w:rPr>
          </w:pPr>
          <w:r>
            <w:rPr>
              <w:rFonts w:ascii="Helvetica" w:hAnsi="Helvetica"/>
              <w:sz w:val="16"/>
            </w:rPr>
            <w:t>Signature of Senior Officer or Designee:</w:t>
          </w:r>
        </w:p>
        <w:p w:rsidR="00EE1550" w:rsidRDefault="00EE1550">
          <w:pPr>
            <w:pStyle w:val="Footer"/>
            <w:rPr>
              <w:rFonts w:ascii="Helvetica" w:hAnsi="Helvetica"/>
              <w:sz w:val="16"/>
            </w:rPr>
          </w:pPr>
        </w:p>
        <w:p w:rsidR="00EE1550" w:rsidRDefault="00EE1550">
          <w:pPr>
            <w:pStyle w:val="Footer"/>
            <w:rPr>
              <w:rFonts w:ascii="Helvetica" w:hAnsi="Helvetica"/>
              <w:sz w:val="16"/>
            </w:rPr>
          </w:pPr>
        </w:p>
        <w:p w:rsidR="00EE1550" w:rsidRDefault="00EE1550">
          <w:pPr>
            <w:pStyle w:val="Footer"/>
            <w:rPr>
              <w:rFonts w:ascii="Helvetica" w:hAnsi="Helvetica"/>
              <w:sz w:val="16"/>
            </w:rPr>
          </w:pPr>
          <w:r>
            <w:rPr>
              <w:rFonts w:ascii="Helvetica" w:hAnsi="Helvetica"/>
              <w:sz w:val="16"/>
            </w:rPr>
            <w:t>X</w:t>
          </w:r>
        </w:p>
        <w:p w:rsidR="00EE1550" w:rsidRDefault="00EE1550">
          <w:pPr>
            <w:pStyle w:val="Footer"/>
            <w:rPr>
              <w:rFonts w:ascii="Helvetica" w:hAnsi="Helvetica"/>
              <w:sz w:val="16"/>
            </w:rPr>
          </w:pPr>
          <w:r>
            <w:rPr>
              <w:rFonts w:ascii="Helvetica" w:hAnsi="Helvetica"/>
              <w:sz w:val="16"/>
            </w:rPr>
            <w:t>Lillian Deitzer, Departmental Reports Management Officer,</w:t>
          </w:r>
        </w:p>
        <w:p w:rsidR="00EE1550" w:rsidRDefault="00EE155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E1550" w:rsidRDefault="00EE1550">
          <w:pPr>
            <w:pStyle w:val="Footer"/>
            <w:rPr>
              <w:rFonts w:ascii="Helvetica" w:hAnsi="Helvetica"/>
              <w:sz w:val="16"/>
            </w:rPr>
          </w:pPr>
          <w:r>
            <w:rPr>
              <w:rFonts w:ascii="Helvetica" w:hAnsi="Helvetica"/>
              <w:sz w:val="16"/>
            </w:rPr>
            <w:t xml:space="preserve">Date: </w:t>
          </w:r>
        </w:p>
      </w:tc>
    </w:tr>
  </w:tbl>
  <w:p w:rsidR="00EE1550" w:rsidRDefault="00EE155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CAC" w:rsidRDefault="00486CAC">
      <w:r>
        <w:separator/>
      </w:r>
    </w:p>
  </w:footnote>
  <w:footnote w:type="continuationSeparator" w:id="0">
    <w:p w:rsidR="00486CAC" w:rsidRDefault="00486CAC">
      <w:r>
        <w:continuationSeparator/>
      </w:r>
    </w:p>
  </w:footnote>
  <w:footnote w:id="1">
    <w:p w:rsidR="00EE1550" w:rsidRDefault="00EE1550">
      <w:pPr>
        <w:pStyle w:val="FootnoteText"/>
      </w:pPr>
      <w:r>
        <w:rPr>
          <w:rStyle w:val="FootnoteReference"/>
        </w:rPr>
        <w:footnoteRef/>
      </w:r>
      <w:r>
        <w:t xml:space="preserve"> Federalreporting.gov reporting requirements fall under the OMB Control Numbers </w:t>
      </w:r>
      <w:r w:rsidRPr="00890F22">
        <w:t>0430-0004, 9000-0166, 9000-0167, 9000-0168, and 9000-0169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B55E58"/>
    <w:multiLevelType w:val="hybridMultilevel"/>
    <w:tmpl w:val="546E9A2C"/>
    <w:lvl w:ilvl="0" w:tplc="D848F4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9">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11"/>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8"/>
  </w:num>
  <w:num w:numId="11">
    <w:abstractNumId w:val="9"/>
  </w:num>
  <w:num w:numId="12">
    <w:abstractNumId w:val="2"/>
  </w:num>
  <w:num w:numId="13">
    <w:abstractNumId w:val="8"/>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E"/>
    <w:rsid w:val="000202F5"/>
    <w:rsid w:val="0008367B"/>
    <w:rsid w:val="000908A1"/>
    <w:rsid w:val="00093392"/>
    <w:rsid w:val="000C42FC"/>
    <w:rsid w:val="000D0062"/>
    <w:rsid w:val="001259B9"/>
    <w:rsid w:val="00140DB2"/>
    <w:rsid w:val="00143496"/>
    <w:rsid w:val="00145558"/>
    <w:rsid w:val="00154DE0"/>
    <w:rsid w:val="00162B56"/>
    <w:rsid w:val="00182D65"/>
    <w:rsid w:val="00194338"/>
    <w:rsid w:val="001B27B8"/>
    <w:rsid w:val="001F365B"/>
    <w:rsid w:val="001F6E57"/>
    <w:rsid w:val="00225A41"/>
    <w:rsid w:val="00243818"/>
    <w:rsid w:val="0025368C"/>
    <w:rsid w:val="00276746"/>
    <w:rsid w:val="00293EA6"/>
    <w:rsid w:val="00297959"/>
    <w:rsid w:val="002C281D"/>
    <w:rsid w:val="002C6439"/>
    <w:rsid w:val="002C6C1C"/>
    <w:rsid w:val="002C71A6"/>
    <w:rsid w:val="002C7F10"/>
    <w:rsid w:val="002D65A0"/>
    <w:rsid w:val="002E67B1"/>
    <w:rsid w:val="002E745E"/>
    <w:rsid w:val="002F3A27"/>
    <w:rsid w:val="003248F2"/>
    <w:rsid w:val="00333599"/>
    <w:rsid w:val="00337EDD"/>
    <w:rsid w:val="00350E97"/>
    <w:rsid w:val="00352054"/>
    <w:rsid w:val="00354A58"/>
    <w:rsid w:val="00357D5E"/>
    <w:rsid w:val="00370633"/>
    <w:rsid w:val="00384F7F"/>
    <w:rsid w:val="003A3307"/>
    <w:rsid w:val="003A412A"/>
    <w:rsid w:val="003A6EE3"/>
    <w:rsid w:val="003C3A89"/>
    <w:rsid w:val="003D2B63"/>
    <w:rsid w:val="003F3CAA"/>
    <w:rsid w:val="00417A35"/>
    <w:rsid w:val="0048067B"/>
    <w:rsid w:val="00486CAC"/>
    <w:rsid w:val="004A1D04"/>
    <w:rsid w:val="004B437C"/>
    <w:rsid w:val="004C203E"/>
    <w:rsid w:val="004E7BBD"/>
    <w:rsid w:val="0050389A"/>
    <w:rsid w:val="00521B6A"/>
    <w:rsid w:val="0052459D"/>
    <w:rsid w:val="00534029"/>
    <w:rsid w:val="005603FB"/>
    <w:rsid w:val="00561B75"/>
    <w:rsid w:val="0057390E"/>
    <w:rsid w:val="00583FA3"/>
    <w:rsid w:val="005C1B55"/>
    <w:rsid w:val="005E2697"/>
    <w:rsid w:val="005E3551"/>
    <w:rsid w:val="005F00EF"/>
    <w:rsid w:val="005F5D90"/>
    <w:rsid w:val="0065312A"/>
    <w:rsid w:val="0066041B"/>
    <w:rsid w:val="00665E13"/>
    <w:rsid w:val="00681485"/>
    <w:rsid w:val="00684CC7"/>
    <w:rsid w:val="006A1F25"/>
    <w:rsid w:val="006D1BB4"/>
    <w:rsid w:val="006D3925"/>
    <w:rsid w:val="006D45BA"/>
    <w:rsid w:val="006E4AE6"/>
    <w:rsid w:val="00711139"/>
    <w:rsid w:val="00711A55"/>
    <w:rsid w:val="00737812"/>
    <w:rsid w:val="007753C0"/>
    <w:rsid w:val="00785688"/>
    <w:rsid w:val="007B4A0F"/>
    <w:rsid w:val="007C6916"/>
    <w:rsid w:val="007D72DC"/>
    <w:rsid w:val="007F1E8E"/>
    <w:rsid w:val="00810168"/>
    <w:rsid w:val="00837B85"/>
    <w:rsid w:val="0084584B"/>
    <w:rsid w:val="0086497C"/>
    <w:rsid w:val="0087481C"/>
    <w:rsid w:val="008769F7"/>
    <w:rsid w:val="00890F22"/>
    <w:rsid w:val="00891707"/>
    <w:rsid w:val="008A0F6D"/>
    <w:rsid w:val="008B631D"/>
    <w:rsid w:val="008D18A4"/>
    <w:rsid w:val="008D530D"/>
    <w:rsid w:val="008D77EF"/>
    <w:rsid w:val="008F0581"/>
    <w:rsid w:val="008F2416"/>
    <w:rsid w:val="008F42A7"/>
    <w:rsid w:val="0091386F"/>
    <w:rsid w:val="00945385"/>
    <w:rsid w:val="00982374"/>
    <w:rsid w:val="009A1F75"/>
    <w:rsid w:val="009A30EF"/>
    <w:rsid w:val="00A00BCF"/>
    <w:rsid w:val="00A14B86"/>
    <w:rsid w:val="00A16A4D"/>
    <w:rsid w:val="00A16B41"/>
    <w:rsid w:val="00A5582B"/>
    <w:rsid w:val="00A56F08"/>
    <w:rsid w:val="00A57FCA"/>
    <w:rsid w:val="00A82AD3"/>
    <w:rsid w:val="00AE04C9"/>
    <w:rsid w:val="00AE162A"/>
    <w:rsid w:val="00B10184"/>
    <w:rsid w:val="00B139A5"/>
    <w:rsid w:val="00B40275"/>
    <w:rsid w:val="00B529B1"/>
    <w:rsid w:val="00B60778"/>
    <w:rsid w:val="00B66A98"/>
    <w:rsid w:val="00B74E70"/>
    <w:rsid w:val="00B872E3"/>
    <w:rsid w:val="00B87DB8"/>
    <w:rsid w:val="00BA6D99"/>
    <w:rsid w:val="00BC4702"/>
    <w:rsid w:val="00BD7827"/>
    <w:rsid w:val="00C02803"/>
    <w:rsid w:val="00C34575"/>
    <w:rsid w:val="00C50CC5"/>
    <w:rsid w:val="00C5576E"/>
    <w:rsid w:val="00C61C69"/>
    <w:rsid w:val="00C63E76"/>
    <w:rsid w:val="00C6635E"/>
    <w:rsid w:val="00CD0C8E"/>
    <w:rsid w:val="00D2515B"/>
    <w:rsid w:val="00D5032C"/>
    <w:rsid w:val="00D53983"/>
    <w:rsid w:val="00D64A55"/>
    <w:rsid w:val="00D801DF"/>
    <w:rsid w:val="00DC23FE"/>
    <w:rsid w:val="00DC53AB"/>
    <w:rsid w:val="00DC7111"/>
    <w:rsid w:val="00DE39B6"/>
    <w:rsid w:val="00DF7475"/>
    <w:rsid w:val="00E24B39"/>
    <w:rsid w:val="00E50808"/>
    <w:rsid w:val="00E851AA"/>
    <w:rsid w:val="00E85DA6"/>
    <w:rsid w:val="00E92915"/>
    <w:rsid w:val="00E9440A"/>
    <w:rsid w:val="00EA3E8C"/>
    <w:rsid w:val="00EA53BA"/>
    <w:rsid w:val="00EA5F98"/>
    <w:rsid w:val="00EC1755"/>
    <w:rsid w:val="00EE1550"/>
    <w:rsid w:val="00EF0DA8"/>
    <w:rsid w:val="00EF2BF1"/>
    <w:rsid w:val="00F274BF"/>
    <w:rsid w:val="00F47DF3"/>
    <w:rsid w:val="00F543A0"/>
    <w:rsid w:val="00F81DCC"/>
    <w:rsid w:val="00F854F3"/>
    <w:rsid w:val="00F91206"/>
    <w:rsid w:val="00F97B4B"/>
    <w:rsid w:val="00FA1256"/>
    <w:rsid w:val="00FA22D8"/>
    <w:rsid w:val="00FB2F04"/>
    <w:rsid w:val="00FD2F6C"/>
    <w:rsid w:val="00FE1E54"/>
    <w:rsid w:val="00FE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351348655">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881870921">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577327390">
      <w:bodyDiv w:val="1"/>
      <w:marLeft w:val="0"/>
      <w:marRight w:val="0"/>
      <w:marTop w:val="0"/>
      <w:marBottom w:val="0"/>
      <w:divBdr>
        <w:top w:val="none" w:sz="0" w:space="0" w:color="auto"/>
        <w:left w:val="none" w:sz="0" w:space="0" w:color="auto"/>
        <w:bottom w:val="none" w:sz="0" w:space="0" w:color="auto"/>
        <w:right w:val="none" w:sz="0" w:space="0" w:color="auto"/>
      </w:divBdr>
    </w:div>
    <w:div w:id="1863394411">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 w:id="2028558356">
      <w:bodyDiv w:val="1"/>
      <w:marLeft w:val="0"/>
      <w:marRight w:val="0"/>
      <w:marTop w:val="0"/>
      <w:marBottom w:val="0"/>
      <w:divBdr>
        <w:top w:val="none" w:sz="0" w:space="0" w:color="auto"/>
        <w:left w:val="none" w:sz="0" w:space="0" w:color="auto"/>
        <w:bottom w:val="none" w:sz="0" w:space="0" w:color="auto"/>
        <w:right w:val="none" w:sz="0" w:space="0" w:color="auto"/>
      </w:divBdr>
    </w:div>
    <w:div w:id="20425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covery.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ud.gov/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0D65-266A-4BA8-B1A1-2E5C7CE7B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2845</Words>
  <Characters>16221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19028</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3</cp:revision>
  <cp:lastPrinted>2009-11-19T17:21:00Z</cp:lastPrinted>
  <dcterms:created xsi:type="dcterms:W3CDTF">2015-07-06T15:43:00Z</dcterms:created>
  <dcterms:modified xsi:type="dcterms:W3CDTF">2015-07-27T20:11:00Z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1258937826</vt:i4>
  </property>
  <property fmtid="{D5CDD505-2E9C-101B-9397-08002B2CF9AE}" pid="3" name="_NewReviewCycle">
    <vt:lpwstr/>
  </property>
  <property fmtid="{D5CDD505-2E9C-101B-9397-08002B2CF9AE}" pid="4" name="_EmailSubject">
    <vt:lpwstr>NSP2 PRA</vt:lpwstr>
  </property>
  <property fmtid="{D5CDD505-2E9C-101B-9397-08002B2CF9AE}" pid="5" name="_AuthorEmail">
    <vt:lpwstr>Ryan.D.Flanery@hud.gov</vt:lpwstr>
  </property>
  <property fmtid="{D5CDD505-2E9C-101B-9397-08002B2CF9AE}" pid="6" name="_AuthorEmailDisplayName">
    <vt:lpwstr>Flanery, Ryan D</vt:lpwstr>
  </property>
  <property fmtid="{D5CDD505-2E9C-101B-9397-08002B2CF9AE}" pid="7" name="_PreviousAdHocReviewCycleID">
    <vt:i4>532878420</vt:i4>
  </property>
  <property fmtid="{D5CDD505-2E9C-101B-9397-08002B2CF9AE}" pid="8" name="_ReviewingToolsShownOnce">
    <vt:lpwstr/>
  </property>
</Properties>
</file>