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CE" w:rsidRPr="00A41C32" w:rsidRDefault="00274CCE" w:rsidP="00274CCE">
      <w:pPr>
        <w:jc w:val="center"/>
        <w:rPr>
          <w:rFonts w:ascii="Times New Roman" w:hAnsi="Times New Roman"/>
          <w:b/>
          <w:sz w:val="96"/>
          <w:szCs w:val="96"/>
        </w:rPr>
      </w:pPr>
      <w:r w:rsidRPr="00A41C32">
        <w:rPr>
          <w:rFonts w:ascii="Times New Roman" w:hAnsi="Times New Roman"/>
          <w:b/>
          <w:sz w:val="96"/>
          <w:szCs w:val="96"/>
        </w:rPr>
        <w:t>Guidance for Industry</w:t>
      </w:r>
    </w:p>
    <w:p w:rsidR="00274CCE" w:rsidRPr="00A41C32" w:rsidRDefault="00274CCE" w:rsidP="006C5A5E">
      <w:pPr>
        <w:ind w:left="38" w:right="19"/>
        <w:jc w:val="center"/>
        <w:rPr>
          <w:rFonts w:ascii="Times New Roman" w:hAnsi="Times New Roman"/>
          <w:szCs w:val="24"/>
        </w:rPr>
      </w:pPr>
    </w:p>
    <w:p w:rsidR="00274CCE" w:rsidRPr="00A41C32" w:rsidRDefault="00274CCE" w:rsidP="00274CCE">
      <w:pPr>
        <w:jc w:val="center"/>
        <w:rPr>
          <w:rFonts w:ascii="Times New Roman" w:hAnsi="Times New Roman"/>
        </w:rPr>
      </w:pPr>
      <w:r w:rsidRPr="00A41C32">
        <w:rPr>
          <w:rFonts w:ascii="Times New Roman" w:hAnsi="Times New Roman"/>
          <w:sz w:val="56"/>
          <w:szCs w:val="56"/>
        </w:rPr>
        <w:t>Adverse Event Reporting for Outsourcing Facilities</w:t>
      </w:r>
      <w:r w:rsidR="00987ABB">
        <w:rPr>
          <w:rFonts w:ascii="Times New Roman" w:hAnsi="Times New Roman"/>
          <w:sz w:val="56"/>
          <w:szCs w:val="56"/>
        </w:rPr>
        <w:t xml:space="preserve"> </w:t>
      </w:r>
      <w:r w:rsidRPr="00A41C32">
        <w:rPr>
          <w:rFonts w:ascii="Times New Roman" w:hAnsi="Times New Roman"/>
          <w:sz w:val="56"/>
          <w:szCs w:val="56"/>
        </w:rPr>
        <w:t>Under</w:t>
      </w:r>
      <w:r w:rsidR="00987ABB">
        <w:rPr>
          <w:rFonts w:ascii="Times New Roman" w:hAnsi="Times New Roman"/>
          <w:sz w:val="56"/>
          <w:szCs w:val="56"/>
        </w:rPr>
        <w:t xml:space="preserve"> </w:t>
      </w:r>
      <w:r w:rsidRPr="00A41C32">
        <w:rPr>
          <w:rFonts w:ascii="Times New Roman" w:hAnsi="Times New Roman"/>
          <w:sz w:val="56"/>
          <w:szCs w:val="56"/>
        </w:rPr>
        <w:t xml:space="preserve">Section 503B of the </w:t>
      </w:r>
      <w:r>
        <w:rPr>
          <w:rFonts w:ascii="Times New Roman" w:hAnsi="Times New Roman"/>
          <w:sz w:val="56"/>
          <w:szCs w:val="56"/>
        </w:rPr>
        <w:t xml:space="preserve">Federal Food, Drug, and Cosmetic </w:t>
      </w:r>
      <w:r w:rsidRPr="00A41C32">
        <w:rPr>
          <w:rFonts w:ascii="Times New Roman" w:hAnsi="Times New Roman"/>
          <w:sz w:val="56"/>
          <w:szCs w:val="56"/>
        </w:rPr>
        <w:t>Act</w:t>
      </w:r>
      <w:r w:rsidRPr="00A41C32" w:rsidDel="00026687">
        <w:rPr>
          <w:rFonts w:ascii="Times New Roman" w:hAnsi="Times New Roman"/>
          <w:sz w:val="56"/>
          <w:szCs w:val="56"/>
        </w:rPr>
        <w:t xml:space="preserve"> </w:t>
      </w:r>
    </w:p>
    <w:p w:rsidR="00274CCE" w:rsidRPr="00A41C32" w:rsidRDefault="00274CCE" w:rsidP="00274CCE">
      <w:pPr>
        <w:jc w:val="center"/>
        <w:rPr>
          <w:rFonts w:ascii="Times New Roman" w:hAnsi="Times New Roman"/>
        </w:rPr>
      </w:pPr>
    </w:p>
    <w:p w:rsidR="00274CCE" w:rsidRPr="00A41C32" w:rsidRDefault="00274CCE" w:rsidP="00274CCE">
      <w:pPr>
        <w:jc w:val="center"/>
        <w:rPr>
          <w:rFonts w:ascii="Times New Roman" w:hAnsi="Times New Roman"/>
        </w:rPr>
      </w:pPr>
    </w:p>
    <w:p w:rsidR="00274CCE" w:rsidRPr="00A41C32" w:rsidRDefault="00274CCE" w:rsidP="00F67AA6">
      <w:pPr>
        <w:jc w:val="center"/>
        <w:rPr>
          <w:rFonts w:ascii="Times New Roman" w:hAnsi="Times New Roman"/>
        </w:rPr>
      </w:pPr>
    </w:p>
    <w:p w:rsidR="00274CCE" w:rsidRPr="00A41C32" w:rsidRDefault="00274CCE" w:rsidP="00274CCE">
      <w:pPr>
        <w:rPr>
          <w:rFonts w:ascii="Times New Roman" w:hAnsi="Times New Roman"/>
        </w:rPr>
      </w:pPr>
    </w:p>
    <w:p w:rsidR="00274CCE" w:rsidRPr="00A41C32" w:rsidRDefault="00274CCE" w:rsidP="00274CCE">
      <w:pPr>
        <w:rPr>
          <w:rFonts w:ascii="Times New Roman" w:hAnsi="Times New Roman"/>
        </w:rPr>
      </w:pPr>
      <w:r w:rsidRPr="00A41C32">
        <w:rPr>
          <w:rFonts w:ascii="Times New Roman" w:hAnsi="Times New Roman"/>
        </w:rPr>
        <w:t xml:space="preserve"> </w:t>
      </w:r>
    </w:p>
    <w:p w:rsidR="00274CCE" w:rsidRDefault="00274CCE" w:rsidP="00274CCE">
      <w:pPr>
        <w:jc w:val="center"/>
        <w:rPr>
          <w:rFonts w:ascii="Times New Roman" w:hAnsi="Times New Roman"/>
        </w:rPr>
      </w:pPr>
    </w:p>
    <w:p w:rsidR="00274CCE" w:rsidRDefault="00274CCE" w:rsidP="00274CCE">
      <w:pPr>
        <w:jc w:val="center"/>
        <w:rPr>
          <w:rFonts w:ascii="Times New Roman" w:hAnsi="Times New Roman"/>
        </w:rPr>
      </w:pPr>
    </w:p>
    <w:p w:rsidR="00274CCE" w:rsidRDefault="00274CCE" w:rsidP="00274CCE">
      <w:pPr>
        <w:jc w:val="center"/>
        <w:rPr>
          <w:rFonts w:ascii="Times New Roman" w:hAnsi="Times New Roman"/>
        </w:rPr>
      </w:pPr>
    </w:p>
    <w:p w:rsidR="00274CCE" w:rsidRDefault="00274CCE" w:rsidP="00274CCE">
      <w:pPr>
        <w:jc w:val="center"/>
        <w:rPr>
          <w:rFonts w:ascii="Times New Roman" w:hAnsi="Times New Roman"/>
        </w:rPr>
      </w:pPr>
    </w:p>
    <w:p w:rsidR="00274CCE" w:rsidRDefault="00274CCE" w:rsidP="00274CCE">
      <w:pPr>
        <w:jc w:val="center"/>
        <w:rPr>
          <w:rFonts w:ascii="Times New Roman" w:hAnsi="Times New Roman"/>
        </w:rPr>
      </w:pPr>
    </w:p>
    <w:p w:rsidR="00274CCE" w:rsidRDefault="00274CCE" w:rsidP="00274CCE">
      <w:pPr>
        <w:jc w:val="center"/>
        <w:rPr>
          <w:rFonts w:ascii="Times New Roman" w:hAnsi="Times New Roman"/>
        </w:rPr>
      </w:pPr>
    </w:p>
    <w:p w:rsidR="00432485" w:rsidRPr="00040464" w:rsidRDefault="00432485" w:rsidP="00274CCE">
      <w:pPr>
        <w:jc w:val="center"/>
        <w:rPr>
          <w:rFonts w:ascii="Times New Roman" w:hAnsi="Times New Roman"/>
        </w:rPr>
      </w:pPr>
    </w:p>
    <w:p w:rsidR="00432485" w:rsidRDefault="00432485" w:rsidP="00274CCE">
      <w:pPr>
        <w:jc w:val="center"/>
        <w:rPr>
          <w:rFonts w:ascii="Times New Roman" w:hAnsi="Times New Roman"/>
        </w:rPr>
      </w:pPr>
    </w:p>
    <w:p w:rsidR="00432485" w:rsidRDefault="00432485" w:rsidP="00274CCE">
      <w:pPr>
        <w:jc w:val="center"/>
        <w:rPr>
          <w:rFonts w:ascii="Times New Roman" w:hAnsi="Times New Roman"/>
        </w:rPr>
      </w:pPr>
    </w:p>
    <w:p w:rsidR="00432485" w:rsidRDefault="00432485" w:rsidP="00274CCE">
      <w:pPr>
        <w:jc w:val="center"/>
        <w:rPr>
          <w:rFonts w:ascii="Times New Roman" w:hAnsi="Times New Roman"/>
        </w:rPr>
      </w:pPr>
    </w:p>
    <w:p w:rsidR="00432485" w:rsidRDefault="00432485" w:rsidP="00274CCE">
      <w:pPr>
        <w:jc w:val="center"/>
        <w:rPr>
          <w:rFonts w:ascii="Times New Roman" w:hAnsi="Times New Roman"/>
        </w:rPr>
      </w:pPr>
    </w:p>
    <w:p w:rsidR="00432485" w:rsidRDefault="00432485" w:rsidP="00274CCE">
      <w:pPr>
        <w:jc w:val="center"/>
        <w:rPr>
          <w:rFonts w:ascii="Times New Roman" w:hAnsi="Times New Roman"/>
        </w:rPr>
      </w:pPr>
    </w:p>
    <w:p w:rsidR="00432485" w:rsidRDefault="00432485" w:rsidP="00274CCE">
      <w:pPr>
        <w:jc w:val="center"/>
        <w:rPr>
          <w:rFonts w:ascii="Times New Roman" w:hAnsi="Times New Roman"/>
        </w:rPr>
      </w:pPr>
    </w:p>
    <w:p w:rsidR="00432485" w:rsidRDefault="00432485" w:rsidP="00274CCE">
      <w:pPr>
        <w:jc w:val="center"/>
        <w:rPr>
          <w:rFonts w:ascii="Times New Roman" w:hAnsi="Times New Roman"/>
        </w:rPr>
      </w:pPr>
    </w:p>
    <w:p w:rsidR="00432485" w:rsidRPr="00A41C32" w:rsidRDefault="00432485" w:rsidP="00274CCE">
      <w:pPr>
        <w:jc w:val="center"/>
        <w:rPr>
          <w:rFonts w:ascii="Times New Roman" w:hAnsi="Times New Roman"/>
        </w:rPr>
      </w:pPr>
    </w:p>
    <w:p w:rsidR="00274CCE" w:rsidRPr="004375AC" w:rsidRDefault="00274CCE" w:rsidP="00274CCE">
      <w:pPr>
        <w:jc w:val="center"/>
        <w:rPr>
          <w:rFonts w:ascii="Times New Roman" w:hAnsi="Times New Roman"/>
          <w:sz w:val="24"/>
          <w:szCs w:val="24"/>
        </w:rPr>
      </w:pPr>
    </w:p>
    <w:p w:rsidR="00274CCE" w:rsidRPr="004375AC" w:rsidRDefault="00274CCE" w:rsidP="00274CCE">
      <w:pPr>
        <w:jc w:val="center"/>
        <w:outlineLvl w:val="0"/>
        <w:rPr>
          <w:rFonts w:ascii="Times New Roman" w:hAnsi="Times New Roman"/>
          <w:b/>
          <w:sz w:val="24"/>
          <w:szCs w:val="24"/>
        </w:rPr>
      </w:pPr>
      <w:r w:rsidRPr="004375AC">
        <w:rPr>
          <w:rFonts w:ascii="Times New Roman" w:hAnsi="Times New Roman"/>
          <w:b/>
          <w:sz w:val="24"/>
          <w:szCs w:val="24"/>
        </w:rPr>
        <w:t>U.S. Department of Health and Human Services</w:t>
      </w:r>
    </w:p>
    <w:p w:rsidR="00274CCE" w:rsidRPr="004375AC" w:rsidRDefault="00274CCE" w:rsidP="00274CCE">
      <w:pPr>
        <w:jc w:val="center"/>
        <w:rPr>
          <w:rFonts w:ascii="Times New Roman" w:hAnsi="Times New Roman"/>
          <w:b/>
          <w:sz w:val="24"/>
          <w:szCs w:val="24"/>
        </w:rPr>
      </w:pPr>
      <w:r w:rsidRPr="004375AC">
        <w:rPr>
          <w:rFonts w:ascii="Times New Roman" w:hAnsi="Times New Roman"/>
          <w:b/>
          <w:sz w:val="24"/>
          <w:szCs w:val="24"/>
        </w:rPr>
        <w:t>Food and Drug Administration</w:t>
      </w:r>
    </w:p>
    <w:p w:rsidR="00274CCE" w:rsidRPr="004375AC" w:rsidRDefault="00274CCE" w:rsidP="00274CCE">
      <w:pPr>
        <w:jc w:val="center"/>
        <w:rPr>
          <w:rFonts w:ascii="Times New Roman" w:hAnsi="Times New Roman"/>
          <w:b/>
          <w:sz w:val="24"/>
          <w:szCs w:val="24"/>
        </w:rPr>
      </w:pPr>
      <w:r w:rsidRPr="004375AC">
        <w:rPr>
          <w:rFonts w:ascii="Times New Roman" w:hAnsi="Times New Roman"/>
          <w:b/>
          <w:sz w:val="24"/>
          <w:szCs w:val="24"/>
        </w:rPr>
        <w:t>Center for Drug Evaluation and Research (CDER)</w:t>
      </w:r>
    </w:p>
    <w:p w:rsidR="00274CCE" w:rsidRPr="004375AC" w:rsidRDefault="00274CCE" w:rsidP="00274CCE">
      <w:pPr>
        <w:jc w:val="center"/>
        <w:rPr>
          <w:rFonts w:ascii="Times New Roman" w:hAnsi="Times New Roman"/>
          <w:b/>
          <w:sz w:val="24"/>
          <w:szCs w:val="24"/>
        </w:rPr>
      </w:pPr>
    </w:p>
    <w:p w:rsidR="00274CCE" w:rsidRPr="004375AC" w:rsidRDefault="00FC4788" w:rsidP="00274CCE">
      <w:pPr>
        <w:jc w:val="center"/>
        <w:rPr>
          <w:rFonts w:ascii="Times New Roman" w:hAnsi="Times New Roman"/>
          <w:b/>
          <w:sz w:val="24"/>
          <w:szCs w:val="24"/>
        </w:rPr>
      </w:pPr>
      <w:r>
        <w:rPr>
          <w:rFonts w:ascii="Times New Roman" w:hAnsi="Times New Roman"/>
          <w:b/>
          <w:sz w:val="24"/>
          <w:szCs w:val="24"/>
        </w:rPr>
        <w:t>[MONTH]</w:t>
      </w:r>
      <w:r w:rsidR="00626B30" w:rsidRPr="004375AC">
        <w:rPr>
          <w:rFonts w:ascii="Times New Roman" w:hAnsi="Times New Roman"/>
          <w:b/>
          <w:sz w:val="24"/>
          <w:szCs w:val="24"/>
        </w:rPr>
        <w:t xml:space="preserve"> </w:t>
      </w:r>
      <w:r w:rsidR="00337F42">
        <w:rPr>
          <w:rFonts w:ascii="Times New Roman" w:hAnsi="Times New Roman"/>
          <w:b/>
          <w:sz w:val="24"/>
          <w:szCs w:val="24"/>
        </w:rPr>
        <w:t>2015</w:t>
      </w:r>
    </w:p>
    <w:p w:rsidR="00274CCE" w:rsidRPr="004375AC" w:rsidRDefault="00432485" w:rsidP="00274CCE">
      <w:pPr>
        <w:jc w:val="center"/>
        <w:rPr>
          <w:rFonts w:ascii="Times New Roman" w:hAnsi="Times New Roman"/>
          <w:b/>
          <w:sz w:val="24"/>
          <w:szCs w:val="24"/>
        </w:rPr>
      </w:pPr>
      <w:r>
        <w:rPr>
          <w:rFonts w:ascii="Times New Roman" w:hAnsi="Times New Roman"/>
          <w:b/>
          <w:sz w:val="24"/>
          <w:szCs w:val="24"/>
        </w:rPr>
        <w:t>Compounding and Related Documents</w:t>
      </w:r>
    </w:p>
    <w:p w:rsidR="00274CCE" w:rsidRPr="00A41C32" w:rsidRDefault="00274CCE" w:rsidP="00274CCE">
      <w:pPr>
        <w:jc w:val="center"/>
        <w:rPr>
          <w:rFonts w:ascii="Times New Roman" w:hAnsi="Times New Roman"/>
          <w:b/>
        </w:rPr>
        <w:sectPr w:rsidR="00274CCE" w:rsidRPr="00A41C32" w:rsidSect="00274CCE">
          <w:pgSz w:w="12240" w:h="15840"/>
          <w:pgMar w:top="1440" w:right="1440" w:bottom="1440" w:left="1440" w:header="720" w:footer="720" w:gutter="0"/>
          <w:cols w:space="720"/>
        </w:sectPr>
      </w:pPr>
    </w:p>
    <w:p w:rsidR="00274CCE" w:rsidRPr="00A41C32" w:rsidRDefault="00274CCE" w:rsidP="00274CCE">
      <w:pPr>
        <w:jc w:val="center"/>
        <w:rPr>
          <w:rFonts w:ascii="Times New Roman" w:hAnsi="Times New Roman"/>
          <w:b/>
          <w:sz w:val="96"/>
          <w:szCs w:val="96"/>
        </w:rPr>
      </w:pPr>
      <w:r w:rsidRPr="00A41C32">
        <w:rPr>
          <w:rFonts w:ascii="Times New Roman" w:hAnsi="Times New Roman"/>
          <w:b/>
          <w:sz w:val="96"/>
          <w:szCs w:val="96"/>
        </w:rPr>
        <w:lastRenderedPageBreak/>
        <w:t>Guidance for Industry</w:t>
      </w:r>
    </w:p>
    <w:p w:rsidR="00274CCE" w:rsidRPr="00A41C32" w:rsidRDefault="00274CCE" w:rsidP="00274CCE">
      <w:pPr>
        <w:jc w:val="center"/>
        <w:outlineLvl w:val="0"/>
        <w:rPr>
          <w:rFonts w:ascii="Times New Roman" w:hAnsi="Times New Roman"/>
          <w:sz w:val="16"/>
          <w:szCs w:val="16"/>
        </w:rPr>
      </w:pPr>
    </w:p>
    <w:p w:rsidR="00274CCE" w:rsidRPr="00A41C32" w:rsidRDefault="00274CCE" w:rsidP="00274CCE">
      <w:pPr>
        <w:jc w:val="center"/>
        <w:outlineLvl w:val="0"/>
        <w:rPr>
          <w:rFonts w:ascii="Times New Roman" w:hAnsi="Times New Roman"/>
          <w:i/>
          <w:sz w:val="20"/>
        </w:rPr>
      </w:pPr>
      <w:r w:rsidRPr="00A41C32">
        <w:rPr>
          <w:rFonts w:ascii="Times New Roman" w:hAnsi="Times New Roman"/>
          <w:sz w:val="56"/>
          <w:szCs w:val="56"/>
        </w:rPr>
        <w:t xml:space="preserve">Adverse Event Reporting for Outsourcing Facilities Under Section 503B of the </w:t>
      </w:r>
      <w:r>
        <w:rPr>
          <w:rFonts w:ascii="Times New Roman" w:hAnsi="Times New Roman"/>
          <w:sz w:val="56"/>
          <w:szCs w:val="56"/>
        </w:rPr>
        <w:t xml:space="preserve">Federal Food, Drug, and Cosmetic </w:t>
      </w:r>
      <w:r w:rsidRPr="00A41C32">
        <w:rPr>
          <w:rFonts w:ascii="Times New Roman" w:hAnsi="Times New Roman"/>
          <w:sz w:val="56"/>
          <w:szCs w:val="56"/>
        </w:rPr>
        <w:t>Act</w:t>
      </w:r>
      <w:r w:rsidRPr="00A41C32" w:rsidDel="00026687">
        <w:rPr>
          <w:rFonts w:ascii="Times New Roman" w:hAnsi="Times New Roman"/>
          <w:sz w:val="56"/>
          <w:szCs w:val="56"/>
        </w:rPr>
        <w:t xml:space="preserve"> </w:t>
      </w:r>
    </w:p>
    <w:p w:rsidR="00274CCE" w:rsidRPr="00A41C32" w:rsidRDefault="00274CCE" w:rsidP="00274CCE">
      <w:pPr>
        <w:jc w:val="center"/>
        <w:outlineLvl w:val="0"/>
        <w:rPr>
          <w:rFonts w:ascii="Times New Roman" w:hAnsi="Times New Roman"/>
          <w:i/>
          <w:sz w:val="20"/>
        </w:rPr>
      </w:pPr>
    </w:p>
    <w:p w:rsidR="00274CCE" w:rsidRPr="00A41C32" w:rsidRDefault="00274CCE" w:rsidP="00274CCE">
      <w:pPr>
        <w:jc w:val="center"/>
        <w:outlineLvl w:val="0"/>
        <w:rPr>
          <w:rFonts w:ascii="Times New Roman" w:hAnsi="Times New Roman"/>
          <w:i/>
          <w:sz w:val="20"/>
        </w:rPr>
      </w:pPr>
    </w:p>
    <w:p w:rsidR="00274CCE" w:rsidRDefault="00274CCE" w:rsidP="00274CCE">
      <w:pPr>
        <w:jc w:val="center"/>
        <w:outlineLvl w:val="0"/>
        <w:rPr>
          <w:rFonts w:ascii="Times New Roman" w:hAnsi="Times New Roman"/>
          <w:i/>
          <w:sz w:val="20"/>
        </w:rPr>
      </w:pPr>
    </w:p>
    <w:p w:rsidR="004375AC" w:rsidRPr="00A41C32" w:rsidRDefault="004375AC" w:rsidP="00274CCE">
      <w:pPr>
        <w:jc w:val="center"/>
        <w:outlineLvl w:val="0"/>
        <w:rPr>
          <w:rFonts w:ascii="Times New Roman" w:hAnsi="Times New Roman"/>
          <w:i/>
          <w:sz w:val="20"/>
        </w:rPr>
      </w:pPr>
    </w:p>
    <w:p w:rsidR="00274CCE" w:rsidRPr="00A41C32" w:rsidRDefault="00274CCE" w:rsidP="00274CCE">
      <w:pPr>
        <w:jc w:val="center"/>
        <w:outlineLvl w:val="0"/>
        <w:rPr>
          <w:rFonts w:ascii="Times New Roman" w:hAnsi="Times New Roman"/>
          <w:i/>
          <w:sz w:val="20"/>
        </w:rPr>
      </w:pPr>
      <w:r w:rsidRPr="00A41C32">
        <w:rPr>
          <w:rFonts w:ascii="Times New Roman" w:hAnsi="Times New Roman"/>
          <w:i/>
          <w:sz w:val="20"/>
        </w:rPr>
        <w:t>Additional copies are available from:</w:t>
      </w:r>
    </w:p>
    <w:p w:rsidR="00274CCE" w:rsidRPr="00A41C32" w:rsidRDefault="00274CCE" w:rsidP="00274CCE">
      <w:pPr>
        <w:jc w:val="center"/>
        <w:outlineLvl w:val="0"/>
        <w:rPr>
          <w:rFonts w:ascii="Times New Roman" w:hAnsi="Times New Roman"/>
          <w:i/>
          <w:sz w:val="20"/>
        </w:rPr>
      </w:pPr>
    </w:p>
    <w:p w:rsidR="00274CCE" w:rsidRPr="00A41C32" w:rsidRDefault="00274CCE" w:rsidP="00274CCE">
      <w:pPr>
        <w:jc w:val="center"/>
        <w:rPr>
          <w:rFonts w:ascii="Times New Roman" w:hAnsi="Times New Roman"/>
          <w:i/>
          <w:sz w:val="20"/>
        </w:rPr>
      </w:pPr>
      <w:r w:rsidRPr="00A41C32">
        <w:rPr>
          <w:rFonts w:ascii="Times New Roman" w:hAnsi="Times New Roman"/>
          <w:i/>
          <w:sz w:val="20"/>
        </w:rPr>
        <w:t>Office of Communications</w:t>
      </w:r>
    </w:p>
    <w:p w:rsidR="00274CCE" w:rsidRPr="00A41C32" w:rsidRDefault="00274CCE" w:rsidP="00274CCE">
      <w:pPr>
        <w:jc w:val="center"/>
        <w:rPr>
          <w:rFonts w:ascii="Times New Roman" w:hAnsi="Times New Roman"/>
          <w:i/>
          <w:sz w:val="20"/>
        </w:rPr>
      </w:pPr>
      <w:r w:rsidRPr="00A41C32">
        <w:rPr>
          <w:rFonts w:ascii="Times New Roman" w:hAnsi="Times New Roman"/>
          <w:i/>
          <w:sz w:val="20"/>
        </w:rPr>
        <w:t>Division of Drug Information, WO51, Room 2201</w:t>
      </w:r>
    </w:p>
    <w:p w:rsidR="00274CCE" w:rsidRPr="00F11DF3" w:rsidRDefault="00274CCE" w:rsidP="00274CCE">
      <w:pPr>
        <w:jc w:val="center"/>
        <w:rPr>
          <w:rFonts w:ascii="Times New Roman" w:hAnsi="Times New Roman"/>
          <w:i/>
          <w:sz w:val="24"/>
          <w:szCs w:val="24"/>
        </w:rPr>
      </w:pPr>
      <w:r w:rsidRPr="00A41C32">
        <w:rPr>
          <w:rFonts w:ascii="Times New Roman" w:hAnsi="Times New Roman"/>
          <w:i/>
          <w:sz w:val="20"/>
        </w:rPr>
        <w:t>C</w:t>
      </w:r>
      <w:r w:rsidRPr="00F11DF3">
        <w:rPr>
          <w:rFonts w:ascii="Times New Roman" w:hAnsi="Times New Roman"/>
          <w:i/>
          <w:sz w:val="24"/>
          <w:szCs w:val="24"/>
        </w:rPr>
        <w:t>enter for Drug Evaluation and Research</w:t>
      </w:r>
    </w:p>
    <w:p w:rsidR="00274CCE" w:rsidRPr="00F11DF3" w:rsidRDefault="00274CCE" w:rsidP="00274CCE">
      <w:pPr>
        <w:jc w:val="center"/>
        <w:rPr>
          <w:rFonts w:ascii="Times New Roman" w:hAnsi="Times New Roman"/>
          <w:i/>
          <w:sz w:val="24"/>
          <w:szCs w:val="24"/>
        </w:rPr>
      </w:pPr>
      <w:r w:rsidRPr="00F11DF3">
        <w:rPr>
          <w:rFonts w:ascii="Times New Roman" w:hAnsi="Times New Roman"/>
          <w:i/>
          <w:sz w:val="24"/>
          <w:szCs w:val="24"/>
        </w:rPr>
        <w:t>Food and Drug Administration</w:t>
      </w:r>
    </w:p>
    <w:p w:rsidR="00274CCE" w:rsidRPr="00F11DF3" w:rsidRDefault="00274CCE" w:rsidP="00274CCE">
      <w:pPr>
        <w:jc w:val="center"/>
        <w:rPr>
          <w:rFonts w:ascii="Times New Roman" w:hAnsi="Times New Roman"/>
          <w:i/>
          <w:sz w:val="24"/>
          <w:szCs w:val="24"/>
        </w:rPr>
      </w:pPr>
      <w:r w:rsidRPr="00F11DF3">
        <w:rPr>
          <w:rFonts w:ascii="Times New Roman" w:hAnsi="Times New Roman"/>
          <w:i/>
          <w:sz w:val="24"/>
          <w:szCs w:val="24"/>
        </w:rPr>
        <w:t xml:space="preserve">10903 New Hampshire Ave., Silver Spring, MD 20993 </w:t>
      </w:r>
    </w:p>
    <w:p w:rsidR="00274CCE" w:rsidRPr="00F11DF3" w:rsidRDefault="00274CCE" w:rsidP="00274CCE">
      <w:pPr>
        <w:jc w:val="center"/>
        <w:rPr>
          <w:rFonts w:ascii="Times New Roman" w:hAnsi="Times New Roman"/>
          <w:i/>
          <w:sz w:val="24"/>
          <w:szCs w:val="24"/>
        </w:rPr>
      </w:pPr>
      <w:r w:rsidRPr="00F11DF3">
        <w:rPr>
          <w:rFonts w:ascii="Times New Roman" w:hAnsi="Times New Roman"/>
          <w:i/>
          <w:sz w:val="24"/>
          <w:szCs w:val="24"/>
        </w:rPr>
        <w:t>Phone: 301-796-3400; Fax: 301-847-8714</w:t>
      </w:r>
    </w:p>
    <w:p w:rsidR="00274CCE" w:rsidRPr="00F11DF3" w:rsidRDefault="00274CCE" w:rsidP="00274CCE">
      <w:pPr>
        <w:jc w:val="center"/>
        <w:rPr>
          <w:rFonts w:ascii="Times New Roman" w:hAnsi="Times New Roman"/>
          <w:i/>
          <w:sz w:val="24"/>
          <w:szCs w:val="24"/>
        </w:rPr>
      </w:pPr>
      <w:r w:rsidRPr="00F11DF3">
        <w:rPr>
          <w:rFonts w:ascii="Times New Roman" w:hAnsi="Times New Roman"/>
          <w:i/>
          <w:sz w:val="24"/>
          <w:szCs w:val="24"/>
        </w:rPr>
        <w:t xml:space="preserve">druginfo@fda.hhs.gov </w:t>
      </w:r>
    </w:p>
    <w:p w:rsidR="00274CCE" w:rsidRPr="00F11DF3" w:rsidRDefault="00EE5F25" w:rsidP="00274CCE">
      <w:pPr>
        <w:jc w:val="center"/>
        <w:rPr>
          <w:rFonts w:ascii="Times New Roman" w:hAnsi="Times New Roman"/>
          <w:i/>
          <w:sz w:val="24"/>
          <w:szCs w:val="24"/>
        </w:rPr>
      </w:pPr>
      <w:hyperlink r:id="rId9" w:history="1">
        <w:r w:rsidR="00274CCE" w:rsidRPr="00F11DF3">
          <w:rPr>
            <w:rStyle w:val="Hyperlink"/>
            <w:rFonts w:ascii="Times New Roman" w:hAnsi="Times New Roman"/>
            <w:i/>
            <w:sz w:val="24"/>
            <w:szCs w:val="24"/>
          </w:rPr>
          <w:t>http://www.fda.gov/Drugs/GuidanceComplianceRegulatoryInformation/Guidances/default.htm</w:t>
        </w:r>
      </w:hyperlink>
    </w:p>
    <w:p w:rsidR="00274CCE" w:rsidRPr="00F11DF3" w:rsidRDefault="00274CCE" w:rsidP="00274CCE">
      <w:pPr>
        <w:jc w:val="center"/>
        <w:rPr>
          <w:rFonts w:ascii="Times New Roman" w:hAnsi="Times New Roman"/>
          <w:i/>
          <w:sz w:val="24"/>
          <w:szCs w:val="24"/>
        </w:rPr>
      </w:pPr>
    </w:p>
    <w:p w:rsidR="00FC4788" w:rsidRDefault="00FC4788" w:rsidP="00FC4788">
      <w:pPr>
        <w:rPr>
          <w:rFonts w:ascii="Times New Roman" w:hAnsi="Times New Roman"/>
          <w:i/>
          <w:sz w:val="24"/>
          <w:szCs w:val="24"/>
        </w:rPr>
      </w:pPr>
    </w:p>
    <w:p w:rsidR="00274CCE" w:rsidRPr="00F11DF3" w:rsidRDefault="00274CCE" w:rsidP="006C5A5E">
      <w:pPr>
        <w:ind w:left="3459" w:right="3442"/>
        <w:jc w:val="center"/>
        <w:rPr>
          <w:rFonts w:ascii="Times New Roman" w:hAnsi="Times New Roman"/>
          <w:sz w:val="24"/>
          <w:szCs w:val="24"/>
        </w:rPr>
      </w:pPr>
    </w:p>
    <w:p w:rsidR="00274CCE" w:rsidRDefault="00274CCE" w:rsidP="006C5A5E">
      <w:pPr>
        <w:ind w:left="3459" w:right="3442"/>
        <w:jc w:val="center"/>
        <w:rPr>
          <w:rFonts w:ascii="Times New Roman" w:hAnsi="Times New Roman"/>
          <w:sz w:val="24"/>
          <w:szCs w:val="24"/>
        </w:rPr>
      </w:pPr>
    </w:p>
    <w:p w:rsidR="00FC4788" w:rsidRDefault="00FC4788" w:rsidP="006C5A5E">
      <w:pPr>
        <w:ind w:left="3459" w:right="3442"/>
        <w:jc w:val="center"/>
        <w:rPr>
          <w:rFonts w:ascii="Times New Roman" w:hAnsi="Times New Roman"/>
          <w:sz w:val="24"/>
          <w:szCs w:val="24"/>
        </w:rPr>
      </w:pPr>
    </w:p>
    <w:p w:rsidR="00FC4788" w:rsidRDefault="00FC4788" w:rsidP="006C5A5E">
      <w:pPr>
        <w:ind w:left="3459" w:right="3442"/>
        <w:jc w:val="center"/>
        <w:rPr>
          <w:rFonts w:ascii="Times New Roman" w:hAnsi="Times New Roman"/>
          <w:sz w:val="24"/>
          <w:szCs w:val="24"/>
        </w:rPr>
      </w:pPr>
    </w:p>
    <w:p w:rsidR="00FC4788" w:rsidRPr="00F11DF3" w:rsidRDefault="00FC4788" w:rsidP="006C5A5E">
      <w:pPr>
        <w:ind w:left="3459" w:right="3442"/>
        <w:jc w:val="center"/>
        <w:rPr>
          <w:rFonts w:ascii="Times New Roman" w:hAnsi="Times New Roman"/>
          <w:sz w:val="24"/>
          <w:szCs w:val="24"/>
        </w:rPr>
      </w:pPr>
    </w:p>
    <w:p w:rsidR="00274CCE" w:rsidRPr="00F11DF3" w:rsidRDefault="00274CCE" w:rsidP="006C5A5E">
      <w:pPr>
        <w:ind w:left="3459" w:right="3442"/>
        <w:jc w:val="center"/>
        <w:rPr>
          <w:rFonts w:ascii="Times New Roman" w:hAnsi="Times New Roman"/>
          <w:sz w:val="24"/>
          <w:szCs w:val="24"/>
        </w:rPr>
      </w:pPr>
    </w:p>
    <w:p w:rsidR="004375AC" w:rsidRDefault="004375AC" w:rsidP="00274CCE">
      <w:pPr>
        <w:jc w:val="center"/>
        <w:outlineLvl w:val="0"/>
        <w:rPr>
          <w:rFonts w:ascii="Times New Roman" w:hAnsi="Times New Roman"/>
          <w:b/>
          <w:sz w:val="24"/>
          <w:szCs w:val="24"/>
        </w:rPr>
      </w:pPr>
    </w:p>
    <w:p w:rsidR="004375AC" w:rsidRDefault="004375AC" w:rsidP="00274CCE">
      <w:pPr>
        <w:jc w:val="center"/>
        <w:outlineLvl w:val="0"/>
        <w:rPr>
          <w:rFonts w:ascii="Times New Roman" w:hAnsi="Times New Roman"/>
          <w:b/>
          <w:sz w:val="24"/>
          <w:szCs w:val="24"/>
        </w:rPr>
      </w:pPr>
    </w:p>
    <w:p w:rsidR="00274CCE" w:rsidRPr="00F11DF3" w:rsidRDefault="00274CCE" w:rsidP="00274CCE">
      <w:pPr>
        <w:jc w:val="center"/>
        <w:outlineLvl w:val="0"/>
        <w:rPr>
          <w:rFonts w:ascii="Times New Roman" w:hAnsi="Times New Roman"/>
          <w:b/>
          <w:sz w:val="24"/>
          <w:szCs w:val="24"/>
        </w:rPr>
      </w:pPr>
      <w:r w:rsidRPr="00F11DF3">
        <w:rPr>
          <w:rFonts w:ascii="Times New Roman" w:hAnsi="Times New Roman"/>
          <w:b/>
          <w:sz w:val="24"/>
          <w:szCs w:val="24"/>
        </w:rPr>
        <w:t>U.S. Department of Health and Human Services</w:t>
      </w:r>
    </w:p>
    <w:p w:rsidR="00274CCE" w:rsidRPr="00F11DF3" w:rsidRDefault="00274CCE" w:rsidP="00274CCE">
      <w:pPr>
        <w:jc w:val="center"/>
        <w:rPr>
          <w:rFonts w:ascii="Times New Roman" w:hAnsi="Times New Roman"/>
          <w:b/>
          <w:sz w:val="24"/>
          <w:szCs w:val="24"/>
        </w:rPr>
      </w:pPr>
      <w:r w:rsidRPr="00F11DF3">
        <w:rPr>
          <w:rFonts w:ascii="Times New Roman" w:hAnsi="Times New Roman"/>
          <w:b/>
          <w:sz w:val="24"/>
          <w:szCs w:val="24"/>
        </w:rPr>
        <w:t>Food and Drug Administration</w:t>
      </w:r>
    </w:p>
    <w:p w:rsidR="00274CCE" w:rsidRPr="00F11DF3" w:rsidRDefault="00274CCE" w:rsidP="00274CCE">
      <w:pPr>
        <w:jc w:val="center"/>
        <w:rPr>
          <w:rFonts w:ascii="Times New Roman" w:hAnsi="Times New Roman"/>
          <w:b/>
          <w:sz w:val="24"/>
          <w:szCs w:val="24"/>
        </w:rPr>
      </w:pPr>
      <w:r w:rsidRPr="00F11DF3">
        <w:rPr>
          <w:rFonts w:ascii="Times New Roman" w:hAnsi="Times New Roman"/>
          <w:b/>
          <w:sz w:val="24"/>
          <w:szCs w:val="24"/>
        </w:rPr>
        <w:t>Center for Drug Evaluation and Research (CDER)</w:t>
      </w:r>
    </w:p>
    <w:p w:rsidR="00274CCE" w:rsidRPr="00F11DF3" w:rsidRDefault="00274CCE" w:rsidP="00274CCE">
      <w:pPr>
        <w:jc w:val="center"/>
        <w:rPr>
          <w:rFonts w:ascii="Times New Roman" w:hAnsi="Times New Roman"/>
          <w:b/>
          <w:sz w:val="24"/>
          <w:szCs w:val="24"/>
        </w:rPr>
      </w:pPr>
      <w:r w:rsidRPr="00F11DF3" w:rsidDel="004D64C4">
        <w:rPr>
          <w:rFonts w:ascii="Times New Roman" w:hAnsi="Times New Roman"/>
          <w:b/>
          <w:sz w:val="24"/>
          <w:szCs w:val="24"/>
        </w:rPr>
        <w:t xml:space="preserve"> </w:t>
      </w:r>
    </w:p>
    <w:p w:rsidR="00274CCE" w:rsidRPr="00F11DF3" w:rsidRDefault="00FC4788" w:rsidP="00274CCE">
      <w:pPr>
        <w:jc w:val="center"/>
        <w:rPr>
          <w:rFonts w:ascii="Times New Roman" w:hAnsi="Times New Roman"/>
          <w:b/>
          <w:sz w:val="24"/>
          <w:szCs w:val="24"/>
        </w:rPr>
      </w:pPr>
      <w:r>
        <w:rPr>
          <w:rFonts w:ascii="Times New Roman" w:hAnsi="Times New Roman"/>
          <w:b/>
          <w:sz w:val="24"/>
          <w:szCs w:val="24"/>
        </w:rPr>
        <w:t>[MONTH]</w:t>
      </w:r>
      <w:r w:rsidR="00626B30" w:rsidRPr="00F11DF3">
        <w:rPr>
          <w:rFonts w:ascii="Times New Roman" w:hAnsi="Times New Roman"/>
          <w:b/>
          <w:sz w:val="24"/>
          <w:szCs w:val="24"/>
        </w:rPr>
        <w:t xml:space="preserve"> </w:t>
      </w:r>
      <w:r w:rsidR="00337F42">
        <w:rPr>
          <w:rFonts w:ascii="Times New Roman" w:hAnsi="Times New Roman"/>
          <w:b/>
          <w:sz w:val="24"/>
          <w:szCs w:val="24"/>
        </w:rPr>
        <w:t>2015</w:t>
      </w:r>
    </w:p>
    <w:p w:rsidR="00274CCE" w:rsidRPr="00F11DF3" w:rsidRDefault="00432485" w:rsidP="00274CCE">
      <w:pPr>
        <w:jc w:val="center"/>
        <w:rPr>
          <w:rFonts w:ascii="Times New Roman" w:hAnsi="Times New Roman"/>
          <w:b/>
          <w:sz w:val="24"/>
          <w:szCs w:val="24"/>
        </w:rPr>
        <w:sectPr w:rsidR="00274CCE" w:rsidRPr="00F11DF3">
          <w:headerReference w:type="even" r:id="rId10"/>
          <w:headerReference w:type="default" r:id="rId11"/>
          <w:footerReference w:type="default" r:id="rId12"/>
          <w:headerReference w:type="first" r:id="rId13"/>
          <w:pgSz w:w="12240" w:h="15840"/>
          <w:pgMar w:top="1440" w:right="1440" w:bottom="1440" w:left="1440" w:header="720" w:footer="720" w:gutter="0"/>
          <w:cols w:space="720"/>
        </w:sectPr>
      </w:pPr>
      <w:r>
        <w:rPr>
          <w:rFonts w:ascii="Times New Roman" w:hAnsi="Times New Roman"/>
          <w:b/>
          <w:sz w:val="24"/>
          <w:szCs w:val="24"/>
        </w:rPr>
        <w:t>Compounding and Related Documents</w:t>
      </w:r>
    </w:p>
    <w:p w:rsidR="00274CCE" w:rsidRPr="00F11DF3" w:rsidRDefault="00274CCE" w:rsidP="00274CCE">
      <w:pPr>
        <w:pStyle w:val="TOC2"/>
        <w:rPr>
          <w:rFonts w:ascii="Times New Roman" w:hAnsi="Times New Roman" w:cs="Times New Roman"/>
          <w:sz w:val="24"/>
          <w:szCs w:val="24"/>
        </w:rPr>
      </w:pPr>
    </w:p>
    <w:p w:rsidR="00274CCE" w:rsidRPr="004375AC" w:rsidRDefault="00274CCE" w:rsidP="00274CCE">
      <w:pPr>
        <w:jc w:val="center"/>
        <w:outlineLvl w:val="0"/>
        <w:rPr>
          <w:rFonts w:ascii="Times New Roman" w:hAnsi="Times New Roman"/>
          <w:b/>
          <w:sz w:val="24"/>
          <w:szCs w:val="24"/>
        </w:rPr>
      </w:pPr>
      <w:r w:rsidRPr="004375AC">
        <w:rPr>
          <w:rFonts w:ascii="Times New Roman" w:hAnsi="Times New Roman"/>
          <w:b/>
          <w:sz w:val="24"/>
          <w:szCs w:val="24"/>
        </w:rPr>
        <w:t>TABLE OF CONTENTS</w:t>
      </w:r>
    </w:p>
    <w:p w:rsidR="00274CCE" w:rsidRPr="008841A3" w:rsidRDefault="00274CCE" w:rsidP="006C5A5E">
      <w:pPr>
        <w:pStyle w:val="Heading1"/>
        <w:spacing w:before="0" w:after="0"/>
        <w:rPr>
          <w:rFonts w:ascii="Times New Roman" w:hAnsi="Times New Roman"/>
          <w:szCs w:val="24"/>
        </w:rPr>
      </w:pPr>
    </w:p>
    <w:p w:rsidR="00274CCE" w:rsidRPr="008841A3" w:rsidRDefault="00274CCE" w:rsidP="00274CCE">
      <w:pPr>
        <w:rPr>
          <w:rFonts w:ascii="Times New Roman" w:hAnsi="Times New Roman"/>
          <w:sz w:val="24"/>
          <w:szCs w:val="24"/>
        </w:rPr>
      </w:pPr>
    </w:p>
    <w:p w:rsidR="008841A3" w:rsidRPr="009E1591" w:rsidRDefault="00274CCE">
      <w:pPr>
        <w:pStyle w:val="TOC1"/>
        <w:tabs>
          <w:tab w:val="left" w:pos="440"/>
          <w:tab w:val="right" w:leader="dot" w:pos="9350"/>
        </w:tabs>
        <w:rPr>
          <w:rFonts w:ascii="Times New Roman" w:eastAsia="Times New Roman" w:hAnsi="Times New Roman" w:cs="Times New Roman"/>
          <w:b w:val="0"/>
          <w:bCs w:val="0"/>
          <w:caps w:val="0"/>
          <w:noProof/>
          <w:sz w:val="24"/>
          <w:szCs w:val="24"/>
          <w:lang w:val="en-US" w:eastAsia="en-US"/>
        </w:rPr>
      </w:pPr>
      <w:r w:rsidRPr="0038398D">
        <w:rPr>
          <w:rFonts w:ascii="Times New Roman" w:hAnsi="Times New Roman" w:cs="Times New Roman"/>
          <w:b w:val="0"/>
          <w:caps w:val="0"/>
          <w:sz w:val="24"/>
          <w:szCs w:val="24"/>
        </w:rPr>
        <w:fldChar w:fldCharType="begin"/>
      </w:r>
      <w:r w:rsidRPr="008841A3">
        <w:rPr>
          <w:rFonts w:ascii="Times New Roman" w:hAnsi="Times New Roman" w:cs="Times New Roman"/>
          <w:b w:val="0"/>
          <w:caps w:val="0"/>
          <w:sz w:val="24"/>
          <w:szCs w:val="24"/>
        </w:rPr>
        <w:instrText xml:space="preserve"> TOC \o "1-3" </w:instrText>
      </w:r>
      <w:r w:rsidRPr="0038398D">
        <w:rPr>
          <w:rFonts w:ascii="Times New Roman" w:hAnsi="Times New Roman" w:cs="Times New Roman"/>
          <w:b w:val="0"/>
          <w:caps w:val="0"/>
          <w:sz w:val="24"/>
          <w:szCs w:val="24"/>
        </w:rPr>
        <w:fldChar w:fldCharType="separate"/>
      </w:r>
      <w:r w:rsidR="008841A3" w:rsidRPr="00F67AA6">
        <w:rPr>
          <w:rFonts w:ascii="Times New Roman" w:hAnsi="Times New Roman" w:cs="Times New Roman"/>
          <w:noProof/>
          <w:sz w:val="24"/>
          <w:szCs w:val="24"/>
        </w:rPr>
        <w:t>I.</w:t>
      </w:r>
      <w:r w:rsidR="008841A3" w:rsidRPr="009E1591">
        <w:rPr>
          <w:rFonts w:ascii="Times New Roman" w:eastAsia="Times New Roman" w:hAnsi="Times New Roman" w:cs="Times New Roman"/>
          <w:b w:val="0"/>
          <w:bCs w:val="0"/>
          <w:caps w:val="0"/>
          <w:noProof/>
          <w:sz w:val="24"/>
          <w:szCs w:val="24"/>
          <w:lang w:val="en-US" w:eastAsia="en-US"/>
        </w:rPr>
        <w:tab/>
      </w:r>
      <w:r w:rsidR="008841A3" w:rsidRPr="00F67AA6">
        <w:rPr>
          <w:rFonts w:ascii="Times New Roman" w:hAnsi="Times New Roman" w:cs="Times New Roman"/>
          <w:noProof/>
          <w:sz w:val="24"/>
          <w:szCs w:val="24"/>
        </w:rPr>
        <w:t>INTRODUCTION</w:t>
      </w:r>
      <w:r w:rsidR="008841A3" w:rsidRPr="00F67AA6">
        <w:rPr>
          <w:rFonts w:ascii="Times New Roman" w:hAnsi="Times New Roman" w:cs="Times New Roman"/>
          <w:noProof/>
          <w:sz w:val="24"/>
          <w:szCs w:val="24"/>
        </w:rPr>
        <w:tab/>
      </w:r>
      <w:r w:rsidR="008841A3" w:rsidRPr="00F67AA6">
        <w:rPr>
          <w:rFonts w:ascii="Times New Roman" w:hAnsi="Times New Roman" w:cs="Times New Roman"/>
          <w:noProof/>
          <w:sz w:val="24"/>
          <w:szCs w:val="24"/>
        </w:rPr>
        <w:fldChar w:fldCharType="begin"/>
      </w:r>
      <w:r w:rsidR="008841A3" w:rsidRPr="00F67AA6">
        <w:rPr>
          <w:rFonts w:ascii="Times New Roman" w:hAnsi="Times New Roman" w:cs="Times New Roman"/>
          <w:noProof/>
          <w:sz w:val="24"/>
          <w:szCs w:val="24"/>
        </w:rPr>
        <w:instrText xml:space="preserve"> PAGEREF _Toc421567521 \h </w:instrText>
      </w:r>
      <w:r w:rsidR="008841A3" w:rsidRPr="00F67AA6">
        <w:rPr>
          <w:rFonts w:ascii="Times New Roman" w:hAnsi="Times New Roman" w:cs="Times New Roman"/>
          <w:noProof/>
          <w:sz w:val="24"/>
          <w:szCs w:val="24"/>
        </w:rPr>
      </w:r>
      <w:r w:rsidR="008841A3" w:rsidRPr="00F67AA6">
        <w:rPr>
          <w:rFonts w:ascii="Times New Roman" w:hAnsi="Times New Roman" w:cs="Times New Roman"/>
          <w:noProof/>
          <w:sz w:val="24"/>
          <w:szCs w:val="24"/>
        </w:rPr>
        <w:fldChar w:fldCharType="separate"/>
      </w:r>
      <w:r w:rsidR="008841A3" w:rsidRPr="00F67AA6">
        <w:rPr>
          <w:rFonts w:ascii="Times New Roman" w:hAnsi="Times New Roman" w:cs="Times New Roman"/>
          <w:noProof/>
          <w:sz w:val="24"/>
          <w:szCs w:val="24"/>
        </w:rPr>
        <w:t>1</w:t>
      </w:r>
      <w:r w:rsidR="008841A3" w:rsidRPr="00F67AA6">
        <w:rPr>
          <w:rFonts w:ascii="Times New Roman" w:hAnsi="Times New Roman" w:cs="Times New Roman"/>
          <w:noProof/>
          <w:sz w:val="24"/>
          <w:szCs w:val="24"/>
        </w:rPr>
        <w:fldChar w:fldCharType="end"/>
      </w:r>
    </w:p>
    <w:p w:rsidR="008841A3" w:rsidRPr="009E1591" w:rsidRDefault="008841A3">
      <w:pPr>
        <w:pStyle w:val="TOC1"/>
        <w:tabs>
          <w:tab w:val="left" w:pos="440"/>
          <w:tab w:val="right" w:leader="dot" w:pos="9350"/>
        </w:tabs>
        <w:rPr>
          <w:rFonts w:ascii="Times New Roman" w:eastAsia="Times New Roman" w:hAnsi="Times New Roman" w:cs="Times New Roman"/>
          <w:b w:val="0"/>
          <w:bCs w:val="0"/>
          <w:caps w:val="0"/>
          <w:noProof/>
          <w:sz w:val="24"/>
          <w:szCs w:val="24"/>
          <w:lang w:val="en-US" w:eastAsia="en-US"/>
        </w:rPr>
      </w:pPr>
      <w:r w:rsidRPr="00F67AA6">
        <w:rPr>
          <w:rFonts w:ascii="Times New Roman" w:hAnsi="Times New Roman" w:cs="Times New Roman"/>
          <w:noProof/>
          <w:sz w:val="24"/>
          <w:szCs w:val="24"/>
        </w:rPr>
        <w:t>II.</w:t>
      </w:r>
      <w:r w:rsidRPr="009E1591">
        <w:rPr>
          <w:rFonts w:ascii="Times New Roman" w:eastAsia="Times New Roman" w:hAnsi="Times New Roman" w:cs="Times New Roman"/>
          <w:b w:val="0"/>
          <w:bCs w:val="0"/>
          <w:caps w:val="0"/>
          <w:noProof/>
          <w:sz w:val="24"/>
          <w:szCs w:val="24"/>
          <w:lang w:val="en-US" w:eastAsia="en-US"/>
        </w:rPr>
        <w:tab/>
      </w:r>
      <w:r w:rsidRPr="00F67AA6">
        <w:rPr>
          <w:rFonts w:ascii="Times New Roman" w:hAnsi="Times New Roman" w:cs="Times New Roman"/>
          <w:noProof/>
          <w:sz w:val="24"/>
          <w:szCs w:val="24"/>
        </w:rPr>
        <w:t>BACKGROUND</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_Toc421567522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1</w:t>
      </w:r>
      <w:r w:rsidRPr="00F67AA6">
        <w:rPr>
          <w:rFonts w:ascii="Times New Roman" w:hAnsi="Times New Roman" w:cs="Times New Roman"/>
          <w:noProof/>
          <w:sz w:val="24"/>
          <w:szCs w:val="24"/>
        </w:rPr>
        <w:fldChar w:fldCharType="end"/>
      </w:r>
    </w:p>
    <w:p w:rsidR="008841A3" w:rsidRPr="009E1591" w:rsidRDefault="008841A3">
      <w:pPr>
        <w:pStyle w:val="TOC2"/>
        <w:tabs>
          <w:tab w:val="left" w:pos="660"/>
          <w:tab w:val="right" w:leader="dot" w:pos="9350"/>
        </w:tabs>
        <w:rPr>
          <w:rFonts w:ascii="Times New Roman" w:eastAsia="Times New Roman" w:hAnsi="Times New Roman" w:cs="Times New Roman"/>
          <w:smallCaps w:val="0"/>
          <w:noProof/>
          <w:sz w:val="24"/>
          <w:szCs w:val="24"/>
          <w:lang w:val="en-US" w:eastAsia="en-US"/>
        </w:rPr>
      </w:pPr>
      <w:r w:rsidRPr="00F67AA6">
        <w:rPr>
          <w:rFonts w:ascii="Times New Roman" w:hAnsi="Times New Roman" w:cs="Times New Roman"/>
          <w:noProof/>
          <w:sz w:val="24"/>
          <w:szCs w:val="24"/>
          <w:lang w:val="en-US"/>
        </w:rPr>
        <w:t>A.</w:t>
      </w:r>
      <w:r w:rsidRPr="009E1591">
        <w:rPr>
          <w:rFonts w:ascii="Times New Roman" w:eastAsia="Times New Roman" w:hAnsi="Times New Roman" w:cs="Times New Roman"/>
          <w:smallCaps w:val="0"/>
          <w:noProof/>
          <w:sz w:val="24"/>
          <w:szCs w:val="24"/>
          <w:lang w:val="en-US" w:eastAsia="en-US"/>
        </w:rPr>
        <w:tab/>
      </w:r>
      <w:r w:rsidRPr="00F67AA6">
        <w:rPr>
          <w:rFonts w:ascii="Times New Roman" w:hAnsi="Times New Roman" w:cs="Times New Roman"/>
          <w:noProof/>
          <w:sz w:val="24"/>
          <w:szCs w:val="24"/>
        </w:rPr>
        <w:t>Statutory and Regulatory Framework</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_Toc421567523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1</w:t>
      </w:r>
      <w:r w:rsidRPr="00F67AA6">
        <w:rPr>
          <w:rFonts w:ascii="Times New Roman" w:hAnsi="Times New Roman" w:cs="Times New Roman"/>
          <w:noProof/>
          <w:sz w:val="24"/>
          <w:szCs w:val="24"/>
        </w:rPr>
        <w:fldChar w:fldCharType="end"/>
      </w:r>
    </w:p>
    <w:p w:rsidR="008841A3" w:rsidRPr="009E1591" w:rsidRDefault="008841A3">
      <w:pPr>
        <w:pStyle w:val="TOC2"/>
        <w:tabs>
          <w:tab w:val="left" w:pos="660"/>
          <w:tab w:val="right" w:leader="dot" w:pos="9350"/>
        </w:tabs>
        <w:rPr>
          <w:rFonts w:ascii="Times New Roman" w:eastAsia="Times New Roman" w:hAnsi="Times New Roman" w:cs="Times New Roman"/>
          <w:smallCaps w:val="0"/>
          <w:noProof/>
          <w:sz w:val="24"/>
          <w:szCs w:val="24"/>
          <w:lang w:val="en-US" w:eastAsia="en-US"/>
        </w:rPr>
      </w:pPr>
      <w:r w:rsidRPr="00F67AA6">
        <w:rPr>
          <w:rFonts w:ascii="Times New Roman" w:hAnsi="Times New Roman" w:cs="Times New Roman"/>
          <w:noProof/>
          <w:sz w:val="24"/>
          <w:szCs w:val="24"/>
          <w:lang w:val="en-US"/>
        </w:rPr>
        <w:t>B.</w:t>
      </w:r>
      <w:r w:rsidRPr="009E1591">
        <w:rPr>
          <w:rFonts w:ascii="Times New Roman" w:eastAsia="Times New Roman" w:hAnsi="Times New Roman" w:cs="Times New Roman"/>
          <w:smallCaps w:val="0"/>
          <w:noProof/>
          <w:sz w:val="24"/>
          <w:szCs w:val="24"/>
          <w:lang w:val="en-US" w:eastAsia="en-US"/>
        </w:rPr>
        <w:tab/>
      </w:r>
      <w:r w:rsidRPr="00F67AA6">
        <w:rPr>
          <w:rFonts w:ascii="Times New Roman" w:hAnsi="Times New Roman" w:cs="Times New Roman"/>
          <w:noProof/>
          <w:sz w:val="24"/>
          <w:szCs w:val="24"/>
        </w:rPr>
        <w:t>Section 310.305</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_Toc421567524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3</w:t>
      </w:r>
      <w:r w:rsidRPr="00F67AA6">
        <w:rPr>
          <w:rFonts w:ascii="Times New Roman" w:hAnsi="Times New Roman" w:cs="Times New Roman"/>
          <w:noProof/>
          <w:sz w:val="24"/>
          <w:szCs w:val="24"/>
        </w:rPr>
        <w:fldChar w:fldCharType="end"/>
      </w:r>
    </w:p>
    <w:p w:rsidR="008841A3" w:rsidRPr="009E1591" w:rsidRDefault="008841A3">
      <w:pPr>
        <w:pStyle w:val="TOC1"/>
        <w:tabs>
          <w:tab w:val="left" w:pos="660"/>
          <w:tab w:val="right" w:leader="dot" w:pos="9350"/>
        </w:tabs>
        <w:rPr>
          <w:rFonts w:ascii="Times New Roman" w:eastAsia="Times New Roman" w:hAnsi="Times New Roman" w:cs="Times New Roman"/>
          <w:b w:val="0"/>
          <w:bCs w:val="0"/>
          <w:caps w:val="0"/>
          <w:noProof/>
          <w:sz w:val="24"/>
          <w:szCs w:val="24"/>
          <w:lang w:val="en-US" w:eastAsia="en-US"/>
        </w:rPr>
      </w:pPr>
      <w:r w:rsidRPr="00F67AA6">
        <w:rPr>
          <w:rFonts w:ascii="Times New Roman" w:hAnsi="Times New Roman" w:cs="Times New Roman"/>
          <w:noProof/>
          <w:sz w:val="24"/>
          <w:szCs w:val="24"/>
        </w:rPr>
        <w:t xml:space="preserve">III. </w:t>
      </w:r>
      <w:r w:rsidRPr="009E1591">
        <w:rPr>
          <w:rFonts w:ascii="Times New Roman" w:eastAsia="Times New Roman" w:hAnsi="Times New Roman" w:cs="Times New Roman"/>
          <w:b w:val="0"/>
          <w:bCs w:val="0"/>
          <w:caps w:val="0"/>
          <w:noProof/>
          <w:sz w:val="24"/>
          <w:szCs w:val="24"/>
          <w:lang w:val="en-US" w:eastAsia="en-US"/>
        </w:rPr>
        <w:tab/>
      </w:r>
      <w:r w:rsidRPr="00F67AA6">
        <w:rPr>
          <w:rFonts w:ascii="Times New Roman" w:hAnsi="Times New Roman" w:cs="Times New Roman"/>
          <w:noProof/>
          <w:sz w:val="24"/>
          <w:szCs w:val="24"/>
        </w:rPr>
        <w:t>Adverse Event Reporting by Outsourcing Facilities</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_Toc421567525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4</w:t>
      </w:r>
      <w:r w:rsidRPr="00F67AA6">
        <w:rPr>
          <w:rFonts w:ascii="Times New Roman" w:hAnsi="Times New Roman" w:cs="Times New Roman"/>
          <w:noProof/>
          <w:sz w:val="24"/>
          <w:szCs w:val="24"/>
        </w:rPr>
        <w:fldChar w:fldCharType="end"/>
      </w:r>
    </w:p>
    <w:p w:rsidR="008841A3" w:rsidRPr="009E1591" w:rsidRDefault="008841A3">
      <w:pPr>
        <w:pStyle w:val="TOC2"/>
        <w:tabs>
          <w:tab w:val="left" w:pos="660"/>
          <w:tab w:val="right" w:leader="dot" w:pos="9350"/>
        </w:tabs>
        <w:rPr>
          <w:rFonts w:ascii="Times New Roman" w:eastAsia="Times New Roman" w:hAnsi="Times New Roman" w:cs="Times New Roman"/>
          <w:smallCaps w:val="0"/>
          <w:noProof/>
          <w:sz w:val="24"/>
          <w:szCs w:val="24"/>
          <w:lang w:val="en-US" w:eastAsia="en-US"/>
        </w:rPr>
      </w:pPr>
      <w:r w:rsidRPr="00F67AA6">
        <w:rPr>
          <w:rFonts w:ascii="Times New Roman" w:hAnsi="Times New Roman" w:cs="Times New Roman"/>
          <w:noProof/>
          <w:sz w:val="24"/>
          <w:szCs w:val="24"/>
        </w:rPr>
        <w:t>A.</w:t>
      </w:r>
      <w:r w:rsidRPr="009E1591">
        <w:rPr>
          <w:rFonts w:ascii="Times New Roman" w:eastAsia="Times New Roman" w:hAnsi="Times New Roman" w:cs="Times New Roman"/>
          <w:smallCaps w:val="0"/>
          <w:noProof/>
          <w:sz w:val="24"/>
          <w:szCs w:val="24"/>
          <w:lang w:val="en-US" w:eastAsia="en-US"/>
        </w:rPr>
        <w:tab/>
      </w:r>
      <w:r w:rsidRPr="00F67AA6">
        <w:rPr>
          <w:rFonts w:ascii="Times New Roman" w:hAnsi="Times New Roman" w:cs="Times New Roman"/>
          <w:noProof/>
          <w:sz w:val="24"/>
          <w:szCs w:val="24"/>
          <w:lang w:val="en-US"/>
        </w:rPr>
        <w:t>What to Report</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_Toc421567526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4</w:t>
      </w:r>
      <w:r w:rsidRPr="00F67AA6">
        <w:rPr>
          <w:rFonts w:ascii="Times New Roman" w:hAnsi="Times New Roman" w:cs="Times New Roman"/>
          <w:noProof/>
          <w:sz w:val="24"/>
          <w:szCs w:val="24"/>
        </w:rPr>
        <w:fldChar w:fldCharType="end"/>
      </w:r>
    </w:p>
    <w:p w:rsidR="008841A3" w:rsidRPr="009E1591" w:rsidRDefault="008841A3">
      <w:pPr>
        <w:pStyle w:val="TOC2"/>
        <w:tabs>
          <w:tab w:val="left" w:pos="660"/>
          <w:tab w:val="right" w:leader="dot" w:pos="9350"/>
        </w:tabs>
        <w:rPr>
          <w:rFonts w:ascii="Times New Roman" w:eastAsia="Times New Roman" w:hAnsi="Times New Roman" w:cs="Times New Roman"/>
          <w:smallCaps w:val="0"/>
          <w:noProof/>
          <w:sz w:val="24"/>
          <w:szCs w:val="24"/>
          <w:lang w:val="en-US" w:eastAsia="en-US"/>
        </w:rPr>
      </w:pPr>
      <w:r w:rsidRPr="00F67AA6">
        <w:rPr>
          <w:rFonts w:ascii="Times New Roman" w:hAnsi="Times New Roman" w:cs="Times New Roman"/>
          <w:noProof/>
          <w:sz w:val="24"/>
          <w:szCs w:val="24"/>
        </w:rPr>
        <w:t>B.</w:t>
      </w:r>
      <w:r w:rsidRPr="009E1591">
        <w:rPr>
          <w:rFonts w:ascii="Times New Roman" w:eastAsia="Times New Roman" w:hAnsi="Times New Roman" w:cs="Times New Roman"/>
          <w:smallCaps w:val="0"/>
          <w:noProof/>
          <w:sz w:val="24"/>
          <w:szCs w:val="24"/>
          <w:lang w:val="en-US" w:eastAsia="en-US"/>
        </w:rPr>
        <w:tab/>
      </w:r>
      <w:r w:rsidRPr="00F67AA6">
        <w:rPr>
          <w:rFonts w:ascii="Times New Roman" w:hAnsi="Times New Roman" w:cs="Times New Roman"/>
          <w:noProof/>
          <w:sz w:val="24"/>
          <w:szCs w:val="24"/>
          <w:lang w:val="en-US"/>
        </w:rPr>
        <w:t>Threshold for Reporting</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_Toc421567527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4</w:t>
      </w:r>
      <w:r w:rsidRPr="00F67AA6">
        <w:rPr>
          <w:rFonts w:ascii="Times New Roman" w:hAnsi="Times New Roman" w:cs="Times New Roman"/>
          <w:noProof/>
          <w:sz w:val="24"/>
          <w:szCs w:val="24"/>
        </w:rPr>
        <w:fldChar w:fldCharType="end"/>
      </w:r>
    </w:p>
    <w:p w:rsidR="008841A3" w:rsidRPr="001001E2" w:rsidRDefault="008841A3" w:rsidP="001001E2">
      <w:pPr>
        <w:pStyle w:val="TOC2"/>
        <w:tabs>
          <w:tab w:val="left" w:pos="660"/>
          <w:tab w:val="right" w:leader="dot" w:pos="9350"/>
        </w:tabs>
        <w:rPr>
          <w:rFonts w:ascii="Times New Roman" w:hAnsi="Times New Roman"/>
          <w:i/>
          <w:sz w:val="24"/>
        </w:rPr>
      </w:pPr>
      <w:r w:rsidRPr="00F67AA6">
        <w:rPr>
          <w:rFonts w:ascii="Times New Roman" w:hAnsi="Times New Roman" w:cs="Times New Roman"/>
          <w:noProof/>
          <w:sz w:val="24"/>
          <w:szCs w:val="24"/>
        </w:rPr>
        <w:t>C.</w:t>
      </w:r>
      <w:r w:rsidRPr="009E1591">
        <w:rPr>
          <w:rFonts w:ascii="Times New Roman" w:eastAsia="Times New Roman" w:hAnsi="Times New Roman" w:cs="Times New Roman"/>
          <w:smallCaps w:val="0"/>
          <w:noProof/>
          <w:sz w:val="24"/>
          <w:szCs w:val="24"/>
          <w:lang w:val="en-US" w:eastAsia="en-US"/>
        </w:rPr>
        <w:tab/>
      </w:r>
      <w:r w:rsidRPr="00F67AA6">
        <w:rPr>
          <w:rFonts w:ascii="Times New Roman" w:hAnsi="Times New Roman" w:cs="Times New Roman"/>
          <w:noProof/>
          <w:sz w:val="24"/>
          <w:szCs w:val="24"/>
        </w:rPr>
        <w:t>How to Report Adverse Events</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_Toc421567532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8</w:t>
      </w:r>
      <w:r w:rsidRPr="00F67AA6">
        <w:rPr>
          <w:rFonts w:ascii="Times New Roman" w:hAnsi="Times New Roman" w:cs="Times New Roman"/>
          <w:noProof/>
          <w:sz w:val="24"/>
          <w:szCs w:val="24"/>
        </w:rPr>
        <w:fldChar w:fldCharType="end"/>
      </w:r>
    </w:p>
    <w:p w:rsidR="008841A3" w:rsidRPr="009E1591" w:rsidRDefault="008841A3">
      <w:pPr>
        <w:pStyle w:val="TOC2"/>
        <w:tabs>
          <w:tab w:val="left" w:pos="660"/>
          <w:tab w:val="right" w:leader="dot" w:pos="9350"/>
        </w:tabs>
        <w:rPr>
          <w:rFonts w:ascii="Times New Roman" w:eastAsia="Times New Roman" w:hAnsi="Times New Roman" w:cs="Times New Roman"/>
          <w:smallCaps w:val="0"/>
          <w:noProof/>
          <w:sz w:val="24"/>
          <w:szCs w:val="24"/>
          <w:lang w:val="en-US" w:eastAsia="en-US"/>
        </w:rPr>
      </w:pPr>
      <w:r w:rsidRPr="00F67AA6">
        <w:rPr>
          <w:rFonts w:ascii="Times New Roman" w:hAnsi="Times New Roman" w:cs="Times New Roman"/>
          <w:noProof/>
          <w:sz w:val="24"/>
          <w:szCs w:val="24"/>
        </w:rPr>
        <w:t>D.</w:t>
      </w:r>
      <w:r w:rsidRPr="009E1591">
        <w:rPr>
          <w:rFonts w:ascii="Times New Roman" w:eastAsia="Times New Roman" w:hAnsi="Times New Roman" w:cs="Times New Roman"/>
          <w:smallCaps w:val="0"/>
          <w:noProof/>
          <w:sz w:val="24"/>
          <w:szCs w:val="24"/>
          <w:lang w:val="en-US" w:eastAsia="en-US"/>
        </w:rPr>
        <w:tab/>
      </w:r>
      <w:r w:rsidRPr="00F67AA6">
        <w:rPr>
          <w:rFonts w:ascii="Times New Roman" w:hAnsi="Times New Roman" w:cs="Times New Roman"/>
          <w:noProof/>
          <w:sz w:val="24"/>
          <w:szCs w:val="24"/>
        </w:rPr>
        <w:t>Inspection of Adverse Event Reporting</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_Toc421567533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8</w:t>
      </w:r>
      <w:r w:rsidRPr="00F67AA6">
        <w:rPr>
          <w:rFonts w:ascii="Times New Roman" w:hAnsi="Times New Roman" w:cs="Times New Roman"/>
          <w:noProof/>
          <w:sz w:val="24"/>
          <w:szCs w:val="24"/>
        </w:rPr>
        <w:fldChar w:fldCharType="end"/>
      </w:r>
    </w:p>
    <w:p w:rsidR="008841A3" w:rsidRPr="009E1591" w:rsidRDefault="008841A3">
      <w:pPr>
        <w:pStyle w:val="TOC2"/>
        <w:tabs>
          <w:tab w:val="left" w:pos="660"/>
          <w:tab w:val="right" w:leader="dot" w:pos="9350"/>
        </w:tabs>
        <w:rPr>
          <w:rFonts w:ascii="Times New Roman" w:eastAsia="Times New Roman" w:hAnsi="Times New Roman" w:cs="Times New Roman"/>
          <w:smallCaps w:val="0"/>
          <w:noProof/>
          <w:sz w:val="24"/>
          <w:szCs w:val="24"/>
          <w:lang w:val="en-US" w:eastAsia="en-US"/>
        </w:rPr>
      </w:pPr>
      <w:r w:rsidRPr="00F67AA6">
        <w:rPr>
          <w:rFonts w:ascii="Times New Roman" w:hAnsi="Times New Roman" w:cs="Times New Roman"/>
          <w:noProof/>
          <w:sz w:val="24"/>
          <w:szCs w:val="24"/>
        </w:rPr>
        <w:t>E.</w:t>
      </w:r>
      <w:r w:rsidRPr="009E1591">
        <w:rPr>
          <w:rFonts w:ascii="Times New Roman" w:eastAsia="Times New Roman" w:hAnsi="Times New Roman" w:cs="Times New Roman"/>
          <w:smallCaps w:val="0"/>
          <w:noProof/>
          <w:sz w:val="24"/>
          <w:szCs w:val="24"/>
          <w:lang w:val="en-US" w:eastAsia="en-US"/>
        </w:rPr>
        <w:tab/>
      </w:r>
      <w:r w:rsidRPr="00F67AA6">
        <w:rPr>
          <w:rFonts w:ascii="Times New Roman" w:hAnsi="Times New Roman" w:cs="Times New Roman"/>
          <w:noProof/>
          <w:sz w:val="24"/>
          <w:szCs w:val="24"/>
        </w:rPr>
        <w:t>Recordkeeping</w:t>
      </w:r>
      <w:r w:rsidRPr="00F67AA6">
        <w:rPr>
          <w:rFonts w:ascii="Times New Roman" w:hAnsi="Times New Roman" w:cs="Times New Roman"/>
          <w:noProof/>
          <w:sz w:val="24"/>
          <w:szCs w:val="24"/>
        </w:rPr>
        <w:tab/>
      </w:r>
      <w:r w:rsidRPr="00F67AA6">
        <w:rPr>
          <w:rFonts w:ascii="Times New Roman" w:hAnsi="Times New Roman" w:cs="Times New Roman"/>
          <w:noProof/>
          <w:sz w:val="24"/>
          <w:szCs w:val="24"/>
        </w:rPr>
        <w:fldChar w:fldCharType="begin"/>
      </w:r>
      <w:r w:rsidRPr="00F67AA6">
        <w:rPr>
          <w:rFonts w:ascii="Times New Roman" w:hAnsi="Times New Roman" w:cs="Times New Roman"/>
          <w:noProof/>
          <w:sz w:val="24"/>
          <w:szCs w:val="24"/>
        </w:rPr>
        <w:instrText xml:space="preserve"> PAGEREF _Toc421567534 \h </w:instrText>
      </w:r>
      <w:r w:rsidRPr="00F67AA6">
        <w:rPr>
          <w:rFonts w:ascii="Times New Roman" w:hAnsi="Times New Roman" w:cs="Times New Roman"/>
          <w:noProof/>
          <w:sz w:val="24"/>
          <w:szCs w:val="24"/>
        </w:rPr>
      </w:r>
      <w:r w:rsidRPr="00F67AA6">
        <w:rPr>
          <w:rFonts w:ascii="Times New Roman" w:hAnsi="Times New Roman" w:cs="Times New Roman"/>
          <w:noProof/>
          <w:sz w:val="24"/>
          <w:szCs w:val="24"/>
        </w:rPr>
        <w:fldChar w:fldCharType="separate"/>
      </w:r>
      <w:r w:rsidRPr="00F67AA6">
        <w:rPr>
          <w:rFonts w:ascii="Times New Roman" w:hAnsi="Times New Roman" w:cs="Times New Roman"/>
          <w:noProof/>
          <w:sz w:val="24"/>
          <w:szCs w:val="24"/>
        </w:rPr>
        <w:t>9</w:t>
      </w:r>
      <w:r w:rsidRPr="00F67AA6">
        <w:rPr>
          <w:rFonts w:ascii="Times New Roman" w:hAnsi="Times New Roman" w:cs="Times New Roman"/>
          <w:noProof/>
          <w:sz w:val="24"/>
          <w:szCs w:val="24"/>
        </w:rPr>
        <w:fldChar w:fldCharType="end"/>
      </w:r>
    </w:p>
    <w:p w:rsidR="00274CCE" w:rsidRPr="008841A3" w:rsidRDefault="00274CCE" w:rsidP="006C5A5E">
      <w:pPr>
        <w:pStyle w:val="TOC1"/>
        <w:spacing w:before="0" w:after="0"/>
        <w:rPr>
          <w:rFonts w:ascii="Times New Roman" w:hAnsi="Times New Roman" w:cs="Times New Roman"/>
          <w:b w:val="0"/>
          <w:sz w:val="24"/>
          <w:szCs w:val="24"/>
        </w:rPr>
        <w:sectPr w:rsidR="00274CCE" w:rsidRPr="008841A3">
          <w:headerReference w:type="even" r:id="rId14"/>
          <w:headerReference w:type="default" r:id="rId15"/>
          <w:headerReference w:type="first" r:id="rId16"/>
          <w:pgSz w:w="12240" w:h="15840"/>
          <w:pgMar w:top="1440" w:right="1440" w:bottom="1440" w:left="1440" w:header="720" w:footer="720" w:gutter="0"/>
          <w:cols w:space="720"/>
        </w:sectPr>
      </w:pPr>
      <w:r w:rsidRPr="0038398D">
        <w:rPr>
          <w:rFonts w:ascii="Times New Roman" w:hAnsi="Times New Roman" w:cs="Times New Roman"/>
          <w:b w:val="0"/>
          <w:caps w:val="0"/>
          <w:sz w:val="24"/>
          <w:szCs w:val="24"/>
        </w:rPr>
        <w:fldChar w:fldCharType="end"/>
      </w:r>
    </w:p>
    <w:p w:rsidR="00274CCE" w:rsidRPr="008841A3" w:rsidRDefault="00274CCE" w:rsidP="00274CCE">
      <w:pPr>
        <w:jc w:val="center"/>
        <w:outlineLvl w:val="0"/>
        <w:rPr>
          <w:rFonts w:ascii="Times New Roman" w:hAnsi="Times New Roman"/>
          <w:b/>
        </w:rPr>
      </w:pPr>
      <w:r w:rsidRPr="008841A3">
        <w:rPr>
          <w:rFonts w:ascii="Times New Roman" w:hAnsi="Times New Roman"/>
          <w:b/>
          <w:sz w:val="32"/>
        </w:rPr>
        <w:lastRenderedPageBreak/>
        <w:t>Guidance for Industry</w:t>
      </w:r>
      <w:r w:rsidRPr="008841A3">
        <w:rPr>
          <w:rStyle w:val="FootnoteReference"/>
          <w:b/>
          <w:sz w:val="32"/>
        </w:rPr>
        <w:footnoteReference w:id="2"/>
      </w:r>
      <w:r w:rsidRPr="008841A3">
        <w:rPr>
          <w:rFonts w:ascii="Times New Roman" w:hAnsi="Times New Roman"/>
          <w:b/>
          <w:sz w:val="32"/>
        </w:rPr>
        <w:br/>
      </w:r>
    </w:p>
    <w:p w:rsidR="00C90086" w:rsidRPr="008841A3" w:rsidRDefault="00274CCE" w:rsidP="006C5A5E">
      <w:pPr>
        <w:ind w:left="38" w:right="19"/>
        <w:jc w:val="center"/>
        <w:rPr>
          <w:rFonts w:ascii="Times New Roman" w:hAnsi="Times New Roman"/>
          <w:b/>
          <w:sz w:val="32"/>
          <w:szCs w:val="32"/>
        </w:rPr>
      </w:pPr>
      <w:r w:rsidRPr="008841A3">
        <w:rPr>
          <w:rFonts w:ascii="Times New Roman" w:hAnsi="Times New Roman"/>
          <w:b/>
          <w:sz w:val="32"/>
          <w:szCs w:val="32"/>
        </w:rPr>
        <w:t xml:space="preserve">Adverse Event Reporting for Outsourcing Facilities </w:t>
      </w:r>
    </w:p>
    <w:p w:rsidR="00274CCE" w:rsidRPr="004375AC" w:rsidRDefault="00274CCE" w:rsidP="004375AC">
      <w:pPr>
        <w:ind w:left="38" w:right="19"/>
        <w:jc w:val="center"/>
        <w:rPr>
          <w:rFonts w:ascii="Times New Roman" w:hAnsi="Times New Roman"/>
          <w:b/>
          <w:sz w:val="32"/>
          <w:szCs w:val="32"/>
        </w:rPr>
      </w:pPr>
      <w:r w:rsidRPr="004375AC">
        <w:rPr>
          <w:rFonts w:ascii="Times New Roman" w:hAnsi="Times New Roman"/>
          <w:b/>
          <w:sz w:val="32"/>
          <w:szCs w:val="32"/>
        </w:rPr>
        <w:t>Under Section 503B of the Federal Food, Drug, and Cosmetic Act</w:t>
      </w:r>
    </w:p>
    <w:p w:rsidR="00274CCE" w:rsidRPr="004375AC" w:rsidRDefault="00274CCE" w:rsidP="00274CCE">
      <w:pPr>
        <w:jc w:val="center"/>
        <w:outlineLvl w:val="0"/>
        <w:rPr>
          <w:rFonts w:ascii="Times New Roman" w:hAnsi="Times New Roman"/>
          <w:b/>
        </w:rPr>
      </w:pPr>
    </w:p>
    <w:p w:rsidR="00820CC4" w:rsidRPr="004375AC" w:rsidRDefault="00820CC4" w:rsidP="00274CCE">
      <w:pPr>
        <w:jc w:val="center"/>
        <w:outlineLvl w:val="0"/>
        <w:rPr>
          <w:rFonts w:ascii="Times New Roman" w:hAnsi="Times New Roman"/>
          <w:b/>
        </w:rPr>
      </w:pPr>
    </w:p>
    <w:p w:rsidR="00274CCE" w:rsidRPr="004375AC" w:rsidRDefault="00274CCE" w:rsidP="00F11DF3">
      <w:pPr>
        <w:pStyle w:val="box"/>
        <w:pBdr>
          <w:left w:val="thinThickThinSmallGap" w:sz="24" w:space="0" w:color="auto"/>
          <w:bottom w:val="thinThickThinSmallGap" w:sz="24" w:space="2" w:color="auto"/>
        </w:pBdr>
        <w:rPr>
          <w:rFonts w:ascii="Times New Roman" w:hAnsi="Times New Roman"/>
        </w:rPr>
      </w:pPr>
      <w:bookmarkStart w:id="0" w:name="_GoBack"/>
      <w:bookmarkEnd w:id="0"/>
    </w:p>
    <w:p w:rsidR="00274CCE" w:rsidRPr="00040464" w:rsidRDefault="00274CCE" w:rsidP="00F11DF3">
      <w:pPr>
        <w:pStyle w:val="box"/>
        <w:pBdr>
          <w:left w:val="thinThickThinSmallGap" w:sz="24" w:space="0" w:color="auto"/>
          <w:bottom w:val="thinThickThinSmallGap" w:sz="24" w:space="2" w:color="auto"/>
        </w:pBdr>
        <w:rPr>
          <w:rFonts w:ascii="Times New Roman" w:hAnsi="Times New Roman"/>
          <w:lang w:val="en-US"/>
        </w:rPr>
      </w:pPr>
      <w:r w:rsidRPr="004375AC">
        <w:rPr>
          <w:rFonts w:ascii="Times New Roman" w:hAnsi="Times New Roman"/>
        </w:rPr>
        <w:t xml:space="preserve">This guidance </w:t>
      </w:r>
      <w:r w:rsidR="000E155F" w:rsidRPr="004375AC">
        <w:rPr>
          <w:rFonts w:ascii="Times New Roman" w:hAnsi="Times New Roman"/>
        </w:rPr>
        <w:t>represent</w:t>
      </w:r>
      <w:r w:rsidR="000E155F">
        <w:rPr>
          <w:rFonts w:ascii="Times New Roman" w:hAnsi="Times New Roman"/>
          <w:lang w:val="en-US"/>
        </w:rPr>
        <w:t>s</w:t>
      </w:r>
      <w:r w:rsidR="000E155F" w:rsidRPr="004375AC">
        <w:rPr>
          <w:rFonts w:ascii="Times New Roman" w:hAnsi="Times New Roman"/>
        </w:rPr>
        <w:t xml:space="preserve"> the</w:t>
      </w:r>
      <w:r w:rsidR="000E155F" w:rsidRPr="00040464">
        <w:rPr>
          <w:rFonts w:ascii="Times New Roman" w:hAnsi="Times New Roman"/>
          <w:lang w:val="en-US"/>
        </w:rPr>
        <w:t xml:space="preserve"> current thinking </w:t>
      </w:r>
      <w:r w:rsidR="000E155F">
        <w:rPr>
          <w:rFonts w:ascii="Times New Roman" w:hAnsi="Times New Roman"/>
          <w:lang w:val="en-US"/>
        </w:rPr>
        <w:t>of the</w:t>
      </w:r>
      <w:r w:rsidR="000E155F" w:rsidRPr="004375AC">
        <w:rPr>
          <w:rFonts w:ascii="Times New Roman" w:hAnsi="Times New Roman"/>
        </w:rPr>
        <w:t xml:space="preserve"> Food and Drug Administration (FDA or </w:t>
      </w:r>
      <w:r w:rsidR="000E155F" w:rsidRPr="004375AC">
        <w:rPr>
          <w:rFonts w:ascii="Times New Roman" w:hAnsi="Times New Roman"/>
          <w:lang w:val="en-US"/>
        </w:rPr>
        <w:t xml:space="preserve">the </w:t>
      </w:r>
      <w:r w:rsidR="000E155F" w:rsidRPr="004375AC">
        <w:rPr>
          <w:rFonts w:ascii="Times New Roman" w:hAnsi="Times New Roman"/>
        </w:rPr>
        <w:t>Agency) on this topic.  It does not create any rights for any person</w:t>
      </w:r>
      <w:r w:rsidR="002631B2">
        <w:rPr>
          <w:rFonts w:ascii="Times New Roman" w:hAnsi="Times New Roman"/>
          <w:lang w:val="en-US"/>
        </w:rPr>
        <w:t xml:space="preserve"> and</w:t>
      </w:r>
      <w:r w:rsidR="000E155F" w:rsidRPr="004375AC">
        <w:rPr>
          <w:rFonts w:ascii="Times New Roman" w:hAnsi="Times New Roman"/>
        </w:rPr>
        <w:t xml:space="preserve"> </w:t>
      </w:r>
      <w:r w:rsidR="000E155F">
        <w:rPr>
          <w:rFonts w:ascii="Times New Roman" w:hAnsi="Times New Roman"/>
          <w:lang w:val="en-US"/>
        </w:rPr>
        <w:t>is</w:t>
      </w:r>
      <w:r w:rsidR="000E155F" w:rsidRPr="00040464">
        <w:rPr>
          <w:rFonts w:ascii="Times New Roman" w:hAnsi="Times New Roman"/>
          <w:lang w:val="en-US"/>
        </w:rPr>
        <w:t xml:space="preserve"> not </w:t>
      </w:r>
      <w:r w:rsidR="000E155F" w:rsidRPr="004375AC">
        <w:rPr>
          <w:rFonts w:ascii="Times New Roman" w:hAnsi="Times New Roman"/>
        </w:rPr>
        <w:t>bind</w:t>
      </w:r>
      <w:r w:rsidR="000E155F">
        <w:rPr>
          <w:rFonts w:ascii="Times New Roman" w:hAnsi="Times New Roman"/>
          <w:lang w:val="en-US"/>
        </w:rPr>
        <w:t>ing on</w:t>
      </w:r>
      <w:r w:rsidR="000E155F" w:rsidRPr="004375AC">
        <w:rPr>
          <w:rFonts w:ascii="Times New Roman" w:hAnsi="Times New Roman"/>
        </w:rPr>
        <w:t xml:space="preserve"> FDA or the public.  You can use an alternative approach </w:t>
      </w:r>
      <w:r w:rsidR="000E155F" w:rsidRPr="00040464">
        <w:rPr>
          <w:rFonts w:ascii="Times New Roman" w:hAnsi="Times New Roman"/>
          <w:lang w:val="en-US"/>
        </w:rPr>
        <w:t xml:space="preserve">if </w:t>
      </w:r>
      <w:r w:rsidR="000E155F">
        <w:rPr>
          <w:rFonts w:ascii="Times New Roman" w:hAnsi="Times New Roman"/>
          <w:lang w:val="en-US"/>
        </w:rPr>
        <w:t>it</w:t>
      </w:r>
      <w:r w:rsidR="000E155F" w:rsidRPr="004375AC">
        <w:rPr>
          <w:rFonts w:ascii="Times New Roman" w:hAnsi="Times New Roman"/>
        </w:rPr>
        <w:t xml:space="preserve"> satisfies the requirements of the applic</w:t>
      </w:r>
      <w:r w:rsidR="00612D69">
        <w:rPr>
          <w:rFonts w:ascii="Times New Roman" w:hAnsi="Times New Roman"/>
        </w:rPr>
        <w:t xml:space="preserve">able statutes and regulations. </w:t>
      </w:r>
      <w:r w:rsidR="000E155F">
        <w:rPr>
          <w:rFonts w:ascii="Times New Roman" w:hAnsi="Times New Roman"/>
          <w:lang w:val="en-US"/>
        </w:rPr>
        <w:t>T</w:t>
      </w:r>
      <w:r w:rsidR="000E155F" w:rsidRPr="004375AC">
        <w:rPr>
          <w:rFonts w:ascii="Times New Roman" w:hAnsi="Times New Roman"/>
        </w:rPr>
        <w:t>o discuss an alternative approach, contact the FDA staff responsible for this guidance</w:t>
      </w:r>
      <w:r w:rsidR="000E155F">
        <w:rPr>
          <w:rFonts w:ascii="Times New Roman" w:hAnsi="Times New Roman"/>
          <w:lang w:val="en-US"/>
        </w:rPr>
        <w:t xml:space="preserve"> as</w:t>
      </w:r>
      <w:r w:rsidR="000E155F" w:rsidRPr="00040464">
        <w:rPr>
          <w:rFonts w:ascii="Times New Roman" w:hAnsi="Times New Roman"/>
          <w:lang w:val="en-US"/>
        </w:rPr>
        <w:t xml:space="preserve"> listed on the title page</w:t>
      </w:r>
      <w:r w:rsidR="000E155F" w:rsidRPr="004375AC">
        <w:rPr>
          <w:rFonts w:ascii="Times New Roman" w:hAnsi="Times New Roman"/>
        </w:rPr>
        <w:t xml:space="preserve">.  </w:t>
      </w:r>
    </w:p>
    <w:p w:rsidR="00274CCE" w:rsidRPr="004375AC" w:rsidRDefault="00274CCE" w:rsidP="00274CCE">
      <w:pPr>
        <w:rPr>
          <w:rFonts w:ascii="Times New Roman" w:hAnsi="Times New Roman"/>
        </w:rPr>
      </w:pPr>
    </w:p>
    <w:p w:rsidR="00820CC4" w:rsidRPr="004375AC" w:rsidRDefault="00820CC4" w:rsidP="00274CCE">
      <w:pPr>
        <w:rPr>
          <w:rFonts w:ascii="Times New Roman" w:hAnsi="Times New Roman"/>
        </w:rPr>
      </w:pPr>
    </w:p>
    <w:p w:rsidR="00820CC4" w:rsidRPr="004375AC" w:rsidRDefault="00820CC4" w:rsidP="00274CCE">
      <w:pPr>
        <w:rPr>
          <w:rFonts w:ascii="Times New Roman" w:hAnsi="Times New Roman"/>
        </w:rPr>
      </w:pPr>
    </w:p>
    <w:p w:rsidR="00274CCE" w:rsidRPr="004375AC" w:rsidRDefault="00274CCE" w:rsidP="006C5A5E">
      <w:pPr>
        <w:pStyle w:val="Heading1"/>
        <w:spacing w:before="0" w:after="0"/>
        <w:rPr>
          <w:rFonts w:ascii="Times New Roman" w:hAnsi="Times New Roman"/>
          <w:i/>
        </w:rPr>
      </w:pPr>
      <w:bookmarkStart w:id="1" w:name="_Toc361417768"/>
      <w:bookmarkStart w:id="2" w:name="_Toc375573213"/>
      <w:bookmarkStart w:id="3" w:name="_Toc379972589"/>
      <w:bookmarkStart w:id="4" w:name="_Toc421567521"/>
      <w:bookmarkStart w:id="5" w:name="_Toc404350662"/>
      <w:bookmarkStart w:id="6" w:name="_Toc462221103"/>
      <w:r w:rsidRPr="004375AC">
        <w:rPr>
          <w:rFonts w:ascii="Times New Roman" w:hAnsi="Times New Roman"/>
        </w:rPr>
        <w:t>I.</w:t>
      </w:r>
      <w:r w:rsidRPr="004375AC">
        <w:rPr>
          <w:rFonts w:ascii="Times New Roman" w:hAnsi="Times New Roman"/>
        </w:rPr>
        <w:tab/>
        <w:t>INTRODUCTION</w:t>
      </w:r>
      <w:bookmarkEnd w:id="1"/>
      <w:bookmarkEnd w:id="2"/>
      <w:bookmarkEnd w:id="3"/>
      <w:bookmarkEnd w:id="4"/>
      <w:bookmarkEnd w:id="5"/>
      <w:r w:rsidRPr="004375AC">
        <w:rPr>
          <w:rFonts w:ascii="Times New Roman" w:hAnsi="Times New Roman"/>
        </w:rPr>
        <w:t xml:space="preserve"> </w:t>
      </w:r>
    </w:p>
    <w:p w:rsidR="00274CCE" w:rsidRPr="004375AC" w:rsidRDefault="00274CCE" w:rsidP="00274CCE">
      <w:pPr>
        <w:rPr>
          <w:rFonts w:ascii="Times New Roman" w:hAnsi="Times New Roman"/>
        </w:rPr>
      </w:pPr>
    </w:p>
    <w:bookmarkEnd w:id="6"/>
    <w:p w:rsidR="00274CCE" w:rsidRPr="004375AC" w:rsidRDefault="00274CCE" w:rsidP="00274CCE">
      <w:pPr>
        <w:rPr>
          <w:rFonts w:ascii="Times New Roman" w:hAnsi="Times New Roman"/>
          <w:sz w:val="24"/>
          <w:szCs w:val="24"/>
        </w:rPr>
      </w:pPr>
      <w:r w:rsidRPr="004375AC">
        <w:rPr>
          <w:rFonts w:ascii="Times New Roman" w:hAnsi="Times New Roman"/>
          <w:sz w:val="24"/>
          <w:szCs w:val="24"/>
        </w:rPr>
        <w:t xml:space="preserve">This guidance is intended for firms that have registered with the </w:t>
      </w:r>
      <w:r w:rsidR="003B795B" w:rsidRPr="004375AC">
        <w:rPr>
          <w:rFonts w:ascii="Times New Roman" w:hAnsi="Times New Roman"/>
          <w:sz w:val="24"/>
          <w:szCs w:val="24"/>
        </w:rPr>
        <w:t>Food and Drug Administration (</w:t>
      </w:r>
      <w:r w:rsidRPr="004375AC">
        <w:rPr>
          <w:rFonts w:ascii="Times New Roman" w:hAnsi="Times New Roman"/>
          <w:sz w:val="24"/>
          <w:szCs w:val="24"/>
        </w:rPr>
        <w:t>FDA</w:t>
      </w:r>
      <w:r w:rsidR="003B795B" w:rsidRPr="004375AC">
        <w:rPr>
          <w:rFonts w:ascii="Times New Roman" w:hAnsi="Times New Roman"/>
          <w:sz w:val="24"/>
          <w:szCs w:val="24"/>
        </w:rPr>
        <w:t>)</w:t>
      </w:r>
      <w:r w:rsidRPr="004375AC">
        <w:rPr>
          <w:rFonts w:ascii="Times New Roman" w:hAnsi="Times New Roman"/>
          <w:sz w:val="24"/>
          <w:szCs w:val="24"/>
        </w:rPr>
        <w:t xml:space="preserve"> under </w:t>
      </w:r>
      <w:r w:rsidR="00BD2619" w:rsidRPr="004375AC">
        <w:rPr>
          <w:rFonts w:ascii="Times New Roman" w:hAnsi="Times New Roman"/>
          <w:sz w:val="24"/>
          <w:szCs w:val="24"/>
        </w:rPr>
        <w:t>s</w:t>
      </w:r>
      <w:r w:rsidRPr="004375AC">
        <w:rPr>
          <w:rFonts w:ascii="Times New Roman" w:hAnsi="Times New Roman"/>
          <w:sz w:val="24"/>
          <w:szCs w:val="24"/>
        </w:rPr>
        <w:t>ection 503B of the Federal Food, Drug, and Cosmetic Act (FD&amp;C Act) as human drug compounding outsourcing facilities (outsourcing facilities).  Under section 503B(b)(5) of the FD&amp;C Act, an outsourcing facility must submit adverse event reports to FDA “in accordance with the content and format requirements established through guidance or regulation under section 310.305 of title 21, Code of Federal Regulations (or any successor regulations).”</w:t>
      </w:r>
      <w:r w:rsidRPr="004375AC">
        <w:rPr>
          <w:rStyle w:val="FootnoteReference"/>
          <w:sz w:val="24"/>
          <w:szCs w:val="24"/>
        </w:rPr>
        <w:footnoteReference w:id="3"/>
      </w:r>
      <w:r w:rsidRPr="004375AC">
        <w:rPr>
          <w:rFonts w:ascii="Times New Roman" w:hAnsi="Times New Roman"/>
          <w:sz w:val="24"/>
          <w:szCs w:val="24"/>
        </w:rPr>
        <w:t xml:space="preserve">  This guidance explains FDA’s current thinking on </w:t>
      </w:r>
      <w:r w:rsidR="00666F50" w:rsidRPr="004375AC">
        <w:rPr>
          <w:rFonts w:ascii="Times New Roman" w:hAnsi="Times New Roman"/>
          <w:sz w:val="24"/>
          <w:szCs w:val="24"/>
        </w:rPr>
        <w:t>adverse event reporting for outsourcing facilities</w:t>
      </w:r>
      <w:r w:rsidRPr="004375AC">
        <w:rPr>
          <w:rFonts w:ascii="Times New Roman" w:hAnsi="Times New Roman"/>
          <w:sz w:val="24"/>
          <w:szCs w:val="24"/>
        </w:rPr>
        <w:t xml:space="preserve">.  </w:t>
      </w:r>
    </w:p>
    <w:p w:rsidR="00274CCE" w:rsidRPr="004375AC" w:rsidRDefault="00BD2619" w:rsidP="00BD2619">
      <w:pPr>
        <w:tabs>
          <w:tab w:val="left" w:pos="5775"/>
        </w:tabs>
        <w:rPr>
          <w:rFonts w:ascii="Times New Roman" w:hAnsi="Times New Roman"/>
          <w:sz w:val="24"/>
          <w:szCs w:val="24"/>
        </w:rPr>
      </w:pPr>
      <w:r w:rsidRPr="004375AC">
        <w:rPr>
          <w:rFonts w:ascii="Times New Roman" w:hAnsi="Times New Roman"/>
          <w:sz w:val="24"/>
          <w:szCs w:val="24"/>
        </w:rPr>
        <w:tab/>
      </w:r>
    </w:p>
    <w:p w:rsidR="000E155F" w:rsidRPr="004375AC" w:rsidRDefault="000E155F" w:rsidP="000E155F">
      <w:pPr>
        <w:rPr>
          <w:rFonts w:ascii="Times New Roman" w:hAnsi="Times New Roman"/>
          <w:sz w:val="24"/>
          <w:szCs w:val="24"/>
        </w:rPr>
      </w:pPr>
      <w:r>
        <w:rPr>
          <w:rFonts w:ascii="Times New Roman" w:hAnsi="Times New Roman"/>
          <w:sz w:val="24"/>
          <w:szCs w:val="24"/>
        </w:rPr>
        <w:t xml:space="preserve">In general, </w:t>
      </w:r>
      <w:r w:rsidRPr="004375AC">
        <w:rPr>
          <w:rFonts w:ascii="Times New Roman" w:hAnsi="Times New Roman"/>
          <w:sz w:val="24"/>
          <w:szCs w:val="24"/>
        </w:rPr>
        <w:t xml:space="preserve">FDA’s guidance documents do not establish legally enforceable responsibilities.  Instead, guidances describe the Agency’s current thinking on a topic and should be viewed only as recommendations, unless specific regulatory or statutory requirements are cited.  The use of the word </w:t>
      </w:r>
      <w:r w:rsidRPr="004375AC">
        <w:rPr>
          <w:rFonts w:ascii="Times New Roman" w:hAnsi="Times New Roman"/>
          <w:i/>
          <w:sz w:val="24"/>
          <w:szCs w:val="24"/>
        </w:rPr>
        <w:t>should</w:t>
      </w:r>
      <w:r w:rsidRPr="004375AC">
        <w:rPr>
          <w:rFonts w:ascii="Times New Roman" w:hAnsi="Times New Roman"/>
          <w:sz w:val="24"/>
          <w:szCs w:val="24"/>
        </w:rPr>
        <w:t xml:space="preserve"> in Agency guidances means that something is suggested or recommended, but not required. </w:t>
      </w:r>
    </w:p>
    <w:p w:rsidR="00274CCE" w:rsidRPr="004375AC" w:rsidRDefault="00274CCE" w:rsidP="00274CCE">
      <w:pPr>
        <w:rPr>
          <w:rFonts w:ascii="Times New Roman" w:hAnsi="Times New Roman"/>
          <w:szCs w:val="24"/>
        </w:rPr>
      </w:pPr>
    </w:p>
    <w:p w:rsidR="00274CCE" w:rsidRPr="004375AC" w:rsidRDefault="00274CCE" w:rsidP="00274CCE">
      <w:pPr>
        <w:pStyle w:val="Heading1"/>
        <w:spacing w:before="0" w:after="0"/>
        <w:rPr>
          <w:rFonts w:ascii="Times New Roman" w:hAnsi="Times New Roman"/>
        </w:rPr>
      </w:pPr>
      <w:bookmarkStart w:id="7" w:name="_Toc361417769"/>
      <w:bookmarkStart w:id="8" w:name="_Toc375573214"/>
      <w:bookmarkStart w:id="9" w:name="_Toc379972590"/>
      <w:bookmarkStart w:id="10" w:name="_Toc421567522"/>
      <w:bookmarkStart w:id="11" w:name="_Toc404350663"/>
      <w:r w:rsidRPr="004375AC">
        <w:rPr>
          <w:rFonts w:ascii="Times New Roman" w:hAnsi="Times New Roman"/>
        </w:rPr>
        <w:t>II.</w:t>
      </w:r>
      <w:r w:rsidRPr="004375AC">
        <w:rPr>
          <w:rFonts w:ascii="Times New Roman" w:hAnsi="Times New Roman"/>
        </w:rPr>
        <w:tab/>
        <w:t>BACKGROUND</w:t>
      </w:r>
      <w:bookmarkEnd w:id="7"/>
      <w:bookmarkEnd w:id="8"/>
      <w:bookmarkEnd w:id="9"/>
      <w:bookmarkEnd w:id="10"/>
      <w:bookmarkEnd w:id="11"/>
    </w:p>
    <w:p w:rsidR="00274CCE" w:rsidRPr="004375AC" w:rsidRDefault="00274CCE" w:rsidP="00274CCE">
      <w:pPr>
        <w:rPr>
          <w:rFonts w:ascii="Times New Roman" w:hAnsi="Times New Roman"/>
          <w:b/>
        </w:rPr>
      </w:pPr>
    </w:p>
    <w:p w:rsidR="00C418EC" w:rsidRPr="004375AC" w:rsidRDefault="00820CC4" w:rsidP="00820CC4">
      <w:pPr>
        <w:pStyle w:val="Heading2"/>
      </w:pPr>
      <w:bookmarkStart w:id="12" w:name="_Toc421567523"/>
      <w:bookmarkStart w:id="13" w:name="_Toc404350664"/>
      <w:r w:rsidRPr="004375AC">
        <w:rPr>
          <w:lang w:val="en-US"/>
        </w:rPr>
        <w:t>A.</w:t>
      </w:r>
      <w:r w:rsidRPr="004375AC">
        <w:rPr>
          <w:lang w:val="en-US"/>
        </w:rPr>
        <w:tab/>
      </w:r>
      <w:r w:rsidR="00C418EC" w:rsidRPr="004375AC">
        <w:t>Statutory and Regulatory Framework</w:t>
      </w:r>
      <w:bookmarkEnd w:id="12"/>
      <w:bookmarkEnd w:id="13"/>
    </w:p>
    <w:p w:rsidR="00820CC4" w:rsidRPr="004375AC" w:rsidRDefault="00820CC4" w:rsidP="00274CCE">
      <w:pPr>
        <w:rPr>
          <w:rFonts w:ascii="Times New Roman" w:hAnsi="Times New Roman"/>
          <w:sz w:val="24"/>
          <w:szCs w:val="24"/>
          <w:lang w:val="en"/>
        </w:rPr>
      </w:pPr>
    </w:p>
    <w:p w:rsidR="00274CCE" w:rsidRPr="004375AC" w:rsidRDefault="00274CCE" w:rsidP="00274CCE">
      <w:pPr>
        <w:rPr>
          <w:rFonts w:ascii="Times New Roman" w:hAnsi="Times New Roman"/>
          <w:sz w:val="24"/>
          <w:szCs w:val="24"/>
        </w:rPr>
      </w:pPr>
      <w:r w:rsidRPr="004375AC">
        <w:rPr>
          <w:rFonts w:ascii="Times New Roman" w:hAnsi="Times New Roman"/>
          <w:sz w:val="24"/>
          <w:szCs w:val="24"/>
          <w:lang w:val="en"/>
        </w:rPr>
        <w:t xml:space="preserve">On November 27, 2013, the Drug Quality and Security Act </w:t>
      </w:r>
      <w:r w:rsidRPr="004375AC">
        <w:rPr>
          <w:rFonts w:ascii="Times New Roman" w:hAnsi="Times New Roman"/>
          <w:sz w:val="24"/>
          <w:szCs w:val="24"/>
        </w:rPr>
        <w:t>(DQSA) was signed into law. Title I of the DQSA</w:t>
      </w:r>
      <w:r w:rsidRPr="004375AC">
        <w:rPr>
          <w:rFonts w:ascii="Times New Roman" w:hAnsi="Times New Roman"/>
          <w:sz w:val="24"/>
          <w:szCs w:val="24"/>
          <w:lang w:val="en"/>
        </w:rPr>
        <w:t xml:space="preserve"> contains important provisions related to the oversight of human drug </w:t>
      </w:r>
      <w:r w:rsidRPr="004375AC">
        <w:rPr>
          <w:rFonts w:ascii="Times New Roman" w:hAnsi="Times New Roman"/>
          <w:sz w:val="24"/>
          <w:szCs w:val="24"/>
          <w:lang w:val="en"/>
        </w:rPr>
        <w:lastRenderedPageBreak/>
        <w:t>compounding</w:t>
      </w:r>
      <w:r w:rsidRPr="004375AC">
        <w:rPr>
          <w:rFonts w:ascii="Times New Roman" w:hAnsi="Times New Roman"/>
          <w:sz w:val="24"/>
          <w:szCs w:val="24"/>
        </w:rPr>
        <w:t>.</w:t>
      </w:r>
      <w:r w:rsidRPr="004375AC">
        <w:rPr>
          <w:rStyle w:val="FootnoteReference"/>
          <w:sz w:val="24"/>
          <w:szCs w:val="24"/>
        </w:rPr>
        <w:footnoteReference w:id="4"/>
      </w:r>
      <w:r w:rsidRPr="004375AC">
        <w:rPr>
          <w:rFonts w:ascii="Times New Roman" w:hAnsi="Times New Roman"/>
          <w:sz w:val="24"/>
          <w:szCs w:val="24"/>
        </w:rPr>
        <w:t xml:space="preserve">  The DQSA added section 503B to the FD&amp;C Act</w:t>
      </w:r>
      <w:r w:rsidR="001A6612" w:rsidRPr="004375AC">
        <w:rPr>
          <w:rFonts w:ascii="Times New Roman" w:hAnsi="Times New Roman"/>
          <w:sz w:val="24"/>
          <w:szCs w:val="24"/>
        </w:rPr>
        <w:t xml:space="preserve">.  Under section 503B(b), a compounder can register as an </w:t>
      </w:r>
      <w:r w:rsidR="001A6612" w:rsidRPr="004375AC">
        <w:rPr>
          <w:rFonts w:ascii="Times New Roman" w:hAnsi="Times New Roman"/>
          <w:i/>
          <w:sz w:val="24"/>
          <w:szCs w:val="24"/>
        </w:rPr>
        <w:t>outsourcing facility</w:t>
      </w:r>
      <w:r w:rsidR="001A6612" w:rsidRPr="004375AC">
        <w:rPr>
          <w:rFonts w:ascii="Times New Roman" w:hAnsi="Times New Roman"/>
          <w:sz w:val="24"/>
          <w:szCs w:val="24"/>
        </w:rPr>
        <w:t xml:space="preserve"> with FDA</w:t>
      </w:r>
      <w:r w:rsidRPr="004375AC">
        <w:rPr>
          <w:rFonts w:ascii="Times New Roman" w:hAnsi="Times New Roman"/>
          <w:sz w:val="24"/>
          <w:szCs w:val="24"/>
        </w:rPr>
        <w:t>.</w:t>
      </w:r>
      <w:r w:rsidRPr="004375AC">
        <w:rPr>
          <w:rStyle w:val="FootnoteReference"/>
          <w:sz w:val="24"/>
          <w:szCs w:val="24"/>
        </w:rPr>
        <w:footnoteReference w:id="5"/>
      </w:r>
      <w:r w:rsidRPr="004375AC">
        <w:rPr>
          <w:rFonts w:ascii="Times New Roman" w:hAnsi="Times New Roman"/>
          <w:sz w:val="24"/>
          <w:szCs w:val="24"/>
        </w:rPr>
        <w:t xml:space="preserve">  Under section 503B(b)(5), an outsourcing facility must submit adverse event reports to FDA “in accordance with the content and format requirements established through guidance or regulation under section 310.305 of title 21, Code of Federal Regulations (or any successor regulations).”</w:t>
      </w:r>
      <w:r w:rsidRPr="004375AC">
        <w:rPr>
          <w:rStyle w:val="FootnoteReference"/>
          <w:sz w:val="24"/>
          <w:szCs w:val="24"/>
        </w:rPr>
        <w:footnoteReference w:id="6"/>
      </w:r>
      <w:r w:rsidRPr="004375AC">
        <w:rPr>
          <w:rFonts w:ascii="Times New Roman" w:hAnsi="Times New Roman"/>
          <w:sz w:val="24"/>
          <w:szCs w:val="24"/>
        </w:rPr>
        <w:t xml:space="preserve">  </w:t>
      </w:r>
    </w:p>
    <w:p w:rsidR="00666F50" w:rsidRPr="004375AC" w:rsidRDefault="00666F50" w:rsidP="00274CCE">
      <w:pPr>
        <w:rPr>
          <w:rFonts w:ascii="Times New Roman" w:hAnsi="Times New Roman"/>
          <w:sz w:val="24"/>
          <w:szCs w:val="24"/>
        </w:rPr>
      </w:pPr>
    </w:p>
    <w:p w:rsidR="00E21062" w:rsidRPr="004375AC" w:rsidRDefault="00666F50" w:rsidP="00E21062">
      <w:pPr>
        <w:rPr>
          <w:rFonts w:ascii="Times New Roman" w:hAnsi="Times New Roman"/>
          <w:sz w:val="24"/>
          <w:szCs w:val="24"/>
        </w:rPr>
      </w:pPr>
      <w:r w:rsidRPr="004375AC">
        <w:rPr>
          <w:rFonts w:ascii="Times New Roman" w:hAnsi="Times New Roman"/>
          <w:sz w:val="24"/>
          <w:szCs w:val="24"/>
        </w:rPr>
        <w:t>Section 310.305 requires, among other things, that manufacturers, packers, and distributors of marketed prescription drug products that are not the subject of an approved new drug application or an abbreviated new drug application establish and maintain records and make reports to FDA of all serious, unexpected adverse drug experiences</w:t>
      </w:r>
      <w:r w:rsidR="00D420A4" w:rsidRPr="004375AC">
        <w:rPr>
          <w:rStyle w:val="FootnoteReference"/>
          <w:sz w:val="24"/>
          <w:szCs w:val="24"/>
        </w:rPr>
        <w:footnoteReference w:id="7"/>
      </w:r>
      <w:r w:rsidRPr="004375AC">
        <w:rPr>
          <w:rFonts w:ascii="Times New Roman" w:hAnsi="Times New Roman"/>
          <w:sz w:val="24"/>
          <w:szCs w:val="24"/>
        </w:rPr>
        <w:t xml:space="preserve"> associated with the use of their</w:t>
      </w:r>
      <w:r w:rsidR="00BD48B5" w:rsidRPr="004375AC">
        <w:rPr>
          <w:rFonts w:ascii="Times New Roman" w:hAnsi="Times New Roman"/>
          <w:sz w:val="24"/>
          <w:szCs w:val="24"/>
        </w:rPr>
        <w:t xml:space="preserve"> </w:t>
      </w:r>
      <w:r w:rsidR="00E21062" w:rsidRPr="004375AC">
        <w:rPr>
          <w:rFonts w:ascii="Times New Roman" w:hAnsi="Times New Roman"/>
          <w:sz w:val="24"/>
          <w:szCs w:val="24"/>
        </w:rPr>
        <w:t xml:space="preserve">prescription </w:t>
      </w:r>
      <w:r w:rsidRPr="004375AC">
        <w:rPr>
          <w:rFonts w:ascii="Times New Roman" w:hAnsi="Times New Roman"/>
          <w:sz w:val="24"/>
          <w:szCs w:val="24"/>
        </w:rPr>
        <w:t xml:space="preserve">drug products.  </w:t>
      </w:r>
      <w:r w:rsidR="00E21062" w:rsidRPr="004375AC">
        <w:rPr>
          <w:rFonts w:ascii="Times New Roman" w:hAnsi="Times New Roman"/>
          <w:sz w:val="24"/>
          <w:szCs w:val="24"/>
        </w:rPr>
        <w:t xml:space="preserve">For purposes of reporting adverse drug experiences, the term </w:t>
      </w:r>
      <w:r w:rsidR="00E21062" w:rsidRPr="004375AC">
        <w:rPr>
          <w:rFonts w:ascii="Times New Roman" w:hAnsi="Times New Roman"/>
          <w:i/>
          <w:sz w:val="24"/>
          <w:szCs w:val="24"/>
        </w:rPr>
        <w:t>prescription drug products</w:t>
      </w:r>
      <w:r w:rsidR="00E21062" w:rsidRPr="004375AC">
        <w:rPr>
          <w:rFonts w:ascii="Times New Roman" w:hAnsi="Times New Roman"/>
          <w:sz w:val="24"/>
          <w:szCs w:val="24"/>
        </w:rPr>
        <w:t xml:space="preserve"> includes any compounded drug product subject to the prescription requirements in section 503(b)(1) of the FD&amp;C Act.</w:t>
      </w:r>
      <w:r w:rsidR="008C63FD" w:rsidRPr="004375AC">
        <w:rPr>
          <w:rFonts w:ascii="Times New Roman" w:hAnsi="Times New Roman"/>
          <w:sz w:val="24"/>
          <w:szCs w:val="24"/>
        </w:rPr>
        <w:t xml:space="preserve"> </w:t>
      </w:r>
      <w:r w:rsidR="00854CEB">
        <w:rPr>
          <w:rFonts w:ascii="Times New Roman" w:hAnsi="Times New Roman"/>
          <w:sz w:val="24"/>
          <w:szCs w:val="24"/>
        </w:rPr>
        <w:t xml:space="preserve"> </w:t>
      </w:r>
      <w:r w:rsidR="008C63FD" w:rsidRPr="004375AC">
        <w:rPr>
          <w:rFonts w:ascii="Times New Roman" w:hAnsi="Times New Roman"/>
          <w:sz w:val="24"/>
          <w:szCs w:val="24"/>
        </w:rPr>
        <w:t xml:space="preserve">The adverse event reporting requirements apply </w:t>
      </w:r>
      <w:r w:rsidR="00C33D7F" w:rsidRPr="004375AC">
        <w:rPr>
          <w:rFonts w:ascii="Times New Roman" w:hAnsi="Times New Roman"/>
          <w:sz w:val="24"/>
          <w:szCs w:val="24"/>
        </w:rPr>
        <w:t xml:space="preserve">to prescription drug products </w:t>
      </w:r>
      <w:r w:rsidR="008C63FD" w:rsidRPr="004375AC">
        <w:rPr>
          <w:rFonts w:ascii="Times New Roman" w:hAnsi="Times New Roman"/>
          <w:sz w:val="24"/>
          <w:szCs w:val="24"/>
        </w:rPr>
        <w:t>regardless of whether the outso</w:t>
      </w:r>
      <w:r w:rsidR="00C33D7F" w:rsidRPr="004375AC">
        <w:rPr>
          <w:rFonts w:ascii="Times New Roman" w:hAnsi="Times New Roman"/>
          <w:sz w:val="24"/>
          <w:szCs w:val="24"/>
        </w:rPr>
        <w:t xml:space="preserve">urcing facility distributes them </w:t>
      </w:r>
      <w:r w:rsidR="008C63FD" w:rsidRPr="004375AC">
        <w:rPr>
          <w:rFonts w:ascii="Times New Roman" w:hAnsi="Times New Roman"/>
          <w:sz w:val="24"/>
          <w:szCs w:val="24"/>
        </w:rPr>
        <w:t>pursuant to prescription</w:t>
      </w:r>
      <w:r w:rsidR="00FF12C7" w:rsidRPr="004375AC">
        <w:rPr>
          <w:rFonts w:ascii="Times New Roman" w:hAnsi="Times New Roman"/>
          <w:sz w:val="24"/>
          <w:szCs w:val="24"/>
        </w:rPr>
        <w:t>s</w:t>
      </w:r>
      <w:r w:rsidR="008C63FD" w:rsidRPr="004375AC">
        <w:rPr>
          <w:rFonts w:ascii="Times New Roman" w:hAnsi="Times New Roman"/>
          <w:sz w:val="24"/>
          <w:szCs w:val="24"/>
        </w:rPr>
        <w:t>.</w:t>
      </w:r>
      <w:r w:rsidR="00E21062" w:rsidRPr="004375AC">
        <w:rPr>
          <w:rStyle w:val="FootnoteReference"/>
          <w:sz w:val="24"/>
          <w:szCs w:val="24"/>
        </w:rPr>
        <w:footnoteReference w:id="8"/>
      </w:r>
      <w:r w:rsidR="00E21062" w:rsidRPr="004375AC">
        <w:rPr>
          <w:rFonts w:ascii="Times New Roman" w:hAnsi="Times New Roman"/>
          <w:sz w:val="24"/>
          <w:szCs w:val="24"/>
        </w:rPr>
        <w:t xml:space="preserve"> </w:t>
      </w:r>
    </w:p>
    <w:p w:rsidR="00E21062" w:rsidRPr="004375AC" w:rsidRDefault="00E21062" w:rsidP="00666F50">
      <w:pPr>
        <w:rPr>
          <w:rFonts w:ascii="Times New Roman" w:hAnsi="Times New Roman"/>
          <w:sz w:val="24"/>
          <w:szCs w:val="24"/>
        </w:rPr>
      </w:pPr>
    </w:p>
    <w:p w:rsidR="00BD2619" w:rsidRPr="004375AC" w:rsidRDefault="00BD2619" w:rsidP="00666F50">
      <w:pPr>
        <w:rPr>
          <w:rFonts w:ascii="Times New Roman" w:hAnsi="Times New Roman"/>
          <w:sz w:val="24"/>
          <w:szCs w:val="24"/>
        </w:rPr>
      </w:pPr>
      <w:r w:rsidRPr="004375AC">
        <w:rPr>
          <w:rFonts w:ascii="Times New Roman" w:hAnsi="Times New Roman"/>
          <w:sz w:val="24"/>
          <w:szCs w:val="24"/>
        </w:rPr>
        <w:t>In addition, on June 10, 2014, FDA issued a final rule requiring</w:t>
      </w:r>
      <w:r w:rsidR="00854CEB">
        <w:rPr>
          <w:rFonts w:ascii="Times New Roman" w:hAnsi="Times New Roman"/>
          <w:sz w:val="24"/>
          <w:szCs w:val="24"/>
        </w:rPr>
        <w:t>, among other things,</w:t>
      </w:r>
      <w:r w:rsidRPr="004375AC">
        <w:rPr>
          <w:rFonts w:ascii="Times New Roman" w:hAnsi="Times New Roman"/>
          <w:sz w:val="24"/>
          <w:szCs w:val="24"/>
        </w:rPr>
        <w:t xml:space="preserve"> that postmarketing safety reports required under 21 CFR 310.305, 314.80, 314.98, </w:t>
      </w:r>
      <w:r w:rsidR="00394783" w:rsidRPr="004375AC">
        <w:rPr>
          <w:rFonts w:ascii="Times New Roman" w:hAnsi="Times New Roman"/>
          <w:sz w:val="24"/>
          <w:szCs w:val="24"/>
        </w:rPr>
        <w:t xml:space="preserve">and </w:t>
      </w:r>
      <w:r w:rsidRPr="004375AC">
        <w:rPr>
          <w:rFonts w:ascii="Times New Roman" w:hAnsi="Times New Roman"/>
          <w:sz w:val="24"/>
          <w:szCs w:val="24"/>
        </w:rPr>
        <w:t xml:space="preserve">600.80 </w:t>
      </w:r>
      <w:r w:rsidR="00424E39" w:rsidRPr="004375AC">
        <w:rPr>
          <w:rFonts w:ascii="Times New Roman" w:hAnsi="Times New Roman"/>
          <w:sz w:val="24"/>
          <w:szCs w:val="24"/>
        </w:rPr>
        <w:t xml:space="preserve"> </w:t>
      </w:r>
      <w:r w:rsidRPr="004375AC">
        <w:rPr>
          <w:rFonts w:ascii="Times New Roman" w:hAnsi="Times New Roman"/>
          <w:sz w:val="24"/>
          <w:szCs w:val="24"/>
        </w:rPr>
        <w:t>be submitted to FDA in an electronic format the Agency can process, review, and archive. The final rule also adds 21 CFR 329.100 to address electronic submission of safety reports required by section 760 of the FD&amp;C Act</w:t>
      </w:r>
      <w:r w:rsidR="00613F18" w:rsidRPr="004375AC">
        <w:rPr>
          <w:rFonts w:ascii="Times New Roman" w:hAnsi="Times New Roman"/>
          <w:sz w:val="24"/>
          <w:szCs w:val="24"/>
        </w:rPr>
        <w:t xml:space="preserve"> regarding serious adverse event reporting for nonprescription drugs</w:t>
      </w:r>
      <w:r w:rsidRPr="004375AC">
        <w:rPr>
          <w:rFonts w:ascii="Times New Roman" w:hAnsi="Times New Roman"/>
          <w:sz w:val="24"/>
          <w:szCs w:val="24"/>
        </w:rPr>
        <w:t>.</w:t>
      </w:r>
      <w:r w:rsidR="0018143E" w:rsidRPr="004375AC">
        <w:rPr>
          <w:rStyle w:val="FootnoteReference"/>
          <w:sz w:val="24"/>
          <w:szCs w:val="24"/>
        </w:rPr>
        <w:footnoteReference w:id="9"/>
      </w:r>
      <w:r w:rsidRPr="004375AC">
        <w:rPr>
          <w:rFonts w:ascii="Times New Roman" w:hAnsi="Times New Roman"/>
          <w:sz w:val="24"/>
          <w:szCs w:val="24"/>
        </w:rPr>
        <w:t xml:space="preserve"> These requirements are effective as of June 10, 2015.</w:t>
      </w:r>
      <w:r w:rsidR="003B795B" w:rsidRPr="004375AC">
        <w:rPr>
          <w:rStyle w:val="FootnoteReference"/>
          <w:sz w:val="24"/>
          <w:szCs w:val="24"/>
        </w:rPr>
        <w:footnoteReference w:id="10"/>
      </w:r>
      <w:r w:rsidR="000E155F" w:rsidRPr="000E155F">
        <w:rPr>
          <w:rFonts w:ascii="Times New Roman" w:hAnsi="Times New Roman"/>
          <w:sz w:val="24"/>
          <w:szCs w:val="24"/>
          <w:vertAlign w:val="superscript"/>
        </w:rPr>
        <w:t>,</w:t>
      </w:r>
      <w:r w:rsidR="000E155F" w:rsidRPr="000E155F">
        <w:rPr>
          <w:rStyle w:val="FootnoteReference"/>
          <w:color w:val="000000"/>
          <w:sz w:val="23"/>
          <w:szCs w:val="23"/>
        </w:rPr>
        <w:t xml:space="preserve"> </w:t>
      </w:r>
      <w:r w:rsidR="000E155F">
        <w:rPr>
          <w:rStyle w:val="FootnoteReference"/>
          <w:color w:val="000000"/>
          <w:sz w:val="23"/>
          <w:szCs w:val="23"/>
        </w:rPr>
        <w:footnoteReference w:id="11"/>
      </w:r>
      <w:r w:rsidRPr="004375AC">
        <w:rPr>
          <w:rFonts w:ascii="Times New Roman" w:hAnsi="Times New Roman"/>
          <w:sz w:val="24"/>
          <w:szCs w:val="24"/>
        </w:rPr>
        <w:t xml:space="preserve">  </w:t>
      </w:r>
    </w:p>
    <w:p w:rsidR="00E21062" w:rsidRPr="004375AC" w:rsidRDefault="00E21062" w:rsidP="00666F50">
      <w:pPr>
        <w:rPr>
          <w:rFonts w:ascii="Times New Roman" w:hAnsi="Times New Roman"/>
          <w:sz w:val="24"/>
          <w:szCs w:val="24"/>
        </w:rPr>
      </w:pPr>
    </w:p>
    <w:p w:rsidR="00C418EC" w:rsidRPr="004375AC" w:rsidRDefault="0018143E" w:rsidP="00666F50">
      <w:pPr>
        <w:rPr>
          <w:rFonts w:ascii="Times New Roman" w:hAnsi="Times New Roman"/>
          <w:sz w:val="24"/>
          <w:szCs w:val="24"/>
        </w:rPr>
      </w:pPr>
      <w:r w:rsidRPr="004375AC">
        <w:rPr>
          <w:rFonts w:ascii="Times New Roman" w:hAnsi="Times New Roman"/>
          <w:sz w:val="24"/>
          <w:szCs w:val="24"/>
        </w:rPr>
        <w:lastRenderedPageBreak/>
        <w:t>Under section 503B,</w:t>
      </w:r>
      <w:r w:rsidR="00E21617" w:rsidRPr="004375AC">
        <w:rPr>
          <w:rFonts w:ascii="Times New Roman" w:hAnsi="Times New Roman"/>
          <w:sz w:val="24"/>
          <w:szCs w:val="24"/>
        </w:rPr>
        <w:t xml:space="preserve"> </w:t>
      </w:r>
      <w:r w:rsidR="00666F50" w:rsidRPr="004375AC">
        <w:rPr>
          <w:rFonts w:ascii="Times New Roman" w:hAnsi="Times New Roman"/>
          <w:sz w:val="24"/>
          <w:szCs w:val="24"/>
        </w:rPr>
        <w:t xml:space="preserve">outsourcing facilities are required to submit adverse event reports to FDA, </w:t>
      </w:r>
      <w:r w:rsidR="00E21617" w:rsidRPr="004375AC">
        <w:rPr>
          <w:rFonts w:ascii="Times New Roman" w:hAnsi="Times New Roman"/>
          <w:sz w:val="24"/>
          <w:szCs w:val="24"/>
        </w:rPr>
        <w:t xml:space="preserve">in accordance </w:t>
      </w:r>
      <w:r w:rsidR="00666F50" w:rsidRPr="004375AC">
        <w:rPr>
          <w:rFonts w:ascii="Times New Roman" w:hAnsi="Times New Roman"/>
          <w:sz w:val="24"/>
          <w:szCs w:val="24"/>
        </w:rPr>
        <w:t xml:space="preserve">with </w:t>
      </w:r>
      <w:r w:rsidR="00E21617" w:rsidRPr="004375AC">
        <w:rPr>
          <w:rFonts w:ascii="Times New Roman" w:hAnsi="Times New Roman"/>
          <w:sz w:val="24"/>
          <w:szCs w:val="24"/>
        </w:rPr>
        <w:t xml:space="preserve">content and format requirements established through guidance or regulation under </w:t>
      </w:r>
      <w:r w:rsidRPr="004375AC">
        <w:rPr>
          <w:rFonts w:ascii="Times New Roman" w:hAnsi="Times New Roman"/>
          <w:sz w:val="24"/>
          <w:szCs w:val="24"/>
        </w:rPr>
        <w:t>21 CFR</w:t>
      </w:r>
      <w:r w:rsidR="00394783" w:rsidRPr="004375AC">
        <w:rPr>
          <w:rFonts w:ascii="Times New Roman" w:hAnsi="Times New Roman"/>
          <w:sz w:val="24"/>
          <w:szCs w:val="24"/>
        </w:rPr>
        <w:t xml:space="preserve"> </w:t>
      </w:r>
      <w:r w:rsidR="00666F50" w:rsidRPr="004375AC">
        <w:rPr>
          <w:rFonts w:ascii="Times New Roman" w:hAnsi="Times New Roman"/>
          <w:sz w:val="24"/>
          <w:szCs w:val="24"/>
        </w:rPr>
        <w:t xml:space="preserve">310.305 </w:t>
      </w:r>
      <w:r w:rsidR="00E21617" w:rsidRPr="004375AC">
        <w:rPr>
          <w:rFonts w:ascii="Times New Roman" w:hAnsi="Times New Roman"/>
          <w:sz w:val="24"/>
          <w:szCs w:val="24"/>
        </w:rPr>
        <w:t>(or any successor regulations).</w:t>
      </w:r>
      <w:r w:rsidR="00F67AA6">
        <w:rPr>
          <w:rStyle w:val="FootnoteReference"/>
          <w:sz w:val="24"/>
          <w:szCs w:val="24"/>
        </w:rPr>
        <w:footnoteReference w:id="12"/>
      </w:r>
      <w:r w:rsidR="00E21617" w:rsidRPr="004375AC">
        <w:rPr>
          <w:rFonts w:ascii="Times New Roman" w:hAnsi="Times New Roman"/>
          <w:sz w:val="24"/>
          <w:szCs w:val="24"/>
        </w:rPr>
        <w:t xml:space="preserve"> </w:t>
      </w:r>
      <w:r w:rsidR="00666F50" w:rsidRPr="004375AC">
        <w:rPr>
          <w:rFonts w:ascii="Times New Roman" w:hAnsi="Times New Roman"/>
          <w:sz w:val="24"/>
          <w:szCs w:val="24"/>
        </w:rPr>
        <w:t xml:space="preserve"> </w:t>
      </w:r>
    </w:p>
    <w:p w:rsidR="007E3901" w:rsidRPr="004375AC" w:rsidRDefault="007E3901" w:rsidP="00666F50">
      <w:pPr>
        <w:rPr>
          <w:rFonts w:ascii="Times New Roman" w:hAnsi="Times New Roman"/>
          <w:sz w:val="24"/>
          <w:szCs w:val="24"/>
        </w:rPr>
      </w:pPr>
    </w:p>
    <w:p w:rsidR="007E3901" w:rsidRDefault="00F041A2" w:rsidP="007E3901">
      <w:pPr>
        <w:rPr>
          <w:rFonts w:ascii="Times New Roman" w:hAnsi="Times New Roman"/>
          <w:sz w:val="24"/>
          <w:szCs w:val="24"/>
        </w:rPr>
      </w:pPr>
      <w:r w:rsidRPr="004375AC">
        <w:rPr>
          <w:rFonts w:ascii="Times New Roman" w:hAnsi="Times New Roman"/>
          <w:sz w:val="24"/>
          <w:szCs w:val="24"/>
        </w:rPr>
        <w:t>F</w:t>
      </w:r>
      <w:r w:rsidR="007E3901" w:rsidRPr="004375AC">
        <w:rPr>
          <w:rFonts w:ascii="Times New Roman" w:hAnsi="Times New Roman"/>
          <w:sz w:val="24"/>
          <w:szCs w:val="24"/>
        </w:rPr>
        <w:t xml:space="preserve">ailure to report adverse events by an entity that is registered in accordance with </w:t>
      </w:r>
      <w:r w:rsidR="0018143E" w:rsidRPr="004375AC">
        <w:rPr>
          <w:rFonts w:ascii="Times New Roman" w:hAnsi="Times New Roman"/>
          <w:sz w:val="24"/>
          <w:szCs w:val="24"/>
        </w:rPr>
        <w:t xml:space="preserve">section </w:t>
      </w:r>
      <w:r w:rsidR="007E3901" w:rsidRPr="004375AC">
        <w:rPr>
          <w:rFonts w:ascii="Times New Roman" w:hAnsi="Times New Roman"/>
          <w:sz w:val="24"/>
          <w:szCs w:val="24"/>
        </w:rPr>
        <w:t xml:space="preserve">503B(b) is a prohibited act under </w:t>
      </w:r>
      <w:r w:rsidR="004C032D" w:rsidRPr="004375AC">
        <w:rPr>
          <w:rFonts w:ascii="Times New Roman" w:hAnsi="Times New Roman"/>
          <w:sz w:val="24"/>
          <w:szCs w:val="24"/>
        </w:rPr>
        <w:t>s</w:t>
      </w:r>
      <w:r w:rsidR="007E3901" w:rsidRPr="004375AC">
        <w:rPr>
          <w:rFonts w:ascii="Times New Roman" w:hAnsi="Times New Roman"/>
          <w:sz w:val="24"/>
          <w:szCs w:val="24"/>
        </w:rPr>
        <w:t>ection 3</w:t>
      </w:r>
      <w:r w:rsidR="0018143E" w:rsidRPr="004375AC">
        <w:rPr>
          <w:rFonts w:ascii="Times New Roman" w:hAnsi="Times New Roman"/>
          <w:sz w:val="24"/>
          <w:szCs w:val="24"/>
        </w:rPr>
        <w:t>0</w:t>
      </w:r>
      <w:r w:rsidR="007E3901" w:rsidRPr="004375AC">
        <w:rPr>
          <w:rFonts w:ascii="Times New Roman" w:hAnsi="Times New Roman"/>
          <w:sz w:val="24"/>
          <w:szCs w:val="24"/>
        </w:rPr>
        <w:t>1(ccc)(3) of the FD&amp;C Act.</w:t>
      </w:r>
      <w:r w:rsidR="00563600" w:rsidRPr="004375AC">
        <w:rPr>
          <w:rStyle w:val="FootnoteReference"/>
          <w:sz w:val="24"/>
          <w:szCs w:val="24"/>
        </w:rPr>
        <w:footnoteReference w:id="13"/>
      </w:r>
      <w:r w:rsidR="007E3901" w:rsidRPr="004375AC">
        <w:rPr>
          <w:rFonts w:ascii="Times New Roman" w:hAnsi="Times New Roman"/>
          <w:sz w:val="24"/>
          <w:szCs w:val="24"/>
        </w:rPr>
        <w:t xml:space="preserve">  Violations relating to </w:t>
      </w:r>
      <w:r w:rsidR="009F12CE" w:rsidRPr="004375AC">
        <w:rPr>
          <w:rFonts w:ascii="Times New Roman" w:hAnsi="Times New Roman"/>
          <w:sz w:val="24"/>
          <w:szCs w:val="24"/>
        </w:rPr>
        <w:t xml:space="preserve">this </w:t>
      </w:r>
      <w:r w:rsidR="007E3901" w:rsidRPr="004375AC">
        <w:rPr>
          <w:rFonts w:ascii="Times New Roman" w:hAnsi="Times New Roman"/>
          <w:sz w:val="24"/>
          <w:szCs w:val="24"/>
        </w:rPr>
        <w:t xml:space="preserve">provision are subject to regulatory and enforcement action.  </w:t>
      </w:r>
    </w:p>
    <w:p w:rsidR="00612D69" w:rsidRDefault="00612D69" w:rsidP="007E3901">
      <w:pPr>
        <w:rPr>
          <w:rFonts w:ascii="Times New Roman" w:hAnsi="Times New Roman"/>
          <w:sz w:val="24"/>
          <w:szCs w:val="24"/>
        </w:rPr>
      </w:pPr>
    </w:p>
    <w:p w:rsidR="001B1BA7" w:rsidRPr="00040464" w:rsidRDefault="00612D69" w:rsidP="007E3901">
      <w:pPr>
        <w:rPr>
          <w:rFonts w:ascii="Times New Roman" w:hAnsi="Times New Roman"/>
          <w:sz w:val="24"/>
          <w:szCs w:val="24"/>
        </w:rPr>
      </w:pPr>
      <w:r>
        <w:rPr>
          <w:rFonts w:ascii="Times New Roman" w:hAnsi="Times New Roman"/>
          <w:sz w:val="24"/>
          <w:szCs w:val="24"/>
        </w:rPr>
        <w:t xml:space="preserve">Adverse </w:t>
      </w:r>
      <w:r w:rsidRPr="00040464">
        <w:rPr>
          <w:rFonts w:ascii="Times New Roman" w:hAnsi="Times New Roman"/>
          <w:sz w:val="24"/>
          <w:szCs w:val="24"/>
        </w:rPr>
        <w:t xml:space="preserve">event reporting </w:t>
      </w:r>
      <w:r w:rsidR="001B1BA7" w:rsidRPr="00040464">
        <w:rPr>
          <w:rFonts w:ascii="Times New Roman" w:hAnsi="Times New Roman"/>
          <w:sz w:val="24"/>
          <w:szCs w:val="24"/>
        </w:rPr>
        <w:t xml:space="preserve">for drug products </w:t>
      </w:r>
      <w:r w:rsidR="000121D8" w:rsidRPr="00040464">
        <w:rPr>
          <w:rFonts w:ascii="Times New Roman" w:hAnsi="Times New Roman"/>
          <w:sz w:val="24"/>
          <w:szCs w:val="24"/>
        </w:rPr>
        <w:t xml:space="preserve">compounded by outsourcing facilities </w:t>
      </w:r>
      <w:r w:rsidRPr="00040464">
        <w:rPr>
          <w:rFonts w:ascii="Times New Roman" w:hAnsi="Times New Roman"/>
          <w:sz w:val="24"/>
          <w:szCs w:val="24"/>
        </w:rPr>
        <w:t xml:space="preserve">is a critical mechanism by which FDA identifies signals of </w:t>
      </w:r>
      <w:r w:rsidR="002631B2" w:rsidRPr="00040464">
        <w:rPr>
          <w:rFonts w:ascii="Times New Roman" w:hAnsi="Times New Roman"/>
          <w:sz w:val="24"/>
          <w:szCs w:val="24"/>
        </w:rPr>
        <w:t xml:space="preserve">potential </w:t>
      </w:r>
      <w:r w:rsidRPr="00040464">
        <w:rPr>
          <w:rFonts w:ascii="Times New Roman" w:hAnsi="Times New Roman"/>
          <w:sz w:val="24"/>
          <w:szCs w:val="24"/>
        </w:rPr>
        <w:t xml:space="preserve">quality problems that may be associated with a particular drug or drug component, and which may have been caused by substandard conditions or </w:t>
      </w:r>
      <w:r w:rsidR="008112B1" w:rsidRPr="00040464">
        <w:rPr>
          <w:rFonts w:ascii="Times New Roman" w:hAnsi="Times New Roman"/>
          <w:sz w:val="24"/>
          <w:szCs w:val="24"/>
        </w:rPr>
        <w:t>processes</w:t>
      </w:r>
      <w:r w:rsidRPr="00040464">
        <w:rPr>
          <w:rFonts w:ascii="Times New Roman" w:hAnsi="Times New Roman"/>
          <w:sz w:val="24"/>
          <w:szCs w:val="24"/>
        </w:rPr>
        <w:t xml:space="preserve"> at a facility</w:t>
      </w:r>
      <w:r w:rsidR="000121D8" w:rsidRPr="00040464">
        <w:rPr>
          <w:rFonts w:ascii="Times New Roman" w:hAnsi="Times New Roman"/>
          <w:sz w:val="24"/>
          <w:szCs w:val="24"/>
        </w:rPr>
        <w:t xml:space="preserve"> where the drug or its components were made or handled</w:t>
      </w:r>
      <w:r w:rsidRPr="00040464">
        <w:rPr>
          <w:rFonts w:ascii="Times New Roman" w:hAnsi="Times New Roman"/>
          <w:sz w:val="24"/>
          <w:szCs w:val="24"/>
        </w:rPr>
        <w:t xml:space="preserve">.  </w:t>
      </w:r>
      <w:r w:rsidR="00CC2F92" w:rsidRPr="00040464">
        <w:rPr>
          <w:rFonts w:ascii="Times New Roman" w:hAnsi="Times New Roman"/>
          <w:sz w:val="24"/>
          <w:szCs w:val="24"/>
        </w:rPr>
        <w:t xml:space="preserve">FDA needs to distinguish such cases from cases of medication error, hospital or clinic procedural problems, or quality issues associated with ingredients such as </w:t>
      </w:r>
      <w:r w:rsidR="001B1BA7" w:rsidRPr="00040464">
        <w:rPr>
          <w:rFonts w:ascii="Times New Roman" w:hAnsi="Times New Roman"/>
          <w:sz w:val="24"/>
          <w:szCs w:val="24"/>
        </w:rPr>
        <w:t>active pharmaceutical ingredients (</w:t>
      </w:r>
      <w:r w:rsidR="00CC2F92" w:rsidRPr="00040464">
        <w:rPr>
          <w:rFonts w:ascii="Times New Roman" w:hAnsi="Times New Roman"/>
          <w:sz w:val="24"/>
          <w:szCs w:val="24"/>
        </w:rPr>
        <w:t>APIs</w:t>
      </w:r>
      <w:r w:rsidR="001B1BA7" w:rsidRPr="00040464">
        <w:rPr>
          <w:rFonts w:ascii="Times New Roman" w:hAnsi="Times New Roman"/>
          <w:sz w:val="24"/>
          <w:szCs w:val="24"/>
        </w:rPr>
        <w:t>)</w:t>
      </w:r>
      <w:r w:rsidR="00CC2F92" w:rsidRPr="00040464">
        <w:rPr>
          <w:rFonts w:ascii="Times New Roman" w:hAnsi="Times New Roman"/>
          <w:sz w:val="24"/>
          <w:szCs w:val="24"/>
        </w:rPr>
        <w:t xml:space="preserve"> or excipients.  </w:t>
      </w:r>
      <w:r w:rsidRPr="00040464">
        <w:rPr>
          <w:rFonts w:ascii="Times New Roman" w:hAnsi="Times New Roman"/>
          <w:sz w:val="24"/>
          <w:szCs w:val="24"/>
        </w:rPr>
        <w:t xml:space="preserve">For example, several reports of adverse events in patients who received </w:t>
      </w:r>
      <w:r w:rsidR="00692A76" w:rsidRPr="00040464">
        <w:rPr>
          <w:rFonts w:ascii="Times New Roman" w:hAnsi="Times New Roman"/>
          <w:sz w:val="24"/>
          <w:szCs w:val="24"/>
        </w:rPr>
        <w:t xml:space="preserve">compounded </w:t>
      </w:r>
      <w:r w:rsidRPr="00040464">
        <w:rPr>
          <w:rFonts w:ascii="Times New Roman" w:hAnsi="Times New Roman"/>
          <w:sz w:val="24"/>
          <w:szCs w:val="24"/>
        </w:rPr>
        <w:t xml:space="preserve">drug products from the same </w:t>
      </w:r>
      <w:r w:rsidR="00692A76" w:rsidRPr="00040464">
        <w:rPr>
          <w:rFonts w:ascii="Times New Roman" w:hAnsi="Times New Roman"/>
          <w:sz w:val="24"/>
          <w:szCs w:val="24"/>
        </w:rPr>
        <w:t xml:space="preserve">outsourcing facility </w:t>
      </w:r>
      <w:r w:rsidRPr="00040464">
        <w:rPr>
          <w:rFonts w:ascii="Times New Roman" w:hAnsi="Times New Roman"/>
          <w:sz w:val="24"/>
          <w:szCs w:val="24"/>
        </w:rPr>
        <w:t xml:space="preserve">may be a signal </w:t>
      </w:r>
      <w:r w:rsidR="00692A76" w:rsidRPr="00040464">
        <w:rPr>
          <w:rFonts w:ascii="Times New Roman" w:hAnsi="Times New Roman"/>
          <w:sz w:val="24"/>
          <w:szCs w:val="24"/>
        </w:rPr>
        <w:t xml:space="preserve">of a quality issue resulting from a deficiency in the outsourcing facility’s </w:t>
      </w:r>
      <w:r w:rsidRPr="00040464">
        <w:rPr>
          <w:rFonts w:ascii="Times New Roman" w:hAnsi="Times New Roman"/>
          <w:sz w:val="24"/>
          <w:szCs w:val="24"/>
        </w:rPr>
        <w:t xml:space="preserve">manufacturing processes.  </w:t>
      </w:r>
      <w:r w:rsidR="00E6659B" w:rsidRPr="00040464">
        <w:rPr>
          <w:rFonts w:ascii="Times New Roman" w:hAnsi="Times New Roman"/>
          <w:sz w:val="24"/>
          <w:szCs w:val="24"/>
        </w:rPr>
        <w:t>However, i</w:t>
      </w:r>
      <w:r w:rsidRPr="00040464">
        <w:rPr>
          <w:rFonts w:ascii="Times New Roman" w:hAnsi="Times New Roman"/>
          <w:sz w:val="24"/>
          <w:szCs w:val="24"/>
        </w:rPr>
        <w:t xml:space="preserve">f several different </w:t>
      </w:r>
      <w:r w:rsidR="00E6659B" w:rsidRPr="00040464">
        <w:rPr>
          <w:rFonts w:ascii="Times New Roman" w:hAnsi="Times New Roman"/>
          <w:sz w:val="24"/>
          <w:szCs w:val="24"/>
        </w:rPr>
        <w:t xml:space="preserve">outsourcing </w:t>
      </w:r>
      <w:r w:rsidRPr="00040464">
        <w:rPr>
          <w:rFonts w:ascii="Times New Roman" w:hAnsi="Times New Roman"/>
          <w:sz w:val="24"/>
          <w:szCs w:val="24"/>
        </w:rPr>
        <w:t xml:space="preserve">facilities report adverse events in patients who received drug products that contained the same API, this </w:t>
      </w:r>
      <w:r w:rsidR="00DD0D6E" w:rsidRPr="00040464">
        <w:rPr>
          <w:rFonts w:ascii="Times New Roman" w:hAnsi="Times New Roman"/>
          <w:sz w:val="24"/>
          <w:szCs w:val="24"/>
        </w:rPr>
        <w:t>may</w:t>
      </w:r>
      <w:r w:rsidRPr="00040464">
        <w:rPr>
          <w:rFonts w:ascii="Times New Roman" w:hAnsi="Times New Roman"/>
          <w:sz w:val="24"/>
          <w:szCs w:val="24"/>
        </w:rPr>
        <w:t xml:space="preserve"> suggest a quality problem associated with the API</w:t>
      </w:r>
      <w:r w:rsidR="00692A76" w:rsidRPr="00040464">
        <w:rPr>
          <w:rFonts w:ascii="Times New Roman" w:hAnsi="Times New Roman"/>
          <w:sz w:val="24"/>
          <w:szCs w:val="24"/>
        </w:rPr>
        <w:t xml:space="preserve"> used in the compounded drug product</w:t>
      </w:r>
      <w:r w:rsidRPr="00040464">
        <w:rPr>
          <w:rFonts w:ascii="Times New Roman" w:hAnsi="Times New Roman"/>
          <w:sz w:val="24"/>
          <w:szCs w:val="24"/>
        </w:rPr>
        <w:t>.</w:t>
      </w:r>
      <w:r w:rsidR="00692A76" w:rsidRPr="00040464">
        <w:rPr>
          <w:rFonts w:ascii="Times New Roman" w:hAnsi="Times New Roman"/>
          <w:sz w:val="24"/>
          <w:szCs w:val="24"/>
        </w:rPr>
        <w:t xml:space="preserve">  </w:t>
      </w:r>
    </w:p>
    <w:p w:rsidR="001B1BA7" w:rsidRPr="00040464" w:rsidRDefault="001B1BA7" w:rsidP="007E3901">
      <w:pPr>
        <w:rPr>
          <w:rFonts w:ascii="Times New Roman" w:hAnsi="Times New Roman"/>
          <w:sz w:val="24"/>
          <w:szCs w:val="24"/>
        </w:rPr>
      </w:pPr>
    </w:p>
    <w:p w:rsidR="00612D69" w:rsidRPr="00040464" w:rsidRDefault="001B1BA7" w:rsidP="007E3901">
      <w:pPr>
        <w:rPr>
          <w:rFonts w:ascii="Times New Roman" w:hAnsi="Times New Roman"/>
          <w:sz w:val="24"/>
          <w:szCs w:val="24"/>
        </w:rPr>
      </w:pPr>
      <w:r w:rsidRPr="00040464">
        <w:rPr>
          <w:rFonts w:ascii="Times New Roman" w:hAnsi="Times New Roman"/>
          <w:sz w:val="24"/>
          <w:szCs w:val="24"/>
        </w:rPr>
        <w:t xml:space="preserve">An </w:t>
      </w:r>
      <w:r w:rsidR="00692A76" w:rsidRPr="00040464">
        <w:rPr>
          <w:rFonts w:ascii="Times New Roman" w:hAnsi="Times New Roman"/>
          <w:sz w:val="24"/>
          <w:szCs w:val="24"/>
        </w:rPr>
        <w:t xml:space="preserve"> adverse event may be </w:t>
      </w:r>
      <w:r w:rsidRPr="00040464">
        <w:rPr>
          <w:rFonts w:ascii="Times New Roman" w:hAnsi="Times New Roman"/>
          <w:sz w:val="24"/>
          <w:szCs w:val="24"/>
        </w:rPr>
        <w:t xml:space="preserve">reported for reasons other than a quality problem.  For example, it may be a side effect of taking the drug product, or have resulted from lack of efficacy of the drug product, </w:t>
      </w:r>
      <w:r w:rsidR="00692A76" w:rsidRPr="00040464">
        <w:rPr>
          <w:rFonts w:ascii="Times New Roman" w:hAnsi="Times New Roman"/>
          <w:sz w:val="24"/>
          <w:szCs w:val="24"/>
        </w:rPr>
        <w:t>with the patient’s underlying medical condition</w:t>
      </w:r>
      <w:r w:rsidRPr="00040464">
        <w:rPr>
          <w:rFonts w:ascii="Times New Roman" w:hAnsi="Times New Roman"/>
          <w:sz w:val="24"/>
          <w:szCs w:val="24"/>
        </w:rPr>
        <w:t xml:space="preserve">, or use of a concomitant medication.  To address the reported adverse event appropriately, FDA reviews information provided by the outsourcing facilities, such as the </w:t>
      </w:r>
      <w:r w:rsidR="00CC2F92" w:rsidRPr="00040464">
        <w:rPr>
          <w:rFonts w:ascii="Times New Roman" w:hAnsi="Times New Roman"/>
          <w:sz w:val="24"/>
          <w:szCs w:val="24"/>
        </w:rPr>
        <w:t xml:space="preserve">description of the circumstances associated with the adverse event such as the source of the drug and its ingredients, concomitant medications that the patient was taking, </w:t>
      </w:r>
      <w:r w:rsidR="00452078" w:rsidRPr="00040464">
        <w:rPr>
          <w:rFonts w:ascii="Times New Roman" w:hAnsi="Times New Roman"/>
          <w:sz w:val="24"/>
          <w:szCs w:val="24"/>
        </w:rPr>
        <w:t xml:space="preserve">and relevant information reflected in </w:t>
      </w:r>
      <w:r w:rsidR="00CC2F92" w:rsidRPr="00040464">
        <w:rPr>
          <w:rFonts w:ascii="Times New Roman" w:hAnsi="Times New Roman"/>
          <w:sz w:val="24"/>
          <w:szCs w:val="24"/>
        </w:rPr>
        <w:t xml:space="preserve">hospital discharge summaries, autopsy reports/death certificates, relevant laboratory data, and other critical clinical data used to determine the cause of the adverse event </w:t>
      </w:r>
      <w:r w:rsidRPr="00040464">
        <w:rPr>
          <w:rFonts w:ascii="Times New Roman" w:hAnsi="Times New Roman"/>
          <w:sz w:val="24"/>
          <w:szCs w:val="24"/>
        </w:rPr>
        <w:t>.</w:t>
      </w:r>
    </w:p>
    <w:p w:rsidR="00612D69" w:rsidRPr="00040464" w:rsidRDefault="00612D69" w:rsidP="007E3901">
      <w:pPr>
        <w:rPr>
          <w:rFonts w:ascii="Times New Roman" w:hAnsi="Times New Roman"/>
          <w:sz w:val="24"/>
          <w:szCs w:val="24"/>
        </w:rPr>
      </w:pPr>
    </w:p>
    <w:p w:rsidR="00612D69" w:rsidRPr="004375AC" w:rsidRDefault="00612D69" w:rsidP="007E3901">
      <w:pPr>
        <w:rPr>
          <w:rFonts w:ascii="Times New Roman" w:hAnsi="Times New Roman"/>
          <w:sz w:val="24"/>
          <w:szCs w:val="24"/>
        </w:rPr>
      </w:pPr>
      <w:r w:rsidRPr="00040464">
        <w:rPr>
          <w:rFonts w:ascii="Times New Roman" w:hAnsi="Times New Roman"/>
          <w:sz w:val="24"/>
          <w:szCs w:val="24"/>
        </w:rPr>
        <w:t>When FDA receives adverse event report</w:t>
      </w:r>
      <w:r w:rsidR="00692A76" w:rsidRPr="00040464">
        <w:rPr>
          <w:rFonts w:ascii="Times New Roman" w:hAnsi="Times New Roman"/>
          <w:sz w:val="24"/>
          <w:szCs w:val="24"/>
        </w:rPr>
        <w:t>s</w:t>
      </w:r>
      <w:r w:rsidRPr="00040464">
        <w:rPr>
          <w:rFonts w:ascii="Times New Roman" w:hAnsi="Times New Roman"/>
          <w:sz w:val="24"/>
          <w:szCs w:val="24"/>
        </w:rPr>
        <w:t xml:space="preserve"> from </w:t>
      </w:r>
      <w:r w:rsidR="008112B1" w:rsidRPr="00040464">
        <w:rPr>
          <w:rFonts w:ascii="Times New Roman" w:hAnsi="Times New Roman"/>
          <w:sz w:val="24"/>
          <w:szCs w:val="24"/>
        </w:rPr>
        <w:t>outsourcing facilities</w:t>
      </w:r>
      <w:r w:rsidRPr="00040464">
        <w:rPr>
          <w:rFonts w:ascii="Times New Roman" w:hAnsi="Times New Roman"/>
          <w:sz w:val="24"/>
          <w:szCs w:val="24"/>
        </w:rPr>
        <w:t>, FDA evaluate</w:t>
      </w:r>
      <w:r w:rsidR="00692A76" w:rsidRPr="00040464">
        <w:rPr>
          <w:rFonts w:ascii="Times New Roman" w:hAnsi="Times New Roman"/>
          <w:sz w:val="24"/>
          <w:szCs w:val="24"/>
        </w:rPr>
        <w:t>s</w:t>
      </w:r>
      <w:r w:rsidRPr="00040464">
        <w:rPr>
          <w:rFonts w:ascii="Times New Roman" w:hAnsi="Times New Roman"/>
          <w:sz w:val="24"/>
          <w:szCs w:val="24"/>
        </w:rPr>
        <w:t xml:space="preserve"> the report</w:t>
      </w:r>
      <w:r w:rsidR="00692A76" w:rsidRPr="00040464">
        <w:rPr>
          <w:rFonts w:ascii="Times New Roman" w:hAnsi="Times New Roman"/>
          <w:sz w:val="24"/>
          <w:szCs w:val="24"/>
        </w:rPr>
        <w:t>s on a case-by-case basis</w:t>
      </w:r>
      <w:r w:rsidRPr="00040464">
        <w:rPr>
          <w:rFonts w:ascii="Times New Roman" w:hAnsi="Times New Roman"/>
          <w:sz w:val="24"/>
          <w:szCs w:val="24"/>
        </w:rPr>
        <w:t xml:space="preserve"> to determine whether further action is warranted.  FDA may contact the outsourcing facility or the reporter to obtain additional information, and if the report signals a potential product quality issue, FDA may initiate an inspection of the</w:t>
      </w:r>
      <w:r>
        <w:rPr>
          <w:rFonts w:ascii="Times New Roman" w:hAnsi="Times New Roman"/>
          <w:sz w:val="24"/>
          <w:szCs w:val="24"/>
        </w:rPr>
        <w:t xml:space="preserve"> outsourcing facility or manufacturer of a component of the compounded drug</w:t>
      </w:r>
      <w:r w:rsidR="00692A76">
        <w:rPr>
          <w:rFonts w:ascii="Times New Roman" w:hAnsi="Times New Roman"/>
          <w:sz w:val="24"/>
          <w:szCs w:val="24"/>
        </w:rPr>
        <w:t xml:space="preserve"> to further investigate the incident</w:t>
      </w:r>
      <w:r>
        <w:rPr>
          <w:rFonts w:ascii="Times New Roman" w:hAnsi="Times New Roman"/>
          <w:sz w:val="24"/>
          <w:szCs w:val="24"/>
        </w:rPr>
        <w:t xml:space="preserve">.  </w:t>
      </w:r>
    </w:p>
    <w:p w:rsidR="00C418EC" w:rsidRPr="004375AC" w:rsidRDefault="00C418EC" w:rsidP="00666F50">
      <w:pPr>
        <w:rPr>
          <w:rFonts w:ascii="Times New Roman" w:hAnsi="Times New Roman"/>
          <w:sz w:val="24"/>
          <w:szCs w:val="24"/>
        </w:rPr>
      </w:pPr>
    </w:p>
    <w:p w:rsidR="00666F50" w:rsidRPr="004375AC" w:rsidRDefault="00820CC4" w:rsidP="00820CC4">
      <w:pPr>
        <w:pStyle w:val="Heading2"/>
      </w:pPr>
      <w:bookmarkStart w:id="14" w:name="_Toc421567524"/>
      <w:bookmarkStart w:id="15" w:name="_Toc404350665"/>
      <w:r w:rsidRPr="004375AC">
        <w:rPr>
          <w:lang w:val="en-US"/>
        </w:rPr>
        <w:t>B.</w:t>
      </w:r>
      <w:r w:rsidRPr="004375AC">
        <w:rPr>
          <w:lang w:val="en-US"/>
        </w:rPr>
        <w:tab/>
      </w:r>
      <w:r w:rsidR="00987ABB" w:rsidRPr="004375AC">
        <w:t>Section 310.305</w:t>
      </w:r>
      <w:bookmarkEnd w:id="14"/>
      <w:bookmarkEnd w:id="15"/>
      <w:r w:rsidR="00987ABB" w:rsidRPr="004375AC">
        <w:t xml:space="preserve"> </w:t>
      </w:r>
    </w:p>
    <w:p w:rsidR="00274CCE" w:rsidRPr="004375AC" w:rsidRDefault="00274CCE" w:rsidP="00274CCE">
      <w:pPr>
        <w:autoSpaceDE w:val="0"/>
        <w:autoSpaceDN w:val="0"/>
        <w:adjustRightInd w:val="0"/>
        <w:rPr>
          <w:rFonts w:ascii="Times New Roman" w:hAnsi="Times New Roman"/>
          <w:sz w:val="24"/>
          <w:szCs w:val="24"/>
        </w:rPr>
      </w:pPr>
    </w:p>
    <w:p w:rsidR="00274CCE" w:rsidRPr="004375AC" w:rsidRDefault="00127504"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Section 310.305</w:t>
      </w:r>
      <w:r w:rsidR="009F12CE" w:rsidRPr="004375AC">
        <w:rPr>
          <w:rFonts w:ascii="Times New Roman" w:hAnsi="Times New Roman"/>
          <w:sz w:val="24"/>
          <w:szCs w:val="24"/>
        </w:rPr>
        <w:t>(b)</w:t>
      </w:r>
      <w:r w:rsidRPr="004375AC">
        <w:rPr>
          <w:rFonts w:ascii="Times New Roman" w:hAnsi="Times New Roman"/>
          <w:sz w:val="24"/>
          <w:szCs w:val="24"/>
        </w:rPr>
        <w:t xml:space="preserve"> defines a</w:t>
      </w:r>
      <w:r w:rsidR="00274CCE" w:rsidRPr="004375AC">
        <w:rPr>
          <w:rFonts w:ascii="Times New Roman" w:hAnsi="Times New Roman"/>
          <w:sz w:val="24"/>
          <w:szCs w:val="24"/>
        </w:rPr>
        <w:t xml:space="preserve"> </w:t>
      </w:r>
      <w:r w:rsidR="00274CCE" w:rsidRPr="004375AC">
        <w:rPr>
          <w:rFonts w:ascii="Times New Roman" w:hAnsi="Times New Roman"/>
          <w:i/>
          <w:sz w:val="24"/>
          <w:szCs w:val="24"/>
        </w:rPr>
        <w:t>serious adverse drug experience</w:t>
      </w:r>
      <w:r w:rsidR="00274CCE" w:rsidRPr="004375AC">
        <w:rPr>
          <w:rFonts w:ascii="Times New Roman" w:hAnsi="Times New Roman"/>
          <w:sz w:val="24"/>
          <w:szCs w:val="24"/>
        </w:rPr>
        <w:t xml:space="preserve"> </w:t>
      </w:r>
      <w:r w:rsidRPr="004375AC">
        <w:rPr>
          <w:rFonts w:ascii="Times New Roman" w:hAnsi="Times New Roman"/>
          <w:sz w:val="24"/>
          <w:szCs w:val="24"/>
        </w:rPr>
        <w:t>to mean:</w:t>
      </w:r>
    </w:p>
    <w:p w:rsidR="00127504" w:rsidRPr="004375AC" w:rsidRDefault="00127504" w:rsidP="00274CCE">
      <w:pPr>
        <w:autoSpaceDE w:val="0"/>
        <w:autoSpaceDN w:val="0"/>
        <w:adjustRightInd w:val="0"/>
        <w:rPr>
          <w:rFonts w:ascii="Times New Roman" w:hAnsi="Times New Roman"/>
          <w:szCs w:val="24"/>
        </w:rPr>
      </w:pPr>
    </w:p>
    <w:p w:rsidR="00274CCE" w:rsidRPr="004375AC" w:rsidRDefault="00274CCE" w:rsidP="002E3645">
      <w:pPr>
        <w:pStyle w:val="NormalWeb"/>
        <w:spacing w:before="0" w:beforeAutospacing="0" w:after="0" w:afterAutospacing="0"/>
        <w:ind w:left="720" w:right="1800"/>
        <w:rPr>
          <w:rFonts w:ascii="Times New Roman" w:hAnsi="Times New Roman"/>
        </w:rPr>
      </w:pPr>
      <w:r w:rsidRPr="004375AC">
        <w:rPr>
          <w:rFonts w:ascii="Times New Roman" w:hAnsi="Times New Roman"/>
        </w:rPr>
        <w:t xml:space="preserve">Any adverse drug </w:t>
      </w:r>
      <w:r w:rsidR="009F12CE" w:rsidRPr="004375AC">
        <w:rPr>
          <w:rFonts w:ascii="Times New Roman" w:hAnsi="Times New Roman"/>
        </w:rPr>
        <w:t xml:space="preserve">experience </w:t>
      </w:r>
      <w:r w:rsidRPr="004375AC">
        <w:rPr>
          <w:rFonts w:ascii="Times New Roman" w:hAnsi="Times New Roman"/>
        </w:rPr>
        <w:t xml:space="preserve">occurring at any dose that results in any of the following outcomes:  </w:t>
      </w:r>
    </w:p>
    <w:p w:rsidR="00274CCE" w:rsidRPr="004375AC" w:rsidRDefault="00274CCE" w:rsidP="002E3645">
      <w:pPr>
        <w:pStyle w:val="NormalWeb"/>
        <w:numPr>
          <w:ilvl w:val="0"/>
          <w:numId w:val="4"/>
        </w:numPr>
        <w:spacing w:before="0" w:beforeAutospacing="0" w:after="0" w:afterAutospacing="0"/>
        <w:ind w:right="1800"/>
        <w:rPr>
          <w:rFonts w:ascii="Times New Roman" w:hAnsi="Times New Roman"/>
        </w:rPr>
      </w:pPr>
      <w:r w:rsidRPr="004375AC">
        <w:rPr>
          <w:rFonts w:ascii="Times New Roman" w:hAnsi="Times New Roman"/>
        </w:rPr>
        <w:t xml:space="preserve">Death, </w:t>
      </w:r>
    </w:p>
    <w:p w:rsidR="00274CCE" w:rsidRPr="004375AC" w:rsidRDefault="00274CCE" w:rsidP="002E3645">
      <w:pPr>
        <w:pStyle w:val="NormalWeb"/>
        <w:numPr>
          <w:ilvl w:val="0"/>
          <w:numId w:val="4"/>
        </w:numPr>
        <w:spacing w:before="0" w:beforeAutospacing="0" w:after="0" w:afterAutospacing="0"/>
        <w:ind w:right="1800"/>
        <w:rPr>
          <w:rFonts w:ascii="Times New Roman" w:hAnsi="Times New Roman"/>
        </w:rPr>
      </w:pPr>
      <w:r w:rsidRPr="004375AC">
        <w:rPr>
          <w:rFonts w:ascii="Times New Roman" w:hAnsi="Times New Roman"/>
        </w:rPr>
        <w:t>A life-threatening adverse drug experience,</w:t>
      </w:r>
    </w:p>
    <w:p w:rsidR="00274CCE" w:rsidRPr="004375AC" w:rsidRDefault="00274CCE" w:rsidP="002E3645">
      <w:pPr>
        <w:pStyle w:val="NormalWeb"/>
        <w:numPr>
          <w:ilvl w:val="0"/>
          <w:numId w:val="4"/>
        </w:numPr>
        <w:spacing w:before="0" w:beforeAutospacing="0" w:after="0" w:afterAutospacing="0"/>
        <w:ind w:right="1800"/>
        <w:rPr>
          <w:rFonts w:ascii="Times New Roman" w:hAnsi="Times New Roman"/>
        </w:rPr>
      </w:pPr>
      <w:r w:rsidRPr="004375AC">
        <w:rPr>
          <w:rFonts w:ascii="Times New Roman" w:hAnsi="Times New Roman"/>
        </w:rPr>
        <w:t>Inpatient hospitalization or prolongation of existing hospitalization,</w:t>
      </w:r>
    </w:p>
    <w:p w:rsidR="00274CCE" w:rsidRPr="004375AC" w:rsidRDefault="00274CCE" w:rsidP="002E3645">
      <w:pPr>
        <w:pStyle w:val="NormalWeb"/>
        <w:numPr>
          <w:ilvl w:val="0"/>
          <w:numId w:val="4"/>
        </w:numPr>
        <w:spacing w:before="0" w:beforeAutospacing="0" w:after="0" w:afterAutospacing="0"/>
        <w:ind w:right="1800"/>
        <w:rPr>
          <w:rFonts w:ascii="Times New Roman" w:hAnsi="Times New Roman"/>
        </w:rPr>
      </w:pPr>
      <w:r w:rsidRPr="004375AC">
        <w:rPr>
          <w:rFonts w:ascii="Times New Roman" w:hAnsi="Times New Roman"/>
        </w:rPr>
        <w:t>A persistent or significant disability/incapacity, or</w:t>
      </w:r>
    </w:p>
    <w:p w:rsidR="00274CCE" w:rsidRPr="004375AC" w:rsidRDefault="00274CCE" w:rsidP="002E3645">
      <w:pPr>
        <w:pStyle w:val="NormalWeb"/>
        <w:numPr>
          <w:ilvl w:val="0"/>
          <w:numId w:val="4"/>
        </w:numPr>
        <w:spacing w:before="0" w:beforeAutospacing="0" w:after="0" w:afterAutospacing="0"/>
        <w:ind w:right="1800"/>
        <w:rPr>
          <w:rFonts w:ascii="Times New Roman" w:hAnsi="Times New Roman"/>
        </w:rPr>
      </w:pPr>
      <w:r w:rsidRPr="004375AC">
        <w:rPr>
          <w:rFonts w:ascii="Times New Roman" w:hAnsi="Times New Roman"/>
        </w:rPr>
        <w:t xml:space="preserve">A congenital anomaly/birth defect  </w:t>
      </w:r>
    </w:p>
    <w:p w:rsidR="00274CCE" w:rsidRPr="004375AC" w:rsidRDefault="00274CCE" w:rsidP="002E3645">
      <w:pPr>
        <w:pStyle w:val="NormalWeb"/>
        <w:spacing w:before="0" w:beforeAutospacing="0" w:after="0" w:afterAutospacing="0"/>
        <w:ind w:left="1440" w:right="1800"/>
        <w:rPr>
          <w:rFonts w:ascii="Times New Roman" w:hAnsi="Times New Roman"/>
        </w:rPr>
      </w:pPr>
    </w:p>
    <w:p w:rsidR="00274CCE" w:rsidRPr="004375AC" w:rsidRDefault="00274CCE" w:rsidP="002E3645">
      <w:pPr>
        <w:pStyle w:val="NormalWeb"/>
        <w:spacing w:before="0" w:beforeAutospacing="0" w:after="0" w:afterAutospacing="0"/>
        <w:ind w:left="720" w:right="1800"/>
        <w:rPr>
          <w:rFonts w:ascii="Times New Roman" w:hAnsi="Times New Roman"/>
        </w:rPr>
      </w:pPr>
      <w:r w:rsidRPr="004375AC">
        <w:rPr>
          <w:rFonts w:ascii="Times New Roman" w:hAnsi="Times New Roman"/>
        </w:rPr>
        <w:t xml:space="preserve">Important medical events that may not result in death, be life-threatening, or require hospitalization may be considered a serious adverse drug experience when, based upon appropriate medical judgment, they may jeopardize the patient or subject and may require medical or surgical intervention to prevent one of the outcomes listed in this definition.  Examples of such medical events include </w:t>
      </w:r>
    </w:p>
    <w:p w:rsidR="00274CCE" w:rsidRPr="004375AC" w:rsidRDefault="00274CCE" w:rsidP="002E3645">
      <w:pPr>
        <w:pStyle w:val="NormalWeb"/>
        <w:numPr>
          <w:ilvl w:val="0"/>
          <w:numId w:val="5"/>
        </w:numPr>
        <w:spacing w:before="0" w:beforeAutospacing="0" w:after="0" w:afterAutospacing="0"/>
        <w:ind w:right="1800"/>
        <w:rPr>
          <w:rFonts w:ascii="Times New Roman" w:hAnsi="Times New Roman"/>
        </w:rPr>
      </w:pPr>
      <w:r w:rsidRPr="004375AC">
        <w:rPr>
          <w:rFonts w:ascii="Times New Roman" w:hAnsi="Times New Roman"/>
        </w:rPr>
        <w:t>allergic bronchospasm requiring intensive treatment in an emergency room or at home,</w:t>
      </w:r>
    </w:p>
    <w:p w:rsidR="00274CCE" w:rsidRPr="004375AC" w:rsidRDefault="00274CCE" w:rsidP="002E3645">
      <w:pPr>
        <w:pStyle w:val="NormalWeb"/>
        <w:numPr>
          <w:ilvl w:val="0"/>
          <w:numId w:val="5"/>
        </w:numPr>
        <w:spacing w:before="0" w:beforeAutospacing="0" w:after="0" w:afterAutospacing="0"/>
        <w:ind w:right="1800"/>
        <w:rPr>
          <w:rFonts w:ascii="Times New Roman" w:hAnsi="Times New Roman"/>
        </w:rPr>
      </w:pPr>
      <w:r w:rsidRPr="004375AC">
        <w:rPr>
          <w:rFonts w:ascii="Times New Roman" w:hAnsi="Times New Roman"/>
        </w:rPr>
        <w:t xml:space="preserve">blood dyscrasias or convulsions that do not result in inpatient hospitalization, or </w:t>
      </w:r>
    </w:p>
    <w:p w:rsidR="00274CCE" w:rsidRPr="004375AC" w:rsidRDefault="00274CCE" w:rsidP="002E3645">
      <w:pPr>
        <w:pStyle w:val="NormalWeb"/>
        <w:numPr>
          <w:ilvl w:val="0"/>
          <w:numId w:val="5"/>
        </w:numPr>
        <w:spacing w:before="0" w:beforeAutospacing="0" w:after="0" w:afterAutospacing="0"/>
        <w:ind w:right="1800"/>
        <w:rPr>
          <w:rFonts w:ascii="Times New Roman" w:hAnsi="Times New Roman"/>
        </w:rPr>
      </w:pPr>
      <w:r w:rsidRPr="004375AC">
        <w:rPr>
          <w:rFonts w:ascii="Times New Roman" w:hAnsi="Times New Roman"/>
        </w:rPr>
        <w:t>the development of drug dependency or drug abuse.</w:t>
      </w:r>
    </w:p>
    <w:p w:rsidR="00274CCE" w:rsidRPr="004375AC" w:rsidRDefault="00274CCE" w:rsidP="00274CCE">
      <w:pPr>
        <w:rPr>
          <w:rFonts w:ascii="Times New Roman" w:hAnsi="Times New Roman"/>
          <w:szCs w:val="24"/>
        </w:rPr>
      </w:pP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Section 310.305(b) defines an </w:t>
      </w:r>
      <w:r w:rsidRPr="004375AC">
        <w:rPr>
          <w:rFonts w:ascii="Times New Roman" w:hAnsi="Times New Roman"/>
          <w:i/>
          <w:sz w:val="24"/>
          <w:szCs w:val="24"/>
        </w:rPr>
        <w:t>unexpected adverse drug experience</w:t>
      </w:r>
      <w:r w:rsidRPr="004375AC">
        <w:rPr>
          <w:rFonts w:ascii="Times New Roman" w:hAnsi="Times New Roman"/>
          <w:sz w:val="24"/>
          <w:szCs w:val="24"/>
        </w:rPr>
        <w:t xml:space="preserve"> as any adverse drug </w:t>
      </w:r>
      <w:r w:rsidR="009F12CE" w:rsidRPr="004375AC">
        <w:rPr>
          <w:rFonts w:ascii="Times New Roman" w:hAnsi="Times New Roman"/>
          <w:sz w:val="24"/>
          <w:szCs w:val="24"/>
        </w:rPr>
        <w:t xml:space="preserve">experience </w:t>
      </w:r>
      <w:r w:rsidRPr="004375AC">
        <w:rPr>
          <w:rFonts w:ascii="Times New Roman" w:hAnsi="Times New Roman"/>
          <w:sz w:val="24"/>
          <w:szCs w:val="24"/>
        </w:rPr>
        <w:t>that is not listed in the current labeling for the drug product.</w:t>
      </w:r>
      <w:r w:rsidR="00127504" w:rsidRPr="004375AC">
        <w:rPr>
          <w:rFonts w:ascii="Times New Roman" w:hAnsi="Times New Roman"/>
          <w:sz w:val="24"/>
          <w:szCs w:val="24"/>
        </w:rPr>
        <w:t xml:space="preserve">  This includes events that may be symptomatically and pathophysiologically related to an event listed in the labeling, but differ from the event because of greater severity or specificity.  </w:t>
      </w:r>
      <w:r w:rsidR="002E3645" w:rsidRPr="004375AC">
        <w:rPr>
          <w:rFonts w:ascii="Times New Roman" w:hAnsi="Times New Roman"/>
          <w:sz w:val="24"/>
          <w:szCs w:val="24"/>
        </w:rPr>
        <w:t xml:space="preserve">The term </w:t>
      </w:r>
      <w:r w:rsidR="002E3645" w:rsidRPr="004375AC">
        <w:rPr>
          <w:rFonts w:ascii="Times New Roman" w:hAnsi="Times New Roman"/>
          <w:i/>
          <w:sz w:val="24"/>
          <w:szCs w:val="24"/>
        </w:rPr>
        <w:t>u</w:t>
      </w:r>
      <w:r w:rsidR="00127504" w:rsidRPr="004375AC">
        <w:rPr>
          <w:rFonts w:ascii="Times New Roman" w:hAnsi="Times New Roman"/>
          <w:i/>
          <w:sz w:val="24"/>
          <w:szCs w:val="24"/>
        </w:rPr>
        <w:t>nexpected</w:t>
      </w:r>
      <w:r w:rsidR="00127504" w:rsidRPr="004375AC">
        <w:rPr>
          <w:rFonts w:ascii="Times New Roman" w:hAnsi="Times New Roman"/>
          <w:sz w:val="24"/>
          <w:szCs w:val="24"/>
        </w:rPr>
        <w:t>, as used in this definition, refers to an adverse drug experience that has not been previously observed (i.e</w:t>
      </w:r>
      <w:r w:rsidR="00C418EC" w:rsidRPr="004375AC">
        <w:rPr>
          <w:rFonts w:ascii="Times New Roman" w:hAnsi="Times New Roman"/>
          <w:sz w:val="24"/>
          <w:szCs w:val="24"/>
        </w:rPr>
        <w:t>.</w:t>
      </w:r>
      <w:r w:rsidR="00127504" w:rsidRPr="004375AC">
        <w:rPr>
          <w:rFonts w:ascii="Times New Roman" w:hAnsi="Times New Roman"/>
          <w:sz w:val="24"/>
          <w:szCs w:val="24"/>
        </w:rPr>
        <w:t>, included in the labeling)</w:t>
      </w:r>
      <w:r w:rsidR="002E3645" w:rsidRPr="004375AC">
        <w:rPr>
          <w:rFonts w:ascii="Times New Roman" w:hAnsi="Times New Roman"/>
          <w:sz w:val="24"/>
          <w:szCs w:val="24"/>
        </w:rPr>
        <w:t>,</w:t>
      </w:r>
      <w:r w:rsidR="00127504" w:rsidRPr="004375AC">
        <w:rPr>
          <w:rFonts w:ascii="Times New Roman" w:hAnsi="Times New Roman"/>
          <w:sz w:val="24"/>
          <w:szCs w:val="24"/>
        </w:rPr>
        <w:t xml:space="preserve"> rather than</w:t>
      </w:r>
      <w:r w:rsidR="0006431B" w:rsidRPr="004375AC">
        <w:rPr>
          <w:rFonts w:ascii="Times New Roman" w:hAnsi="Times New Roman"/>
          <w:sz w:val="24"/>
          <w:szCs w:val="24"/>
        </w:rPr>
        <w:t xml:space="preserve"> from the perspective of</w:t>
      </w:r>
      <w:r w:rsidR="00127504" w:rsidRPr="004375AC">
        <w:rPr>
          <w:rFonts w:ascii="Times New Roman" w:hAnsi="Times New Roman"/>
          <w:sz w:val="24"/>
          <w:szCs w:val="24"/>
        </w:rPr>
        <w:t xml:space="preserve"> </w:t>
      </w:r>
      <w:r w:rsidR="0006431B" w:rsidRPr="004375AC">
        <w:rPr>
          <w:rFonts w:ascii="Times New Roman" w:hAnsi="Times New Roman"/>
          <w:sz w:val="24"/>
          <w:szCs w:val="24"/>
        </w:rPr>
        <w:t>such</w:t>
      </w:r>
      <w:r w:rsidR="00C418EC" w:rsidRPr="004375AC">
        <w:rPr>
          <w:rFonts w:ascii="Times New Roman" w:hAnsi="Times New Roman"/>
          <w:sz w:val="24"/>
          <w:szCs w:val="24"/>
        </w:rPr>
        <w:t xml:space="preserve"> </w:t>
      </w:r>
      <w:r w:rsidR="00127504" w:rsidRPr="004375AC">
        <w:rPr>
          <w:rFonts w:ascii="Times New Roman" w:hAnsi="Times New Roman"/>
          <w:sz w:val="24"/>
          <w:szCs w:val="24"/>
        </w:rPr>
        <w:t xml:space="preserve">experience not </w:t>
      </w:r>
      <w:r w:rsidR="0006431B" w:rsidRPr="004375AC">
        <w:rPr>
          <w:rFonts w:ascii="Times New Roman" w:hAnsi="Times New Roman"/>
          <w:sz w:val="24"/>
          <w:szCs w:val="24"/>
        </w:rPr>
        <w:t xml:space="preserve">being </w:t>
      </w:r>
      <w:r w:rsidR="00127504" w:rsidRPr="004375AC">
        <w:rPr>
          <w:rFonts w:ascii="Times New Roman" w:hAnsi="Times New Roman"/>
          <w:sz w:val="24"/>
          <w:szCs w:val="24"/>
        </w:rPr>
        <w:t>anticipated from the pharmacological properties of the pharmaceutical product.</w:t>
      </w:r>
      <w:r w:rsidR="00127504" w:rsidRPr="004375AC">
        <w:rPr>
          <w:rFonts w:ascii="Times New Roman" w:hAnsi="Times New Roman"/>
        </w:rPr>
        <w:t xml:space="preserve"> </w:t>
      </w:r>
      <w:r w:rsidRPr="004375AC">
        <w:rPr>
          <w:rFonts w:ascii="Times New Roman" w:hAnsi="Times New Roman"/>
          <w:sz w:val="24"/>
          <w:szCs w:val="24"/>
        </w:rPr>
        <w:t xml:space="preserve"> </w:t>
      </w:r>
      <w:r w:rsidR="005F4984">
        <w:rPr>
          <w:rFonts w:ascii="Times New Roman" w:hAnsi="Times New Roman"/>
          <w:sz w:val="24"/>
          <w:szCs w:val="24"/>
        </w:rPr>
        <w:t xml:space="preserve">For example, if </w:t>
      </w:r>
      <w:r w:rsidR="005301E7">
        <w:rPr>
          <w:rFonts w:ascii="Times New Roman" w:hAnsi="Times New Roman"/>
          <w:sz w:val="24"/>
          <w:szCs w:val="24"/>
        </w:rPr>
        <w:t xml:space="preserve">current labeling for </w:t>
      </w:r>
      <w:r w:rsidR="005F4984">
        <w:rPr>
          <w:rFonts w:ascii="Times New Roman" w:hAnsi="Times New Roman"/>
          <w:sz w:val="24"/>
          <w:szCs w:val="24"/>
        </w:rPr>
        <w:t>a compounded drug product does not list any adverse drug experiences, all adverse drug experiences associated with the compounded drug product would be considered “unexpected.”</w:t>
      </w:r>
    </w:p>
    <w:p w:rsidR="00274CCE" w:rsidRPr="004375AC" w:rsidRDefault="00274CCE" w:rsidP="001001E2">
      <w:pPr>
        <w:autoSpaceDE w:val="0"/>
        <w:autoSpaceDN w:val="0"/>
        <w:adjustRightInd w:val="0"/>
        <w:jc w:val="center"/>
        <w:rPr>
          <w:rFonts w:ascii="Times New Roman" w:hAnsi="Times New Roman"/>
          <w:sz w:val="24"/>
          <w:szCs w:val="24"/>
        </w:rPr>
      </w:pPr>
    </w:p>
    <w:p w:rsidR="00274CCE" w:rsidRPr="004375AC" w:rsidRDefault="00274CCE" w:rsidP="00274CCE">
      <w:pPr>
        <w:rPr>
          <w:rFonts w:ascii="Times New Roman" w:hAnsi="Times New Roman"/>
          <w:sz w:val="24"/>
          <w:szCs w:val="24"/>
        </w:rPr>
      </w:pPr>
      <w:r w:rsidRPr="004375AC">
        <w:rPr>
          <w:rFonts w:ascii="Times New Roman" w:hAnsi="Times New Roman"/>
          <w:sz w:val="24"/>
          <w:szCs w:val="24"/>
        </w:rPr>
        <w:t>The regulation require</w:t>
      </w:r>
      <w:r w:rsidR="00612ED2">
        <w:rPr>
          <w:rFonts w:ascii="Times New Roman" w:hAnsi="Times New Roman"/>
          <w:sz w:val="24"/>
          <w:szCs w:val="24"/>
        </w:rPr>
        <w:t>s</w:t>
      </w:r>
      <w:r w:rsidRPr="004375AC">
        <w:rPr>
          <w:rFonts w:ascii="Times New Roman" w:hAnsi="Times New Roman"/>
          <w:sz w:val="24"/>
          <w:szCs w:val="24"/>
        </w:rPr>
        <w:t xml:space="preserve"> reporting of each adverse drug experience received or otherwise obtained that is both serious and unexpected as soon as possible, but in no case later than 15 calendar days of initial receipt of the information along with a copy of the drug product’s current labeling</w:t>
      </w:r>
      <w:r w:rsidR="004B0344">
        <w:rPr>
          <w:rFonts w:ascii="Times New Roman" w:hAnsi="Times New Roman"/>
          <w:sz w:val="24"/>
          <w:szCs w:val="24"/>
        </w:rPr>
        <w:t xml:space="preserve"> </w:t>
      </w:r>
      <w:r w:rsidR="004B0344">
        <w:rPr>
          <w:rFonts w:ascii="Times New Roman" w:hAnsi="Times New Roman"/>
          <w:sz w:val="24"/>
          <w:szCs w:val="24"/>
        </w:rPr>
        <w:br/>
      </w:r>
      <w:r w:rsidRPr="004375AC">
        <w:rPr>
          <w:rFonts w:ascii="Times New Roman" w:hAnsi="Times New Roman"/>
          <w:sz w:val="24"/>
          <w:szCs w:val="24"/>
        </w:rPr>
        <w:t>.</w:t>
      </w:r>
      <w:r w:rsidRPr="004375AC">
        <w:rPr>
          <w:rStyle w:val="FootnoteReference"/>
          <w:sz w:val="24"/>
          <w:szCs w:val="24"/>
        </w:rPr>
        <w:footnoteReference w:id="14"/>
      </w:r>
      <w:r w:rsidRPr="004375AC">
        <w:rPr>
          <w:rFonts w:ascii="Times New Roman" w:hAnsi="Times New Roman"/>
          <w:sz w:val="24"/>
          <w:szCs w:val="24"/>
        </w:rPr>
        <w:t xml:space="preserve">  In addition,</w:t>
      </w:r>
      <w:r w:rsidR="0006431B" w:rsidRPr="004375AC">
        <w:rPr>
          <w:rFonts w:ascii="Times New Roman" w:hAnsi="Times New Roman"/>
          <w:sz w:val="24"/>
          <w:szCs w:val="24"/>
        </w:rPr>
        <w:t xml:space="preserve"> all serious</w:t>
      </w:r>
      <w:r w:rsidR="00385681" w:rsidRPr="004375AC">
        <w:rPr>
          <w:rFonts w:ascii="Times New Roman" w:hAnsi="Times New Roman"/>
          <w:sz w:val="24"/>
          <w:szCs w:val="24"/>
        </w:rPr>
        <w:t>,</w:t>
      </w:r>
      <w:r w:rsidR="0006431B" w:rsidRPr="004375AC">
        <w:rPr>
          <w:rFonts w:ascii="Times New Roman" w:hAnsi="Times New Roman"/>
          <w:sz w:val="24"/>
          <w:szCs w:val="24"/>
        </w:rPr>
        <w:t xml:space="preserve"> unexpected adverse drug experiences that are the subject of these reports shall be promptly investigated and</w:t>
      </w:r>
      <w:r w:rsidRPr="004375AC">
        <w:rPr>
          <w:rFonts w:ascii="Times New Roman" w:hAnsi="Times New Roman"/>
          <w:sz w:val="24"/>
          <w:szCs w:val="24"/>
        </w:rPr>
        <w:t xml:space="preserve"> a follow-up report must be submitted within 15 calendar days of receipt of new information or as requested by FDA.</w:t>
      </w:r>
      <w:r w:rsidRPr="004375AC">
        <w:rPr>
          <w:rStyle w:val="FootnoteReference"/>
          <w:sz w:val="24"/>
          <w:szCs w:val="24"/>
        </w:rPr>
        <w:footnoteReference w:id="15"/>
      </w:r>
      <w:r w:rsidRPr="004375AC">
        <w:rPr>
          <w:rFonts w:ascii="Times New Roman" w:hAnsi="Times New Roman"/>
          <w:sz w:val="24"/>
          <w:szCs w:val="24"/>
        </w:rPr>
        <w:t xml:space="preserve">  </w:t>
      </w:r>
    </w:p>
    <w:p w:rsidR="00274CCE" w:rsidRPr="004375AC" w:rsidRDefault="00274CCE" w:rsidP="00274CCE">
      <w:pPr>
        <w:rPr>
          <w:rFonts w:ascii="Times New Roman" w:hAnsi="Times New Roman"/>
          <w:sz w:val="24"/>
          <w:szCs w:val="24"/>
        </w:rPr>
      </w:pPr>
    </w:p>
    <w:p w:rsidR="00987ABB" w:rsidRPr="004375AC" w:rsidRDefault="00A83F26" w:rsidP="00274CCE">
      <w:pPr>
        <w:rPr>
          <w:rFonts w:ascii="Times New Roman" w:hAnsi="Times New Roman"/>
          <w:sz w:val="24"/>
          <w:szCs w:val="24"/>
        </w:rPr>
      </w:pPr>
      <w:r w:rsidRPr="004375AC">
        <w:rPr>
          <w:rFonts w:ascii="Times New Roman" w:hAnsi="Times New Roman"/>
          <w:sz w:val="24"/>
          <w:szCs w:val="24"/>
        </w:rPr>
        <w:t xml:space="preserve">FDA’s </w:t>
      </w:r>
      <w:r w:rsidR="00274CCE" w:rsidRPr="004375AC">
        <w:rPr>
          <w:rFonts w:ascii="Times New Roman" w:hAnsi="Times New Roman"/>
          <w:sz w:val="24"/>
          <w:szCs w:val="24"/>
        </w:rPr>
        <w:t xml:space="preserve">regulations also state that information on the names and addresses of individual patients should </w:t>
      </w:r>
      <w:r w:rsidR="00274CCE" w:rsidRPr="004375AC">
        <w:rPr>
          <w:rFonts w:ascii="Times New Roman" w:hAnsi="Times New Roman"/>
          <w:b/>
          <w:i/>
          <w:sz w:val="24"/>
          <w:szCs w:val="24"/>
        </w:rPr>
        <w:t xml:space="preserve">not </w:t>
      </w:r>
      <w:r w:rsidR="00274CCE" w:rsidRPr="004375AC">
        <w:rPr>
          <w:rFonts w:ascii="Times New Roman" w:hAnsi="Times New Roman"/>
          <w:sz w:val="24"/>
          <w:szCs w:val="24"/>
        </w:rPr>
        <w:t>be included</w:t>
      </w:r>
      <w:r w:rsidR="00FA67C5">
        <w:rPr>
          <w:rFonts w:ascii="Times New Roman" w:hAnsi="Times New Roman"/>
          <w:sz w:val="24"/>
          <w:szCs w:val="24"/>
        </w:rPr>
        <w:t>.</w:t>
      </w:r>
      <w:r w:rsidR="00274CCE" w:rsidRPr="004375AC">
        <w:rPr>
          <w:rStyle w:val="FootnoteReference"/>
          <w:sz w:val="24"/>
          <w:szCs w:val="24"/>
        </w:rPr>
        <w:footnoteReference w:id="16"/>
      </w:r>
      <w:r w:rsidR="00274CCE" w:rsidRPr="004375AC">
        <w:rPr>
          <w:rFonts w:ascii="Times New Roman" w:hAnsi="Times New Roman"/>
          <w:sz w:val="24"/>
          <w:szCs w:val="24"/>
        </w:rPr>
        <w:t xml:space="preserve">  </w:t>
      </w:r>
      <w:r w:rsidR="00FA67C5">
        <w:rPr>
          <w:rFonts w:ascii="Times New Roman" w:hAnsi="Times New Roman"/>
          <w:sz w:val="24"/>
          <w:szCs w:val="24"/>
        </w:rPr>
        <w:t>A</w:t>
      </w:r>
      <w:r w:rsidR="00274CCE" w:rsidRPr="004375AC">
        <w:rPr>
          <w:rFonts w:ascii="Times New Roman" w:hAnsi="Times New Roman"/>
          <w:sz w:val="24"/>
          <w:szCs w:val="24"/>
        </w:rPr>
        <w:t xml:space="preserve"> unique code number should therefore be assigned instead for each individual </w:t>
      </w:r>
      <w:r w:rsidR="00782CA6">
        <w:rPr>
          <w:rFonts w:ascii="Times New Roman" w:hAnsi="Times New Roman"/>
          <w:sz w:val="24"/>
          <w:szCs w:val="24"/>
        </w:rPr>
        <w:t>patient</w:t>
      </w:r>
      <w:r w:rsidR="00627517">
        <w:rPr>
          <w:rFonts w:ascii="Times New Roman" w:hAnsi="Times New Roman"/>
          <w:sz w:val="24"/>
          <w:szCs w:val="24"/>
        </w:rPr>
        <w:t>.</w:t>
      </w:r>
    </w:p>
    <w:p w:rsidR="00987ABB" w:rsidRPr="004375AC" w:rsidRDefault="00987ABB" w:rsidP="00274CCE">
      <w:pPr>
        <w:rPr>
          <w:rFonts w:ascii="Times New Roman" w:hAnsi="Times New Roman"/>
          <w:sz w:val="24"/>
          <w:szCs w:val="24"/>
        </w:rPr>
      </w:pPr>
    </w:p>
    <w:p w:rsidR="00612D69" w:rsidRPr="004375AC" w:rsidRDefault="00274CCE" w:rsidP="00274CCE">
      <w:pPr>
        <w:rPr>
          <w:rFonts w:ascii="Times New Roman" w:hAnsi="Times New Roman"/>
          <w:sz w:val="24"/>
          <w:szCs w:val="24"/>
        </w:rPr>
      </w:pPr>
      <w:r w:rsidRPr="004375AC">
        <w:rPr>
          <w:rFonts w:ascii="Times New Roman" w:hAnsi="Times New Roman"/>
          <w:sz w:val="24"/>
          <w:szCs w:val="24"/>
        </w:rPr>
        <w:t>The regulation</w:t>
      </w:r>
      <w:r w:rsidR="00A83F26" w:rsidRPr="004375AC">
        <w:rPr>
          <w:rFonts w:ascii="Times New Roman" w:hAnsi="Times New Roman"/>
          <w:sz w:val="24"/>
          <w:szCs w:val="24"/>
        </w:rPr>
        <w:t>s</w:t>
      </w:r>
      <w:r w:rsidRPr="004375AC">
        <w:rPr>
          <w:rFonts w:ascii="Times New Roman" w:hAnsi="Times New Roman"/>
          <w:sz w:val="24"/>
          <w:szCs w:val="24"/>
        </w:rPr>
        <w:t xml:space="preserve"> require that firms maintain certain records relating to adverse drug experiences </w:t>
      </w:r>
      <w:r w:rsidR="009017AC" w:rsidRPr="004375AC">
        <w:rPr>
          <w:rFonts w:ascii="Times New Roman" w:hAnsi="Times New Roman"/>
          <w:sz w:val="24"/>
          <w:szCs w:val="24"/>
        </w:rPr>
        <w:t xml:space="preserve">required to be reported under section 310.305 </w:t>
      </w:r>
      <w:r w:rsidRPr="004375AC">
        <w:rPr>
          <w:rFonts w:ascii="Times New Roman" w:hAnsi="Times New Roman"/>
          <w:sz w:val="24"/>
          <w:szCs w:val="24"/>
        </w:rPr>
        <w:t>for 10 years and provide FDA access to them.</w:t>
      </w:r>
      <w:r w:rsidRPr="004375AC">
        <w:rPr>
          <w:rStyle w:val="FootnoteReference"/>
          <w:sz w:val="24"/>
          <w:szCs w:val="24"/>
        </w:rPr>
        <w:footnoteReference w:id="17"/>
      </w:r>
      <w:r w:rsidRPr="004375AC">
        <w:rPr>
          <w:rFonts w:ascii="Times New Roman" w:hAnsi="Times New Roman"/>
          <w:sz w:val="24"/>
          <w:szCs w:val="24"/>
        </w:rPr>
        <w:t xml:space="preserve">  The regulation</w:t>
      </w:r>
      <w:r w:rsidR="00A83F26" w:rsidRPr="004375AC">
        <w:rPr>
          <w:rFonts w:ascii="Times New Roman" w:hAnsi="Times New Roman"/>
          <w:sz w:val="24"/>
          <w:szCs w:val="24"/>
        </w:rPr>
        <w:t>s</w:t>
      </w:r>
      <w:r w:rsidRPr="004375AC">
        <w:rPr>
          <w:rFonts w:ascii="Times New Roman" w:hAnsi="Times New Roman"/>
          <w:sz w:val="24"/>
          <w:szCs w:val="24"/>
        </w:rPr>
        <w:t xml:space="preserve"> also provide a disclaimer that the report or information submitted </w:t>
      </w:r>
      <w:r w:rsidR="00045F53" w:rsidRPr="004375AC">
        <w:rPr>
          <w:rFonts w:ascii="Times New Roman" w:hAnsi="Times New Roman"/>
          <w:sz w:val="24"/>
          <w:szCs w:val="24"/>
        </w:rPr>
        <w:t xml:space="preserve">(and any release </w:t>
      </w:r>
      <w:r w:rsidR="0006431B" w:rsidRPr="004375AC">
        <w:rPr>
          <w:rFonts w:ascii="Times New Roman" w:hAnsi="Times New Roman"/>
          <w:sz w:val="24"/>
          <w:szCs w:val="24"/>
        </w:rPr>
        <w:t xml:space="preserve">by FDA </w:t>
      </w:r>
      <w:r w:rsidR="00045F53" w:rsidRPr="004375AC">
        <w:rPr>
          <w:rFonts w:ascii="Times New Roman" w:hAnsi="Times New Roman"/>
          <w:sz w:val="24"/>
          <w:szCs w:val="24"/>
        </w:rPr>
        <w:t xml:space="preserve">of that report or information) </w:t>
      </w:r>
      <w:r w:rsidRPr="004375AC">
        <w:rPr>
          <w:rFonts w:ascii="Times New Roman" w:hAnsi="Times New Roman"/>
          <w:sz w:val="24"/>
          <w:szCs w:val="24"/>
        </w:rPr>
        <w:t>does not necessarily reflect a conclusion that the report or information constitutes an admission that the drug caused or contributed to an adverse effect.</w:t>
      </w:r>
      <w:r w:rsidRPr="004375AC">
        <w:rPr>
          <w:rStyle w:val="FootnoteReference"/>
          <w:sz w:val="24"/>
          <w:szCs w:val="24"/>
        </w:rPr>
        <w:footnoteReference w:id="18"/>
      </w:r>
      <w:r w:rsidRPr="004375AC">
        <w:rPr>
          <w:rFonts w:ascii="Times New Roman" w:hAnsi="Times New Roman"/>
          <w:sz w:val="24"/>
          <w:szCs w:val="24"/>
        </w:rPr>
        <w:t xml:space="preserve"> </w:t>
      </w:r>
    </w:p>
    <w:p w:rsidR="00987ABB" w:rsidRPr="004375AC" w:rsidRDefault="00987ABB" w:rsidP="00274CCE">
      <w:pPr>
        <w:rPr>
          <w:rFonts w:ascii="Times New Roman" w:hAnsi="Times New Roman"/>
          <w:sz w:val="24"/>
          <w:szCs w:val="24"/>
        </w:rPr>
      </w:pPr>
    </w:p>
    <w:p w:rsidR="00274CCE" w:rsidRPr="004375AC" w:rsidRDefault="00274CCE" w:rsidP="00274CCE">
      <w:pPr>
        <w:pStyle w:val="Heading1"/>
        <w:spacing w:before="0" w:after="0"/>
        <w:ind w:left="720" w:hanging="720"/>
        <w:rPr>
          <w:rFonts w:ascii="Times New Roman" w:hAnsi="Times New Roman"/>
          <w:szCs w:val="24"/>
        </w:rPr>
      </w:pPr>
      <w:bookmarkStart w:id="16" w:name="_Toc361417772"/>
      <w:bookmarkStart w:id="17" w:name="_Toc375573217"/>
      <w:bookmarkStart w:id="18" w:name="_Toc379972593"/>
      <w:bookmarkStart w:id="19" w:name="_Toc421567525"/>
      <w:bookmarkStart w:id="20" w:name="_Toc404350666"/>
      <w:r w:rsidRPr="004375AC">
        <w:rPr>
          <w:rFonts w:ascii="Times New Roman" w:hAnsi="Times New Roman"/>
          <w:szCs w:val="24"/>
        </w:rPr>
        <w:t xml:space="preserve">III. </w:t>
      </w:r>
      <w:r w:rsidRPr="004375AC">
        <w:rPr>
          <w:rFonts w:ascii="Times New Roman" w:hAnsi="Times New Roman"/>
          <w:szCs w:val="24"/>
        </w:rPr>
        <w:tab/>
      </w:r>
      <w:bookmarkEnd w:id="16"/>
      <w:r w:rsidRPr="004375AC">
        <w:rPr>
          <w:rFonts w:ascii="Times New Roman" w:hAnsi="Times New Roman"/>
          <w:szCs w:val="24"/>
        </w:rPr>
        <w:t>Adverse Event Reporting</w:t>
      </w:r>
      <w:bookmarkEnd w:id="17"/>
      <w:bookmarkEnd w:id="18"/>
      <w:r w:rsidRPr="004375AC">
        <w:rPr>
          <w:rFonts w:ascii="Times New Roman" w:hAnsi="Times New Roman"/>
          <w:szCs w:val="24"/>
        </w:rPr>
        <w:t xml:space="preserve"> by Outsourcing Facilities</w:t>
      </w:r>
      <w:bookmarkEnd w:id="19"/>
      <w:bookmarkEnd w:id="20"/>
    </w:p>
    <w:p w:rsidR="00274CCE" w:rsidRPr="004375AC" w:rsidRDefault="00274CCE" w:rsidP="00274CCE">
      <w:pPr>
        <w:pStyle w:val="Heading2"/>
      </w:pPr>
    </w:p>
    <w:p w:rsidR="00274CCE" w:rsidRPr="004375AC" w:rsidRDefault="00274CCE" w:rsidP="00B56F89">
      <w:pPr>
        <w:pStyle w:val="Heading2"/>
        <w:ind w:left="720" w:hanging="720"/>
        <w:rPr>
          <w:szCs w:val="24"/>
          <w:lang w:val="en-US"/>
        </w:rPr>
      </w:pPr>
      <w:bookmarkStart w:id="21" w:name="_Toc421567526"/>
      <w:bookmarkStart w:id="22" w:name="_Toc404350667"/>
      <w:r w:rsidRPr="004375AC">
        <w:rPr>
          <w:szCs w:val="24"/>
        </w:rPr>
        <w:t>A.</w:t>
      </w:r>
      <w:r w:rsidRPr="004375AC">
        <w:rPr>
          <w:szCs w:val="24"/>
        </w:rPr>
        <w:tab/>
      </w:r>
      <w:r w:rsidR="006C25C4" w:rsidRPr="004375AC">
        <w:rPr>
          <w:szCs w:val="24"/>
          <w:lang w:val="en-US"/>
        </w:rPr>
        <w:t>What to Report</w:t>
      </w:r>
      <w:bookmarkEnd w:id="21"/>
      <w:bookmarkEnd w:id="22"/>
    </w:p>
    <w:p w:rsidR="00274CCE" w:rsidRPr="004375AC" w:rsidRDefault="00274CCE" w:rsidP="00274CCE">
      <w:pPr>
        <w:rPr>
          <w:rFonts w:ascii="Times New Roman" w:hAnsi="Times New Roman"/>
          <w:sz w:val="24"/>
          <w:szCs w:val="24"/>
        </w:rPr>
      </w:pPr>
    </w:p>
    <w:p w:rsidR="004D7D88" w:rsidRPr="004375AC" w:rsidRDefault="00274CCE" w:rsidP="00274CCE">
      <w:pPr>
        <w:rPr>
          <w:rFonts w:ascii="Times New Roman" w:hAnsi="Times New Roman"/>
          <w:sz w:val="24"/>
          <w:szCs w:val="24"/>
        </w:rPr>
      </w:pPr>
      <w:r w:rsidRPr="004375AC">
        <w:rPr>
          <w:rFonts w:ascii="Times New Roman" w:hAnsi="Times New Roman"/>
          <w:sz w:val="24"/>
          <w:szCs w:val="24"/>
        </w:rPr>
        <w:t xml:space="preserve">Outsourcing facilities must report all </w:t>
      </w:r>
      <w:r w:rsidR="004919B5" w:rsidRPr="004375AC">
        <w:rPr>
          <w:rFonts w:ascii="Times New Roman" w:hAnsi="Times New Roman"/>
          <w:sz w:val="24"/>
          <w:szCs w:val="24"/>
        </w:rPr>
        <w:t>serious</w:t>
      </w:r>
      <w:r w:rsidR="002B55C8" w:rsidRPr="004375AC">
        <w:rPr>
          <w:rFonts w:ascii="Times New Roman" w:hAnsi="Times New Roman"/>
          <w:sz w:val="24"/>
          <w:szCs w:val="24"/>
        </w:rPr>
        <w:t>,</w:t>
      </w:r>
      <w:r w:rsidR="004919B5" w:rsidRPr="004375AC">
        <w:rPr>
          <w:rFonts w:ascii="Times New Roman" w:hAnsi="Times New Roman"/>
          <w:sz w:val="24"/>
          <w:szCs w:val="24"/>
        </w:rPr>
        <w:t xml:space="preserve"> unexpected </w:t>
      </w:r>
      <w:r w:rsidRPr="004375AC">
        <w:rPr>
          <w:rFonts w:ascii="Times New Roman" w:hAnsi="Times New Roman"/>
          <w:sz w:val="24"/>
          <w:szCs w:val="24"/>
        </w:rPr>
        <w:t xml:space="preserve">adverse </w:t>
      </w:r>
      <w:r w:rsidR="004919B5" w:rsidRPr="004375AC">
        <w:rPr>
          <w:rFonts w:ascii="Times New Roman" w:hAnsi="Times New Roman"/>
          <w:sz w:val="24"/>
          <w:szCs w:val="24"/>
        </w:rPr>
        <w:t xml:space="preserve">drug experiences </w:t>
      </w:r>
      <w:r w:rsidRPr="004375AC">
        <w:rPr>
          <w:rFonts w:ascii="Times New Roman" w:hAnsi="Times New Roman"/>
          <w:sz w:val="24"/>
          <w:szCs w:val="24"/>
        </w:rPr>
        <w:t>associated with</w:t>
      </w:r>
      <w:r w:rsidR="004919B5" w:rsidRPr="004375AC">
        <w:rPr>
          <w:rFonts w:ascii="Times New Roman" w:hAnsi="Times New Roman"/>
          <w:sz w:val="24"/>
          <w:szCs w:val="24"/>
        </w:rPr>
        <w:t xml:space="preserve"> the use of</w:t>
      </w:r>
      <w:r w:rsidRPr="004375AC">
        <w:rPr>
          <w:rFonts w:ascii="Times New Roman" w:hAnsi="Times New Roman"/>
          <w:sz w:val="24"/>
          <w:szCs w:val="24"/>
        </w:rPr>
        <w:t xml:space="preserve"> their compounded</w:t>
      </w:r>
      <w:r w:rsidR="004919B5" w:rsidRPr="004375AC">
        <w:rPr>
          <w:rFonts w:ascii="Times New Roman" w:hAnsi="Times New Roman"/>
          <w:sz w:val="24"/>
          <w:szCs w:val="24"/>
        </w:rPr>
        <w:t xml:space="preserve"> prescription drug</w:t>
      </w:r>
      <w:r w:rsidRPr="004375AC">
        <w:rPr>
          <w:rFonts w:ascii="Times New Roman" w:hAnsi="Times New Roman"/>
          <w:sz w:val="24"/>
          <w:szCs w:val="24"/>
        </w:rPr>
        <w:t xml:space="preserve"> products.  </w:t>
      </w:r>
    </w:p>
    <w:p w:rsidR="0048663B" w:rsidRPr="004375AC" w:rsidRDefault="0048663B" w:rsidP="00274CCE">
      <w:pPr>
        <w:rPr>
          <w:rFonts w:ascii="Times New Roman" w:hAnsi="Times New Roman"/>
          <w:sz w:val="24"/>
          <w:szCs w:val="24"/>
        </w:rPr>
      </w:pPr>
    </w:p>
    <w:p w:rsidR="004D7D88" w:rsidRPr="004375AC" w:rsidRDefault="004D7D88" w:rsidP="00274CCE">
      <w:pPr>
        <w:rPr>
          <w:rFonts w:ascii="Times New Roman" w:hAnsi="Times New Roman"/>
          <w:sz w:val="24"/>
          <w:szCs w:val="24"/>
        </w:rPr>
      </w:pPr>
      <w:r w:rsidRPr="004375AC">
        <w:rPr>
          <w:rFonts w:ascii="Times New Roman" w:hAnsi="Times New Roman"/>
          <w:sz w:val="24"/>
          <w:szCs w:val="24"/>
        </w:rPr>
        <w:t xml:space="preserve">In addition, </w:t>
      </w:r>
      <w:r w:rsidR="00612D69">
        <w:rPr>
          <w:rFonts w:ascii="Times New Roman" w:hAnsi="Times New Roman"/>
          <w:sz w:val="24"/>
          <w:szCs w:val="24"/>
        </w:rPr>
        <w:t xml:space="preserve">although outsourcing facilities are not required to do so, </w:t>
      </w:r>
      <w:r w:rsidRPr="004375AC">
        <w:rPr>
          <w:rFonts w:ascii="Times New Roman" w:hAnsi="Times New Roman"/>
          <w:sz w:val="24"/>
          <w:szCs w:val="24"/>
        </w:rPr>
        <w:t xml:space="preserve">FDA strongly recommends that outsourcing facilities report </w:t>
      </w:r>
      <w:r w:rsidRPr="004375AC">
        <w:rPr>
          <w:rFonts w:ascii="Times New Roman" w:hAnsi="Times New Roman"/>
          <w:b/>
          <w:i/>
          <w:sz w:val="24"/>
          <w:szCs w:val="24"/>
          <w:u w:val="single"/>
        </w:rPr>
        <w:t>all</w:t>
      </w:r>
      <w:r w:rsidRPr="004375AC">
        <w:rPr>
          <w:rFonts w:ascii="Times New Roman" w:hAnsi="Times New Roman"/>
          <w:sz w:val="24"/>
          <w:szCs w:val="24"/>
        </w:rPr>
        <w:t xml:space="preserve"> serious adverse drug experiences associated with their compounded prescription drug products</w:t>
      </w:r>
      <w:r w:rsidR="00CA259D" w:rsidRPr="004375AC">
        <w:rPr>
          <w:rFonts w:ascii="Times New Roman" w:hAnsi="Times New Roman"/>
          <w:sz w:val="24"/>
          <w:szCs w:val="24"/>
        </w:rPr>
        <w:t xml:space="preserve">. </w:t>
      </w:r>
      <w:r w:rsidR="0048663B" w:rsidRPr="004375AC">
        <w:rPr>
          <w:rFonts w:ascii="Times New Roman" w:hAnsi="Times New Roman"/>
          <w:sz w:val="24"/>
          <w:szCs w:val="24"/>
        </w:rPr>
        <w:t>W</w:t>
      </w:r>
      <w:r w:rsidRPr="004375AC">
        <w:rPr>
          <w:rFonts w:ascii="Times New Roman" w:hAnsi="Times New Roman"/>
          <w:sz w:val="24"/>
          <w:szCs w:val="24"/>
        </w:rPr>
        <w:t xml:space="preserve">e believe reporting </w:t>
      </w:r>
      <w:r w:rsidR="0048663B" w:rsidRPr="004375AC">
        <w:rPr>
          <w:rFonts w:ascii="Times New Roman" w:hAnsi="Times New Roman"/>
          <w:b/>
          <w:i/>
          <w:sz w:val="24"/>
          <w:szCs w:val="24"/>
          <w:u w:val="single"/>
        </w:rPr>
        <w:t>all</w:t>
      </w:r>
      <w:r w:rsidR="0048663B" w:rsidRPr="004375AC">
        <w:rPr>
          <w:rFonts w:ascii="Times New Roman" w:hAnsi="Times New Roman"/>
          <w:sz w:val="24"/>
          <w:szCs w:val="24"/>
        </w:rPr>
        <w:t xml:space="preserve"> serious </w:t>
      </w:r>
      <w:r w:rsidR="00135026" w:rsidRPr="004375AC">
        <w:rPr>
          <w:rFonts w:ascii="Times New Roman" w:hAnsi="Times New Roman"/>
          <w:sz w:val="24"/>
          <w:szCs w:val="24"/>
        </w:rPr>
        <w:t xml:space="preserve">adverse </w:t>
      </w:r>
      <w:r w:rsidR="0048663B" w:rsidRPr="004375AC">
        <w:rPr>
          <w:rFonts w:ascii="Times New Roman" w:hAnsi="Times New Roman"/>
          <w:sz w:val="24"/>
          <w:szCs w:val="24"/>
        </w:rPr>
        <w:t xml:space="preserve">events </w:t>
      </w:r>
      <w:r w:rsidRPr="004375AC">
        <w:rPr>
          <w:rFonts w:ascii="Times New Roman" w:hAnsi="Times New Roman"/>
          <w:sz w:val="24"/>
          <w:szCs w:val="24"/>
        </w:rPr>
        <w:t xml:space="preserve">would provide important information </w:t>
      </w:r>
      <w:r w:rsidR="00963D2B" w:rsidRPr="004375AC">
        <w:rPr>
          <w:rFonts w:ascii="Times New Roman" w:hAnsi="Times New Roman"/>
          <w:sz w:val="24"/>
          <w:szCs w:val="24"/>
        </w:rPr>
        <w:t xml:space="preserve">about </w:t>
      </w:r>
      <w:r w:rsidRPr="004375AC">
        <w:rPr>
          <w:rFonts w:ascii="Times New Roman" w:hAnsi="Times New Roman"/>
          <w:sz w:val="24"/>
          <w:szCs w:val="24"/>
        </w:rPr>
        <w:t xml:space="preserve">potential product quality issues or public health risks associated with drug products compounded by outsourcing facilities.  </w:t>
      </w:r>
    </w:p>
    <w:p w:rsidR="00274CCE" w:rsidRPr="004375AC" w:rsidRDefault="00274CCE" w:rsidP="00274CCE">
      <w:pPr>
        <w:rPr>
          <w:rFonts w:ascii="Times New Roman" w:hAnsi="Times New Roman"/>
          <w:sz w:val="24"/>
          <w:szCs w:val="24"/>
        </w:rPr>
      </w:pPr>
      <w:r w:rsidRPr="004375AC">
        <w:rPr>
          <w:rFonts w:ascii="Times New Roman" w:hAnsi="Times New Roman"/>
          <w:sz w:val="24"/>
          <w:szCs w:val="24"/>
        </w:rPr>
        <w:t xml:space="preserve"> </w:t>
      </w:r>
    </w:p>
    <w:p w:rsidR="00274CCE" w:rsidRPr="004375AC" w:rsidRDefault="00274CCE" w:rsidP="00274CCE">
      <w:pPr>
        <w:pStyle w:val="Heading2"/>
        <w:rPr>
          <w:szCs w:val="24"/>
          <w:lang w:val="en-US"/>
        </w:rPr>
      </w:pPr>
      <w:bookmarkStart w:id="23" w:name="_Toc375573218"/>
      <w:bookmarkStart w:id="24" w:name="_Toc421567527"/>
      <w:bookmarkStart w:id="25" w:name="_Toc404350668"/>
      <w:r w:rsidRPr="004375AC">
        <w:rPr>
          <w:szCs w:val="24"/>
        </w:rPr>
        <w:t>B.</w:t>
      </w:r>
      <w:r w:rsidRPr="004375AC">
        <w:rPr>
          <w:szCs w:val="24"/>
        </w:rPr>
        <w:tab/>
      </w:r>
      <w:bookmarkEnd w:id="23"/>
      <w:r w:rsidR="005E7538" w:rsidRPr="004375AC">
        <w:rPr>
          <w:szCs w:val="24"/>
          <w:lang w:val="en-US"/>
        </w:rPr>
        <w:t>Threshold for Reporting</w:t>
      </w:r>
      <w:bookmarkEnd w:id="24"/>
      <w:bookmarkEnd w:id="25"/>
    </w:p>
    <w:p w:rsidR="00274CCE" w:rsidRPr="004375AC" w:rsidRDefault="00274CCE" w:rsidP="00274CCE">
      <w:pPr>
        <w:pStyle w:val="Heading2"/>
        <w:rPr>
          <w:szCs w:val="24"/>
        </w:rPr>
      </w:pP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As noted above, outsourcing</w:t>
      </w:r>
      <w:r w:rsidR="005678CB" w:rsidRPr="004375AC">
        <w:rPr>
          <w:rFonts w:ascii="Times New Roman" w:hAnsi="Times New Roman"/>
          <w:sz w:val="24"/>
          <w:szCs w:val="24"/>
        </w:rPr>
        <w:t xml:space="preserve"> facilities</w:t>
      </w:r>
      <w:r w:rsidRPr="004375AC">
        <w:rPr>
          <w:rFonts w:ascii="Times New Roman" w:hAnsi="Times New Roman"/>
          <w:sz w:val="24"/>
          <w:szCs w:val="24"/>
        </w:rPr>
        <w:t xml:space="preserve"> must submit to FDA reports of </w:t>
      </w:r>
      <w:r w:rsidR="00922092" w:rsidRPr="004375AC">
        <w:rPr>
          <w:rFonts w:ascii="Times New Roman" w:hAnsi="Times New Roman"/>
          <w:sz w:val="24"/>
          <w:szCs w:val="24"/>
        </w:rPr>
        <w:t>all</w:t>
      </w:r>
      <w:r w:rsidRPr="004375AC">
        <w:rPr>
          <w:rFonts w:ascii="Times New Roman" w:hAnsi="Times New Roman"/>
          <w:sz w:val="24"/>
          <w:szCs w:val="24"/>
        </w:rPr>
        <w:t xml:space="preserve"> </w:t>
      </w:r>
      <w:r w:rsidR="006C5A5E" w:rsidRPr="004375AC">
        <w:rPr>
          <w:rFonts w:ascii="Times New Roman" w:hAnsi="Times New Roman"/>
          <w:sz w:val="24"/>
          <w:szCs w:val="24"/>
        </w:rPr>
        <w:t>serious</w:t>
      </w:r>
      <w:r w:rsidR="00A1657A" w:rsidRPr="004375AC">
        <w:rPr>
          <w:rFonts w:ascii="Times New Roman" w:hAnsi="Times New Roman"/>
          <w:sz w:val="24"/>
          <w:szCs w:val="24"/>
        </w:rPr>
        <w:t>,</w:t>
      </w:r>
      <w:r w:rsidR="006C5A5E" w:rsidRPr="004375AC">
        <w:rPr>
          <w:rFonts w:ascii="Times New Roman" w:hAnsi="Times New Roman"/>
          <w:sz w:val="24"/>
          <w:szCs w:val="24"/>
        </w:rPr>
        <w:t xml:space="preserve"> </w:t>
      </w:r>
      <w:r w:rsidR="00891776" w:rsidRPr="004375AC">
        <w:rPr>
          <w:rFonts w:ascii="Times New Roman" w:hAnsi="Times New Roman"/>
          <w:sz w:val="24"/>
          <w:szCs w:val="24"/>
        </w:rPr>
        <w:t xml:space="preserve">unexpected </w:t>
      </w:r>
      <w:r w:rsidR="006C5A5E" w:rsidRPr="004375AC">
        <w:rPr>
          <w:rFonts w:ascii="Times New Roman" w:hAnsi="Times New Roman"/>
          <w:sz w:val="24"/>
          <w:szCs w:val="24"/>
        </w:rPr>
        <w:t xml:space="preserve">adverse </w:t>
      </w:r>
      <w:r w:rsidR="00AE3893" w:rsidRPr="004375AC">
        <w:rPr>
          <w:rFonts w:ascii="Times New Roman" w:hAnsi="Times New Roman"/>
          <w:sz w:val="24"/>
          <w:szCs w:val="24"/>
        </w:rPr>
        <w:t>events</w:t>
      </w:r>
      <w:r w:rsidR="00891776" w:rsidRPr="004375AC">
        <w:rPr>
          <w:rFonts w:ascii="Times New Roman" w:hAnsi="Times New Roman"/>
          <w:sz w:val="24"/>
          <w:szCs w:val="24"/>
        </w:rPr>
        <w:t xml:space="preserve"> associated with their compounded prescription drugs</w:t>
      </w:r>
      <w:r w:rsidRPr="004375AC">
        <w:rPr>
          <w:rFonts w:ascii="Times New Roman" w:hAnsi="Times New Roman"/>
          <w:sz w:val="24"/>
          <w:szCs w:val="24"/>
        </w:rPr>
        <w:t>.</w:t>
      </w:r>
      <w:r w:rsidR="00746493" w:rsidRPr="004375AC">
        <w:rPr>
          <w:rStyle w:val="FootnoteReference"/>
          <w:sz w:val="24"/>
          <w:szCs w:val="24"/>
        </w:rPr>
        <w:footnoteReference w:id="19"/>
      </w:r>
      <w:r w:rsidRPr="004375AC">
        <w:rPr>
          <w:rFonts w:ascii="Times New Roman" w:hAnsi="Times New Roman"/>
          <w:sz w:val="24"/>
          <w:szCs w:val="24"/>
        </w:rPr>
        <w:t xml:space="preserve"> </w:t>
      </w:r>
    </w:p>
    <w:p w:rsidR="00274CCE" w:rsidRPr="004375AC" w:rsidRDefault="00274CCE" w:rsidP="00274CCE">
      <w:pPr>
        <w:rPr>
          <w:rFonts w:ascii="Times New Roman" w:hAnsi="Times New Roman"/>
          <w:sz w:val="24"/>
          <w:szCs w:val="24"/>
        </w:rPr>
      </w:pP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When considering any </w:t>
      </w:r>
      <w:r w:rsidR="00B12F2D" w:rsidRPr="004375AC">
        <w:rPr>
          <w:rFonts w:ascii="Times New Roman" w:hAnsi="Times New Roman"/>
          <w:sz w:val="24"/>
          <w:szCs w:val="24"/>
        </w:rPr>
        <w:t xml:space="preserve">adverse </w:t>
      </w:r>
      <w:r w:rsidR="00435E85" w:rsidRPr="004375AC">
        <w:rPr>
          <w:rFonts w:ascii="Times New Roman" w:hAnsi="Times New Roman"/>
          <w:sz w:val="24"/>
          <w:szCs w:val="24"/>
        </w:rPr>
        <w:t>drug experience</w:t>
      </w:r>
      <w:r w:rsidR="00B12F2D" w:rsidRPr="004375AC">
        <w:rPr>
          <w:rFonts w:ascii="Times New Roman" w:hAnsi="Times New Roman"/>
          <w:sz w:val="24"/>
          <w:szCs w:val="24"/>
        </w:rPr>
        <w:t xml:space="preserve"> </w:t>
      </w:r>
      <w:r w:rsidRPr="004375AC">
        <w:rPr>
          <w:rFonts w:ascii="Times New Roman" w:hAnsi="Times New Roman"/>
          <w:sz w:val="24"/>
          <w:szCs w:val="24"/>
        </w:rPr>
        <w:t>for submission to FDA in a</w:t>
      </w:r>
      <w:r w:rsidR="00435E85" w:rsidRPr="004375AC">
        <w:rPr>
          <w:rFonts w:ascii="Times New Roman" w:hAnsi="Times New Roman"/>
          <w:sz w:val="24"/>
          <w:szCs w:val="24"/>
        </w:rPr>
        <w:t xml:space="preserve"> report</w:t>
      </w:r>
      <w:r w:rsidRPr="004375AC">
        <w:rPr>
          <w:rFonts w:ascii="Times New Roman" w:hAnsi="Times New Roman"/>
          <w:sz w:val="24"/>
          <w:szCs w:val="24"/>
        </w:rPr>
        <w:t xml:space="preserve">, after receiving information about the </w:t>
      </w:r>
      <w:r w:rsidR="00435E85" w:rsidRPr="004375AC">
        <w:rPr>
          <w:rFonts w:ascii="Times New Roman" w:hAnsi="Times New Roman"/>
          <w:sz w:val="24"/>
          <w:szCs w:val="24"/>
        </w:rPr>
        <w:t>adverse drug experience</w:t>
      </w:r>
      <w:r w:rsidRPr="004375AC">
        <w:rPr>
          <w:rFonts w:ascii="Times New Roman" w:hAnsi="Times New Roman"/>
          <w:sz w:val="24"/>
          <w:szCs w:val="24"/>
        </w:rPr>
        <w:t xml:space="preserve">, </w:t>
      </w:r>
      <w:r w:rsidR="005A56A6" w:rsidRPr="004375AC">
        <w:rPr>
          <w:rFonts w:ascii="Times New Roman" w:hAnsi="Times New Roman"/>
          <w:sz w:val="24"/>
          <w:szCs w:val="24"/>
        </w:rPr>
        <w:t xml:space="preserve">an </w:t>
      </w:r>
      <w:r w:rsidRPr="004375AC">
        <w:rPr>
          <w:rFonts w:ascii="Times New Roman" w:hAnsi="Times New Roman"/>
          <w:sz w:val="24"/>
          <w:szCs w:val="24"/>
        </w:rPr>
        <w:t>outsourcing facilit</w:t>
      </w:r>
      <w:r w:rsidR="005A56A6" w:rsidRPr="004375AC">
        <w:rPr>
          <w:rFonts w:ascii="Times New Roman" w:hAnsi="Times New Roman"/>
          <w:sz w:val="24"/>
          <w:szCs w:val="24"/>
        </w:rPr>
        <w:t>y</w:t>
      </w:r>
      <w:r w:rsidRPr="004375AC">
        <w:rPr>
          <w:rFonts w:ascii="Times New Roman" w:hAnsi="Times New Roman"/>
          <w:sz w:val="24"/>
          <w:szCs w:val="24"/>
        </w:rPr>
        <w:t xml:space="preserve"> should actively investigate the </w:t>
      </w:r>
      <w:r w:rsidR="005A56A6" w:rsidRPr="004375AC">
        <w:rPr>
          <w:rFonts w:ascii="Times New Roman" w:hAnsi="Times New Roman"/>
          <w:sz w:val="24"/>
          <w:szCs w:val="24"/>
        </w:rPr>
        <w:t xml:space="preserve">following </w:t>
      </w:r>
      <w:r w:rsidRPr="004375AC">
        <w:rPr>
          <w:rFonts w:ascii="Times New Roman" w:hAnsi="Times New Roman"/>
          <w:sz w:val="24"/>
          <w:szCs w:val="24"/>
        </w:rPr>
        <w:t>four data elements</w:t>
      </w:r>
      <w:r w:rsidR="005A56A6" w:rsidRPr="004375AC">
        <w:rPr>
          <w:rFonts w:ascii="Times New Roman" w:hAnsi="Times New Roman"/>
          <w:sz w:val="24"/>
          <w:szCs w:val="24"/>
        </w:rPr>
        <w:t>, which are</w:t>
      </w:r>
      <w:r w:rsidRPr="004375AC">
        <w:rPr>
          <w:rFonts w:ascii="Times New Roman" w:hAnsi="Times New Roman"/>
          <w:sz w:val="24"/>
          <w:szCs w:val="24"/>
        </w:rPr>
        <w:t xml:space="preserve"> described in greater detail </w:t>
      </w:r>
      <w:r w:rsidR="005A56A6" w:rsidRPr="004375AC">
        <w:rPr>
          <w:rFonts w:ascii="Times New Roman" w:hAnsi="Times New Roman"/>
          <w:sz w:val="24"/>
          <w:szCs w:val="24"/>
        </w:rPr>
        <w:t>later in this section</w:t>
      </w:r>
      <w:r w:rsidRPr="004375AC">
        <w:rPr>
          <w:rFonts w:ascii="Times New Roman" w:hAnsi="Times New Roman"/>
          <w:sz w:val="24"/>
          <w:szCs w:val="24"/>
        </w:rPr>
        <w:t>:</w:t>
      </w: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 </w:t>
      </w:r>
    </w:p>
    <w:p w:rsidR="00274CCE" w:rsidRPr="004375AC" w:rsidRDefault="00274CCE" w:rsidP="00963D2B">
      <w:pPr>
        <w:numPr>
          <w:ilvl w:val="0"/>
          <w:numId w:val="3"/>
        </w:numPr>
        <w:tabs>
          <w:tab w:val="left" w:pos="840"/>
        </w:tabs>
        <w:ind w:left="810" w:right="-20"/>
        <w:rPr>
          <w:rFonts w:ascii="Times New Roman" w:hAnsi="Times New Roman"/>
          <w:sz w:val="24"/>
          <w:szCs w:val="24"/>
        </w:rPr>
      </w:pPr>
      <w:r w:rsidRPr="004375AC">
        <w:rPr>
          <w:rFonts w:ascii="Times New Roman" w:hAnsi="Times New Roman"/>
          <w:sz w:val="24"/>
          <w:szCs w:val="24"/>
        </w:rPr>
        <w:t>An identifia</w:t>
      </w:r>
      <w:r w:rsidRPr="004375AC">
        <w:rPr>
          <w:rFonts w:ascii="Times New Roman" w:hAnsi="Times New Roman"/>
          <w:spacing w:val="-1"/>
          <w:sz w:val="24"/>
          <w:szCs w:val="24"/>
        </w:rPr>
        <w:t>b</w:t>
      </w:r>
      <w:r w:rsidRPr="004375AC">
        <w:rPr>
          <w:rFonts w:ascii="Times New Roman" w:hAnsi="Times New Roman"/>
          <w:sz w:val="24"/>
          <w:szCs w:val="24"/>
        </w:rPr>
        <w:t xml:space="preserve">le patient </w:t>
      </w:r>
    </w:p>
    <w:p w:rsidR="00274CCE" w:rsidRPr="004375AC" w:rsidRDefault="00274CCE" w:rsidP="00963D2B">
      <w:pPr>
        <w:numPr>
          <w:ilvl w:val="0"/>
          <w:numId w:val="3"/>
        </w:numPr>
        <w:tabs>
          <w:tab w:val="left" w:pos="840"/>
        </w:tabs>
        <w:ind w:left="810" w:right="-20"/>
        <w:rPr>
          <w:rFonts w:ascii="Times New Roman" w:hAnsi="Times New Roman"/>
          <w:sz w:val="24"/>
          <w:szCs w:val="24"/>
        </w:rPr>
      </w:pPr>
      <w:r w:rsidRPr="004375AC">
        <w:rPr>
          <w:rFonts w:ascii="Times New Roman" w:hAnsi="Times New Roman"/>
          <w:sz w:val="24"/>
          <w:szCs w:val="24"/>
        </w:rPr>
        <w:t>An identifia</w:t>
      </w:r>
      <w:r w:rsidRPr="004375AC">
        <w:rPr>
          <w:rFonts w:ascii="Times New Roman" w:hAnsi="Times New Roman"/>
          <w:spacing w:val="-1"/>
          <w:sz w:val="24"/>
          <w:szCs w:val="24"/>
        </w:rPr>
        <w:t>b</w:t>
      </w:r>
      <w:r w:rsidRPr="004375AC">
        <w:rPr>
          <w:rFonts w:ascii="Times New Roman" w:hAnsi="Times New Roman"/>
          <w:sz w:val="24"/>
          <w:szCs w:val="24"/>
        </w:rPr>
        <w:t>le rep</w:t>
      </w:r>
      <w:r w:rsidRPr="004375AC">
        <w:rPr>
          <w:rFonts w:ascii="Times New Roman" w:hAnsi="Times New Roman"/>
          <w:spacing w:val="-1"/>
          <w:sz w:val="24"/>
          <w:szCs w:val="24"/>
        </w:rPr>
        <w:t>o</w:t>
      </w:r>
      <w:r w:rsidRPr="004375AC">
        <w:rPr>
          <w:rFonts w:ascii="Times New Roman" w:hAnsi="Times New Roman"/>
          <w:sz w:val="24"/>
          <w:szCs w:val="24"/>
        </w:rPr>
        <w:t xml:space="preserve">rter </w:t>
      </w:r>
    </w:p>
    <w:p w:rsidR="00274CCE" w:rsidRPr="004375AC" w:rsidRDefault="00274CCE" w:rsidP="00963D2B">
      <w:pPr>
        <w:numPr>
          <w:ilvl w:val="0"/>
          <w:numId w:val="3"/>
        </w:numPr>
        <w:tabs>
          <w:tab w:val="left" w:pos="840"/>
        </w:tabs>
        <w:ind w:left="810" w:right="-20"/>
        <w:rPr>
          <w:rFonts w:ascii="Times New Roman" w:hAnsi="Times New Roman"/>
          <w:sz w:val="24"/>
          <w:szCs w:val="24"/>
        </w:rPr>
      </w:pPr>
      <w:r w:rsidRPr="004375AC">
        <w:rPr>
          <w:rFonts w:ascii="Times New Roman" w:hAnsi="Times New Roman"/>
          <w:sz w:val="24"/>
          <w:szCs w:val="24"/>
        </w:rPr>
        <w:t xml:space="preserve">A suspect </w:t>
      </w:r>
      <w:r w:rsidRPr="004375AC">
        <w:rPr>
          <w:rFonts w:ascii="Times New Roman" w:hAnsi="Times New Roman"/>
          <w:spacing w:val="-1"/>
          <w:sz w:val="24"/>
          <w:szCs w:val="24"/>
        </w:rPr>
        <w:t>dr</w:t>
      </w:r>
      <w:r w:rsidRPr="004375AC">
        <w:rPr>
          <w:rFonts w:ascii="Times New Roman" w:hAnsi="Times New Roman"/>
          <w:sz w:val="24"/>
          <w:szCs w:val="24"/>
        </w:rPr>
        <w:t>ug</w:t>
      </w:r>
    </w:p>
    <w:p w:rsidR="00274CCE" w:rsidRPr="004375AC" w:rsidRDefault="00274CCE" w:rsidP="00963D2B">
      <w:pPr>
        <w:numPr>
          <w:ilvl w:val="0"/>
          <w:numId w:val="3"/>
        </w:numPr>
        <w:tabs>
          <w:tab w:val="left" w:pos="840"/>
        </w:tabs>
        <w:ind w:left="810" w:right="-20"/>
        <w:rPr>
          <w:rFonts w:ascii="Times New Roman" w:hAnsi="Times New Roman"/>
          <w:sz w:val="24"/>
          <w:szCs w:val="24"/>
        </w:rPr>
      </w:pPr>
      <w:r w:rsidRPr="004375AC">
        <w:rPr>
          <w:rFonts w:ascii="Times New Roman" w:hAnsi="Times New Roman"/>
          <w:sz w:val="24"/>
          <w:szCs w:val="24"/>
        </w:rPr>
        <w:t>A</w:t>
      </w:r>
      <w:r w:rsidR="00305E62" w:rsidRPr="004375AC">
        <w:rPr>
          <w:rFonts w:ascii="Times New Roman" w:hAnsi="Times New Roman"/>
          <w:sz w:val="24"/>
          <w:szCs w:val="24"/>
        </w:rPr>
        <w:t xml:space="preserve"> serious</w:t>
      </w:r>
      <w:r w:rsidRPr="004375AC">
        <w:rPr>
          <w:rFonts w:ascii="Times New Roman" w:hAnsi="Times New Roman"/>
          <w:sz w:val="24"/>
          <w:szCs w:val="24"/>
        </w:rPr>
        <w:t xml:space="preserve"> a</w:t>
      </w:r>
      <w:r w:rsidRPr="004375AC">
        <w:rPr>
          <w:rFonts w:ascii="Times New Roman" w:hAnsi="Times New Roman"/>
          <w:spacing w:val="-1"/>
          <w:sz w:val="24"/>
          <w:szCs w:val="24"/>
        </w:rPr>
        <w:t>d</w:t>
      </w:r>
      <w:r w:rsidRPr="004375AC">
        <w:rPr>
          <w:rFonts w:ascii="Times New Roman" w:hAnsi="Times New Roman"/>
          <w:sz w:val="24"/>
          <w:szCs w:val="24"/>
        </w:rPr>
        <w:t>verse e</w:t>
      </w:r>
      <w:r w:rsidRPr="004375AC">
        <w:rPr>
          <w:rFonts w:ascii="Times New Roman" w:hAnsi="Times New Roman"/>
          <w:spacing w:val="-1"/>
          <w:sz w:val="24"/>
          <w:szCs w:val="24"/>
        </w:rPr>
        <w:t>v</w:t>
      </w:r>
      <w:r w:rsidRPr="004375AC">
        <w:rPr>
          <w:rFonts w:ascii="Times New Roman" w:hAnsi="Times New Roman"/>
          <w:sz w:val="24"/>
          <w:szCs w:val="24"/>
        </w:rPr>
        <w:t>ent</w:t>
      </w:r>
    </w:p>
    <w:p w:rsidR="00274CCE" w:rsidRPr="004375AC" w:rsidRDefault="00274CCE" w:rsidP="00274CCE">
      <w:pPr>
        <w:tabs>
          <w:tab w:val="left" w:pos="840"/>
        </w:tabs>
        <w:ind w:right="-20"/>
        <w:rPr>
          <w:rFonts w:ascii="Times New Roman" w:hAnsi="Times New Roman"/>
          <w:sz w:val="24"/>
          <w:szCs w:val="24"/>
        </w:rPr>
      </w:pPr>
    </w:p>
    <w:p w:rsidR="00274CCE" w:rsidRPr="004375AC" w:rsidRDefault="00274CCE" w:rsidP="006C5A5E">
      <w:pPr>
        <w:widowControl w:val="0"/>
        <w:ind w:right="40"/>
        <w:rPr>
          <w:rFonts w:ascii="Times New Roman" w:hAnsi="Times New Roman"/>
          <w:sz w:val="24"/>
          <w:szCs w:val="24"/>
        </w:rPr>
      </w:pPr>
      <w:r w:rsidRPr="004375AC">
        <w:rPr>
          <w:rFonts w:ascii="Times New Roman" w:hAnsi="Times New Roman"/>
          <w:sz w:val="24"/>
          <w:szCs w:val="24"/>
        </w:rPr>
        <w:t>Although</w:t>
      </w:r>
      <w:r w:rsidR="005A56A6" w:rsidRPr="004375AC">
        <w:rPr>
          <w:rFonts w:ascii="Times New Roman" w:hAnsi="Times New Roman"/>
          <w:sz w:val="24"/>
          <w:szCs w:val="24"/>
        </w:rPr>
        <w:t xml:space="preserve"> an</w:t>
      </w:r>
      <w:r w:rsidRPr="004375AC">
        <w:rPr>
          <w:rFonts w:ascii="Times New Roman" w:hAnsi="Times New Roman"/>
          <w:sz w:val="24"/>
          <w:szCs w:val="24"/>
        </w:rPr>
        <w:t xml:space="preserve"> outsourcing facilit</w:t>
      </w:r>
      <w:r w:rsidR="005A56A6" w:rsidRPr="004375AC">
        <w:rPr>
          <w:rFonts w:ascii="Times New Roman" w:hAnsi="Times New Roman"/>
          <w:sz w:val="24"/>
          <w:szCs w:val="24"/>
        </w:rPr>
        <w:t>y</w:t>
      </w:r>
      <w:r w:rsidRPr="004375AC">
        <w:rPr>
          <w:rFonts w:ascii="Times New Roman" w:hAnsi="Times New Roman"/>
          <w:sz w:val="24"/>
          <w:szCs w:val="24"/>
        </w:rPr>
        <w:t xml:space="preserve"> should actively seek</w:t>
      </w:r>
      <w:r w:rsidR="005A56A6" w:rsidRPr="004375AC">
        <w:rPr>
          <w:rFonts w:ascii="Times New Roman" w:hAnsi="Times New Roman"/>
          <w:sz w:val="24"/>
          <w:szCs w:val="24"/>
        </w:rPr>
        <w:t xml:space="preserve"> to obtain each of</w:t>
      </w:r>
      <w:r w:rsidRPr="004375AC">
        <w:rPr>
          <w:rFonts w:ascii="Times New Roman" w:hAnsi="Times New Roman"/>
          <w:sz w:val="24"/>
          <w:szCs w:val="24"/>
        </w:rPr>
        <w:t xml:space="preserve"> these four data elements, the facility must submit the </w:t>
      </w:r>
      <w:r w:rsidR="00435E85" w:rsidRPr="004375AC">
        <w:rPr>
          <w:rFonts w:ascii="Times New Roman" w:hAnsi="Times New Roman"/>
          <w:sz w:val="24"/>
          <w:szCs w:val="24"/>
        </w:rPr>
        <w:t>report as a</w:t>
      </w:r>
      <w:r w:rsidR="00AE3893" w:rsidRPr="004375AC">
        <w:rPr>
          <w:rFonts w:ascii="Times New Roman" w:hAnsi="Times New Roman"/>
          <w:sz w:val="24"/>
          <w:szCs w:val="24"/>
        </w:rPr>
        <w:t xml:space="preserve"> </w:t>
      </w:r>
      <w:r w:rsidR="00A1657A" w:rsidRPr="004375AC">
        <w:rPr>
          <w:rFonts w:ascii="Times New Roman" w:hAnsi="Times New Roman"/>
          <w:i/>
          <w:sz w:val="24"/>
          <w:szCs w:val="24"/>
        </w:rPr>
        <w:t>15-day</w:t>
      </w:r>
      <w:r w:rsidR="00A1657A" w:rsidRPr="004375AC">
        <w:rPr>
          <w:rFonts w:ascii="Times New Roman" w:hAnsi="Times New Roman"/>
          <w:sz w:val="24"/>
          <w:szCs w:val="24"/>
        </w:rPr>
        <w:t xml:space="preserve"> “</w:t>
      </w:r>
      <w:r w:rsidR="00A1657A" w:rsidRPr="004375AC">
        <w:rPr>
          <w:rFonts w:ascii="Times New Roman" w:hAnsi="Times New Roman"/>
          <w:i/>
          <w:sz w:val="24"/>
          <w:szCs w:val="24"/>
        </w:rPr>
        <w:t>A</w:t>
      </w:r>
      <w:r w:rsidR="00AE3893" w:rsidRPr="004375AC">
        <w:rPr>
          <w:rFonts w:ascii="Times New Roman" w:hAnsi="Times New Roman"/>
          <w:i/>
          <w:sz w:val="24"/>
          <w:szCs w:val="24"/>
        </w:rPr>
        <w:t>lert report</w:t>
      </w:r>
      <w:r w:rsidR="00A1657A" w:rsidRPr="004375AC">
        <w:rPr>
          <w:rFonts w:ascii="Times New Roman" w:hAnsi="Times New Roman"/>
          <w:i/>
          <w:sz w:val="24"/>
          <w:szCs w:val="24"/>
        </w:rPr>
        <w:t>”</w:t>
      </w:r>
      <w:r w:rsidRPr="004375AC">
        <w:rPr>
          <w:rFonts w:ascii="Times New Roman" w:hAnsi="Times New Roman"/>
          <w:sz w:val="24"/>
          <w:szCs w:val="24"/>
        </w:rPr>
        <w:t xml:space="preserve"> to FDA </w:t>
      </w:r>
      <w:r w:rsidR="00746493" w:rsidRPr="004375AC">
        <w:rPr>
          <w:rFonts w:ascii="Times New Roman" w:hAnsi="Times New Roman"/>
          <w:sz w:val="24"/>
          <w:szCs w:val="24"/>
        </w:rPr>
        <w:t xml:space="preserve">as soon as possible, but </w:t>
      </w:r>
      <w:r w:rsidRPr="004375AC">
        <w:rPr>
          <w:rFonts w:ascii="Times New Roman" w:hAnsi="Times New Roman"/>
          <w:sz w:val="24"/>
          <w:szCs w:val="24"/>
        </w:rPr>
        <w:t xml:space="preserve">no later than 15 calendar days after first receiving </w:t>
      </w:r>
      <w:r w:rsidR="005A56A6" w:rsidRPr="004375AC">
        <w:rPr>
          <w:rFonts w:ascii="Times New Roman" w:hAnsi="Times New Roman"/>
          <w:sz w:val="24"/>
          <w:szCs w:val="24"/>
        </w:rPr>
        <w:t>information about</w:t>
      </w:r>
      <w:r w:rsidRPr="004375AC">
        <w:rPr>
          <w:rFonts w:ascii="Times New Roman" w:hAnsi="Times New Roman"/>
          <w:sz w:val="24"/>
          <w:szCs w:val="24"/>
        </w:rPr>
        <w:t xml:space="preserve"> the adverse event</w:t>
      </w:r>
      <w:r w:rsidR="00746493" w:rsidRPr="004375AC">
        <w:rPr>
          <w:rFonts w:ascii="Times New Roman" w:hAnsi="Times New Roman"/>
          <w:sz w:val="24"/>
          <w:szCs w:val="24"/>
        </w:rPr>
        <w:t>.</w:t>
      </w:r>
      <w:r w:rsidR="00746493" w:rsidRPr="004375AC">
        <w:rPr>
          <w:rStyle w:val="FootnoteReference"/>
          <w:sz w:val="24"/>
          <w:szCs w:val="24"/>
        </w:rPr>
        <w:footnoteReference w:id="20"/>
      </w:r>
      <w:r w:rsidR="00746493" w:rsidRPr="004375AC">
        <w:rPr>
          <w:rFonts w:ascii="Times New Roman" w:hAnsi="Times New Roman"/>
          <w:sz w:val="24"/>
          <w:szCs w:val="24"/>
        </w:rPr>
        <w:t xml:space="preserve">  </w:t>
      </w:r>
      <w:r w:rsidR="00746493" w:rsidRPr="004375AC">
        <w:rPr>
          <w:rFonts w:ascii="Times New Roman" w:hAnsi="Times New Roman"/>
          <w:b/>
          <w:sz w:val="24"/>
          <w:szCs w:val="24"/>
        </w:rPr>
        <w:t xml:space="preserve">Reports </w:t>
      </w:r>
      <w:r w:rsidR="00746493" w:rsidRPr="004375AC">
        <w:rPr>
          <w:rFonts w:ascii="Times New Roman" w:hAnsi="Times New Roman"/>
          <w:b/>
          <w:sz w:val="24"/>
          <w:szCs w:val="24"/>
        </w:rPr>
        <w:lastRenderedPageBreak/>
        <w:t>should be submitted</w:t>
      </w:r>
      <w:r w:rsidRPr="004375AC">
        <w:rPr>
          <w:rFonts w:ascii="Times New Roman" w:hAnsi="Times New Roman"/>
          <w:b/>
          <w:sz w:val="24"/>
          <w:szCs w:val="24"/>
        </w:rPr>
        <w:t xml:space="preserve"> </w:t>
      </w:r>
      <w:r w:rsidR="00963D2B" w:rsidRPr="004375AC">
        <w:rPr>
          <w:rFonts w:ascii="Times New Roman" w:hAnsi="Times New Roman"/>
          <w:b/>
          <w:sz w:val="24"/>
          <w:szCs w:val="24"/>
        </w:rPr>
        <w:t>as long as</w:t>
      </w:r>
      <w:r w:rsidRPr="004375AC">
        <w:rPr>
          <w:rFonts w:ascii="Times New Roman" w:hAnsi="Times New Roman"/>
          <w:b/>
          <w:sz w:val="24"/>
          <w:szCs w:val="24"/>
        </w:rPr>
        <w:t xml:space="preserve"> the </w:t>
      </w:r>
      <w:r w:rsidR="005A56A6" w:rsidRPr="004375AC">
        <w:rPr>
          <w:rFonts w:ascii="Times New Roman" w:hAnsi="Times New Roman"/>
          <w:b/>
          <w:sz w:val="24"/>
          <w:szCs w:val="24"/>
        </w:rPr>
        <w:t xml:space="preserve">outsourcing </w:t>
      </w:r>
      <w:r w:rsidRPr="004375AC">
        <w:rPr>
          <w:rFonts w:ascii="Times New Roman" w:hAnsi="Times New Roman"/>
          <w:b/>
          <w:sz w:val="24"/>
          <w:szCs w:val="24"/>
        </w:rPr>
        <w:t>facility has information on at least</w:t>
      </w:r>
      <w:r w:rsidR="005A56A6" w:rsidRPr="004375AC">
        <w:rPr>
          <w:rFonts w:ascii="Times New Roman" w:hAnsi="Times New Roman"/>
          <w:b/>
          <w:sz w:val="24"/>
          <w:szCs w:val="24"/>
        </w:rPr>
        <w:t xml:space="preserve"> </w:t>
      </w:r>
      <w:r w:rsidRPr="004375AC">
        <w:rPr>
          <w:rFonts w:ascii="Times New Roman" w:hAnsi="Times New Roman"/>
          <w:b/>
          <w:sz w:val="24"/>
          <w:szCs w:val="24"/>
        </w:rPr>
        <w:t>the suspect drug and the adverse event.</w:t>
      </w:r>
      <w:r w:rsidRPr="004375AC">
        <w:rPr>
          <w:rFonts w:ascii="Times New Roman" w:hAnsi="Times New Roman"/>
          <w:sz w:val="24"/>
          <w:szCs w:val="24"/>
        </w:rPr>
        <w:t xml:space="preserve">  </w:t>
      </w:r>
    </w:p>
    <w:p w:rsidR="00274CCE" w:rsidRPr="004375AC" w:rsidRDefault="00274CCE" w:rsidP="006C5A5E">
      <w:pPr>
        <w:autoSpaceDE w:val="0"/>
        <w:autoSpaceDN w:val="0"/>
        <w:adjustRightInd w:val="0"/>
        <w:jc w:val="center"/>
        <w:rPr>
          <w:rFonts w:ascii="Times New Roman" w:hAnsi="Times New Roman"/>
          <w:sz w:val="24"/>
          <w:szCs w:val="24"/>
        </w:rPr>
      </w:pPr>
    </w:p>
    <w:p w:rsidR="005A56A6" w:rsidRPr="004375AC" w:rsidRDefault="00274CCE" w:rsidP="005A56A6">
      <w:pPr>
        <w:rPr>
          <w:rFonts w:ascii="Times New Roman" w:hAnsi="Times New Roman"/>
          <w:sz w:val="24"/>
          <w:szCs w:val="24"/>
        </w:rPr>
      </w:pPr>
      <w:r w:rsidRPr="004375AC">
        <w:rPr>
          <w:rFonts w:ascii="Times New Roman" w:hAnsi="Times New Roman"/>
          <w:sz w:val="24"/>
          <w:szCs w:val="24"/>
        </w:rPr>
        <w:t xml:space="preserve">The </w:t>
      </w:r>
      <w:r w:rsidR="005A56A6" w:rsidRPr="004375AC">
        <w:rPr>
          <w:rFonts w:ascii="Times New Roman" w:hAnsi="Times New Roman"/>
          <w:sz w:val="24"/>
          <w:szCs w:val="24"/>
        </w:rPr>
        <w:t xml:space="preserve">outsourcing </w:t>
      </w:r>
      <w:r w:rsidRPr="004375AC">
        <w:rPr>
          <w:rFonts w:ascii="Times New Roman" w:hAnsi="Times New Roman"/>
          <w:sz w:val="24"/>
          <w:szCs w:val="24"/>
        </w:rPr>
        <w:t xml:space="preserve">facility must also promptly investigate adverse events that are the subject of a </w:t>
      </w:r>
      <w:r w:rsidR="00B12F2D" w:rsidRPr="004375AC">
        <w:rPr>
          <w:rFonts w:ascii="Times New Roman" w:hAnsi="Times New Roman"/>
          <w:sz w:val="24"/>
          <w:szCs w:val="24"/>
        </w:rPr>
        <w:t xml:space="preserve">15-day </w:t>
      </w:r>
      <w:r w:rsidR="00435E85" w:rsidRPr="004375AC">
        <w:rPr>
          <w:rFonts w:ascii="Times New Roman" w:hAnsi="Times New Roman"/>
          <w:sz w:val="24"/>
          <w:szCs w:val="24"/>
        </w:rPr>
        <w:t>“</w:t>
      </w:r>
      <w:r w:rsidR="00B12F2D" w:rsidRPr="004375AC">
        <w:rPr>
          <w:rFonts w:ascii="Times New Roman" w:hAnsi="Times New Roman"/>
          <w:sz w:val="24"/>
          <w:szCs w:val="24"/>
        </w:rPr>
        <w:t>Alert report</w:t>
      </w:r>
      <w:r w:rsidR="005F4984">
        <w:rPr>
          <w:rFonts w:ascii="Times New Roman" w:hAnsi="Times New Roman"/>
          <w:sz w:val="24"/>
          <w:szCs w:val="24"/>
        </w:rPr>
        <w:t>.</w:t>
      </w:r>
      <w:r w:rsidR="00435E85" w:rsidRPr="004375AC">
        <w:rPr>
          <w:rFonts w:ascii="Times New Roman" w:hAnsi="Times New Roman"/>
          <w:sz w:val="24"/>
          <w:szCs w:val="24"/>
        </w:rPr>
        <w:t>”</w:t>
      </w:r>
      <w:r w:rsidR="0076745C" w:rsidRPr="004375AC">
        <w:rPr>
          <w:rStyle w:val="FootnoteReference"/>
          <w:sz w:val="24"/>
          <w:szCs w:val="24"/>
        </w:rPr>
        <w:footnoteReference w:id="21"/>
      </w:r>
      <w:r w:rsidRPr="004375AC">
        <w:rPr>
          <w:rFonts w:ascii="Times New Roman" w:hAnsi="Times New Roman"/>
          <w:sz w:val="24"/>
          <w:szCs w:val="24"/>
        </w:rPr>
        <w:t xml:space="preserve"> </w:t>
      </w:r>
      <w:r w:rsidR="005A56A6" w:rsidRPr="004375AC">
        <w:rPr>
          <w:rFonts w:ascii="Times New Roman" w:hAnsi="Times New Roman"/>
          <w:sz w:val="24"/>
          <w:szCs w:val="24"/>
        </w:rPr>
        <w:t xml:space="preserve"> </w:t>
      </w:r>
      <w:r w:rsidRPr="004375AC">
        <w:rPr>
          <w:rFonts w:ascii="Times New Roman" w:hAnsi="Times New Roman"/>
          <w:sz w:val="24"/>
          <w:szCs w:val="24"/>
        </w:rPr>
        <w:t xml:space="preserve">If the </w:t>
      </w:r>
      <w:r w:rsidR="005A56A6" w:rsidRPr="004375AC">
        <w:rPr>
          <w:rFonts w:ascii="Times New Roman" w:hAnsi="Times New Roman"/>
          <w:sz w:val="24"/>
          <w:szCs w:val="24"/>
        </w:rPr>
        <w:t xml:space="preserve">outsourcing </w:t>
      </w:r>
      <w:r w:rsidRPr="004375AC">
        <w:rPr>
          <w:rFonts w:ascii="Times New Roman" w:hAnsi="Times New Roman"/>
          <w:sz w:val="24"/>
          <w:szCs w:val="24"/>
        </w:rPr>
        <w:t>facility was not able to include all four of the</w:t>
      </w:r>
      <w:r w:rsidR="005A56A6" w:rsidRPr="004375AC">
        <w:rPr>
          <w:rFonts w:ascii="Times New Roman" w:hAnsi="Times New Roman"/>
          <w:sz w:val="24"/>
          <w:szCs w:val="24"/>
        </w:rPr>
        <w:t xml:space="preserve"> data </w:t>
      </w:r>
      <w:r w:rsidRPr="004375AC">
        <w:rPr>
          <w:rFonts w:ascii="Times New Roman" w:hAnsi="Times New Roman"/>
          <w:sz w:val="24"/>
          <w:szCs w:val="24"/>
        </w:rPr>
        <w:t>elements in its initial report, it should exercise due diligence to obtain information about any of the remaining elements</w:t>
      </w:r>
      <w:r w:rsidR="0011490C">
        <w:rPr>
          <w:rFonts w:ascii="Times New Roman" w:hAnsi="Times New Roman"/>
          <w:sz w:val="24"/>
          <w:szCs w:val="24"/>
        </w:rPr>
        <w:t xml:space="preserve"> and should keep records</w:t>
      </w:r>
      <w:r w:rsidR="00612ED2">
        <w:rPr>
          <w:rFonts w:ascii="Times New Roman" w:hAnsi="Times New Roman"/>
          <w:sz w:val="24"/>
          <w:szCs w:val="24"/>
        </w:rPr>
        <w:t xml:space="preserve"> of</w:t>
      </w:r>
      <w:r w:rsidR="0011490C">
        <w:rPr>
          <w:rFonts w:ascii="Times New Roman" w:hAnsi="Times New Roman"/>
          <w:sz w:val="24"/>
          <w:szCs w:val="24"/>
        </w:rPr>
        <w:t xml:space="preserve"> its efforts to obtain this </w:t>
      </w:r>
      <w:r w:rsidR="00A42BF2">
        <w:rPr>
          <w:rFonts w:ascii="Times New Roman" w:hAnsi="Times New Roman"/>
          <w:sz w:val="24"/>
          <w:szCs w:val="24"/>
        </w:rPr>
        <w:t xml:space="preserve">and other relevant </w:t>
      </w:r>
      <w:r w:rsidR="0011490C">
        <w:rPr>
          <w:rFonts w:ascii="Times New Roman" w:hAnsi="Times New Roman"/>
          <w:sz w:val="24"/>
          <w:szCs w:val="24"/>
        </w:rPr>
        <w:t xml:space="preserve">information (e.g., dates of discussions with the reporter to determine how many patients experienced a particular adverse event or dates of discussions with a healthcare facility to obtain contact information for </w:t>
      </w:r>
      <w:r w:rsidR="0011490C" w:rsidRPr="004375AC">
        <w:rPr>
          <w:rFonts w:ascii="Times New Roman" w:hAnsi="Times New Roman"/>
          <w:sz w:val="24"/>
          <w:szCs w:val="24"/>
        </w:rPr>
        <w:t xml:space="preserve">an identifiable person who purports to have knowledge about the patient, adverse event, </w:t>
      </w:r>
      <w:r w:rsidR="0065117E">
        <w:rPr>
          <w:rFonts w:ascii="Times New Roman" w:hAnsi="Times New Roman"/>
          <w:sz w:val="24"/>
          <w:szCs w:val="24"/>
        </w:rPr>
        <w:t>or</w:t>
      </w:r>
      <w:r w:rsidR="0011490C" w:rsidRPr="004375AC">
        <w:rPr>
          <w:rFonts w:ascii="Times New Roman" w:hAnsi="Times New Roman"/>
          <w:sz w:val="24"/>
          <w:szCs w:val="24"/>
        </w:rPr>
        <w:t xml:space="preserve"> drug involved</w:t>
      </w:r>
      <w:r w:rsidR="0011490C">
        <w:rPr>
          <w:rFonts w:ascii="Times New Roman" w:hAnsi="Times New Roman"/>
          <w:sz w:val="24"/>
          <w:szCs w:val="24"/>
        </w:rPr>
        <w:t>)</w:t>
      </w:r>
      <w:r w:rsidRPr="004375AC">
        <w:rPr>
          <w:rFonts w:ascii="Times New Roman" w:hAnsi="Times New Roman"/>
          <w:sz w:val="24"/>
          <w:szCs w:val="24"/>
        </w:rPr>
        <w:t xml:space="preserve">. </w:t>
      </w:r>
      <w:r w:rsidR="005A56A6" w:rsidRPr="004375AC">
        <w:rPr>
          <w:rFonts w:ascii="Times New Roman" w:hAnsi="Times New Roman"/>
          <w:sz w:val="24"/>
          <w:szCs w:val="24"/>
        </w:rPr>
        <w:t xml:space="preserve"> </w:t>
      </w:r>
      <w:r w:rsidRPr="004375AC">
        <w:rPr>
          <w:rFonts w:ascii="Times New Roman" w:hAnsi="Times New Roman"/>
          <w:sz w:val="24"/>
          <w:szCs w:val="24"/>
        </w:rPr>
        <w:t xml:space="preserve">Additionally, the </w:t>
      </w:r>
      <w:r w:rsidR="005A56A6" w:rsidRPr="004375AC">
        <w:rPr>
          <w:rFonts w:ascii="Times New Roman" w:hAnsi="Times New Roman"/>
          <w:sz w:val="24"/>
          <w:szCs w:val="24"/>
        </w:rPr>
        <w:t xml:space="preserve">outsourcing </w:t>
      </w:r>
      <w:r w:rsidRPr="004375AC">
        <w:rPr>
          <w:rFonts w:ascii="Times New Roman" w:hAnsi="Times New Roman"/>
          <w:sz w:val="24"/>
          <w:szCs w:val="24"/>
        </w:rPr>
        <w:t>facility should report new information it obtains regarding</w:t>
      </w:r>
      <w:r w:rsidR="005A56A6" w:rsidRPr="004375AC">
        <w:rPr>
          <w:rFonts w:ascii="Times New Roman" w:hAnsi="Times New Roman"/>
          <w:sz w:val="24"/>
          <w:szCs w:val="24"/>
        </w:rPr>
        <w:t xml:space="preserve"> data </w:t>
      </w:r>
      <w:r w:rsidRPr="004375AC">
        <w:rPr>
          <w:rFonts w:ascii="Times New Roman" w:hAnsi="Times New Roman"/>
          <w:sz w:val="24"/>
          <w:szCs w:val="24"/>
        </w:rPr>
        <w:t>elements listed in its initial report whe</w:t>
      </w:r>
      <w:r w:rsidR="001F13EC" w:rsidRPr="004375AC">
        <w:rPr>
          <w:rFonts w:ascii="Times New Roman" w:hAnsi="Times New Roman"/>
          <w:sz w:val="24"/>
          <w:szCs w:val="24"/>
        </w:rPr>
        <w:t>n</w:t>
      </w:r>
      <w:r w:rsidRPr="004375AC">
        <w:rPr>
          <w:rFonts w:ascii="Times New Roman" w:hAnsi="Times New Roman"/>
          <w:sz w:val="24"/>
          <w:szCs w:val="24"/>
        </w:rPr>
        <w:t xml:space="preserve"> the information could assist FDA in investigating an adverse event.</w:t>
      </w:r>
      <w:r w:rsidR="005A56A6" w:rsidRPr="004375AC">
        <w:rPr>
          <w:rFonts w:ascii="Times New Roman" w:hAnsi="Times New Roman"/>
          <w:sz w:val="24"/>
          <w:szCs w:val="24"/>
        </w:rPr>
        <w:t xml:space="preserve">  If additional information is not obtainable, the outsourcing facility should maintain records of the steps that were taken to attempt to seek the additional information.</w:t>
      </w:r>
      <w:r w:rsidR="006C5A5E" w:rsidRPr="004375AC">
        <w:rPr>
          <w:rStyle w:val="FootnoteReference"/>
          <w:sz w:val="24"/>
          <w:szCs w:val="24"/>
        </w:rPr>
        <w:footnoteReference w:id="22"/>
      </w:r>
      <w:r w:rsidR="005A56A6" w:rsidRPr="004375AC">
        <w:rPr>
          <w:rFonts w:ascii="Times New Roman" w:hAnsi="Times New Roman"/>
          <w:sz w:val="24"/>
          <w:szCs w:val="24"/>
        </w:rPr>
        <w:t xml:space="preserve"> </w:t>
      </w:r>
    </w:p>
    <w:p w:rsidR="00274CCE" w:rsidRPr="004375AC" w:rsidRDefault="00274CCE" w:rsidP="00274CCE">
      <w:pPr>
        <w:autoSpaceDE w:val="0"/>
        <w:autoSpaceDN w:val="0"/>
        <w:adjustRightInd w:val="0"/>
        <w:rPr>
          <w:rFonts w:ascii="Times New Roman" w:hAnsi="Times New Roman"/>
          <w:sz w:val="24"/>
          <w:szCs w:val="24"/>
        </w:rPr>
      </w:pPr>
    </w:p>
    <w:p w:rsidR="00274CCE"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A</w:t>
      </w:r>
      <w:r w:rsidR="005A56A6" w:rsidRPr="004375AC">
        <w:rPr>
          <w:rFonts w:ascii="Times New Roman" w:hAnsi="Times New Roman"/>
          <w:sz w:val="24"/>
          <w:szCs w:val="24"/>
        </w:rPr>
        <w:t>n outsourcing</w:t>
      </w:r>
      <w:r w:rsidRPr="004375AC">
        <w:rPr>
          <w:rFonts w:ascii="Times New Roman" w:hAnsi="Times New Roman"/>
          <w:sz w:val="24"/>
          <w:szCs w:val="24"/>
        </w:rPr>
        <w:t xml:space="preserve"> facility must submit a follow-up report within 15 calendar days of receipt of new information about the adverse event, or as requested by FDA</w:t>
      </w:r>
      <w:r w:rsidR="005A56A6" w:rsidRPr="004375AC">
        <w:rPr>
          <w:rFonts w:ascii="Times New Roman" w:hAnsi="Times New Roman"/>
          <w:sz w:val="24"/>
          <w:szCs w:val="24"/>
        </w:rPr>
        <w:t>.</w:t>
      </w:r>
      <w:r w:rsidR="00D10504" w:rsidRPr="004375AC">
        <w:rPr>
          <w:rStyle w:val="FootnoteReference"/>
          <w:sz w:val="24"/>
          <w:szCs w:val="24"/>
        </w:rPr>
        <w:footnoteReference w:id="23"/>
      </w:r>
      <w:r w:rsidRPr="004375AC">
        <w:rPr>
          <w:rFonts w:ascii="Times New Roman" w:hAnsi="Times New Roman"/>
          <w:sz w:val="24"/>
          <w:szCs w:val="24"/>
        </w:rPr>
        <w:t xml:space="preserve">  </w:t>
      </w:r>
    </w:p>
    <w:p w:rsidR="00A5405F" w:rsidRPr="00040464" w:rsidRDefault="00A5405F" w:rsidP="00040464">
      <w:pPr>
        <w:autoSpaceDE w:val="0"/>
        <w:autoSpaceDN w:val="0"/>
        <w:adjustRightInd w:val="0"/>
        <w:rPr>
          <w:rFonts w:ascii="Times New Roman" w:hAnsi="Times New Roman"/>
          <w:sz w:val="24"/>
        </w:rPr>
      </w:pPr>
    </w:p>
    <w:p w:rsidR="00A5405F" w:rsidRPr="00A5405F" w:rsidRDefault="00A5405F" w:rsidP="00274CCE">
      <w:pPr>
        <w:autoSpaceDE w:val="0"/>
        <w:autoSpaceDN w:val="0"/>
        <w:adjustRightInd w:val="0"/>
        <w:rPr>
          <w:rFonts w:ascii="Times New Roman" w:hAnsi="Times New Roman"/>
          <w:b/>
          <w:sz w:val="24"/>
          <w:szCs w:val="24"/>
        </w:rPr>
      </w:pPr>
      <w:r w:rsidRPr="00A5405F">
        <w:rPr>
          <w:rFonts w:ascii="Times New Roman" w:hAnsi="Times New Roman"/>
          <w:b/>
          <w:sz w:val="24"/>
          <w:szCs w:val="24"/>
        </w:rPr>
        <w:t xml:space="preserve">C. Description of the </w:t>
      </w:r>
      <w:r w:rsidR="004A6046">
        <w:rPr>
          <w:rFonts w:ascii="Times New Roman" w:hAnsi="Times New Roman"/>
          <w:b/>
          <w:sz w:val="24"/>
          <w:szCs w:val="24"/>
        </w:rPr>
        <w:t>F</w:t>
      </w:r>
      <w:r w:rsidRPr="00A5405F">
        <w:rPr>
          <w:rFonts w:ascii="Times New Roman" w:hAnsi="Times New Roman"/>
          <w:b/>
          <w:sz w:val="24"/>
          <w:szCs w:val="24"/>
        </w:rPr>
        <w:t xml:space="preserve">our </w:t>
      </w:r>
      <w:r w:rsidR="004A6046">
        <w:rPr>
          <w:rFonts w:ascii="Times New Roman" w:hAnsi="Times New Roman"/>
          <w:b/>
          <w:sz w:val="24"/>
          <w:szCs w:val="24"/>
        </w:rPr>
        <w:t>D</w:t>
      </w:r>
      <w:r w:rsidRPr="00A5405F">
        <w:rPr>
          <w:rFonts w:ascii="Times New Roman" w:hAnsi="Times New Roman"/>
          <w:b/>
          <w:sz w:val="24"/>
          <w:szCs w:val="24"/>
        </w:rPr>
        <w:t xml:space="preserve">ata </w:t>
      </w:r>
      <w:r w:rsidR="004A6046">
        <w:rPr>
          <w:rFonts w:ascii="Times New Roman" w:hAnsi="Times New Roman"/>
          <w:b/>
          <w:sz w:val="24"/>
          <w:szCs w:val="24"/>
        </w:rPr>
        <w:t>E</w:t>
      </w:r>
      <w:r w:rsidRPr="00A5405F">
        <w:rPr>
          <w:rFonts w:ascii="Times New Roman" w:hAnsi="Times New Roman"/>
          <w:b/>
          <w:sz w:val="24"/>
          <w:szCs w:val="24"/>
        </w:rPr>
        <w:t>lements</w:t>
      </w:r>
    </w:p>
    <w:p w:rsidR="005A56A6" w:rsidRPr="004375AC" w:rsidRDefault="005A56A6" w:rsidP="006C5A5E">
      <w:pPr>
        <w:rPr>
          <w:rFonts w:ascii="Times New Roman" w:hAnsi="Times New Roman"/>
          <w:lang w:eastAsia="x-none"/>
        </w:rPr>
      </w:pPr>
    </w:p>
    <w:p w:rsidR="00274CCE" w:rsidRPr="004375AC" w:rsidRDefault="00274CCE" w:rsidP="00274CCE">
      <w:pPr>
        <w:pStyle w:val="Heading3"/>
        <w:spacing w:before="0" w:after="0"/>
        <w:rPr>
          <w:szCs w:val="24"/>
        </w:rPr>
      </w:pPr>
      <w:r w:rsidRPr="004375AC">
        <w:rPr>
          <w:szCs w:val="24"/>
        </w:rPr>
        <w:tab/>
      </w:r>
      <w:bookmarkStart w:id="26" w:name="_Toc421567528"/>
      <w:bookmarkStart w:id="27" w:name="_Toc404350669"/>
      <w:r w:rsidRPr="004375AC">
        <w:rPr>
          <w:szCs w:val="24"/>
        </w:rPr>
        <w:t>1.</w:t>
      </w:r>
      <w:r w:rsidRPr="004375AC">
        <w:rPr>
          <w:szCs w:val="24"/>
        </w:rPr>
        <w:tab/>
        <w:t>Identifiable Patient</w:t>
      </w:r>
      <w:bookmarkEnd w:id="26"/>
      <w:bookmarkEnd w:id="27"/>
    </w:p>
    <w:p w:rsidR="00274CCE" w:rsidRPr="004375AC" w:rsidRDefault="00274CCE" w:rsidP="00274CCE">
      <w:pPr>
        <w:rPr>
          <w:rFonts w:ascii="Times New Roman" w:hAnsi="Times New Roman"/>
          <w:sz w:val="24"/>
          <w:szCs w:val="24"/>
        </w:rPr>
      </w:pPr>
    </w:p>
    <w:p w:rsidR="00274CCE" w:rsidRPr="004375AC" w:rsidRDefault="00274CCE" w:rsidP="00274CCE">
      <w:pPr>
        <w:pStyle w:val="CM32"/>
        <w:rPr>
          <w:color w:val="000000"/>
        </w:rPr>
      </w:pPr>
      <w:r w:rsidRPr="004375AC">
        <w:rPr>
          <w:color w:val="000000"/>
        </w:rPr>
        <w:t>To have an identifiable patient, there should be enough information to indicate the existence of a specific patient.</w:t>
      </w:r>
      <w:r w:rsidR="002003AD" w:rsidRPr="004375AC">
        <w:rPr>
          <w:color w:val="000000"/>
        </w:rPr>
        <w:t xml:space="preserve"> </w:t>
      </w:r>
      <w:r w:rsidRPr="004375AC">
        <w:rPr>
          <w:color w:val="000000"/>
        </w:rPr>
        <w:t xml:space="preserve"> One or more of the following </w:t>
      </w:r>
      <w:r w:rsidR="001458F2" w:rsidRPr="004375AC">
        <w:rPr>
          <w:color w:val="000000"/>
        </w:rPr>
        <w:t>would</w:t>
      </w:r>
      <w:r w:rsidRPr="004375AC">
        <w:rPr>
          <w:color w:val="000000"/>
        </w:rPr>
        <w:t xml:space="preserve"> qualif</w:t>
      </w:r>
      <w:r w:rsidR="001458F2" w:rsidRPr="004375AC">
        <w:rPr>
          <w:color w:val="000000"/>
        </w:rPr>
        <w:t>y</w:t>
      </w:r>
      <w:r w:rsidRPr="004375AC">
        <w:rPr>
          <w:color w:val="000000"/>
        </w:rPr>
        <w:t xml:space="preserve"> a patient as identifiable: </w:t>
      </w:r>
    </w:p>
    <w:p w:rsidR="00274CCE" w:rsidRPr="004375AC" w:rsidRDefault="00274CCE" w:rsidP="00274CCE">
      <w:pPr>
        <w:pStyle w:val="CM32"/>
        <w:rPr>
          <w:color w:val="000000"/>
        </w:rPr>
      </w:pPr>
    </w:p>
    <w:p w:rsidR="00274CCE" w:rsidRPr="004375AC" w:rsidRDefault="00274CCE" w:rsidP="00274CCE">
      <w:pPr>
        <w:pStyle w:val="CM32"/>
        <w:numPr>
          <w:ilvl w:val="0"/>
          <w:numId w:val="6"/>
        </w:numPr>
        <w:rPr>
          <w:color w:val="000000"/>
        </w:rPr>
      </w:pPr>
      <w:r w:rsidRPr="004375AC">
        <w:rPr>
          <w:color w:val="000000"/>
        </w:rPr>
        <w:t>Age or age category (e.g., adolescent, adult, elderly)</w:t>
      </w:r>
    </w:p>
    <w:p w:rsidR="00274CCE" w:rsidRPr="004375AC" w:rsidRDefault="00274CCE" w:rsidP="00274CCE">
      <w:pPr>
        <w:pStyle w:val="CM32"/>
        <w:numPr>
          <w:ilvl w:val="0"/>
          <w:numId w:val="6"/>
        </w:numPr>
        <w:rPr>
          <w:color w:val="000000"/>
        </w:rPr>
      </w:pPr>
      <w:r w:rsidRPr="004375AC">
        <w:rPr>
          <w:color w:val="000000"/>
        </w:rPr>
        <w:t>Gender</w:t>
      </w:r>
    </w:p>
    <w:p w:rsidR="00274CCE" w:rsidRPr="004375AC" w:rsidRDefault="00274CCE" w:rsidP="00274CCE">
      <w:pPr>
        <w:pStyle w:val="CM32"/>
        <w:numPr>
          <w:ilvl w:val="0"/>
          <w:numId w:val="6"/>
        </w:numPr>
        <w:rPr>
          <w:color w:val="000000"/>
        </w:rPr>
      </w:pPr>
      <w:r w:rsidRPr="004375AC">
        <w:rPr>
          <w:color w:val="000000"/>
        </w:rPr>
        <w:t>Initials</w:t>
      </w:r>
    </w:p>
    <w:p w:rsidR="00274CCE" w:rsidRPr="004375AC" w:rsidRDefault="00274CCE" w:rsidP="00274CCE">
      <w:pPr>
        <w:pStyle w:val="CM32"/>
        <w:numPr>
          <w:ilvl w:val="0"/>
          <w:numId w:val="6"/>
        </w:numPr>
        <w:rPr>
          <w:color w:val="000000"/>
        </w:rPr>
      </w:pPr>
      <w:r w:rsidRPr="004375AC">
        <w:rPr>
          <w:color w:val="000000"/>
        </w:rPr>
        <w:t>Date of birth</w:t>
      </w:r>
    </w:p>
    <w:p w:rsidR="00274CCE" w:rsidRPr="004375AC" w:rsidRDefault="00274CCE" w:rsidP="00274CCE">
      <w:pPr>
        <w:pStyle w:val="CM32"/>
        <w:numPr>
          <w:ilvl w:val="0"/>
          <w:numId w:val="6"/>
        </w:numPr>
        <w:rPr>
          <w:color w:val="000000"/>
        </w:rPr>
      </w:pPr>
      <w:r w:rsidRPr="004375AC">
        <w:rPr>
          <w:color w:val="000000"/>
        </w:rPr>
        <w:t>Name</w:t>
      </w:r>
    </w:p>
    <w:p w:rsidR="00274CCE" w:rsidRPr="004375AC" w:rsidRDefault="00274CCE" w:rsidP="00274CCE">
      <w:pPr>
        <w:pStyle w:val="CM32"/>
        <w:numPr>
          <w:ilvl w:val="0"/>
          <w:numId w:val="6"/>
        </w:numPr>
        <w:rPr>
          <w:color w:val="000000"/>
        </w:rPr>
      </w:pPr>
      <w:r w:rsidRPr="004375AC">
        <w:rPr>
          <w:color w:val="000000"/>
        </w:rPr>
        <w:t xml:space="preserve">Patient identification number  </w:t>
      </w:r>
    </w:p>
    <w:p w:rsidR="00274CCE" w:rsidRPr="004375AC" w:rsidRDefault="00274CCE" w:rsidP="00274CCE">
      <w:pPr>
        <w:pStyle w:val="CM32"/>
        <w:rPr>
          <w:color w:val="000000"/>
        </w:rPr>
      </w:pPr>
    </w:p>
    <w:p w:rsidR="00274CCE" w:rsidRPr="004375AC" w:rsidRDefault="00274CCE" w:rsidP="00274CCE">
      <w:pPr>
        <w:pStyle w:val="CM32"/>
        <w:rPr>
          <w:color w:val="000000"/>
        </w:rPr>
      </w:pPr>
      <w:r w:rsidRPr="004375AC">
        <w:rPr>
          <w:color w:val="000000"/>
        </w:rPr>
        <w:t xml:space="preserve">A report stating that “an elderly woman had anaphylaxis” or “a young man experienced anaphylaxis” would be sufficient.  If a report refers to groups of unknown size, such as “some” or “a few” college students </w:t>
      </w:r>
      <w:r w:rsidR="002003AD" w:rsidRPr="004375AC">
        <w:rPr>
          <w:color w:val="000000"/>
        </w:rPr>
        <w:t xml:space="preserve">had </w:t>
      </w:r>
      <w:r w:rsidRPr="004375AC">
        <w:rPr>
          <w:color w:val="000000"/>
        </w:rPr>
        <w:t xml:space="preserve">anaphylaxis, the outsourcing facility should follow up to find out how many students were involved and submit a separate report to FDA for each student, because each is </w:t>
      </w:r>
      <w:r w:rsidR="002003AD" w:rsidRPr="004375AC">
        <w:rPr>
          <w:color w:val="000000"/>
        </w:rPr>
        <w:t xml:space="preserve">considered to be </w:t>
      </w:r>
      <w:r w:rsidRPr="004375AC">
        <w:rPr>
          <w:color w:val="000000"/>
        </w:rPr>
        <w:t xml:space="preserve">an identifiable patient. </w:t>
      </w:r>
      <w:r w:rsidR="002003AD" w:rsidRPr="004375AC">
        <w:rPr>
          <w:color w:val="000000"/>
        </w:rPr>
        <w:t xml:space="preserve"> </w:t>
      </w:r>
      <w:r w:rsidRPr="004375AC">
        <w:rPr>
          <w:color w:val="000000"/>
        </w:rPr>
        <w:t xml:space="preserve">The outsourcing facility should distinguish each </w:t>
      </w:r>
      <w:r w:rsidR="002003AD" w:rsidRPr="004375AC">
        <w:rPr>
          <w:color w:val="000000"/>
        </w:rPr>
        <w:t xml:space="preserve">identifiable </w:t>
      </w:r>
      <w:r w:rsidRPr="004375AC">
        <w:rPr>
          <w:color w:val="000000"/>
        </w:rPr>
        <w:t xml:space="preserve">patient so that it is clear that each report is not a duplicate report of a single adverse event. </w:t>
      </w:r>
    </w:p>
    <w:p w:rsidR="00274CCE" w:rsidRPr="004375AC" w:rsidRDefault="00274CCE" w:rsidP="00274CCE">
      <w:pPr>
        <w:autoSpaceDE w:val="0"/>
        <w:autoSpaceDN w:val="0"/>
        <w:adjustRightInd w:val="0"/>
        <w:rPr>
          <w:rFonts w:ascii="Times New Roman" w:hAnsi="Times New Roman"/>
          <w:sz w:val="24"/>
          <w:szCs w:val="24"/>
        </w:rPr>
      </w:pP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Patients should not be identified by name or address when reporting to FDA. </w:t>
      </w:r>
      <w:r w:rsidR="002003AD" w:rsidRPr="004375AC">
        <w:rPr>
          <w:rFonts w:ascii="Times New Roman" w:hAnsi="Times New Roman"/>
          <w:sz w:val="24"/>
          <w:szCs w:val="24"/>
        </w:rPr>
        <w:t xml:space="preserve"> </w:t>
      </w:r>
      <w:r w:rsidRPr="004375AC">
        <w:rPr>
          <w:rFonts w:ascii="Times New Roman" w:hAnsi="Times New Roman"/>
          <w:sz w:val="24"/>
          <w:szCs w:val="24"/>
        </w:rPr>
        <w:t xml:space="preserve">Instead, the outsourcing facility should assign a </w:t>
      </w:r>
      <w:r w:rsidR="008E4273" w:rsidRPr="004375AC">
        <w:rPr>
          <w:rFonts w:ascii="Times New Roman" w:hAnsi="Times New Roman"/>
          <w:sz w:val="24"/>
          <w:szCs w:val="24"/>
        </w:rPr>
        <w:t xml:space="preserve">unique </w:t>
      </w:r>
      <w:r w:rsidRPr="004375AC">
        <w:rPr>
          <w:rFonts w:ascii="Times New Roman" w:hAnsi="Times New Roman"/>
          <w:sz w:val="24"/>
          <w:szCs w:val="24"/>
        </w:rPr>
        <w:t>code number for each patient.</w:t>
      </w:r>
      <w:r w:rsidRPr="004375AC">
        <w:rPr>
          <w:rStyle w:val="FootnoteReference"/>
          <w:sz w:val="24"/>
          <w:szCs w:val="24"/>
        </w:rPr>
        <w:footnoteReference w:id="24"/>
      </w: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  </w:t>
      </w:r>
    </w:p>
    <w:p w:rsidR="00274CCE" w:rsidRPr="004375AC" w:rsidRDefault="00274CCE" w:rsidP="00274CCE">
      <w:pPr>
        <w:pStyle w:val="Heading3"/>
        <w:spacing w:before="0" w:after="0"/>
        <w:rPr>
          <w:szCs w:val="24"/>
        </w:rPr>
      </w:pPr>
      <w:r w:rsidRPr="004375AC">
        <w:rPr>
          <w:szCs w:val="24"/>
        </w:rPr>
        <w:tab/>
      </w:r>
      <w:bookmarkStart w:id="28" w:name="_Toc421567529"/>
      <w:bookmarkStart w:id="29" w:name="_Toc404350670"/>
      <w:r w:rsidRPr="004375AC">
        <w:rPr>
          <w:szCs w:val="24"/>
        </w:rPr>
        <w:t>2.</w:t>
      </w:r>
      <w:r w:rsidRPr="004375AC">
        <w:rPr>
          <w:szCs w:val="24"/>
        </w:rPr>
        <w:tab/>
        <w:t>Identifiable Reporter</w:t>
      </w:r>
      <w:bookmarkEnd w:id="28"/>
      <w:bookmarkEnd w:id="29"/>
      <w:r w:rsidRPr="004375AC">
        <w:rPr>
          <w:szCs w:val="24"/>
        </w:rPr>
        <w:t xml:space="preserve"> </w:t>
      </w:r>
    </w:p>
    <w:p w:rsidR="00274CCE" w:rsidRPr="004375AC" w:rsidRDefault="00274CCE" w:rsidP="00274CCE">
      <w:pPr>
        <w:rPr>
          <w:rFonts w:ascii="Times New Roman" w:hAnsi="Times New Roman"/>
          <w:sz w:val="24"/>
          <w:szCs w:val="24"/>
        </w:rPr>
      </w:pPr>
    </w:p>
    <w:p w:rsidR="00135026" w:rsidRPr="004375AC" w:rsidRDefault="00135026" w:rsidP="00135026">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A reporter is a person who initially notifies the outsourcing facility about an adverse event.  An initial reporter can be a patient, consumer, family member, doctor, pharmacist, other health care professional, or other individual.  The outsourcing facility should obtain, if possible, sufficient information to indicate that the reporter is an identifiable person who purports to have knowledge about the patient, adverse event, and drug involved.  One or more of the following </w:t>
      </w:r>
      <w:r w:rsidR="001458F2" w:rsidRPr="004375AC">
        <w:rPr>
          <w:rFonts w:ascii="Times New Roman" w:hAnsi="Times New Roman"/>
          <w:sz w:val="24"/>
          <w:szCs w:val="24"/>
        </w:rPr>
        <w:t>would</w:t>
      </w:r>
      <w:r w:rsidRPr="004375AC">
        <w:rPr>
          <w:rFonts w:ascii="Times New Roman" w:hAnsi="Times New Roman"/>
          <w:sz w:val="24"/>
          <w:szCs w:val="24"/>
        </w:rPr>
        <w:t xml:space="preserve"> qualif</w:t>
      </w:r>
      <w:r w:rsidR="001458F2" w:rsidRPr="004375AC">
        <w:rPr>
          <w:rFonts w:ascii="Times New Roman" w:hAnsi="Times New Roman"/>
          <w:sz w:val="24"/>
          <w:szCs w:val="24"/>
        </w:rPr>
        <w:t>y</w:t>
      </w:r>
      <w:r w:rsidRPr="004375AC">
        <w:rPr>
          <w:rFonts w:ascii="Times New Roman" w:hAnsi="Times New Roman"/>
          <w:sz w:val="24"/>
          <w:szCs w:val="24"/>
        </w:rPr>
        <w:t xml:space="preserve"> a reporter as identifiable: </w:t>
      </w:r>
    </w:p>
    <w:p w:rsidR="00274CCE" w:rsidRPr="004375AC" w:rsidRDefault="00274CCE" w:rsidP="00274CCE">
      <w:pPr>
        <w:autoSpaceDE w:val="0"/>
        <w:autoSpaceDN w:val="0"/>
        <w:adjustRightInd w:val="0"/>
        <w:rPr>
          <w:rFonts w:ascii="Times New Roman" w:hAnsi="Times New Roman"/>
          <w:sz w:val="24"/>
          <w:szCs w:val="24"/>
        </w:rPr>
      </w:pPr>
    </w:p>
    <w:p w:rsidR="00274CCE" w:rsidRPr="004375AC" w:rsidRDefault="00274CCE" w:rsidP="006C5A5E">
      <w:pPr>
        <w:numPr>
          <w:ilvl w:val="0"/>
          <w:numId w:val="7"/>
        </w:numPr>
        <w:autoSpaceDE w:val="0"/>
        <w:autoSpaceDN w:val="0"/>
        <w:adjustRightInd w:val="0"/>
        <w:rPr>
          <w:rFonts w:ascii="Times New Roman" w:hAnsi="Times New Roman"/>
          <w:sz w:val="24"/>
          <w:szCs w:val="24"/>
        </w:rPr>
      </w:pPr>
      <w:r w:rsidRPr="004375AC">
        <w:rPr>
          <w:rFonts w:ascii="Times New Roman" w:hAnsi="Times New Roman"/>
          <w:sz w:val="24"/>
          <w:szCs w:val="24"/>
        </w:rPr>
        <w:t>A personal identifier (e.g., name)</w:t>
      </w:r>
    </w:p>
    <w:p w:rsidR="00274CCE" w:rsidRPr="004375AC" w:rsidRDefault="00274CCE" w:rsidP="006C5A5E">
      <w:pPr>
        <w:numPr>
          <w:ilvl w:val="0"/>
          <w:numId w:val="7"/>
        </w:numPr>
        <w:autoSpaceDE w:val="0"/>
        <w:autoSpaceDN w:val="0"/>
        <w:adjustRightInd w:val="0"/>
        <w:rPr>
          <w:rFonts w:ascii="Times New Roman" w:hAnsi="Times New Roman"/>
          <w:sz w:val="24"/>
          <w:szCs w:val="24"/>
        </w:rPr>
      </w:pPr>
      <w:r w:rsidRPr="004375AC">
        <w:rPr>
          <w:rFonts w:ascii="Times New Roman" w:hAnsi="Times New Roman"/>
          <w:sz w:val="24"/>
          <w:szCs w:val="24"/>
        </w:rPr>
        <w:t>A professional identifier (e.g., doctor, nurse, pharmacist)</w:t>
      </w:r>
    </w:p>
    <w:p w:rsidR="00274CCE" w:rsidRPr="004375AC" w:rsidRDefault="00274CCE" w:rsidP="006C5A5E">
      <w:pPr>
        <w:numPr>
          <w:ilvl w:val="0"/>
          <w:numId w:val="7"/>
        </w:numPr>
        <w:autoSpaceDE w:val="0"/>
        <w:autoSpaceDN w:val="0"/>
        <w:adjustRightInd w:val="0"/>
        <w:rPr>
          <w:rFonts w:ascii="Times New Roman" w:hAnsi="Times New Roman"/>
          <w:sz w:val="24"/>
          <w:szCs w:val="24"/>
        </w:rPr>
      </w:pPr>
      <w:r w:rsidRPr="004375AC">
        <w:rPr>
          <w:rFonts w:ascii="Times New Roman" w:hAnsi="Times New Roman"/>
          <w:sz w:val="24"/>
          <w:szCs w:val="24"/>
        </w:rPr>
        <w:t xml:space="preserve">Contact information (e.g., e-mail address, phone number) </w:t>
      </w:r>
    </w:p>
    <w:p w:rsidR="00274CCE" w:rsidRPr="004375AC" w:rsidRDefault="00274CCE" w:rsidP="00274CCE">
      <w:pPr>
        <w:autoSpaceDE w:val="0"/>
        <w:autoSpaceDN w:val="0"/>
        <w:adjustRightInd w:val="0"/>
        <w:rPr>
          <w:rFonts w:ascii="Times New Roman" w:hAnsi="Times New Roman"/>
          <w:sz w:val="24"/>
          <w:szCs w:val="24"/>
        </w:rPr>
      </w:pP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When possible, the outsourcing facility should attempt to obtain the </w:t>
      </w:r>
      <w:r w:rsidR="00135026" w:rsidRPr="004375AC">
        <w:rPr>
          <w:rFonts w:ascii="Times New Roman" w:hAnsi="Times New Roman"/>
          <w:sz w:val="24"/>
          <w:szCs w:val="24"/>
        </w:rPr>
        <w:t xml:space="preserve">initial </w:t>
      </w:r>
      <w:r w:rsidRPr="004375AC">
        <w:rPr>
          <w:rFonts w:ascii="Times New Roman" w:hAnsi="Times New Roman"/>
          <w:sz w:val="24"/>
          <w:szCs w:val="24"/>
        </w:rPr>
        <w:t>reporter’s contact information so that the outsourcing facility and/or FDA can conduct follow-up</w:t>
      </w:r>
      <w:r w:rsidR="002003AD" w:rsidRPr="004375AC">
        <w:rPr>
          <w:rFonts w:ascii="Times New Roman" w:hAnsi="Times New Roman"/>
          <w:sz w:val="24"/>
          <w:szCs w:val="24"/>
        </w:rPr>
        <w:t xml:space="preserve"> investigations</w:t>
      </w:r>
      <w:r w:rsidRPr="004375AC">
        <w:rPr>
          <w:rFonts w:ascii="Times New Roman" w:hAnsi="Times New Roman"/>
          <w:sz w:val="24"/>
          <w:szCs w:val="24"/>
        </w:rPr>
        <w:t>.  If an identifiable reporter provides contact information, but requests that the outsourcing facility not forward this information to FDA, the outsourcing facility can submit a report to FDA without specific</w:t>
      </w:r>
      <w:r w:rsidR="002003AD" w:rsidRPr="004375AC">
        <w:rPr>
          <w:rFonts w:ascii="Times New Roman" w:hAnsi="Times New Roman"/>
          <w:sz w:val="24"/>
          <w:szCs w:val="24"/>
        </w:rPr>
        <w:t>ally</w:t>
      </w:r>
      <w:r w:rsidRPr="004375AC">
        <w:rPr>
          <w:rFonts w:ascii="Times New Roman" w:hAnsi="Times New Roman"/>
          <w:sz w:val="24"/>
          <w:szCs w:val="24"/>
        </w:rPr>
        <w:t xml:space="preserve"> identif</w:t>
      </w:r>
      <w:r w:rsidR="002003AD" w:rsidRPr="004375AC">
        <w:rPr>
          <w:rFonts w:ascii="Times New Roman" w:hAnsi="Times New Roman"/>
          <w:sz w:val="24"/>
          <w:szCs w:val="24"/>
        </w:rPr>
        <w:t>ying</w:t>
      </w:r>
      <w:r w:rsidRPr="004375AC">
        <w:rPr>
          <w:rFonts w:ascii="Times New Roman" w:hAnsi="Times New Roman"/>
          <w:sz w:val="24"/>
          <w:szCs w:val="24"/>
        </w:rPr>
        <w:t xml:space="preserve"> the reporter by filling </w:t>
      </w:r>
      <w:r w:rsidR="002003AD" w:rsidRPr="004375AC">
        <w:rPr>
          <w:rFonts w:ascii="Times New Roman" w:hAnsi="Times New Roman"/>
          <w:sz w:val="24"/>
          <w:szCs w:val="24"/>
        </w:rPr>
        <w:t xml:space="preserve">out </w:t>
      </w:r>
      <w:r w:rsidRPr="004375AC">
        <w:rPr>
          <w:rFonts w:ascii="Times New Roman" w:hAnsi="Times New Roman"/>
          <w:sz w:val="24"/>
          <w:szCs w:val="24"/>
        </w:rPr>
        <w:t xml:space="preserve">the </w:t>
      </w:r>
      <w:r w:rsidRPr="004375AC">
        <w:rPr>
          <w:rFonts w:ascii="Times New Roman" w:hAnsi="Times New Roman"/>
          <w:i/>
          <w:iCs/>
          <w:sz w:val="24"/>
          <w:szCs w:val="24"/>
        </w:rPr>
        <w:t>reporter field</w:t>
      </w:r>
      <w:r w:rsidRPr="00040464">
        <w:rPr>
          <w:rFonts w:ascii="Times New Roman" w:hAnsi="Times New Roman"/>
          <w:i/>
          <w:sz w:val="24"/>
        </w:rPr>
        <w:t xml:space="preserve"> </w:t>
      </w:r>
      <w:r w:rsidRPr="004375AC">
        <w:rPr>
          <w:rFonts w:ascii="Times New Roman" w:hAnsi="Times New Roman"/>
          <w:sz w:val="24"/>
          <w:szCs w:val="24"/>
        </w:rPr>
        <w:t>with a statement such as “Requested Anonymity.”</w:t>
      </w:r>
    </w:p>
    <w:p w:rsidR="00274CCE" w:rsidRPr="004375AC" w:rsidRDefault="00274CCE" w:rsidP="00274CCE">
      <w:pPr>
        <w:autoSpaceDE w:val="0"/>
        <w:autoSpaceDN w:val="0"/>
        <w:adjustRightInd w:val="0"/>
        <w:rPr>
          <w:rFonts w:ascii="Times New Roman" w:hAnsi="Times New Roman"/>
          <w:sz w:val="24"/>
          <w:szCs w:val="24"/>
        </w:rPr>
      </w:pPr>
    </w:p>
    <w:p w:rsidR="00274CCE" w:rsidRPr="004375AC" w:rsidRDefault="00274CCE" w:rsidP="00274CCE">
      <w:pPr>
        <w:autoSpaceDE w:val="0"/>
        <w:autoSpaceDN w:val="0"/>
        <w:adjustRightInd w:val="0"/>
        <w:rPr>
          <w:rFonts w:ascii="Times New Roman" w:hAnsi="Times New Roman"/>
          <w:color w:val="1F497D"/>
          <w:sz w:val="24"/>
          <w:szCs w:val="24"/>
        </w:rPr>
      </w:pPr>
      <w:r w:rsidRPr="004375AC">
        <w:rPr>
          <w:rFonts w:ascii="Times New Roman" w:hAnsi="Times New Roman"/>
          <w:sz w:val="24"/>
          <w:szCs w:val="24"/>
        </w:rPr>
        <w:t xml:space="preserve">If </w:t>
      </w:r>
      <w:r w:rsidR="00391EC3" w:rsidRPr="004375AC">
        <w:rPr>
          <w:rFonts w:ascii="Times New Roman" w:hAnsi="Times New Roman"/>
          <w:sz w:val="24"/>
          <w:szCs w:val="24"/>
        </w:rPr>
        <w:t xml:space="preserve">an adverse event is reported anonymously to </w:t>
      </w:r>
      <w:r w:rsidRPr="004375AC">
        <w:rPr>
          <w:rFonts w:ascii="Times New Roman" w:hAnsi="Times New Roman"/>
          <w:sz w:val="24"/>
          <w:szCs w:val="24"/>
        </w:rPr>
        <w:t>an outsourcing facility</w:t>
      </w:r>
      <w:r w:rsidR="004C2483" w:rsidRPr="004375AC">
        <w:rPr>
          <w:rFonts w:ascii="Times New Roman" w:hAnsi="Times New Roman"/>
          <w:sz w:val="24"/>
          <w:szCs w:val="24"/>
        </w:rPr>
        <w:t>,</w:t>
      </w:r>
      <w:r w:rsidRPr="004375AC">
        <w:rPr>
          <w:rFonts w:ascii="Times New Roman" w:hAnsi="Times New Roman"/>
          <w:sz w:val="24"/>
          <w:szCs w:val="24"/>
        </w:rPr>
        <w:t xml:space="preserve"> the outsourcing facility should </w:t>
      </w:r>
      <w:r w:rsidR="00C02A0E">
        <w:rPr>
          <w:rFonts w:ascii="Times New Roman" w:hAnsi="Times New Roman"/>
          <w:sz w:val="24"/>
          <w:szCs w:val="24"/>
        </w:rPr>
        <w:t>i</w:t>
      </w:r>
      <w:r w:rsidR="00966A18">
        <w:rPr>
          <w:rFonts w:ascii="Times New Roman" w:hAnsi="Times New Roman"/>
          <w:sz w:val="24"/>
          <w:szCs w:val="24"/>
        </w:rPr>
        <w:t xml:space="preserve">ndicate in the reporter </w:t>
      </w:r>
      <w:r w:rsidR="00C02A0E">
        <w:rPr>
          <w:rFonts w:ascii="Times New Roman" w:hAnsi="Times New Roman"/>
          <w:sz w:val="24"/>
          <w:szCs w:val="24"/>
        </w:rPr>
        <w:t xml:space="preserve">field </w:t>
      </w:r>
      <w:r w:rsidRPr="004375AC">
        <w:rPr>
          <w:rFonts w:ascii="Times New Roman" w:hAnsi="Times New Roman"/>
          <w:sz w:val="24"/>
          <w:szCs w:val="24"/>
        </w:rPr>
        <w:t xml:space="preserve">when submitting the report to FDA that the initial reporter is anonymous.  </w:t>
      </w:r>
    </w:p>
    <w:p w:rsidR="00274CCE" w:rsidRPr="004375AC" w:rsidRDefault="00274CCE" w:rsidP="00274CCE">
      <w:pPr>
        <w:ind w:left="360"/>
        <w:rPr>
          <w:rFonts w:ascii="Times New Roman" w:hAnsi="Times New Roman"/>
          <w:sz w:val="24"/>
          <w:szCs w:val="24"/>
        </w:rPr>
      </w:pPr>
    </w:p>
    <w:p w:rsidR="00274CCE" w:rsidRPr="00040464" w:rsidRDefault="00274CCE" w:rsidP="00274CCE">
      <w:pPr>
        <w:pStyle w:val="Heading3"/>
        <w:spacing w:before="0" w:after="0"/>
        <w:rPr>
          <w:lang w:val="en-US"/>
        </w:rPr>
      </w:pPr>
      <w:r w:rsidRPr="004375AC">
        <w:rPr>
          <w:szCs w:val="24"/>
        </w:rPr>
        <w:tab/>
      </w:r>
      <w:bookmarkStart w:id="30" w:name="_Toc404350671"/>
      <w:bookmarkStart w:id="31" w:name="_Toc421567530"/>
      <w:r w:rsidRPr="004375AC">
        <w:rPr>
          <w:szCs w:val="24"/>
        </w:rPr>
        <w:t>3.</w:t>
      </w:r>
      <w:r w:rsidRPr="004375AC">
        <w:rPr>
          <w:szCs w:val="24"/>
        </w:rPr>
        <w:tab/>
        <w:t>Suspect Drug</w:t>
      </w:r>
      <w:bookmarkEnd w:id="30"/>
      <w:r w:rsidRPr="004375AC">
        <w:rPr>
          <w:szCs w:val="24"/>
        </w:rPr>
        <w:t xml:space="preserve"> </w:t>
      </w:r>
      <w:r w:rsidR="000E155F">
        <w:rPr>
          <w:szCs w:val="24"/>
          <w:lang w:val="en-US"/>
        </w:rPr>
        <w:t>Product</w:t>
      </w:r>
      <w:bookmarkEnd w:id="31"/>
    </w:p>
    <w:p w:rsidR="00274CCE" w:rsidRPr="004375AC" w:rsidRDefault="00274CCE" w:rsidP="00274CCE">
      <w:pPr>
        <w:autoSpaceDE w:val="0"/>
        <w:autoSpaceDN w:val="0"/>
        <w:adjustRightInd w:val="0"/>
        <w:ind w:left="720"/>
        <w:rPr>
          <w:rFonts w:ascii="Times New Roman" w:hAnsi="Times New Roman"/>
          <w:sz w:val="24"/>
          <w:szCs w:val="24"/>
        </w:rPr>
      </w:pPr>
    </w:p>
    <w:p w:rsidR="00894675" w:rsidRPr="004375AC" w:rsidRDefault="00135026"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 xml:space="preserve">A </w:t>
      </w:r>
      <w:r w:rsidRPr="004375AC">
        <w:rPr>
          <w:rFonts w:ascii="Times New Roman" w:hAnsi="Times New Roman"/>
          <w:i/>
          <w:sz w:val="24"/>
          <w:szCs w:val="24"/>
        </w:rPr>
        <w:t>suspect drug product</w:t>
      </w:r>
      <w:r w:rsidRPr="004375AC">
        <w:rPr>
          <w:rFonts w:ascii="Times New Roman" w:hAnsi="Times New Roman"/>
          <w:sz w:val="24"/>
          <w:szCs w:val="24"/>
        </w:rPr>
        <w:t xml:space="preserve"> is one that the initial reporter suspected was associated with the adverse event. </w:t>
      </w:r>
    </w:p>
    <w:p w:rsidR="00894675" w:rsidRPr="004375AC" w:rsidRDefault="00894675" w:rsidP="00274CCE">
      <w:pPr>
        <w:autoSpaceDE w:val="0"/>
        <w:autoSpaceDN w:val="0"/>
        <w:adjustRightInd w:val="0"/>
        <w:rPr>
          <w:rFonts w:ascii="Times New Roman" w:hAnsi="Times New Roman"/>
          <w:sz w:val="24"/>
          <w:szCs w:val="24"/>
        </w:rPr>
      </w:pPr>
    </w:p>
    <w:p w:rsidR="00274CCE"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For reporting purposes, a</w:t>
      </w:r>
      <w:r w:rsidR="00B641ED" w:rsidRPr="004375AC">
        <w:rPr>
          <w:rFonts w:ascii="Times New Roman" w:hAnsi="Times New Roman"/>
          <w:sz w:val="24"/>
          <w:szCs w:val="24"/>
        </w:rPr>
        <w:t>n</w:t>
      </w:r>
      <w:r w:rsidRPr="004375AC">
        <w:rPr>
          <w:rFonts w:ascii="Times New Roman" w:hAnsi="Times New Roman"/>
          <w:sz w:val="24"/>
          <w:szCs w:val="24"/>
        </w:rPr>
        <w:t xml:space="preserve"> adverse event report should describe the known product attributes (e.g., </w:t>
      </w:r>
      <w:r w:rsidR="00B77D8D" w:rsidRPr="004375AC">
        <w:rPr>
          <w:rFonts w:ascii="Times New Roman" w:hAnsi="Times New Roman"/>
          <w:sz w:val="24"/>
          <w:szCs w:val="24"/>
        </w:rPr>
        <w:t xml:space="preserve">active ingredient(s), </w:t>
      </w:r>
      <w:r w:rsidRPr="004375AC">
        <w:rPr>
          <w:rFonts w:ascii="Times New Roman" w:hAnsi="Times New Roman"/>
          <w:sz w:val="24"/>
          <w:szCs w:val="24"/>
        </w:rPr>
        <w:t xml:space="preserve">dosage form, strength, color, lot number).  </w:t>
      </w:r>
      <w:r w:rsidR="00135026" w:rsidRPr="004375AC">
        <w:rPr>
          <w:rFonts w:ascii="Times New Roman" w:hAnsi="Times New Roman"/>
          <w:sz w:val="24"/>
          <w:szCs w:val="24"/>
        </w:rPr>
        <w:t xml:space="preserve">If an adverse event involves multiple suspect drug products that are </w:t>
      </w:r>
      <w:r w:rsidR="00DE5C85" w:rsidRPr="004375AC">
        <w:rPr>
          <w:rFonts w:ascii="Times New Roman" w:hAnsi="Times New Roman"/>
          <w:sz w:val="24"/>
          <w:szCs w:val="24"/>
        </w:rPr>
        <w:t xml:space="preserve">compounded </w:t>
      </w:r>
      <w:r w:rsidR="00135026" w:rsidRPr="004375AC">
        <w:rPr>
          <w:rFonts w:ascii="Times New Roman" w:hAnsi="Times New Roman"/>
          <w:sz w:val="24"/>
          <w:szCs w:val="24"/>
        </w:rPr>
        <w:t>by the same outsourcing facility, the outsourcing facility should submit only one report that notes the drug product considered most suspect by the reporter.  If the reporter views each drug product as equally suspect</w:t>
      </w:r>
      <w:r w:rsidR="004A6046">
        <w:rPr>
          <w:rFonts w:ascii="Times New Roman" w:hAnsi="Times New Roman"/>
          <w:sz w:val="24"/>
          <w:szCs w:val="24"/>
        </w:rPr>
        <w:t xml:space="preserve"> </w:t>
      </w:r>
      <w:r w:rsidR="00135026" w:rsidRPr="004375AC">
        <w:rPr>
          <w:rFonts w:ascii="Times New Roman" w:hAnsi="Times New Roman"/>
          <w:sz w:val="24"/>
          <w:szCs w:val="24"/>
        </w:rPr>
        <w:t xml:space="preserve">the outsourcing facility should submit only one report that lists all of the drug products as suspect.  In all cases, including those where not all of the drug products were made by the outsourcing facility, the report </w:t>
      </w:r>
      <w:r w:rsidR="0065117E">
        <w:rPr>
          <w:rFonts w:ascii="Times New Roman" w:hAnsi="Times New Roman"/>
          <w:sz w:val="24"/>
          <w:szCs w:val="24"/>
        </w:rPr>
        <w:t>sh</w:t>
      </w:r>
      <w:r w:rsidR="00135026" w:rsidRPr="004375AC">
        <w:rPr>
          <w:rFonts w:ascii="Times New Roman" w:hAnsi="Times New Roman"/>
          <w:sz w:val="24"/>
          <w:szCs w:val="24"/>
        </w:rPr>
        <w:t>ould include information on all suspect drug products</w:t>
      </w:r>
      <w:r w:rsidR="00766653">
        <w:rPr>
          <w:rFonts w:ascii="Times New Roman" w:hAnsi="Times New Roman"/>
          <w:sz w:val="24"/>
          <w:szCs w:val="24"/>
        </w:rPr>
        <w:t xml:space="preserve"> of which the outsourcing facility is aware</w:t>
      </w:r>
      <w:r w:rsidR="00135026" w:rsidRPr="004375AC">
        <w:rPr>
          <w:rFonts w:ascii="Times New Roman" w:hAnsi="Times New Roman"/>
          <w:sz w:val="24"/>
          <w:szCs w:val="24"/>
        </w:rPr>
        <w:t xml:space="preserve">. </w:t>
      </w:r>
    </w:p>
    <w:p w:rsidR="00034B18" w:rsidRDefault="00034B18" w:rsidP="00F67AA6">
      <w:pPr>
        <w:autoSpaceDE w:val="0"/>
        <w:autoSpaceDN w:val="0"/>
        <w:adjustRightInd w:val="0"/>
        <w:rPr>
          <w:rFonts w:ascii="Times New Roman" w:hAnsi="Times New Roman"/>
          <w:sz w:val="24"/>
          <w:szCs w:val="24"/>
        </w:rPr>
      </w:pPr>
    </w:p>
    <w:p w:rsidR="00034B18" w:rsidRDefault="00034B18" w:rsidP="00034B18">
      <w:pPr>
        <w:ind w:right="-20"/>
        <w:rPr>
          <w:rFonts w:ascii="Times New Roman" w:hAnsi="Times New Roman"/>
          <w:sz w:val="24"/>
          <w:szCs w:val="24"/>
        </w:rPr>
      </w:pPr>
      <w:r w:rsidRPr="004375AC">
        <w:rPr>
          <w:rFonts w:ascii="Times New Roman" w:hAnsi="Times New Roman"/>
          <w:sz w:val="24"/>
          <w:szCs w:val="24"/>
        </w:rPr>
        <w:t>If</w:t>
      </w:r>
      <w:r w:rsidRPr="004375AC">
        <w:rPr>
          <w:rFonts w:ascii="Times New Roman" w:hAnsi="Times New Roman"/>
          <w:spacing w:val="-2"/>
          <w:sz w:val="24"/>
          <w:szCs w:val="24"/>
        </w:rPr>
        <w:t xml:space="preserve"> the compounded drug product contains m</w:t>
      </w:r>
      <w:r w:rsidRPr="004375AC">
        <w:rPr>
          <w:rFonts w:ascii="Times New Roman" w:hAnsi="Times New Roman"/>
          <w:sz w:val="24"/>
          <w:szCs w:val="24"/>
        </w:rPr>
        <w:t>ulti</w:t>
      </w:r>
      <w:r w:rsidRPr="004375AC">
        <w:rPr>
          <w:rFonts w:ascii="Times New Roman" w:hAnsi="Times New Roman"/>
          <w:spacing w:val="-1"/>
          <w:sz w:val="24"/>
          <w:szCs w:val="24"/>
        </w:rPr>
        <w:t>p</w:t>
      </w:r>
      <w:r w:rsidRPr="004375AC">
        <w:rPr>
          <w:rFonts w:ascii="Times New Roman" w:hAnsi="Times New Roman"/>
          <w:sz w:val="24"/>
          <w:szCs w:val="24"/>
        </w:rPr>
        <w:t>le components (e.g., excipients, drug substances, finished dosage forms), the outsourcing facility should list each component and its manufacturer, if known.  The outsourcing facility should also list</w:t>
      </w:r>
      <w:r>
        <w:rPr>
          <w:rFonts w:ascii="Times New Roman" w:hAnsi="Times New Roman"/>
          <w:sz w:val="24"/>
          <w:szCs w:val="24"/>
        </w:rPr>
        <w:t xml:space="preserve"> </w:t>
      </w:r>
      <w:r w:rsidRPr="004375AC">
        <w:rPr>
          <w:rFonts w:ascii="Times New Roman" w:hAnsi="Times New Roman"/>
          <w:sz w:val="24"/>
          <w:szCs w:val="24"/>
        </w:rPr>
        <w:t xml:space="preserve">any other </w:t>
      </w:r>
      <w:r w:rsidR="00C1200E">
        <w:rPr>
          <w:rFonts w:ascii="Times New Roman" w:hAnsi="Times New Roman"/>
          <w:sz w:val="24"/>
          <w:szCs w:val="24"/>
        </w:rPr>
        <w:t xml:space="preserve">known </w:t>
      </w:r>
      <w:r w:rsidRPr="004375AC">
        <w:rPr>
          <w:rFonts w:ascii="Times New Roman" w:hAnsi="Times New Roman"/>
          <w:sz w:val="24"/>
          <w:szCs w:val="24"/>
        </w:rPr>
        <w:t>medical product(s) the patient was taking at the time he or she experienced the adverse event and the manufacturer of that product(s)</w:t>
      </w:r>
      <w:r>
        <w:rPr>
          <w:rFonts w:ascii="Times New Roman" w:hAnsi="Times New Roman"/>
          <w:sz w:val="24"/>
          <w:szCs w:val="24"/>
        </w:rPr>
        <w:t xml:space="preserve"> (i.e., any concomitant medical products)</w:t>
      </w:r>
      <w:r w:rsidRPr="004375AC">
        <w:rPr>
          <w:rFonts w:ascii="Times New Roman" w:hAnsi="Times New Roman"/>
          <w:sz w:val="24"/>
          <w:szCs w:val="24"/>
        </w:rPr>
        <w:t xml:space="preserve">.   </w:t>
      </w:r>
    </w:p>
    <w:p w:rsidR="00C1200E" w:rsidRDefault="00C1200E" w:rsidP="00034B18">
      <w:pPr>
        <w:ind w:right="-20"/>
        <w:rPr>
          <w:rFonts w:ascii="Times New Roman" w:hAnsi="Times New Roman"/>
          <w:sz w:val="24"/>
          <w:szCs w:val="24"/>
        </w:rPr>
      </w:pPr>
    </w:p>
    <w:p w:rsidR="00C1200E" w:rsidRPr="004375AC" w:rsidRDefault="00C1200E" w:rsidP="00C1200E">
      <w:pPr>
        <w:rPr>
          <w:rFonts w:ascii="Times New Roman" w:hAnsi="Times New Roman"/>
          <w:sz w:val="24"/>
          <w:szCs w:val="24"/>
        </w:rPr>
      </w:pPr>
      <w:r>
        <w:rPr>
          <w:rFonts w:ascii="Times New Roman" w:hAnsi="Times New Roman"/>
          <w:sz w:val="24"/>
          <w:szCs w:val="24"/>
        </w:rPr>
        <w:t xml:space="preserve">The outsourcing facility should include </w:t>
      </w:r>
      <w:r w:rsidR="00040464">
        <w:rPr>
          <w:rFonts w:ascii="Times New Roman" w:hAnsi="Times New Roman"/>
          <w:sz w:val="24"/>
          <w:szCs w:val="24"/>
        </w:rPr>
        <w:t>the</w:t>
      </w:r>
      <w:r>
        <w:rPr>
          <w:rFonts w:ascii="Times New Roman" w:hAnsi="Times New Roman"/>
          <w:sz w:val="24"/>
          <w:szCs w:val="24"/>
        </w:rPr>
        <w:t xml:space="preserve"> information </w:t>
      </w:r>
      <w:r w:rsidR="00040464">
        <w:rPr>
          <w:rFonts w:ascii="Times New Roman" w:hAnsi="Times New Roman"/>
          <w:sz w:val="24"/>
          <w:szCs w:val="24"/>
        </w:rPr>
        <w:t xml:space="preserve">described in this guidance </w:t>
      </w:r>
      <w:r>
        <w:rPr>
          <w:rFonts w:ascii="Times New Roman" w:hAnsi="Times New Roman"/>
          <w:sz w:val="24"/>
          <w:szCs w:val="24"/>
        </w:rPr>
        <w:t>on suspect drug products and concomitant medications of which it is aware</w:t>
      </w:r>
      <w:r w:rsidR="002346D4">
        <w:rPr>
          <w:rFonts w:ascii="Times New Roman" w:hAnsi="Times New Roman"/>
          <w:sz w:val="24"/>
          <w:szCs w:val="24"/>
        </w:rPr>
        <w:t xml:space="preserve"> after exercising due diligence</w:t>
      </w:r>
      <w:r>
        <w:rPr>
          <w:rFonts w:ascii="Times New Roman" w:hAnsi="Times New Roman"/>
          <w:sz w:val="24"/>
          <w:szCs w:val="24"/>
        </w:rPr>
        <w:t xml:space="preserve">.  </w:t>
      </w:r>
      <w:r w:rsidR="00E371E1">
        <w:rPr>
          <w:rFonts w:ascii="Times New Roman" w:hAnsi="Times New Roman"/>
          <w:sz w:val="24"/>
          <w:szCs w:val="24"/>
        </w:rPr>
        <w:t>For example, a</w:t>
      </w:r>
      <w:r>
        <w:rPr>
          <w:rFonts w:ascii="Times New Roman" w:hAnsi="Times New Roman"/>
          <w:sz w:val="24"/>
          <w:szCs w:val="24"/>
        </w:rPr>
        <w:t xml:space="preserve">lthough an outsourcing facility should exercise due diligence to determine any concomitant medical products, FDA </w:t>
      </w:r>
      <w:r w:rsidR="00E371E1">
        <w:rPr>
          <w:rFonts w:ascii="Times New Roman" w:hAnsi="Times New Roman"/>
          <w:sz w:val="24"/>
          <w:szCs w:val="24"/>
        </w:rPr>
        <w:t xml:space="preserve">only expects that it report information about concomitant products that it is able </w:t>
      </w:r>
      <w:r w:rsidR="002346D4">
        <w:rPr>
          <w:rFonts w:ascii="Times New Roman" w:hAnsi="Times New Roman"/>
          <w:sz w:val="24"/>
          <w:szCs w:val="24"/>
        </w:rPr>
        <w:t xml:space="preserve">to obtain from the reporter.  </w:t>
      </w:r>
      <w:r w:rsidR="00E371E1">
        <w:rPr>
          <w:rFonts w:ascii="Times New Roman" w:hAnsi="Times New Roman"/>
          <w:sz w:val="24"/>
          <w:szCs w:val="24"/>
        </w:rPr>
        <w:t>Furthermore, a</w:t>
      </w:r>
      <w:r>
        <w:rPr>
          <w:rFonts w:ascii="Times New Roman" w:hAnsi="Times New Roman"/>
          <w:sz w:val="24"/>
          <w:szCs w:val="24"/>
        </w:rPr>
        <w:t xml:space="preserve">s noted previously, </w:t>
      </w:r>
      <w:r w:rsidRPr="004375AC">
        <w:rPr>
          <w:rFonts w:ascii="Times New Roman" w:hAnsi="Times New Roman"/>
          <w:sz w:val="24"/>
          <w:szCs w:val="24"/>
        </w:rPr>
        <w:t xml:space="preserve">the report or information submitted </w:t>
      </w:r>
      <w:r>
        <w:rPr>
          <w:rFonts w:ascii="Times New Roman" w:hAnsi="Times New Roman"/>
          <w:sz w:val="24"/>
          <w:szCs w:val="24"/>
        </w:rPr>
        <w:t xml:space="preserve">by an outsourcing facility pursuant to section 310.305 </w:t>
      </w:r>
      <w:r w:rsidRPr="004375AC">
        <w:rPr>
          <w:rFonts w:ascii="Times New Roman" w:hAnsi="Times New Roman"/>
          <w:sz w:val="24"/>
          <w:szCs w:val="24"/>
        </w:rPr>
        <w:t>(and any release by FDA of that report or information) does not necessarily reflect a conclusion that the report or information con</w:t>
      </w:r>
      <w:r w:rsidR="002346D4">
        <w:rPr>
          <w:rFonts w:ascii="Times New Roman" w:hAnsi="Times New Roman"/>
          <w:sz w:val="24"/>
          <w:szCs w:val="24"/>
        </w:rPr>
        <w:t>stitutes an admission that the d</w:t>
      </w:r>
      <w:r w:rsidRPr="004375AC">
        <w:rPr>
          <w:rFonts w:ascii="Times New Roman" w:hAnsi="Times New Roman"/>
          <w:sz w:val="24"/>
          <w:szCs w:val="24"/>
        </w:rPr>
        <w:t>rug caused or contributed to an adverse effect.</w:t>
      </w:r>
      <w:r w:rsidRPr="004375AC">
        <w:rPr>
          <w:rStyle w:val="FootnoteReference"/>
          <w:sz w:val="24"/>
          <w:szCs w:val="24"/>
        </w:rPr>
        <w:footnoteReference w:id="25"/>
      </w:r>
      <w:r w:rsidR="00E371E1" w:rsidRPr="00E371E1">
        <w:rPr>
          <w:rFonts w:ascii="Times New Roman" w:hAnsi="Times New Roman"/>
          <w:sz w:val="24"/>
          <w:szCs w:val="24"/>
        </w:rPr>
        <w:t xml:space="preserve"> </w:t>
      </w:r>
      <w:r w:rsidR="00E371E1" w:rsidRPr="00C1200E">
        <w:rPr>
          <w:rFonts w:ascii="Times New Roman" w:hAnsi="Times New Roman"/>
          <w:sz w:val="24"/>
          <w:szCs w:val="24"/>
        </w:rPr>
        <w:t>When investigating</w:t>
      </w:r>
      <w:r w:rsidR="00E371E1">
        <w:rPr>
          <w:rFonts w:ascii="Times New Roman" w:hAnsi="Times New Roman"/>
          <w:sz w:val="24"/>
          <w:szCs w:val="24"/>
        </w:rPr>
        <w:t xml:space="preserve"> the adverse event</w:t>
      </w:r>
      <w:r w:rsidR="00E371E1" w:rsidRPr="00C1200E">
        <w:rPr>
          <w:rFonts w:ascii="Times New Roman" w:hAnsi="Times New Roman"/>
          <w:sz w:val="24"/>
          <w:szCs w:val="24"/>
        </w:rPr>
        <w:t>, FDA consider</w:t>
      </w:r>
      <w:r w:rsidR="002346D4">
        <w:rPr>
          <w:rFonts w:ascii="Times New Roman" w:hAnsi="Times New Roman"/>
          <w:sz w:val="24"/>
          <w:szCs w:val="24"/>
        </w:rPr>
        <w:t>s</w:t>
      </w:r>
      <w:r w:rsidR="00E371E1" w:rsidRPr="00C1200E">
        <w:rPr>
          <w:rFonts w:ascii="Times New Roman" w:hAnsi="Times New Roman"/>
          <w:sz w:val="24"/>
          <w:szCs w:val="24"/>
        </w:rPr>
        <w:t xml:space="preserve"> how the drug was administered, the patient’s medical history, and any other relevant </w:t>
      </w:r>
      <w:r w:rsidR="00E371E1">
        <w:rPr>
          <w:rFonts w:ascii="Times New Roman" w:hAnsi="Times New Roman"/>
          <w:sz w:val="24"/>
          <w:szCs w:val="24"/>
        </w:rPr>
        <w:t>information</w:t>
      </w:r>
      <w:r w:rsidR="00E371E1" w:rsidRPr="00C1200E">
        <w:rPr>
          <w:rFonts w:ascii="Times New Roman" w:hAnsi="Times New Roman"/>
          <w:sz w:val="24"/>
          <w:szCs w:val="24"/>
        </w:rPr>
        <w:t xml:space="preserve">.  </w:t>
      </w:r>
    </w:p>
    <w:p w:rsidR="00C1200E" w:rsidRPr="004375AC" w:rsidRDefault="00C1200E" w:rsidP="00040464">
      <w:pPr>
        <w:ind w:right="-20"/>
        <w:rPr>
          <w:rFonts w:ascii="Times New Roman" w:hAnsi="Times New Roman"/>
          <w:sz w:val="24"/>
          <w:szCs w:val="24"/>
        </w:rPr>
      </w:pPr>
    </w:p>
    <w:p w:rsidR="00034B18" w:rsidRPr="004375AC" w:rsidRDefault="00034B18" w:rsidP="00040464">
      <w:pPr>
        <w:ind w:right="-20"/>
        <w:rPr>
          <w:rFonts w:ascii="Times New Roman" w:hAnsi="Times New Roman"/>
          <w:sz w:val="24"/>
          <w:szCs w:val="24"/>
        </w:rPr>
      </w:pPr>
    </w:p>
    <w:p w:rsidR="00274CCE" w:rsidRPr="004375AC" w:rsidRDefault="00274CCE" w:rsidP="00274CCE">
      <w:pPr>
        <w:pStyle w:val="Heading3"/>
        <w:spacing w:before="0" w:after="0"/>
        <w:rPr>
          <w:szCs w:val="24"/>
        </w:rPr>
      </w:pPr>
      <w:r w:rsidRPr="004375AC">
        <w:rPr>
          <w:szCs w:val="24"/>
        </w:rPr>
        <w:tab/>
      </w:r>
      <w:bookmarkStart w:id="32" w:name="_Toc400777860"/>
      <w:bookmarkStart w:id="33" w:name="_Toc421567531"/>
      <w:bookmarkStart w:id="34" w:name="_Toc404350672"/>
      <w:r w:rsidRPr="004375AC">
        <w:rPr>
          <w:szCs w:val="24"/>
        </w:rPr>
        <w:t>4.</w:t>
      </w:r>
      <w:r w:rsidRPr="004375AC">
        <w:rPr>
          <w:szCs w:val="24"/>
        </w:rPr>
        <w:tab/>
      </w:r>
      <w:r w:rsidR="005D2E14" w:rsidRPr="004375AC">
        <w:rPr>
          <w:szCs w:val="24"/>
          <w:lang w:val="en-US"/>
        </w:rPr>
        <w:t xml:space="preserve">Serious </w:t>
      </w:r>
      <w:r w:rsidRPr="004375AC">
        <w:rPr>
          <w:szCs w:val="24"/>
        </w:rPr>
        <w:t>Adverse Event</w:t>
      </w:r>
      <w:bookmarkEnd w:id="32"/>
      <w:bookmarkEnd w:id="33"/>
      <w:bookmarkEnd w:id="34"/>
      <w:r w:rsidRPr="004375AC">
        <w:rPr>
          <w:szCs w:val="24"/>
        </w:rPr>
        <w:t xml:space="preserve"> </w:t>
      </w:r>
    </w:p>
    <w:p w:rsidR="00274CCE" w:rsidRPr="004375AC" w:rsidRDefault="00274CCE" w:rsidP="00274CCE">
      <w:pPr>
        <w:autoSpaceDE w:val="0"/>
        <w:autoSpaceDN w:val="0"/>
        <w:adjustRightInd w:val="0"/>
        <w:ind w:left="720"/>
        <w:rPr>
          <w:rFonts w:ascii="Times New Roman" w:hAnsi="Times New Roman"/>
          <w:sz w:val="24"/>
          <w:szCs w:val="24"/>
        </w:rPr>
      </w:pPr>
    </w:p>
    <w:p w:rsidR="00135026" w:rsidRPr="004375AC" w:rsidRDefault="00135026" w:rsidP="00135026">
      <w:pPr>
        <w:autoSpaceDE w:val="0"/>
        <w:autoSpaceDN w:val="0"/>
        <w:adjustRightInd w:val="0"/>
        <w:ind w:right="500"/>
        <w:rPr>
          <w:rFonts w:ascii="Times New Roman" w:hAnsi="Times New Roman"/>
          <w:sz w:val="24"/>
          <w:szCs w:val="24"/>
        </w:rPr>
      </w:pPr>
      <w:r w:rsidRPr="004375AC">
        <w:rPr>
          <w:rFonts w:ascii="Times New Roman" w:hAnsi="Times New Roman"/>
          <w:sz w:val="24"/>
          <w:szCs w:val="24"/>
        </w:rPr>
        <w:t xml:space="preserve">As described above, outsourcing facilities </w:t>
      </w:r>
      <w:r w:rsidR="008E4496" w:rsidRPr="004375AC">
        <w:rPr>
          <w:rFonts w:ascii="Times New Roman" w:hAnsi="Times New Roman"/>
          <w:sz w:val="24"/>
          <w:szCs w:val="24"/>
        </w:rPr>
        <w:t>must</w:t>
      </w:r>
      <w:r w:rsidRPr="004375AC">
        <w:rPr>
          <w:rFonts w:ascii="Times New Roman" w:hAnsi="Times New Roman"/>
          <w:sz w:val="24"/>
          <w:szCs w:val="24"/>
        </w:rPr>
        <w:t xml:space="preserve"> report an</w:t>
      </w:r>
      <w:r w:rsidR="00DE5C85" w:rsidRPr="004375AC">
        <w:rPr>
          <w:rFonts w:ascii="Times New Roman" w:hAnsi="Times New Roman"/>
          <w:sz w:val="24"/>
          <w:szCs w:val="24"/>
        </w:rPr>
        <w:t xml:space="preserve"> unexpected</w:t>
      </w:r>
      <w:r w:rsidRPr="004375AC">
        <w:rPr>
          <w:rFonts w:ascii="Times New Roman" w:hAnsi="Times New Roman"/>
          <w:i/>
          <w:iCs/>
          <w:sz w:val="24"/>
          <w:szCs w:val="24"/>
        </w:rPr>
        <w:t xml:space="preserve"> </w:t>
      </w:r>
      <w:r w:rsidRPr="004375AC">
        <w:rPr>
          <w:rFonts w:ascii="Times New Roman" w:hAnsi="Times New Roman"/>
          <w:iCs/>
          <w:sz w:val="24"/>
          <w:szCs w:val="24"/>
        </w:rPr>
        <w:t xml:space="preserve">adverse event to FDA that </w:t>
      </w:r>
      <w:r w:rsidRPr="004375AC">
        <w:rPr>
          <w:rFonts w:ascii="Times New Roman" w:hAnsi="Times New Roman"/>
          <w:sz w:val="24"/>
          <w:szCs w:val="24"/>
        </w:rPr>
        <w:t xml:space="preserve">results in one or more of the following patient outcomes: </w:t>
      </w:r>
    </w:p>
    <w:p w:rsidR="00274CCE" w:rsidRPr="004375AC" w:rsidRDefault="00274CCE" w:rsidP="00274CCE">
      <w:pPr>
        <w:autoSpaceDE w:val="0"/>
        <w:autoSpaceDN w:val="0"/>
        <w:adjustRightInd w:val="0"/>
        <w:ind w:right="500"/>
        <w:rPr>
          <w:rFonts w:ascii="Times New Roman" w:hAnsi="Times New Roman"/>
          <w:sz w:val="24"/>
          <w:szCs w:val="24"/>
        </w:rPr>
      </w:pPr>
    </w:p>
    <w:p w:rsidR="00274CCE" w:rsidRPr="004375AC" w:rsidRDefault="00274CCE" w:rsidP="006C5A5E">
      <w:pPr>
        <w:numPr>
          <w:ilvl w:val="0"/>
          <w:numId w:val="8"/>
        </w:numPr>
        <w:autoSpaceDE w:val="0"/>
        <w:autoSpaceDN w:val="0"/>
        <w:adjustRightInd w:val="0"/>
        <w:ind w:left="540" w:hanging="360"/>
        <w:rPr>
          <w:rFonts w:ascii="Times New Roman" w:hAnsi="Times New Roman"/>
          <w:sz w:val="24"/>
          <w:szCs w:val="24"/>
        </w:rPr>
      </w:pPr>
      <w:r w:rsidRPr="004375AC">
        <w:rPr>
          <w:rFonts w:ascii="Times New Roman" w:hAnsi="Times New Roman"/>
          <w:sz w:val="24"/>
          <w:szCs w:val="24"/>
        </w:rPr>
        <w:t>Death</w:t>
      </w:r>
      <w:r w:rsidR="002003AD" w:rsidRPr="004375AC">
        <w:rPr>
          <w:rFonts w:ascii="Times New Roman" w:hAnsi="Times New Roman"/>
          <w:sz w:val="24"/>
          <w:szCs w:val="24"/>
        </w:rPr>
        <w:t>,</w:t>
      </w:r>
      <w:r w:rsidRPr="004375AC">
        <w:rPr>
          <w:rFonts w:ascii="Times New Roman" w:hAnsi="Times New Roman"/>
          <w:sz w:val="24"/>
          <w:szCs w:val="24"/>
        </w:rPr>
        <w:t xml:space="preserve"> </w:t>
      </w:r>
    </w:p>
    <w:p w:rsidR="00274CCE" w:rsidRPr="004375AC" w:rsidRDefault="00274CCE" w:rsidP="006C5A5E">
      <w:pPr>
        <w:numPr>
          <w:ilvl w:val="0"/>
          <w:numId w:val="8"/>
        </w:numPr>
        <w:autoSpaceDE w:val="0"/>
        <w:autoSpaceDN w:val="0"/>
        <w:adjustRightInd w:val="0"/>
        <w:ind w:left="540" w:hanging="360"/>
        <w:rPr>
          <w:rFonts w:ascii="Times New Roman" w:hAnsi="Times New Roman"/>
          <w:sz w:val="24"/>
          <w:szCs w:val="24"/>
        </w:rPr>
      </w:pPr>
      <w:r w:rsidRPr="004375AC">
        <w:rPr>
          <w:rFonts w:ascii="Times New Roman" w:hAnsi="Times New Roman"/>
          <w:sz w:val="24"/>
          <w:szCs w:val="24"/>
        </w:rPr>
        <w:t>A life-threatening adverse drug experience</w:t>
      </w:r>
      <w:r w:rsidR="002003AD" w:rsidRPr="004375AC">
        <w:rPr>
          <w:rFonts w:ascii="Times New Roman" w:hAnsi="Times New Roman"/>
          <w:sz w:val="24"/>
          <w:szCs w:val="24"/>
        </w:rPr>
        <w:t>,</w:t>
      </w:r>
      <w:r w:rsidRPr="004375AC">
        <w:rPr>
          <w:rFonts w:ascii="Times New Roman" w:hAnsi="Times New Roman"/>
          <w:sz w:val="24"/>
          <w:szCs w:val="24"/>
        </w:rPr>
        <w:t xml:space="preserve"> </w:t>
      </w:r>
    </w:p>
    <w:p w:rsidR="00274CCE" w:rsidRPr="004375AC" w:rsidRDefault="00274CCE" w:rsidP="006C5A5E">
      <w:pPr>
        <w:numPr>
          <w:ilvl w:val="0"/>
          <w:numId w:val="8"/>
        </w:numPr>
        <w:autoSpaceDE w:val="0"/>
        <w:autoSpaceDN w:val="0"/>
        <w:adjustRightInd w:val="0"/>
        <w:ind w:left="540" w:hanging="360"/>
        <w:rPr>
          <w:rFonts w:ascii="Times New Roman" w:hAnsi="Times New Roman"/>
          <w:sz w:val="24"/>
          <w:szCs w:val="24"/>
        </w:rPr>
      </w:pPr>
      <w:r w:rsidRPr="004375AC">
        <w:rPr>
          <w:rFonts w:ascii="Times New Roman" w:hAnsi="Times New Roman"/>
          <w:sz w:val="24"/>
          <w:szCs w:val="24"/>
        </w:rPr>
        <w:t>Inpatient hospitalization or prolongation of existing hospitalization</w:t>
      </w:r>
      <w:r w:rsidR="002003AD" w:rsidRPr="004375AC">
        <w:rPr>
          <w:rFonts w:ascii="Times New Roman" w:hAnsi="Times New Roman"/>
          <w:sz w:val="24"/>
          <w:szCs w:val="24"/>
        </w:rPr>
        <w:t>,</w:t>
      </w:r>
    </w:p>
    <w:p w:rsidR="00274CCE" w:rsidRPr="004375AC" w:rsidRDefault="00274CCE" w:rsidP="006C5A5E">
      <w:pPr>
        <w:numPr>
          <w:ilvl w:val="0"/>
          <w:numId w:val="8"/>
        </w:numPr>
        <w:autoSpaceDE w:val="0"/>
        <w:autoSpaceDN w:val="0"/>
        <w:adjustRightInd w:val="0"/>
        <w:ind w:left="540" w:hanging="360"/>
        <w:rPr>
          <w:rFonts w:ascii="Times New Roman" w:hAnsi="Times New Roman"/>
          <w:sz w:val="24"/>
          <w:szCs w:val="24"/>
        </w:rPr>
      </w:pPr>
      <w:r w:rsidRPr="004375AC">
        <w:rPr>
          <w:rFonts w:ascii="Times New Roman" w:hAnsi="Times New Roman"/>
          <w:sz w:val="24"/>
          <w:szCs w:val="24"/>
        </w:rPr>
        <w:t xml:space="preserve">A persistent or significant disability or incapacity, or </w:t>
      </w:r>
    </w:p>
    <w:p w:rsidR="00274CCE" w:rsidRPr="004375AC" w:rsidRDefault="00274CCE" w:rsidP="006C5A5E">
      <w:pPr>
        <w:numPr>
          <w:ilvl w:val="0"/>
          <w:numId w:val="8"/>
        </w:numPr>
        <w:autoSpaceDE w:val="0"/>
        <w:autoSpaceDN w:val="0"/>
        <w:adjustRightInd w:val="0"/>
        <w:ind w:left="540" w:hanging="360"/>
        <w:rPr>
          <w:rFonts w:ascii="Times New Roman" w:hAnsi="Times New Roman"/>
          <w:sz w:val="24"/>
          <w:szCs w:val="24"/>
        </w:rPr>
      </w:pPr>
      <w:r w:rsidRPr="004375AC">
        <w:rPr>
          <w:rFonts w:ascii="Times New Roman" w:hAnsi="Times New Roman"/>
          <w:sz w:val="24"/>
          <w:szCs w:val="24"/>
        </w:rPr>
        <w:t>A congenital anomaly or birth defect</w:t>
      </w:r>
      <w:r w:rsidR="002003AD" w:rsidRPr="004375AC">
        <w:rPr>
          <w:rFonts w:ascii="Times New Roman" w:hAnsi="Times New Roman"/>
          <w:sz w:val="24"/>
          <w:szCs w:val="24"/>
        </w:rPr>
        <w:t>.</w:t>
      </w:r>
      <w:r w:rsidR="00B641ED" w:rsidRPr="004375AC">
        <w:rPr>
          <w:rStyle w:val="FootnoteReference"/>
          <w:sz w:val="24"/>
          <w:szCs w:val="24"/>
        </w:rPr>
        <w:footnoteReference w:id="26"/>
      </w:r>
      <w:r w:rsidRPr="004375AC">
        <w:rPr>
          <w:rFonts w:ascii="Times New Roman" w:hAnsi="Times New Roman"/>
          <w:sz w:val="24"/>
          <w:szCs w:val="24"/>
        </w:rPr>
        <w:t xml:space="preserve"> </w:t>
      </w:r>
    </w:p>
    <w:p w:rsidR="00274CCE" w:rsidRPr="004375AC" w:rsidRDefault="00274CCE" w:rsidP="00274CCE">
      <w:pPr>
        <w:autoSpaceDE w:val="0"/>
        <w:autoSpaceDN w:val="0"/>
        <w:adjustRightInd w:val="0"/>
        <w:rPr>
          <w:rFonts w:ascii="Times New Roman" w:hAnsi="Times New Roman"/>
          <w:sz w:val="24"/>
          <w:szCs w:val="24"/>
        </w:rPr>
      </w:pPr>
    </w:p>
    <w:p w:rsidR="00274CCE" w:rsidRPr="004375AC" w:rsidRDefault="00274CCE" w:rsidP="00274CCE">
      <w:pPr>
        <w:autoSpaceDE w:val="0"/>
        <w:autoSpaceDN w:val="0"/>
        <w:adjustRightInd w:val="0"/>
        <w:ind w:right="267"/>
        <w:rPr>
          <w:rFonts w:ascii="Times New Roman" w:hAnsi="Times New Roman"/>
          <w:sz w:val="24"/>
          <w:szCs w:val="24"/>
        </w:rPr>
      </w:pPr>
      <w:r w:rsidRPr="004375AC">
        <w:rPr>
          <w:rFonts w:ascii="Times New Roman" w:hAnsi="Times New Roman"/>
          <w:sz w:val="24"/>
          <w:szCs w:val="24"/>
        </w:rPr>
        <w:t xml:space="preserve">Inpatient hospitalization includes initial admission to the hospital on an inpatient basis (even if released the same day).  </w:t>
      </w:r>
    </w:p>
    <w:p w:rsidR="00274CCE" w:rsidRPr="004375AC" w:rsidRDefault="00274CCE" w:rsidP="00274CCE">
      <w:pPr>
        <w:autoSpaceDE w:val="0"/>
        <w:autoSpaceDN w:val="0"/>
        <w:adjustRightInd w:val="0"/>
        <w:ind w:right="267"/>
        <w:rPr>
          <w:rFonts w:ascii="Times New Roman" w:hAnsi="Times New Roman"/>
          <w:sz w:val="24"/>
          <w:szCs w:val="24"/>
        </w:rPr>
      </w:pPr>
    </w:p>
    <w:p w:rsidR="001217F4" w:rsidRPr="004375AC" w:rsidRDefault="001217F4" w:rsidP="00274CCE">
      <w:pPr>
        <w:autoSpaceDE w:val="0"/>
        <w:autoSpaceDN w:val="0"/>
        <w:adjustRightInd w:val="0"/>
        <w:ind w:right="267"/>
        <w:rPr>
          <w:rFonts w:ascii="Times New Roman" w:hAnsi="Times New Roman"/>
          <w:sz w:val="24"/>
          <w:szCs w:val="24"/>
        </w:rPr>
      </w:pPr>
      <w:r w:rsidRPr="004375AC">
        <w:rPr>
          <w:rFonts w:ascii="Times New Roman" w:hAnsi="Times New Roman"/>
          <w:sz w:val="24"/>
          <w:szCs w:val="24"/>
        </w:rPr>
        <w:t xml:space="preserve">Important medical events that may not result in death, be life-threatening, or require hospitalization may be considered a serious adverse drug experience </w:t>
      </w:r>
      <w:r w:rsidR="00C3411A" w:rsidRPr="004375AC">
        <w:rPr>
          <w:rFonts w:ascii="Times New Roman" w:hAnsi="Times New Roman"/>
          <w:sz w:val="24"/>
          <w:szCs w:val="24"/>
        </w:rPr>
        <w:t xml:space="preserve">if, </w:t>
      </w:r>
      <w:r w:rsidRPr="004375AC">
        <w:rPr>
          <w:rFonts w:ascii="Times New Roman" w:hAnsi="Times New Roman"/>
          <w:sz w:val="24"/>
          <w:szCs w:val="24"/>
        </w:rPr>
        <w:t xml:space="preserve">when based upon appropriate medical judgment, they may jeopardize the patient or subject and may require medical or surgical intervention to prevent one of the outcomes listed </w:t>
      </w:r>
      <w:r w:rsidR="00FA67C5">
        <w:rPr>
          <w:rFonts w:ascii="Times New Roman" w:hAnsi="Times New Roman"/>
          <w:sz w:val="24"/>
          <w:szCs w:val="24"/>
        </w:rPr>
        <w:t>above</w:t>
      </w:r>
      <w:r w:rsidRPr="004375AC">
        <w:rPr>
          <w:rFonts w:ascii="Times New Roman" w:hAnsi="Times New Roman"/>
          <w:sz w:val="24"/>
          <w:szCs w:val="24"/>
        </w:rPr>
        <w:t>.</w:t>
      </w:r>
    </w:p>
    <w:p w:rsidR="001217F4" w:rsidRPr="004375AC" w:rsidRDefault="001217F4" w:rsidP="00274CCE">
      <w:pPr>
        <w:autoSpaceDE w:val="0"/>
        <w:autoSpaceDN w:val="0"/>
        <w:adjustRightInd w:val="0"/>
        <w:ind w:right="267"/>
        <w:rPr>
          <w:rFonts w:ascii="Times New Roman" w:hAnsi="Times New Roman"/>
          <w:sz w:val="24"/>
          <w:szCs w:val="24"/>
        </w:rPr>
      </w:pPr>
    </w:p>
    <w:p w:rsidR="00274CCE" w:rsidRPr="00040464" w:rsidRDefault="00E130F7" w:rsidP="00040464">
      <w:pPr>
        <w:autoSpaceDE w:val="0"/>
        <w:autoSpaceDN w:val="0"/>
        <w:adjustRightInd w:val="0"/>
        <w:ind w:right="267"/>
        <w:rPr>
          <w:rFonts w:ascii="Times New Roman" w:hAnsi="Times New Roman"/>
          <w:sz w:val="24"/>
        </w:rPr>
      </w:pPr>
      <w:r w:rsidRPr="004375AC">
        <w:rPr>
          <w:rFonts w:ascii="Times New Roman" w:hAnsi="Times New Roman"/>
          <w:sz w:val="24"/>
          <w:szCs w:val="24"/>
        </w:rPr>
        <w:t xml:space="preserve">The outsourcing facility must report the adverse event to FDA if it is serious and unexpected.  </w:t>
      </w:r>
      <w:r w:rsidR="00135026" w:rsidRPr="004375AC">
        <w:rPr>
          <w:rFonts w:ascii="Times New Roman" w:hAnsi="Times New Roman"/>
          <w:sz w:val="24"/>
          <w:szCs w:val="24"/>
        </w:rPr>
        <w:t xml:space="preserve">For reporting purposes, an adverse event should be described in terms of signs (including </w:t>
      </w:r>
      <w:r w:rsidR="00135026" w:rsidRPr="004375AC">
        <w:rPr>
          <w:rFonts w:ascii="Times New Roman" w:hAnsi="Times New Roman"/>
          <w:sz w:val="24"/>
          <w:szCs w:val="24"/>
        </w:rPr>
        <w:lastRenderedPageBreak/>
        <w:t>abnormal laboratory findings, if appropriate), symptoms, or disease diagnosis (including any colloquial descriptions obtained)</w:t>
      </w:r>
      <w:r w:rsidR="00671451" w:rsidRPr="004375AC">
        <w:rPr>
          <w:rFonts w:ascii="Times New Roman" w:hAnsi="Times New Roman"/>
          <w:sz w:val="24"/>
          <w:szCs w:val="24"/>
        </w:rPr>
        <w:t>, if available.</w:t>
      </w:r>
      <w:r w:rsidR="00C73D58">
        <w:rPr>
          <w:rFonts w:ascii="Times New Roman" w:hAnsi="Times New Roman"/>
          <w:sz w:val="24"/>
          <w:szCs w:val="24"/>
        </w:rPr>
        <w:t xml:space="preserve"> </w:t>
      </w:r>
    </w:p>
    <w:p w:rsidR="00C73D58" w:rsidRDefault="00C73D58" w:rsidP="00274CCE">
      <w:pPr>
        <w:autoSpaceDE w:val="0"/>
        <w:autoSpaceDN w:val="0"/>
        <w:adjustRightInd w:val="0"/>
        <w:ind w:right="267"/>
        <w:rPr>
          <w:rFonts w:ascii="Times New Roman" w:hAnsi="Times New Roman"/>
          <w:sz w:val="24"/>
          <w:szCs w:val="24"/>
        </w:rPr>
      </w:pPr>
    </w:p>
    <w:p w:rsidR="00040464" w:rsidRPr="00040464" w:rsidRDefault="00040464" w:rsidP="00040464">
      <w:pPr>
        <w:pStyle w:val="Heading2"/>
        <w:rPr>
          <w:szCs w:val="24"/>
        </w:rPr>
      </w:pPr>
      <w:r>
        <w:rPr>
          <w:szCs w:val="24"/>
          <w:lang w:val="en-US"/>
        </w:rPr>
        <w:t>C.</w:t>
      </w:r>
      <w:r>
        <w:rPr>
          <w:szCs w:val="24"/>
          <w:lang w:val="en-US"/>
        </w:rPr>
        <w:tab/>
      </w:r>
      <w:r w:rsidR="004505F9" w:rsidRPr="00040464">
        <w:rPr>
          <w:szCs w:val="24"/>
        </w:rPr>
        <w:t>Attachments</w:t>
      </w:r>
    </w:p>
    <w:p w:rsidR="004505F9" w:rsidRDefault="004505F9" w:rsidP="00040464">
      <w:pPr>
        <w:autoSpaceDE w:val="0"/>
        <w:autoSpaceDN w:val="0"/>
        <w:adjustRightInd w:val="0"/>
        <w:ind w:right="267"/>
        <w:rPr>
          <w:rFonts w:ascii="Times New Roman" w:hAnsi="Times New Roman"/>
          <w:sz w:val="24"/>
          <w:szCs w:val="24"/>
        </w:rPr>
      </w:pPr>
    </w:p>
    <w:p w:rsidR="004505F9" w:rsidRDefault="004505F9" w:rsidP="004505F9">
      <w:pPr>
        <w:ind w:right="184"/>
        <w:rPr>
          <w:rStyle w:val="ptext-31"/>
          <w:rFonts w:ascii="Times New Roman" w:hAnsi="Times New Roman"/>
          <w:sz w:val="24"/>
          <w:szCs w:val="24"/>
          <w:lang w:val="en"/>
        </w:rPr>
      </w:pPr>
      <w:r w:rsidRPr="004375AC">
        <w:rPr>
          <w:rStyle w:val="ptext-31"/>
          <w:rFonts w:ascii="Times New Roman" w:hAnsi="Times New Roman"/>
          <w:sz w:val="24"/>
          <w:szCs w:val="24"/>
          <w:lang w:val="en"/>
        </w:rPr>
        <w:t>As part of each adverse event report, outsourcing facilities must submit a copy of the current labeling for the compounded drug product that is the subject of the report.</w:t>
      </w:r>
      <w:r w:rsidRPr="004375AC">
        <w:rPr>
          <w:rStyle w:val="FootnoteReference"/>
          <w:sz w:val="24"/>
          <w:szCs w:val="24"/>
          <w:lang w:val="en"/>
        </w:rPr>
        <w:footnoteReference w:id="27"/>
      </w:r>
      <w:r w:rsidRPr="004375AC">
        <w:rPr>
          <w:rStyle w:val="ptext-31"/>
          <w:rFonts w:ascii="Times New Roman" w:hAnsi="Times New Roman"/>
          <w:sz w:val="24"/>
          <w:szCs w:val="24"/>
          <w:lang w:val="en"/>
        </w:rPr>
        <w:t xml:space="preserve">  </w:t>
      </w:r>
    </w:p>
    <w:p w:rsidR="004505F9" w:rsidRPr="004375AC" w:rsidRDefault="004505F9" w:rsidP="00040464">
      <w:pPr>
        <w:ind w:right="184"/>
        <w:rPr>
          <w:rStyle w:val="ptext-31"/>
          <w:rFonts w:ascii="Times New Roman" w:hAnsi="Times New Roman"/>
          <w:sz w:val="24"/>
          <w:szCs w:val="24"/>
          <w:lang w:val="en"/>
        </w:rPr>
      </w:pPr>
    </w:p>
    <w:p w:rsidR="00274CCE" w:rsidRPr="004375AC" w:rsidDel="00DD1FAE" w:rsidRDefault="00B1470D" w:rsidP="00274CCE">
      <w:pPr>
        <w:autoSpaceDE w:val="0"/>
        <w:autoSpaceDN w:val="0"/>
        <w:adjustRightInd w:val="0"/>
        <w:ind w:right="267"/>
        <w:rPr>
          <w:rFonts w:ascii="Times New Roman" w:hAnsi="Times New Roman"/>
          <w:sz w:val="24"/>
          <w:szCs w:val="24"/>
        </w:rPr>
      </w:pPr>
      <w:r>
        <w:rPr>
          <w:rFonts w:ascii="Times New Roman" w:hAnsi="Times New Roman"/>
          <w:sz w:val="24"/>
          <w:szCs w:val="24"/>
        </w:rPr>
        <w:t>In addition, a</w:t>
      </w:r>
      <w:r w:rsidR="00274CCE" w:rsidRPr="004375AC" w:rsidDel="00DD1FAE">
        <w:rPr>
          <w:rFonts w:ascii="Times New Roman" w:hAnsi="Times New Roman"/>
          <w:sz w:val="24"/>
          <w:szCs w:val="24"/>
        </w:rPr>
        <w:t>s part of the adverse event report, we encourage, as appropriate, attachment of the following</w:t>
      </w:r>
      <w:r>
        <w:rPr>
          <w:rFonts w:ascii="Times New Roman" w:hAnsi="Times New Roman"/>
          <w:sz w:val="24"/>
          <w:szCs w:val="24"/>
        </w:rPr>
        <w:t>, if available</w:t>
      </w:r>
      <w:r w:rsidR="00274CCE" w:rsidRPr="004375AC" w:rsidDel="00DD1FAE">
        <w:rPr>
          <w:rFonts w:ascii="Times New Roman" w:hAnsi="Times New Roman"/>
          <w:sz w:val="24"/>
          <w:szCs w:val="24"/>
        </w:rPr>
        <w:t>: (1) hospital discharge summaries, (2) autopsy reports/death certificates, (3) relevant laboratory data, and (4) other critical clinical data.</w:t>
      </w:r>
      <w:r w:rsidR="008C63FD" w:rsidRPr="004375AC" w:rsidDel="00DD1FAE">
        <w:rPr>
          <w:rFonts w:ascii="Times New Roman" w:hAnsi="Times New Roman"/>
          <w:sz w:val="24"/>
          <w:szCs w:val="24"/>
        </w:rPr>
        <w:t xml:space="preserve">  In the case of a death, outsourcing facilities should also provide any available information on the event(s) that led to the death.  </w:t>
      </w:r>
      <w:r w:rsidR="00274CCE" w:rsidRPr="004375AC" w:rsidDel="00DD1FAE">
        <w:rPr>
          <w:rFonts w:ascii="Times New Roman" w:hAnsi="Times New Roman"/>
          <w:sz w:val="24"/>
          <w:szCs w:val="24"/>
        </w:rPr>
        <w:t xml:space="preserve"> </w:t>
      </w:r>
    </w:p>
    <w:p w:rsidR="00274CCE" w:rsidRPr="00040464" w:rsidRDefault="00274CCE" w:rsidP="00040464">
      <w:pPr>
        <w:autoSpaceDE w:val="0"/>
        <w:autoSpaceDN w:val="0"/>
        <w:adjustRightInd w:val="0"/>
        <w:rPr>
          <w:rFonts w:ascii="Times New Roman" w:hAnsi="Times New Roman"/>
          <w:position w:val="9"/>
          <w:sz w:val="24"/>
          <w:vertAlign w:val="superscript"/>
        </w:rPr>
      </w:pPr>
    </w:p>
    <w:p w:rsidR="00274CCE" w:rsidRPr="004375AC" w:rsidRDefault="00040464" w:rsidP="00274CCE">
      <w:pPr>
        <w:pStyle w:val="Heading2"/>
        <w:rPr>
          <w:szCs w:val="24"/>
        </w:rPr>
      </w:pPr>
      <w:bookmarkStart w:id="35" w:name="_Toc375573220"/>
      <w:bookmarkStart w:id="36" w:name="_Toc379972596"/>
      <w:bookmarkStart w:id="37" w:name="_Toc382581518"/>
      <w:bookmarkStart w:id="38" w:name="_Toc421567532"/>
      <w:bookmarkStart w:id="39" w:name="_Toc404350673"/>
      <w:r>
        <w:rPr>
          <w:szCs w:val="24"/>
          <w:lang w:val="en-US"/>
        </w:rPr>
        <w:t>D</w:t>
      </w:r>
      <w:r w:rsidR="00274CCE" w:rsidRPr="004375AC">
        <w:rPr>
          <w:szCs w:val="24"/>
        </w:rPr>
        <w:t>.</w:t>
      </w:r>
      <w:r w:rsidR="00274CCE" w:rsidRPr="004375AC">
        <w:rPr>
          <w:szCs w:val="24"/>
        </w:rPr>
        <w:tab/>
        <w:t>How to Report</w:t>
      </w:r>
      <w:bookmarkEnd w:id="35"/>
      <w:r w:rsidR="00274CCE" w:rsidRPr="004375AC">
        <w:rPr>
          <w:szCs w:val="24"/>
        </w:rPr>
        <w:t xml:space="preserve"> Adverse Events</w:t>
      </w:r>
      <w:bookmarkEnd w:id="36"/>
      <w:bookmarkEnd w:id="37"/>
      <w:bookmarkEnd w:id="38"/>
      <w:bookmarkEnd w:id="39"/>
    </w:p>
    <w:p w:rsidR="005F4984" w:rsidRDefault="00274CCE" w:rsidP="00F67AA6">
      <w:pPr>
        <w:rPr>
          <w:rFonts w:ascii="Times New Roman" w:hAnsi="Times New Roman"/>
          <w:sz w:val="24"/>
          <w:szCs w:val="24"/>
        </w:rPr>
      </w:pPr>
      <w:r w:rsidRPr="004375AC">
        <w:rPr>
          <w:rFonts w:ascii="Times New Roman" w:hAnsi="Times New Roman"/>
          <w:sz w:val="24"/>
          <w:szCs w:val="24"/>
        </w:rPr>
        <w:t xml:space="preserve"> </w:t>
      </w:r>
    </w:p>
    <w:p w:rsidR="00B2539A" w:rsidRPr="00040464" w:rsidRDefault="005F4984" w:rsidP="00040464">
      <w:pPr>
        <w:rPr>
          <w:rFonts w:ascii="Times New Roman" w:hAnsi="Times New Roman"/>
          <w:sz w:val="24"/>
        </w:rPr>
      </w:pPr>
      <w:r w:rsidRPr="005F4984">
        <w:rPr>
          <w:rFonts w:ascii="Times New Roman" w:hAnsi="Times New Roman"/>
          <w:color w:val="000000"/>
          <w:sz w:val="23"/>
          <w:szCs w:val="23"/>
        </w:rPr>
        <w:t xml:space="preserve">FDA provides two options for electronic submission of </w:t>
      </w:r>
      <w:r w:rsidR="00011A22">
        <w:rPr>
          <w:rFonts w:ascii="Times New Roman" w:hAnsi="Times New Roman"/>
          <w:color w:val="000000"/>
          <w:sz w:val="23"/>
          <w:szCs w:val="23"/>
        </w:rPr>
        <w:t xml:space="preserve">initial and follow-up </w:t>
      </w:r>
      <w:r>
        <w:rPr>
          <w:rFonts w:ascii="Times New Roman" w:hAnsi="Times New Roman"/>
          <w:color w:val="000000"/>
          <w:sz w:val="23"/>
          <w:szCs w:val="23"/>
        </w:rPr>
        <w:t>adverse event reports</w:t>
      </w:r>
      <w:r w:rsidRPr="005F4984">
        <w:rPr>
          <w:rFonts w:ascii="Times New Roman" w:hAnsi="Times New Roman"/>
          <w:color w:val="000000"/>
          <w:sz w:val="23"/>
          <w:szCs w:val="23"/>
        </w:rPr>
        <w:t xml:space="preserve"> to </w:t>
      </w:r>
      <w:r>
        <w:rPr>
          <w:rFonts w:ascii="Times New Roman" w:hAnsi="Times New Roman"/>
          <w:color w:val="000000"/>
          <w:sz w:val="23"/>
          <w:szCs w:val="23"/>
        </w:rPr>
        <w:t>FDA</w:t>
      </w:r>
      <w:r w:rsidRPr="005F4984">
        <w:rPr>
          <w:rFonts w:ascii="Times New Roman" w:hAnsi="Times New Roman"/>
          <w:color w:val="000000"/>
          <w:sz w:val="23"/>
          <w:szCs w:val="23"/>
        </w:rPr>
        <w:t xml:space="preserve">: (1) </w:t>
      </w:r>
      <w:r w:rsidR="00674880" w:rsidRPr="005F4984">
        <w:rPr>
          <w:rFonts w:ascii="Times New Roman" w:hAnsi="Times New Roman"/>
          <w:color w:val="000000"/>
          <w:sz w:val="23"/>
          <w:szCs w:val="23"/>
        </w:rPr>
        <w:t>submission through the Safety Reporting Portal (SRP)</w:t>
      </w:r>
      <w:r w:rsidR="00674880" w:rsidRPr="00674880">
        <w:rPr>
          <w:rStyle w:val="FootnoteReference"/>
          <w:color w:val="000000"/>
          <w:sz w:val="23"/>
          <w:szCs w:val="23"/>
        </w:rPr>
        <w:t xml:space="preserve"> </w:t>
      </w:r>
      <w:r w:rsidR="00674880">
        <w:rPr>
          <w:rStyle w:val="FootnoteReference"/>
          <w:color w:val="000000"/>
          <w:sz w:val="23"/>
          <w:szCs w:val="23"/>
        </w:rPr>
        <w:footnoteReference w:id="28"/>
      </w:r>
      <w:r w:rsidR="00674880">
        <w:rPr>
          <w:rFonts w:ascii="Times New Roman" w:hAnsi="Times New Roman"/>
          <w:color w:val="000000"/>
          <w:sz w:val="23"/>
          <w:szCs w:val="23"/>
        </w:rPr>
        <w:t xml:space="preserve"> or (2) </w:t>
      </w:r>
      <w:r w:rsidRPr="005F4984">
        <w:rPr>
          <w:rFonts w:ascii="Times New Roman" w:hAnsi="Times New Roman"/>
          <w:color w:val="000000"/>
          <w:sz w:val="23"/>
          <w:szCs w:val="23"/>
        </w:rPr>
        <w:t>submission through the Electronic Submissions Gateway (ESG)</w:t>
      </w:r>
      <w:r w:rsidR="00674880">
        <w:rPr>
          <w:rFonts w:ascii="Times New Roman" w:hAnsi="Times New Roman"/>
          <w:color w:val="000000"/>
          <w:sz w:val="23"/>
          <w:szCs w:val="23"/>
        </w:rPr>
        <w:t>.</w:t>
      </w:r>
      <w:r w:rsidR="00F24691">
        <w:rPr>
          <w:rStyle w:val="FootnoteReference"/>
          <w:color w:val="000000"/>
          <w:sz w:val="23"/>
          <w:szCs w:val="23"/>
        </w:rPr>
        <w:footnoteReference w:id="29"/>
      </w:r>
      <w:r w:rsidR="00674880" w:rsidRPr="005F4984">
        <w:rPr>
          <w:rFonts w:ascii="Times New Roman" w:hAnsi="Times New Roman"/>
          <w:color w:val="000000"/>
          <w:sz w:val="16"/>
          <w:szCs w:val="16"/>
        </w:rPr>
        <w:t xml:space="preserve"> </w:t>
      </w:r>
      <w:r w:rsidR="00D25B31" w:rsidRPr="00D25B31">
        <w:rPr>
          <w:rStyle w:val="FootnoteReference"/>
          <w:color w:val="000000"/>
          <w:sz w:val="23"/>
          <w:szCs w:val="23"/>
        </w:rPr>
        <w:t xml:space="preserve"> </w:t>
      </w:r>
      <w:r w:rsidRPr="005F4984">
        <w:rPr>
          <w:rFonts w:ascii="Times New Roman" w:hAnsi="Times New Roman"/>
          <w:color w:val="000000"/>
          <w:sz w:val="23"/>
          <w:szCs w:val="23"/>
        </w:rPr>
        <w:t xml:space="preserve"> </w:t>
      </w:r>
      <w:r w:rsidR="00B2539A">
        <w:rPr>
          <w:rFonts w:ascii="Times New Roman" w:hAnsi="Times New Roman"/>
          <w:color w:val="000000"/>
          <w:sz w:val="23"/>
          <w:szCs w:val="23"/>
        </w:rPr>
        <w:t xml:space="preserve">For </w:t>
      </w:r>
      <w:r w:rsidR="005301E7">
        <w:rPr>
          <w:rFonts w:ascii="Times New Roman" w:hAnsi="Times New Roman"/>
          <w:color w:val="000000"/>
          <w:sz w:val="23"/>
          <w:szCs w:val="23"/>
        </w:rPr>
        <w:t>a discussion of</w:t>
      </w:r>
      <w:r w:rsidR="00B2539A">
        <w:rPr>
          <w:rFonts w:ascii="Times New Roman" w:hAnsi="Times New Roman"/>
          <w:color w:val="000000"/>
          <w:sz w:val="23"/>
          <w:szCs w:val="23"/>
        </w:rPr>
        <w:t xml:space="preserve"> electronic submission of adverse event reports to FDA, please review the draft guidance, </w:t>
      </w:r>
      <w:r w:rsidR="00B2539A">
        <w:rPr>
          <w:rFonts w:ascii="Times New Roman" w:hAnsi="Times New Roman"/>
          <w:i/>
          <w:color w:val="000000"/>
          <w:sz w:val="23"/>
          <w:szCs w:val="23"/>
        </w:rPr>
        <w:t>Guidance for Industry, Providing Submissions in</w:t>
      </w:r>
      <w:r w:rsidR="00B2539A" w:rsidRPr="00040464">
        <w:rPr>
          <w:rFonts w:ascii="Times New Roman" w:hAnsi="Times New Roman"/>
          <w:i/>
          <w:color w:val="000000"/>
          <w:sz w:val="23"/>
        </w:rPr>
        <w:t xml:space="preserve"> Electronic </w:t>
      </w:r>
      <w:r w:rsidR="00B2539A">
        <w:rPr>
          <w:rFonts w:ascii="Times New Roman" w:hAnsi="Times New Roman"/>
          <w:i/>
          <w:color w:val="000000"/>
          <w:sz w:val="23"/>
          <w:szCs w:val="23"/>
        </w:rPr>
        <w:t>Format – Postmarketing Safety Reports</w:t>
      </w:r>
      <w:r w:rsidR="00B2539A">
        <w:rPr>
          <w:rFonts w:ascii="Times New Roman" w:hAnsi="Times New Roman"/>
          <w:color w:val="000000"/>
          <w:sz w:val="23"/>
          <w:szCs w:val="23"/>
        </w:rPr>
        <w:t xml:space="preserve">, available at: </w:t>
      </w:r>
      <w:hyperlink r:id="rId17" w:history="1">
        <w:r w:rsidR="00040464" w:rsidRPr="00040464">
          <w:rPr>
            <w:rStyle w:val="Hyperlink"/>
            <w:rFonts w:ascii="Times New Roman" w:hAnsi="Times New Roman"/>
            <w:sz w:val="24"/>
            <w:szCs w:val="24"/>
          </w:rPr>
          <w:t>http://www.fda.gov/downloads/drugs/guidancecomplianceregulatoryinformation/guidances/ucm072369.pdf</w:t>
        </w:r>
      </w:hyperlink>
    </w:p>
    <w:p w:rsidR="00B2539A" w:rsidRDefault="00B2539A" w:rsidP="00040464">
      <w:pPr>
        <w:autoSpaceDE w:val="0"/>
        <w:autoSpaceDN w:val="0"/>
        <w:adjustRightInd w:val="0"/>
        <w:rPr>
          <w:rFonts w:ascii="Times New Roman" w:hAnsi="Times New Roman"/>
          <w:color w:val="000000"/>
          <w:sz w:val="23"/>
          <w:szCs w:val="23"/>
        </w:rPr>
      </w:pPr>
    </w:p>
    <w:p w:rsidR="00355A73" w:rsidRDefault="00355A73" w:rsidP="00355A73">
      <w:pPr>
        <w:autoSpaceDE w:val="0"/>
        <w:autoSpaceDN w:val="0"/>
        <w:adjustRightInd w:val="0"/>
        <w:rPr>
          <w:rFonts w:ascii="Times New Roman" w:hAnsi="Times New Roman"/>
          <w:color w:val="000000"/>
          <w:sz w:val="23"/>
          <w:szCs w:val="23"/>
        </w:rPr>
      </w:pPr>
      <w:r w:rsidRPr="00355A73">
        <w:rPr>
          <w:rFonts w:ascii="Times New Roman" w:hAnsi="Times New Roman"/>
          <w:color w:val="000000"/>
          <w:sz w:val="23"/>
          <w:szCs w:val="23"/>
        </w:rPr>
        <w:t xml:space="preserve">Before submitting an </w:t>
      </w:r>
      <w:r w:rsidR="00766653">
        <w:rPr>
          <w:rFonts w:ascii="Times New Roman" w:hAnsi="Times New Roman"/>
          <w:color w:val="000000"/>
          <w:sz w:val="23"/>
          <w:szCs w:val="23"/>
        </w:rPr>
        <w:t>adverse event report</w:t>
      </w:r>
      <w:r w:rsidRPr="00355A73">
        <w:rPr>
          <w:rFonts w:ascii="Times New Roman" w:hAnsi="Times New Roman"/>
          <w:color w:val="000000"/>
          <w:sz w:val="23"/>
          <w:szCs w:val="23"/>
        </w:rPr>
        <w:t xml:space="preserve"> in electronic format to FDA for the first time, whether through the ESG or SRP, you should notify the FAERS Electronic Submission Coordinator of your intent at </w:t>
      </w:r>
      <w:hyperlink r:id="rId18" w:history="1">
        <w:r w:rsidRPr="00977C25">
          <w:rPr>
            <w:rStyle w:val="Hyperlink"/>
            <w:rFonts w:ascii="Times New Roman" w:hAnsi="Times New Roman"/>
            <w:sz w:val="23"/>
            <w:szCs w:val="23"/>
          </w:rPr>
          <w:t>faersesub@fda.hhs.gov</w:t>
        </w:r>
      </w:hyperlink>
      <w:r w:rsidRPr="00355A73">
        <w:rPr>
          <w:rFonts w:ascii="Times New Roman" w:hAnsi="Times New Roman"/>
          <w:color w:val="000000"/>
          <w:sz w:val="23"/>
          <w:szCs w:val="23"/>
        </w:rPr>
        <w:t xml:space="preserve">. The FAERS Coordinator will assist you to ensure that all steps have been completed for successful submission of </w:t>
      </w:r>
      <w:r w:rsidR="001A6A9E">
        <w:rPr>
          <w:rFonts w:ascii="Times New Roman" w:hAnsi="Times New Roman"/>
          <w:color w:val="000000"/>
          <w:sz w:val="23"/>
          <w:szCs w:val="23"/>
        </w:rPr>
        <w:t>adverse event reports</w:t>
      </w:r>
      <w:r w:rsidRPr="00355A73">
        <w:rPr>
          <w:rFonts w:ascii="Times New Roman" w:hAnsi="Times New Roman"/>
          <w:color w:val="000000"/>
          <w:sz w:val="23"/>
          <w:szCs w:val="23"/>
        </w:rPr>
        <w:t xml:space="preserve">. </w:t>
      </w:r>
    </w:p>
    <w:p w:rsidR="004235B4" w:rsidRPr="004235B4" w:rsidRDefault="004235B4" w:rsidP="00F24691">
      <w:pPr>
        <w:autoSpaceDE w:val="0"/>
        <w:autoSpaceDN w:val="0"/>
        <w:adjustRightInd w:val="0"/>
        <w:rPr>
          <w:rFonts w:ascii="Times New Roman" w:hAnsi="Times New Roman"/>
          <w:color w:val="000000"/>
          <w:sz w:val="23"/>
          <w:szCs w:val="23"/>
        </w:rPr>
      </w:pPr>
    </w:p>
    <w:p w:rsidR="00DC7E2B" w:rsidRPr="00F24691" w:rsidRDefault="004C64BC" w:rsidP="00F24691">
      <w:pPr>
        <w:autoSpaceDE w:val="0"/>
        <w:autoSpaceDN w:val="0"/>
        <w:adjustRightInd w:val="0"/>
        <w:ind w:right="267"/>
        <w:rPr>
          <w:rFonts w:ascii="Times New Roman" w:hAnsi="Times New Roman"/>
          <w:sz w:val="24"/>
        </w:rPr>
      </w:pPr>
      <w:r w:rsidRPr="004235B4">
        <w:rPr>
          <w:rFonts w:ascii="Times New Roman" w:hAnsi="Times New Roman"/>
          <w:color w:val="000000"/>
          <w:sz w:val="23"/>
          <w:szCs w:val="23"/>
        </w:rPr>
        <w:t xml:space="preserve">Postmarketing safety reporting often involves submitting a series of reports consisting of the initial </w:t>
      </w:r>
      <w:r w:rsidR="00132EDD">
        <w:rPr>
          <w:rFonts w:ascii="Times New Roman" w:hAnsi="Times New Roman"/>
          <w:color w:val="000000"/>
          <w:sz w:val="23"/>
          <w:szCs w:val="23"/>
        </w:rPr>
        <w:t>individual case safety report (</w:t>
      </w:r>
      <w:r w:rsidRPr="004235B4">
        <w:rPr>
          <w:rFonts w:ascii="Times New Roman" w:hAnsi="Times New Roman"/>
          <w:color w:val="000000"/>
          <w:sz w:val="23"/>
          <w:szCs w:val="23"/>
        </w:rPr>
        <w:t>ICSR</w:t>
      </w:r>
      <w:r w:rsidR="00132EDD">
        <w:rPr>
          <w:rFonts w:ascii="Times New Roman" w:hAnsi="Times New Roman"/>
          <w:color w:val="000000"/>
          <w:sz w:val="23"/>
          <w:szCs w:val="23"/>
        </w:rPr>
        <w:t>)</w:t>
      </w:r>
      <w:r w:rsidRPr="004235B4">
        <w:rPr>
          <w:rFonts w:ascii="Times New Roman" w:hAnsi="Times New Roman"/>
          <w:color w:val="000000"/>
          <w:sz w:val="23"/>
          <w:szCs w:val="23"/>
        </w:rPr>
        <w:t xml:space="preserve"> and follow</w:t>
      </w:r>
      <w:r>
        <w:rPr>
          <w:rFonts w:ascii="Times New Roman" w:hAnsi="Times New Roman"/>
          <w:color w:val="000000"/>
          <w:sz w:val="23"/>
          <w:szCs w:val="23"/>
        </w:rPr>
        <w:t>-</w:t>
      </w:r>
      <w:r w:rsidRPr="004235B4">
        <w:rPr>
          <w:rFonts w:ascii="Times New Roman" w:hAnsi="Times New Roman"/>
          <w:color w:val="000000"/>
          <w:sz w:val="23"/>
          <w:szCs w:val="23"/>
        </w:rPr>
        <w:t xml:space="preserve">up, along with any associated attachments, over the life cycle of an individual case. To avoid duplicate </w:t>
      </w:r>
      <w:r>
        <w:rPr>
          <w:rFonts w:ascii="Times New Roman" w:hAnsi="Times New Roman"/>
          <w:color w:val="000000"/>
          <w:sz w:val="23"/>
          <w:szCs w:val="23"/>
        </w:rPr>
        <w:t>adverse event reports</w:t>
      </w:r>
      <w:r w:rsidRPr="004235B4">
        <w:rPr>
          <w:rFonts w:ascii="Times New Roman" w:hAnsi="Times New Roman"/>
          <w:color w:val="000000"/>
          <w:sz w:val="23"/>
          <w:szCs w:val="23"/>
        </w:rPr>
        <w:t xml:space="preserve"> in the FAERS database, </w:t>
      </w:r>
      <w:r>
        <w:rPr>
          <w:rFonts w:ascii="Times New Roman" w:hAnsi="Times New Roman"/>
          <w:color w:val="000000"/>
          <w:sz w:val="23"/>
          <w:szCs w:val="23"/>
        </w:rPr>
        <w:t>each report</w:t>
      </w:r>
      <w:r w:rsidRPr="004235B4">
        <w:rPr>
          <w:rFonts w:ascii="Times New Roman" w:hAnsi="Times New Roman"/>
          <w:color w:val="000000"/>
          <w:sz w:val="23"/>
          <w:szCs w:val="23"/>
        </w:rPr>
        <w:t xml:space="preserve"> should have a un</w:t>
      </w:r>
      <w:r>
        <w:rPr>
          <w:rFonts w:ascii="Times New Roman" w:hAnsi="Times New Roman"/>
          <w:color w:val="000000"/>
          <w:sz w:val="23"/>
          <w:szCs w:val="23"/>
        </w:rPr>
        <w:t>ique case identification number, regardless of how it is transmitted to the FDA (</w:t>
      </w:r>
      <w:r w:rsidR="001A6A9E">
        <w:rPr>
          <w:rFonts w:ascii="Times New Roman" w:hAnsi="Times New Roman"/>
          <w:color w:val="000000"/>
          <w:sz w:val="23"/>
          <w:szCs w:val="23"/>
        </w:rPr>
        <w:t>i.</w:t>
      </w:r>
      <w:r>
        <w:rPr>
          <w:rFonts w:ascii="Times New Roman" w:hAnsi="Times New Roman"/>
          <w:color w:val="000000"/>
          <w:sz w:val="23"/>
          <w:szCs w:val="23"/>
        </w:rPr>
        <w:t xml:space="preserve">e., SRP or ESG).  </w:t>
      </w:r>
      <w:r w:rsidR="00D11084">
        <w:rPr>
          <w:rFonts w:ascii="Times New Roman" w:hAnsi="Times New Roman"/>
          <w:color w:val="000000"/>
          <w:sz w:val="23"/>
          <w:szCs w:val="23"/>
        </w:rPr>
        <w:t xml:space="preserve">See </w:t>
      </w:r>
      <w:r w:rsidR="008720D6" w:rsidRPr="004235B4">
        <w:rPr>
          <w:rFonts w:ascii="Times New Roman" w:hAnsi="Times New Roman"/>
          <w:color w:val="000000"/>
          <w:sz w:val="23"/>
          <w:szCs w:val="23"/>
        </w:rPr>
        <w:t xml:space="preserve">section </w:t>
      </w:r>
      <w:r w:rsidR="00D11084">
        <w:rPr>
          <w:rFonts w:ascii="Times New Roman" w:hAnsi="Times New Roman"/>
          <w:color w:val="000000"/>
          <w:sz w:val="23"/>
          <w:szCs w:val="23"/>
        </w:rPr>
        <w:t xml:space="preserve">III.D </w:t>
      </w:r>
      <w:r w:rsidR="008720D6">
        <w:rPr>
          <w:rFonts w:ascii="Times New Roman" w:hAnsi="Times New Roman"/>
          <w:color w:val="000000"/>
          <w:sz w:val="23"/>
          <w:szCs w:val="23"/>
        </w:rPr>
        <w:t xml:space="preserve">in the draft guidance, </w:t>
      </w:r>
      <w:r w:rsidR="008720D6">
        <w:rPr>
          <w:rFonts w:ascii="Times New Roman" w:hAnsi="Times New Roman"/>
          <w:i/>
          <w:color w:val="000000"/>
          <w:sz w:val="23"/>
          <w:szCs w:val="23"/>
        </w:rPr>
        <w:t>Guidance for Industry, Providing Submissions in Electronic Format – Postmarketing Safety Reports</w:t>
      </w:r>
      <w:r w:rsidR="001A6A9E">
        <w:rPr>
          <w:rFonts w:ascii="Times New Roman" w:hAnsi="Times New Roman"/>
          <w:color w:val="000000"/>
          <w:sz w:val="23"/>
          <w:szCs w:val="23"/>
        </w:rPr>
        <w:t>.</w:t>
      </w:r>
    </w:p>
    <w:p w:rsidR="00DD1FAE" w:rsidRPr="00F24691" w:rsidRDefault="00DD1FAE" w:rsidP="00F24691">
      <w:pPr>
        <w:rPr>
          <w:rFonts w:ascii="Times New Roman" w:hAnsi="Times New Roman"/>
          <w:sz w:val="24"/>
        </w:rPr>
      </w:pPr>
    </w:p>
    <w:p w:rsidR="00274CCE" w:rsidRPr="004375AC" w:rsidRDefault="00274CCE" w:rsidP="00274CCE">
      <w:pPr>
        <w:pStyle w:val="Heading2"/>
        <w:rPr>
          <w:szCs w:val="24"/>
        </w:rPr>
      </w:pPr>
      <w:bookmarkStart w:id="40" w:name="_Toc382581520"/>
      <w:bookmarkStart w:id="41" w:name="_Toc421567533"/>
      <w:bookmarkStart w:id="42" w:name="_Toc404350677"/>
      <w:r w:rsidRPr="004375AC">
        <w:rPr>
          <w:szCs w:val="24"/>
        </w:rPr>
        <w:t>D.</w:t>
      </w:r>
      <w:r w:rsidRPr="004375AC">
        <w:rPr>
          <w:szCs w:val="24"/>
        </w:rPr>
        <w:tab/>
        <w:t>Inspection of Adverse Event Reporting</w:t>
      </w:r>
      <w:bookmarkEnd w:id="40"/>
      <w:bookmarkEnd w:id="41"/>
      <w:bookmarkEnd w:id="42"/>
    </w:p>
    <w:p w:rsidR="00274CCE" w:rsidRPr="004375AC" w:rsidRDefault="00274CCE" w:rsidP="00274CCE">
      <w:pPr>
        <w:rPr>
          <w:rFonts w:ascii="Times New Roman" w:hAnsi="Times New Roman"/>
          <w:sz w:val="24"/>
          <w:szCs w:val="24"/>
        </w:rPr>
      </w:pPr>
    </w:p>
    <w:p w:rsidR="00274CCE" w:rsidRPr="004375AC" w:rsidRDefault="00274CCE" w:rsidP="00274CCE">
      <w:pPr>
        <w:rPr>
          <w:rFonts w:ascii="Times New Roman" w:hAnsi="Times New Roman"/>
          <w:sz w:val="24"/>
          <w:szCs w:val="24"/>
        </w:rPr>
      </w:pPr>
      <w:r w:rsidRPr="004375AC">
        <w:rPr>
          <w:rFonts w:ascii="Times New Roman" w:hAnsi="Times New Roman"/>
          <w:sz w:val="24"/>
          <w:szCs w:val="24"/>
        </w:rPr>
        <w:lastRenderedPageBreak/>
        <w:t>Under section 503B(b)(4) of the FD&amp;C Act, outsourcing facilities</w:t>
      </w:r>
      <w:r w:rsidRPr="004375AC" w:rsidDel="00E70C45">
        <w:rPr>
          <w:rFonts w:ascii="Times New Roman" w:hAnsi="Times New Roman"/>
          <w:sz w:val="24"/>
          <w:szCs w:val="24"/>
        </w:rPr>
        <w:t xml:space="preserve"> </w:t>
      </w:r>
      <w:r w:rsidRPr="004375AC">
        <w:rPr>
          <w:rFonts w:ascii="Times New Roman" w:hAnsi="Times New Roman"/>
          <w:sz w:val="24"/>
          <w:szCs w:val="24"/>
        </w:rPr>
        <w:t xml:space="preserve">are subject to inspection pursuant to section 704 </w:t>
      </w:r>
      <w:r w:rsidR="002003AD" w:rsidRPr="004375AC">
        <w:rPr>
          <w:rFonts w:ascii="Times New Roman" w:hAnsi="Times New Roman"/>
          <w:sz w:val="24"/>
          <w:szCs w:val="24"/>
        </w:rPr>
        <w:t xml:space="preserve">of the FD&amp;C Act </w:t>
      </w:r>
      <w:r w:rsidRPr="004375AC">
        <w:rPr>
          <w:rFonts w:ascii="Times New Roman" w:hAnsi="Times New Roman"/>
          <w:sz w:val="24"/>
          <w:szCs w:val="24"/>
        </w:rPr>
        <w:t>and are not eligible for the exemption under section 704(a)(2)(A)</w:t>
      </w:r>
      <w:r w:rsidR="002003AD" w:rsidRPr="004375AC">
        <w:rPr>
          <w:rFonts w:ascii="Times New Roman" w:hAnsi="Times New Roman"/>
          <w:sz w:val="24"/>
          <w:szCs w:val="24"/>
        </w:rPr>
        <w:t xml:space="preserve"> of the FD&amp;C Act</w:t>
      </w:r>
      <w:r w:rsidRPr="004375AC">
        <w:rPr>
          <w:rFonts w:ascii="Times New Roman" w:hAnsi="Times New Roman"/>
          <w:sz w:val="24"/>
          <w:szCs w:val="24"/>
        </w:rPr>
        <w:t xml:space="preserve">.  </w:t>
      </w:r>
    </w:p>
    <w:p w:rsidR="00274CCE" w:rsidRPr="004375AC" w:rsidRDefault="00274CCE" w:rsidP="00274CCE">
      <w:pPr>
        <w:rPr>
          <w:rFonts w:ascii="Times New Roman" w:hAnsi="Times New Roman"/>
          <w:sz w:val="24"/>
          <w:szCs w:val="24"/>
        </w:rPr>
      </w:pPr>
    </w:p>
    <w:p w:rsidR="00274CCE" w:rsidRPr="004375AC" w:rsidRDefault="00274CCE" w:rsidP="00274CCE">
      <w:pPr>
        <w:autoSpaceDE w:val="0"/>
        <w:autoSpaceDN w:val="0"/>
        <w:adjustRightInd w:val="0"/>
        <w:rPr>
          <w:rFonts w:ascii="Times New Roman" w:hAnsi="Times New Roman"/>
          <w:sz w:val="24"/>
          <w:szCs w:val="24"/>
        </w:rPr>
      </w:pPr>
      <w:r w:rsidRPr="004375AC">
        <w:rPr>
          <w:rFonts w:ascii="Times New Roman" w:hAnsi="Times New Roman"/>
          <w:sz w:val="24"/>
          <w:szCs w:val="24"/>
        </w:rPr>
        <w:t>As part of its inspections of outsourcing facilities, FDA may review adverse event information received by the outsourcing facility.</w:t>
      </w:r>
      <w:r w:rsidRPr="004375AC">
        <w:rPr>
          <w:rStyle w:val="FootnoteReference"/>
          <w:sz w:val="24"/>
          <w:szCs w:val="24"/>
        </w:rPr>
        <w:footnoteReference w:id="30"/>
      </w:r>
      <w:r w:rsidRPr="004375AC">
        <w:rPr>
          <w:rFonts w:ascii="Times New Roman" w:hAnsi="Times New Roman"/>
          <w:sz w:val="24"/>
          <w:szCs w:val="24"/>
        </w:rPr>
        <w:t xml:space="preserve">  FDA may also review whether the outsourcing facility has developed and implemented written processes for the surveillance, receipt, evaluation, and reporting of adverse event</w:t>
      </w:r>
      <w:r w:rsidR="00B641ED" w:rsidRPr="004375AC">
        <w:rPr>
          <w:rFonts w:ascii="Times New Roman" w:hAnsi="Times New Roman"/>
          <w:sz w:val="24"/>
          <w:szCs w:val="24"/>
        </w:rPr>
        <w:t>s</w:t>
      </w:r>
      <w:r w:rsidRPr="004375AC">
        <w:rPr>
          <w:rFonts w:ascii="Times New Roman" w:hAnsi="Times New Roman"/>
          <w:sz w:val="24"/>
          <w:szCs w:val="24"/>
        </w:rPr>
        <w:t xml:space="preserve"> for the drug products it compounds as described in 21 CFR </w:t>
      </w:r>
      <w:r w:rsidR="00F81ACA" w:rsidRPr="004375AC">
        <w:rPr>
          <w:rFonts w:ascii="Times New Roman" w:hAnsi="Times New Roman"/>
          <w:sz w:val="24"/>
          <w:szCs w:val="24"/>
        </w:rPr>
        <w:t xml:space="preserve"> </w:t>
      </w:r>
      <w:r w:rsidRPr="004375AC">
        <w:rPr>
          <w:rFonts w:ascii="Times New Roman" w:hAnsi="Times New Roman"/>
          <w:sz w:val="24"/>
          <w:szCs w:val="24"/>
        </w:rPr>
        <w:t>310.305(a)</w:t>
      </w:r>
      <w:r w:rsidR="003B5D76" w:rsidRPr="004375AC">
        <w:rPr>
          <w:rFonts w:ascii="Times New Roman" w:hAnsi="Times New Roman"/>
          <w:sz w:val="24"/>
          <w:szCs w:val="24"/>
        </w:rPr>
        <w:t xml:space="preserve"> and 211.198.</w:t>
      </w:r>
      <w:r w:rsidR="003B5D76" w:rsidRPr="004375AC">
        <w:rPr>
          <w:rStyle w:val="FootnoteReference"/>
          <w:sz w:val="24"/>
          <w:szCs w:val="24"/>
        </w:rPr>
        <w:footnoteReference w:id="31"/>
      </w:r>
    </w:p>
    <w:p w:rsidR="00274CCE" w:rsidRPr="004375AC" w:rsidRDefault="00274CCE" w:rsidP="00274CCE">
      <w:pPr>
        <w:autoSpaceDE w:val="0"/>
        <w:autoSpaceDN w:val="0"/>
        <w:adjustRightInd w:val="0"/>
        <w:rPr>
          <w:rFonts w:ascii="Times New Roman" w:hAnsi="Times New Roman"/>
          <w:sz w:val="24"/>
          <w:szCs w:val="24"/>
        </w:rPr>
      </w:pPr>
    </w:p>
    <w:p w:rsidR="00274CCE" w:rsidRPr="004375AC" w:rsidRDefault="00274CCE" w:rsidP="00274CCE">
      <w:pPr>
        <w:pStyle w:val="Heading2"/>
        <w:rPr>
          <w:szCs w:val="24"/>
        </w:rPr>
      </w:pPr>
      <w:bookmarkStart w:id="43" w:name="_Toc421567534"/>
      <w:bookmarkStart w:id="44" w:name="_Toc404350678"/>
      <w:r w:rsidRPr="004375AC">
        <w:rPr>
          <w:szCs w:val="24"/>
        </w:rPr>
        <w:t>E.</w:t>
      </w:r>
      <w:r w:rsidRPr="004375AC">
        <w:rPr>
          <w:szCs w:val="24"/>
        </w:rPr>
        <w:tab/>
        <w:t>Recordkeeping</w:t>
      </w:r>
      <w:bookmarkEnd w:id="43"/>
      <w:bookmarkEnd w:id="44"/>
      <w:r w:rsidRPr="004375AC">
        <w:rPr>
          <w:szCs w:val="24"/>
        </w:rPr>
        <w:t xml:space="preserve"> </w:t>
      </w:r>
    </w:p>
    <w:p w:rsidR="00274CCE" w:rsidRPr="004375AC" w:rsidRDefault="00274CCE" w:rsidP="00274CCE">
      <w:pPr>
        <w:pStyle w:val="CommentText"/>
        <w:rPr>
          <w:rFonts w:ascii="Times New Roman" w:hAnsi="Times New Roman"/>
          <w:sz w:val="24"/>
          <w:szCs w:val="24"/>
        </w:rPr>
      </w:pPr>
    </w:p>
    <w:p w:rsidR="00274CCE" w:rsidRPr="00F24691" w:rsidRDefault="00072372" w:rsidP="00274CCE">
      <w:pPr>
        <w:pStyle w:val="CommentText"/>
        <w:rPr>
          <w:rFonts w:ascii="Times New Roman" w:hAnsi="Times New Roman"/>
          <w:sz w:val="24"/>
          <w:szCs w:val="24"/>
          <w:lang w:val="en-US"/>
        </w:rPr>
      </w:pPr>
      <w:r w:rsidRPr="004375AC">
        <w:rPr>
          <w:rFonts w:ascii="Times New Roman" w:hAnsi="Times New Roman"/>
          <w:sz w:val="24"/>
          <w:szCs w:val="24"/>
          <w:lang w:val="en-US"/>
        </w:rPr>
        <w:t>Under section 310.305, all entities subject to the regulation must</w:t>
      </w:r>
      <w:r w:rsidR="003B5D76" w:rsidRPr="004375AC">
        <w:rPr>
          <w:rFonts w:ascii="Times New Roman" w:hAnsi="Times New Roman"/>
          <w:sz w:val="24"/>
          <w:szCs w:val="24"/>
        </w:rPr>
        <w:t xml:space="preserve"> </w:t>
      </w:r>
      <w:r w:rsidR="00274CCE" w:rsidRPr="004375AC">
        <w:rPr>
          <w:rFonts w:ascii="Times New Roman" w:hAnsi="Times New Roman"/>
          <w:sz w:val="24"/>
          <w:szCs w:val="24"/>
        </w:rPr>
        <w:t xml:space="preserve">maintain for 10 years the records of all adverse events required to be reported under this section, including raw data and any correspondence relating to the adverse </w:t>
      </w:r>
      <w:r w:rsidR="002003AD" w:rsidRPr="004375AC">
        <w:rPr>
          <w:rFonts w:ascii="Times New Roman" w:hAnsi="Times New Roman"/>
          <w:sz w:val="24"/>
          <w:szCs w:val="24"/>
          <w:lang w:val="en-US"/>
        </w:rPr>
        <w:t>event</w:t>
      </w:r>
      <w:r w:rsidR="00274CCE" w:rsidRPr="004375AC">
        <w:rPr>
          <w:rFonts w:ascii="Times New Roman" w:hAnsi="Times New Roman"/>
          <w:sz w:val="24"/>
          <w:szCs w:val="24"/>
        </w:rPr>
        <w:t xml:space="preserve">, and allow FDA access to review, copy, and verify these records, in accordance with </w:t>
      </w:r>
      <w:r w:rsidR="002003AD" w:rsidRPr="004375AC">
        <w:rPr>
          <w:rFonts w:ascii="Times New Roman" w:hAnsi="Times New Roman"/>
          <w:sz w:val="24"/>
          <w:szCs w:val="24"/>
          <w:lang w:val="en-US"/>
        </w:rPr>
        <w:t xml:space="preserve">21 CFR </w:t>
      </w:r>
      <w:r w:rsidR="00274CCE" w:rsidRPr="004375AC">
        <w:rPr>
          <w:rFonts w:ascii="Times New Roman" w:hAnsi="Times New Roman"/>
          <w:sz w:val="24"/>
          <w:szCs w:val="24"/>
        </w:rPr>
        <w:t>310.305(f).  In addition, the outsourcing facility should maintain records of its efforts to obtain the four</w:t>
      </w:r>
      <w:r w:rsidR="002003AD" w:rsidRPr="004375AC">
        <w:rPr>
          <w:rFonts w:ascii="Times New Roman" w:hAnsi="Times New Roman"/>
          <w:sz w:val="24"/>
          <w:szCs w:val="24"/>
          <w:lang w:val="en-US"/>
        </w:rPr>
        <w:t xml:space="preserve"> data</w:t>
      </w:r>
      <w:r w:rsidR="00274CCE" w:rsidRPr="004375AC">
        <w:rPr>
          <w:rFonts w:ascii="Times New Roman" w:hAnsi="Times New Roman"/>
          <w:sz w:val="24"/>
          <w:szCs w:val="24"/>
        </w:rPr>
        <w:t xml:space="preserve"> elements</w:t>
      </w:r>
      <w:r w:rsidRPr="004375AC">
        <w:rPr>
          <w:rFonts w:ascii="Times New Roman" w:hAnsi="Times New Roman"/>
          <w:sz w:val="24"/>
          <w:szCs w:val="24"/>
          <w:lang w:val="en-US"/>
        </w:rPr>
        <w:t xml:space="preserve"> discussed in section III.B.</w:t>
      </w:r>
      <w:r w:rsidR="00274CCE" w:rsidRPr="004375AC">
        <w:rPr>
          <w:rFonts w:ascii="Times New Roman" w:hAnsi="Times New Roman"/>
          <w:sz w:val="24"/>
          <w:szCs w:val="24"/>
        </w:rPr>
        <w:t xml:space="preserve"> for each </w:t>
      </w:r>
      <w:r w:rsidR="001A6A9E">
        <w:rPr>
          <w:rFonts w:ascii="Times New Roman" w:hAnsi="Times New Roman"/>
          <w:sz w:val="24"/>
          <w:szCs w:val="24"/>
          <w:lang w:val="en-US"/>
        </w:rPr>
        <w:t>adverse event report</w:t>
      </w:r>
      <w:r w:rsidR="00274CCE" w:rsidRPr="004375AC">
        <w:rPr>
          <w:rFonts w:ascii="Times New Roman" w:hAnsi="Times New Roman"/>
          <w:sz w:val="24"/>
          <w:szCs w:val="24"/>
        </w:rPr>
        <w:t>.</w:t>
      </w:r>
      <w:r w:rsidR="00274CCE" w:rsidRPr="004375AC">
        <w:rPr>
          <w:rStyle w:val="FootnoteReference"/>
          <w:sz w:val="24"/>
          <w:szCs w:val="24"/>
        </w:rPr>
        <w:t xml:space="preserve">   </w:t>
      </w:r>
    </w:p>
    <w:sectPr w:rsidR="00274CCE" w:rsidRPr="00F24691" w:rsidSect="00274CCE">
      <w:headerReference w:type="even" r:id="rId19"/>
      <w:headerReference w:type="default" r:id="rId20"/>
      <w:footerReference w:type="default" r:id="rId21"/>
      <w:headerReference w:type="first" r:id="rId22"/>
      <w:pgSz w:w="12240" w:h="15840" w:code="1"/>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CD6" w:rsidRDefault="00035CD6">
      <w:r>
        <w:separator/>
      </w:r>
    </w:p>
  </w:endnote>
  <w:endnote w:type="continuationSeparator" w:id="0">
    <w:p w:rsidR="00035CD6" w:rsidRDefault="00035CD6">
      <w:r>
        <w:continuationSeparator/>
      </w:r>
    </w:p>
  </w:endnote>
  <w:endnote w:type="continuationNotice" w:id="1">
    <w:p w:rsidR="00035CD6" w:rsidRDefault="00035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Pr="00DD1F36" w:rsidRDefault="00DD1FAE" w:rsidP="00274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rsidP="00274CCE">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EE5F25">
      <w:rPr>
        <w:rStyle w:val="PageNumber"/>
        <w:noProof/>
        <w:sz w:val="20"/>
      </w:rPr>
      <w:t>10</w:t>
    </w:r>
    <w:r>
      <w:rPr>
        <w:rStyle w:val="PageNumber"/>
        <w:sz w:val="20"/>
      </w:rPr>
      <w:fldChar w:fldCharType="end"/>
    </w:r>
  </w:p>
  <w:p w:rsidR="00DD1FAE" w:rsidRDefault="00DD1FAE">
    <w:pPr>
      <w:pStyle w:val="Footer"/>
      <w:rPr>
        <w:i/>
        <w:snapToGrid w:val="0"/>
        <w:sz w:val="16"/>
      </w:rPr>
    </w:pPr>
  </w:p>
  <w:p w:rsidR="00DD1FAE" w:rsidRDefault="00DD1FAE" w:rsidP="00274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CD6" w:rsidRDefault="00035CD6">
      <w:r>
        <w:separator/>
      </w:r>
    </w:p>
  </w:footnote>
  <w:footnote w:type="continuationSeparator" w:id="0">
    <w:p w:rsidR="00035CD6" w:rsidRDefault="00035CD6">
      <w:r>
        <w:continuationSeparator/>
      </w:r>
    </w:p>
  </w:footnote>
  <w:footnote w:type="continuationNotice" w:id="1">
    <w:p w:rsidR="00035CD6" w:rsidRDefault="00035CD6"/>
  </w:footnote>
  <w:footnote w:id="2">
    <w:p w:rsidR="00DD1FAE" w:rsidRPr="006C5A5E" w:rsidRDefault="00DD1FAE" w:rsidP="00274CCE">
      <w:pPr>
        <w:pStyle w:val="FootnoteText"/>
        <w:spacing w:after="120"/>
        <w:rPr>
          <w:rFonts w:ascii="Times New Roman" w:hAnsi="Times New Roman"/>
        </w:rPr>
      </w:pPr>
      <w:r w:rsidRPr="005445B9">
        <w:rPr>
          <w:rStyle w:val="FootnoteReference"/>
        </w:rPr>
        <w:footnoteRef/>
      </w:r>
      <w:r w:rsidRPr="006C5A5E">
        <w:rPr>
          <w:rFonts w:ascii="Times New Roman" w:hAnsi="Times New Roman"/>
        </w:rPr>
        <w:t xml:space="preserve"> </w:t>
      </w:r>
      <w:r w:rsidRPr="008F3848">
        <w:rPr>
          <w:rFonts w:ascii="Times New Roman" w:hAnsi="Times New Roman"/>
          <w:lang w:val="en-US"/>
        </w:rPr>
        <w:t>This guidance has been prepared by multiple offices in the Center for Drug Evaluation and Research (CDER) in cooperation with the Office of Regulatory Affairs (ORA) at the Food and Drug Administration.</w:t>
      </w:r>
    </w:p>
  </w:footnote>
  <w:footnote w:id="3">
    <w:p w:rsidR="00DD1FAE" w:rsidRPr="006C5A5E" w:rsidRDefault="00DD1FAE" w:rsidP="00274CCE">
      <w:pPr>
        <w:pStyle w:val="FootnoteText"/>
        <w:spacing w:after="120"/>
        <w:rPr>
          <w:rFonts w:ascii="Times New Roman" w:hAnsi="Times New Roman"/>
        </w:rPr>
      </w:pPr>
      <w:r w:rsidRPr="005445B9">
        <w:rPr>
          <w:rStyle w:val="FootnoteReference"/>
        </w:rPr>
        <w:footnoteRef/>
      </w:r>
      <w:r w:rsidRPr="006C5A5E">
        <w:rPr>
          <w:rFonts w:ascii="Times New Roman" w:hAnsi="Times New Roman"/>
        </w:rPr>
        <w:t xml:space="preserve"> 21 U.S.C. 353b(b)(5).</w:t>
      </w:r>
    </w:p>
    <w:p w:rsidR="00DD1FAE" w:rsidRPr="00B16019" w:rsidRDefault="00DD1FAE" w:rsidP="00274CCE">
      <w:pPr>
        <w:pStyle w:val="FootnoteText"/>
        <w:spacing w:after="120"/>
        <w:rPr>
          <w:i/>
        </w:rPr>
      </w:pPr>
    </w:p>
  </w:footnote>
  <w:footnote w:id="4">
    <w:p w:rsidR="00DD1FAE" w:rsidRPr="009E2B2B" w:rsidRDefault="00DD1FAE" w:rsidP="003B795B">
      <w:pPr>
        <w:pStyle w:val="FootnoteText"/>
        <w:spacing w:after="120"/>
        <w:rPr>
          <w:rFonts w:ascii="Times New Roman" w:hAnsi="Times New Roman"/>
        </w:rPr>
      </w:pPr>
      <w:r w:rsidRPr="009E2B2B">
        <w:rPr>
          <w:rStyle w:val="FootnoteReference"/>
        </w:rPr>
        <w:footnoteRef/>
      </w:r>
      <w:r w:rsidRPr="009E2B2B">
        <w:rPr>
          <w:rFonts w:ascii="Times New Roman" w:hAnsi="Times New Roman"/>
        </w:rPr>
        <w:t xml:space="preserve"> </w:t>
      </w:r>
      <w:r w:rsidRPr="003758C6">
        <w:rPr>
          <w:rFonts w:ascii="Times New Roman" w:hAnsi="Times New Roman"/>
        </w:rPr>
        <w:t>See</w:t>
      </w:r>
      <w:r w:rsidRPr="009E2B2B">
        <w:rPr>
          <w:rFonts w:ascii="Times New Roman" w:hAnsi="Times New Roman"/>
        </w:rPr>
        <w:t xml:space="preserve"> text of Compounding Quality Act at </w:t>
      </w:r>
      <w:hyperlink r:id="rId1" w:history="1">
        <w:r w:rsidRPr="009E2B2B">
          <w:rPr>
            <w:rStyle w:val="Hyperlink"/>
            <w:rFonts w:ascii="Times New Roman" w:hAnsi="Times New Roman"/>
          </w:rPr>
          <w:t>http://www.fda.gov/Drugs/GuidanceComplianceRegulatoryInformation/PharmacyCompounding/ucm376732.htm</w:t>
        </w:r>
      </w:hyperlink>
      <w:r w:rsidRPr="009E2B2B">
        <w:rPr>
          <w:rFonts w:ascii="Times New Roman" w:hAnsi="Times New Roman"/>
        </w:rPr>
        <w:t>.</w:t>
      </w:r>
    </w:p>
  </w:footnote>
  <w:footnote w:id="5">
    <w:p w:rsidR="00DD1FAE" w:rsidRPr="009E2B2B" w:rsidRDefault="00DD1FAE" w:rsidP="003B795B">
      <w:pPr>
        <w:pStyle w:val="FootnoteText"/>
        <w:spacing w:after="120"/>
        <w:rPr>
          <w:rFonts w:ascii="Times New Roman" w:hAnsi="Times New Roman"/>
        </w:rPr>
      </w:pPr>
      <w:r w:rsidRPr="009E2B2B">
        <w:rPr>
          <w:rStyle w:val="FootnoteReference"/>
        </w:rPr>
        <w:footnoteRef/>
      </w:r>
      <w:r w:rsidRPr="009E2B2B">
        <w:rPr>
          <w:rFonts w:ascii="Times New Roman" w:hAnsi="Times New Roman"/>
        </w:rPr>
        <w:t xml:space="preserve"> 21 U.S.C. 353b</w:t>
      </w:r>
      <w:r>
        <w:rPr>
          <w:rFonts w:ascii="Times New Roman" w:hAnsi="Times New Roman"/>
          <w:lang w:val="en-US"/>
        </w:rPr>
        <w:t>(b)</w:t>
      </w:r>
      <w:r w:rsidRPr="009E2B2B">
        <w:rPr>
          <w:rFonts w:ascii="Times New Roman" w:hAnsi="Times New Roman"/>
        </w:rPr>
        <w:t>.</w:t>
      </w:r>
    </w:p>
  </w:footnote>
  <w:footnote w:id="6">
    <w:p w:rsidR="00DD1FAE" w:rsidRPr="009E2B2B" w:rsidRDefault="00DD1FAE" w:rsidP="003B795B">
      <w:pPr>
        <w:pStyle w:val="FootnoteText"/>
        <w:spacing w:after="120"/>
        <w:rPr>
          <w:rFonts w:ascii="Times New Roman" w:hAnsi="Times New Roman"/>
          <w:i/>
        </w:rPr>
      </w:pPr>
      <w:r w:rsidRPr="00963D2B">
        <w:rPr>
          <w:rStyle w:val="FootnoteReference"/>
        </w:rPr>
        <w:footnoteRef/>
      </w:r>
      <w:r w:rsidRPr="00963D2B">
        <w:rPr>
          <w:rFonts w:ascii="Times New Roman" w:hAnsi="Times New Roman"/>
        </w:rPr>
        <w:t xml:space="preserve"> </w:t>
      </w:r>
      <w:r w:rsidRPr="003758C6">
        <w:rPr>
          <w:rFonts w:ascii="Times New Roman" w:hAnsi="Times New Roman"/>
        </w:rPr>
        <w:t>Id</w:t>
      </w:r>
      <w:r w:rsidRPr="00963D2B">
        <w:rPr>
          <w:rFonts w:ascii="Times New Roman" w:hAnsi="Times New Roman"/>
        </w:rPr>
        <w:t>.</w:t>
      </w:r>
      <w:r w:rsidRPr="009E2B2B">
        <w:rPr>
          <w:rFonts w:ascii="Times New Roman" w:hAnsi="Times New Roman"/>
        </w:rPr>
        <w:t xml:space="preserve"> at 353b(b)(5).</w:t>
      </w:r>
    </w:p>
  </w:footnote>
  <w:footnote w:id="7">
    <w:p w:rsidR="00DD1FAE" w:rsidRPr="00A812B1" w:rsidRDefault="00DD1FAE" w:rsidP="003758C6">
      <w:pPr>
        <w:pStyle w:val="FootnoteText"/>
        <w:spacing w:after="120"/>
        <w:rPr>
          <w:rFonts w:ascii="Times New Roman" w:hAnsi="Times New Roman"/>
          <w:lang w:val="en-US"/>
        </w:rPr>
      </w:pPr>
      <w:r w:rsidRPr="00D420A4">
        <w:rPr>
          <w:rStyle w:val="FootnoteReference"/>
        </w:rPr>
        <w:footnoteRef/>
      </w:r>
      <w:r w:rsidRPr="00A812B1">
        <w:rPr>
          <w:rFonts w:ascii="Times New Roman" w:hAnsi="Times New Roman"/>
        </w:rPr>
        <w:t xml:space="preserve"> </w:t>
      </w:r>
      <w:r w:rsidRPr="00A812B1">
        <w:rPr>
          <w:rFonts w:ascii="Times New Roman" w:hAnsi="Times New Roman"/>
          <w:lang w:val="en-US"/>
        </w:rPr>
        <w:t xml:space="preserve">This guidance uses the terms </w:t>
      </w:r>
      <w:r w:rsidRPr="003758C6">
        <w:rPr>
          <w:rFonts w:ascii="Times New Roman" w:hAnsi="Times New Roman"/>
          <w:i/>
          <w:lang w:val="en-US"/>
        </w:rPr>
        <w:t>adverse drug experience</w:t>
      </w:r>
      <w:r w:rsidRPr="00A812B1">
        <w:rPr>
          <w:rFonts w:ascii="Times New Roman" w:hAnsi="Times New Roman"/>
          <w:lang w:val="en-US"/>
        </w:rPr>
        <w:t xml:space="preserve"> and </w:t>
      </w:r>
      <w:r w:rsidRPr="003758C6">
        <w:rPr>
          <w:rFonts w:ascii="Times New Roman" w:hAnsi="Times New Roman"/>
          <w:i/>
          <w:lang w:val="en-US"/>
        </w:rPr>
        <w:t>adverse event</w:t>
      </w:r>
      <w:r w:rsidRPr="00A812B1">
        <w:rPr>
          <w:rFonts w:ascii="Times New Roman" w:hAnsi="Times New Roman"/>
          <w:lang w:val="en-US"/>
        </w:rPr>
        <w:t xml:space="preserve"> interchangeably</w:t>
      </w:r>
      <w:r>
        <w:rPr>
          <w:rFonts w:ascii="Times New Roman" w:hAnsi="Times New Roman"/>
          <w:lang w:val="en-US"/>
        </w:rPr>
        <w:t>.</w:t>
      </w:r>
    </w:p>
  </w:footnote>
  <w:footnote w:id="8">
    <w:p w:rsidR="00DD1FAE" w:rsidRPr="008D5866" w:rsidRDefault="00DD1FAE" w:rsidP="003758C6">
      <w:pPr>
        <w:spacing w:after="120"/>
        <w:rPr>
          <w:rFonts w:ascii="Times New Roman" w:hAnsi="Times New Roman"/>
          <w:sz w:val="20"/>
          <w:szCs w:val="20"/>
        </w:rPr>
      </w:pPr>
      <w:r w:rsidRPr="00BC50C3">
        <w:rPr>
          <w:rStyle w:val="FootnoteReference"/>
          <w:sz w:val="20"/>
          <w:szCs w:val="20"/>
        </w:rPr>
        <w:footnoteRef/>
      </w:r>
      <w:r w:rsidRPr="00BC50C3">
        <w:rPr>
          <w:rFonts w:ascii="Times New Roman" w:hAnsi="Times New Roman"/>
          <w:sz w:val="20"/>
          <w:szCs w:val="20"/>
        </w:rPr>
        <w:t xml:space="preserve"> Section 503B(</w:t>
      </w:r>
      <w:r>
        <w:rPr>
          <w:rFonts w:ascii="Times New Roman" w:hAnsi="Times New Roman"/>
          <w:sz w:val="20"/>
          <w:szCs w:val="20"/>
        </w:rPr>
        <w:t>d</w:t>
      </w:r>
      <w:r w:rsidRPr="00BC50C3">
        <w:rPr>
          <w:rFonts w:ascii="Times New Roman" w:hAnsi="Times New Roman"/>
          <w:sz w:val="20"/>
          <w:szCs w:val="20"/>
        </w:rPr>
        <w:t>)(4)</w:t>
      </w:r>
      <w:r>
        <w:rPr>
          <w:rFonts w:ascii="Times New Roman" w:hAnsi="Times New Roman"/>
          <w:sz w:val="20"/>
          <w:szCs w:val="20"/>
        </w:rPr>
        <w:t>(C)</w:t>
      </w:r>
      <w:r w:rsidRPr="00BC50C3">
        <w:rPr>
          <w:rFonts w:ascii="Times New Roman" w:hAnsi="Times New Roman"/>
          <w:sz w:val="20"/>
          <w:szCs w:val="20"/>
        </w:rPr>
        <w:t xml:space="preserve"> of the FD&amp;C Act provides that outsourcing facilities may or may not obtain prescriptions for identified individual patients. </w:t>
      </w:r>
      <w:r>
        <w:rPr>
          <w:rFonts w:ascii="Times New Roman" w:hAnsi="Times New Roman"/>
          <w:sz w:val="20"/>
          <w:szCs w:val="20"/>
        </w:rPr>
        <w:t xml:space="preserve"> Although outsourcing facilities may send prescription drugs to healthcare facilities without obtaining prescriptions for identified individual patients, </w:t>
      </w:r>
      <w:r w:rsidRPr="00BC50C3">
        <w:rPr>
          <w:rFonts w:ascii="Times New Roman" w:hAnsi="Times New Roman"/>
          <w:sz w:val="20"/>
          <w:szCs w:val="20"/>
        </w:rPr>
        <w:t xml:space="preserve">drugs produced by outsourcing facilities remain subject to the requirements in section 503(b) of the FD&amp;C Act. Therefore, </w:t>
      </w:r>
      <w:r>
        <w:rPr>
          <w:rFonts w:ascii="Times New Roman" w:hAnsi="Times New Roman"/>
          <w:sz w:val="20"/>
          <w:szCs w:val="20"/>
        </w:rPr>
        <w:t xml:space="preserve">an outsourcing facility cannot dispense </w:t>
      </w:r>
      <w:r w:rsidRPr="00BC50C3">
        <w:rPr>
          <w:rFonts w:ascii="Times New Roman" w:hAnsi="Times New Roman"/>
          <w:sz w:val="20"/>
          <w:szCs w:val="20"/>
        </w:rPr>
        <w:t>a prescription drug to a patient without a prescription.</w:t>
      </w:r>
    </w:p>
  </w:footnote>
  <w:footnote w:id="9">
    <w:p w:rsidR="00DD1FAE" w:rsidRPr="000F62AC" w:rsidRDefault="00DD1FAE" w:rsidP="0024784A">
      <w:pPr>
        <w:pStyle w:val="FootnoteText"/>
        <w:spacing w:after="240"/>
        <w:rPr>
          <w:rFonts w:ascii="Times New Roman" w:hAnsi="Times New Roman"/>
          <w:lang w:val="en-US"/>
        </w:rPr>
      </w:pPr>
      <w:r w:rsidRPr="00DC1461">
        <w:rPr>
          <w:rStyle w:val="FootnoteReference"/>
        </w:rPr>
        <w:footnoteRef/>
      </w:r>
      <w:r w:rsidRPr="000F62AC">
        <w:rPr>
          <w:rFonts w:ascii="Times New Roman" w:hAnsi="Times New Roman"/>
        </w:rPr>
        <w:t xml:space="preserve"> </w:t>
      </w:r>
      <w:r w:rsidRPr="000F62AC">
        <w:rPr>
          <w:rFonts w:ascii="Times New Roman" w:hAnsi="Times New Roman"/>
          <w:lang w:val="en-US"/>
        </w:rPr>
        <w:t>21 U.S.C. 379aa</w:t>
      </w:r>
      <w:r>
        <w:rPr>
          <w:rFonts w:ascii="Times New Roman" w:hAnsi="Times New Roman"/>
          <w:lang w:val="en-US"/>
        </w:rPr>
        <w:t>.</w:t>
      </w:r>
    </w:p>
  </w:footnote>
  <w:footnote w:id="10">
    <w:p w:rsidR="00DD1FAE" w:rsidRPr="003758C6" w:rsidRDefault="00DD1FAE" w:rsidP="003758C6">
      <w:pPr>
        <w:pStyle w:val="FootnoteText"/>
        <w:spacing w:after="120"/>
        <w:rPr>
          <w:lang w:val="en-US"/>
        </w:rPr>
      </w:pPr>
      <w:r>
        <w:rPr>
          <w:rStyle w:val="FootnoteReference"/>
        </w:rPr>
        <w:footnoteRef/>
      </w:r>
      <w:r>
        <w:t xml:space="preserve"> </w:t>
      </w:r>
      <w:r w:rsidRPr="003758C6">
        <w:rPr>
          <w:rFonts w:ascii="Times New Roman" w:hAnsi="Times New Roman"/>
        </w:rPr>
        <w:t>See 79 FR 33072</w:t>
      </w:r>
      <w:r>
        <w:rPr>
          <w:rFonts w:ascii="Times New Roman" w:hAnsi="Times New Roman"/>
          <w:lang w:val="en-US"/>
        </w:rPr>
        <w:t xml:space="preserve">.  </w:t>
      </w:r>
    </w:p>
  </w:footnote>
  <w:footnote w:id="11">
    <w:p w:rsidR="000E155F" w:rsidRPr="00770488" w:rsidRDefault="000E155F" w:rsidP="000E155F">
      <w:pPr>
        <w:pStyle w:val="FootnoteText"/>
        <w:rPr>
          <w:rFonts w:ascii="Times New Roman" w:hAnsi="Times New Roman"/>
          <w:lang w:val="en-US"/>
        </w:rPr>
      </w:pPr>
      <w:r w:rsidRPr="00770488">
        <w:rPr>
          <w:rStyle w:val="FootnoteReference"/>
        </w:rPr>
        <w:footnoteRef/>
      </w:r>
      <w:r w:rsidRPr="00770488">
        <w:rPr>
          <w:rFonts w:ascii="Times New Roman" w:hAnsi="Times New Roman"/>
        </w:rPr>
        <w:t xml:space="preserve"> </w:t>
      </w:r>
      <w:r w:rsidRPr="00770488">
        <w:rPr>
          <w:rFonts w:ascii="Times New Roman" w:hAnsi="Times New Roman"/>
          <w:lang w:val="en-US"/>
        </w:rPr>
        <w:t xml:space="preserve">The effective date for the Electronic Safety Reporting Rule requiring electronic submissions of postmarketing safety reports was June 10, 2015.  However, in the </w:t>
      </w:r>
      <w:r w:rsidRPr="00770488">
        <w:rPr>
          <w:rFonts w:ascii="Times New Roman" w:hAnsi="Times New Roman"/>
          <w:i/>
          <w:lang w:val="en-US"/>
        </w:rPr>
        <w:t>Federal Register</w:t>
      </w:r>
      <w:r w:rsidRPr="00770488">
        <w:rPr>
          <w:rFonts w:ascii="Times New Roman" w:hAnsi="Times New Roman"/>
          <w:lang w:val="en-US"/>
        </w:rPr>
        <w:t xml:space="preserve"> of [INSERT], FDA announced that it is delaying the compliance date for this final rule </w:t>
      </w:r>
      <w:r w:rsidR="00C05D7E">
        <w:rPr>
          <w:rFonts w:ascii="Times New Roman" w:hAnsi="Times New Roman"/>
          <w:lang w:val="en-US"/>
        </w:rPr>
        <w:t xml:space="preserve">to September 8, 2015. </w:t>
      </w:r>
    </w:p>
  </w:footnote>
  <w:footnote w:id="12">
    <w:p w:rsidR="00F67AA6" w:rsidRPr="00F67AA6" w:rsidRDefault="00F67AA6">
      <w:pPr>
        <w:pStyle w:val="FootnoteText"/>
        <w:rPr>
          <w:rFonts w:ascii="Times New Roman" w:hAnsi="Times New Roman"/>
          <w:lang w:val="en-US"/>
        </w:rPr>
      </w:pPr>
      <w:r w:rsidRPr="00F67AA6">
        <w:rPr>
          <w:rStyle w:val="FootnoteReference"/>
        </w:rPr>
        <w:footnoteRef/>
      </w:r>
      <w:r w:rsidRPr="00F67AA6">
        <w:rPr>
          <w:rFonts w:ascii="Times New Roman" w:hAnsi="Times New Roman"/>
        </w:rPr>
        <w:t xml:space="preserve"> </w:t>
      </w:r>
      <w:r w:rsidRPr="00F67AA6">
        <w:rPr>
          <w:rFonts w:ascii="Times New Roman" w:hAnsi="Times New Roman"/>
          <w:lang w:val="en-US"/>
        </w:rPr>
        <w:t>Certain</w:t>
      </w:r>
      <w:r>
        <w:rPr>
          <w:rFonts w:ascii="Times New Roman" w:hAnsi="Times New Roman"/>
          <w:lang w:val="en-US"/>
        </w:rPr>
        <w:t xml:space="preserve"> state boards of pharmacy </w:t>
      </w:r>
      <w:r w:rsidR="00CC2F92">
        <w:rPr>
          <w:rFonts w:ascii="Times New Roman" w:hAnsi="Times New Roman"/>
          <w:lang w:val="en-US"/>
        </w:rPr>
        <w:t xml:space="preserve">may </w:t>
      </w:r>
      <w:r>
        <w:rPr>
          <w:rFonts w:ascii="Times New Roman" w:hAnsi="Times New Roman"/>
          <w:lang w:val="en-US"/>
        </w:rPr>
        <w:t>also require outsourcing facilities licensed in their state</w:t>
      </w:r>
      <w:r w:rsidR="00CC2F92">
        <w:rPr>
          <w:rFonts w:ascii="Times New Roman" w:hAnsi="Times New Roman"/>
          <w:lang w:val="en-US"/>
        </w:rPr>
        <w:t>s</w:t>
      </w:r>
      <w:r>
        <w:rPr>
          <w:rFonts w:ascii="Times New Roman" w:hAnsi="Times New Roman"/>
          <w:lang w:val="en-US"/>
        </w:rPr>
        <w:t xml:space="preserve"> to report adverse events.  Outsourcing facilities must </w:t>
      </w:r>
      <w:r w:rsidR="00CC2F92">
        <w:rPr>
          <w:rFonts w:ascii="Times New Roman" w:hAnsi="Times New Roman"/>
          <w:lang w:val="en-US"/>
        </w:rPr>
        <w:t xml:space="preserve">comply with any state reporting requirements independent of and in addition to reporting adverse events as described in this guidance.  </w:t>
      </w:r>
    </w:p>
  </w:footnote>
  <w:footnote w:id="13">
    <w:p w:rsidR="00DD1FAE" w:rsidRPr="00FF09EC" w:rsidRDefault="00DD1FAE" w:rsidP="0024784A">
      <w:pPr>
        <w:pStyle w:val="FootnoteText"/>
        <w:spacing w:after="240"/>
        <w:rPr>
          <w:rFonts w:ascii="Times New Roman" w:hAnsi="Times New Roman"/>
          <w:lang w:val="en-US"/>
        </w:rPr>
      </w:pPr>
      <w:r w:rsidRPr="00DC1461">
        <w:rPr>
          <w:rStyle w:val="FootnoteReference"/>
        </w:rPr>
        <w:footnoteRef/>
      </w:r>
      <w:r w:rsidRPr="00FF09EC">
        <w:rPr>
          <w:rFonts w:ascii="Times New Roman" w:hAnsi="Times New Roman"/>
        </w:rPr>
        <w:t xml:space="preserve"> </w:t>
      </w:r>
      <w:r w:rsidRPr="00FF09EC">
        <w:rPr>
          <w:rFonts w:ascii="Times New Roman" w:hAnsi="Times New Roman"/>
          <w:lang w:val="en-US"/>
        </w:rPr>
        <w:t>21 U.S.C. 331(</w:t>
      </w:r>
      <w:r>
        <w:rPr>
          <w:rFonts w:ascii="Times New Roman" w:hAnsi="Times New Roman"/>
          <w:lang w:val="en-US"/>
        </w:rPr>
        <w:t>ccc</w:t>
      </w:r>
      <w:r w:rsidRPr="00FF09EC">
        <w:rPr>
          <w:rFonts w:ascii="Times New Roman" w:hAnsi="Times New Roman"/>
          <w:lang w:val="en-US"/>
        </w:rPr>
        <w:t>)(3).</w:t>
      </w:r>
    </w:p>
  </w:footnote>
  <w:footnote w:id="14">
    <w:p w:rsidR="00DD1FAE" w:rsidRPr="00AA5C7C" w:rsidRDefault="00DD1FAE" w:rsidP="00274CCE">
      <w:pPr>
        <w:pStyle w:val="FootnoteText"/>
        <w:spacing w:after="120"/>
        <w:rPr>
          <w:rFonts w:ascii="Times New Roman" w:hAnsi="Times New Roman"/>
          <w:lang w:val="en-US"/>
        </w:rPr>
      </w:pPr>
      <w:r w:rsidRPr="003235E9">
        <w:rPr>
          <w:rStyle w:val="FootnoteReference"/>
        </w:rPr>
        <w:footnoteRef/>
      </w:r>
      <w:r w:rsidRPr="00CE7B43">
        <w:rPr>
          <w:rFonts w:ascii="Times New Roman" w:hAnsi="Times New Roman"/>
        </w:rPr>
        <w:t xml:space="preserve"> See 21 CFR 310.30</w:t>
      </w:r>
      <w:r>
        <w:rPr>
          <w:rFonts w:ascii="Times New Roman" w:hAnsi="Times New Roman"/>
        </w:rPr>
        <w:t>5</w:t>
      </w:r>
      <w:r w:rsidRPr="00CE7B43">
        <w:rPr>
          <w:rFonts w:ascii="Times New Roman" w:hAnsi="Times New Roman"/>
        </w:rPr>
        <w:t>(c)(1)</w:t>
      </w:r>
      <w:r>
        <w:rPr>
          <w:rFonts w:ascii="Times New Roman" w:hAnsi="Times New Roman"/>
        </w:rPr>
        <w:t>(i)</w:t>
      </w:r>
      <w:r w:rsidRPr="00CE7B43">
        <w:rPr>
          <w:rFonts w:ascii="Times New Roman" w:hAnsi="Times New Roman"/>
        </w:rPr>
        <w:t>.</w:t>
      </w:r>
    </w:p>
  </w:footnote>
  <w:footnote w:id="15">
    <w:p w:rsidR="00DD1FAE" w:rsidRPr="00CE7B43" w:rsidRDefault="00DD1FAE" w:rsidP="00274CCE">
      <w:pPr>
        <w:pStyle w:val="FootnoteText"/>
        <w:spacing w:after="120"/>
        <w:rPr>
          <w:rFonts w:ascii="Times New Roman" w:hAnsi="Times New Roman"/>
        </w:rPr>
      </w:pPr>
      <w:r w:rsidRPr="003235E9">
        <w:rPr>
          <w:rStyle w:val="FootnoteReference"/>
        </w:rPr>
        <w:footnoteRef/>
      </w:r>
      <w:r w:rsidRPr="00CE7B43">
        <w:rPr>
          <w:rFonts w:ascii="Times New Roman" w:hAnsi="Times New Roman"/>
        </w:rPr>
        <w:t xml:space="preserve"> See 21 CFR 310.305(c)(2).</w:t>
      </w:r>
    </w:p>
  </w:footnote>
  <w:footnote w:id="16">
    <w:p w:rsidR="00DD1FAE" w:rsidRPr="00CE7B43" w:rsidRDefault="00DD1FAE" w:rsidP="00274CCE">
      <w:pPr>
        <w:pStyle w:val="FootnoteText"/>
        <w:spacing w:after="120"/>
        <w:rPr>
          <w:rFonts w:ascii="Times New Roman" w:hAnsi="Times New Roman"/>
        </w:rPr>
      </w:pPr>
      <w:r w:rsidRPr="003235E9">
        <w:rPr>
          <w:rStyle w:val="FootnoteReference"/>
        </w:rPr>
        <w:footnoteRef/>
      </w:r>
      <w:r w:rsidRPr="00CE7B43">
        <w:rPr>
          <w:rFonts w:ascii="Times New Roman" w:hAnsi="Times New Roman"/>
        </w:rPr>
        <w:t xml:space="preserve"> See 21 CFR 310.305(e).</w:t>
      </w:r>
    </w:p>
  </w:footnote>
  <w:footnote w:id="17">
    <w:p w:rsidR="00DD1FAE" w:rsidRPr="00CE7B43" w:rsidRDefault="00DD1FAE" w:rsidP="00274CCE">
      <w:pPr>
        <w:pStyle w:val="FootnoteText"/>
        <w:spacing w:after="120"/>
        <w:rPr>
          <w:rFonts w:ascii="Times New Roman" w:hAnsi="Times New Roman"/>
        </w:rPr>
      </w:pPr>
      <w:r w:rsidRPr="003235E9">
        <w:rPr>
          <w:rStyle w:val="FootnoteReference"/>
        </w:rPr>
        <w:footnoteRef/>
      </w:r>
      <w:r w:rsidRPr="00CE7B43">
        <w:rPr>
          <w:rFonts w:ascii="Times New Roman" w:hAnsi="Times New Roman"/>
        </w:rPr>
        <w:t xml:space="preserve"> See 21 CFR 310.305(f).</w:t>
      </w:r>
    </w:p>
  </w:footnote>
  <w:footnote w:id="18">
    <w:p w:rsidR="00DD1FAE" w:rsidRPr="00CE7B43" w:rsidRDefault="00DD1FAE" w:rsidP="00274CCE">
      <w:pPr>
        <w:pStyle w:val="FootnoteText"/>
        <w:spacing w:after="120"/>
        <w:rPr>
          <w:rFonts w:ascii="Times New Roman" w:hAnsi="Times New Roman"/>
        </w:rPr>
      </w:pPr>
      <w:r w:rsidRPr="003235E9">
        <w:rPr>
          <w:rStyle w:val="FootnoteReference"/>
        </w:rPr>
        <w:footnoteRef/>
      </w:r>
      <w:r w:rsidRPr="00CE7B43">
        <w:rPr>
          <w:rFonts w:ascii="Times New Roman" w:hAnsi="Times New Roman"/>
        </w:rPr>
        <w:t xml:space="preserve"> See 21</w:t>
      </w:r>
      <w:r w:rsidRPr="00EF006E">
        <w:rPr>
          <w:rFonts w:ascii="Times New Roman" w:hAnsi="Times New Roman"/>
        </w:rPr>
        <w:t xml:space="preserve"> CFR 310.305(g)</w:t>
      </w:r>
      <w:r w:rsidRPr="00CE7B43">
        <w:rPr>
          <w:rFonts w:ascii="Times New Roman" w:hAnsi="Times New Roman"/>
        </w:rPr>
        <w:t>.</w:t>
      </w:r>
    </w:p>
  </w:footnote>
  <w:footnote w:id="19">
    <w:p w:rsidR="00DD1FAE" w:rsidRPr="00746493" w:rsidRDefault="00DD1FAE">
      <w:pPr>
        <w:pStyle w:val="FootnoteText"/>
        <w:rPr>
          <w:lang w:val="en-US"/>
        </w:rPr>
      </w:pPr>
      <w:r>
        <w:rPr>
          <w:rStyle w:val="FootnoteReference"/>
        </w:rPr>
        <w:footnoteRef/>
      </w:r>
      <w:r>
        <w:rPr>
          <w:lang w:val="en-US"/>
        </w:rPr>
        <w:t xml:space="preserve"> See </w:t>
      </w:r>
      <w:r w:rsidRPr="00746493">
        <w:rPr>
          <w:rFonts w:ascii="Times New Roman" w:hAnsi="Times New Roman"/>
          <w:lang w:val="en-US"/>
        </w:rPr>
        <w:t>21 CFR 310.305(c)</w:t>
      </w:r>
      <w:r>
        <w:rPr>
          <w:rFonts w:ascii="Times New Roman" w:hAnsi="Times New Roman"/>
          <w:lang w:val="en-US"/>
        </w:rPr>
        <w:t>.</w:t>
      </w:r>
    </w:p>
  </w:footnote>
  <w:footnote w:id="20">
    <w:p w:rsidR="00DD1FAE" w:rsidRPr="00746493" w:rsidRDefault="00DD1FAE" w:rsidP="003758C6">
      <w:pPr>
        <w:pStyle w:val="FootnoteText"/>
        <w:spacing w:after="120"/>
        <w:rPr>
          <w:lang w:val="en-US"/>
        </w:rPr>
      </w:pPr>
      <w:r>
        <w:rPr>
          <w:rStyle w:val="FootnoteReference"/>
        </w:rPr>
        <w:footnoteRef/>
      </w:r>
      <w:r>
        <w:t xml:space="preserve"> </w:t>
      </w:r>
      <w:r>
        <w:rPr>
          <w:lang w:val="en-US"/>
        </w:rPr>
        <w:t xml:space="preserve">See </w:t>
      </w:r>
      <w:r w:rsidRPr="00746493">
        <w:rPr>
          <w:rFonts w:ascii="Times New Roman" w:hAnsi="Times New Roman"/>
          <w:lang w:val="en-US"/>
        </w:rPr>
        <w:t>21 CFR 310.305(c)(1)(i).</w:t>
      </w:r>
    </w:p>
  </w:footnote>
  <w:footnote w:id="21">
    <w:p w:rsidR="00DD1FAE" w:rsidRPr="0076745C" w:rsidRDefault="00DD1FAE" w:rsidP="003758C6">
      <w:pPr>
        <w:pStyle w:val="FootnoteText"/>
        <w:spacing w:after="120"/>
        <w:rPr>
          <w:lang w:val="en-US"/>
        </w:rPr>
      </w:pPr>
      <w:r>
        <w:rPr>
          <w:rStyle w:val="FootnoteReference"/>
        </w:rPr>
        <w:footnoteRef/>
      </w:r>
      <w:r>
        <w:t xml:space="preserve"> </w:t>
      </w:r>
      <w:r>
        <w:rPr>
          <w:lang w:val="en-US"/>
        </w:rPr>
        <w:t xml:space="preserve">See </w:t>
      </w:r>
      <w:r w:rsidRPr="0076745C">
        <w:rPr>
          <w:rFonts w:ascii="Times New Roman" w:hAnsi="Times New Roman"/>
          <w:lang w:val="en-US"/>
        </w:rPr>
        <w:t>21 CFR 310.305(c)(2)</w:t>
      </w:r>
      <w:r>
        <w:rPr>
          <w:rFonts w:ascii="Times New Roman" w:hAnsi="Times New Roman"/>
          <w:lang w:val="en-US"/>
        </w:rPr>
        <w:t>.</w:t>
      </w:r>
    </w:p>
  </w:footnote>
  <w:footnote w:id="22">
    <w:p w:rsidR="00DD1FAE" w:rsidRPr="00963D2B" w:rsidRDefault="00DD1FAE" w:rsidP="003758C6">
      <w:pPr>
        <w:pStyle w:val="FootnoteText"/>
        <w:spacing w:after="120"/>
        <w:rPr>
          <w:rFonts w:ascii="Times New Roman" w:hAnsi="Times New Roman"/>
          <w:lang w:val="en-US"/>
        </w:rPr>
      </w:pPr>
      <w:r>
        <w:rPr>
          <w:rStyle w:val="FootnoteReference"/>
        </w:rPr>
        <w:footnoteRef/>
      </w:r>
      <w:r>
        <w:t xml:space="preserve"> </w:t>
      </w:r>
      <w:r w:rsidRPr="003758C6">
        <w:rPr>
          <w:rFonts w:ascii="Times New Roman" w:hAnsi="Times New Roman"/>
          <w:lang w:val="en-US"/>
        </w:rPr>
        <w:t>Id.</w:t>
      </w:r>
    </w:p>
  </w:footnote>
  <w:footnote w:id="23">
    <w:p w:rsidR="00DD1FAE" w:rsidRPr="00D10504" w:rsidRDefault="00DD1FAE" w:rsidP="003758C6">
      <w:pPr>
        <w:pStyle w:val="FootnoteText"/>
        <w:spacing w:after="120"/>
        <w:rPr>
          <w:lang w:val="en-US"/>
        </w:rPr>
      </w:pPr>
      <w:r w:rsidRPr="00963D2B">
        <w:rPr>
          <w:rStyle w:val="FootnoteReference"/>
        </w:rPr>
        <w:footnoteRef/>
      </w:r>
      <w:r w:rsidRPr="00963D2B">
        <w:rPr>
          <w:rFonts w:ascii="Times New Roman" w:hAnsi="Times New Roman"/>
        </w:rPr>
        <w:t xml:space="preserve"> </w:t>
      </w:r>
      <w:r w:rsidRPr="003758C6">
        <w:rPr>
          <w:rFonts w:ascii="Times New Roman" w:hAnsi="Times New Roman"/>
          <w:lang w:val="en-US"/>
        </w:rPr>
        <w:t>Id.</w:t>
      </w:r>
    </w:p>
  </w:footnote>
  <w:footnote w:id="24">
    <w:p w:rsidR="00DD1FAE" w:rsidDel="00F53929" w:rsidRDefault="00DD1FAE" w:rsidP="00274CCE">
      <w:pPr>
        <w:pStyle w:val="FootnoteText"/>
        <w:spacing w:after="120"/>
      </w:pPr>
      <w:r w:rsidDel="00F53929">
        <w:rPr>
          <w:rStyle w:val="FootnoteReference"/>
        </w:rPr>
        <w:footnoteRef/>
      </w:r>
      <w:r w:rsidDel="00F53929">
        <w:t xml:space="preserve"> </w:t>
      </w:r>
      <w:r w:rsidRPr="006C5A5E" w:rsidDel="00F53929">
        <w:rPr>
          <w:rFonts w:ascii="Times New Roman" w:hAnsi="Times New Roman"/>
        </w:rPr>
        <w:t>See 21 CFR 310.305(e).</w:t>
      </w:r>
    </w:p>
  </w:footnote>
  <w:footnote w:id="25">
    <w:p w:rsidR="00C1200E" w:rsidRPr="00CE7B43" w:rsidRDefault="00C1200E" w:rsidP="00C1200E">
      <w:pPr>
        <w:pStyle w:val="FootnoteText"/>
        <w:spacing w:after="120"/>
        <w:rPr>
          <w:rFonts w:ascii="Times New Roman" w:hAnsi="Times New Roman"/>
        </w:rPr>
      </w:pPr>
      <w:r w:rsidRPr="003235E9">
        <w:rPr>
          <w:rStyle w:val="FootnoteReference"/>
        </w:rPr>
        <w:footnoteRef/>
      </w:r>
      <w:r w:rsidRPr="00CE7B43">
        <w:rPr>
          <w:rFonts w:ascii="Times New Roman" w:hAnsi="Times New Roman"/>
        </w:rPr>
        <w:t xml:space="preserve"> See 21</w:t>
      </w:r>
      <w:r w:rsidRPr="00EF006E">
        <w:rPr>
          <w:rFonts w:ascii="Times New Roman" w:hAnsi="Times New Roman"/>
        </w:rPr>
        <w:t xml:space="preserve"> CFR 310.305(g)</w:t>
      </w:r>
      <w:r w:rsidRPr="00CE7B43">
        <w:rPr>
          <w:rFonts w:ascii="Times New Roman" w:hAnsi="Times New Roman"/>
        </w:rPr>
        <w:t>.</w:t>
      </w:r>
    </w:p>
  </w:footnote>
  <w:footnote w:id="26">
    <w:p w:rsidR="00DD1FAE" w:rsidRPr="00B56F89" w:rsidRDefault="00DD1FAE">
      <w:pPr>
        <w:pStyle w:val="FootnoteText"/>
        <w:rPr>
          <w:lang w:val="en-US"/>
        </w:rPr>
      </w:pPr>
      <w:r>
        <w:rPr>
          <w:rStyle w:val="FootnoteReference"/>
        </w:rPr>
        <w:footnoteRef/>
      </w:r>
      <w:r>
        <w:t xml:space="preserve"> </w:t>
      </w:r>
      <w:r w:rsidRPr="00B56F89">
        <w:rPr>
          <w:rFonts w:ascii="Times New Roman" w:hAnsi="Times New Roman"/>
          <w:lang w:val="en-US"/>
        </w:rPr>
        <w:t>See 21 CFR 310.305(b).</w:t>
      </w:r>
    </w:p>
  </w:footnote>
  <w:footnote w:id="27">
    <w:p w:rsidR="00DD1FAE" w:rsidRDefault="004505F9" w:rsidP="00423055">
      <w:pPr>
        <w:pStyle w:val="FootnoteText"/>
        <w:rPr>
          <w:rFonts w:ascii="Times New Roman" w:hAnsi="Times New Roman"/>
          <w:lang w:val="en-US"/>
        </w:rPr>
      </w:pPr>
      <w:r w:rsidRPr="001F56E2">
        <w:rPr>
          <w:rStyle w:val="FootnoteReference"/>
        </w:rPr>
        <w:footnoteRef/>
      </w:r>
      <w:r w:rsidRPr="001F56E2">
        <w:rPr>
          <w:rStyle w:val="FootnoteReference"/>
          <w:vertAlign w:val="baseline"/>
        </w:rPr>
        <w:t xml:space="preserve"> See section 21 CFR 310.305(c)(1)(i)</w:t>
      </w:r>
      <w:r w:rsidRPr="00423055">
        <w:rPr>
          <w:rFonts w:ascii="Times New Roman" w:hAnsi="Times New Roman"/>
          <w:lang w:val="en-US"/>
        </w:rPr>
        <w:t>.</w:t>
      </w:r>
    </w:p>
    <w:p w:rsidR="004505F9" w:rsidRPr="00423055" w:rsidRDefault="004505F9" w:rsidP="004505F9">
      <w:pPr>
        <w:pStyle w:val="FootnoteText"/>
        <w:rPr>
          <w:rFonts w:ascii="Times New Roman" w:hAnsi="Times New Roman"/>
          <w:lang w:val="en-US"/>
        </w:rPr>
      </w:pPr>
      <w:r>
        <w:rPr>
          <w:rFonts w:ascii="Times New Roman" w:hAnsi="Times New Roman"/>
          <w:vanish/>
          <w:lang w:val="en-US"/>
        </w:rPr>
        <w:t>c)(4).ction C10d therapy dates, cover concomitant twice.  I know we discussed this but I don't understand this outcome. e sugges</w:t>
      </w:r>
    </w:p>
  </w:footnote>
  <w:footnote w:id="28">
    <w:p w:rsidR="00DD1FAE" w:rsidRDefault="00674880">
      <w:pPr>
        <w:pStyle w:val="FootnoteText"/>
        <w:rPr>
          <w:rFonts w:ascii="Times New Roman" w:hAnsi="Times New Roman"/>
          <w:color w:val="0000FF"/>
          <w:lang w:val="en-US"/>
        </w:rPr>
      </w:pPr>
      <w:r w:rsidRPr="005F4984">
        <w:rPr>
          <w:rStyle w:val="FootnoteReference"/>
        </w:rPr>
        <w:footnoteRef/>
      </w:r>
      <w:r w:rsidRPr="005F4984">
        <w:rPr>
          <w:rFonts w:ascii="Times New Roman" w:hAnsi="Times New Roman"/>
        </w:rPr>
        <w:t xml:space="preserve"> The FDA SRP Web page is available at </w:t>
      </w:r>
      <w:hyperlink r:id="rId2" w:history="1">
        <w:r w:rsidRPr="005F4984">
          <w:rPr>
            <w:rStyle w:val="Hyperlink"/>
            <w:rFonts w:ascii="Times New Roman" w:hAnsi="Times New Roman"/>
          </w:rPr>
          <w:t>http://www.safetyreporting.hhs.gov</w:t>
        </w:r>
      </w:hyperlink>
      <w:r w:rsidRPr="005F4984">
        <w:rPr>
          <w:rFonts w:ascii="Times New Roman" w:hAnsi="Times New Roman"/>
          <w:color w:val="0000FF"/>
          <w:lang w:val="en-US"/>
        </w:rPr>
        <w:t>.</w:t>
      </w:r>
    </w:p>
    <w:p w:rsidR="00F24691" w:rsidRPr="005F4984" w:rsidDel="00674880" w:rsidRDefault="00F24691">
      <w:pPr>
        <w:pStyle w:val="FootnoteText"/>
        <w:rPr>
          <w:rFonts w:ascii="Times New Roman" w:hAnsi="Times New Roman"/>
          <w:lang w:val="en-US"/>
        </w:rPr>
      </w:pPr>
    </w:p>
  </w:footnote>
  <w:footnote w:id="29">
    <w:p w:rsidR="00F24691" w:rsidRPr="00F24691" w:rsidRDefault="00F24691">
      <w:pPr>
        <w:pStyle w:val="FootnoteText"/>
        <w:rPr>
          <w:rFonts w:ascii="Times New Roman" w:hAnsi="Times New Roman"/>
          <w:lang w:val="en-US"/>
        </w:rPr>
      </w:pPr>
      <w:r w:rsidRPr="00F24691">
        <w:rPr>
          <w:rStyle w:val="FootnoteReference"/>
        </w:rPr>
        <w:footnoteRef/>
      </w:r>
      <w:r w:rsidRPr="00F24691">
        <w:rPr>
          <w:rFonts w:ascii="Times New Roman" w:hAnsi="Times New Roman"/>
        </w:rPr>
        <w:t xml:space="preserve"> </w:t>
      </w:r>
      <w:r w:rsidRPr="00F24691">
        <w:rPr>
          <w:rFonts w:ascii="Times New Roman" w:hAnsi="Times New Roman"/>
          <w:lang w:val="en-US"/>
        </w:rPr>
        <w:t xml:space="preserve">The FDA ESG Web page is available at </w:t>
      </w:r>
      <w:hyperlink r:id="rId3" w:history="1">
        <w:r w:rsidRPr="00F24691">
          <w:rPr>
            <w:rStyle w:val="Hyperlink"/>
            <w:rFonts w:ascii="Times New Roman" w:hAnsi="Times New Roman"/>
          </w:rPr>
          <w:t>http://www.fda.gov/ForIndustry/ElectronicSubmissionsGateway/ucm2005551.htm</w:t>
        </w:r>
      </w:hyperlink>
      <w:r>
        <w:rPr>
          <w:rFonts w:ascii="Times New Roman" w:hAnsi="Times New Roman"/>
          <w:lang w:val="en-US"/>
        </w:rPr>
        <w:t>.</w:t>
      </w:r>
    </w:p>
    <w:p w:rsidR="00F24691" w:rsidRPr="00F24691" w:rsidRDefault="00F24691">
      <w:pPr>
        <w:pStyle w:val="FootnoteText"/>
        <w:rPr>
          <w:lang w:val="en-US"/>
        </w:rPr>
      </w:pPr>
    </w:p>
  </w:footnote>
  <w:footnote w:id="30">
    <w:p w:rsidR="00DD1FAE" w:rsidRPr="00423055" w:rsidRDefault="00DD1FAE" w:rsidP="00423055">
      <w:pPr>
        <w:pStyle w:val="FootnoteText"/>
        <w:spacing w:after="120"/>
        <w:rPr>
          <w:rFonts w:ascii="Times New Roman" w:hAnsi="Times New Roman"/>
          <w:lang w:val="en-US"/>
        </w:rPr>
      </w:pPr>
      <w:r w:rsidRPr="001F56E2">
        <w:rPr>
          <w:rStyle w:val="FootnoteReference"/>
        </w:rPr>
        <w:footnoteRef/>
      </w:r>
      <w:r w:rsidRPr="001F56E2">
        <w:rPr>
          <w:rFonts w:ascii="Times New Roman" w:hAnsi="Times New Roman"/>
        </w:rPr>
        <w:t xml:space="preserve"> See section 21 CFR 310.305(f)(3)</w:t>
      </w:r>
      <w:r w:rsidRPr="001F56E2">
        <w:rPr>
          <w:rFonts w:ascii="Times New Roman" w:hAnsi="Times New Roman"/>
          <w:lang w:val="en-US"/>
        </w:rPr>
        <w:t>.</w:t>
      </w:r>
      <w:r w:rsidRPr="001F56E2">
        <w:rPr>
          <w:rFonts w:ascii="Times New Roman" w:hAnsi="Times New Roman"/>
        </w:rPr>
        <w:t xml:space="preserve"> </w:t>
      </w:r>
    </w:p>
  </w:footnote>
  <w:footnote w:id="31">
    <w:p w:rsidR="00DD1FAE" w:rsidRDefault="00DD1FAE" w:rsidP="00372175">
      <w:pPr>
        <w:pStyle w:val="FootnoteText"/>
        <w:keepNext/>
        <w:keepLines/>
        <w:spacing w:after="120"/>
        <w:rPr>
          <w:rFonts w:ascii="Times" w:hAnsi="Times"/>
          <w:lang w:val="en-US"/>
        </w:rPr>
      </w:pPr>
      <w:r w:rsidRPr="00423055">
        <w:rPr>
          <w:rStyle w:val="FootnoteReference"/>
        </w:rPr>
        <w:footnoteRef/>
      </w:r>
      <w:r w:rsidRPr="00423055">
        <w:rPr>
          <w:rFonts w:ascii="Times New Roman" w:hAnsi="Times New Roman"/>
        </w:rPr>
        <w:t xml:space="preserve"> </w:t>
      </w:r>
      <w:r w:rsidRPr="00423055">
        <w:rPr>
          <w:rFonts w:ascii="Times New Roman" w:hAnsi="Times New Roman"/>
          <w:lang w:val="en-US"/>
        </w:rPr>
        <w:t>Outsourcing</w:t>
      </w:r>
      <w:r w:rsidRPr="00423055">
        <w:rPr>
          <w:rFonts w:ascii="Times New Roman" w:hAnsi="Times New Roman"/>
        </w:rPr>
        <w:t xml:space="preserve"> facilities are subject to current good manufacturing practice (CGMP) requirements.  </w:t>
      </w:r>
      <w:r w:rsidRPr="00423055">
        <w:rPr>
          <w:rFonts w:ascii="Times New Roman" w:hAnsi="Times New Roman"/>
          <w:lang w:val="en-US"/>
        </w:rPr>
        <w:t xml:space="preserve">Pending the development of further regulations, FDA expects outsourcing facilities, among other things, to comply with the CGMP requirements in </w:t>
      </w:r>
      <w:r w:rsidRPr="00423055">
        <w:rPr>
          <w:rFonts w:ascii="Times New Roman" w:hAnsi="Times New Roman"/>
        </w:rPr>
        <w:t>21 CFR 211.198</w:t>
      </w:r>
      <w:r w:rsidRPr="00423055">
        <w:rPr>
          <w:rFonts w:ascii="Times New Roman" w:hAnsi="Times New Roman"/>
          <w:lang w:val="en-US"/>
        </w:rPr>
        <w:t>, which is a companion to 21 CFR 310.305. This section</w:t>
      </w:r>
      <w:r w:rsidRPr="00423055">
        <w:rPr>
          <w:rFonts w:ascii="Times New Roman" w:hAnsi="Times New Roman"/>
        </w:rPr>
        <w:t xml:space="preserve"> requires that “[w]ritten procedures describing the handling of all written and oral complaints regarding a drug product shall be established and followed,” and further requires that these procedures must include “provisions for review to determine whether the complaint represents a serious and unexpected adverse drug experience which is required </w:t>
      </w:r>
      <w:r w:rsidRPr="00D732D7">
        <w:rPr>
          <w:rFonts w:ascii="Times" w:hAnsi="Times"/>
        </w:rPr>
        <w:t xml:space="preserve">to be reported to the Food and Drug Administration in accordance with </w:t>
      </w:r>
      <w:r>
        <w:rPr>
          <w:rFonts w:ascii="Times" w:hAnsi="Times"/>
          <w:lang w:val="en-US"/>
        </w:rPr>
        <w:t xml:space="preserve">[section] </w:t>
      </w:r>
      <w:r w:rsidRPr="00D732D7">
        <w:rPr>
          <w:rFonts w:ascii="Times" w:hAnsi="Times"/>
        </w:rPr>
        <w:t xml:space="preserve">310.305 … of this chapter.”  </w:t>
      </w:r>
      <w:r w:rsidRPr="00AD2B87">
        <w:rPr>
          <w:rFonts w:ascii="Times" w:hAnsi="Times"/>
        </w:rPr>
        <w:t xml:space="preserve">See </w:t>
      </w:r>
      <w:r>
        <w:rPr>
          <w:rFonts w:ascii="Times" w:hAnsi="Times"/>
          <w:lang w:val="en-US"/>
        </w:rPr>
        <w:t xml:space="preserve">FDA’s </w:t>
      </w:r>
      <w:r w:rsidRPr="00AD2B87">
        <w:rPr>
          <w:rFonts w:ascii="Times" w:hAnsi="Times"/>
        </w:rPr>
        <w:t xml:space="preserve">guidance for industry, </w:t>
      </w:r>
      <w:r w:rsidRPr="003758C6">
        <w:rPr>
          <w:rFonts w:ascii="Times" w:hAnsi="Times"/>
          <w:i/>
        </w:rPr>
        <w:t xml:space="preserve">Current Good Manufacturing Practice—Interim Guidance for Human Drug Compounding Outsourcing Facilities Under </w:t>
      </w:r>
      <w:r>
        <w:rPr>
          <w:rFonts w:ascii="Times" w:hAnsi="Times"/>
          <w:i/>
          <w:lang w:val="en-US"/>
        </w:rPr>
        <w:t>S</w:t>
      </w:r>
      <w:r w:rsidRPr="003758C6">
        <w:rPr>
          <w:rFonts w:ascii="Times" w:hAnsi="Times"/>
          <w:i/>
        </w:rPr>
        <w:t>ection 503B of the FD&amp;C Act</w:t>
      </w:r>
      <w:r w:rsidRPr="00AD2B87">
        <w:rPr>
          <w:rFonts w:ascii="Times" w:hAnsi="Times"/>
        </w:rPr>
        <w:t>, available at</w:t>
      </w:r>
      <w:r>
        <w:rPr>
          <w:rFonts w:ascii="Times" w:hAnsi="Times"/>
          <w:lang w:val="en-US"/>
        </w:rPr>
        <w:t>:</w:t>
      </w:r>
      <w:r w:rsidRPr="00AD2B87">
        <w:rPr>
          <w:rFonts w:ascii="Times" w:hAnsi="Times"/>
        </w:rPr>
        <w:t xml:space="preserve"> </w:t>
      </w:r>
      <w:hyperlink r:id="rId4" w:history="1">
        <w:r w:rsidRPr="00CB3E27">
          <w:rPr>
            <w:rStyle w:val="Hyperlink"/>
            <w:rFonts w:ascii="Times" w:hAnsi="Times"/>
          </w:rPr>
          <w:t>http://www.fda.gov/downloads/Drugs/GuidanceComplianceRegulatoryInformation/Guidances/UCM403496.pdf</w:t>
        </w:r>
      </w:hyperlink>
      <w:r>
        <w:rPr>
          <w:rFonts w:ascii="Times" w:hAnsi="Times"/>
          <w:lang w:val="en-US"/>
        </w:rPr>
        <w:t>.</w:t>
      </w:r>
    </w:p>
    <w:p w:rsidR="00DD1FAE" w:rsidRPr="0067577F" w:rsidRDefault="00DD1FAE" w:rsidP="003758C6">
      <w:pPr>
        <w:pStyle w:val="FootnoteText"/>
        <w:spacing w:after="120"/>
        <w:rPr>
          <w:rFonts w:ascii="Times" w:hAnsi="Times"/>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Pr="0067668E" w:rsidRDefault="00DD1FAE" w:rsidP="00274C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rsidP="00274CCE">
    <w:pPr>
      <w:pStyle w:val="Header"/>
      <w:spacing w:after="120"/>
      <w:jc w:val="center"/>
      <w:rPr>
        <w:b/>
        <w:i/>
      </w:rPr>
    </w:pPr>
    <w:r>
      <w:rPr>
        <w:b/>
        <w:i/>
      </w:rPr>
      <w:t>Contains Nonbinding Recommendations</w:t>
    </w:r>
  </w:p>
  <w:p w:rsidR="00DD1FAE" w:rsidRDefault="00DD1FAE" w:rsidP="00274CCE">
    <w:pPr>
      <w:pStyle w:val="Header"/>
      <w:spacing w:after="120"/>
      <w:jc w:val="center"/>
      <w:rPr>
        <w:i/>
      </w:rPr>
    </w:pPr>
    <w:r>
      <w:rPr>
        <w:i/>
        <w:sz w:val="20"/>
      </w:rPr>
      <w:t>Draft — Not for Implementation</w:t>
    </w:r>
  </w:p>
  <w:p w:rsidR="00DD1FAE" w:rsidRPr="0067668E" w:rsidRDefault="00DD1FAE" w:rsidP="00274C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pPr>
      <w:pStyle w:val="Header"/>
    </w:pPr>
  </w:p>
  <w:p w:rsidR="00DD1FAE" w:rsidRDefault="00DD1FA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Pr="008F3848" w:rsidRDefault="00DD1FAE" w:rsidP="00274CCE">
    <w:pPr>
      <w:pStyle w:val="Header"/>
      <w:spacing w:after="120"/>
      <w:jc w:val="center"/>
      <w:rPr>
        <w:rFonts w:ascii="Times New Roman" w:hAnsi="Times New Roman"/>
        <w:b/>
        <w:i/>
      </w:rPr>
    </w:pPr>
    <w:r w:rsidRPr="008F3848">
      <w:rPr>
        <w:rFonts w:ascii="Times New Roman" w:hAnsi="Times New Roman"/>
        <w:b/>
        <w:i/>
      </w:rPr>
      <w:t>Contains Nonbinding Recommendations</w:t>
    </w:r>
  </w:p>
  <w:p w:rsidR="00DD1FAE" w:rsidRPr="0067668E" w:rsidRDefault="00DD1FAE" w:rsidP="00274CCE">
    <w:pPr>
      <w:pStyle w:val="Header"/>
    </w:pPr>
  </w:p>
  <w:p w:rsidR="00DD1FAE" w:rsidRDefault="00DD1FA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AE" w:rsidRDefault="00DD1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1DB2"/>
    <w:multiLevelType w:val="hybridMultilevel"/>
    <w:tmpl w:val="CF28C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351E56"/>
    <w:multiLevelType w:val="hybridMultilevel"/>
    <w:tmpl w:val="DF6A6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2910E8"/>
    <w:multiLevelType w:val="hybridMultilevel"/>
    <w:tmpl w:val="F58EFB0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32F35D41"/>
    <w:multiLevelType w:val="hybridMultilevel"/>
    <w:tmpl w:val="BE48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953B66"/>
    <w:multiLevelType w:val="hybridMultilevel"/>
    <w:tmpl w:val="E7727FB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ADD75FD"/>
    <w:multiLevelType w:val="hybridMultilevel"/>
    <w:tmpl w:val="1046A5CE"/>
    <w:lvl w:ilvl="0" w:tplc="3C5AD8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26361"/>
    <w:multiLevelType w:val="hybridMultilevel"/>
    <w:tmpl w:val="9D4868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22A6E63"/>
    <w:multiLevelType w:val="hybridMultilevel"/>
    <w:tmpl w:val="4FA6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D4D2B"/>
    <w:multiLevelType w:val="hybridMultilevel"/>
    <w:tmpl w:val="AA260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901613"/>
    <w:multiLevelType w:val="hybridMultilevel"/>
    <w:tmpl w:val="996893CA"/>
    <w:lvl w:ilvl="0" w:tplc="3BB28C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220986"/>
    <w:multiLevelType w:val="hybridMultilevel"/>
    <w:tmpl w:val="074C4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4D2263D"/>
    <w:multiLevelType w:val="hybridMultilevel"/>
    <w:tmpl w:val="5BDA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945210"/>
    <w:multiLevelType w:val="hybridMultilevel"/>
    <w:tmpl w:val="C804F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D71502"/>
    <w:multiLevelType w:val="hybridMultilevel"/>
    <w:tmpl w:val="69E85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B642C2"/>
    <w:multiLevelType w:val="hybridMultilevel"/>
    <w:tmpl w:val="7FE84F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2"/>
  </w:num>
  <w:num w:numId="4">
    <w:abstractNumId w:val="0"/>
  </w:num>
  <w:num w:numId="5">
    <w:abstractNumId w:val="10"/>
  </w:num>
  <w:num w:numId="6">
    <w:abstractNumId w:val="7"/>
  </w:num>
  <w:num w:numId="7">
    <w:abstractNumId w:val="11"/>
  </w:num>
  <w:num w:numId="8">
    <w:abstractNumId w:val="4"/>
  </w:num>
  <w:num w:numId="9">
    <w:abstractNumId w:val="3"/>
  </w:num>
  <w:num w:numId="10">
    <w:abstractNumId w:val="14"/>
  </w:num>
  <w:num w:numId="11">
    <w:abstractNumId w:val="1"/>
  </w:num>
  <w:num w:numId="12">
    <w:abstractNumId w:val="8"/>
  </w:num>
  <w:num w:numId="13">
    <w:abstractNumId w:val="6"/>
  </w:num>
  <w:num w:numId="14">
    <w:abstractNumId w:val="9"/>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14"/>
    <w:rsid w:val="000039AE"/>
    <w:rsid w:val="00005C97"/>
    <w:rsid w:val="00006A4A"/>
    <w:rsid w:val="00011A22"/>
    <w:rsid w:val="000121D8"/>
    <w:rsid w:val="00014155"/>
    <w:rsid w:val="0001458C"/>
    <w:rsid w:val="00031066"/>
    <w:rsid w:val="0003409D"/>
    <w:rsid w:val="00034B18"/>
    <w:rsid w:val="00035CD6"/>
    <w:rsid w:val="00040464"/>
    <w:rsid w:val="00045F53"/>
    <w:rsid w:val="000468B8"/>
    <w:rsid w:val="0006431B"/>
    <w:rsid w:val="000654F3"/>
    <w:rsid w:val="00072372"/>
    <w:rsid w:val="0009237C"/>
    <w:rsid w:val="000934D4"/>
    <w:rsid w:val="000A67DF"/>
    <w:rsid w:val="000A730F"/>
    <w:rsid w:val="000B31C1"/>
    <w:rsid w:val="000B6525"/>
    <w:rsid w:val="000C27A5"/>
    <w:rsid w:val="000C3B6F"/>
    <w:rsid w:val="000D03B7"/>
    <w:rsid w:val="000D6536"/>
    <w:rsid w:val="000E155F"/>
    <w:rsid w:val="000E36A8"/>
    <w:rsid w:val="000E4450"/>
    <w:rsid w:val="000E60A3"/>
    <w:rsid w:val="000F62AC"/>
    <w:rsid w:val="001001E2"/>
    <w:rsid w:val="001004D9"/>
    <w:rsid w:val="00102363"/>
    <w:rsid w:val="00102B9C"/>
    <w:rsid w:val="00104BF7"/>
    <w:rsid w:val="0011490C"/>
    <w:rsid w:val="001217F4"/>
    <w:rsid w:val="00127504"/>
    <w:rsid w:val="00130617"/>
    <w:rsid w:val="00131E68"/>
    <w:rsid w:val="001324A7"/>
    <w:rsid w:val="00132EDD"/>
    <w:rsid w:val="00135026"/>
    <w:rsid w:val="00135145"/>
    <w:rsid w:val="001353F8"/>
    <w:rsid w:val="001458F2"/>
    <w:rsid w:val="0015007D"/>
    <w:rsid w:val="00152AD8"/>
    <w:rsid w:val="00156781"/>
    <w:rsid w:val="00156DB4"/>
    <w:rsid w:val="00166AE4"/>
    <w:rsid w:val="001720E1"/>
    <w:rsid w:val="00173FAE"/>
    <w:rsid w:val="0018143E"/>
    <w:rsid w:val="0018175A"/>
    <w:rsid w:val="00190409"/>
    <w:rsid w:val="001A2C8F"/>
    <w:rsid w:val="001A64B2"/>
    <w:rsid w:val="001A6612"/>
    <w:rsid w:val="001A6A9E"/>
    <w:rsid w:val="001B1BA7"/>
    <w:rsid w:val="001B43B8"/>
    <w:rsid w:val="001C1E12"/>
    <w:rsid w:val="001E489E"/>
    <w:rsid w:val="001F13EC"/>
    <w:rsid w:val="001F253B"/>
    <w:rsid w:val="001F4AC3"/>
    <w:rsid w:val="001F56E2"/>
    <w:rsid w:val="002003AD"/>
    <w:rsid w:val="00210F9B"/>
    <w:rsid w:val="002119D0"/>
    <w:rsid w:val="00214C0E"/>
    <w:rsid w:val="002152BD"/>
    <w:rsid w:val="002346D4"/>
    <w:rsid w:val="00247240"/>
    <w:rsid w:val="0024784A"/>
    <w:rsid w:val="002631B2"/>
    <w:rsid w:val="00267099"/>
    <w:rsid w:val="002715AB"/>
    <w:rsid w:val="00274CCE"/>
    <w:rsid w:val="002913C6"/>
    <w:rsid w:val="002A02D0"/>
    <w:rsid w:val="002A06AB"/>
    <w:rsid w:val="002A16FE"/>
    <w:rsid w:val="002A2A80"/>
    <w:rsid w:val="002B0653"/>
    <w:rsid w:val="002B131B"/>
    <w:rsid w:val="002B55C8"/>
    <w:rsid w:val="002B62F5"/>
    <w:rsid w:val="002D30EA"/>
    <w:rsid w:val="002D48ED"/>
    <w:rsid w:val="002E13E4"/>
    <w:rsid w:val="002E19F0"/>
    <w:rsid w:val="002E3645"/>
    <w:rsid w:val="002F0A1F"/>
    <w:rsid w:val="002F443E"/>
    <w:rsid w:val="002F7406"/>
    <w:rsid w:val="00302008"/>
    <w:rsid w:val="00303C0E"/>
    <w:rsid w:val="00304C4D"/>
    <w:rsid w:val="00305E62"/>
    <w:rsid w:val="00311E35"/>
    <w:rsid w:val="00314F03"/>
    <w:rsid w:val="00324AA9"/>
    <w:rsid w:val="00332B14"/>
    <w:rsid w:val="003364D0"/>
    <w:rsid w:val="00337F42"/>
    <w:rsid w:val="00344F31"/>
    <w:rsid w:val="00351236"/>
    <w:rsid w:val="0035193D"/>
    <w:rsid w:val="00351E06"/>
    <w:rsid w:val="00354E22"/>
    <w:rsid w:val="00355A73"/>
    <w:rsid w:val="00364617"/>
    <w:rsid w:val="00364CAF"/>
    <w:rsid w:val="00372175"/>
    <w:rsid w:val="003758C6"/>
    <w:rsid w:val="0038398D"/>
    <w:rsid w:val="00385681"/>
    <w:rsid w:val="00391EC3"/>
    <w:rsid w:val="00394783"/>
    <w:rsid w:val="003978AB"/>
    <w:rsid w:val="003A72AE"/>
    <w:rsid w:val="003B24EC"/>
    <w:rsid w:val="003B5D76"/>
    <w:rsid w:val="003B795B"/>
    <w:rsid w:val="003C2C81"/>
    <w:rsid w:val="003C42F4"/>
    <w:rsid w:val="003C7498"/>
    <w:rsid w:val="003E3559"/>
    <w:rsid w:val="003E6CCE"/>
    <w:rsid w:val="003F0C74"/>
    <w:rsid w:val="003F2ADB"/>
    <w:rsid w:val="003F49D2"/>
    <w:rsid w:val="00403597"/>
    <w:rsid w:val="00410719"/>
    <w:rsid w:val="004130C2"/>
    <w:rsid w:val="00414314"/>
    <w:rsid w:val="00415CCA"/>
    <w:rsid w:val="00423055"/>
    <w:rsid w:val="004235B4"/>
    <w:rsid w:val="00424E39"/>
    <w:rsid w:val="0042652F"/>
    <w:rsid w:val="00432485"/>
    <w:rsid w:val="00435E85"/>
    <w:rsid w:val="004375AC"/>
    <w:rsid w:val="004427C6"/>
    <w:rsid w:val="00442F75"/>
    <w:rsid w:val="004505F9"/>
    <w:rsid w:val="00452078"/>
    <w:rsid w:val="0045453A"/>
    <w:rsid w:val="00463271"/>
    <w:rsid w:val="00471416"/>
    <w:rsid w:val="00473B48"/>
    <w:rsid w:val="00473E26"/>
    <w:rsid w:val="0048663B"/>
    <w:rsid w:val="004919B5"/>
    <w:rsid w:val="00492B4E"/>
    <w:rsid w:val="004A6046"/>
    <w:rsid w:val="004A7FDE"/>
    <w:rsid w:val="004B0344"/>
    <w:rsid w:val="004C032D"/>
    <w:rsid w:val="004C2483"/>
    <w:rsid w:val="004C64BC"/>
    <w:rsid w:val="004C711C"/>
    <w:rsid w:val="004D10F0"/>
    <w:rsid w:val="004D1F87"/>
    <w:rsid w:val="004D23D2"/>
    <w:rsid w:val="004D2848"/>
    <w:rsid w:val="004D2980"/>
    <w:rsid w:val="004D7D88"/>
    <w:rsid w:val="004E2687"/>
    <w:rsid w:val="004E51C6"/>
    <w:rsid w:val="004E60CF"/>
    <w:rsid w:val="004F0D77"/>
    <w:rsid w:val="004F5CCF"/>
    <w:rsid w:val="00501F10"/>
    <w:rsid w:val="00522C06"/>
    <w:rsid w:val="005236A2"/>
    <w:rsid w:val="005240FD"/>
    <w:rsid w:val="00525549"/>
    <w:rsid w:val="005301E7"/>
    <w:rsid w:val="005445B9"/>
    <w:rsid w:val="00547954"/>
    <w:rsid w:val="00562868"/>
    <w:rsid w:val="00563600"/>
    <w:rsid w:val="005678CB"/>
    <w:rsid w:val="005805FE"/>
    <w:rsid w:val="005873AD"/>
    <w:rsid w:val="00592CC6"/>
    <w:rsid w:val="00592E78"/>
    <w:rsid w:val="00594B5B"/>
    <w:rsid w:val="005978E0"/>
    <w:rsid w:val="00597B2C"/>
    <w:rsid w:val="005A2412"/>
    <w:rsid w:val="005A47BC"/>
    <w:rsid w:val="005A56A6"/>
    <w:rsid w:val="005A5BD5"/>
    <w:rsid w:val="005A6B76"/>
    <w:rsid w:val="005B54EE"/>
    <w:rsid w:val="005B6D66"/>
    <w:rsid w:val="005B7FF6"/>
    <w:rsid w:val="005C0547"/>
    <w:rsid w:val="005C1750"/>
    <w:rsid w:val="005D0441"/>
    <w:rsid w:val="005D2E14"/>
    <w:rsid w:val="005D5B37"/>
    <w:rsid w:val="005D6FD4"/>
    <w:rsid w:val="005E2E74"/>
    <w:rsid w:val="005E70C0"/>
    <w:rsid w:val="005E7538"/>
    <w:rsid w:val="005F4984"/>
    <w:rsid w:val="005F4CB5"/>
    <w:rsid w:val="005F6134"/>
    <w:rsid w:val="00605184"/>
    <w:rsid w:val="00612D69"/>
    <w:rsid w:val="00612ED2"/>
    <w:rsid w:val="00613F18"/>
    <w:rsid w:val="00614FC0"/>
    <w:rsid w:val="0062034D"/>
    <w:rsid w:val="006223AE"/>
    <w:rsid w:val="0062641B"/>
    <w:rsid w:val="00626B30"/>
    <w:rsid w:val="00627517"/>
    <w:rsid w:val="00627BD3"/>
    <w:rsid w:val="006327EA"/>
    <w:rsid w:val="0063440C"/>
    <w:rsid w:val="00637111"/>
    <w:rsid w:val="006378BF"/>
    <w:rsid w:val="00644487"/>
    <w:rsid w:val="0065117E"/>
    <w:rsid w:val="006531C2"/>
    <w:rsid w:val="00666F50"/>
    <w:rsid w:val="00671451"/>
    <w:rsid w:val="00674880"/>
    <w:rsid w:val="0067535A"/>
    <w:rsid w:val="0067577F"/>
    <w:rsid w:val="006774E8"/>
    <w:rsid w:val="00684A28"/>
    <w:rsid w:val="00692A76"/>
    <w:rsid w:val="0069654E"/>
    <w:rsid w:val="006A0AE7"/>
    <w:rsid w:val="006B2475"/>
    <w:rsid w:val="006B3E3B"/>
    <w:rsid w:val="006C0DBA"/>
    <w:rsid w:val="006C25C4"/>
    <w:rsid w:val="006C5A5E"/>
    <w:rsid w:val="006C6D91"/>
    <w:rsid w:val="006D3FB5"/>
    <w:rsid w:val="006D6E1D"/>
    <w:rsid w:val="006E7857"/>
    <w:rsid w:val="006F0FFE"/>
    <w:rsid w:val="00712B02"/>
    <w:rsid w:val="007134DB"/>
    <w:rsid w:val="00715B1A"/>
    <w:rsid w:val="007173F4"/>
    <w:rsid w:val="0072112D"/>
    <w:rsid w:val="00726D5A"/>
    <w:rsid w:val="00734414"/>
    <w:rsid w:val="007449F3"/>
    <w:rsid w:val="00746493"/>
    <w:rsid w:val="007529D6"/>
    <w:rsid w:val="00757A4C"/>
    <w:rsid w:val="00760137"/>
    <w:rsid w:val="00760EFD"/>
    <w:rsid w:val="00763FDC"/>
    <w:rsid w:val="00766653"/>
    <w:rsid w:val="0076745C"/>
    <w:rsid w:val="00770488"/>
    <w:rsid w:val="00782CA6"/>
    <w:rsid w:val="007917C7"/>
    <w:rsid w:val="007A45B0"/>
    <w:rsid w:val="007B2A7E"/>
    <w:rsid w:val="007C2048"/>
    <w:rsid w:val="007C2907"/>
    <w:rsid w:val="007C75D0"/>
    <w:rsid w:val="007D5967"/>
    <w:rsid w:val="007E2858"/>
    <w:rsid w:val="007E3901"/>
    <w:rsid w:val="007E74D1"/>
    <w:rsid w:val="007F6DB2"/>
    <w:rsid w:val="00802675"/>
    <w:rsid w:val="008112B1"/>
    <w:rsid w:val="00812524"/>
    <w:rsid w:val="00820CC4"/>
    <w:rsid w:val="00833032"/>
    <w:rsid w:val="008422CF"/>
    <w:rsid w:val="00842A69"/>
    <w:rsid w:val="0084495E"/>
    <w:rsid w:val="00854CEB"/>
    <w:rsid w:val="008720D6"/>
    <w:rsid w:val="00872561"/>
    <w:rsid w:val="00877354"/>
    <w:rsid w:val="008841A3"/>
    <w:rsid w:val="00891776"/>
    <w:rsid w:val="008929F2"/>
    <w:rsid w:val="0089428C"/>
    <w:rsid w:val="00894675"/>
    <w:rsid w:val="008A06E6"/>
    <w:rsid w:val="008C0E40"/>
    <w:rsid w:val="008C16FD"/>
    <w:rsid w:val="008C5AD3"/>
    <w:rsid w:val="008C63FD"/>
    <w:rsid w:val="008C6C10"/>
    <w:rsid w:val="008C7BA7"/>
    <w:rsid w:val="008C7D20"/>
    <w:rsid w:val="008D00CF"/>
    <w:rsid w:val="008D5866"/>
    <w:rsid w:val="008E1804"/>
    <w:rsid w:val="008E386E"/>
    <w:rsid w:val="008E4273"/>
    <w:rsid w:val="008E4496"/>
    <w:rsid w:val="008E7BC0"/>
    <w:rsid w:val="008F3621"/>
    <w:rsid w:val="008F3848"/>
    <w:rsid w:val="008F3FF5"/>
    <w:rsid w:val="009017AC"/>
    <w:rsid w:val="00913A61"/>
    <w:rsid w:val="00922092"/>
    <w:rsid w:val="00925AD1"/>
    <w:rsid w:val="00925C70"/>
    <w:rsid w:val="009266B8"/>
    <w:rsid w:val="0092782C"/>
    <w:rsid w:val="00927968"/>
    <w:rsid w:val="00931385"/>
    <w:rsid w:val="00933FC9"/>
    <w:rsid w:val="009344AC"/>
    <w:rsid w:val="009361B0"/>
    <w:rsid w:val="00940457"/>
    <w:rsid w:val="009411C8"/>
    <w:rsid w:val="009512E0"/>
    <w:rsid w:val="009639D0"/>
    <w:rsid w:val="00963D2B"/>
    <w:rsid w:val="00966A18"/>
    <w:rsid w:val="0097035A"/>
    <w:rsid w:val="009730A9"/>
    <w:rsid w:val="009756C7"/>
    <w:rsid w:val="009760E5"/>
    <w:rsid w:val="00980D2C"/>
    <w:rsid w:val="00987ABB"/>
    <w:rsid w:val="00987FAF"/>
    <w:rsid w:val="00995A18"/>
    <w:rsid w:val="009A3867"/>
    <w:rsid w:val="009B0773"/>
    <w:rsid w:val="009C6EEF"/>
    <w:rsid w:val="009D3407"/>
    <w:rsid w:val="009E1591"/>
    <w:rsid w:val="009E1795"/>
    <w:rsid w:val="009F0A4F"/>
    <w:rsid w:val="009F12CE"/>
    <w:rsid w:val="009F2BA7"/>
    <w:rsid w:val="00A1224C"/>
    <w:rsid w:val="00A1657A"/>
    <w:rsid w:val="00A24C1C"/>
    <w:rsid w:val="00A26AB6"/>
    <w:rsid w:val="00A30AC3"/>
    <w:rsid w:val="00A31A87"/>
    <w:rsid w:val="00A34EA3"/>
    <w:rsid w:val="00A3719A"/>
    <w:rsid w:val="00A42BF2"/>
    <w:rsid w:val="00A43824"/>
    <w:rsid w:val="00A5405F"/>
    <w:rsid w:val="00A801E6"/>
    <w:rsid w:val="00A80A34"/>
    <w:rsid w:val="00A812B1"/>
    <w:rsid w:val="00A83F26"/>
    <w:rsid w:val="00A966DE"/>
    <w:rsid w:val="00A974CF"/>
    <w:rsid w:val="00AA025C"/>
    <w:rsid w:val="00AA5C7C"/>
    <w:rsid w:val="00AA61F8"/>
    <w:rsid w:val="00AA7B05"/>
    <w:rsid w:val="00AB1088"/>
    <w:rsid w:val="00AC1242"/>
    <w:rsid w:val="00AC7FA7"/>
    <w:rsid w:val="00AD1EB2"/>
    <w:rsid w:val="00AE3893"/>
    <w:rsid w:val="00AF266C"/>
    <w:rsid w:val="00AF5EA6"/>
    <w:rsid w:val="00AF66BC"/>
    <w:rsid w:val="00AF7D53"/>
    <w:rsid w:val="00B004A9"/>
    <w:rsid w:val="00B07EF4"/>
    <w:rsid w:val="00B123F4"/>
    <w:rsid w:val="00B12F2D"/>
    <w:rsid w:val="00B1470D"/>
    <w:rsid w:val="00B204C1"/>
    <w:rsid w:val="00B24CB9"/>
    <w:rsid w:val="00B2539A"/>
    <w:rsid w:val="00B2699E"/>
    <w:rsid w:val="00B26ECF"/>
    <w:rsid w:val="00B33142"/>
    <w:rsid w:val="00B352BB"/>
    <w:rsid w:val="00B4728C"/>
    <w:rsid w:val="00B515F5"/>
    <w:rsid w:val="00B558C6"/>
    <w:rsid w:val="00B56F89"/>
    <w:rsid w:val="00B641ED"/>
    <w:rsid w:val="00B66B69"/>
    <w:rsid w:val="00B772CF"/>
    <w:rsid w:val="00B77D8D"/>
    <w:rsid w:val="00B97F1B"/>
    <w:rsid w:val="00BB4EB7"/>
    <w:rsid w:val="00BB7862"/>
    <w:rsid w:val="00BC26A6"/>
    <w:rsid w:val="00BC396D"/>
    <w:rsid w:val="00BC50C3"/>
    <w:rsid w:val="00BC50EC"/>
    <w:rsid w:val="00BD2619"/>
    <w:rsid w:val="00BD36D3"/>
    <w:rsid w:val="00BD48B5"/>
    <w:rsid w:val="00BE1709"/>
    <w:rsid w:val="00BF2EC6"/>
    <w:rsid w:val="00C02A0E"/>
    <w:rsid w:val="00C0358E"/>
    <w:rsid w:val="00C03B0B"/>
    <w:rsid w:val="00C05D7E"/>
    <w:rsid w:val="00C10D71"/>
    <w:rsid w:val="00C1200E"/>
    <w:rsid w:val="00C13306"/>
    <w:rsid w:val="00C15820"/>
    <w:rsid w:val="00C20EEF"/>
    <w:rsid w:val="00C33D7F"/>
    <w:rsid w:val="00C3411A"/>
    <w:rsid w:val="00C35B11"/>
    <w:rsid w:val="00C418EC"/>
    <w:rsid w:val="00C43824"/>
    <w:rsid w:val="00C6404C"/>
    <w:rsid w:val="00C661CC"/>
    <w:rsid w:val="00C73D58"/>
    <w:rsid w:val="00C7599D"/>
    <w:rsid w:val="00C85F83"/>
    <w:rsid w:val="00C90086"/>
    <w:rsid w:val="00C9460E"/>
    <w:rsid w:val="00CA259D"/>
    <w:rsid w:val="00CB2D8D"/>
    <w:rsid w:val="00CC2F92"/>
    <w:rsid w:val="00CC7D01"/>
    <w:rsid w:val="00CD1024"/>
    <w:rsid w:val="00CD6698"/>
    <w:rsid w:val="00CE10B2"/>
    <w:rsid w:val="00CE24F1"/>
    <w:rsid w:val="00CE340B"/>
    <w:rsid w:val="00CF1975"/>
    <w:rsid w:val="00D020CE"/>
    <w:rsid w:val="00D07238"/>
    <w:rsid w:val="00D07D10"/>
    <w:rsid w:val="00D10504"/>
    <w:rsid w:val="00D11084"/>
    <w:rsid w:val="00D14789"/>
    <w:rsid w:val="00D16588"/>
    <w:rsid w:val="00D2120F"/>
    <w:rsid w:val="00D22B12"/>
    <w:rsid w:val="00D25B31"/>
    <w:rsid w:val="00D34054"/>
    <w:rsid w:val="00D347BE"/>
    <w:rsid w:val="00D420A4"/>
    <w:rsid w:val="00D46D13"/>
    <w:rsid w:val="00D547AB"/>
    <w:rsid w:val="00D60306"/>
    <w:rsid w:val="00D71207"/>
    <w:rsid w:val="00D7251F"/>
    <w:rsid w:val="00D760D2"/>
    <w:rsid w:val="00D81A0F"/>
    <w:rsid w:val="00D8479A"/>
    <w:rsid w:val="00D92D71"/>
    <w:rsid w:val="00DB0229"/>
    <w:rsid w:val="00DB4A4B"/>
    <w:rsid w:val="00DB7BF2"/>
    <w:rsid w:val="00DC0430"/>
    <w:rsid w:val="00DC0EC4"/>
    <w:rsid w:val="00DC1259"/>
    <w:rsid w:val="00DC1461"/>
    <w:rsid w:val="00DC2245"/>
    <w:rsid w:val="00DC6059"/>
    <w:rsid w:val="00DC7E2B"/>
    <w:rsid w:val="00DD0D6E"/>
    <w:rsid w:val="00DD1FAE"/>
    <w:rsid w:val="00DD688A"/>
    <w:rsid w:val="00DD7F9D"/>
    <w:rsid w:val="00DE0FE9"/>
    <w:rsid w:val="00DE4645"/>
    <w:rsid w:val="00DE5C85"/>
    <w:rsid w:val="00E00C0A"/>
    <w:rsid w:val="00E0119C"/>
    <w:rsid w:val="00E029FB"/>
    <w:rsid w:val="00E130F7"/>
    <w:rsid w:val="00E172C3"/>
    <w:rsid w:val="00E21062"/>
    <w:rsid w:val="00E21617"/>
    <w:rsid w:val="00E3394F"/>
    <w:rsid w:val="00E33E6E"/>
    <w:rsid w:val="00E371E1"/>
    <w:rsid w:val="00E46312"/>
    <w:rsid w:val="00E61DFC"/>
    <w:rsid w:val="00E65CA7"/>
    <w:rsid w:val="00E65F70"/>
    <w:rsid w:val="00E6659B"/>
    <w:rsid w:val="00E67CE6"/>
    <w:rsid w:val="00E73018"/>
    <w:rsid w:val="00E75655"/>
    <w:rsid w:val="00E8693C"/>
    <w:rsid w:val="00E90CE6"/>
    <w:rsid w:val="00ED0A88"/>
    <w:rsid w:val="00EE5F25"/>
    <w:rsid w:val="00EF3F44"/>
    <w:rsid w:val="00F03BC8"/>
    <w:rsid w:val="00F041A2"/>
    <w:rsid w:val="00F046C1"/>
    <w:rsid w:val="00F11DF3"/>
    <w:rsid w:val="00F15DCD"/>
    <w:rsid w:val="00F24691"/>
    <w:rsid w:val="00F274ED"/>
    <w:rsid w:val="00F31634"/>
    <w:rsid w:val="00F32C7A"/>
    <w:rsid w:val="00F336D0"/>
    <w:rsid w:val="00F37EC8"/>
    <w:rsid w:val="00F44D17"/>
    <w:rsid w:val="00F46BF9"/>
    <w:rsid w:val="00F54CFF"/>
    <w:rsid w:val="00F56DC3"/>
    <w:rsid w:val="00F64633"/>
    <w:rsid w:val="00F652F4"/>
    <w:rsid w:val="00F67AA6"/>
    <w:rsid w:val="00F8186A"/>
    <w:rsid w:val="00F81ACA"/>
    <w:rsid w:val="00F827F5"/>
    <w:rsid w:val="00F874F9"/>
    <w:rsid w:val="00F90A51"/>
    <w:rsid w:val="00F917CC"/>
    <w:rsid w:val="00F931D2"/>
    <w:rsid w:val="00FA67C5"/>
    <w:rsid w:val="00FB42B8"/>
    <w:rsid w:val="00FC2990"/>
    <w:rsid w:val="00FC4788"/>
    <w:rsid w:val="00FC5847"/>
    <w:rsid w:val="00FD1D7C"/>
    <w:rsid w:val="00FE78AD"/>
    <w:rsid w:val="00FF09EC"/>
    <w:rsid w:val="00FF12C7"/>
    <w:rsid w:val="00FF159D"/>
    <w:rsid w:val="00FF566E"/>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C50"/>
    <w:rPr>
      <w:sz w:val="22"/>
      <w:szCs w:val="22"/>
    </w:rPr>
  </w:style>
  <w:style w:type="paragraph" w:styleId="Heading1">
    <w:name w:val="heading 1"/>
    <w:basedOn w:val="Normal"/>
    <w:next w:val="Normal"/>
    <w:link w:val="Heading1Char"/>
    <w:uiPriority w:val="9"/>
    <w:qFormat/>
    <w:rsid w:val="00525C50"/>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uiPriority w:val="9"/>
    <w:qFormat/>
    <w:rsid w:val="00820CC4"/>
    <w:pPr>
      <w:keepNext/>
      <w:outlineLvl w:val="1"/>
    </w:pPr>
    <w:rPr>
      <w:rFonts w:ascii="Times New Roman" w:eastAsia="Times New Roman" w:hAnsi="Times New Roman"/>
      <w:b/>
      <w:bCs/>
      <w:iCs/>
      <w:sz w:val="24"/>
      <w:szCs w:val="28"/>
      <w:lang w:val="x-none" w:eastAsia="x-none"/>
    </w:rPr>
  </w:style>
  <w:style w:type="paragraph" w:styleId="Heading3">
    <w:name w:val="heading 3"/>
    <w:basedOn w:val="Normal"/>
    <w:next w:val="Normal"/>
    <w:link w:val="Heading3Char"/>
    <w:uiPriority w:val="9"/>
    <w:qFormat/>
    <w:rsid w:val="00525C50"/>
    <w:pPr>
      <w:keepNext/>
      <w:tabs>
        <w:tab w:val="left" w:pos="720"/>
      </w:tabs>
      <w:spacing w:before="240" w:after="60"/>
      <w:outlineLvl w:val="2"/>
    </w:pPr>
    <w:rPr>
      <w:rFonts w:ascii="Times New Roman" w:hAnsi="Times New Roman"/>
      <w:bCs/>
      <w:i/>
      <w:sz w:val="24"/>
      <w:szCs w:val="26"/>
      <w:lang w:val="x-none" w:eastAsia="x-none"/>
    </w:rPr>
  </w:style>
  <w:style w:type="paragraph" w:styleId="Heading5">
    <w:name w:val="heading 5"/>
    <w:basedOn w:val="Normal"/>
    <w:next w:val="Normal"/>
    <w:uiPriority w:val="9"/>
    <w:qFormat/>
    <w:rsid w:val="00077CA5"/>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05B5"/>
    <w:pPr>
      <w:tabs>
        <w:tab w:val="center" w:pos="4320"/>
        <w:tab w:val="right" w:pos="8640"/>
      </w:tabs>
    </w:pPr>
  </w:style>
  <w:style w:type="paragraph" w:styleId="Footer">
    <w:name w:val="footer"/>
    <w:basedOn w:val="Normal"/>
    <w:rsid w:val="00C305B5"/>
    <w:pPr>
      <w:tabs>
        <w:tab w:val="center" w:pos="4320"/>
        <w:tab w:val="right" w:pos="8640"/>
      </w:tabs>
    </w:pPr>
  </w:style>
  <w:style w:type="paragraph" w:styleId="TOC5">
    <w:name w:val="toc 5"/>
    <w:basedOn w:val="Heading5"/>
    <w:next w:val="Normal"/>
    <w:semiHidden/>
    <w:rsid w:val="00077CA5"/>
    <w:pPr>
      <w:keepNext w:val="0"/>
      <w:keepLines w:val="0"/>
      <w:spacing w:before="0"/>
      <w:ind w:left="880"/>
      <w:outlineLvl w:val="9"/>
    </w:pPr>
    <w:rPr>
      <w:rFonts w:ascii="Calibri" w:eastAsia="Calibri" w:hAnsi="Calibri" w:cs="Calibri"/>
      <w:color w:val="auto"/>
      <w:sz w:val="18"/>
      <w:szCs w:val="18"/>
    </w:rPr>
  </w:style>
  <w:style w:type="paragraph" w:styleId="TOC1">
    <w:name w:val="toc 1"/>
    <w:basedOn w:val="Heading1"/>
    <w:next w:val="Normal"/>
    <w:uiPriority w:val="39"/>
    <w:rsid w:val="00C305B5"/>
    <w:pPr>
      <w:keepNext w:val="0"/>
      <w:spacing w:before="120" w:after="120"/>
      <w:outlineLvl w:val="9"/>
    </w:pPr>
    <w:rPr>
      <w:rFonts w:ascii="Calibri" w:hAnsi="Calibri" w:cs="Calibri"/>
      <w:caps/>
      <w:kern w:val="0"/>
      <w:sz w:val="20"/>
      <w:szCs w:val="20"/>
    </w:rPr>
  </w:style>
  <w:style w:type="paragraph" w:styleId="TOC2">
    <w:name w:val="toc 2"/>
    <w:basedOn w:val="Heading2"/>
    <w:next w:val="Normal"/>
    <w:uiPriority w:val="39"/>
    <w:rsid w:val="00C305B5"/>
    <w:pPr>
      <w:keepNext w:val="0"/>
      <w:ind w:left="220"/>
      <w:outlineLvl w:val="9"/>
    </w:pPr>
    <w:rPr>
      <w:rFonts w:ascii="Calibri" w:eastAsia="Calibri" w:hAnsi="Calibri" w:cs="Calibri"/>
      <w:b w:val="0"/>
      <w:bCs w:val="0"/>
      <w:iCs w:val="0"/>
      <w:smallCaps/>
      <w:sz w:val="20"/>
      <w:szCs w:val="20"/>
    </w:rPr>
  </w:style>
  <w:style w:type="paragraph" w:styleId="Title">
    <w:name w:val="Title"/>
    <w:basedOn w:val="Normal"/>
    <w:link w:val="TitleChar"/>
    <w:uiPriority w:val="10"/>
    <w:qFormat/>
    <w:rsid w:val="00525C50"/>
    <w:pPr>
      <w:spacing w:before="240" w:after="60"/>
      <w:jc w:val="center"/>
      <w:outlineLvl w:val="0"/>
    </w:pPr>
    <w:rPr>
      <w:rFonts w:ascii="Cambria" w:eastAsia="Times New Roman" w:hAnsi="Cambria"/>
      <w:b/>
      <w:bCs/>
      <w:kern w:val="28"/>
      <w:sz w:val="32"/>
      <w:szCs w:val="32"/>
      <w:lang w:val="x-none" w:eastAsia="x-none"/>
    </w:rPr>
  </w:style>
  <w:style w:type="character" w:styleId="PageNumber">
    <w:name w:val="page number"/>
    <w:rsid w:val="00C305B5"/>
    <w:rPr>
      <w:rFonts w:ascii="Times New Roman" w:hAnsi="Times New Roman"/>
    </w:rPr>
  </w:style>
  <w:style w:type="character" w:styleId="Hyperlink">
    <w:name w:val="Hyperlink"/>
    <w:uiPriority w:val="99"/>
    <w:rsid w:val="00C305B5"/>
    <w:rPr>
      <w:color w:val="0000FF"/>
      <w:u w:val="single"/>
    </w:rPr>
  </w:style>
  <w:style w:type="paragraph" w:customStyle="1" w:styleId="box">
    <w:name w:val="box"/>
    <w:basedOn w:val="BodyText"/>
    <w:rsid w:val="00C305B5"/>
    <w:pPr>
      <w:pBdr>
        <w:top w:val="thinThickThinSmallGap" w:sz="24" w:space="1" w:color="auto"/>
        <w:left w:val="thinThickThinSmallGap" w:sz="24" w:space="4" w:color="auto"/>
        <w:bottom w:val="thinThickThinSmallGap" w:sz="24" w:space="1" w:color="auto"/>
        <w:right w:val="thinThickThinSmallGap" w:sz="24" w:space="4" w:color="auto"/>
      </w:pBdr>
      <w:spacing w:after="0"/>
    </w:pPr>
    <w:rPr>
      <w:sz w:val="22"/>
    </w:rPr>
  </w:style>
  <w:style w:type="paragraph" w:customStyle="1" w:styleId="CM26">
    <w:name w:val="CM26"/>
    <w:basedOn w:val="Normal"/>
    <w:next w:val="Normal"/>
    <w:rsid w:val="00C305B5"/>
    <w:pPr>
      <w:autoSpaceDE w:val="0"/>
      <w:autoSpaceDN w:val="0"/>
      <w:adjustRightInd w:val="0"/>
    </w:pPr>
    <w:rPr>
      <w:szCs w:val="24"/>
    </w:rPr>
  </w:style>
  <w:style w:type="paragraph" w:styleId="BodyText">
    <w:name w:val="Body Text"/>
    <w:basedOn w:val="Normal"/>
    <w:link w:val="BodyTextChar"/>
    <w:rsid w:val="00C305B5"/>
    <w:pPr>
      <w:spacing w:after="120"/>
    </w:pPr>
    <w:rPr>
      <w:color w:val="000000"/>
      <w:sz w:val="24"/>
      <w:szCs w:val="20"/>
      <w:lang w:val="x-none" w:eastAsia="x-none"/>
    </w:rPr>
  </w:style>
  <w:style w:type="character" w:styleId="LineNumber">
    <w:name w:val="line number"/>
    <w:basedOn w:val="DefaultParagraphFont"/>
    <w:rsid w:val="00C305B5"/>
  </w:style>
  <w:style w:type="paragraph" w:styleId="BalloonText">
    <w:name w:val="Balloon Text"/>
    <w:basedOn w:val="Normal"/>
    <w:semiHidden/>
    <w:rsid w:val="001F5D9A"/>
    <w:rPr>
      <w:rFonts w:ascii="Tahoma" w:hAnsi="Tahoma" w:cs="Tahoma"/>
      <w:sz w:val="16"/>
      <w:szCs w:val="16"/>
    </w:rPr>
  </w:style>
  <w:style w:type="paragraph" w:styleId="FootnoteText">
    <w:name w:val="footnote text"/>
    <w:basedOn w:val="Normal"/>
    <w:link w:val="FootnoteTextChar"/>
    <w:uiPriority w:val="99"/>
    <w:rsid w:val="00161A22"/>
    <w:rPr>
      <w:color w:val="000000"/>
      <w:sz w:val="20"/>
      <w:szCs w:val="20"/>
      <w:lang w:val="x-none" w:eastAsia="x-none"/>
    </w:rPr>
  </w:style>
  <w:style w:type="character" w:customStyle="1" w:styleId="FootnoteTextChar">
    <w:name w:val="Footnote Text Char"/>
    <w:link w:val="FootnoteText"/>
    <w:uiPriority w:val="99"/>
    <w:rsid w:val="00161A22"/>
    <w:rPr>
      <w:color w:val="000000"/>
    </w:rPr>
  </w:style>
  <w:style w:type="character" w:styleId="FootnoteReference">
    <w:name w:val="footnote reference"/>
    <w:rsid w:val="00161A22"/>
    <w:rPr>
      <w:rFonts w:ascii="Times New Roman" w:hAnsi="Times New Roman"/>
      <w:vertAlign w:val="superscript"/>
    </w:rPr>
  </w:style>
  <w:style w:type="character" w:styleId="CommentReference">
    <w:name w:val="annotation reference"/>
    <w:uiPriority w:val="99"/>
    <w:rsid w:val="005D72F2"/>
    <w:rPr>
      <w:sz w:val="16"/>
      <w:szCs w:val="16"/>
    </w:rPr>
  </w:style>
  <w:style w:type="paragraph" w:styleId="CommentText">
    <w:name w:val="annotation text"/>
    <w:basedOn w:val="Normal"/>
    <w:link w:val="CommentTextChar"/>
    <w:uiPriority w:val="99"/>
    <w:rsid w:val="005D72F2"/>
    <w:rPr>
      <w:color w:val="000000"/>
      <w:sz w:val="20"/>
      <w:szCs w:val="20"/>
      <w:lang w:val="x-none" w:eastAsia="x-none"/>
    </w:rPr>
  </w:style>
  <w:style w:type="character" w:customStyle="1" w:styleId="CommentTextChar">
    <w:name w:val="Comment Text Char"/>
    <w:link w:val="CommentText"/>
    <w:uiPriority w:val="99"/>
    <w:rsid w:val="005D72F2"/>
    <w:rPr>
      <w:color w:val="000000"/>
    </w:rPr>
  </w:style>
  <w:style w:type="paragraph" w:styleId="CommentSubject">
    <w:name w:val="annotation subject"/>
    <w:basedOn w:val="CommentText"/>
    <w:next w:val="CommentText"/>
    <w:link w:val="CommentSubjectChar"/>
    <w:rsid w:val="005D72F2"/>
    <w:rPr>
      <w:b/>
      <w:bCs/>
    </w:rPr>
  </w:style>
  <w:style w:type="character" w:customStyle="1" w:styleId="CommentSubjectChar">
    <w:name w:val="Comment Subject Char"/>
    <w:link w:val="CommentSubject"/>
    <w:rsid w:val="005D72F2"/>
    <w:rPr>
      <w:b/>
      <w:bCs/>
      <w:color w:val="000000"/>
    </w:rPr>
  </w:style>
  <w:style w:type="paragraph" w:customStyle="1" w:styleId="ColorfulShading-Accent11">
    <w:name w:val="Colorful Shading - Accent 11"/>
    <w:hidden/>
    <w:uiPriority w:val="99"/>
    <w:semiHidden/>
    <w:rsid w:val="000A1BF9"/>
    <w:rPr>
      <w:color w:val="000000"/>
      <w:sz w:val="24"/>
    </w:rPr>
  </w:style>
  <w:style w:type="paragraph" w:styleId="NormalWeb">
    <w:name w:val="Normal (Web)"/>
    <w:basedOn w:val="Normal"/>
    <w:uiPriority w:val="99"/>
    <w:unhideWhenUsed/>
    <w:rsid w:val="00E37A20"/>
    <w:pPr>
      <w:spacing w:before="100" w:beforeAutospacing="1" w:after="100" w:afterAutospacing="1"/>
    </w:pPr>
    <w:rPr>
      <w:szCs w:val="24"/>
    </w:rPr>
  </w:style>
  <w:style w:type="paragraph" w:customStyle="1" w:styleId="ColorfulList-Accent11">
    <w:name w:val="Colorful List - Accent 11"/>
    <w:basedOn w:val="Normal"/>
    <w:uiPriority w:val="34"/>
    <w:qFormat/>
    <w:rsid w:val="00525C50"/>
    <w:pPr>
      <w:ind w:left="720"/>
    </w:pPr>
  </w:style>
  <w:style w:type="paragraph" w:customStyle="1" w:styleId="Default">
    <w:name w:val="Default"/>
    <w:rsid w:val="006D431B"/>
    <w:pPr>
      <w:autoSpaceDE w:val="0"/>
      <w:autoSpaceDN w:val="0"/>
      <w:adjustRightInd w:val="0"/>
    </w:pPr>
    <w:rPr>
      <w:rFonts w:ascii="Arial" w:hAnsi="Arial" w:cs="Arial"/>
      <w:color w:val="000000"/>
      <w:sz w:val="24"/>
      <w:szCs w:val="24"/>
    </w:rPr>
  </w:style>
  <w:style w:type="character" w:styleId="Strong">
    <w:name w:val="Strong"/>
    <w:uiPriority w:val="22"/>
    <w:qFormat/>
    <w:rsid w:val="00525C50"/>
    <w:rPr>
      <w:b/>
      <w:bCs/>
    </w:rPr>
  </w:style>
  <w:style w:type="character" w:styleId="Emphasis">
    <w:name w:val="Emphasis"/>
    <w:uiPriority w:val="20"/>
    <w:qFormat/>
    <w:rsid w:val="00525C50"/>
    <w:rPr>
      <w:i/>
      <w:iCs/>
    </w:rPr>
  </w:style>
  <w:style w:type="character" w:customStyle="1" w:styleId="BodyTextChar">
    <w:name w:val="Body Text Char"/>
    <w:link w:val="BodyText"/>
    <w:rsid w:val="0064355B"/>
    <w:rPr>
      <w:color w:val="000000"/>
      <w:sz w:val="24"/>
    </w:rPr>
  </w:style>
  <w:style w:type="character" w:styleId="FollowedHyperlink">
    <w:name w:val="FollowedHyperlink"/>
    <w:rsid w:val="006047DC"/>
    <w:rPr>
      <w:color w:val="800080"/>
      <w:u w:val="single"/>
    </w:rPr>
  </w:style>
  <w:style w:type="character" w:customStyle="1" w:styleId="ptext-31">
    <w:name w:val="ptext-31"/>
    <w:rsid w:val="000D02B3"/>
  </w:style>
  <w:style w:type="paragraph" w:customStyle="1" w:styleId="CM32">
    <w:name w:val="CM32"/>
    <w:basedOn w:val="Default"/>
    <w:next w:val="Default"/>
    <w:uiPriority w:val="99"/>
    <w:rPr>
      <w:rFonts w:ascii="Times New Roman" w:hAnsi="Times New Roman" w:cs="Times New Roman"/>
      <w:color w:val="auto"/>
    </w:rPr>
  </w:style>
  <w:style w:type="paragraph" w:customStyle="1" w:styleId="CM9">
    <w:name w:val="CM9"/>
    <w:basedOn w:val="Default"/>
    <w:next w:val="Default"/>
    <w:uiPriority w:val="99"/>
    <w:rsid w:val="00987CBD"/>
    <w:pPr>
      <w:spacing w:line="263" w:lineRule="atLeast"/>
    </w:pPr>
    <w:rPr>
      <w:rFonts w:ascii="Times New Roman" w:hAnsi="Times New Roman" w:cs="Times New Roman"/>
      <w:color w:val="auto"/>
    </w:rPr>
  </w:style>
  <w:style w:type="paragraph" w:customStyle="1" w:styleId="CM39">
    <w:name w:val="CM39"/>
    <w:basedOn w:val="Default"/>
    <w:next w:val="Default"/>
    <w:uiPriority w:val="99"/>
    <w:rsid w:val="00987CBD"/>
    <w:rPr>
      <w:rFonts w:ascii="Times New Roman" w:hAnsi="Times New Roman" w:cs="Times New Roman"/>
      <w:color w:val="auto"/>
    </w:rPr>
  </w:style>
  <w:style w:type="character" w:customStyle="1" w:styleId="Heading1Char">
    <w:name w:val="Heading 1 Char"/>
    <w:link w:val="Heading1"/>
    <w:uiPriority w:val="9"/>
    <w:rsid w:val="00525C50"/>
    <w:rPr>
      <w:rFonts w:ascii="Cambria" w:hAnsi="Cambria"/>
      <w:b/>
      <w:bCs/>
      <w:kern w:val="32"/>
      <w:sz w:val="24"/>
      <w:szCs w:val="32"/>
    </w:rPr>
  </w:style>
  <w:style w:type="paragraph" w:customStyle="1" w:styleId="StyleHeading3Before0ptAfter0pt">
    <w:name w:val="Style Heading 3 + Before:  0 pt After:  0 pt"/>
    <w:basedOn w:val="Normal"/>
    <w:autoRedefine/>
    <w:qFormat/>
    <w:rsid w:val="00525C50"/>
    <w:rPr>
      <w:rFonts w:ascii="Times New Roman" w:eastAsia="Times New Roman" w:hAnsi="Times New Roman"/>
      <w:i/>
      <w:color w:val="000000"/>
      <w:sz w:val="24"/>
      <w:szCs w:val="20"/>
    </w:rPr>
  </w:style>
  <w:style w:type="character" w:customStyle="1" w:styleId="Heading2Char">
    <w:name w:val="Heading 2 Char"/>
    <w:link w:val="Heading2"/>
    <w:uiPriority w:val="9"/>
    <w:rsid w:val="00820CC4"/>
    <w:rPr>
      <w:rFonts w:ascii="Times New Roman" w:eastAsia="Times New Roman" w:hAnsi="Times New Roman"/>
      <w:b/>
      <w:bCs/>
      <w:iCs/>
      <w:sz w:val="24"/>
      <w:szCs w:val="28"/>
      <w:lang w:val="x-none" w:eastAsia="x-none"/>
    </w:rPr>
  </w:style>
  <w:style w:type="character" w:customStyle="1" w:styleId="Heading3Char">
    <w:name w:val="Heading 3 Char"/>
    <w:link w:val="Heading3"/>
    <w:uiPriority w:val="9"/>
    <w:rsid w:val="00525C50"/>
    <w:rPr>
      <w:rFonts w:ascii="Times New Roman" w:hAnsi="Times New Roman"/>
      <w:bCs/>
      <w:i/>
      <w:sz w:val="24"/>
      <w:szCs w:val="26"/>
    </w:rPr>
  </w:style>
  <w:style w:type="character" w:customStyle="1" w:styleId="TitleChar">
    <w:name w:val="Title Char"/>
    <w:link w:val="Title"/>
    <w:uiPriority w:val="10"/>
    <w:rsid w:val="00525C50"/>
    <w:rPr>
      <w:rFonts w:ascii="Cambria" w:eastAsia="Times New Roman" w:hAnsi="Cambria"/>
      <w:b/>
      <w:bCs/>
      <w:kern w:val="28"/>
      <w:sz w:val="32"/>
      <w:szCs w:val="32"/>
    </w:rPr>
  </w:style>
  <w:style w:type="paragraph" w:styleId="TOCHeading">
    <w:name w:val="TOC Heading"/>
    <w:basedOn w:val="Heading1"/>
    <w:next w:val="Normal"/>
    <w:uiPriority w:val="39"/>
    <w:qFormat/>
    <w:rsid w:val="00525C50"/>
    <w:pPr>
      <w:keepLines/>
      <w:spacing w:before="480" w:after="0"/>
      <w:outlineLvl w:val="9"/>
    </w:pPr>
    <w:rPr>
      <w:rFonts w:eastAsia="MS Gothic"/>
      <w:color w:val="365F91"/>
      <w:kern w:val="0"/>
      <w:sz w:val="28"/>
      <w:szCs w:val="28"/>
      <w:lang w:eastAsia="ja-JP"/>
    </w:rPr>
  </w:style>
  <w:style w:type="paragraph" w:styleId="TOC3">
    <w:name w:val="toc 3"/>
    <w:basedOn w:val="Normal"/>
    <w:next w:val="Normal"/>
    <w:autoRedefine/>
    <w:uiPriority w:val="39"/>
    <w:rsid w:val="00A41C32"/>
    <w:pPr>
      <w:ind w:left="440"/>
    </w:pPr>
    <w:rPr>
      <w:rFonts w:cs="Calibri"/>
      <w:i/>
      <w:iCs/>
      <w:sz w:val="20"/>
      <w:szCs w:val="20"/>
    </w:rPr>
  </w:style>
  <w:style w:type="paragraph" w:styleId="TOC4">
    <w:name w:val="toc 4"/>
    <w:basedOn w:val="Normal"/>
    <w:next w:val="Normal"/>
    <w:autoRedefine/>
    <w:rsid w:val="001D5F38"/>
    <w:pPr>
      <w:ind w:left="660"/>
    </w:pPr>
    <w:rPr>
      <w:rFonts w:cs="Calibri"/>
      <w:sz w:val="18"/>
      <w:szCs w:val="18"/>
    </w:rPr>
  </w:style>
  <w:style w:type="paragraph" w:styleId="TOC6">
    <w:name w:val="toc 6"/>
    <w:basedOn w:val="Normal"/>
    <w:next w:val="Normal"/>
    <w:autoRedefine/>
    <w:rsid w:val="001D5F38"/>
    <w:pPr>
      <w:ind w:left="1100"/>
    </w:pPr>
    <w:rPr>
      <w:rFonts w:cs="Calibri"/>
      <w:sz w:val="18"/>
      <w:szCs w:val="18"/>
    </w:rPr>
  </w:style>
  <w:style w:type="paragraph" w:styleId="TOC7">
    <w:name w:val="toc 7"/>
    <w:basedOn w:val="Normal"/>
    <w:next w:val="Normal"/>
    <w:autoRedefine/>
    <w:rsid w:val="001D5F38"/>
    <w:pPr>
      <w:ind w:left="1320"/>
    </w:pPr>
    <w:rPr>
      <w:rFonts w:cs="Calibri"/>
      <w:sz w:val="18"/>
      <w:szCs w:val="18"/>
    </w:rPr>
  </w:style>
  <w:style w:type="paragraph" w:styleId="TOC8">
    <w:name w:val="toc 8"/>
    <w:basedOn w:val="Normal"/>
    <w:next w:val="Normal"/>
    <w:autoRedefine/>
    <w:rsid w:val="001D5F38"/>
    <w:pPr>
      <w:ind w:left="1540"/>
    </w:pPr>
    <w:rPr>
      <w:rFonts w:cs="Calibri"/>
      <w:sz w:val="18"/>
      <w:szCs w:val="18"/>
    </w:rPr>
  </w:style>
  <w:style w:type="paragraph" w:styleId="TOC9">
    <w:name w:val="toc 9"/>
    <w:basedOn w:val="Normal"/>
    <w:next w:val="Normal"/>
    <w:autoRedefine/>
    <w:rsid w:val="001D5F38"/>
    <w:pPr>
      <w:ind w:left="1760"/>
    </w:pPr>
    <w:rPr>
      <w:rFonts w:cs="Calibri"/>
      <w:sz w:val="18"/>
      <w:szCs w:val="18"/>
    </w:rPr>
  </w:style>
  <w:style w:type="paragraph" w:styleId="Revision">
    <w:name w:val="Revision"/>
    <w:hidden/>
    <w:uiPriority w:val="99"/>
    <w:semiHidden/>
    <w:rsid w:val="00A83F26"/>
    <w:rPr>
      <w:sz w:val="22"/>
      <w:szCs w:val="22"/>
    </w:rPr>
  </w:style>
  <w:style w:type="paragraph" w:styleId="ListParagraph">
    <w:name w:val="List Paragraph"/>
    <w:basedOn w:val="Normal"/>
    <w:uiPriority w:val="34"/>
    <w:qFormat/>
    <w:rsid w:val="000404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C50"/>
    <w:rPr>
      <w:sz w:val="22"/>
      <w:szCs w:val="22"/>
    </w:rPr>
  </w:style>
  <w:style w:type="paragraph" w:styleId="Heading1">
    <w:name w:val="heading 1"/>
    <w:basedOn w:val="Normal"/>
    <w:next w:val="Normal"/>
    <w:link w:val="Heading1Char"/>
    <w:uiPriority w:val="9"/>
    <w:qFormat/>
    <w:rsid w:val="00525C50"/>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uiPriority w:val="9"/>
    <w:qFormat/>
    <w:rsid w:val="00820CC4"/>
    <w:pPr>
      <w:keepNext/>
      <w:outlineLvl w:val="1"/>
    </w:pPr>
    <w:rPr>
      <w:rFonts w:ascii="Times New Roman" w:eastAsia="Times New Roman" w:hAnsi="Times New Roman"/>
      <w:b/>
      <w:bCs/>
      <w:iCs/>
      <w:sz w:val="24"/>
      <w:szCs w:val="28"/>
      <w:lang w:val="x-none" w:eastAsia="x-none"/>
    </w:rPr>
  </w:style>
  <w:style w:type="paragraph" w:styleId="Heading3">
    <w:name w:val="heading 3"/>
    <w:basedOn w:val="Normal"/>
    <w:next w:val="Normal"/>
    <w:link w:val="Heading3Char"/>
    <w:uiPriority w:val="9"/>
    <w:qFormat/>
    <w:rsid w:val="00525C50"/>
    <w:pPr>
      <w:keepNext/>
      <w:tabs>
        <w:tab w:val="left" w:pos="720"/>
      </w:tabs>
      <w:spacing w:before="240" w:after="60"/>
      <w:outlineLvl w:val="2"/>
    </w:pPr>
    <w:rPr>
      <w:rFonts w:ascii="Times New Roman" w:hAnsi="Times New Roman"/>
      <w:bCs/>
      <w:i/>
      <w:sz w:val="24"/>
      <w:szCs w:val="26"/>
      <w:lang w:val="x-none" w:eastAsia="x-none"/>
    </w:rPr>
  </w:style>
  <w:style w:type="paragraph" w:styleId="Heading5">
    <w:name w:val="heading 5"/>
    <w:basedOn w:val="Normal"/>
    <w:next w:val="Normal"/>
    <w:uiPriority w:val="9"/>
    <w:qFormat/>
    <w:rsid w:val="00077CA5"/>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05B5"/>
    <w:pPr>
      <w:tabs>
        <w:tab w:val="center" w:pos="4320"/>
        <w:tab w:val="right" w:pos="8640"/>
      </w:tabs>
    </w:pPr>
  </w:style>
  <w:style w:type="paragraph" w:styleId="Footer">
    <w:name w:val="footer"/>
    <w:basedOn w:val="Normal"/>
    <w:rsid w:val="00C305B5"/>
    <w:pPr>
      <w:tabs>
        <w:tab w:val="center" w:pos="4320"/>
        <w:tab w:val="right" w:pos="8640"/>
      </w:tabs>
    </w:pPr>
  </w:style>
  <w:style w:type="paragraph" w:styleId="TOC5">
    <w:name w:val="toc 5"/>
    <w:basedOn w:val="Heading5"/>
    <w:next w:val="Normal"/>
    <w:semiHidden/>
    <w:rsid w:val="00077CA5"/>
    <w:pPr>
      <w:keepNext w:val="0"/>
      <w:keepLines w:val="0"/>
      <w:spacing w:before="0"/>
      <w:ind w:left="880"/>
      <w:outlineLvl w:val="9"/>
    </w:pPr>
    <w:rPr>
      <w:rFonts w:ascii="Calibri" w:eastAsia="Calibri" w:hAnsi="Calibri" w:cs="Calibri"/>
      <w:color w:val="auto"/>
      <w:sz w:val="18"/>
      <w:szCs w:val="18"/>
    </w:rPr>
  </w:style>
  <w:style w:type="paragraph" w:styleId="TOC1">
    <w:name w:val="toc 1"/>
    <w:basedOn w:val="Heading1"/>
    <w:next w:val="Normal"/>
    <w:uiPriority w:val="39"/>
    <w:rsid w:val="00C305B5"/>
    <w:pPr>
      <w:keepNext w:val="0"/>
      <w:spacing w:before="120" w:after="120"/>
      <w:outlineLvl w:val="9"/>
    </w:pPr>
    <w:rPr>
      <w:rFonts w:ascii="Calibri" w:hAnsi="Calibri" w:cs="Calibri"/>
      <w:caps/>
      <w:kern w:val="0"/>
      <w:sz w:val="20"/>
      <w:szCs w:val="20"/>
    </w:rPr>
  </w:style>
  <w:style w:type="paragraph" w:styleId="TOC2">
    <w:name w:val="toc 2"/>
    <w:basedOn w:val="Heading2"/>
    <w:next w:val="Normal"/>
    <w:uiPriority w:val="39"/>
    <w:rsid w:val="00C305B5"/>
    <w:pPr>
      <w:keepNext w:val="0"/>
      <w:ind w:left="220"/>
      <w:outlineLvl w:val="9"/>
    </w:pPr>
    <w:rPr>
      <w:rFonts w:ascii="Calibri" w:eastAsia="Calibri" w:hAnsi="Calibri" w:cs="Calibri"/>
      <w:b w:val="0"/>
      <w:bCs w:val="0"/>
      <w:iCs w:val="0"/>
      <w:smallCaps/>
      <w:sz w:val="20"/>
      <w:szCs w:val="20"/>
    </w:rPr>
  </w:style>
  <w:style w:type="paragraph" w:styleId="Title">
    <w:name w:val="Title"/>
    <w:basedOn w:val="Normal"/>
    <w:link w:val="TitleChar"/>
    <w:uiPriority w:val="10"/>
    <w:qFormat/>
    <w:rsid w:val="00525C50"/>
    <w:pPr>
      <w:spacing w:before="240" w:after="60"/>
      <w:jc w:val="center"/>
      <w:outlineLvl w:val="0"/>
    </w:pPr>
    <w:rPr>
      <w:rFonts w:ascii="Cambria" w:eastAsia="Times New Roman" w:hAnsi="Cambria"/>
      <w:b/>
      <w:bCs/>
      <w:kern w:val="28"/>
      <w:sz w:val="32"/>
      <w:szCs w:val="32"/>
      <w:lang w:val="x-none" w:eastAsia="x-none"/>
    </w:rPr>
  </w:style>
  <w:style w:type="character" w:styleId="PageNumber">
    <w:name w:val="page number"/>
    <w:rsid w:val="00C305B5"/>
    <w:rPr>
      <w:rFonts w:ascii="Times New Roman" w:hAnsi="Times New Roman"/>
    </w:rPr>
  </w:style>
  <w:style w:type="character" w:styleId="Hyperlink">
    <w:name w:val="Hyperlink"/>
    <w:uiPriority w:val="99"/>
    <w:rsid w:val="00C305B5"/>
    <w:rPr>
      <w:color w:val="0000FF"/>
      <w:u w:val="single"/>
    </w:rPr>
  </w:style>
  <w:style w:type="paragraph" w:customStyle="1" w:styleId="box">
    <w:name w:val="box"/>
    <w:basedOn w:val="BodyText"/>
    <w:rsid w:val="00C305B5"/>
    <w:pPr>
      <w:pBdr>
        <w:top w:val="thinThickThinSmallGap" w:sz="24" w:space="1" w:color="auto"/>
        <w:left w:val="thinThickThinSmallGap" w:sz="24" w:space="4" w:color="auto"/>
        <w:bottom w:val="thinThickThinSmallGap" w:sz="24" w:space="1" w:color="auto"/>
        <w:right w:val="thinThickThinSmallGap" w:sz="24" w:space="4" w:color="auto"/>
      </w:pBdr>
      <w:spacing w:after="0"/>
    </w:pPr>
    <w:rPr>
      <w:sz w:val="22"/>
    </w:rPr>
  </w:style>
  <w:style w:type="paragraph" w:customStyle="1" w:styleId="CM26">
    <w:name w:val="CM26"/>
    <w:basedOn w:val="Normal"/>
    <w:next w:val="Normal"/>
    <w:rsid w:val="00C305B5"/>
    <w:pPr>
      <w:autoSpaceDE w:val="0"/>
      <w:autoSpaceDN w:val="0"/>
      <w:adjustRightInd w:val="0"/>
    </w:pPr>
    <w:rPr>
      <w:szCs w:val="24"/>
    </w:rPr>
  </w:style>
  <w:style w:type="paragraph" w:styleId="BodyText">
    <w:name w:val="Body Text"/>
    <w:basedOn w:val="Normal"/>
    <w:link w:val="BodyTextChar"/>
    <w:rsid w:val="00C305B5"/>
    <w:pPr>
      <w:spacing w:after="120"/>
    </w:pPr>
    <w:rPr>
      <w:color w:val="000000"/>
      <w:sz w:val="24"/>
      <w:szCs w:val="20"/>
      <w:lang w:val="x-none" w:eastAsia="x-none"/>
    </w:rPr>
  </w:style>
  <w:style w:type="character" w:styleId="LineNumber">
    <w:name w:val="line number"/>
    <w:basedOn w:val="DefaultParagraphFont"/>
    <w:rsid w:val="00C305B5"/>
  </w:style>
  <w:style w:type="paragraph" w:styleId="BalloonText">
    <w:name w:val="Balloon Text"/>
    <w:basedOn w:val="Normal"/>
    <w:semiHidden/>
    <w:rsid w:val="001F5D9A"/>
    <w:rPr>
      <w:rFonts w:ascii="Tahoma" w:hAnsi="Tahoma" w:cs="Tahoma"/>
      <w:sz w:val="16"/>
      <w:szCs w:val="16"/>
    </w:rPr>
  </w:style>
  <w:style w:type="paragraph" w:styleId="FootnoteText">
    <w:name w:val="footnote text"/>
    <w:basedOn w:val="Normal"/>
    <w:link w:val="FootnoteTextChar"/>
    <w:uiPriority w:val="99"/>
    <w:rsid w:val="00161A22"/>
    <w:rPr>
      <w:color w:val="000000"/>
      <w:sz w:val="20"/>
      <w:szCs w:val="20"/>
      <w:lang w:val="x-none" w:eastAsia="x-none"/>
    </w:rPr>
  </w:style>
  <w:style w:type="character" w:customStyle="1" w:styleId="FootnoteTextChar">
    <w:name w:val="Footnote Text Char"/>
    <w:link w:val="FootnoteText"/>
    <w:uiPriority w:val="99"/>
    <w:rsid w:val="00161A22"/>
    <w:rPr>
      <w:color w:val="000000"/>
    </w:rPr>
  </w:style>
  <w:style w:type="character" w:styleId="FootnoteReference">
    <w:name w:val="footnote reference"/>
    <w:rsid w:val="00161A22"/>
    <w:rPr>
      <w:rFonts w:ascii="Times New Roman" w:hAnsi="Times New Roman"/>
      <w:vertAlign w:val="superscript"/>
    </w:rPr>
  </w:style>
  <w:style w:type="character" w:styleId="CommentReference">
    <w:name w:val="annotation reference"/>
    <w:uiPriority w:val="99"/>
    <w:rsid w:val="005D72F2"/>
    <w:rPr>
      <w:sz w:val="16"/>
      <w:szCs w:val="16"/>
    </w:rPr>
  </w:style>
  <w:style w:type="paragraph" w:styleId="CommentText">
    <w:name w:val="annotation text"/>
    <w:basedOn w:val="Normal"/>
    <w:link w:val="CommentTextChar"/>
    <w:uiPriority w:val="99"/>
    <w:rsid w:val="005D72F2"/>
    <w:rPr>
      <w:color w:val="000000"/>
      <w:sz w:val="20"/>
      <w:szCs w:val="20"/>
      <w:lang w:val="x-none" w:eastAsia="x-none"/>
    </w:rPr>
  </w:style>
  <w:style w:type="character" w:customStyle="1" w:styleId="CommentTextChar">
    <w:name w:val="Comment Text Char"/>
    <w:link w:val="CommentText"/>
    <w:uiPriority w:val="99"/>
    <w:rsid w:val="005D72F2"/>
    <w:rPr>
      <w:color w:val="000000"/>
    </w:rPr>
  </w:style>
  <w:style w:type="paragraph" w:styleId="CommentSubject">
    <w:name w:val="annotation subject"/>
    <w:basedOn w:val="CommentText"/>
    <w:next w:val="CommentText"/>
    <w:link w:val="CommentSubjectChar"/>
    <w:rsid w:val="005D72F2"/>
    <w:rPr>
      <w:b/>
      <w:bCs/>
    </w:rPr>
  </w:style>
  <w:style w:type="character" w:customStyle="1" w:styleId="CommentSubjectChar">
    <w:name w:val="Comment Subject Char"/>
    <w:link w:val="CommentSubject"/>
    <w:rsid w:val="005D72F2"/>
    <w:rPr>
      <w:b/>
      <w:bCs/>
      <w:color w:val="000000"/>
    </w:rPr>
  </w:style>
  <w:style w:type="paragraph" w:customStyle="1" w:styleId="ColorfulShading-Accent11">
    <w:name w:val="Colorful Shading - Accent 11"/>
    <w:hidden/>
    <w:uiPriority w:val="99"/>
    <w:semiHidden/>
    <w:rsid w:val="000A1BF9"/>
    <w:rPr>
      <w:color w:val="000000"/>
      <w:sz w:val="24"/>
    </w:rPr>
  </w:style>
  <w:style w:type="paragraph" w:styleId="NormalWeb">
    <w:name w:val="Normal (Web)"/>
    <w:basedOn w:val="Normal"/>
    <w:uiPriority w:val="99"/>
    <w:unhideWhenUsed/>
    <w:rsid w:val="00E37A20"/>
    <w:pPr>
      <w:spacing w:before="100" w:beforeAutospacing="1" w:after="100" w:afterAutospacing="1"/>
    </w:pPr>
    <w:rPr>
      <w:szCs w:val="24"/>
    </w:rPr>
  </w:style>
  <w:style w:type="paragraph" w:customStyle="1" w:styleId="ColorfulList-Accent11">
    <w:name w:val="Colorful List - Accent 11"/>
    <w:basedOn w:val="Normal"/>
    <w:uiPriority w:val="34"/>
    <w:qFormat/>
    <w:rsid w:val="00525C50"/>
    <w:pPr>
      <w:ind w:left="720"/>
    </w:pPr>
  </w:style>
  <w:style w:type="paragraph" w:customStyle="1" w:styleId="Default">
    <w:name w:val="Default"/>
    <w:rsid w:val="006D431B"/>
    <w:pPr>
      <w:autoSpaceDE w:val="0"/>
      <w:autoSpaceDN w:val="0"/>
      <w:adjustRightInd w:val="0"/>
    </w:pPr>
    <w:rPr>
      <w:rFonts w:ascii="Arial" w:hAnsi="Arial" w:cs="Arial"/>
      <w:color w:val="000000"/>
      <w:sz w:val="24"/>
      <w:szCs w:val="24"/>
    </w:rPr>
  </w:style>
  <w:style w:type="character" w:styleId="Strong">
    <w:name w:val="Strong"/>
    <w:uiPriority w:val="22"/>
    <w:qFormat/>
    <w:rsid w:val="00525C50"/>
    <w:rPr>
      <w:b/>
      <w:bCs/>
    </w:rPr>
  </w:style>
  <w:style w:type="character" w:styleId="Emphasis">
    <w:name w:val="Emphasis"/>
    <w:uiPriority w:val="20"/>
    <w:qFormat/>
    <w:rsid w:val="00525C50"/>
    <w:rPr>
      <w:i/>
      <w:iCs/>
    </w:rPr>
  </w:style>
  <w:style w:type="character" w:customStyle="1" w:styleId="BodyTextChar">
    <w:name w:val="Body Text Char"/>
    <w:link w:val="BodyText"/>
    <w:rsid w:val="0064355B"/>
    <w:rPr>
      <w:color w:val="000000"/>
      <w:sz w:val="24"/>
    </w:rPr>
  </w:style>
  <w:style w:type="character" w:styleId="FollowedHyperlink">
    <w:name w:val="FollowedHyperlink"/>
    <w:rsid w:val="006047DC"/>
    <w:rPr>
      <w:color w:val="800080"/>
      <w:u w:val="single"/>
    </w:rPr>
  </w:style>
  <w:style w:type="character" w:customStyle="1" w:styleId="ptext-31">
    <w:name w:val="ptext-31"/>
    <w:rsid w:val="000D02B3"/>
  </w:style>
  <w:style w:type="paragraph" w:customStyle="1" w:styleId="CM32">
    <w:name w:val="CM32"/>
    <w:basedOn w:val="Default"/>
    <w:next w:val="Default"/>
    <w:uiPriority w:val="99"/>
    <w:rPr>
      <w:rFonts w:ascii="Times New Roman" w:hAnsi="Times New Roman" w:cs="Times New Roman"/>
      <w:color w:val="auto"/>
    </w:rPr>
  </w:style>
  <w:style w:type="paragraph" w:customStyle="1" w:styleId="CM9">
    <w:name w:val="CM9"/>
    <w:basedOn w:val="Default"/>
    <w:next w:val="Default"/>
    <w:uiPriority w:val="99"/>
    <w:rsid w:val="00987CBD"/>
    <w:pPr>
      <w:spacing w:line="263" w:lineRule="atLeast"/>
    </w:pPr>
    <w:rPr>
      <w:rFonts w:ascii="Times New Roman" w:hAnsi="Times New Roman" w:cs="Times New Roman"/>
      <w:color w:val="auto"/>
    </w:rPr>
  </w:style>
  <w:style w:type="paragraph" w:customStyle="1" w:styleId="CM39">
    <w:name w:val="CM39"/>
    <w:basedOn w:val="Default"/>
    <w:next w:val="Default"/>
    <w:uiPriority w:val="99"/>
    <w:rsid w:val="00987CBD"/>
    <w:rPr>
      <w:rFonts w:ascii="Times New Roman" w:hAnsi="Times New Roman" w:cs="Times New Roman"/>
      <w:color w:val="auto"/>
    </w:rPr>
  </w:style>
  <w:style w:type="character" w:customStyle="1" w:styleId="Heading1Char">
    <w:name w:val="Heading 1 Char"/>
    <w:link w:val="Heading1"/>
    <w:uiPriority w:val="9"/>
    <w:rsid w:val="00525C50"/>
    <w:rPr>
      <w:rFonts w:ascii="Cambria" w:hAnsi="Cambria"/>
      <w:b/>
      <w:bCs/>
      <w:kern w:val="32"/>
      <w:sz w:val="24"/>
      <w:szCs w:val="32"/>
    </w:rPr>
  </w:style>
  <w:style w:type="paragraph" w:customStyle="1" w:styleId="StyleHeading3Before0ptAfter0pt">
    <w:name w:val="Style Heading 3 + Before:  0 pt After:  0 pt"/>
    <w:basedOn w:val="Normal"/>
    <w:autoRedefine/>
    <w:qFormat/>
    <w:rsid w:val="00525C50"/>
    <w:rPr>
      <w:rFonts w:ascii="Times New Roman" w:eastAsia="Times New Roman" w:hAnsi="Times New Roman"/>
      <w:i/>
      <w:color w:val="000000"/>
      <w:sz w:val="24"/>
      <w:szCs w:val="20"/>
    </w:rPr>
  </w:style>
  <w:style w:type="character" w:customStyle="1" w:styleId="Heading2Char">
    <w:name w:val="Heading 2 Char"/>
    <w:link w:val="Heading2"/>
    <w:uiPriority w:val="9"/>
    <w:rsid w:val="00820CC4"/>
    <w:rPr>
      <w:rFonts w:ascii="Times New Roman" w:eastAsia="Times New Roman" w:hAnsi="Times New Roman"/>
      <w:b/>
      <w:bCs/>
      <w:iCs/>
      <w:sz w:val="24"/>
      <w:szCs w:val="28"/>
      <w:lang w:val="x-none" w:eastAsia="x-none"/>
    </w:rPr>
  </w:style>
  <w:style w:type="character" w:customStyle="1" w:styleId="Heading3Char">
    <w:name w:val="Heading 3 Char"/>
    <w:link w:val="Heading3"/>
    <w:uiPriority w:val="9"/>
    <w:rsid w:val="00525C50"/>
    <w:rPr>
      <w:rFonts w:ascii="Times New Roman" w:hAnsi="Times New Roman"/>
      <w:bCs/>
      <w:i/>
      <w:sz w:val="24"/>
      <w:szCs w:val="26"/>
    </w:rPr>
  </w:style>
  <w:style w:type="character" w:customStyle="1" w:styleId="TitleChar">
    <w:name w:val="Title Char"/>
    <w:link w:val="Title"/>
    <w:uiPriority w:val="10"/>
    <w:rsid w:val="00525C50"/>
    <w:rPr>
      <w:rFonts w:ascii="Cambria" w:eastAsia="Times New Roman" w:hAnsi="Cambria"/>
      <w:b/>
      <w:bCs/>
      <w:kern w:val="28"/>
      <w:sz w:val="32"/>
      <w:szCs w:val="32"/>
    </w:rPr>
  </w:style>
  <w:style w:type="paragraph" w:styleId="TOCHeading">
    <w:name w:val="TOC Heading"/>
    <w:basedOn w:val="Heading1"/>
    <w:next w:val="Normal"/>
    <w:uiPriority w:val="39"/>
    <w:qFormat/>
    <w:rsid w:val="00525C50"/>
    <w:pPr>
      <w:keepLines/>
      <w:spacing w:before="480" w:after="0"/>
      <w:outlineLvl w:val="9"/>
    </w:pPr>
    <w:rPr>
      <w:rFonts w:eastAsia="MS Gothic"/>
      <w:color w:val="365F91"/>
      <w:kern w:val="0"/>
      <w:sz w:val="28"/>
      <w:szCs w:val="28"/>
      <w:lang w:eastAsia="ja-JP"/>
    </w:rPr>
  </w:style>
  <w:style w:type="paragraph" w:styleId="TOC3">
    <w:name w:val="toc 3"/>
    <w:basedOn w:val="Normal"/>
    <w:next w:val="Normal"/>
    <w:autoRedefine/>
    <w:uiPriority w:val="39"/>
    <w:rsid w:val="00A41C32"/>
    <w:pPr>
      <w:ind w:left="440"/>
    </w:pPr>
    <w:rPr>
      <w:rFonts w:cs="Calibri"/>
      <w:i/>
      <w:iCs/>
      <w:sz w:val="20"/>
      <w:szCs w:val="20"/>
    </w:rPr>
  </w:style>
  <w:style w:type="paragraph" w:styleId="TOC4">
    <w:name w:val="toc 4"/>
    <w:basedOn w:val="Normal"/>
    <w:next w:val="Normal"/>
    <w:autoRedefine/>
    <w:rsid w:val="001D5F38"/>
    <w:pPr>
      <w:ind w:left="660"/>
    </w:pPr>
    <w:rPr>
      <w:rFonts w:cs="Calibri"/>
      <w:sz w:val="18"/>
      <w:szCs w:val="18"/>
    </w:rPr>
  </w:style>
  <w:style w:type="paragraph" w:styleId="TOC6">
    <w:name w:val="toc 6"/>
    <w:basedOn w:val="Normal"/>
    <w:next w:val="Normal"/>
    <w:autoRedefine/>
    <w:rsid w:val="001D5F38"/>
    <w:pPr>
      <w:ind w:left="1100"/>
    </w:pPr>
    <w:rPr>
      <w:rFonts w:cs="Calibri"/>
      <w:sz w:val="18"/>
      <w:szCs w:val="18"/>
    </w:rPr>
  </w:style>
  <w:style w:type="paragraph" w:styleId="TOC7">
    <w:name w:val="toc 7"/>
    <w:basedOn w:val="Normal"/>
    <w:next w:val="Normal"/>
    <w:autoRedefine/>
    <w:rsid w:val="001D5F38"/>
    <w:pPr>
      <w:ind w:left="1320"/>
    </w:pPr>
    <w:rPr>
      <w:rFonts w:cs="Calibri"/>
      <w:sz w:val="18"/>
      <w:szCs w:val="18"/>
    </w:rPr>
  </w:style>
  <w:style w:type="paragraph" w:styleId="TOC8">
    <w:name w:val="toc 8"/>
    <w:basedOn w:val="Normal"/>
    <w:next w:val="Normal"/>
    <w:autoRedefine/>
    <w:rsid w:val="001D5F38"/>
    <w:pPr>
      <w:ind w:left="1540"/>
    </w:pPr>
    <w:rPr>
      <w:rFonts w:cs="Calibri"/>
      <w:sz w:val="18"/>
      <w:szCs w:val="18"/>
    </w:rPr>
  </w:style>
  <w:style w:type="paragraph" w:styleId="TOC9">
    <w:name w:val="toc 9"/>
    <w:basedOn w:val="Normal"/>
    <w:next w:val="Normal"/>
    <w:autoRedefine/>
    <w:rsid w:val="001D5F38"/>
    <w:pPr>
      <w:ind w:left="1760"/>
    </w:pPr>
    <w:rPr>
      <w:rFonts w:cs="Calibri"/>
      <w:sz w:val="18"/>
      <w:szCs w:val="18"/>
    </w:rPr>
  </w:style>
  <w:style w:type="paragraph" w:styleId="Revision">
    <w:name w:val="Revision"/>
    <w:hidden/>
    <w:uiPriority w:val="99"/>
    <w:semiHidden/>
    <w:rsid w:val="00A83F26"/>
    <w:rPr>
      <w:sz w:val="22"/>
      <w:szCs w:val="22"/>
    </w:rPr>
  </w:style>
  <w:style w:type="paragraph" w:styleId="ListParagraph">
    <w:name w:val="List Paragraph"/>
    <w:basedOn w:val="Normal"/>
    <w:uiPriority w:val="34"/>
    <w:qFormat/>
    <w:rsid w:val="00040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596">
      <w:bodyDiv w:val="1"/>
      <w:marLeft w:val="0"/>
      <w:marRight w:val="0"/>
      <w:marTop w:val="0"/>
      <w:marBottom w:val="0"/>
      <w:divBdr>
        <w:top w:val="none" w:sz="0" w:space="0" w:color="auto"/>
        <w:left w:val="none" w:sz="0" w:space="0" w:color="auto"/>
        <w:bottom w:val="none" w:sz="0" w:space="0" w:color="auto"/>
        <w:right w:val="none" w:sz="0" w:space="0" w:color="auto"/>
      </w:divBdr>
    </w:div>
    <w:div w:id="139423753">
      <w:bodyDiv w:val="1"/>
      <w:marLeft w:val="0"/>
      <w:marRight w:val="0"/>
      <w:marTop w:val="0"/>
      <w:marBottom w:val="0"/>
      <w:divBdr>
        <w:top w:val="none" w:sz="0" w:space="0" w:color="auto"/>
        <w:left w:val="none" w:sz="0" w:space="0" w:color="auto"/>
        <w:bottom w:val="none" w:sz="0" w:space="0" w:color="auto"/>
        <w:right w:val="none" w:sz="0" w:space="0" w:color="auto"/>
      </w:divBdr>
    </w:div>
    <w:div w:id="473375728">
      <w:bodyDiv w:val="1"/>
      <w:marLeft w:val="0"/>
      <w:marRight w:val="0"/>
      <w:marTop w:val="0"/>
      <w:marBottom w:val="0"/>
      <w:divBdr>
        <w:top w:val="none" w:sz="0" w:space="0" w:color="auto"/>
        <w:left w:val="none" w:sz="0" w:space="0" w:color="auto"/>
        <w:bottom w:val="none" w:sz="0" w:space="0" w:color="auto"/>
        <w:right w:val="none" w:sz="0" w:space="0" w:color="auto"/>
      </w:divBdr>
    </w:div>
    <w:div w:id="733048995">
      <w:bodyDiv w:val="1"/>
      <w:marLeft w:val="0"/>
      <w:marRight w:val="0"/>
      <w:marTop w:val="0"/>
      <w:marBottom w:val="0"/>
      <w:divBdr>
        <w:top w:val="none" w:sz="0" w:space="0" w:color="auto"/>
        <w:left w:val="none" w:sz="0" w:space="0" w:color="auto"/>
        <w:bottom w:val="none" w:sz="0" w:space="0" w:color="auto"/>
        <w:right w:val="none" w:sz="0" w:space="0" w:color="auto"/>
      </w:divBdr>
    </w:div>
    <w:div w:id="814373435">
      <w:bodyDiv w:val="1"/>
      <w:marLeft w:val="0"/>
      <w:marRight w:val="0"/>
      <w:marTop w:val="0"/>
      <w:marBottom w:val="0"/>
      <w:divBdr>
        <w:top w:val="none" w:sz="0" w:space="0" w:color="auto"/>
        <w:left w:val="none" w:sz="0" w:space="0" w:color="auto"/>
        <w:bottom w:val="none" w:sz="0" w:space="0" w:color="auto"/>
        <w:right w:val="none" w:sz="0" w:space="0" w:color="auto"/>
      </w:divBdr>
    </w:div>
    <w:div w:id="891964440">
      <w:bodyDiv w:val="1"/>
      <w:marLeft w:val="0"/>
      <w:marRight w:val="0"/>
      <w:marTop w:val="0"/>
      <w:marBottom w:val="0"/>
      <w:divBdr>
        <w:top w:val="none" w:sz="0" w:space="0" w:color="auto"/>
        <w:left w:val="none" w:sz="0" w:space="0" w:color="auto"/>
        <w:bottom w:val="none" w:sz="0" w:space="0" w:color="auto"/>
        <w:right w:val="none" w:sz="0" w:space="0" w:color="auto"/>
      </w:divBdr>
    </w:div>
    <w:div w:id="1287081852">
      <w:bodyDiv w:val="1"/>
      <w:marLeft w:val="0"/>
      <w:marRight w:val="0"/>
      <w:marTop w:val="0"/>
      <w:marBottom w:val="0"/>
      <w:divBdr>
        <w:top w:val="none" w:sz="0" w:space="0" w:color="auto"/>
        <w:left w:val="none" w:sz="0" w:space="0" w:color="auto"/>
        <w:bottom w:val="none" w:sz="0" w:space="0" w:color="auto"/>
        <w:right w:val="none" w:sz="0" w:space="0" w:color="auto"/>
      </w:divBdr>
    </w:div>
    <w:div w:id="1407609955">
      <w:bodyDiv w:val="1"/>
      <w:marLeft w:val="0"/>
      <w:marRight w:val="0"/>
      <w:marTop w:val="0"/>
      <w:marBottom w:val="0"/>
      <w:divBdr>
        <w:top w:val="none" w:sz="0" w:space="0" w:color="auto"/>
        <w:left w:val="none" w:sz="0" w:space="0" w:color="auto"/>
        <w:bottom w:val="none" w:sz="0" w:space="0" w:color="auto"/>
        <w:right w:val="none" w:sz="0" w:space="0" w:color="auto"/>
      </w:divBdr>
    </w:div>
    <w:div w:id="1420371309">
      <w:bodyDiv w:val="1"/>
      <w:marLeft w:val="0"/>
      <w:marRight w:val="0"/>
      <w:marTop w:val="0"/>
      <w:marBottom w:val="0"/>
      <w:divBdr>
        <w:top w:val="none" w:sz="0" w:space="0" w:color="auto"/>
        <w:left w:val="none" w:sz="0" w:space="0" w:color="auto"/>
        <w:bottom w:val="none" w:sz="0" w:space="0" w:color="auto"/>
        <w:right w:val="none" w:sz="0" w:space="0" w:color="auto"/>
      </w:divBdr>
    </w:div>
    <w:div w:id="1422214994">
      <w:bodyDiv w:val="1"/>
      <w:marLeft w:val="0"/>
      <w:marRight w:val="0"/>
      <w:marTop w:val="0"/>
      <w:marBottom w:val="0"/>
      <w:divBdr>
        <w:top w:val="none" w:sz="0" w:space="0" w:color="auto"/>
        <w:left w:val="none" w:sz="0" w:space="0" w:color="auto"/>
        <w:bottom w:val="none" w:sz="0" w:space="0" w:color="auto"/>
        <w:right w:val="none" w:sz="0" w:space="0" w:color="auto"/>
      </w:divBdr>
    </w:div>
    <w:div w:id="1615790187">
      <w:bodyDiv w:val="1"/>
      <w:marLeft w:val="0"/>
      <w:marRight w:val="0"/>
      <w:marTop w:val="0"/>
      <w:marBottom w:val="0"/>
      <w:divBdr>
        <w:top w:val="none" w:sz="0" w:space="0" w:color="auto"/>
        <w:left w:val="none" w:sz="0" w:space="0" w:color="auto"/>
        <w:bottom w:val="none" w:sz="0" w:space="0" w:color="auto"/>
        <w:right w:val="none" w:sz="0" w:space="0" w:color="auto"/>
      </w:divBdr>
    </w:div>
    <w:div w:id="1620645732">
      <w:bodyDiv w:val="1"/>
      <w:marLeft w:val="0"/>
      <w:marRight w:val="0"/>
      <w:marTop w:val="0"/>
      <w:marBottom w:val="0"/>
      <w:divBdr>
        <w:top w:val="none" w:sz="0" w:space="0" w:color="auto"/>
        <w:left w:val="none" w:sz="0" w:space="0" w:color="auto"/>
        <w:bottom w:val="none" w:sz="0" w:space="0" w:color="auto"/>
        <w:right w:val="none" w:sz="0" w:space="0" w:color="auto"/>
      </w:divBdr>
    </w:div>
    <w:div w:id="1630864772">
      <w:bodyDiv w:val="1"/>
      <w:marLeft w:val="0"/>
      <w:marRight w:val="0"/>
      <w:marTop w:val="0"/>
      <w:marBottom w:val="0"/>
      <w:divBdr>
        <w:top w:val="none" w:sz="0" w:space="0" w:color="auto"/>
        <w:left w:val="none" w:sz="0" w:space="0" w:color="auto"/>
        <w:bottom w:val="none" w:sz="0" w:space="0" w:color="auto"/>
        <w:right w:val="none" w:sz="0" w:space="0" w:color="auto"/>
      </w:divBdr>
    </w:div>
    <w:div w:id="1769737977">
      <w:bodyDiv w:val="1"/>
      <w:marLeft w:val="0"/>
      <w:marRight w:val="0"/>
      <w:marTop w:val="0"/>
      <w:marBottom w:val="0"/>
      <w:divBdr>
        <w:top w:val="none" w:sz="0" w:space="0" w:color="auto"/>
        <w:left w:val="none" w:sz="0" w:space="0" w:color="auto"/>
        <w:bottom w:val="none" w:sz="0" w:space="0" w:color="auto"/>
        <w:right w:val="none" w:sz="0" w:space="0" w:color="auto"/>
      </w:divBdr>
    </w:div>
    <w:div w:id="19468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faersesub@fda.hh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downloads/drugs/guidancecomplianceregulatoryinformation/guidances/ucm072369.pdf"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fda.gov/Drugs/GuidanceComplianceRegulatoryInformation/Guidances/default.htm" TargetMode="External"/><Relationship Id="rId14" Type="http://schemas.openxmlformats.org/officeDocument/2006/relationships/header" Target="header4.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ForIndustry/ElectronicSubmissionsGateway/ucm2005551.htm" TargetMode="External"/><Relationship Id="rId2" Type="http://schemas.openxmlformats.org/officeDocument/2006/relationships/hyperlink" Target="http://www.safetyreporting.hhs.gov" TargetMode="External"/><Relationship Id="rId1" Type="http://schemas.openxmlformats.org/officeDocument/2006/relationships/hyperlink" Target="http://www.fda.gov/Drugs/GuidanceComplianceRegulatoryInformation/PharmacyCompounding/ucm376732.htm" TargetMode="External"/><Relationship Id="rId4" Type="http://schemas.openxmlformats.org/officeDocument/2006/relationships/hyperlink" Target="http://www.fda.gov/downloads/Drugs/GuidanceComplianceRegulatoryInformation/Guidances/UCM4034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DF8B-3BBA-4876-B880-C7B86793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3411</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23793</CharactersWithSpaces>
  <SharedDoc>false</SharedDoc>
  <HLinks>
    <vt:vector size="42" baseType="variant">
      <vt:variant>
        <vt:i4>917610</vt:i4>
      </vt:variant>
      <vt:variant>
        <vt:i4>87</vt:i4>
      </vt:variant>
      <vt:variant>
        <vt:i4>0</vt:i4>
      </vt:variant>
      <vt:variant>
        <vt:i4>5</vt:i4>
      </vt:variant>
      <vt:variant>
        <vt:lpwstr>mailto:faersesub@fda.hhs.gov</vt:lpwstr>
      </vt:variant>
      <vt:variant>
        <vt:lpwstr/>
      </vt:variant>
      <vt:variant>
        <vt:i4>327801</vt:i4>
      </vt:variant>
      <vt:variant>
        <vt:i4>84</vt:i4>
      </vt:variant>
      <vt:variant>
        <vt:i4>0</vt:i4>
      </vt:variant>
      <vt:variant>
        <vt:i4>5</vt:i4>
      </vt:variant>
      <vt:variant>
        <vt:lpwstr>http://www.fda.gov/ucm/groups/fdagov-public/@fdagov-drugs-gen/ documents/ document/ ucm072369.pdf</vt:lpwstr>
      </vt:variant>
      <vt:variant>
        <vt:lpwstr/>
      </vt:variant>
      <vt:variant>
        <vt:i4>3014719</vt:i4>
      </vt:variant>
      <vt:variant>
        <vt:i4>0</vt:i4>
      </vt:variant>
      <vt:variant>
        <vt:i4>0</vt:i4>
      </vt:variant>
      <vt:variant>
        <vt:i4>5</vt:i4>
      </vt:variant>
      <vt:variant>
        <vt:lpwstr>http://www.fda.gov/Drugs/GuidanceComplianceRegulatoryInformation/Guidances/default.htm</vt:lpwstr>
      </vt:variant>
      <vt:variant>
        <vt:lpwstr/>
      </vt:variant>
      <vt:variant>
        <vt:i4>7929919</vt:i4>
      </vt:variant>
      <vt:variant>
        <vt:i4>15</vt:i4>
      </vt:variant>
      <vt:variant>
        <vt:i4>0</vt:i4>
      </vt:variant>
      <vt:variant>
        <vt:i4>5</vt:i4>
      </vt:variant>
      <vt:variant>
        <vt:lpwstr>http://www.fda.gov/downloads/Drugs/GuidanceComplianceRegulatoryInformation/Guidances/UCM403496.pdf</vt:lpwstr>
      </vt:variant>
      <vt:variant>
        <vt:lpwstr/>
      </vt:variant>
      <vt:variant>
        <vt:i4>4063290</vt:i4>
      </vt:variant>
      <vt:variant>
        <vt:i4>3</vt:i4>
      </vt:variant>
      <vt:variant>
        <vt:i4>0</vt:i4>
      </vt:variant>
      <vt:variant>
        <vt:i4>5</vt:i4>
      </vt:variant>
      <vt:variant>
        <vt:lpwstr>http://www.safetyreporting.hhs.gov/</vt:lpwstr>
      </vt:variant>
      <vt:variant>
        <vt:lpwstr/>
      </vt:variant>
      <vt:variant>
        <vt:i4>6684794</vt:i4>
      </vt:variant>
      <vt:variant>
        <vt:i4>0</vt:i4>
      </vt:variant>
      <vt:variant>
        <vt:i4>0</vt:i4>
      </vt:variant>
      <vt:variant>
        <vt:i4>5</vt:i4>
      </vt:variant>
      <vt:variant>
        <vt:lpwstr>http://www.fda.gov/Drugs/GuidanceComplianceRegulatoryInformation/PharmacyCompounding/ucm376732.htm</vt:lpwstr>
      </vt:variant>
      <vt:variant>
        <vt:lpwstr/>
      </vt:variant>
      <vt:variant>
        <vt:i4>7733301</vt:i4>
      </vt:variant>
      <vt:variant>
        <vt:i4>0</vt:i4>
      </vt:variant>
      <vt:variant>
        <vt:i4>0</vt:i4>
      </vt:variant>
      <vt:variant>
        <vt:i4>5</vt:i4>
      </vt:variant>
      <vt:variant>
        <vt:lpwstr>http://www.fda.gov/downloads/drugs/guidancecomplianceregulatoryinformation/guidances/ucm072369.pdf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Axelrad, Jane A</dc:creator>
  <cp:lastModifiedBy>Mizrachi, Ila</cp:lastModifiedBy>
  <cp:revision>2</cp:revision>
  <dcterms:created xsi:type="dcterms:W3CDTF">2015-07-31T19:19:00Z</dcterms:created>
  <dcterms:modified xsi:type="dcterms:W3CDTF">2015-07-31T19:19:00Z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