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323F2C" w14:textId="695755C1" w:rsidR="008C692F" w:rsidRPr="002A65BA" w:rsidRDefault="00BA2BD8" w:rsidP="008C692F">
      <w:pPr>
        <w:spacing w:after="0"/>
        <w:contextualSpacing/>
        <w:jc w:val="center"/>
        <w:rPr>
          <w:rFonts w:ascii="Verdana" w:hAnsi="Verdana"/>
          <w:b/>
          <w:color w:val="0070C0"/>
          <w:sz w:val="24"/>
          <w:szCs w:val="24"/>
        </w:rPr>
      </w:pPr>
      <w:bookmarkStart w:id="0" w:name="_GoBack"/>
      <w:bookmarkEnd w:id="0"/>
      <w:r w:rsidRPr="002A65BA">
        <w:rPr>
          <w:rFonts w:ascii="Verdana" w:hAnsi="Verdana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243242DA" wp14:editId="243242DB">
            <wp:simplePos x="0" y="0"/>
            <wp:positionH relativeFrom="column">
              <wp:posOffset>-596708</wp:posOffset>
            </wp:positionH>
            <wp:positionV relativeFrom="paragraph">
              <wp:posOffset>-609408</wp:posOffset>
            </wp:positionV>
            <wp:extent cx="1190625" cy="561975"/>
            <wp:effectExtent l="0" t="0" r="9525" b="9525"/>
            <wp:wrapNone/>
            <wp:docPr id="1" name="Picture 1" descr="HHS-CDC(CMYK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HS-CDC(CMYK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34DC" w:rsidRPr="002A65BA">
        <w:rPr>
          <w:rFonts w:ascii="Verdana" w:hAnsi="Verdana"/>
          <w:b/>
          <w:color w:val="0070C0"/>
          <w:sz w:val="24"/>
          <w:szCs w:val="24"/>
        </w:rPr>
        <w:t xml:space="preserve">Guidance for </w:t>
      </w:r>
      <w:r w:rsidR="0017616F" w:rsidRPr="002A65BA">
        <w:rPr>
          <w:rFonts w:ascii="Verdana" w:hAnsi="Verdana"/>
          <w:b/>
          <w:color w:val="0070C0"/>
          <w:sz w:val="24"/>
          <w:szCs w:val="24"/>
        </w:rPr>
        <w:t>Health Departments</w:t>
      </w:r>
      <w:r w:rsidR="00CB6F57" w:rsidRPr="002A65BA">
        <w:rPr>
          <w:rFonts w:ascii="Verdana" w:hAnsi="Verdana"/>
          <w:b/>
          <w:color w:val="0070C0"/>
          <w:sz w:val="24"/>
          <w:szCs w:val="24"/>
        </w:rPr>
        <w:t xml:space="preserve"> </w:t>
      </w:r>
      <w:r w:rsidR="002A65BA" w:rsidRPr="002A65BA">
        <w:rPr>
          <w:rFonts w:ascii="Verdana" w:hAnsi="Verdana"/>
          <w:b/>
          <w:color w:val="0070C0"/>
          <w:sz w:val="24"/>
          <w:szCs w:val="24"/>
        </w:rPr>
        <w:t>for</w:t>
      </w:r>
      <w:r w:rsidR="00D37A2D" w:rsidRPr="002A65BA">
        <w:rPr>
          <w:rFonts w:ascii="Verdana" w:hAnsi="Verdana"/>
          <w:b/>
          <w:color w:val="0070C0"/>
          <w:sz w:val="24"/>
          <w:szCs w:val="24"/>
        </w:rPr>
        <w:t xml:space="preserve"> </w:t>
      </w:r>
      <w:r w:rsidR="0025674E" w:rsidRPr="002A65BA">
        <w:rPr>
          <w:rFonts w:ascii="Verdana" w:hAnsi="Verdana"/>
          <w:b/>
          <w:color w:val="0070C0"/>
          <w:sz w:val="24"/>
          <w:szCs w:val="24"/>
        </w:rPr>
        <w:t xml:space="preserve">Identifying and </w:t>
      </w:r>
      <w:r w:rsidR="002564B8" w:rsidRPr="002A65BA">
        <w:rPr>
          <w:rFonts w:ascii="Verdana" w:hAnsi="Verdana"/>
          <w:b/>
          <w:color w:val="0070C0"/>
          <w:sz w:val="24"/>
          <w:szCs w:val="24"/>
        </w:rPr>
        <w:t>Mo</w:t>
      </w:r>
      <w:r w:rsidR="000F7728" w:rsidRPr="002A65BA">
        <w:rPr>
          <w:rFonts w:ascii="Verdana" w:hAnsi="Verdana"/>
          <w:b/>
          <w:color w:val="0070C0"/>
          <w:sz w:val="24"/>
          <w:szCs w:val="24"/>
        </w:rPr>
        <w:t xml:space="preserve">nitoring </w:t>
      </w:r>
      <w:r w:rsidR="003676C8" w:rsidRPr="002A65BA">
        <w:rPr>
          <w:rFonts w:ascii="Verdana" w:hAnsi="Verdana"/>
          <w:b/>
          <w:color w:val="0070C0"/>
          <w:sz w:val="24"/>
          <w:szCs w:val="24"/>
        </w:rPr>
        <w:t xml:space="preserve">Community </w:t>
      </w:r>
      <w:r w:rsidR="0025674E" w:rsidRPr="002A65BA">
        <w:rPr>
          <w:rFonts w:ascii="Verdana" w:hAnsi="Verdana"/>
          <w:b/>
          <w:color w:val="0070C0"/>
          <w:sz w:val="24"/>
          <w:szCs w:val="24"/>
        </w:rPr>
        <w:t xml:space="preserve">Contacts of </w:t>
      </w:r>
      <w:r w:rsidR="002A65BA" w:rsidRPr="002A65BA">
        <w:rPr>
          <w:rFonts w:ascii="Verdana" w:hAnsi="Verdana"/>
          <w:b/>
          <w:color w:val="0070C0"/>
          <w:sz w:val="24"/>
          <w:szCs w:val="24"/>
        </w:rPr>
        <w:t xml:space="preserve">Persons Under Investigation (PUI) for </w:t>
      </w:r>
      <w:r w:rsidR="0025674E" w:rsidRPr="002A65BA">
        <w:rPr>
          <w:rFonts w:ascii="Verdana" w:hAnsi="Verdana"/>
          <w:b/>
          <w:color w:val="0070C0"/>
          <w:sz w:val="24"/>
          <w:szCs w:val="24"/>
        </w:rPr>
        <w:t xml:space="preserve">Ebola </w:t>
      </w:r>
      <w:r w:rsidR="002A65BA" w:rsidRPr="002A65BA">
        <w:rPr>
          <w:rFonts w:ascii="Verdana" w:hAnsi="Verdana"/>
          <w:b/>
          <w:color w:val="0070C0"/>
          <w:sz w:val="24"/>
          <w:szCs w:val="24"/>
        </w:rPr>
        <w:t xml:space="preserve">Virus Disease (Ebola) or Ebola </w:t>
      </w:r>
      <w:r w:rsidR="003676C8" w:rsidRPr="002A65BA">
        <w:rPr>
          <w:rFonts w:ascii="Verdana" w:hAnsi="Verdana"/>
          <w:b/>
          <w:color w:val="0070C0"/>
          <w:sz w:val="24"/>
          <w:szCs w:val="24"/>
        </w:rPr>
        <w:t>Cases</w:t>
      </w:r>
    </w:p>
    <w:p w14:paraId="24323F2E" w14:textId="77777777" w:rsidR="00C91A9E" w:rsidRPr="002A65BA" w:rsidRDefault="00255BF6" w:rsidP="008C692F">
      <w:pPr>
        <w:spacing w:after="0"/>
        <w:contextualSpacing/>
        <w:rPr>
          <w:b/>
          <w:color w:val="0070C0"/>
          <w:sz w:val="24"/>
          <w:szCs w:val="24"/>
        </w:rPr>
      </w:pPr>
      <w:r w:rsidRPr="002A65BA">
        <w:rPr>
          <w:b/>
          <w:sz w:val="24"/>
          <w:szCs w:val="24"/>
        </w:rPr>
        <w:t>Background</w:t>
      </w:r>
    </w:p>
    <w:p w14:paraId="53483CDB" w14:textId="77777777" w:rsidR="002A65BA" w:rsidRPr="002A65BA" w:rsidRDefault="00404385" w:rsidP="00526117">
      <w:pPr>
        <w:spacing w:after="0"/>
        <w:contextualSpacing/>
        <w:rPr>
          <w:sz w:val="24"/>
          <w:szCs w:val="24"/>
        </w:rPr>
      </w:pPr>
      <w:r w:rsidRPr="002A65BA">
        <w:rPr>
          <w:sz w:val="24"/>
          <w:szCs w:val="24"/>
        </w:rPr>
        <w:t xml:space="preserve">A </w:t>
      </w:r>
      <w:r w:rsidR="002A65BA" w:rsidRPr="002A65BA">
        <w:rPr>
          <w:b/>
          <w:sz w:val="24"/>
          <w:szCs w:val="24"/>
        </w:rPr>
        <w:t xml:space="preserve">community </w:t>
      </w:r>
      <w:r w:rsidRPr="002A65BA">
        <w:rPr>
          <w:b/>
          <w:sz w:val="24"/>
          <w:szCs w:val="24"/>
        </w:rPr>
        <w:t>contact</w:t>
      </w:r>
      <w:r w:rsidRPr="002A65BA">
        <w:rPr>
          <w:sz w:val="24"/>
          <w:szCs w:val="24"/>
        </w:rPr>
        <w:t xml:space="preserve"> is a</w:t>
      </w:r>
      <w:r w:rsidR="002A65BA" w:rsidRPr="002A65BA">
        <w:rPr>
          <w:sz w:val="24"/>
          <w:szCs w:val="24"/>
        </w:rPr>
        <w:t xml:space="preserve"> person</w:t>
      </w:r>
      <w:r w:rsidRPr="002A65BA">
        <w:rPr>
          <w:sz w:val="24"/>
          <w:szCs w:val="24"/>
        </w:rPr>
        <w:t xml:space="preserve"> who may have been exposed to a person with Ebola or a person under investigation (PUI, i.e., a person who has symptoms compatible with Ebola, </w:t>
      </w:r>
      <w:r w:rsidR="003676C8" w:rsidRPr="002A65BA">
        <w:rPr>
          <w:sz w:val="24"/>
          <w:szCs w:val="24"/>
        </w:rPr>
        <w:t>has</w:t>
      </w:r>
      <w:r w:rsidRPr="002A65BA">
        <w:rPr>
          <w:sz w:val="24"/>
          <w:szCs w:val="24"/>
        </w:rPr>
        <w:t xml:space="preserve"> an epidemiologic risk factor</w:t>
      </w:r>
      <w:r w:rsidR="003676C8" w:rsidRPr="002A65BA">
        <w:rPr>
          <w:sz w:val="24"/>
          <w:szCs w:val="24"/>
        </w:rPr>
        <w:t xml:space="preserve"> within 21 days of symptom onset</w:t>
      </w:r>
      <w:r w:rsidRPr="002A65BA">
        <w:rPr>
          <w:sz w:val="24"/>
          <w:szCs w:val="24"/>
        </w:rPr>
        <w:t xml:space="preserve">, </w:t>
      </w:r>
      <w:r w:rsidR="003676C8" w:rsidRPr="002A65BA">
        <w:rPr>
          <w:sz w:val="24"/>
          <w:szCs w:val="24"/>
        </w:rPr>
        <w:t xml:space="preserve">and </w:t>
      </w:r>
      <w:r w:rsidRPr="002A65BA">
        <w:rPr>
          <w:sz w:val="24"/>
          <w:szCs w:val="24"/>
        </w:rPr>
        <w:t>is undergoing Ebola testing)</w:t>
      </w:r>
      <w:r w:rsidRPr="002A65BA">
        <w:rPr>
          <w:b/>
          <w:sz w:val="24"/>
          <w:szCs w:val="24"/>
        </w:rPr>
        <w:t xml:space="preserve"> </w:t>
      </w:r>
      <w:r w:rsidRPr="002A65BA">
        <w:rPr>
          <w:sz w:val="24"/>
          <w:szCs w:val="24"/>
        </w:rPr>
        <w:t xml:space="preserve">through direct contact with the </w:t>
      </w:r>
      <w:r w:rsidR="002A65BA" w:rsidRPr="002A65BA">
        <w:rPr>
          <w:sz w:val="24"/>
          <w:szCs w:val="24"/>
        </w:rPr>
        <w:t>person</w:t>
      </w:r>
      <w:r w:rsidRPr="002A65BA">
        <w:rPr>
          <w:sz w:val="24"/>
          <w:szCs w:val="24"/>
        </w:rPr>
        <w:t xml:space="preserve"> (dead or alive) or the body fluids of </w:t>
      </w:r>
      <w:r w:rsidR="002A65BA" w:rsidRPr="002A65BA">
        <w:rPr>
          <w:sz w:val="24"/>
          <w:szCs w:val="24"/>
        </w:rPr>
        <w:t>the person</w:t>
      </w:r>
      <w:r w:rsidRPr="002A65BA">
        <w:rPr>
          <w:sz w:val="24"/>
          <w:szCs w:val="24"/>
        </w:rPr>
        <w:t xml:space="preserve">. </w:t>
      </w:r>
    </w:p>
    <w:p w14:paraId="59D5E580" w14:textId="4682FD73" w:rsidR="001D73DC" w:rsidRPr="002A65BA" w:rsidRDefault="001D73DC" w:rsidP="00526117">
      <w:pPr>
        <w:spacing w:after="0"/>
        <w:contextualSpacing/>
        <w:rPr>
          <w:sz w:val="24"/>
          <w:szCs w:val="24"/>
        </w:rPr>
      </w:pPr>
      <w:r w:rsidRPr="002A65BA">
        <w:rPr>
          <w:sz w:val="24"/>
          <w:szCs w:val="24"/>
        </w:rPr>
        <w:t>Community contact</w:t>
      </w:r>
      <w:r w:rsidR="003676C8" w:rsidRPr="002A65BA">
        <w:rPr>
          <w:sz w:val="24"/>
          <w:szCs w:val="24"/>
        </w:rPr>
        <w:t xml:space="preserve"> </w:t>
      </w:r>
      <w:r w:rsidRPr="002A65BA">
        <w:rPr>
          <w:sz w:val="24"/>
          <w:szCs w:val="24"/>
        </w:rPr>
        <w:t>excludes</w:t>
      </w:r>
      <w:r w:rsidR="003676C8" w:rsidRPr="002A65BA">
        <w:rPr>
          <w:sz w:val="24"/>
          <w:szCs w:val="24"/>
        </w:rPr>
        <w:t xml:space="preserve"> healthcare workers</w:t>
      </w:r>
      <w:r w:rsidRPr="002A65BA">
        <w:rPr>
          <w:sz w:val="24"/>
          <w:szCs w:val="24"/>
        </w:rPr>
        <w:t xml:space="preserve"> and travelers </w:t>
      </w:r>
      <w:r w:rsidR="007E7EAD" w:rsidRPr="002A65BA">
        <w:rPr>
          <w:sz w:val="24"/>
          <w:szCs w:val="24"/>
        </w:rPr>
        <w:t>on an aircraft with</w:t>
      </w:r>
      <w:r w:rsidRPr="002A65BA">
        <w:rPr>
          <w:sz w:val="24"/>
          <w:szCs w:val="24"/>
        </w:rPr>
        <w:t xml:space="preserve"> an Ebola case</w:t>
      </w:r>
      <w:r w:rsidR="002A65BA" w:rsidRPr="002A65BA">
        <w:rPr>
          <w:sz w:val="24"/>
          <w:szCs w:val="24"/>
        </w:rPr>
        <w:t xml:space="preserve">. </w:t>
      </w:r>
    </w:p>
    <w:p w14:paraId="24323F40" w14:textId="77777777" w:rsidR="0056368A" w:rsidRPr="002A65BA" w:rsidRDefault="0056368A" w:rsidP="00526117">
      <w:pPr>
        <w:spacing w:after="0"/>
        <w:contextualSpacing/>
        <w:rPr>
          <w:b/>
          <w:sz w:val="24"/>
          <w:szCs w:val="24"/>
        </w:rPr>
      </w:pPr>
    </w:p>
    <w:p w14:paraId="74387C73" w14:textId="77777777" w:rsidR="00404385" w:rsidRPr="002A65BA" w:rsidRDefault="00404385" w:rsidP="00526117">
      <w:pPr>
        <w:spacing w:after="0"/>
        <w:contextualSpacing/>
        <w:rPr>
          <w:b/>
          <w:sz w:val="24"/>
          <w:szCs w:val="24"/>
        </w:rPr>
      </w:pPr>
      <w:r w:rsidRPr="002A65BA">
        <w:rPr>
          <w:b/>
          <w:sz w:val="24"/>
          <w:szCs w:val="24"/>
        </w:rPr>
        <w:t>Identifying contacts</w:t>
      </w:r>
    </w:p>
    <w:p w14:paraId="532B6214" w14:textId="63C25537" w:rsidR="00404385" w:rsidRPr="002A65BA" w:rsidRDefault="00404385" w:rsidP="00404385">
      <w:pPr>
        <w:spacing w:after="0"/>
        <w:contextualSpacing/>
        <w:rPr>
          <w:sz w:val="24"/>
          <w:szCs w:val="24"/>
        </w:rPr>
      </w:pPr>
      <w:r w:rsidRPr="002A65BA">
        <w:rPr>
          <w:sz w:val="24"/>
          <w:szCs w:val="24"/>
        </w:rPr>
        <w:t xml:space="preserve">Contact identification occurs during investigation of an Ebola case. Ebola </w:t>
      </w:r>
      <w:r w:rsidR="003676C8" w:rsidRPr="002A65BA">
        <w:rPr>
          <w:sz w:val="24"/>
          <w:szCs w:val="24"/>
        </w:rPr>
        <w:t>cases</w:t>
      </w:r>
      <w:r w:rsidR="002A65BA" w:rsidRPr="002A65BA">
        <w:rPr>
          <w:sz w:val="24"/>
          <w:szCs w:val="24"/>
        </w:rPr>
        <w:t xml:space="preserve"> should be </w:t>
      </w:r>
      <w:r w:rsidRPr="002A65BA">
        <w:rPr>
          <w:sz w:val="24"/>
          <w:szCs w:val="24"/>
        </w:rPr>
        <w:t>interviewed and th</w:t>
      </w:r>
      <w:r w:rsidR="002A65BA" w:rsidRPr="002A65BA">
        <w:rPr>
          <w:sz w:val="24"/>
          <w:szCs w:val="24"/>
        </w:rPr>
        <w:t>e</w:t>
      </w:r>
      <w:r w:rsidRPr="002A65BA">
        <w:rPr>
          <w:sz w:val="24"/>
          <w:szCs w:val="24"/>
        </w:rPr>
        <w:t xml:space="preserve"> information </w:t>
      </w:r>
      <w:r w:rsidR="002A65BA" w:rsidRPr="002A65BA">
        <w:rPr>
          <w:sz w:val="24"/>
          <w:szCs w:val="24"/>
        </w:rPr>
        <w:t xml:space="preserve">collected during the interview </w:t>
      </w:r>
      <w:r w:rsidRPr="002A65BA">
        <w:rPr>
          <w:sz w:val="24"/>
          <w:szCs w:val="24"/>
        </w:rPr>
        <w:t xml:space="preserve">used to complete </w:t>
      </w:r>
      <w:r w:rsidRPr="002A65BA">
        <w:rPr>
          <w:b/>
          <w:sz w:val="24"/>
          <w:szCs w:val="24"/>
        </w:rPr>
        <w:t>Form 1: Ebola Case Investigation Form</w:t>
      </w:r>
      <w:r w:rsidRPr="002A65BA">
        <w:rPr>
          <w:sz w:val="24"/>
          <w:szCs w:val="24"/>
        </w:rPr>
        <w:t xml:space="preserve">, including identifying possible contacts. Contact identification and follow-up should occur for all </w:t>
      </w:r>
      <w:r w:rsidR="003676C8" w:rsidRPr="002A65BA">
        <w:rPr>
          <w:sz w:val="24"/>
          <w:szCs w:val="24"/>
        </w:rPr>
        <w:t xml:space="preserve">PUI </w:t>
      </w:r>
      <w:r w:rsidRPr="002A65BA">
        <w:rPr>
          <w:sz w:val="24"/>
          <w:szCs w:val="24"/>
        </w:rPr>
        <w:t xml:space="preserve">as well as all confirmed Ebola cases (both alive and dead). If laboratory testing determines that a </w:t>
      </w:r>
      <w:r w:rsidR="007E7EAD" w:rsidRPr="002A65BA">
        <w:rPr>
          <w:sz w:val="24"/>
          <w:szCs w:val="24"/>
        </w:rPr>
        <w:t>PUI</w:t>
      </w:r>
      <w:r w:rsidRPr="002A65BA">
        <w:rPr>
          <w:sz w:val="24"/>
          <w:szCs w:val="24"/>
        </w:rPr>
        <w:t xml:space="preserve"> is </w:t>
      </w:r>
      <w:r w:rsidR="002A65BA" w:rsidRPr="002A65BA">
        <w:rPr>
          <w:sz w:val="24"/>
          <w:szCs w:val="24"/>
        </w:rPr>
        <w:t>“</w:t>
      </w:r>
      <w:r w:rsidRPr="002A65BA">
        <w:rPr>
          <w:sz w:val="24"/>
          <w:szCs w:val="24"/>
        </w:rPr>
        <w:t>ruled out</w:t>
      </w:r>
      <w:r w:rsidR="002A65BA" w:rsidRPr="002A65BA">
        <w:rPr>
          <w:sz w:val="24"/>
          <w:szCs w:val="24"/>
        </w:rPr>
        <w:t xml:space="preserve">” (the test is negative indicating that the PUI is </w:t>
      </w:r>
      <w:r w:rsidRPr="002A65BA">
        <w:rPr>
          <w:sz w:val="24"/>
          <w:szCs w:val="24"/>
        </w:rPr>
        <w:t xml:space="preserve">not </w:t>
      </w:r>
      <w:r w:rsidR="002A65BA" w:rsidRPr="002A65BA">
        <w:rPr>
          <w:sz w:val="24"/>
          <w:szCs w:val="24"/>
        </w:rPr>
        <w:t>an Ebola</w:t>
      </w:r>
      <w:r w:rsidRPr="002A65BA">
        <w:rPr>
          <w:sz w:val="24"/>
          <w:szCs w:val="24"/>
        </w:rPr>
        <w:t xml:space="preserve"> case)</w:t>
      </w:r>
      <w:r w:rsidR="002A65BA" w:rsidRPr="002A65BA">
        <w:rPr>
          <w:sz w:val="24"/>
          <w:szCs w:val="24"/>
        </w:rPr>
        <w:t>,</w:t>
      </w:r>
      <w:r w:rsidRPr="002A65BA">
        <w:rPr>
          <w:sz w:val="24"/>
          <w:szCs w:val="24"/>
        </w:rPr>
        <w:t xml:space="preserve"> contact identification and follow-up can end for that </w:t>
      </w:r>
      <w:r w:rsidR="007E7EAD" w:rsidRPr="002A65BA">
        <w:rPr>
          <w:sz w:val="24"/>
          <w:szCs w:val="24"/>
        </w:rPr>
        <w:t>PUI</w:t>
      </w:r>
      <w:r w:rsidRPr="002A65BA">
        <w:rPr>
          <w:sz w:val="24"/>
          <w:szCs w:val="24"/>
        </w:rPr>
        <w:t>.</w:t>
      </w:r>
    </w:p>
    <w:p w14:paraId="425E7D5F" w14:textId="77777777" w:rsidR="00404385" w:rsidRPr="002A65BA" w:rsidRDefault="00404385" w:rsidP="00404385">
      <w:pPr>
        <w:spacing w:after="0"/>
        <w:contextualSpacing/>
        <w:rPr>
          <w:sz w:val="24"/>
          <w:szCs w:val="24"/>
        </w:rPr>
      </w:pPr>
    </w:p>
    <w:p w14:paraId="3DFC72C3" w14:textId="22CFF9AE" w:rsidR="00404385" w:rsidRPr="002A65BA" w:rsidRDefault="00404385" w:rsidP="00404385">
      <w:pPr>
        <w:spacing w:after="0"/>
        <w:contextualSpacing/>
        <w:rPr>
          <w:sz w:val="24"/>
          <w:szCs w:val="24"/>
        </w:rPr>
      </w:pPr>
      <w:r w:rsidRPr="002A65BA">
        <w:rPr>
          <w:sz w:val="24"/>
          <w:szCs w:val="24"/>
        </w:rPr>
        <w:t xml:space="preserve">Contacts are identified by questioning the </w:t>
      </w:r>
      <w:r w:rsidR="003676C8" w:rsidRPr="002A65BA">
        <w:rPr>
          <w:sz w:val="24"/>
          <w:szCs w:val="24"/>
        </w:rPr>
        <w:t>Ebola case</w:t>
      </w:r>
      <w:r w:rsidRPr="002A65BA">
        <w:rPr>
          <w:sz w:val="24"/>
          <w:szCs w:val="24"/>
        </w:rPr>
        <w:t xml:space="preserve"> and/or any other people who may know details about the </w:t>
      </w:r>
      <w:r w:rsidR="003676C8" w:rsidRPr="002A65BA">
        <w:rPr>
          <w:sz w:val="24"/>
          <w:szCs w:val="24"/>
        </w:rPr>
        <w:t>case</w:t>
      </w:r>
      <w:r w:rsidRPr="002A65BA">
        <w:rPr>
          <w:sz w:val="24"/>
          <w:szCs w:val="24"/>
        </w:rPr>
        <w:t xml:space="preserve"> during the course of their illness, including family members, friends, community members, and healthcare workers. Key pieces of information will include:</w:t>
      </w:r>
    </w:p>
    <w:p w14:paraId="18CB8719" w14:textId="77777777" w:rsidR="00404385" w:rsidRPr="002A65BA" w:rsidRDefault="00404385" w:rsidP="002A65BA">
      <w:pPr>
        <w:numPr>
          <w:ilvl w:val="0"/>
          <w:numId w:val="13"/>
        </w:numPr>
        <w:spacing w:before="120" w:after="0"/>
        <w:ind w:hanging="446"/>
        <w:rPr>
          <w:sz w:val="24"/>
          <w:szCs w:val="24"/>
        </w:rPr>
      </w:pPr>
      <w:r w:rsidRPr="002A65BA">
        <w:rPr>
          <w:b/>
          <w:sz w:val="24"/>
          <w:szCs w:val="24"/>
        </w:rPr>
        <w:t>All places the case visited</w:t>
      </w:r>
      <w:r w:rsidRPr="002A65BA">
        <w:rPr>
          <w:sz w:val="24"/>
          <w:szCs w:val="24"/>
        </w:rPr>
        <w:t xml:space="preserve"> since the onset of illness</w:t>
      </w:r>
    </w:p>
    <w:p w14:paraId="530A7EE8" w14:textId="77777777" w:rsidR="00404385" w:rsidRPr="002A65BA" w:rsidRDefault="00404385" w:rsidP="00404385">
      <w:pPr>
        <w:numPr>
          <w:ilvl w:val="0"/>
          <w:numId w:val="13"/>
        </w:numPr>
        <w:spacing w:after="0"/>
        <w:ind w:hanging="450"/>
        <w:contextualSpacing/>
        <w:rPr>
          <w:sz w:val="24"/>
          <w:szCs w:val="24"/>
        </w:rPr>
      </w:pPr>
      <w:r w:rsidRPr="002A65BA">
        <w:rPr>
          <w:b/>
          <w:sz w:val="24"/>
          <w:szCs w:val="24"/>
        </w:rPr>
        <w:t>All individuals who had direct, physical contact with the case</w:t>
      </w:r>
      <w:r w:rsidRPr="002A65BA">
        <w:rPr>
          <w:sz w:val="24"/>
          <w:szCs w:val="24"/>
        </w:rPr>
        <w:t xml:space="preserve"> (dead or alive) since the onset of illness</w:t>
      </w:r>
    </w:p>
    <w:p w14:paraId="54B3664B" w14:textId="77777777" w:rsidR="00404385" w:rsidRPr="002A65BA" w:rsidRDefault="00404385" w:rsidP="00404385">
      <w:pPr>
        <w:numPr>
          <w:ilvl w:val="0"/>
          <w:numId w:val="13"/>
        </w:numPr>
        <w:spacing w:after="0"/>
        <w:ind w:hanging="450"/>
        <w:contextualSpacing/>
        <w:rPr>
          <w:sz w:val="24"/>
          <w:szCs w:val="24"/>
        </w:rPr>
      </w:pPr>
      <w:r w:rsidRPr="002A65BA">
        <w:rPr>
          <w:b/>
          <w:sz w:val="24"/>
          <w:szCs w:val="24"/>
        </w:rPr>
        <w:t xml:space="preserve">All individuals who resided in the same household </w:t>
      </w:r>
      <w:r w:rsidRPr="002A65BA">
        <w:rPr>
          <w:sz w:val="24"/>
          <w:szCs w:val="24"/>
        </w:rPr>
        <w:t>as the case since the onset of illness</w:t>
      </w:r>
    </w:p>
    <w:p w14:paraId="01682730" w14:textId="77777777" w:rsidR="00404385" w:rsidRPr="002A65BA" w:rsidRDefault="00404385" w:rsidP="00404385">
      <w:pPr>
        <w:numPr>
          <w:ilvl w:val="0"/>
          <w:numId w:val="13"/>
        </w:numPr>
        <w:spacing w:after="0"/>
        <w:ind w:hanging="450"/>
        <w:contextualSpacing/>
        <w:rPr>
          <w:sz w:val="24"/>
          <w:szCs w:val="24"/>
        </w:rPr>
      </w:pPr>
      <w:r w:rsidRPr="002A65BA">
        <w:rPr>
          <w:b/>
          <w:sz w:val="24"/>
          <w:szCs w:val="24"/>
        </w:rPr>
        <w:t>All individuals who may have shared a food dish, drinking cup, utensils, linens, or clothing</w:t>
      </w:r>
      <w:r w:rsidRPr="002A65BA">
        <w:rPr>
          <w:sz w:val="24"/>
          <w:szCs w:val="24"/>
        </w:rPr>
        <w:t xml:space="preserve"> with the case since the onset of illness</w:t>
      </w:r>
    </w:p>
    <w:p w14:paraId="13B40B0C" w14:textId="77777777" w:rsidR="00404385" w:rsidRPr="002A65BA" w:rsidRDefault="00404385" w:rsidP="00404385">
      <w:pPr>
        <w:numPr>
          <w:ilvl w:val="0"/>
          <w:numId w:val="13"/>
        </w:numPr>
        <w:spacing w:after="0"/>
        <w:ind w:hanging="450"/>
        <w:contextualSpacing/>
        <w:rPr>
          <w:sz w:val="24"/>
          <w:szCs w:val="24"/>
        </w:rPr>
      </w:pPr>
      <w:r w:rsidRPr="002A65BA">
        <w:rPr>
          <w:b/>
          <w:sz w:val="24"/>
          <w:szCs w:val="24"/>
        </w:rPr>
        <w:t xml:space="preserve">All individuals who visited or cared for the case at home or at a healthcare facility </w:t>
      </w:r>
      <w:r w:rsidRPr="002A65BA">
        <w:rPr>
          <w:sz w:val="24"/>
          <w:szCs w:val="24"/>
        </w:rPr>
        <w:t>since the onset of illness</w:t>
      </w:r>
    </w:p>
    <w:p w14:paraId="7D187E15" w14:textId="77777777" w:rsidR="00404385" w:rsidRPr="002A65BA" w:rsidRDefault="00404385" w:rsidP="00404385">
      <w:pPr>
        <w:numPr>
          <w:ilvl w:val="0"/>
          <w:numId w:val="13"/>
        </w:numPr>
        <w:spacing w:after="0"/>
        <w:ind w:hanging="450"/>
        <w:contextualSpacing/>
        <w:rPr>
          <w:sz w:val="24"/>
          <w:szCs w:val="24"/>
        </w:rPr>
      </w:pPr>
      <w:r w:rsidRPr="002A65BA">
        <w:rPr>
          <w:b/>
          <w:sz w:val="24"/>
          <w:szCs w:val="24"/>
        </w:rPr>
        <w:t>All individuals who attended the funeral</w:t>
      </w:r>
      <w:r w:rsidRPr="002A65BA">
        <w:rPr>
          <w:sz w:val="24"/>
          <w:szCs w:val="24"/>
        </w:rPr>
        <w:t xml:space="preserve"> of the case, if the case has died</w:t>
      </w:r>
    </w:p>
    <w:p w14:paraId="2FA9F636" w14:textId="77777777" w:rsidR="00404385" w:rsidRPr="002A65BA" w:rsidRDefault="00404385" w:rsidP="00404385">
      <w:pPr>
        <w:numPr>
          <w:ilvl w:val="0"/>
          <w:numId w:val="13"/>
        </w:numPr>
        <w:spacing w:after="0"/>
        <w:ind w:hanging="450"/>
        <w:contextualSpacing/>
        <w:rPr>
          <w:sz w:val="24"/>
          <w:szCs w:val="24"/>
        </w:rPr>
      </w:pPr>
      <w:r w:rsidRPr="002A65BA">
        <w:rPr>
          <w:b/>
          <w:sz w:val="24"/>
          <w:szCs w:val="24"/>
        </w:rPr>
        <w:t>All individuals who participated in washing or preparing the body for burial</w:t>
      </w:r>
      <w:r w:rsidRPr="002A65BA">
        <w:rPr>
          <w:sz w:val="24"/>
          <w:szCs w:val="24"/>
        </w:rPr>
        <w:t>, if the case has died</w:t>
      </w:r>
    </w:p>
    <w:p w14:paraId="2138D7CA" w14:textId="77777777" w:rsidR="00404385" w:rsidRPr="002A65BA" w:rsidRDefault="00404385" w:rsidP="00404385">
      <w:pPr>
        <w:numPr>
          <w:ilvl w:val="0"/>
          <w:numId w:val="13"/>
        </w:numPr>
        <w:spacing w:after="0"/>
        <w:ind w:hanging="450"/>
        <w:contextualSpacing/>
        <w:rPr>
          <w:sz w:val="24"/>
          <w:szCs w:val="24"/>
        </w:rPr>
      </w:pPr>
      <w:r w:rsidRPr="002A65BA">
        <w:rPr>
          <w:b/>
          <w:sz w:val="24"/>
          <w:szCs w:val="24"/>
        </w:rPr>
        <w:t>All individuals who cleaned up body fluids</w:t>
      </w:r>
      <w:r w:rsidRPr="002A65BA">
        <w:rPr>
          <w:sz w:val="24"/>
          <w:szCs w:val="24"/>
        </w:rPr>
        <w:t xml:space="preserve"> of a case since the onset of illness </w:t>
      </w:r>
    </w:p>
    <w:p w14:paraId="1CBB3761" w14:textId="77777777" w:rsidR="00404385" w:rsidRPr="002A65BA" w:rsidRDefault="00404385" w:rsidP="00404385">
      <w:pPr>
        <w:numPr>
          <w:ilvl w:val="0"/>
          <w:numId w:val="13"/>
        </w:numPr>
        <w:spacing w:after="0"/>
        <w:ind w:hanging="450"/>
        <w:contextualSpacing/>
        <w:rPr>
          <w:b/>
          <w:sz w:val="24"/>
          <w:szCs w:val="24"/>
        </w:rPr>
      </w:pPr>
      <w:r w:rsidRPr="002A65BA">
        <w:rPr>
          <w:b/>
          <w:sz w:val="24"/>
          <w:szCs w:val="24"/>
        </w:rPr>
        <w:t>The morgue where the body was placed and morgue workers who had contact with the body</w:t>
      </w:r>
    </w:p>
    <w:p w14:paraId="180FC52F" w14:textId="77777777" w:rsidR="001D73DC" w:rsidRPr="002A65BA" w:rsidRDefault="00404385" w:rsidP="001D73DC">
      <w:pPr>
        <w:spacing w:after="0"/>
        <w:contextualSpacing/>
        <w:rPr>
          <w:sz w:val="24"/>
          <w:szCs w:val="24"/>
        </w:rPr>
      </w:pPr>
      <w:r w:rsidRPr="002A65BA">
        <w:rPr>
          <w:sz w:val="24"/>
          <w:szCs w:val="24"/>
        </w:rPr>
        <w:t xml:space="preserve">As contacts are identified during the course of the interview with the case patient, they should be added to the </w:t>
      </w:r>
      <w:r w:rsidRPr="002A65BA">
        <w:rPr>
          <w:b/>
          <w:sz w:val="24"/>
          <w:szCs w:val="24"/>
        </w:rPr>
        <w:t xml:space="preserve">List of Community Contacts </w:t>
      </w:r>
      <w:r w:rsidR="001D73DC" w:rsidRPr="002A65BA">
        <w:rPr>
          <w:b/>
          <w:sz w:val="24"/>
          <w:szCs w:val="24"/>
        </w:rPr>
        <w:t>since</w:t>
      </w:r>
      <w:r w:rsidRPr="002A65BA">
        <w:rPr>
          <w:b/>
          <w:sz w:val="24"/>
          <w:szCs w:val="24"/>
        </w:rPr>
        <w:t xml:space="preserve"> Date of Onset </w:t>
      </w:r>
      <w:r w:rsidRPr="002A65BA">
        <w:rPr>
          <w:sz w:val="24"/>
          <w:szCs w:val="24"/>
        </w:rPr>
        <w:t xml:space="preserve">(included in the </w:t>
      </w:r>
      <w:r w:rsidRPr="002A65BA">
        <w:rPr>
          <w:b/>
          <w:sz w:val="24"/>
          <w:szCs w:val="24"/>
        </w:rPr>
        <w:t>Form 1: Ebola Case Investigation Form</w:t>
      </w:r>
      <w:r w:rsidRPr="002A65BA">
        <w:rPr>
          <w:sz w:val="24"/>
          <w:szCs w:val="24"/>
        </w:rPr>
        <w:t>)</w:t>
      </w:r>
      <w:r w:rsidRPr="002A65BA">
        <w:rPr>
          <w:b/>
          <w:sz w:val="24"/>
          <w:szCs w:val="24"/>
        </w:rPr>
        <w:t xml:space="preserve">. </w:t>
      </w:r>
      <w:r w:rsidRPr="002A65BA">
        <w:rPr>
          <w:sz w:val="24"/>
          <w:szCs w:val="24"/>
        </w:rPr>
        <w:t xml:space="preserve">These lists include basic information about the contact, including an address or locality where the contact lives. </w:t>
      </w:r>
      <w:r w:rsidR="001D73DC" w:rsidRPr="002A65BA">
        <w:rPr>
          <w:sz w:val="24"/>
          <w:szCs w:val="24"/>
        </w:rPr>
        <w:t xml:space="preserve">The identification of contacts will occur during several interviews over </w:t>
      </w:r>
      <w:r w:rsidR="001D73DC" w:rsidRPr="002A65BA">
        <w:rPr>
          <w:sz w:val="24"/>
          <w:szCs w:val="24"/>
        </w:rPr>
        <w:lastRenderedPageBreak/>
        <w:t xml:space="preserve">time; thus, the list of contacts for a case will be routinely updated. As each contact is identified, </w:t>
      </w:r>
      <w:r w:rsidR="001D73DC" w:rsidRPr="002A65BA">
        <w:rPr>
          <w:b/>
          <w:sz w:val="24"/>
          <w:szCs w:val="24"/>
        </w:rPr>
        <w:t>the most recent date</w:t>
      </w:r>
      <w:r w:rsidR="001D73DC" w:rsidRPr="002A65BA">
        <w:rPr>
          <w:sz w:val="24"/>
          <w:szCs w:val="24"/>
        </w:rPr>
        <w:t xml:space="preserve"> that the individual had contact with the case is also determined. This date will be used to determine the time period of follow-up.</w:t>
      </w:r>
    </w:p>
    <w:p w14:paraId="7FF15E1A" w14:textId="7750E2B4" w:rsidR="00404385" w:rsidRPr="002A65BA" w:rsidRDefault="00404385" w:rsidP="00404385">
      <w:pPr>
        <w:spacing w:after="0"/>
        <w:contextualSpacing/>
        <w:rPr>
          <w:sz w:val="24"/>
          <w:szCs w:val="24"/>
        </w:rPr>
      </w:pPr>
    </w:p>
    <w:p w14:paraId="1E406B28" w14:textId="2BBD98EC" w:rsidR="001D73DC" w:rsidRDefault="001D73DC" w:rsidP="001D73DC">
      <w:pPr>
        <w:spacing w:after="0"/>
        <w:contextualSpacing/>
        <w:rPr>
          <w:sz w:val="24"/>
          <w:szCs w:val="24"/>
        </w:rPr>
      </w:pPr>
      <w:r w:rsidRPr="002A65BA">
        <w:rPr>
          <w:sz w:val="24"/>
          <w:szCs w:val="24"/>
        </w:rPr>
        <w:t>After being</w:t>
      </w:r>
      <w:r w:rsidR="00404385" w:rsidRPr="002A65BA">
        <w:rPr>
          <w:sz w:val="24"/>
          <w:szCs w:val="24"/>
        </w:rPr>
        <w:t xml:space="preserve"> identified, </w:t>
      </w:r>
      <w:r w:rsidRPr="002A65BA">
        <w:rPr>
          <w:sz w:val="24"/>
          <w:szCs w:val="24"/>
        </w:rPr>
        <w:t xml:space="preserve">contacts of symptomatic Ebola cases or PUIs should be </w:t>
      </w:r>
      <w:r w:rsidR="00404385" w:rsidRPr="002A65BA">
        <w:rPr>
          <w:sz w:val="24"/>
          <w:szCs w:val="24"/>
        </w:rPr>
        <w:t xml:space="preserve">interviewed using </w:t>
      </w:r>
      <w:r w:rsidR="00404385" w:rsidRPr="002A65BA">
        <w:rPr>
          <w:b/>
          <w:sz w:val="24"/>
          <w:szCs w:val="24"/>
        </w:rPr>
        <w:t>Form 2: Ebola Virus Disease Contract Tracing Form</w:t>
      </w:r>
      <w:r w:rsidR="00404385" w:rsidRPr="002A65BA">
        <w:rPr>
          <w:sz w:val="24"/>
          <w:szCs w:val="24"/>
        </w:rPr>
        <w:t xml:space="preserve">, </w:t>
      </w:r>
      <w:r w:rsidR="002A65BA">
        <w:rPr>
          <w:sz w:val="24"/>
          <w:szCs w:val="24"/>
        </w:rPr>
        <w:t xml:space="preserve">and </w:t>
      </w:r>
      <w:r w:rsidR="00404385" w:rsidRPr="002A65BA">
        <w:rPr>
          <w:sz w:val="24"/>
          <w:szCs w:val="24"/>
        </w:rPr>
        <w:t xml:space="preserve">then </w:t>
      </w:r>
      <w:r w:rsidRPr="002A65BA">
        <w:rPr>
          <w:sz w:val="24"/>
          <w:szCs w:val="24"/>
        </w:rPr>
        <w:t>actively monitored</w:t>
      </w:r>
      <w:r w:rsidR="00404385" w:rsidRPr="002A65BA">
        <w:rPr>
          <w:sz w:val="24"/>
          <w:szCs w:val="24"/>
        </w:rPr>
        <w:t xml:space="preserve"> for 21 days from the</w:t>
      </w:r>
      <w:r w:rsidRPr="002A65BA">
        <w:rPr>
          <w:sz w:val="24"/>
          <w:szCs w:val="24"/>
        </w:rPr>
        <w:t xml:space="preserve">ir last exposure </w:t>
      </w:r>
      <w:r w:rsidR="00404385" w:rsidRPr="002A65BA">
        <w:rPr>
          <w:sz w:val="24"/>
          <w:szCs w:val="24"/>
        </w:rPr>
        <w:t xml:space="preserve">(or until a PUI tests negative, if the PUI is the only contact). </w:t>
      </w:r>
      <w:r w:rsidRPr="002A65BA">
        <w:rPr>
          <w:b/>
          <w:sz w:val="24"/>
          <w:szCs w:val="24"/>
        </w:rPr>
        <w:t>Active monitoring</w:t>
      </w:r>
      <w:r w:rsidRPr="002A65BA">
        <w:rPr>
          <w:sz w:val="24"/>
          <w:szCs w:val="24"/>
        </w:rPr>
        <w:t xml:space="preserve"> means that the state or local public health authority assumes responsibility for establishing regular communication with exposed individuals, including checking daily to assess for the presence of fever or symptoms. A contact’s </w:t>
      </w:r>
      <w:r w:rsidRPr="002A65BA">
        <w:rPr>
          <w:b/>
          <w:sz w:val="24"/>
          <w:szCs w:val="24"/>
        </w:rPr>
        <w:t>exposure risk category</w:t>
      </w:r>
      <w:r w:rsidRPr="002A65BA">
        <w:rPr>
          <w:sz w:val="24"/>
          <w:szCs w:val="24"/>
        </w:rPr>
        <w:t xml:space="preserve"> (Table) determines whether they should undergo just active monitoring versus </w:t>
      </w:r>
      <w:r w:rsidRPr="002A65BA">
        <w:rPr>
          <w:b/>
          <w:i/>
          <w:sz w:val="24"/>
          <w:szCs w:val="24"/>
        </w:rPr>
        <w:t>direct</w:t>
      </w:r>
      <w:r w:rsidRPr="002A65BA">
        <w:rPr>
          <w:sz w:val="24"/>
          <w:szCs w:val="24"/>
        </w:rPr>
        <w:t xml:space="preserve"> </w:t>
      </w:r>
      <w:r w:rsidRPr="002A65BA">
        <w:rPr>
          <w:b/>
          <w:sz w:val="24"/>
          <w:szCs w:val="24"/>
        </w:rPr>
        <w:t>active monitoring</w:t>
      </w:r>
      <w:r w:rsidRPr="002A65BA">
        <w:rPr>
          <w:sz w:val="24"/>
          <w:szCs w:val="24"/>
        </w:rPr>
        <w:t>. Direct active monitoring means the public health authority conducts active monitoring through direct observation.</w:t>
      </w:r>
    </w:p>
    <w:p w14:paraId="25C31B25" w14:textId="77777777" w:rsidR="002A65BA" w:rsidRDefault="002A65BA" w:rsidP="002A65BA">
      <w:pPr>
        <w:spacing w:after="0"/>
        <w:contextualSpacing/>
        <w:rPr>
          <w:b/>
          <w:sz w:val="24"/>
          <w:szCs w:val="24"/>
        </w:rPr>
      </w:pPr>
    </w:p>
    <w:p w14:paraId="39CA6CF7" w14:textId="77777777" w:rsidR="002A65BA" w:rsidRPr="002A65BA" w:rsidRDefault="002A65BA" w:rsidP="002A65BA">
      <w:pPr>
        <w:spacing w:after="0"/>
        <w:contextualSpacing/>
        <w:rPr>
          <w:b/>
          <w:sz w:val="24"/>
          <w:szCs w:val="24"/>
        </w:rPr>
      </w:pPr>
      <w:r w:rsidRPr="002A65BA">
        <w:rPr>
          <w:b/>
          <w:sz w:val="24"/>
          <w:szCs w:val="24"/>
        </w:rPr>
        <w:t xml:space="preserve">Type of monitoring of community contacts by exposure risk category*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8"/>
        <w:gridCol w:w="7398"/>
      </w:tblGrid>
      <w:tr w:rsidR="002A65BA" w14:paraId="6A8D8F27" w14:textId="77777777" w:rsidTr="00E2482B">
        <w:tc>
          <w:tcPr>
            <w:tcW w:w="2898" w:type="dxa"/>
            <w:tcBorders>
              <w:bottom w:val="single" w:sz="4" w:space="0" w:color="auto"/>
            </w:tcBorders>
          </w:tcPr>
          <w:p w14:paraId="1D07E9B7" w14:textId="77777777" w:rsidR="002A65BA" w:rsidRDefault="002A65BA" w:rsidP="00E2482B">
            <w:pPr>
              <w:spacing w:before="120" w:after="4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Exposure category</w:t>
            </w:r>
          </w:p>
        </w:tc>
        <w:tc>
          <w:tcPr>
            <w:tcW w:w="7398" w:type="dxa"/>
            <w:tcBorders>
              <w:bottom w:val="single" w:sz="4" w:space="0" w:color="auto"/>
            </w:tcBorders>
          </w:tcPr>
          <w:p w14:paraId="539DDF55" w14:textId="77777777" w:rsidR="002A65BA" w:rsidRDefault="002A65BA" w:rsidP="00E2482B">
            <w:pPr>
              <w:spacing w:before="120" w:after="4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Type of monitoring</w:t>
            </w:r>
          </w:p>
        </w:tc>
      </w:tr>
      <w:tr w:rsidR="002A65BA" w14:paraId="0CA8CF9B" w14:textId="77777777" w:rsidTr="00E2482B">
        <w:tc>
          <w:tcPr>
            <w:tcW w:w="2898" w:type="dxa"/>
            <w:tcBorders>
              <w:top w:val="single" w:sz="4" w:space="0" w:color="auto"/>
            </w:tcBorders>
          </w:tcPr>
          <w:p w14:paraId="53B9ABC0" w14:textId="77777777" w:rsidR="002A65BA" w:rsidRDefault="002A65BA" w:rsidP="00E2482B">
            <w:pPr>
              <w:spacing w:before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High risk</w:t>
            </w:r>
          </w:p>
        </w:tc>
        <w:tc>
          <w:tcPr>
            <w:tcW w:w="7398" w:type="dxa"/>
            <w:tcBorders>
              <w:top w:val="single" w:sz="4" w:space="0" w:color="auto"/>
            </w:tcBorders>
          </w:tcPr>
          <w:p w14:paraId="14FEC3C3" w14:textId="77777777" w:rsidR="002A65BA" w:rsidRPr="000D7D38" w:rsidRDefault="002A65BA" w:rsidP="002A65BA">
            <w:pPr>
              <w:pStyle w:val="ListParagraph"/>
              <w:numPr>
                <w:ilvl w:val="0"/>
                <w:numId w:val="36"/>
              </w:numPr>
              <w:spacing w:before="120"/>
              <w:ind w:left="342" w:hanging="342"/>
              <w:contextualSpacing w:val="0"/>
              <w:rPr>
                <w:rFonts w:ascii="Verdana" w:hAnsi="Verdana"/>
              </w:rPr>
            </w:pPr>
            <w:r w:rsidRPr="000D7D38">
              <w:rPr>
                <w:rFonts w:ascii="Verdana" w:hAnsi="Verdana"/>
              </w:rPr>
              <w:t>Direct active monitoring</w:t>
            </w:r>
          </w:p>
        </w:tc>
      </w:tr>
      <w:tr w:rsidR="002A65BA" w14:paraId="52B6B56F" w14:textId="77777777" w:rsidTr="00E2482B">
        <w:tc>
          <w:tcPr>
            <w:tcW w:w="2898" w:type="dxa"/>
          </w:tcPr>
          <w:p w14:paraId="433136E3" w14:textId="77777777" w:rsidR="002A65BA" w:rsidRDefault="002A65BA" w:rsidP="00E2482B">
            <w:pPr>
              <w:spacing w:before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Some risk</w:t>
            </w:r>
          </w:p>
        </w:tc>
        <w:tc>
          <w:tcPr>
            <w:tcW w:w="7398" w:type="dxa"/>
          </w:tcPr>
          <w:p w14:paraId="52138A8A" w14:textId="77777777" w:rsidR="002A65BA" w:rsidRPr="000D7D38" w:rsidRDefault="002A65BA" w:rsidP="002A65BA">
            <w:pPr>
              <w:pStyle w:val="ListParagraph"/>
              <w:numPr>
                <w:ilvl w:val="0"/>
                <w:numId w:val="36"/>
              </w:numPr>
              <w:spacing w:before="120"/>
              <w:ind w:left="342" w:hanging="342"/>
              <w:contextualSpacing w:val="0"/>
              <w:rPr>
                <w:rFonts w:ascii="Verdana" w:hAnsi="Verdana"/>
              </w:rPr>
            </w:pPr>
            <w:r w:rsidRPr="000D7D38">
              <w:rPr>
                <w:rFonts w:ascii="Verdana" w:hAnsi="Verdana"/>
              </w:rPr>
              <w:t>Direct active monitoring</w:t>
            </w:r>
          </w:p>
        </w:tc>
      </w:tr>
      <w:tr w:rsidR="002A65BA" w14:paraId="2F98F971" w14:textId="77777777" w:rsidTr="00E2482B">
        <w:tc>
          <w:tcPr>
            <w:tcW w:w="2898" w:type="dxa"/>
            <w:tcBorders>
              <w:bottom w:val="single" w:sz="4" w:space="0" w:color="auto"/>
            </w:tcBorders>
          </w:tcPr>
          <w:p w14:paraId="465B5358" w14:textId="77777777" w:rsidR="002A65BA" w:rsidRDefault="002A65BA" w:rsidP="00E2482B">
            <w:pPr>
              <w:spacing w:before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Low (but not zero) risk</w:t>
            </w:r>
          </w:p>
        </w:tc>
        <w:tc>
          <w:tcPr>
            <w:tcW w:w="7398" w:type="dxa"/>
            <w:tcBorders>
              <w:bottom w:val="single" w:sz="4" w:space="0" w:color="auto"/>
            </w:tcBorders>
          </w:tcPr>
          <w:p w14:paraId="38991FA6" w14:textId="1AA62936" w:rsidR="002A65BA" w:rsidRPr="000D7D38" w:rsidRDefault="002A65BA" w:rsidP="002A65BA">
            <w:pPr>
              <w:pStyle w:val="ListParagraph"/>
              <w:numPr>
                <w:ilvl w:val="0"/>
                <w:numId w:val="36"/>
              </w:numPr>
              <w:spacing w:before="120"/>
              <w:ind w:left="342" w:hanging="342"/>
              <w:contextualSpacing w:val="0"/>
              <w:rPr>
                <w:rFonts w:ascii="Verdana" w:hAnsi="Verdana"/>
              </w:rPr>
            </w:pPr>
            <w:r w:rsidRPr="000D7D38">
              <w:rPr>
                <w:rFonts w:ascii="Verdana" w:hAnsi="Verdana"/>
              </w:rPr>
              <w:t>Direct active monitoring for travelers on an aircraft seated within 3 feet of a person with Ebola</w:t>
            </w:r>
          </w:p>
          <w:p w14:paraId="6560047C" w14:textId="77777777" w:rsidR="002A65BA" w:rsidRPr="000D7D38" w:rsidRDefault="002A65BA" w:rsidP="002A65BA">
            <w:pPr>
              <w:pStyle w:val="ListParagraph"/>
              <w:numPr>
                <w:ilvl w:val="0"/>
                <w:numId w:val="36"/>
              </w:numPr>
              <w:spacing w:before="120"/>
              <w:ind w:left="342" w:hanging="342"/>
              <w:contextualSpacing w:val="0"/>
              <w:rPr>
                <w:rFonts w:ascii="Verdana" w:hAnsi="Verdana"/>
              </w:rPr>
            </w:pPr>
            <w:r w:rsidRPr="000D7D38">
              <w:rPr>
                <w:rFonts w:ascii="Verdana" w:hAnsi="Verdana"/>
              </w:rPr>
              <w:t xml:space="preserve">Active monitoring for all other travelers </w:t>
            </w:r>
            <w:r>
              <w:rPr>
                <w:rFonts w:ascii="Verdana" w:hAnsi="Verdana"/>
              </w:rPr>
              <w:t>in this category</w:t>
            </w:r>
          </w:p>
        </w:tc>
      </w:tr>
    </w:tbl>
    <w:p w14:paraId="7F991A35" w14:textId="77777777" w:rsidR="002A65BA" w:rsidRPr="002A65BA" w:rsidRDefault="002A65BA" w:rsidP="002A65BA">
      <w:pPr>
        <w:spacing w:after="0"/>
        <w:contextualSpacing/>
        <w:rPr>
          <w:sz w:val="24"/>
          <w:szCs w:val="24"/>
        </w:rPr>
      </w:pPr>
      <w:r w:rsidRPr="002A65BA">
        <w:rPr>
          <w:sz w:val="24"/>
          <w:szCs w:val="24"/>
        </w:rPr>
        <w:t xml:space="preserve">*Exposure risk categories are defined at: </w:t>
      </w:r>
      <w:hyperlink r:id="rId9" w:history="1">
        <w:r w:rsidRPr="002A65BA">
          <w:rPr>
            <w:rStyle w:val="Hyperlink"/>
            <w:sz w:val="24"/>
            <w:szCs w:val="24"/>
          </w:rPr>
          <w:t>http://www.cdc.gov/vhf/ebola/exposure/monitoring-and-movement-of-persons-with-exposure.html</w:t>
        </w:r>
      </w:hyperlink>
    </w:p>
    <w:p w14:paraId="24323F41" w14:textId="360B5000" w:rsidR="00DF5D0B" w:rsidRPr="002A65BA" w:rsidRDefault="003C1032" w:rsidP="002A65BA">
      <w:pPr>
        <w:spacing w:before="120" w:after="0"/>
        <w:rPr>
          <w:b/>
          <w:sz w:val="24"/>
          <w:szCs w:val="24"/>
        </w:rPr>
      </w:pPr>
      <w:r w:rsidRPr="002A65BA">
        <w:rPr>
          <w:b/>
          <w:sz w:val="24"/>
          <w:szCs w:val="24"/>
        </w:rPr>
        <w:t>D</w:t>
      </w:r>
      <w:r w:rsidR="00A62D49" w:rsidRPr="002A65BA">
        <w:rPr>
          <w:b/>
          <w:sz w:val="24"/>
          <w:szCs w:val="24"/>
        </w:rPr>
        <w:t xml:space="preserve">irect </w:t>
      </w:r>
      <w:r w:rsidR="00E14FA1" w:rsidRPr="002A65BA">
        <w:rPr>
          <w:b/>
          <w:sz w:val="24"/>
          <w:szCs w:val="24"/>
        </w:rPr>
        <w:t>a</w:t>
      </w:r>
      <w:r w:rsidR="00A62D49" w:rsidRPr="002A65BA">
        <w:rPr>
          <w:b/>
          <w:sz w:val="24"/>
          <w:szCs w:val="24"/>
        </w:rPr>
        <w:t xml:space="preserve">ctive </w:t>
      </w:r>
      <w:r w:rsidR="00E14FA1" w:rsidRPr="002A65BA">
        <w:rPr>
          <w:b/>
          <w:sz w:val="24"/>
          <w:szCs w:val="24"/>
        </w:rPr>
        <w:t>m</w:t>
      </w:r>
      <w:r w:rsidR="00DF5D0B" w:rsidRPr="002A65BA">
        <w:rPr>
          <w:b/>
          <w:sz w:val="24"/>
          <w:szCs w:val="24"/>
        </w:rPr>
        <w:t>onitoring</w:t>
      </w:r>
    </w:p>
    <w:p w14:paraId="24323F42" w14:textId="54CB95BD" w:rsidR="003C1032" w:rsidRPr="002A65BA" w:rsidRDefault="0056368A" w:rsidP="002A65BA">
      <w:pPr>
        <w:spacing w:before="120" w:after="0"/>
        <w:rPr>
          <w:sz w:val="24"/>
          <w:szCs w:val="24"/>
        </w:rPr>
      </w:pPr>
      <w:r w:rsidRPr="002A65BA">
        <w:rPr>
          <w:sz w:val="24"/>
          <w:szCs w:val="24"/>
        </w:rPr>
        <w:t xml:space="preserve">Persons under </w:t>
      </w:r>
      <w:r w:rsidRPr="002A65BA">
        <w:rPr>
          <w:i/>
          <w:sz w:val="24"/>
          <w:szCs w:val="24"/>
        </w:rPr>
        <w:t>direct active monitoring</w:t>
      </w:r>
      <w:r w:rsidRPr="002A65BA">
        <w:rPr>
          <w:sz w:val="24"/>
          <w:szCs w:val="24"/>
        </w:rPr>
        <w:t xml:space="preserve"> should be directly observed by a public health authority </w:t>
      </w:r>
      <w:r w:rsidR="002A65BA">
        <w:rPr>
          <w:sz w:val="24"/>
          <w:szCs w:val="24"/>
        </w:rPr>
        <w:t xml:space="preserve">while </w:t>
      </w:r>
      <w:r w:rsidRPr="002A65BA">
        <w:rPr>
          <w:sz w:val="24"/>
          <w:szCs w:val="24"/>
        </w:rPr>
        <w:t xml:space="preserve">taking their temperature and reviewing the </w:t>
      </w:r>
      <w:r w:rsidR="00345C03" w:rsidRPr="002A65BA">
        <w:rPr>
          <w:sz w:val="24"/>
          <w:szCs w:val="24"/>
        </w:rPr>
        <w:t xml:space="preserve">fever and </w:t>
      </w:r>
      <w:r w:rsidRPr="002A65BA">
        <w:rPr>
          <w:sz w:val="24"/>
          <w:szCs w:val="24"/>
        </w:rPr>
        <w:t>symptom log at least once a day during their 21-day monitoring period</w:t>
      </w:r>
      <w:r w:rsidR="002A65BA" w:rsidRPr="002A65BA">
        <w:rPr>
          <w:sz w:val="24"/>
          <w:szCs w:val="24"/>
        </w:rPr>
        <w:t xml:space="preserve">. </w:t>
      </w:r>
      <w:r w:rsidRPr="002A65BA">
        <w:rPr>
          <w:sz w:val="24"/>
          <w:szCs w:val="24"/>
        </w:rPr>
        <w:t xml:space="preserve">A second </w:t>
      </w:r>
      <w:r w:rsidR="002A65BA">
        <w:rPr>
          <w:sz w:val="24"/>
          <w:szCs w:val="24"/>
        </w:rPr>
        <w:t xml:space="preserve">daily </w:t>
      </w:r>
      <w:r w:rsidRPr="002A65BA">
        <w:rPr>
          <w:sz w:val="24"/>
          <w:szCs w:val="24"/>
        </w:rPr>
        <w:t>follow-up may be conducted by telephone in</w:t>
      </w:r>
      <w:r w:rsidR="002A65BA">
        <w:rPr>
          <w:sz w:val="24"/>
          <w:szCs w:val="24"/>
        </w:rPr>
        <w:t xml:space="preserve"> place</w:t>
      </w:r>
      <w:r w:rsidRPr="002A65BA">
        <w:rPr>
          <w:sz w:val="24"/>
          <w:szCs w:val="24"/>
        </w:rPr>
        <w:t xml:space="preserve"> of a second direct observation</w:t>
      </w:r>
      <w:r w:rsidR="002A65BA" w:rsidRPr="002A65BA">
        <w:rPr>
          <w:sz w:val="24"/>
          <w:szCs w:val="24"/>
        </w:rPr>
        <w:t xml:space="preserve">. </w:t>
      </w:r>
    </w:p>
    <w:p w14:paraId="24323F44" w14:textId="77777777" w:rsidR="003C1032" w:rsidRPr="002A65BA" w:rsidRDefault="003C1032" w:rsidP="002A65BA">
      <w:pPr>
        <w:spacing w:before="120" w:after="0"/>
        <w:rPr>
          <w:i/>
          <w:sz w:val="24"/>
          <w:szCs w:val="24"/>
        </w:rPr>
      </w:pPr>
      <w:r w:rsidRPr="002A65BA">
        <w:rPr>
          <w:i/>
          <w:sz w:val="24"/>
          <w:szCs w:val="24"/>
        </w:rPr>
        <w:t xml:space="preserve">Supplies for the </w:t>
      </w:r>
      <w:r w:rsidR="0039284F" w:rsidRPr="002A65BA">
        <w:rPr>
          <w:i/>
          <w:sz w:val="24"/>
          <w:szCs w:val="24"/>
        </w:rPr>
        <w:t xml:space="preserve">direct active monitoring </w:t>
      </w:r>
      <w:r w:rsidRPr="002A65BA">
        <w:rPr>
          <w:i/>
          <w:sz w:val="24"/>
          <w:szCs w:val="24"/>
        </w:rPr>
        <w:t xml:space="preserve">visits should include: </w:t>
      </w:r>
    </w:p>
    <w:p w14:paraId="24323F45" w14:textId="77777777" w:rsidR="003C1032" w:rsidRPr="002A65BA" w:rsidRDefault="003C1032" w:rsidP="002A65BA">
      <w:pPr>
        <w:pStyle w:val="ListParagraph"/>
        <w:numPr>
          <w:ilvl w:val="0"/>
          <w:numId w:val="34"/>
        </w:numPr>
        <w:spacing w:before="120" w:after="0"/>
        <w:contextualSpacing w:val="0"/>
        <w:rPr>
          <w:sz w:val="24"/>
          <w:szCs w:val="24"/>
        </w:rPr>
      </w:pPr>
      <w:r w:rsidRPr="002A65BA">
        <w:rPr>
          <w:sz w:val="24"/>
          <w:szCs w:val="24"/>
        </w:rPr>
        <w:t>21-day fever and symptom log</w:t>
      </w:r>
    </w:p>
    <w:p w14:paraId="24323F46" w14:textId="77777777" w:rsidR="003C1032" w:rsidRPr="002A65BA" w:rsidRDefault="003C1032" w:rsidP="002A65BA">
      <w:pPr>
        <w:pStyle w:val="ListParagraph"/>
        <w:numPr>
          <w:ilvl w:val="0"/>
          <w:numId w:val="34"/>
        </w:numPr>
        <w:spacing w:after="0"/>
        <w:contextualSpacing w:val="0"/>
        <w:rPr>
          <w:sz w:val="24"/>
          <w:szCs w:val="24"/>
        </w:rPr>
      </w:pPr>
      <w:r w:rsidRPr="002A65BA">
        <w:rPr>
          <w:sz w:val="24"/>
          <w:szCs w:val="24"/>
        </w:rPr>
        <w:t xml:space="preserve">Ebola education materials (e.g. description of the disease, </w:t>
      </w:r>
      <w:r w:rsidR="00454824" w:rsidRPr="002A65BA">
        <w:rPr>
          <w:sz w:val="24"/>
          <w:szCs w:val="24"/>
        </w:rPr>
        <w:t xml:space="preserve">symptoms, </w:t>
      </w:r>
      <w:r w:rsidRPr="002A65BA">
        <w:rPr>
          <w:sz w:val="24"/>
          <w:szCs w:val="24"/>
        </w:rPr>
        <w:t>etc.)</w:t>
      </w:r>
    </w:p>
    <w:p w14:paraId="24323F47" w14:textId="77777777" w:rsidR="003C1032" w:rsidRPr="002A65BA" w:rsidRDefault="003C1032" w:rsidP="002A65BA">
      <w:pPr>
        <w:pStyle w:val="ListParagraph"/>
        <w:numPr>
          <w:ilvl w:val="0"/>
          <w:numId w:val="34"/>
        </w:numPr>
        <w:spacing w:after="0"/>
        <w:contextualSpacing w:val="0"/>
        <w:rPr>
          <w:sz w:val="24"/>
          <w:szCs w:val="24"/>
        </w:rPr>
      </w:pPr>
      <w:r w:rsidRPr="002A65BA">
        <w:rPr>
          <w:sz w:val="24"/>
          <w:szCs w:val="24"/>
        </w:rPr>
        <w:t>Enough digital thermometers to distribute one to each person being monitored</w:t>
      </w:r>
    </w:p>
    <w:p w14:paraId="24323F48" w14:textId="77777777" w:rsidR="003C1032" w:rsidRPr="002A65BA" w:rsidRDefault="003C1032" w:rsidP="002A65BA">
      <w:pPr>
        <w:pStyle w:val="ListParagraph"/>
        <w:numPr>
          <w:ilvl w:val="0"/>
          <w:numId w:val="34"/>
        </w:numPr>
        <w:spacing w:after="0"/>
        <w:contextualSpacing w:val="0"/>
        <w:rPr>
          <w:sz w:val="24"/>
          <w:szCs w:val="24"/>
        </w:rPr>
      </w:pPr>
      <w:r w:rsidRPr="002A65BA">
        <w:rPr>
          <w:sz w:val="24"/>
          <w:szCs w:val="24"/>
        </w:rPr>
        <w:t>Medical examination gloves</w:t>
      </w:r>
    </w:p>
    <w:p w14:paraId="24323F4A" w14:textId="77777777" w:rsidR="003C1032" w:rsidRPr="002A65BA" w:rsidRDefault="003C1032" w:rsidP="002A65BA">
      <w:pPr>
        <w:spacing w:before="120" w:after="0"/>
        <w:rPr>
          <w:i/>
          <w:sz w:val="24"/>
          <w:szCs w:val="24"/>
        </w:rPr>
      </w:pPr>
      <w:r w:rsidRPr="002A65BA">
        <w:rPr>
          <w:i/>
          <w:sz w:val="24"/>
          <w:szCs w:val="24"/>
        </w:rPr>
        <w:t>Procedures for direct active monitoring:</w:t>
      </w:r>
    </w:p>
    <w:p w14:paraId="24323F4B" w14:textId="2E3DE536" w:rsidR="00661C2A" w:rsidRPr="002A65BA" w:rsidRDefault="00584132" w:rsidP="002A65BA">
      <w:pPr>
        <w:pStyle w:val="ListParagraph"/>
        <w:numPr>
          <w:ilvl w:val="1"/>
          <w:numId w:val="8"/>
        </w:numPr>
        <w:spacing w:before="120" w:after="0"/>
        <w:ind w:left="360"/>
        <w:contextualSpacing w:val="0"/>
        <w:rPr>
          <w:sz w:val="24"/>
          <w:szCs w:val="24"/>
        </w:rPr>
      </w:pPr>
      <w:r w:rsidRPr="002A65BA">
        <w:rPr>
          <w:sz w:val="24"/>
          <w:szCs w:val="24"/>
        </w:rPr>
        <w:t xml:space="preserve">The public health official </w:t>
      </w:r>
      <w:r w:rsidR="00454824" w:rsidRPr="002A65BA">
        <w:rPr>
          <w:sz w:val="24"/>
          <w:szCs w:val="24"/>
        </w:rPr>
        <w:t>should call</w:t>
      </w:r>
      <w:r w:rsidRPr="002A65BA">
        <w:rPr>
          <w:sz w:val="24"/>
          <w:szCs w:val="24"/>
        </w:rPr>
        <w:t xml:space="preserve"> ahead to ask if the person has symptoms</w:t>
      </w:r>
      <w:r w:rsidR="002A65BA" w:rsidRPr="002A65BA">
        <w:rPr>
          <w:sz w:val="24"/>
          <w:szCs w:val="24"/>
        </w:rPr>
        <w:t xml:space="preserve">. </w:t>
      </w:r>
      <w:r w:rsidRPr="002A65BA">
        <w:rPr>
          <w:sz w:val="24"/>
          <w:szCs w:val="24"/>
        </w:rPr>
        <w:t>If they do</w:t>
      </w:r>
      <w:r w:rsidR="00DF5D0B" w:rsidRPr="002A65BA">
        <w:rPr>
          <w:sz w:val="24"/>
          <w:szCs w:val="24"/>
        </w:rPr>
        <w:t xml:space="preserve">, the public health official </w:t>
      </w:r>
      <w:r w:rsidR="002A65BA">
        <w:rPr>
          <w:sz w:val="24"/>
          <w:szCs w:val="24"/>
        </w:rPr>
        <w:t>should</w:t>
      </w:r>
      <w:r w:rsidR="00DF5D0B" w:rsidRPr="002A65BA">
        <w:rPr>
          <w:sz w:val="24"/>
          <w:szCs w:val="24"/>
        </w:rPr>
        <w:t xml:space="preserve"> immediately notify the public health department at </w:t>
      </w:r>
      <w:r w:rsidR="00DF5D0B" w:rsidRPr="002A65BA">
        <w:rPr>
          <w:sz w:val="24"/>
          <w:szCs w:val="24"/>
          <w:highlight w:val="yellow"/>
        </w:rPr>
        <w:t>XXX-XXX-XXXX</w:t>
      </w:r>
      <w:r w:rsidR="00DF5D0B" w:rsidRPr="002A65BA">
        <w:rPr>
          <w:sz w:val="24"/>
          <w:szCs w:val="24"/>
        </w:rPr>
        <w:t xml:space="preserve">. If the </w:t>
      </w:r>
      <w:r w:rsidR="008C692F" w:rsidRPr="002A65BA">
        <w:rPr>
          <w:sz w:val="24"/>
          <w:szCs w:val="24"/>
        </w:rPr>
        <w:t>person</w:t>
      </w:r>
      <w:r w:rsidR="00DF5D0B" w:rsidRPr="002A65BA">
        <w:rPr>
          <w:sz w:val="24"/>
          <w:szCs w:val="24"/>
        </w:rPr>
        <w:t xml:space="preserve"> has an urgent health situation, the first call should be to 911 and the second call should be to the public health department. </w:t>
      </w:r>
    </w:p>
    <w:p w14:paraId="24323F4D" w14:textId="1266407E" w:rsidR="0039284F" w:rsidRPr="002A65BA" w:rsidRDefault="0039284F" w:rsidP="002A65BA">
      <w:pPr>
        <w:pStyle w:val="ListParagraph"/>
        <w:numPr>
          <w:ilvl w:val="0"/>
          <w:numId w:val="8"/>
        </w:numPr>
        <w:spacing w:before="120" w:after="0"/>
        <w:contextualSpacing w:val="0"/>
        <w:rPr>
          <w:sz w:val="24"/>
          <w:szCs w:val="24"/>
        </w:rPr>
      </w:pPr>
      <w:r w:rsidRPr="002A65BA">
        <w:rPr>
          <w:sz w:val="24"/>
          <w:szCs w:val="24"/>
        </w:rPr>
        <w:lastRenderedPageBreak/>
        <w:t xml:space="preserve">When in the presence of the person being monitored, monitors should maintain a distance of three feet and defer any direct contact, such as handshakes. Monitors </w:t>
      </w:r>
      <w:r w:rsidR="002A65BA">
        <w:rPr>
          <w:sz w:val="24"/>
          <w:szCs w:val="24"/>
        </w:rPr>
        <w:t>should</w:t>
      </w:r>
      <w:r w:rsidRPr="002A65BA">
        <w:rPr>
          <w:sz w:val="24"/>
          <w:szCs w:val="24"/>
        </w:rPr>
        <w:t xml:space="preserve"> remain standing, avoid leaning on walls or furniture, and keep themselves between the person being monitored and the door.</w:t>
      </w:r>
    </w:p>
    <w:p w14:paraId="24323F4F" w14:textId="468C31CA" w:rsidR="0039284F" w:rsidRPr="002A65BA" w:rsidRDefault="00661C2A" w:rsidP="002A65BA">
      <w:pPr>
        <w:pStyle w:val="ListParagraph"/>
        <w:numPr>
          <w:ilvl w:val="0"/>
          <w:numId w:val="8"/>
        </w:numPr>
        <w:spacing w:before="120" w:after="0"/>
        <w:contextualSpacing w:val="0"/>
        <w:rPr>
          <w:sz w:val="24"/>
          <w:szCs w:val="24"/>
        </w:rPr>
      </w:pPr>
      <w:r w:rsidRPr="002A65BA">
        <w:rPr>
          <w:sz w:val="24"/>
          <w:szCs w:val="24"/>
        </w:rPr>
        <w:t xml:space="preserve">If at any point </w:t>
      </w:r>
      <w:r w:rsidR="003C1032" w:rsidRPr="002A65BA">
        <w:rPr>
          <w:sz w:val="24"/>
          <w:szCs w:val="24"/>
        </w:rPr>
        <w:t xml:space="preserve">during the visit, </w:t>
      </w:r>
      <w:r w:rsidRPr="002A65BA">
        <w:rPr>
          <w:sz w:val="24"/>
          <w:szCs w:val="24"/>
        </w:rPr>
        <w:t xml:space="preserve">the </w:t>
      </w:r>
      <w:r w:rsidR="008C692F" w:rsidRPr="002A65BA">
        <w:rPr>
          <w:sz w:val="24"/>
          <w:szCs w:val="24"/>
        </w:rPr>
        <w:t>person</w:t>
      </w:r>
      <w:r w:rsidRPr="002A65BA">
        <w:rPr>
          <w:sz w:val="24"/>
          <w:szCs w:val="24"/>
        </w:rPr>
        <w:t xml:space="preserve"> appears ill or affirms that they have symptoms consistent with Ebola, the </w:t>
      </w:r>
      <w:r w:rsidR="003C1032" w:rsidRPr="002A65BA">
        <w:rPr>
          <w:sz w:val="24"/>
          <w:szCs w:val="24"/>
        </w:rPr>
        <w:t>monitor</w:t>
      </w:r>
      <w:r w:rsidRPr="002A65BA">
        <w:rPr>
          <w:sz w:val="24"/>
          <w:szCs w:val="24"/>
        </w:rPr>
        <w:t xml:space="preserve"> should ask the person to go to a room</w:t>
      </w:r>
      <w:r w:rsidR="002A65BA">
        <w:rPr>
          <w:sz w:val="24"/>
          <w:szCs w:val="24"/>
        </w:rPr>
        <w:t xml:space="preserve"> (preferably with access to a non-shared bathroom)</w:t>
      </w:r>
      <w:r w:rsidRPr="002A65BA">
        <w:rPr>
          <w:sz w:val="24"/>
          <w:szCs w:val="24"/>
        </w:rPr>
        <w:t xml:space="preserve">, close the door, and await further instruction. The team should then exit the residence, taking care to let themselves out only after </w:t>
      </w:r>
      <w:r w:rsidR="0039284F" w:rsidRPr="002A65BA">
        <w:rPr>
          <w:sz w:val="24"/>
          <w:szCs w:val="24"/>
        </w:rPr>
        <w:t>putting on</w:t>
      </w:r>
      <w:r w:rsidRPr="002A65BA">
        <w:rPr>
          <w:sz w:val="24"/>
          <w:szCs w:val="24"/>
        </w:rPr>
        <w:t xml:space="preserve"> the </w:t>
      </w:r>
      <w:r w:rsidR="002A65BA">
        <w:rPr>
          <w:sz w:val="24"/>
          <w:szCs w:val="24"/>
        </w:rPr>
        <w:t xml:space="preserve">exam </w:t>
      </w:r>
      <w:r w:rsidRPr="002A65BA">
        <w:rPr>
          <w:sz w:val="24"/>
          <w:szCs w:val="24"/>
        </w:rPr>
        <w:t xml:space="preserve">gloves in their pocket. The team should also exit </w:t>
      </w:r>
      <w:r w:rsidR="002A65BA">
        <w:rPr>
          <w:sz w:val="24"/>
          <w:szCs w:val="24"/>
        </w:rPr>
        <w:t>if</w:t>
      </w:r>
      <w:r w:rsidRPr="002A65BA">
        <w:rPr>
          <w:sz w:val="24"/>
          <w:szCs w:val="24"/>
        </w:rPr>
        <w:t xml:space="preserve"> they see any blood or</w:t>
      </w:r>
      <w:r w:rsidR="002A65BA">
        <w:rPr>
          <w:sz w:val="24"/>
          <w:szCs w:val="24"/>
        </w:rPr>
        <w:t xml:space="preserve"> bod</w:t>
      </w:r>
      <w:r w:rsidRPr="002A65BA">
        <w:rPr>
          <w:sz w:val="24"/>
          <w:szCs w:val="24"/>
        </w:rPr>
        <w:t xml:space="preserve">y fluid contamination of surfaces, again asking the </w:t>
      </w:r>
      <w:r w:rsidR="0039284F" w:rsidRPr="002A65BA">
        <w:rPr>
          <w:sz w:val="24"/>
          <w:szCs w:val="24"/>
        </w:rPr>
        <w:t xml:space="preserve">person being monitored </w:t>
      </w:r>
      <w:r w:rsidRPr="002A65BA">
        <w:rPr>
          <w:sz w:val="24"/>
          <w:szCs w:val="24"/>
        </w:rPr>
        <w:t>to seclude him/herself in a room and to await further instruction.</w:t>
      </w:r>
    </w:p>
    <w:p w14:paraId="24323F51" w14:textId="6CAC9859" w:rsidR="0039284F" w:rsidRPr="002A65BA" w:rsidRDefault="005A6115" w:rsidP="002A65BA">
      <w:pPr>
        <w:pStyle w:val="ListParagraph"/>
        <w:numPr>
          <w:ilvl w:val="0"/>
          <w:numId w:val="8"/>
        </w:numPr>
        <w:spacing w:before="120" w:after="0"/>
        <w:contextualSpacing w:val="0"/>
        <w:rPr>
          <w:sz w:val="24"/>
          <w:szCs w:val="24"/>
        </w:rPr>
      </w:pPr>
      <w:r w:rsidRPr="002A65BA">
        <w:rPr>
          <w:sz w:val="24"/>
          <w:szCs w:val="24"/>
        </w:rPr>
        <w:t xml:space="preserve">The public health official will interview the </w:t>
      </w:r>
      <w:r w:rsidR="00661C2A" w:rsidRPr="002A65BA">
        <w:rPr>
          <w:sz w:val="24"/>
          <w:szCs w:val="24"/>
        </w:rPr>
        <w:t>person</w:t>
      </w:r>
      <w:r w:rsidRPr="002A65BA">
        <w:rPr>
          <w:sz w:val="24"/>
          <w:szCs w:val="24"/>
        </w:rPr>
        <w:t xml:space="preserve"> about the presence or absence of fever and any Ebola symptoms using the </w:t>
      </w:r>
      <w:r w:rsidR="00312998" w:rsidRPr="002A65BA">
        <w:rPr>
          <w:b/>
          <w:sz w:val="24"/>
          <w:szCs w:val="24"/>
        </w:rPr>
        <w:t>21-day fever and symptom</w:t>
      </w:r>
      <w:r w:rsidR="0039284F" w:rsidRPr="002A65BA">
        <w:rPr>
          <w:b/>
          <w:sz w:val="24"/>
          <w:szCs w:val="24"/>
        </w:rPr>
        <w:t xml:space="preserve"> log</w:t>
      </w:r>
      <w:r w:rsidR="00312998" w:rsidRPr="002A65BA">
        <w:rPr>
          <w:b/>
          <w:sz w:val="24"/>
          <w:szCs w:val="24"/>
        </w:rPr>
        <w:t xml:space="preserve"> </w:t>
      </w:r>
      <w:r w:rsidRPr="002A65BA">
        <w:rPr>
          <w:sz w:val="24"/>
          <w:szCs w:val="24"/>
        </w:rPr>
        <w:t>to ensure thoroughness and consistency</w:t>
      </w:r>
      <w:r w:rsidR="002A65BA" w:rsidRPr="002A65BA">
        <w:rPr>
          <w:sz w:val="24"/>
          <w:szCs w:val="24"/>
        </w:rPr>
        <w:t xml:space="preserve">. </w:t>
      </w:r>
    </w:p>
    <w:p w14:paraId="24323F53" w14:textId="77777777" w:rsidR="005A6115" w:rsidRPr="002A65BA" w:rsidRDefault="005A6115" w:rsidP="002A65BA">
      <w:pPr>
        <w:pStyle w:val="ListParagraph"/>
        <w:numPr>
          <w:ilvl w:val="0"/>
          <w:numId w:val="8"/>
        </w:numPr>
        <w:spacing w:before="120" w:after="0"/>
        <w:contextualSpacing w:val="0"/>
        <w:rPr>
          <w:sz w:val="24"/>
          <w:szCs w:val="24"/>
        </w:rPr>
      </w:pPr>
      <w:r w:rsidRPr="002A65BA">
        <w:rPr>
          <w:sz w:val="24"/>
          <w:szCs w:val="24"/>
        </w:rPr>
        <w:t xml:space="preserve">The temperature and symptoms should be recorded on the </w:t>
      </w:r>
      <w:r w:rsidR="00EC3131" w:rsidRPr="002A65BA">
        <w:rPr>
          <w:b/>
          <w:sz w:val="24"/>
          <w:szCs w:val="24"/>
        </w:rPr>
        <w:t xml:space="preserve">21-day fever and symptom </w:t>
      </w:r>
      <w:r w:rsidR="0039284F" w:rsidRPr="002A65BA">
        <w:rPr>
          <w:b/>
          <w:sz w:val="24"/>
          <w:szCs w:val="24"/>
        </w:rPr>
        <w:t>log</w:t>
      </w:r>
      <w:r w:rsidR="0039284F" w:rsidRPr="002A65BA">
        <w:rPr>
          <w:sz w:val="24"/>
          <w:szCs w:val="24"/>
        </w:rPr>
        <w:t>.</w:t>
      </w:r>
    </w:p>
    <w:p w14:paraId="24323F54" w14:textId="77777777" w:rsidR="00DF5D0B" w:rsidRPr="002A65BA" w:rsidRDefault="005A6115" w:rsidP="002A65BA">
      <w:pPr>
        <w:pStyle w:val="ListParagraph"/>
        <w:numPr>
          <w:ilvl w:val="2"/>
          <w:numId w:val="8"/>
        </w:numPr>
        <w:spacing w:before="120" w:after="0"/>
        <w:ind w:left="648"/>
        <w:contextualSpacing w:val="0"/>
        <w:rPr>
          <w:sz w:val="24"/>
          <w:szCs w:val="24"/>
        </w:rPr>
      </w:pPr>
      <w:r w:rsidRPr="002A65BA">
        <w:rPr>
          <w:sz w:val="24"/>
          <w:szCs w:val="24"/>
        </w:rPr>
        <w:t xml:space="preserve">Record if a </w:t>
      </w:r>
      <w:r w:rsidR="0039284F" w:rsidRPr="002A65BA">
        <w:rPr>
          <w:sz w:val="24"/>
          <w:szCs w:val="24"/>
        </w:rPr>
        <w:t xml:space="preserve">the person </w:t>
      </w:r>
      <w:r w:rsidRPr="002A65BA">
        <w:rPr>
          <w:sz w:val="24"/>
          <w:szCs w:val="24"/>
        </w:rPr>
        <w:t>is taking any medication with aspirin, Tylenol</w:t>
      </w:r>
      <w:r w:rsidRPr="002A65BA">
        <w:rPr>
          <w:sz w:val="24"/>
          <w:szCs w:val="24"/>
          <w:vertAlign w:val="superscript"/>
        </w:rPr>
        <w:t>®</w:t>
      </w:r>
      <w:r w:rsidRPr="002A65BA">
        <w:rPr>
          <w:sz w:val="24"/>
          <w:szCs w:val="24"/>
        </w:rPr>
        <w:t xml:space="preserve"> (acetaminophen), paracetomol, Aleve</w:t>
      </w:r>
      <w:r w:rsidRPr="002A65BA">
        <w:rPr>
          <w:sz w:val="24"/>
          <w:szCs w:val="24"/>
          <w:vertAlign w:val="superscript"/>
        </w:rPr>
        <w:t>®</w:t>
      </w:r>
      <w:r w:rsidRPr="002A65BA">
        <w:rPr>
          <w:sz w:val="24"/>
          <w:szCs w:val="24"/>
        </w:rPr>
        <w:t xml:space="preserve"> (naproxen), Motrin</w:t>
      </w:r>
      <w:r w:rsidRPr="002A65BA">
        <w:rPr>
          <w:sz w:val="24"/>
          <w:szCs w:val="24"/>
          <w:vertAlign w:val="superscript"/>
        </w:rPr>
        <w:t>®</w:t>
      </w:r>
      <w:r w:rsidRPr="002A65BA">
        <w:rPr>
          <w:sz w:val="24"/>
          <w:szCs w:val="24"/>
        </w:rPr>
        <w:t xml:space="preserve"> or Advil</w:t>
      </w:r>
      <w:r w:rsidRPr="002A65BA">
        <w:rPr>
          <w:sz w:val="24"/>
          <w:szCs w:val="24"/>
          <w:vertAlign w:val="superscript"/>
        </w:rPr>
        <w:t>®</w:t>
      </w:r>
      <w:r w:rsidRPr="002A65BA">
        <w:rPr>
          <w:sz w:val="24"/>
          <w:szCs w:val="24"/>
        </w:rPr>
        <w:t xml:space="preserve"> (ibuprofen). Temperature readings should be taken </w:t>
      </w:r>
      <w:r w:rsidRPr="002A65BA">
        <w:rPr>
          <w:b/>
          <w:sz w:val="24"/>
          <w:szCs w:val="24"/>
        </w:rPr>
        <w:t>before</w:t>
      </w:r>
      <w:r w:rsidRPr="002A65BA">
        <w:rPr>
          <w:sz w:val="24"/>
          <w:szCs w:val="24"/>
        </w:rPr>
        <w:t xml:space="preserve"> the </w:t>
      </w:r>
      <w:r w:rsidR="0039284F" w:rsidRPr="002A65BA">
        <w:rPr>
          <w:sz w:val="24"/>
          <w:szCs w:val="24"/>
        </w:rPr>
        <w:t>person</w:t>
      </w:r>
      <w:r w:rsidRPr="002A65BA">
        <w:rPr>
          <w:sz w:val="24"/>
          <w:szCs w:val="24"/>
        </w:rPr>
        <w:t>’s next dose of any such medication.</w:t>
      </w:r>
    </w:p>
    <w:p w14:paraId="24323F55" w14:textId="77777777" w:rsidR="005A6115" w:rsidRPr="002A65BA" w:rsidRDefault="00661C2A" w:rsidP="002A65BA">
      <w:pPr>
        <w:pStyle w:val="ListParagraph"/>
        <w:numPr>
          <w:ilvl w:val="2"/>
          <w:numId w:val="8"/>
        </w:numPr>
        <w:spacing w:before="120" w:after="0"/>
        <w:ind w:left="648"/>
        <w:contextualSpacing w:val="0"/>
        <w:rPr>
          <w:sz w:val="24"/>
          <w:szCs w:val="24"/>
        </w:rPr>
      </w:pPr>
      <w:r w:rsidRPr="002A65BA">
        <w:rPr>
          <w:sz w:val="24"/>
          <w:szCs w:val="24"/>
        </w:rPr>
        <w:t>The health monitor</w:t>
      </w:r>
      <w:r w:rsidR="00DF5D0B" w:rsidRPr="002A65BA">
        <w:rPr>
          <w:sz w:val="24"/>
          <w:szCs w:val="24"/>
        </w:rPr>
        <w:t xml:space="preserve"> should not touch the </w:t>
      </w:r>
      <w:r w:rsidR="0039284F" w:rsidRPr="002A65BA">
        <w:rPr>
          <w:sz w:val="24"/>
          <w:szCs w:val="24"/>
        </w:rPr>
        <w:t xml:space="preserve">person </w:t>
      </w:r>
      <w:r w:rsidR="00DF5D0B" w:rsidRPr="002A65BA">
        <w:rPr>
          <w:sz w:val="24"/>
          <w:szCs w:val="24"/>
        </w:rPr>
        <w:t>or the thermometer but should visually observe the reading on the thermometer.</w:t>
      </w:r>
      <w:r w:rsidR="003F1285" w:rsidRPr="002A65BA">
        <w:rPr>
          <w:sz w:val="24"/>
          <w:szCs w:val="24"/>
        </w:rPr>
        <w:t xml:space="preserve"> </w:t>
      </w:r>
      <w:r w:rsidR="005A6115" w:rsidRPr="002A65BA">
        <w:rPr>
          <w:sz w:val="24"/>
          <w:szCs w:val="24"/>
        </w:rPr>
        <w:t xml:space="preserve">In addition to the daily visit by a public health official, the </w:t>
      </w:r>
      <w:r w:rsidR="0039284F" w:rsidRPr="002A65BA">
        <w:rPr>
          <w:sz w:val="24"/>
          <w:szCs w:val="24"/>
        </w:rPr>
        <w:t>person being monitored</w:t>
      </w:r>
      <w:r w:rsidR="005A6115" w:rsidRPr="002A65BA">
        <w:rPr>
          <w:sz w:val="24"/>
          <w:szCs w:val="24"/>
        </w:rPr>
        <w:t xml:space="preserve"> should also take his/her temperature one additional time per day. </w:t>
      </w:r>
    </w:p>
    <w:p w14:paraId="24323F56" w14:textId="54CF8A69" w:rsidR="00454824" w:rsidRPr="002A65BA" w:rsidRDefault="005A6115" w:rsidP="002A65BA">
      <w:pPr>
        <w:numPr>
          <w:ilvl w:val="0"/>
          <w:numId w:val="35"/>
        </w:numPr>
        <w:spacing w:before="120" w:after="0"/>
        <w:ind w:left="360"/>
        <w:rPr>
          <w:sz w:val="24"/>
          <w:szCs w:val="24"/>
        </w:rPr>
      </w:pPr>
      <w:r w:rsidRPr="002A65BA">
        <w:rPr>
          <w:sz w:val="24"/>
          <w:szCs w:val="24"/>
        </w:rPr>
        <w:t xml:space="preserve">If the </w:t>
      </w:r>
      <w:r w:rsidR="00661C2A" w:rsidRPr="002A65BA">
        <w:rPr>
          <w:sz w:val="24"/>
          <w:szCs w:val="24"/>
        </w:rPr>
        <w:t>person</w:t>
      </w:r>
      <w:r w:rsidRPr="002A65BA">
        <w:rPr>
          <w:sz w:val="24"/>
          <w:szCs w:val="24"/>
        </w:rPr>
        <w:t xml:space="preserve"> has a fever</w:t>
      </w:r>
      <w:r w:rsidR="00153BA9" w:rsidRPr="002A65BA">
        <w:rPr>
          <w:sz w:val="24"/>
          <w:szCs w:val="24"/>
        </w:rPr>
        <w:t xml:space="preserve"> or </w:t>
      </w:r>
      <w:r w:rsidR="002A65BA">
        <w:rPr>
          <w:sz w:val="24"/>
          <w:szCs w:val="24"/>
        </w:rPr>
        <w:t>feels</w:t>
      </w:r>
      <w:r w:rsidR="00153BA9" w:rsidRPr="002A65BA">
        <w:rPr>
          <w:sz w:val="24"/>
          <w:szCs w:val="24"/>
        </w:rPr>
        <w:t xml:space="preserve"> feverish</w:t>
      </w:r>
      <w:r w:rsidRPr="002A65BA">
        <w:rPr>
          <w:sz w:val="24"/>
          <w:szCs w:val="24"/>
        </w:rPr>
        <w:t xml:space="preserve">, reports at least one of the other symptoms, or the public health official observes signs of illness, the public health official </w:t>
      </w:r>
      <w:r w:rsidR="002A65BA">
        <w:rPr>
          <w:sz w:val="24"/>
          <w:szCs w:val="24"/>
        </w:rPr>
        <w:t>should</w:t>
      </w:r>
      <w:r w:rsidRPr="002A65BA">
        <w:rPr>
          <w:sz w:val="24"/>
          <w:szCs w:val="24"/>
        </w:rPr>
        <w:t xml:space="preserve"> immediately notify the public health department at </w:t>
      </w:r>
      <w:r w:rsidRPr="002A65BA">
        <w:rPr>
          <w:sz w:val="24"/>
          <w:szCs w:val="24"/>
          <w:highlight w:val="yellow"/>
        </w:rPr>
        <w:t>XXX-XXX-XXXX</w:t>
      </w:r>
      <w:r w:rsidRPr="002A65BA">
        <w:rPr>
          <w:sz w:val="24"/>
          <w:szCs w:val="24"/>
        </w:rPr>
        <w:t xml:space="preserve">. </w:t>
      </w:r>
      <w:r w:rsidR="00883DCA" w:rsidRPr="002A65BA">
        <w:rPr>
          <w:sz w:val="24"/>
          <w:szCs w:val="24"/>
        </w:rPr>
        <w:t xml:space="preserve">If the </w:t>
      </w:r>
      <w:r w:rsidR="00661C2A" w:rsidRPr="002A65BA">
        <w:rPr>
          <w:sz w:val="24"/>
          <w:szCs w:val="24"/>
        </w:rPr>
        <w:t xml:space="preserve">person </w:t>
      </w:r>
      <w:r w:rsidR="00883DCA" w:rsidRPr="002A65BA">
        <w:rPr>
          <w:sz w:val="24"/>
          <w:szCs w:val="24"/>
        </w:rPr>
        <w:t>has an urgent health situation, the first call should be to 911 and the second call should be t</w:t>
      </w:r>
      <w:r w:rsidR="00454824" w:rsidRPr="002A65BA">
        <w:rPr>
          <w:sz w:val="24"/>
          <w:szCs w:val="24"/>
        </w:rPr>
        <w:t>o the public health department.</w:t>
      </w:r>
    </w:p>
    <w:p w14:paraId="24323F57" w14:textId="44977212" w:rsidR="00454824" w:rsidRPr="002A65BA" w:rsidRDefault="000E7D61" w:rsidP="002A65BA">
      <w:pPr>
        <w:numPr>
          <w:ilvl w:val="0"/>
          <w:numId w:val="35"/>
        </w:numPr>
        <w:spacing w:before="120" w:after="0"/>
        <w:ind w:left="360"/>
        <w:rPr>
          <w:sz w:val="24"/>
          <w:szCs w:val="24"/>
        </w:rPr>
      </w:pPr>
      <w:r w:rsidRPr="002A65BA">
        <w:rPr>
          <w:sz w:val="24"/>
          <w:szCs w:val="24"/>
        </w:rPr>
        <w:t xml:space="preserve">If the second follow-up per day is being conducted by telephone, arrangements </w:t>
      </w:r>
      <w:r w:rsidR="00404385" w:rsidRPr="002A65BA">
        <w:rPr>
          <w:sz w:val="24"/>
          <w:szCs w:val="24"/>
        </w:rPr>
        <w:t>should</w:t>
      </w:r>
      <w:r w:rsidRPr="002A65BA">
        <w:rPr>
          <w:sz w:val="24"/>
          <w:szCs w:val="24"/>
        </w:rPr>
        <w:t xml:space="preserve"> be made for the public health authorities to receive the results</w:t>
      </w:r>
      <w:r w:rsidR="00454824" w:rsidRPr="002A65BA">
        <w:rPr>
          <w:sz w:val="24"/>
          <w:szCs w:val="24"/>
        </w:rPr>
        <w:t xml:space="preserve"> by phone, email, or other means to confirm symptoms have been monitored and the individual remains asymptomatic.</w:t>
      </w:r>
    </w:p>
    <w:p w14:paraId="24323F58" w14:textId="77777777" w:rsidR="005A6115" w:rsidRPr="002A65BA" w:rsidRDefault="005A6115" w:rsidP="002A65BA">
      <w:pPr>
        <w:numPr>
          <w:ilvl w:val="0"/>
          <w:numId w:val="35"/>
        </w:numPr>
        <w:spacing w:before="120" w:after="0"/>
        <w:ind w:left="360"/>
        <w:rPr>
          <w:sz w:val="24"/>
          <w:szCs w:val="24"/>
        </w:rPr>
      </w:pPr>
      <w:r w:rsidRPr="002A65BA">
        <w:rPr>
          <w:sz w:val="24"/>
          <w:szCs w:val="24"/>
        </w:rPr>
        <w:t xml:space="preserve">If </w:t>
      </w:r>
      <w:r w:rsidR="0039284F" w:rsidRPr="002A65BA">
        <w:rPr>
          <w:sz w:val="24"/>
          <w:szCs w:val="24"/>
        </w:rPr>
        <w:t>the person</w:t>
      </w:r>
      <w:r w:rsidRPr="002A65BA">
        <w:rPr>
          <w:sz w:val="24"/>
          <w:szCs w:val="24"/>
        </w:rPr>
        <w:t xml:space="preserve"> </w:t>
      </w:r>
      <w:r w:rsidR="00DF5D0B" w:rsidRPr="002A65BA">
        <w:rPr>
          <w:sz w:val="24"/>
          <w:szCs w:val="24"/>
        </w:rPr>
        <w:t xml:space="preserve">under direct active monitoring </w:t>
      </w:r>
      <w:r w:rsidRPr="002A65BA">
        <w:rPr>
          <w:sz w:val="24"/>
          <w:szCs w:val="24"/>
        </w:rPr>
        <w:t xml:space="preserve">has not been </w:t>
      </w:r>
      <w:r w:rsidR="00DF5D0B" w:rsidRPr="002A65BA">
        <w:rPr>
          <w:sz w:val="24"/>
          <w:szCs w:val="24"/>
        </w:rPr>
        <w:t xml:space="preserve">observed </w:t>
      </w:r>
      <w:r w:rsidRPr="002A65BA">
        <w:rPr>
          <w:sz w:val="24"/>
          <w:szCs w:val="24"/>
        </w:rPr>
        <w:t>for two or more consecutive days, additional efforts should b</w:t>
      </w:r>
      <w:r w:rsidR="0039284F" w:rsidRPr="002A65BA">
        <w:rPr>
          <w:sz w:val="24"/>
          <w:szCs w:val="24"/>
        </w:rPr>
        <w:t>e made to find and observe the person</w:t>
      </w:r>
      <w:r w:rsidRPr="002A65BA">
        <w:rPr>
          <w:sz w:val="24"/>
          <w:szCs w:val="24"/>
        </w:rPr>
        <w:t xml:space="preserve">. </w:t>
      </w:r>
    </w:p>
    <w:p w14:paraId="5BFCD5ED" w14:textId="77777777" w:rsidR="002A65BA" w:rsidRDefault="002A65BA" w:rsidP="002A65BA">
      <w:pPr>
        <w:spacing w:before="120" w:after="0"/>
        <w:rPr>
          <w:b/>
          <w:sz w:val="24"/>
          <w:szCs w:val="24"/>
        </w:rPr>
      </w:pPr>
    </w:p>
    <w:p w14:paraId="24323F5B" w14:textId="77777777" w:rsidR="00661C2A" w:rsidRPr="002A65BA" w:rsidRDefault="003C1032" w:rsidP="002A65BA">
      <w:pPr>
        <w:spacing w:before="120" w:after="0"/>
        <w:rPr>
          <w:b/>
          <w:sz w:val="24"/>
          <w:szCs w:val="24"/>
        </w:rPr>
      </w:pPr>
      <w:r w:rsidRPr="002A65BA">
        <w:rPr>
          <w:b/>
          <w:sz w:val="24"/>
          <w:szCs w:val="24"/>
        </w:rPr>
        <w:t>Active Monitoring</w:t>
      </w:r>
    </w:p>
    <w:p w14:paraId="24323F5C" w14:textId="2CE61A03" w:rsidR="0056368A" w:rsidRPr="002A65BA" w:rsidRDefault="0056368A" w:rsidP="002A65BA">
      <w:pPr>
        <w:spacing w:before="120" w:after="0"/>
        <w:rPr>
          <w:sz w:val="24"/>
          <w:szCs w:val="24"/>
        </w:rPr>
      </w:pPr>
      <w:r w:rsidRPr="002A65BA">
        <w:rPr>
          <w:sz w:val="24"/>
          <w:szCs w:val="24"/>
        </w:rPr>
        <w:t>Persons under active monitoring should measure their temperature twice daily and monitor themselves for symptoms</w:t>
      </w:r>
      <w:r w:rsidR="002A65BA" w:rsidRPr="002A65BA">
        <w:rPr>
          <w:sz w:val="24"/>
          <w:szCs w:val="24"/>
        </w:rPr>
        <w:t xml:space="preserve">. </w:t>
      </w:r>
      <w:r w:rsidRPr="002A65BA">
        <w:rPr>
          <w:sz w:val="24"/>
          <w:szCs w:val="24"/>
        </w:rPr>
        <w:t>They should report the results of their monitoring to the health authority at least once a day for their 21-day monitoring period</w:t>
      </w:r>
      <w:r w:rsidR="002A65BA" w:rsidRPr="002A65BA">
        <w:rPr>
          <w:sz w:val="24"/>
          <w:szCs w:val="24"/>
        </w:rPr>
        <w:t xml:space="preserve">. </w:t>
      </w:r>
      <w:r w:rsidRPr="002A65BA">
        <w:rPr>
          <w:sz w:val="24"/>
          <w:szCs w:val="24"/>
        </w:rPr>
        <w:t xml:space="preserve"> </w:t>
      </w:r>
    </w:p>
    <w:p w14:paraId="38FDC6D2" w14:textId="77777777" w:rsidR="002A65BA" w:rsidRDefault="002A65BA" w:rsidP="002A65BA">
      <w:pPr>
        <w:spacing w:before="120" w:after="0"/>
        <w:rPr>
          <w:i/>
          <w:sz w:val="24"/>
          <w:szCs w:val="24"/>
        </w:rPr>
      </w:pPr>
    </w:p>
    <w:p w14:paraId="24323F5E" w14:textId="77777777" w:rsidR="003C1032" w:rsidRPr="002A65BA" w:rsidRDefault="003C1032" w:rsidP="002A65BA">
      <w:pPr>
        <w:spacing w:before="120" w:after="0"/>
        <w:rPr>
          <w:i/>
          <w:sz w:val="24"/>
          <w:szCs w:val="24"/>
        </w:rPr>
      </w:pPr>
      <w:r w:rsidRPr="002A65BA">
        <w:rPr>
          <w:i/>
          <w:sz w:val="24"/>
          <w:szCs w:val="24"/>
        </w:rPr>
        <w:lastRenderedPageBreak/>
        <w:t>Procedures for active monitoring:</w:t>
      </w:r>
    </w:p>
    <w:p w14:paraId="24323F5F" w14:textId="77777777" w:rsidR="00661C2A" w:rsidRPr="002A65BA" w:rsidRDefault="00661C2A" w:rsidP="002A65BA">
      <w:pPr>
        <w:numPr>
          <w:ilvl w:val="0"/>
          <w:numId w:val="32"/>
        </w:numPr>
        <w:spacing w:before="120" w:after="0"/>
        <w:ind w:left="360"/>
        <w:rPr>
          <w:sz w:val="24"/>
          <w:szCs w:val="24"/>
        </w:rPr>
      </w:pPr>
      <w:r w:rsidRPr="002A65BA">
        <w:rPr>
          <w:sz w:val="24"/>
          <w:szCs w:val="24"/>
        </w:rPr>
        <w:t xml:space="preserve">The individual </w:t>
      </w:r>
      <w:r w:rsidR="0039284F" w:rsidRPr="002A65BA">
        <w:rPr>
          <w:sz w:val="24"/>
          <w:szCs w:val="24"/>
        </w:rPr>
        <w:t>should</w:t>
      </w:r>
      <w:r w:rsidRPr="002A65BA">
        <w:rPr>
          <w:sz w:val="24"/>
          <w:szCs w:val="24"/>
        </w:rPr>
        <w:t xml:space="preserve"> receive training in how to complete the </w:t>
      </w:r>
      <w:r w:rsidRPr="002A65BA">
        <w:rPr>
          <w:b/>
          <w:sz w:val="24"/>
          <w:szCs w:val="24"/>
        </w:rPr>
        <w:t xml:space="preserve">21-day fever and symptom </w:t>
      </w:r>
      <w:r w:rsidR="0039284F" w:rsidRPr="002A65BA">
        <w:rPr>
          <w:b/>
          <w:sz w:val="24"/>
          <w:szCs w:val="24"/>
        </w:rPr>
        <w:t>log</w:t>
      </w:r>
      <w:r w:rsidRPr="002A65BA">
        <w:rPr>
          <w:sz w:val="24"/>
          <w:szCs w:val="24"/>
        </w:rPr>
        <w:t xml:space="preserve"> and how to properly take their temperature with a digital oral thermometer.</w:t>
      </w:r>
    </w:p>
    <w:p w14:paraId="24323F60" w14:textId="21442BF7" w:rsidR="00661C2A" w:rsidRPr="002A65BA" w:rsidRDefault="00661C2A" w:rsidP="002A65BA">
      <w:pPr>
        <w:pStyle w:val="ListParagraph"/>
        <w:numPr>
          <w:ilvl w:val="1"/>
          <w:numId w:val="32"/>
        </w:numPr>
        <w:spacing w:before="120" w:after="0"/>
        <w:ind w:left="1080" w:hanging="270"/>
        <w:contextualSpacing w:val="0"/>
        <w:rPr>
          <w:sz w:val="24"/>
          <w:szCs w:val="24"/>
          <w:u w:val="single"/>
        </w:rPr>
      </w:pPr>
      <w:r w:rsidRPr="002A65BA">
        <w:rPr>
          <w:sz w:val="24"/>
          <w:szCs w:val="24"/>
        </w:rPr>
        <w:t xml:space="preserve">Initial in-person training </w:t>
      </w:r>
      <w:r w:rsidR="001A1218" w:rsidRPr="002A65BA">
        <w:rPr>
          <w:sz w:val="24"/>
          <w:szCs w:val="24"/>
        </w:rPr>
        <w:t>is helpful to explain the monitoring process, ensure that the person being monitored understands the required follow-up</w:t>
      </w:r>
      <w:r w:rsidR="00404385" w:rsidRPr="002A65BA">
        <w:rPr>
          <w:sz w:val="24"/>
          <w:szCs w:val="24"/>
        </w:rPr>
        <w:t>,</w:t>
      </w:r>
      <w:r w:rsidR="0039284F" w:rsidRPr="002A65BA">
        <w:rPr>
          <w:sz w:val="24"/>
          <w:szCs w:val="24"/>
        </w:rPr>
        <w:t xml:space="preserve"> </w:t>
      </w:r>
      <w:r w:rsidR="001A1218" w:rsidRPr="002A65BA">
        <w:rPr>
          <w:sz w:val="24"/>
          <w:szCs w:val="24"/>
        </w:rPr>
        <w:t>and establish rapport</w:t>
      </w:r>
      <w:r w:rsidR="002A65BA" w:rsidRPr="002A65BA">
        <w:rPr>
          <w:sz w:val="24"/>
          <w:szCs w:val="24"/>
        </w:rPr>
        <w:t xml:space="preserve">. </w:t>
      </w:r>
      <w:r w:rsidRPr="002A65BA">
        <w:rPr>
          <w:sz w:val="24"/>
          <w:szCs w:val="24"/>
        </w:rPr>
        <w:t>If that cannot be done, training by telephone is an option</w:t>
      </w:r>
      <w:r w:rsidR="002A65BA" w:rsidRPr="002A65BA">
        <w:rPr>
          <w:sz w:val="24"/>
          <w:szCs w:val="24"/>
        </w:rPr>
        <w:t xml:space="preserve">. </w:t>
      </w:r>
    </w:p>
    <w:p w14:paraId="24323F61" w14:textId="68DFEF64" w:rsidR="008C692F" w:rsidRPr="002A65BA" w:rsidRDefault="001A1218" w:rsidP="002A65BA">
      <w:pPr>
        <w:pStyle w:val="ListParagraph"/>
        <w:numPr>
          <w:ilvl w:val="1"/>
          <w:numId w:val="32"/>
        </w:numPr>
        <w:spacing w:before="120" w:after="0"/>
        <w:ind w:left="1080" w:hanging="270"/>
        <w:contextualSpacing w:val="0"/>
        <w:rPr>
          <w:sz w:val="24"/>
          <w:szCs w:val="24"/>
          <w:u w:val="single"/>
        </w:rPr>
      </w:pPr>
      <w:r w:rsidRPr="002A65BA">
        <w:rPr>
          <w:sz w:val="24"/>
          <w:szCs w:val="24"/>
        </w:rPr>
        <w:t xml:space="preserve">If an initial in-person visit is to be made, the public health official </w:t>
      </w:r>
      <w:r w:rsidR="00454824" w:rsidRPr="002A65BA">
        <w:rPr>
          <w:sz w:val="24"/>
          <w:szCs w:val="24"/>
        </w:rPr>
        <w:t>should call</w:t>
      </w:r>
      <w:r w:rsidRPr="002A65BA">
        <w:rPr>
          <w:sz w:val="24"/>
          <w:szCs w:val="24"/>
        </w:rPr>
        <w:t xml:space="preserve"> ahead to ask if the person has symptoms</w:t>
      </w:r>
      <w:r w:rsidR="002A65BA" w:rsidRPr="002A65BA">
        <w:rPr>
          <w:sz w:val="24"/>
          <w:szCs w:val="24"/>
        </w:rPr>
        <w:t xml:space="preserve">. </w:t>
      </w:r>
      <w:r w:rsidRPr="002A65BA">
        <w:rPr>
          <w:sz w:val="24"/>
          <w:szCs w:val="24"/>
        </w:rPr>
        <w:t xml:space="preserve">If they do, the public health official will immediately notify the public health department at </w:t>
      </w:r>
      <w:r w:rsidRPr="002A65BA">
        <w:rPr>
          <w:sz w:val="24"/>
          <w:szCs w:val="24"/>
          <w:highlight w:val="yellow"/>
        </w:rPr>
        <w:t>XXX-XXX-XXXX</w:t>
      </w:r>
      <w:r w:rsidRPr="002A65BA">
        <w:rPr>
          <w:sz w:val="24"/>
          <w:szCs w:val="24"/>
        </w:rPr>
        <w:t xml:space="preserve">. If the </w:t>
      </w:r>
      <w:r w:rsidR="0039284F" w:rsidRPr="002A65BA">
        <w:rPr>
          <w:sz w:val="24"/>
          <w:szCs w:val="24"/>
        </w:rPr>
        <w:t>person being monitored</w:t>
      </w:r>
      <w:r w:rsidRPr="002A65BA">
        <w:rPr>
          <w:sz w:val="24"/>
          <w:szCs w:val="24"/>
        </w:rPr>
        <w:t xml:space="preserve"> has an urgent health situation, the first call should be to 911 and the second call should be to the public health department. </w:t>
      </w:r>
    </w:p>
    <w:p w14:paraId="24323F63" w14:textId="1716504C" w:rsidR="005A6115" w:rsidRPr="002A65BA" w:rsidRDefault="005A6115" w:rsidP="002A65BA">
      <w:pPr>
        <w:pStyle w:val="ListParagraph"/>
        <w:numPr>
          <w:ilvl w:val="0"/>
          <w:numId w:val="32"/>
        </w:numPr>
        <w:spacing w:before="120" w:after="0"/>
        <w:ind w:left="360"/>
        <w:contextualSpacing w:val="0"/>
        <w:rPr>
          <w:sz w:val="24"/>
          <w:szCs w:val="24"/>
          <w:u w:val="single"/>
        </w:rPr>
      </w:pPr>
      <w:r w:rsidRPr="002A65BA">
        <w:rPr>
          <w:sz w:val="24"/>
          <w:szCs w:val="24"/>
        </w:rPr>
        <w:t xml:space="preserve">Each day, the </w:t>
      </w:r>
      <w:r w:rsidR="00C253C0" w:rsidRPr="002A65BA">
        <w:rPr>
          <w:sz w:val="24"/>
          <w:szCs w:val="24"/>
        </w:rPr>
        <w:t>individual</w:t>
      </w:r>
      <w:r w:rsidRPr="002A65BA">
        <w:rPr>
          <w:sz w:val="24"/>
          <w:szCs w:val="24"/>
        </w:rPr>
        <w:t xml:space="preserve"> will take their temperature twice (morning and night) and </w:t>
      </w:r>
      <w:r w:rsidR="00C253C0" w:rsidRPr="002A65BA">
        <w:rPr>
          <w:sz w:val="24"/>
          <w:szCs w:val="24"/>
        </w:rPr>
        <w:t>record their temperature and the presence or absence of all symptoms on</w:t>
      </w:r>
      <w:r w:rsidRPr="002A65BA">
        <w:rPr>
          <w:sz w:val="24"/>
          <w:szCs w:val="24"/>
        </w:rPr>
        <w:t xml:space="preserve"> the </w:t>
      </w:r>
      <w:r w:rsidR="00C253C0" w:rsidRPr="002A65BA">
        <w:rPr>
          <w:b/>
          <w:sz w:val="24"/>
          <w:szCs w:val="24"/>
        </w:rPr>
        <w:t xml:space="preserve">21-day fever and symptom </w:t>
      </w:r>
      <w:r w:rsidR="005014CC" w:rsidRPr="002A65BA">
        <w:rPr>
          <w:b/>
          <w:sz w:val="24"/>
          <w:szCs w:val="24"/>
        </w:rPr>
        <w:t>log</w:t>
      </w:r>
      <w:r w:rsidR="002A65BA" w:rsidRPr="002A65BA">
        <w:rPr>
          <w:sz w:val="24"/>
          <w:szCs w:val="24"/>
        </w:rPr>
        <w:t xml:space="preserve">. </w:t>
      </w:r>
    </w:p>
    <w:p w14:paraId="24323F64" w14:textId="77777777" w:rsidR="005014CC" w:rsidRPr="002A65BA" w:rsidRDefault="005A6115" w:rsidP="002A65BA">
      <w:pPr>
        <w:pStyle w:val="ListParagraph"/>
        <w:numPr>
          <w:ilvl w:val="0"/>
          <w:numId w:val="23"/>
        </w:numPr>
        <w:spacing w:before="120" w:after="0"/>
        <w:ind w:left="1080" w:hanging="270"/>
        <w:contextualSpacing w:val="0"/>
        <w:rPr>
          <w:sz w:val="24"/>
          <w:szCs w:val="24"/>
        </w:rPr>
      </w:pPr>
      <w:r w:rsidRPr="002A65BA">
        <w:rPr>
          <w:sz w:val="24"/>
          <w:szCs w:val="24"/>
        </w:rPr>
        <w:t xml:space="preserve">The contact should record if they are taking any medication with aspirin, Tylenol® (acetaminophen), paracetomol, Aleve® (naproxen), Motrin® or Advil® (ibuprofen). Temperature readings should be taken </w:t>
      </w:r>
      <w:r w:rsidRPr="002A65BA">
        <w:rPr>
          <w:b/>
          <w:sz w:val="24"/>
          <w:szCs w:val="24"/>
        </w:rPr>
        <w:t>before</w:t>
      </w:r>
      <w:r w:rsidRPr="002A65BA">
        <w:rPr>
          <w:sz w:val="24"/>
          <w:szCs w:val="24"/>
        </w:rPr>
        <w:t xml:space="preserve"> the contact’s next dose of any such medication.</w:t>
      </w:r>
    </w:p>
    <w:p w14:paraId="24323F66" w14:textId="77777777" w:rsidR="008C692F" w:rsidRPr="002A65BA" w:rsidRDefault="009466E3" w:rsidP="002A65BA">
      <w:pPr>
        <w:pStyle w:val="ListParagraph"/>
        <w:numPr>
          <w:ilvl w:val="0"/>
          <w:numId w:val="32"/>
        </w:numPr>
        <w:spacing w:before="120" w:after="0"/>
        <w:ind w:left="360"/>
        <w:contextualSpacing w:val="0"/>
        <w:rPr>
          <w:sz w:val="24"/>
          <w:szCs w:val="24"/>
        </w:rPr>
      </w:pPr>
      <w:r w:rsidRPr="002A65BA">
        <w:rPr>
          <w:sz w:val="24"/>
          <w:szCs w:val="24"/>
        </w:rPr>
        <w:t xml:space="preserve">The </w:t>
      </w:r>
      <w:r w:rsidR="005014CC" w:rsidRPr="002A65BA">
        <w:rPr>
          <w:sz w:val="24"/>
          <w:szCs w:val="24"/>
        </w:rPr>
        <w:t>person being monitored</w:t>
      </w:r>
      <w:r w:rsidRPr="002A65BA">
        <w:rPr>
          <w:sz w:val="24"/>
          <w:szCs w:val="24"/>
        </w:rPr>
        <w:t xml:space="preserve"> should report daily to public health officials by phone, email, or other means to confirm symptoms have been monitored and the individual remains asymptomatic.</w:t>
      </w:r>
    </w:p>
    <w:p w14:paraId="24323F68" w14:textId="6158F415" w:rsidR="00E96DA5" w:rsidRPr="002A65BA" w:rsidRDefault="005A6115" w:rsidP="002A65BA">
      <w:pPr>
        <w:pStyle w:val="ListParagraph"/>
        <w:numPr>
          <w:ilvl w:val="0"/>
          <w:numId w:val="32"/>
        </w:numPr>
        <w:spacing w:before="120" w:after="0"/>
        <w:ind w:left="360"/>
        <w:contextualSpacing w:val="0"/>
        <w:rPr>
          <w:sz w:val="24"/>
          <w:szCs w:val="24"/>
        </w:rPr>
      </w:pPr>
      <w:r w:rsidRPr="002A65BA">
        <w:rPr>
          <w:sz w:val="24"/>
          <w:szCs w:val="24"/>
        </w:rPr>
        <w:t xml:space="preserve">If the </w:t>
      </w:r>
      <w:r w:rsidR="005014CC" w:rsidRPr="002A65BA">
        <w:rPr>
          <w:sz w:val="24"/>
          <w:szCs w:val="24"/>
        </w:rPr>
        <w:t>person</w:t>
      </w:r>
      <w:r w:rsidRPr="002A65BA">
        <w:rPr>
          <w:sz w:val="24"/>
          <w:szCs w:val="24"/>
        </w:rPr>
        <w:t xml:space="preserve"> has a fever</w:t>
      </w:r>
      <w:r w:rsidR="003F1285" w:rsidRPr="002A65BA">
        <w:rPr>
          <w:sz w:val="24"/>
          <w:szCs w:val="24"/>
        </w:rPr>
        <w:t xml:space="preserve"> or </w:t>
      </w:r>
      <w:r w:rsidR="002A65BA">
        <w:rPr>
          <w:sz w:val="24"/>
          <w:szCs w:val="24"/>
        </w:rPr>
        <w:t>feels</w:t>
      </w:r>
      <w:r w:rsidR="003F1285" w:rsidRPr="002A65BA">
        <w:rPr>
          <w:sz w:val="24"/>
          <w:szCs w:val="24"/>
        </w:rPr>
        <w:t xml:space="preserve"> </w:t>
      </w:r>
      <w:r w:rsidR="00EF0749" w:rsidRPr="002A65BA">
        <w:rPr>
          <w:sz w:val="24"/>
          <w:szCs w:val="24"/>
        </w:rPr>
        <w:t>feverish</w:t>
      </w:r>
      <w:r w:rsidRPr="002A65BA">
        <w:rPr>
          <w:sz w:val="24"/>
          <w:szCs w:val="24"/>
        </w:rPr>
        <w:t xml:space="preserve"> or reports at least one of the other symptoms, s/he should immediately notify the public health department at </w:t>
      </w:r>
      <w:r w:rsidRPr="002A65BA">
        <w:rPr>
          <w:sz w:val="24"/>
          <w:szCs w:val="24"/>
          <w:highlight w:val="yellow"/>
        </w:rPr>
        <w:t>XXX-XXX-XXXX</w:t>
      </w:r>
      <w:r w:rsidR="002A65BA" w:rsidRPr="002A65BA">
        <w:rPr>
          <w:sz w:val="24"/>
          <w:szCs w:val="24"/>
        </w:rPr>
        <w:t xml:space="preserve">. </w:t>
      </w:r>
      <w:r w:rsidR="00E96DA5" w:rsidRPr="002A65BA">
        <w:rPr>
          <w:sz w:val="24"/>
          <w:szCs w:val="24"/>
        </w:rPr>
        <w:t xml:space="preserve">If the </w:t>
      </w:r>
      <w:r w:rsidR="005014CC" w:rsidRPr="002A65BA">
        <w:rPr>
          <w:sz w:val="24"/>
          <w:szCs w:val="24"/>
        </w:rPr>
        <w:t>person</w:t>
      </w:r>
      <w:r w:rsidR="00E96DA5" w:rsidRPr="002A65BA">
        <w:rPr>
          <w:sz w:val="24"/>
          <w:szCs w:val="24"/>
        </w:rPr>
        <w:t xml:space="preserve"> has an urgent health situation, the first call should be to 911 and the second call should be to the public health department. </w:t>
      </w:r>
    </w:p>
    <w:p w14:paraId="24323F69" w14:textId="77777777" w:rsidR="00051E69" w:rsidRPr="002A65BA" w:rsidRDefault="005A6115" w:rsidP="002A65BA">
      <w:pPr>
        <w:numPr>
          <w:ilvl w:val="0"/>
          <w:numId w:val="32"/>
        </w:numPr>
        <w:spacing w:before="120" w:after="0"/>
        <w:ind w:left="360"/>
        <w:rPr>
          <w:sz w:val="24"/>
          <w:szCs w:val="24"/>
        </w:rPr>
      </w:pPr>
      <w:r w:rsidRPr="002A65BA">
        <w:rPr>
          <w:sz w:val="24"/>
          <w:szCs w:val="24"/>
        </w:rPr>
        <w:t xml:space="preserve">If a </w:t>
      </w:r>
      <w:r w:rsidR="005014CC" w:rsidRPr="002A65BA">
        <w:rPr>
          <w:sz w:val="24"/>
          <w:szCs w:val="24"/>
        </w:rPr>
        <w:t>person</w:t>
      </w:r>
      <w:r w:rsidRPr="002A65BA">
        <w:rPr>
          <w:sz w:val="24"/>
          <w:szCs w:val="24"/>
        </w:rPr>
        <w:t xml:space="preserve"> has not monitored or recorded the presence or absence of symptoms for two consecutive days, additional efforts should be made to increase adherence to the follow-up protocol, such as in-person visits</w:t>
      </w:r>
      <w:r w:rsidR="003F1285" w:rsidRPr="002A65BA">
        <w:rPr>
          <w:sz w:val="24"/>
          <w:szCs w:val="24"/>
        </w:rPr>
        <w:t>. T</w:t>
      </w:r>
      <w:r w:rsidRPr="002A65BA">
        <w:rPr>
          <w:sz w:val="24"/>
          <w:szCs w:val="24"/>
        </w:rPr>
        <w:t xml:space="preserve">he </w:t>
      </w:r>
      <w:r w:rsidR="003F1285" w:rsidRPr="002A65BA">
        <w:rPr>
          <w:sz w:val="24"/>
          <w:szCs w:val="24"/>
        </w:rPr>
        <w:t xml:space="preserve">public health department </w:t>
      </w:r>
      <w:r w:rsidRPr="002A65BA">
        <w:rPr>
          <w:sz w:val="24"/>
          <w:szCs w:val="24"/>
        </w:rPr>
        <w:t xml:space="preserve">should be notified at </w:t>
      </w:r>
      <w:r w:rsidRPr="002A65BA">
        <w:rPr>
          <w:sz w:val="24"/>
          <w:szCs w:val="24"/>
          <w:highlight w:val="yellow"/>
        </w:rPr>
        <w:t>XXX-XXX-XXXX</w:t>
      </w:r>
      <w:r w:rsidRPr="002A65BA">
        <w:rPr>
          <w:sz w:val="24"/>
          <w:szCs w:val="24"/>
        </w:rPr>
        <w:t xml:space="preserve">. </w:t>
      </w:r>
    </w:p>
    <w:p w14:paraId="2DA9D88A" w14:textId="77777777" w:rsidR="002A65BA" w:rsidRDefault="0056368A" w:rsidP="002A65BA">
      <w:pPr>
        <w:spacing w:before="120" w:after="0"/>
        <w:rPr>
          <w:b/>
          <w:sz w:val="24"/>
          <w:szCs w:val="24"/>
        </w:rPr>
      </w:pPr>
      <w:r w:rsidRPr="002A65BA">
        <w:rPr>
          <w:b/>
          <w:sz w:val="24"/>
          <w:szCs w:val="24"/>
        </w:rPr>
        <w:t xml:space="preserve">If at any point during the monitoring period, a person </w:t>
      </w:r>
      <w:r w:rsidR="005014CC" w:rsidRPr="002A65BA">
        <w:rPr>
          <w:b/>
          <w:sz w:val="24"/>
          <w:szCs w:val="24"/>
        </w:rPr>
        <w:t xml:space="preserve">under active or direct active monitoring </w:t>
      </w:r>
      <w:r w:rsidRPr="002A65BA">
        <w:rPr>
          <w:b/>
          <w:sz w:val="24"/>
          <w:szCs w:val="24"/>
        </w:rPr>
        <w:t xml:space="preserve">develops any of the symptoms listed on the fever and symptom </w:t>
      </w:r>
      <w:r w:rsidR="003C1032" w:rsidRPr="002A65BA">
        <w:rPr>
          <w:b/>
          <w:sz w:val="24"/>
          <w:szCs w:val="24"/>
        </w:rPr>
        <w:t>log</w:t>
      </w:r>
      <w:r w:rsidRPr="002A65BA">
        <w:rPr>
          <w:b/>
          <w:sz w:val="24"/>
          <w:szCs w:val="24"/>
        </w:rPr>
        <w:t xml:space="preserve">, the health department should be immediately contacted at </w:t>
      </w:r>
      <w:r w:rsidRPr="002A65BA">
        <w:rPr>
          <w:b/>
          <w:sz w:val="24"/>
          <w:szCs w:val="24"/>
          <w:highlight w:val="yellow"/>
        </w:rPr>
        <w:t>XXX-XXX-XXXX</w:t>
      </w:r>
      <w:r w:rsidR="002A65BA" w:rsidRPr="002A65BA">
        <w:rPr>
          <w:b/>
          <w:sz w:val="24"/>
          <w:szCs w:val="24"/>
        </w:rPr>
        <w:t xml:space="preserve">. </w:t>
      </w:r>
    </w:p>
    <w:p w14:paraId="532C33F2" w14:textId="2C98BBBF" w:rsidR="002A65BA" w:rsidRDefault="0056368A" w:rsidP="002A65BA">
      <w:pPr>
        <w:spacing w:before="120" w:after="0"/>
        <w:rPr>
          <w:b/>
          <w:sz w:val="24"/>
          <w:szCs w:val="24"/>
        </w:rPr>
      </w:pPr>
      <w:r w:rsidRPr="002A65BA">
        <w:rPr>
          <w:b/>
          <w:sz w:val="24"/>
          <w:szCs w:val="24"/>
        </w:rPr>
        <w:t xml:space="preserve">If the public health authorities decide that the person should undergo medical evaluation for Ebola, the person </w:t>
      </w:r>
      <w:r w:rsidR="00345C03" w:rsidRPr="002A65BA">
        <w:rPr>
          <w:b/>
          <w:sz w:val="24"/>
          <w:szCs w:val="24"/>
        </w:rPr>
        <w:t>should be isolated and arrangements made for safe transport to an appropriate healthcare facility for evaluation</w:t>
      </w:r>
      <w:r w:rsidR="002A65BA" w:rsidRPr="002A65BA">
        <w:rPr>
          <w:b/>
          <w:sz w:val="24"/>
          <w:szCs w:val="24"/>
        </w:rPr>
        <w:t xml:space="preserve">. </w:t>
      </w:r>
    </w:p>
    <w:p w14:paraId="2C7602EB" w14:textId="1AF3E16F" w:rsidR="00404385" w:rsidRPr="002A65BA" w:rsidRDefault="00345C03" w:rsidP="002A65BA">
      <w:pPr>
        <w:spacing w:before="120" w:after="0"/>
        <w:rPr>
          <w:rFonts w:ascii="Verdana" w:hAnsi="Verdana"/>
          <w:b/>
          <w:sz w:val="24"/>
          <w:szCs w:val="24"/>
        </w:rPr>
      </w:pPr>
      <w:r w:rsidRPr="002A65BA">
        <w:rPr>
          <w:b/>
          <w:sz w:val="24"/>
          <w:szCs w:val="24"/>
        </w:rPr>
        <w:t xml:space="preserve">The Centers for Disease Control and Prevention can be contacted at </w:t>
      </w:r>
      <w:r w:rsidR="002A65BA">
        <w:rPr>
          <w:b/>
          <w:sz w:val="24"/>
          <w:szCs w:val="24"/>
        </w:rPr>
        <w:t>770-488-7100</w:t>
      </w:r>
      <w:r w:rsidRPr="002A65BA">
        <w:rPr>
          <w:b/>
          <w:sz w:val="24"/>
          <w:szCs w:val="24"/>
        </w:rPr>
        <w:t xml:space="preserve"> if additional advice is needed on whether a person should undergo medical evaluation </w:t>
      </w:r>
      <w:r w:rsidR="00404385" w:rsidRPr="002A65BA">
        <w:rPr>
          <w:b/>
          <w:sz w:val="24"/>
          <w:szCs w:val="24"/>
        </w:rPr>
        <w:t>for Ebola.</w:t>
      </w:r>
    </w:p>
    <w:p w14:paraId="6DDE920F" w14:textId="77777777" w:rsidR="00404385" w:rsidRPr="002A65BA" w:rsidRDefault="00404385" w:rsidP="00513D57">
      <w:pPr>
        <w:rPr>
          <w:rFonts w:ascii="Verdana" w:hAnsi="Verdana"/>
          <w:b/>
          <w:sz w:val="24"/>
          <w:szCs w:val="24"/>
        </w:rPr>
      </w:pPr>
    </w:p>
    <w:sectPr w:rsidR="00404385" w:rsidRPr="002A65BA" w:rsidSect="00404385">
      <w:headerReference w:type="default" r:id="rId10"/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3242DE" w14:textId="77777777" w:rsidR="00911B0A" w:rsidRDefault="00911B0A" w:rsidP="00906C88">
      <w:pPr>
        <w:spacing w:after="0" w:line="240" w:lineRule="auto"/>
      </w:pPr>
      <w:r>
        <w:separator/>
      </w:r>
    </w:p>
  </w:endnote>
  <w:endnote w:type="continuationSeparator" w:id="0">
    <w:p w14:paraId="243242DF" w14:textId="77777777" w:rsidR="00911B0A" w:rsidRDefault="00911B0A" w:rsidP="00906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2314444"/>
      <w:docPartObj>
        <w:docPartGallery w:val="Page Numbers (Bottom of Page)"/>
        <w:docPartUnique/>
      </w:docPartObj>
    </w:sdtPr>
    <w:sdtEndPr>
      <w:rPr>
        <w:rFonts w:ascii="Verdana" w:hAnsi="Verdana"/>
        <w:noProof/>
        <w:sz w:val="20"/>
        <w:szCs w:val="20"/>
      </w:rPr>
    </w:sdtEndPr>
    <w:sdtContent>
      <w:p w14:paraId="243242E3" w14:textId="77777777" w:rsidR="00911B0A" w:rsidRPr="0025674E" w:rsidRDefault="00911B0A">
        <w:pPr>
          <w:pStyle w:val="Footer"/>
          <w:jc w:val="right"/>
          <w:rPr>
            <w:rFonts w:ascii="Verdana" w:hAnsi="Verdana"/>
            <w:sz w:val="20"/>
            <w:szCs w:val="20"/>
          </w:rPr>
        </w:pPr>
        <w:r w:rsidRPr="0025674E">
          <w:rPr>
            <w:rFonts w:ascii="Verdana" w:hAnsi="Verdana"/>
            <w:sz w:val="20"/>
            <w:szCs w:val="20"/>
          </w:rPr>
          <w:fldChar w:fldCharType="begin"/>
        </w:r>
        <w:r w:rsidRPr="0025674E">
          <w:rPr>
            <w:rFonts w:ascii="Verdana" w:hAnsi="Verdana"/>
            <w:sz w:val="20"/>
            <w:szCs w:val="20"/>
          </w:rPr>
          <w:instrText xml:space="preserve"> PAGE   \* MERGEFORMAT </w:instrText>
        </w:r>
        <w:r w:rsidRPr="0025674E">
          <w:rPr>
            <w:rFonts w:ascii="Verdana" w:hAnsi="Verdana"/>
            <w:sz w:val="20"/>
            <w:szCs w:val="20"/>
          </w:rPr>
          <w:fldChar w:fldCharType="separate"/>
        </w:r>
        <w:r w:rsidR="00A82919">
          <w:rPr>
            <w:rFonts w:ascii="Verdana" w:hAnsi="Verdana"/>
            <w:noProof/>
            <w:sz w:val="20"/>
            <w:szCs w:val="20"/>
          </w:rPr>
          <w:t>1</w:t>
        </w:r>
        <w:r w:rsidRPr="0025674E">
          <w:rPr>
            <w:rFonts w:ascii="Verdana" w:hAnsi="Verdana"/>
            <w:noProof/>
            <w:sz w:val="20"/>
            <w:szCs w:val="20"/>
          </w:rPr>
          <w:fldChar w:fldCharType="end"/>
        </w:r>
      </w:p>
    </w:sdtContent>
  </w:sdt>
  <w:p w14:paraId="243242E4" w14:textId="77777777" w:rsidR="00911B0A" w:rsidRDefault="00911B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3242DC" w14:textId="77777777" w:rsidR="00911B0A" w:rsidRDefault="00911B0A" w:rsidP="00906C88">
      <w:pPr>
        <w:spacing w:after="0" w:line="240" w:lineRule="auto"/>
      </w:pPr>
      <w:r>
        <w:separator/>
      </w:r>
    </w:p>
  </w:footnote>
  <w:footnote w:type="continuationSeparator" w:id="0">
    <w:p w14:paraId="243242DD" w14:textId="77777777" w:rsidR="00911B0A" w:rsidRDefault="00911B0A" w:rsidP="00906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3242E1" w14:textId="445A319A" w:rsidR="00911B0A" w:rsidRPr="00CA6E44" w:rsidRDefault="005014CC" w:rsidP="00C16E93">
    <w:pPr>
      <w:pStyle w:val="Header"/>
      <w:tabs>
        <w:tab w:val="clear" w:pos="4680"/>
        <w:tab w:val="clear" w:pos="9360"/>
        <w:tab w:val="left" w:pos="8192"/>
      </w:tabs>
      <w:rPr>
        <w:sz w:val="20"/>
        <w:szCs w:val="20"/>
      </w:rPr>
    </w:pPr>
    <w:r>
      <w:tab/>
    </w:r>
    <w:r w:rsidRPr="00CA6E44">
      <w:rPr>
        <w:sz w:val="20"/>
        <w:szCs w:val="20"/>
      </w:rPr>
      <w:t>11/1</w:t>
    </w:r>
    <w:r w:rsidR="0025674E">
      <w:rPr>
        <w:sz w:val="20"/>
        <w:szCs w:val="20"/>
      </w:rPr>
      <w:t>7</w:t>
    </w:r>
    <w:r w:rsidR="00911B0A" w:rsidRPr="00CA6E44">
      <w:rPr>
        <w:sz w:val="20"/>
        <w:szCs w:val="20"/>
      </w:rPr>
      <w:t>/2014 (Form 3</w:t>
    </w:r>
    <w:r w:rsidR="0025674E">
      <w:rPr>
        <w:sz w:val="20"/>
        <w:szCs w:val="20"/>
      </w:rPr>
      <w:t>d</w:t>
    </w:r>
    <w:r w:rsidR="00911B0A" w:rsidRPr="00CA6E44">
      <w:rPr>
        <w:sz w:val="20"/>
        <w:szCs w:val="20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705B3"/>
    <w:multiLevelType w:val="hybridMultilevel"/>
    <w:tmpl w:val="96469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420A3"/>
    <w:multiLevelType w:val="hybridMultilevel"/>
    <w:tmpl w:val="87182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13111"/>
    <w:multiLevelType w:val="hybridMultilevel"/>
    <w:tmpl w:val="41C20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02EA2"/>
    <w:multiLevelType w:val="hybridMultilevel"/>
    <w:tmpl w:val="6F9C1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93145"/>
    <w:multiLevelType w:val="hybridMultilevel"/>
    <w:tmpl w:val="362EDDD2"/>
    <w:lvl w:ilvl="0" w:tplc="46B886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36A9E"/>
    <w:multiLevelType w:val="hybridMultilevel"/>
    <w:tmpl w:val="ED9C1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A6499"/>
    <w:multiLevelType w:val="hybridMultilevel"/>
    <w:tmpl w:val="FE5E278E"/>
    <w:lvl w:ilvl="0" w:tplc="986A9B6E">
      <w:start w:val="8"/>
      <w:numFmt w:val="bullet"/>
      <w:lvlText w:val="-"/>
      <w:lvlJc w:val="left"/>
      <w:pPr>
        <w:ind w:left="180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A463190"/>
    <w:multiLevelType w:val="hybridMultilevel"/>
    <w:tmpl w:val="36641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257A8"/>
    <w:multiLevelType w:val="hybridMultilevel"/>
    <w:tmpl w:val="40F42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F46AC"/>
    <w:multiLevelType w:val="hybridMultilevel"/>
    <w:tmpl w:val="E2A4546A"/>
    <w:lvl w:ilvl="0" w:tplc="3C504C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C42B5C2">
      <w:start w:val="1"/>
      <w:numFmt w:val="decimal"/>
      <w:lvlText w:val="%2."/>
      <w:lvlJc w:val="left"/>
      <w:pPr>
        <w:ind w:left="1440" w:hanging="360"/>
      </w:pPr>
      <w:rPr>
        <w:rFonts w:ascii="Verdana" w:eastAsiaTheme="minorHAnsi" w:hAnsi="Verdana" w:cstheme="minorBidi"/>
      </w:rPr>
    </w:lvl>
    <w:lvl w:ilvl="2" w:tplc="986A9B6E">
      <w:start w:val="8"/>
      <w:numFmt w:val="bullet"/>
      <w:lvlText w:val="-"/>
      <w:lvlJc w:val="left"/>
      <w:pPr>
        <w:ind w:left="2340" w:hanging="360"/>
      </w:pPr>
      <w:rPr>
        <w:rFonts w:ascii="Verdana" w:eastAsiaTheme="minorHAnsi" w:hAnsi="Verdana" w:cstheme="minorBid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1F7EC6"/>
    <w:multiLevelType w:val="hybridMultilevel"/>
    <w:tmpl w:val="8D821826"/>
    <w:lvl w:ilvl="0" w:tplc="986A9B6E">
      <w:start w:val="8"/>
      <w:numFmt w:val="bullet"/>
      <w:lvlText w:val="-"/>
      <w:lvlJc w:val="left"/>
      <w:pPr>
        <w:ind w:left="180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2551C35"/>
    <w:multiLevelType w:val="hybridMultilevel"/>
    <w:tmpl w:val="39E6BC6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1B49EE"/>
    <w:multiLevelType w:val="hybridMultilevel"/>
    <w:tmpl w:val="16982BBC"/>
    <w:lvl w:ilvl="0" w:tplc="986A9B6E">
      <w:start w:val="8"/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0F5AF7"/>
    <w:multiLevelType w:val="hybridMultilevel"/>
    <w:tmpl w:val="058AB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4D6F37"/>
    <w:multiLevelType w:val="multilevel"/>
    <w:tmpl w:val="E2C40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AD472E"/>
    <w:multiLevelType w:val="hybridMultilevel"/>
    <w:tmpl w:val="F6640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87E4D"/>
    <w:multiLevelType w:val="hybridMultilevel"/>
    <w:tmpl w:val="3B4A0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835E70"/>
    <w:multiLevelType w:val="hybridMultilevel"/>
    <w:tmpl w:val="98FA3E66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780533"/>
    <w:multiLevelType w:val="hybridMultilevel"/>
    <w:tmpl w:val="6B620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17E88"/>
    <w:multiLevelType w:val="hybridMultilevel"/>
    <w:tmpl w:val="12E08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502485"/>
    <w:multiLevelType w:val="hybridMultilevel"/>
    <w:tmpl w:val="B370542E"/>
    <w:lvl w:ilvl="0" w:tplc="C6D6AEB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7362844"/>
    <w:multiLevelType w:val="hybridMultilevel"/>
    <w:tmpl w:val="D5549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2F695D"/>
    <w:multiLevelType w:val="hybridMultilevel"/>
    <w:tmpl w:val="DAA0B7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506E89"/>
    <w:multiLevelType w:val="hybridMultilevel"/>
    <w:tmpl w:val="77B4A8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A9F0A3F"/>
    <w:multiLevelType w:val="hybridMultilevel"/>
    <w:tmpl w:val="A28EB4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A25205"/>
    <w:multiLevelType w:val="hybridMultilevel"/>
    <w:tmpl w:val="C456AA22"/>
    <w:lvl w:ilvl="0" w:tplc="4AA4E7B4">
      <w:start w:val="7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39398F"/>
    <w:multiLevelType w:val="hybridMultilevel"/>
    <w:tmpl w:val="BE507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765D69"/>
    <w:multiLevelType w:val="hybridMultilevel"/>
    <w:tmpl w:val="8528E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8D4B12"/>
    <w:multiLevelType w:val="hybridMultilevel"/>
    <w:tmpl w:val="83A498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FC48D8"/>
    <w:multiLevelType w:val="hybridMultilevel"/>
    <w:tmpl w:val="B87052B4"/>
    <w:lvl w:ilvl="0" w:tplc="42064F32">
      <w:start w:val="7"/>
      <w:numFmt w:val="decimal"/>
      <w:lvlText w:val="%1.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0" w15:restartNumberingAfterBreak="0">
    <w:nsid w:val="5F8F4A69"/>
    <w:multiLevelType w:val="hybridMultilevel"/>
    <w:tmpl w:val="95E63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E869AE"/>
    <w:multiLevelType w:val="hybridMultilevel"/>
    <w:tmpl w:val="2F02B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3E28B9"/>
    <w:multiLevelType w:val="hybridMultilevel"/>
    <w:tmpl w:val="6DAE3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8F1574"/>
    <w:multiLevelType w:val="hybridMultilevel"/>
    <w:tmpl w:val="50985A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9572C7"/>
    <w:multiLevelType w:val="hybridMultilevel"/>
    <w:tmpl w:val="B1906750"/>
    <w:lvl w:ilvl="0" w:tplc="7C149BFA">
      <w:start w:val="1"/>
      <w:numFmt w:val="decimal"/>
      <w:lvlText w:val="%1."/>
      <w:lvlJc w:val="left"/>
      <w:pPr>
        <w:ind w:left="720" w:hanging="360"/>
      </w:pPr>
    </w:lvl>
    <w:lvl w:ilvl="1" w:tplc="986A9B6E">
      <w:start w:val="8"/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27BC1"/>
    <w:multiLevelType w:val="hybridMultilevel"/>
    <w:tmpl w:val="D9CE4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2"/>
  </w:num>
  <w:num w:numId="3">
    <w:abstractNumId w:val="15"/>
  </w:num>
  <w:num w:numId="4">
    <w:abstractNumId w:val="23"/>
  </w:num>
  <w:num w:numId="5">
    <w:abstractNumId w:val="21"/>
  </w:num>
  <w:num w:numId="6">
    <w:abstractNumId w:val="19"/>
  </w:num>
  <w:num w:numId="7">
    <w:abstractNumId w:val="26"/>
  </w:num>
  <w:num w:numId="8">
    <w:abstractNumId w:val="9"/>
  </w:num>
  <w:num w:numId="9">
    <w:abstractNumId w:val="11"/>
  </w:num>
  <w:num w:numId="10">
    <w:abstractNumId w:val="17"/>
  </w:num>
  <w:num w:numId="11">
    <w:abstractNumId w:val="30"/>
  </w:num>
  <w:num w:numId="12">
    <w:abstractNumId w:val="4"/>
  </w:num>
  <w:num w:numId="13">
    <w:abstractNumId w:val="20"/>
  </w:num>
  <w:num w:numId="14">
    <w:abstractNumId w:val="0"/>
  </w:num>
  <w:num w:numId="15">
    <w:abstractNumId w:val="8"/>
  </w:num>
  <w:num w:numId="16">
    <w:abstractNumId w:val="27"/>
  </w:num>
  <w:num w:numId="17">
    <w:abstractNumId w:val="1"/>
  </w:num>
  <w:num w:numId="18">
    <w:abstractNumId w:val="18"/>
  </w:num>
  <w:num w:numId="19">
    <w:abstractNumId w:val="2"/>
  </w:num>
  <w:num w:numId="20">
    <w:abstractNumId w:val="3"/>
  </w:num>
  <w:num w:numId="21">
    <w:abstractNumId w:val="10"/>
  </w:num>
  <w:num w:numId="22">
    <w:abstractNumId w:val="6"/>
  </w:num>
  <w:num w:numId="23">
    <w:abstractNumId w:val="12"/>
  </w:num>
  <w:num w:numId="24">
    <w:abstractNumId w:val="29"/>
  </w:num>
  <w:num w:numId="25">
    <w:abstractNumId w:val="24"/>
  </w:num>
  <w:num w:numId="26">
    <w:abstractNumId w:val="13"/>
  </w:num>
  <w:num w:numId="27">
    <w:abstractNumId w:val="14"/>
  </w:num>
  <w:num w:numId="28">
    <w:abstractNumId w:val="35"/>
  </w:num>
  <w:num w:numId="29">
    <w:abstractNumId w:val="16"/>
  </w:num>
  <w:num w:numId="30">
    <w:abstractNumId w:val="33"/>
  </w:num>
  <w:num w:numId="31">
    <w:abstractNumId w:val="28"/>
  </w:num>
  <w:num w:numId="32">
    <w:abstractNumId w:val="34"/>
  </w:num>
  <w:num w:numId="33">
    <w:abstractNumId w:val="31"/>
  </w:num>
  <w:num w:numId="34">
    <w:abstractNumId w:val="7"/>
  </w:num>
  <w:num w:numId="35">
    <w:abstractNumId w:val="25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92F"/>
    <w:rsid w:val="00002333"/>
    <w:rsid w:val="00006884"/>
    <w:rsid w:val="00015869"/>
    <w:rsid w:val="000273E0"/>
    <w:rsid w:val="0003183C"/>
    <w:rsid w:val="000413BE"/>
    <w:rsid w:val="00051E69"/>
    <w:rsid w:val="0005496A"/>
    <w:rsid w:val="00057764"/>
    <w:rsid w:val="00063843"/>
    <w:rsid w:val="00064017"/>
    <w:rsid w:val="00070353"/>
    <w:rsid w:val="00081309"/>
    <w:rsid w:val="000B2E76"/>
    <w:rsid w:val="000B42C3"/>
    <w:rsid w:val="000B5ADE"/>
    <w:rsid w:val="000C47B3"/>
    <w:rsid w:val="000D1B3D"/>
    <w:rsid w:val="000E2DF9"/>
    <w:rsid w:val="000E2F21"/>
    <w:rsid w:val="000E7741"/>
    <w:rsid w:val="000E7D61"/>
    <w:rsid w:val="000F492D"/>
    <w:rsid w:val="000F7728"/>
    <w:rsid w:val="001002AC"/>
    <w:rsid w:val="001006DA"/>
    <w:rsid w:val="00105E35"/>
    <w:rsid w:val="00112AEC"/>
    <w:rsid w:val="00113F86"/>
    <w:rsid w:val="00116B23"/>
    <w:rsid w:val="00117F94"/>
    <w:rsid w:val="00120557"/>
    <w:rsid w:val="00120694"/>
    <w:rsid w:val="001258BD"/>
    <w:rsid w:val="00150E0D"/>
    <w:rsid w:val="00152F75"/>
    <w:rsid w:val="0015300F"/>
    <w:rsid w:val="00153BA9"/>
    <w:rsid w:val="001760A1"/>
    <w:rsid w:val="0017616F"/>
    <w:rsid w:val="00190ABD"/>
    <w:rsid w:val="001A1218"/>
    <w:rsid w:val="001A3851"/>
    <w:rsid w:val="001B275F"/>
    <w:rsid w:val="001B507E"/>
    <w:rsid w:val="001B57EB"/>
    <w:rsid w:val="001D73DC"/>
    <w:rsid w:val="001E1A75"/>
    <w:rsid w:val="001E2279"/>
    <w:rsid w:val="001E2A54"/>
    <w:rsid w:val="001E2FE2"/>
    <w:rsid w:val="00200B91"/>
    <w:rsid w:val="00210BD9"/>
    <w:rsid w:val="002174F4"/>
    <w:rsid w:val="00240B9A"/>
    <w:rsid w:val="002431C5"/>
    <w:rsid w:val="00255BF6"/>
    <w:rsid w:val="002564B8"/>
    <w:rsid w:val="0025674E"/>
    <w:rsid w:val="00260F35"/>
    <w:rsid w:val="00262D39"/>
    <w:rsid w:val="002740AC"/>
    <w:rsid w:val="00292600"/>
    <w:rsid w:val="002A65BA"/>
    <w:rsid w:val="002B0C6C"/>
    <w:rsid w:val="002D4B2E"/>
    <w:rsid w:val="002D4D91"/>
    <w:rsid w:val="002E1484"/>
    <w:rsid w:val="00312998"/>
    <w:rsid w:val="00320585"/>
    <w:rsid w:val="00322F55"/>
    <w:rsid w:val="00325E7E"/>
    <w:rsid w:val="0033146E"/>
    <w:rsid w:val="003332E9"/>
    <w:rsid w:val="00337F6A"/>
    <w:rsid w:val="00345C03"/>
    <w:rsid w:val="0036371A"/>
    <w:rsid w:val="003676C8"/>
    <w:rsid w:val="0037174B"/>
    <w:rsid w:val="00375F61"/>
    <w:rsid w:val="003774C5"/>
    <w:rsid w:val="00380A74"/>
    <w:rsid w:val="00387513"/>
    <w:rsid w:val="00387760"/>
    <w:rsid w:val="0039284F"/>
    <w:rsid w:val="003A3232"/>
    <w:rsid w:val="003B68CC"/>
    <w:rsid w:val="003C1032"/>
    <w:rsid w:val="003C40D6"/>
    <w:rsid w:val="003D14DC"/>
    <w:rsid w:val="003D6DDB"/>
    <w:rsid w:val="003E1675"/>
    <w:rsid w:val="003E17B9"/>
    <w:rsid w:val="003E533D"/>
    <w:rsid w:val="003F1285"/>
    <w:rsid w:val="00400752"/>
    <w:rsid w:val="00404385"/>
    <w:rsid w:val="00421212"/>
    <w:rsid w:val="00432893"/>
    <w:rsid w:val="00433DFE"/>
    <w:rsid w:val="00454824"/>
    <w:rsid w:val="004676A3"/>
    <w:rsid w:val="0047398D"/>
    <w:rsid w:val="00493B39"/>
    <w:rsid w:val="004956D6"/>
    <w:rsid w:val="004C18E3"/>
    <w:rsid w:val="004D3CFA"/>
    <w:rsid w:val="004E3F3A"/>
    <w:rsid w:val="004E6DD0"/>
    <w:rsid w:val="005014CC"/>
    <w:rsid w:val="005057CB"/>
    <w:rsid w:val="00513D57"/>
    <w:rsid w:val="00526117"/>
    <w:rsid w:val="0054640E"/>
    <w:rsid w:val="00551BAB"/>
    <w:rsid w:val="005525BD"/>
    <w:rsid w:val="00552D4B"/>
    <w:rsid w:val="005624EB"/>
    <w:rsid w:val="0056368A"/>
    <w:rsid w:val="005755B8"/>
    <w:rsid w:val="00577A6C"/>
    <w:rsid w:val="00584132"/>
    <w:rsid w:val="00586E16"/>
    <w:rsid w:val="00597BE5"/>
    <w:rsid w:val="005A6115"/>
    <w:rsid w:val="005B393F"/>
    <w:rsid w:val="005C2F7A"/>
    <w:rsid w:val="005C639A"/>
    <w:rsid w:val="005C668E"/>
    <w:rsid w:val="005D3089"/>
    <w:rsid w:val="005E01B1"/>
    <w:rsid w:val="005E057D"/>
    <w:rsid w:val="005E56B6"/>
    <w:rsid w:val="005E753A"/>
    <w:rsid w:val="005F5FB3"/>
    <w:rsid w:val="0063773D"/>
    <w:rsid w:val="006403F2"/>
    <w:rsid w:val="0064469D"/>
    <w:rsid w:val="00645452"/>
    <w:rsid w:val="00655DC9"/>
    <w:rsid w:val="00661873"/>
    <w:rsid w:val="00661C2A"/>
    <w:rsid w:val="00684D9B"/>
    <w:rsid w:val="006B7864"/>
    <w:rsid w:val="006D1422"/>
    <w:rsid w:val="006D2E32"/>
    <w:rsid w:val="006D4428"/>
    <w:rsid w:val="006E2501"/>
    <w:rsid w:val="006E3CE5"/>
    <w:rsid w:val="006E499A"/>
    <w:rsid w:val="00717848"/>
    <w:rsid w:val="00755B9D"/>
    <w:rsid w:val="00767191"/>
    <w:rsid w:val="007737BF"/>
    <w:rsid w:val="007B76D0"/>
    <w:rsid w:val="007C16AD"/>
    <w:rsid w:val="007C5DEE"/>
    <w:rsid w:val="007D4817"/>
    <w:rsid w:val="007E7EAD"/>
    <w:rsid w:val="008034DC"/>
    <w:rsid w:val="00816FEA"/>
    <w:rsid w:val="00820DB7"/>
    <w:rsid w:val="008226B1"/>
    <w:rsid w:val="008521FA"/>
    <w:rsid w:val="00883DCA"/>
    <w:rsid w:val="00884CF3"/>
    <w:rsid w:val="00887259"/>
    <w:rsid w:val="008A2395"/>
    <w:rsid w:val="008A7647"/>
    <w:rsid w:val="008B4BCF"/>
    <w:rsid w:val="008C28D9"/>
    <w:rsid w:val="008C692F"/>
    <w:rsid w:val="008D4C29"/>
    <w:rsid w:val="008E2A97"/>
    <w:rsid w:val="008E46FE"/>
    <w:rsid w:val="008F756E"/>
    <w:rsid w:val="00906C88"/>
    <w:rsid w:val="00911B0A"/>
    <w:rsid w:val="00914DB1"/>
    <w:rsid w:val="00926053"/>
    <w:rsid w:val="00945E55"/>
    <w:rsid w:val="009466E3"/>
    <w:rsid w:val="009651A1"/>
    <w:rsid w:val="009841FF"/>
    <w:rsid w:val="009A09B7"/>
    <w:rsid w:val="009A0AED"/>
    <w:rsid w:val="009C740D"/>
    <w:rsid w:val="009E6881"/>
    <w:rsid w:val="00A0132C"/>
    <w:rsid w:val="00A02C4B"/>
    <w:rsid w:val="00A05413"/>
    <w:rsid w:val="00A21BD3"/>
    <w:rsid w:val="00A46EBB"/>
    <w:rsid w:val="00A51264"/>
    <w:rsid w:val="00A616F9"/>
    <w:rsid w:val="00A62D49"/>
    <w:rsid w:val="00A71934"/>
    <w:rsid w:val="00A82919"/>
    <w:rsid w:val="00A93B83"/>
    <w:rsid w:val="00A975CE"/>
    <w:rsid w:val="00AA3EAC"/>
    <w:rsid w:val="00AB5426"/>
    <w:rsid w:val="00AC4CDD"/>
    <w:rsid w:val="00AD3E59"/>
    <w:rsid w:val="00AD7C0D"/>
    <w:rsid w:val="00AE45FA"/>
    <w:rsid w:val="00AF191F"/>
    <w:rsid w:val="00AF27EB"/>
    <w:rsid w:val="00B26BEA"/>
    <w:rsid w:val="00B276C6"/>
    <w:rsid w:val="00B32AA9"/>
    <w:rsid w:val="00B351DD"/>
    <w:rsid w:val="00B37768"/>
    <w:rsid w:val="00B46ED0"/>
    <w:rsid w:val="00B55735"/>
    <w:rsid w:val="00B607EB"/>
    <w:rsid w:val="00B62815"/>
    <w:rsid w:val="00B7041E"/>
    <w:rsid w:val="00B87730"/>
    <w:rsid w:val="00BA2BD8"/>
    <w:rsid w:val="00BB5369"/>
    <w:rsid w:val="00BC1609"/>
    <w:rsid w:val="00BC3F9A"/>
    <w:rsid w:val="00C031D9"/>
    <w:rsid w:val="00C16E93"/>
    <w:rsid w:val="00C253C0"/>
    <w:rsid w:val="00C310DC"/>
    <w:rsid w:val="00C31840"/>
    <w:rsid w:val="00C368E1"/>
    <w:rsid w:val="00C42AD1"/>
    <w:rsid w:val="00C44D25"/>
    <w:rsid w:val="00C618E4"/>
    <w:rsid w:val="00C62A37"/>
    <w:rsid w:val="00C7153F"/>
    <w:rsid w:val="00C91A9E"/>
    <w:rsid w:val="00CA6E44"/>
    <w:rsid w:val="00CB62A0"/>
    <w:rsid w:val="00CB6F57"/>
    <w:rsid w:val="00CD026E"/>
    <w:rsid w:val="00CD3391"/>
    <w:rsid w:val="00CE03E3"/>
    <w:rsid w:val="00CF24F4"/>
    <w:rsid w:val="00D00198"/>
    <w:rsid w:val="00D0324D"/>
    <w:rsid w:val="00D0783E"/>
    <w:rsid w:val="00D13EE7"/>
    <w:rsid w:val="00D31007"/>
    <w:rsid w:val="00D33CB5"/>
    <w:rsid w:val="00D37A2D"/>
    <w:rsid w:val="00D508DA"/>
    <w:rsid w:val="00D552F2"/>
    <w:rsid w:val="00D72C81"/>
    <w:rsid w:val="00D74CA9"/>
    <w:rsid w:val="00D758CA"/>
    <w:rsid w:val="00D77D3E"/>
    <w:rsid w:val="00D96955"/>
    <w:rsid w:val="00DA76A6"/>
    <w:rsid w:val="00DC14CC"/>
    <w:rsid w:val="00DC57CC"/>
    <w:rsid w:val="00DC792B"/>
    <w:rsid w:val="00DD28A7"/>
    <w:rsid w:val="00DE1358"/>
    <w:rsid w:val="00DE3EEC"/>
    <w:rsid w:val="00DE5643"/>
    <w:rsid w:val="00DF5D0B"/>
    <w:rsid w:val="00DF76C7"/>
    <w:rsid w:val="00E1245F"/>
    <w:rsid w:val="00E130E1"/>
    <w:rsid w:val="00E14FA1"/>
    <w:rsid w:val="00E2498A"/>
    <w:rsid w:val="00E261C9"/>
    <w:rsid w:val="00E35D09"/>
    <w:rsid w:val="00E637A9"/>
    <w:rsid w:val="00E94A98"/>
    <w:rsid w:val="00E9565D"/>
    <w:rsid w:val="00E96DA5"/>
    <w:rsid w:val="00E97DEA"/>
    <w:rsid w:val="00EB425F"/>
    <w:rsid w:val="00EC3131"/>
    <w:rsid w:val="00EC4301"/>
    <w:rsid w:val="00ED7689"/>
    <w:rsid w:val="00EE0F85"/>
    <w:rsid w:val="00EE4C04"/>
    <w:rsid w:val="00EF0749"/>
    <w:rsid w:val="00F1292F"/>
    <w:rsid w:val="00F16844"/>
    <w:rsid w:val="00F33BBA"/>
    <w:rsid w:val="00F35570"/>
    <w:rsid w:val="00F504FD"/>
    <w:rsid w:val="00F5229C"/>
    <w:rsid w:val="00F618FA"/>
    <w:rsid w:val="00F82E51"/>
    <w:rsid w:val="00F94D4F"/>
    <w:rsid w:val="00F95303"/>
    <w:rsid w:val="00FA25BC"/>
    <w:rsid w:val="00FB0278"/>
    <w:rsid w:val="00FC6F98"/>
    <w:rsid w:val="00FD4294"/>
    <w:rsid w:val="00FF5481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4323F2C"/>
  <w15:docId w15:val="{C9B12368-B780-407F-B390-1A72EBD2F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D55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52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0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C88"/>
  </w:style>
  <w:style w:type="paragraph" w:styleId="Footer">
    <w:name w:val="footer"/>
    <w:basedOn w:val="Normal"/>
    <w:link w:val="FooterChar"/>
    <w:unhideWhenUsed/>
    <w:rsid w:val="0090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C88"/>
  </w:style>
  <w:style w:type="paragraph" w:styleId="ListParagraph">
    <w:name w:val="List Paragraph"/>
    <w:basedOn w:val="Normal"/>
    <w:uiPriority w:val="34"/>
    <w:qFormat/>
    <w:rsid w:val="00513D57"/>
    <w:pPr>
      <w:ind w:left="720"/>
      <w:contextualSpacing/>
    </w:pPr>
  </w:style>
  <w:style w:type="paragraph" w:styleId="NoSpacing">
    <w:name w:val="No Spacing"/>
    <w:uiPriority w:val="1"/>
    <w:qFormat/>
    <w:rsid w:val="00D74CA9"/>
    <w:pPr>
      <w:spacing w:after="0" w:line="240" w:lineRule="auto"/>
    </w:pPr>
  </w:style>
  <w:style w:type="character" w:styleId="CommentReference">
    <w:name w:val="annotation reference"/>
    <w:basedOn w:val="DefaultParagraphFont"/>
    <w:unhideWhenUsed/>
    <w:rsid w:val="008034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34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34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8034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034D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D4B2E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rsid w:val="002174F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8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2174F4"/>
    <w:rPr>
      <w:rFonts w:ascii="Times New Roman" w:eastAsia="Times New Roman" w:hAnsi="Times New Roman" w:cs="Times New Roman"/>
      <w:b/>
      <w:bCs/>
      <w:sz w:val="48"/>
      <w:szCs w:val="24"/>
      <w:u w:val="single"/>
    </w:rPr>
  </w:style>
  <w:style w:type="table" w:styleId="TableGrid">
    <w:name w:val="Table Grid"/>
    <w:basedOn w:val="TableNormal"/>
    <w:uiPriority w:val="59"/>
    <w:rsid w:val="000D1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D026E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10B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dc.gov/vhf/ebola/exposure/monitoring-and-movement-of-persons-with-exposur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2DD22-C9AE-4F0F-956A-1BD13F602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1612</Words>
  <Characters>9189</Characters>
  <Application>Microsoft Office Word</Application>
  <DocSecurity>4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10780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McMillen, Amy (CDC/OID/NCEZID)</cp:lastModifiedBy>
  <cp:revision>2</cp:revision>
  <cp:lastPrinted>2014-11-07T18:20:00Z</cp:lastPrinted>
  <dcterms:created xsi:type="dcterms:W3CDTF">2015-06-26T14:19:00Z</dcterms:created>
  <dcterms:modified xsi:type="dcterms:W3CDTF">2015-06-26T14:19:00Z</dcterms:modified>
</cp:coreProperties>
</file>