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972" w:rsidRDefault="00EF4972" w:rsidP="009D4398">
      <w:pPr>
        <w:ind w:left="1440" w:firstLine="720"/>
      </w:pPr>
    </w:p>
    <w:p w:rsidR="00EF4972" w:rsidRDefault="00EF4972" w:rsidP="009D4398">
      <w:pPr>
        <w:ind w:left="1440" w:firstLine="720"/>
      </w:pPr>
      <w:r>
        <w:t xml:space="preserve">      </w:t>
      </w:r>
    </w:p>
    <w:p w:rsidR="00EF4972" w:rsidRPr="001F36AE" w:rsidRDefault="00EF4972" w:rsidP="009D4398">
      <w:pPr>
        <w:ind w:left="1440" w:firstLine="720"/>
        <w:rPr>
          <w:sz w:val="36"/>
          <w:szCs w:val="36"/>
        </w:rPr>
      </w:pPr>
      <w:r>
        <w:t xml:space="preserve">    </w:t>
      </w:r>
      <w:r w:rsidRPr="008D07FC">
        <w:rPr>
          <w:sz w:val="36"/>
          <w:szCs w:val="36"/>
        </w:rPr>
        <w:t xml:space="preserve"> </w:t>
      </w:r>
      <w:r w:rsidRPr="001F36AE">
        <w:rPr>
          <w:sz w:val="36"/>
          <w:szCs w:val="36"/>
        </w:rPr>
        <w:t xml:space="preserve">Supporting Statement </w:t>
      </w:r>
      <w:r w:rsidRPr="001F36AE">
        <w:rPr>
          <w:b/>
          <w:sz w:val="36"/>
          <w:szCs w:val="36"/>
        </w:rPr>
        <w:t>A</w:t>
      </w:r>
      <w:r w:rsidRPr="001F36AE">
        <w:rPr>
          <w:sz w:val="36"/>
          <w:szCs w:val="36"/>
        </w:rPr>
        <w:t xml:space="preserve"> for</w:t>
      </w:r>
    </w:p>
    <w:p w:rsidR="00EF4972" w:rsidRPr="00AF6EE5" w:rsidRDefault="00EF4972" w:rsidP="009D4398">
      <w:pPr>
        <w:ind w:left="1440" w:firstLine="720"/>
        <w:rPr>
          <w:sz w:val="32"/>
          <w:szCs w:val="32"/>
        </w:rPr>
      </w:pPr>
    </w:p>
    <w:p w:rsidR="00EF4972" w:rsidRPr="00AF6EE5" w:rsidRDefault="00EF4972" w:rsidP="009D4398">
      <w:pPr>
        <w:ind w:left="1440" w:firstLine="720"/>
        <w:rPr>
          <w:sz w:val="32"/>
          <w:szCs w:val="32"/>
        </w:rPr>
      </w:pPr>
      <w:r w:rsidRPr="00AF6EE5">
        <w:rPr>
          <w:sz w:val="32"/>
          <w:szCs w:val="32"/>
        </w:rPr>
        <w:t xml:space="preserve">         </w:t>
      </w:r>
    </w:p>
    <w:p w:rsidR="00EF4972" w:rsidRPr="00482181" w:rsidRDefault="00EF4972" w:rsidP="009D4398">
      <w:pPr>
        <w:rPr>
          <w:sz w:val="40"/>
          <w:szCs w:val="40"/>
        </w:rPr>
      </w:pPr>
    </w:p>
    <w:p w:rsidR="00482181" w:rsidRPr="006E2A2D" w:rsidRDefault="00EF4972" w:rsidP="006E2A2D">
      <w:pPr>
        <w:jc w:val="center"/>
        <w:rPr>
          <w:b/>
          <w:sz w:val="40"/>
          <w:szCs w:val="40"/>
        </w:rPr>
      </w:pPr>
      <w:r w:rsidRPr="006E2A2D">
        <w:rPr>
          <w:b/>
          <w:sz w:val="40"/>
          <w:szCs w:val="40"/>
        </w:rPr>
        <w:t xml:space="preserve">Generic Clearance to Conduct Voluntary </w:t>
      </w:r>
      <w:r w:rsidR="00482181" w:rsidRPr="006E2A2D">
        <w:rPr>
          <w:b/>
          <w:sz w:val="40"/>
          <w:szCs w:val="40"/>
        </w:rPr>
        <w:t xml:space="preserve">                   </w:t>
      </w:r>
      <w:r w:rsidR="008C07D8" w:rsidRPr="006E2A2D">
        <w:rPr>
          <w:b/>
          <w:sz w:val="40"/>
          <w:szCs w:val="40"/>
        </w:rPr>
        <w:t xml:space="preserve">   C</w:t>
      </w:r>
      <w:r w:rsidRPr="006E2A2D">
        <w:rPr>
          <w:b/>
          <w:sz w:val="40"/>
          <w:szCs w:val="40"/>
        </w:rPr>
        <w:t>ustomer/Partner Surveys (NLM)</w:t>
      </w:r>
    </w:p>
    <w:p w:rsidR="000A0F36" w:rsidRDefault="000A0F36" w:rsidP="00482181">
      <w:pPr>
        <w:rPr>
          <w:b/>
          <w:sz w:val="40"/>
          <w:szCs w:val="40"/>
        </w:rPr>
      </w:pPr>
      <w:r>
        <w:rPr>
          <w:b/>
          <w:sz w:val="40"/>
          <w:szCs w:val="40"/>
        </w:rPr>
        <w:tab/>
      </w:r>
      <w:r>
        <w:rPr>
          <w:b/>
          <w:sz w:val="40"/>
          <w:szCs w:val="40"/>
        </w:rPr>
        <w:tab/>
      </w:r>
      <w:r>
        <w:rPr>
          <w:b/>
          <w:sz w:val="40"/>
          <w:szCs w:val="40"/>
        </w:rPr>
        <w:tab/>
      </w:r>
      <w:r>
        <w:rPr>
          <w:b/>
          <w:sz w:val="40"/>
          <w:szCs w:val="40"/>
        </w:rPr>
        <w:tab/>
      </w:r>
    </w:p>
    <w:p w:rsidR="00482181" w:rsidRPr="000A0F36" w:rsidRDefault="000A0F36" w:rsidP="00482181">
      <w:pPr>
        <w:rPr>
          <w:b/>
          <w:sz w:val="28"/>
          <w:szCs w:val="28"/>
        </w:rPr>
      </w:pPr>
      <w:r>
        <w:rPr>
          <w:b/>
          <w:sz w:val="40"/>
          <w:szCs w:val="40"/>
        </w:rPr>
        <w:t xml:space="preserve"> </w:t>
      </w:r>
      <w:r>
        <w:rPr>
          <w:b/>
          <w:sz w:val="40"/>
          <w:szCs w:val="40"/>
        </w:rPr>
        <w:tab/>
      </w:r>
      <w:r>
        <w:rPr>
          <w:b/>
          <w:sz w:val="40"/>
          <w:szCs w:val="40"/>
        </w:rPr>
        <w:tab/>
      </w:r>
      <w:r>
        <w:rPr>
          <w:b/>
          <w:sz w:val="40"/>
          <w:szCs w:val="40"/>
        </w:rPr>
        <w:tab/>
      </w:r>
      <w:r>
        <w:rPr>
          <w:b/>
          <w:sz w:val="40"/>
          <w:szCs w:val="40"/>
        </w:rPr>
        <w:tab/>
      </w:r>
      <w:r>
        <w:rPr>
          <w:b/>
          <w:sz w:val="40"/>
          <w:szCs w:val="40"/>
        </w:rPr>
        <w:tab/>
        <w:t xml:space="preserve">   </w:t>
      </w:r>
      <w:r w:rsidRPr="000A0F36">
        <w:rPr>
          <w:b/>
          <w:sz w:val="28"/>
          <w:szCs w:val="28"/>
          <w:highlight w:val="yellow"/>
        </w:rPr>
        <w:t>EXTENSION</w:t>
      </w:r>
    </w:p>
    <w:p w:rsidR="000A0F36" w:rsidRPr="006E2A2D" w:rsidRDefault="000A0F36" w:rsidP="00482181">
      <w:pPr>
        <w:rPr>
          <w:b/>
          <w:sz w:val="40"/>
          <w:szCs w:val="40"/>
        </w:rPr>
      </w:pPr>
    </w:p>
    <w:p w:rsidR="00EF4972" w:rsidRPr="00710FD6" w:rsidRDefault="008C07D8" w:rsidP="00482181">
      <w:pPr>
        <w:ind w:left="2160" w:firstLine="720"/>
      </w:pPr>
      <w:r>
        <w:t xml:space="preserve">   </w:t>
      </w:r>
      <w:r w:rsidR="000A0F36">
        <w:t xml:space="preserve">       </w:t>
      </w:r>
      <w:r w:rsidR="00C664E0" w:rsidRPr="00710FD6">
        <w:t>(OMB Control #:0925-0476)</w:t>
      </w:r>
    </w:p>
    <w:p w:rsidR="00EF4972" w:rsidRPr="00482181" w:rsidRDefault="00EF4972" w:rsidP="009D4398">
      <w:pPr>
        <w:ind w:left="1440" w:firstLine="720"/>
        <w:rPr>
          <w:sz w:val="36"/>
          <w:szCs w:val="36"/>
        </w:rPr>
      </w:pPr>
    </w:p>
    <w:p w:rsidR="00EF4972" w:rsidRDefault="00EF4972" w:rsidP="009D4398">
      <w:pPr>
        <w:ind w:left="1440" w:firstLine="720"/>
        <w:rPr>
          <w:sz w:val="28"/>
          <w:szCs w:val="28"/>
        </w:rPr>
      </w:pPr>
    </w:p>
    <w:p w:rsidR="00EF4972" w:rsidRDefault="00EF4972" w:rsidP="009D4398">
      <w:pPr>
        <w:rPr>
          <w:sz w:val="28"/>
          <w:szCs w:val="28"/>
        </w:rPr>
      </w:pPr>
      <w:r>
        <w:t xml:space="preserve">     </w:t>
      </w:r>
      <w:r>
        <w:tab/>
      </w:r>
      <w:r>
        <w:tab/>
      </w:r>
      <w:r>
        <w:tab/>
      </w:r>
      <w:r>
        <w:tab/>
        <w:t xml:space="preserve">        </w:t>
      </w:r>
      <w:r w:rsidR="00AF2E2F">
        <w:t xml:space="preserve">   </w:t>
      </w:r>
      <w:r w:rsidR="00712F65">
        <w:rPr>
          <w:sz w:val="32"/>
          <w:szCs w:val="32"/>
        </w:rPr>
        <w:tab/>
      </w:r>
      <w:r w:rsidR="00712F65">
        <w:rPr>
          <w:sz w:val="32"/>
          <w:szCs w:val="32"/>
        </w:rPr>
        <w:tab/>
      </w:r>
      <w:r w:rsidR="00712F65">
        <w:rPr>
          <w:sz w:val="32"/>
          <w:szCs w:val="32"/>
        </w:rPr>
        <w:tab/>
      </w:r>
      <w:r w:rsidR="00712F65">
        <w:rPr>
          <w:sz w:val="32"/>
          <w:szCs w:val="32"/>
        </w:rPr>
        <w:tab/>
      </w:r>
      <w:r w:rsidR="00712F65">
        <w:rPr>
          <w:sz w:val="28"/>
          <w:szCs w:val="28"/>
        </w:rPr>
        <w:tab/>
      </w:r>
      <w:r w:rsidR="00476FD7">
        <w:rPr>
          <w:sz w:val="28"/>
          <w:szCs w:val="28"/>
        </w:rPr>
        <w:tab/>
      </w:r>
      <w:r w:rsidR="00476FD7">
        <w:rPr>
          <w:sz w:val="28"/>
          <w:szCs w:val="28"/>
        </w:rPr>
        <w:tab/>
      </w:r>
      <w:r w:rsidR="00476FD7">
        <w:rPr>
          <w:sz w:val="28"/>
          <w:szCs w:val="28"/>
        </w:rPr>
        <w:tab/>
      </w:r>
      <w:r w:rsidR="00476FD7">
        <w:rPr>
          <w:sz w:val="28"/>
          <w:szCs w:val="28"/>
        </w:rPr>
        <w:tab/>
      </w:r>
      <w:r w:rsidR="00C664E0">
        <w:rPr>
          <w:sz w:val="28"/>
          <w:szCs w:val="28"/>
        </w:rPr>
        <w:t xml:space="preserve">  </w:t>
      </w:r>
    </w:p>
    <w:p w:rsidR="009501AD" w:rsidRDefault="009501AD" w:rsidP="009D4398">
      <w:pPr>
        <w:rPr>
          <w:color w:val="0000FF"/>
          <w:sz w:val="32"/>
          <w:szCs w:val="32"/>
        </w:rPr>
      </w:pPr>
    </w:p>
    <w:p w:rsidR="00EF4972" w:rsidRDefault="00EF4972" w:rsidP="009D4398">
      <w:pPr>
        <w:rPr>
          <w:color w:val="0000FF"/>
          <w:sz w:val="32"/>
          <w:szCs w:val="32"/>
        </w:rPr>
      </w:pPr>
    </w:p>
    <w:p w:rsidR="00EF4972" w:rsidRDefault="00EF4972" w:rsidP="009D4398">
      <w:pPr>
        <w:rPr>
          <w:color w:val="0000FF"/>
          <w:sz w:val="32"/>
          <w:szCs w:val="32"/>
        </w:rPr>
      </w:pPr>
    </w:p>
    <w:p w:rsidR="00EF4972" w:rsidRDefault="00EF4972" w:rsidP="009D4398">
      <w:pPr>
        <w:rPr>
          <w:color w:val="0000FF"/>
          <w:sz w:val="32"/>
          <w:szCs w:val="32"/>
        </w:rPr>
      </w:pPr>
    </w:p>
    <w:p w:rsidR="00EF4972" w:rsidRDefault="00EF4972" w:rsidP="009D4398">
      <w:pPr>
        <w:rPr>
          <w:color w:val="0000FF"/>
          <w:sz w:val="32"/>
          <w:szCs w:val="32"/>
        </w:rPr>
      </w:pPr>
    </w:p>
    <w:p w:rsidR="00EF4972" w:rsidRDefault="00EF4972" w:rsidP="009D4398">
      <w:pPr>
        <w:rPr>
          <w:color w:val="0000FF"/>
          <w:sz w:val="32"/>
          <w:szCs w:val="32"/>
        </w:rPr>
      </w:pPr>
    </w:p>
    <w:p w:rsidR="00EF4972" w:rsidRDefault="00EF4972" w:rsidP="009D4398">
      <w:pPr>
        <w:rPr>
          <w:color w:val="0000FF"/>
          <w:sz w:val="32"/>
          <w:szCs w:val="32"/>
        </w:rPr>
      </w:pPr>
    </w:p>
    <w:p w:rsidR="00EF4972" w:rsidRDefault="00EF4972" w:rsidP="009D4398">
      <w:pPr>
        <w:rPr>
          <w:color w:val="0000FF"/>
          <w:sz w:val="32"/>
          <w:szCs w:val="32"/>
        </w:rPr>
      </w:pPr>
    </w:p>
    <w:p w:rsidR="00EF4972" w:rsidRDefault="00EF4972" w:rsidP="009D4398">
      <w:pPr>
        <w:rPr>
          <w:color w:val="0000FF"/>
          <w:sz w:val="32"/>
          <w:szCs w:val="32"/>
        </w:rPr>
      </w:pPr>
    </w:p>
    <w:p w:rsidR="00EF4972" w:rsidRPr="009501AD" w:rsidRDefault="009501AD" w:rsidP="009D4398">
      <w:r w:rsidRPr="009501AD">
        <w:t>Date;</w:t>
      </w:r>
      <w:r w:rsidRPr="009501AD">
        <w:tab/>
      </w:r>
      <w:r w:rsidRPr="009501AD">
        <w:tab/>
        <w:t xml:space="preserve">  </w:t>
      </w:r>
      <w:r w:rsidR="006D5A9F">
        <w:t xml:space="preserve">June </w:t>
      </w:r>
      <w:r w:rsidR="006D5A9F" w:rsidRPr="000C3CC7">
        <w:t>23</w:t>
      </w:r>
      <w:r w:rsidRPr="000C3CC7">
        <w:t>, 2</w:t>
      </w:r>
      <w:r w:rsidR="00DC3ED3" w:rsidRPr="000C3CC7">
        <w:t>015</w:t>
      </w:r>
    </w:p>
    <w:p w:rsidR="00EF4972" w:rsidRPr="00482181" w:rsidRDefault="00EF4972" w:rsidP="009D4398">
      <w:r w:rsidRPr="00482181">
        <w:t xml:space="preserve">Name: </w:t>
      </w:r>
      <w:r w:rsidRPr="00482181">
        <w:tab/>
        <w:t xml:space="preserve">  </w:t>
      </w:r>
      <w:r w:rsidR="00482181">
        <w:tab/>
        <w:t xml:space="preserve">  </w:t>
      </w:r>
      <w:r w:rsidRPr="00482181">
        <w:t>David Sharlip</w:t>
      </w:r>
      <w:r w:rsidRPr="00482181">
        <w:tab/>
      </w:r>
    </w:p>
    <w:p w:rsidR="00EF4972" w:rsidRPr="00482181" w:rsidRDefault="00EF4972" w:rsidP="009D4398">
      <w:r w:rsidRPr="00482181">
        <w:t xml:space="preserve">Address:  </w:t>
      </w:r>
      <w:r w:rsidRPr="00482181">
        <w:tab/>
        <w:t xml:space="preserve">  National Library of Medicine</w:t>
      </w:r>
    </w:p>
    <w:p w:rsidR="00EF4972" w:rsidRPr="00482181" w:rsidRDefault="00EF4972" w:rsidP="009D4398">
      <w:pPr>
        <w:ind w:left="720" w:firstLine="720"/>
      </w:pPr>
      <w:r w:rsidRPr="00482181">
        <w:t xml:space="preserve">  8600 Rockville Pike</w:t>
      </w:r>
    </w:p>
    <w:p w:rsidR="00EF4972" w:rsidRPr="00482181" w:rsidRDefault="00EF4972" w:rsidP="009D4398">
      <w:pPr>
        <w:ind w:left="720" w:firstLine="720"/>
      </w:pPr>
      <w:r w:rsidRPr="00482181">
        <w:t xml:space="preserve">  Bldg. 38A, Rm. B2N12</w:t>
      </w:r>
    </w:p>
    <w:p w:rsidR="00EF4972" w:rsidRPr="00482181" w:rsidRDefault="00EF4972" w:rsidP="009D4398">
      <w:pPr>
        <w:ind w:left="720" w:firstLine="720"/>
      </w:pPr>
      <w:r w:rsidRPr="00482181">
        <w:t xml:space="preserve">  Bethesda, MD 20894-3844</w:t>
      </w:r>
    </w:p>
    <w:p w:rsidR="00EF4972" w:rsidRPr="00482181" w:rsidRDefault="00EF4972" w:rsidP="009D4398">
      <w:r w:rsidRPr="00482181">
        <w:t xml:space="preserve">Telephone:     </w:t>
      </w:r>
      <w:r w:rsidR="00482181">
        <w:t xml:space="preserve">   </w:t>
      </w:r>
      <w:r w:rsidRPr="00482181">
        <w:t>301-402-9680</w:t>
      </w:r>
    </w:p>
    <w:p w:rsidR="00EF4972" w:rsidRPr="00482181" w:rsidRDefault="00EF4972" w:rsidP="009D4398">
      <w:r w:rsidRPr="00482181">
        <w:t>Fax:</w:t>
      </w:r>
      <w:r w:rsidRPr="00482181">
        <w:tab/>
      </w:r>
      <w:r w:rsidRPr="00482181">
        <w:tab/>
        <w:t xml:space="preserve">  301-402-0871</w:t>
      </w:r>
    </w:p>
    <w:p w:rsidR="00EF4972" w:rsidRPr="00482181" w:rsidRDefault="00EF4972" w:rsidP="009D4398">
      <w:r w:rsidRPr="00482181">
        <w:t>Email:</w:t>
      </w:r>
      <w:r w:rsidRPr="00482181">
        <w:tab/>
        <w:t xml:space="preserve">  </w:t>
      </w:r>
      <w:r w:rsidR="00482181">
        <w:t xml:space="preserve">          </w:t>
      </w:r>
      <w:r w:rsidR="009501AD">
        <w:t xml:space="preserve"> </w:t>
      </w:r>
      <w:r w:rsidR="00482181">
        <w:t xml:space="preserve"> </w:t>
      </w:r>
      <w:hyperlink r:id="rId8" w:history="1">
        <w:r w:rsidRPr="00482181">
          <w:rPr>
            <w:rStyle w:val="Hyperlink"/>
          </w:rPr>
          <w:t>sharlipd@nlm.nih.gov</w:t>
        </w:r>
      </w:hyperlink>
    </w:p>
    <w:p w:rsidR="00EF4972" w:rsidRDefault="00EF4972" w:rsidP="009D4398">
      <w:pPr>
        <w:rPr>
          <w:sz w:val="32"/>
          <w:szCs w:val="32"/>
        </w:rPr>
      </w:pPr>
    </w:p>
    <w:p w:rsidR="00EF4972" w:rsidRDefault="00EF4972" w:rsidP="009D4398">
      <w:pPr>
        <w:rPr>
          <w:sz w:val="32"/>
          <w:szCs w:val="32"/>
        </w:rPr>
      </w:pPr>
    </w:p>
    <w:p w:rsidR="00EF4972" w:rsidRDefault="00EF4972" w:rsidP="009D4398">
      <w:pPr>
        <w:rPr>
          <w:sz w:val="32"/>
          <w:szCs w:val="32"/>
        </w:rPr>
      </w:pPr>
    </w:p>
    <w:p w:rsidR="00EF4972" w:rsidRDefault="00EF4972" w:rsidP="009D4398">
      <w:pPr>
        <w:rPr>
          <w:sz w:val="32"/>
          <w:szCs w:val="32"/>
        </w:rPr>
      </w:pPr>
    </w:p>
    <w:p w:rsidR="00A3798B" w:rsidRDefault="00A3798B" w:rsidP="009D4398">
      <w:pPr>
        <w:rPr>
          <w:sz w:val="32"/>
          <w:szCs w:val="32"/>
        </w:rPr>
      </w:pPr>
    </w:p>
    <w:p w:rsidR="00EF4972" w:rsidRDefault="00EF4972" w:rsidP="009D4398">
      <w:pPr>
        <w:rPr>
          <w:sz w:val="32"/>
          <w:szCs w:val="32"/>
        </w:rPr>
      </w:pPr>
    </w:p>
    <w:p w:rsidR="00EF4972" w:rsidRPr="00144914" w:rsidRDefault="00EF4972" w:rsidP="00144914">
      <w:pPr>
        <w:tabs>
          <w:tab w:val="left" w:pos="3510"/>
        </w:tabs>
        <w:jc w:val="center"/>
        <w:rPr>
          <w:b/>
          <w:sz w:val="28"/>
          <w:szCs w:val="28"/>
        </w:rPr>
      </w:pPr>
      <w:bookmarkStart w:id="0" w:name="OLE_LINK3"/>
      <w:bookmarkStart w:id="1" w:name="OLE_LINK4"/>
      <w:r w:rsidRPr="00144914">
        <w:rPr>
          <w:b/>
          <w:sz w:val="28"/>
          <w:szCs w:val="28"/>
        </w:rPr>
        <w:t>Generic Clearance to Conduct Voluntary Customer/Partner Surveys (NLM)</w:t>
      </w:r>
    </w:p>
    <w:p w:rsidR="00EF4972" w:rsidRPr="00144914" w:rsidRDefault="00EF4972" w:rsidP="00144914">
      <w:pPr>
        <w:tabs>
          <w:tab w:val="left" w:pos="3510"/>
        </w:tabs>
        <w:jc w:val="center"/>
        <w:rPr>
          <w:b/>
          <w:sz w:val="28"/>
          <w:szCs w:val="28"/>
        </w:rPr>
      </w:pPr>
    </w:p>
    <w:bookmarkEnd w:id="0"/>
    <w:bookmarkEnd w:id="1"/>
    <w:p w:rsidR="00EF4972" w:rsidRDefault="00EF4972" w:rsidP="009D4398">
      <w:pPr>
        <w:tabs>
          <w:tab w:val="left" w:pos="3510"/>
        </w:tabs>
        <w:jc w:val="center"/>
        <w:rPr>
          <w:b/>
          <w:sz w:val="36"/>
          <w:szCs w:val="36"/>
        </w:rPr>
      </w:pPr>
      <w:r w:rsidRPr="0083354F">
        <w:rPr>
          <w:b/>
          <w:sz w:val="36"/>
          <w:szCs w:val="36"/>
        </w:rPr>
        <w:t>Table of contents</w:t>
      </w:r>
      <w:r w:rsidR="008071F7" w:rsidRPr="0083354F">
        <w:rPr>
          <w:b/>
          <w:sz w:val="36"/>
          <w:szCs w:val="36"/>
        </w:rPr>
        <w:t xml:space="preserve"> </w:t>
      </w:r>
    </w:p>
    <w:p w:rsidR="004543DB" w:rsidRDefault="004543DB" w:rsidP="009D4398">
      <w:pPr>
        <w:tabs>
          <w:tab w:val="left" w:pos="3510"/>
        </w:tabs>
        <w:jc w:val="center"/>
        <w:rPr>
          <w:b/>
          <w:sz w:val="36"/>
          <w:szCs w:val="36"/>
        </w:rPr>
      </w:pPr>
    </w:p>
    <w:p w:rsidR="00EF4972" w:rsidRPr="005B07A6" w:rsidRDefault="00796FFA" w:rsidP="009D4398">
      <w:pPr>
        <w:pStyle w:val="TOC1"/>
      </w:pPr>
      <w:r w:rsidRPr="005B07A6">
        <w:fldChar w:fldCharType="begin"/>
      </w:r>
      <w:r w:rsidR="00EF4972" w:rsidRPr="005B07A6">
        <w:instrText xml:space="preserve"> TOC \o "1-2" \u </w:instrText>
      </w:r>
      <w:r w:rsidRPr="005B07A6">
        <w:fldChar w:fldCharType="separate"/>
      </w:r>
      <w:r w:rsidR="00EF4972" w:rsidRPr="005B07A6">
        <w:t>A.</w:t>
      </w:r>
      <w:r w:rsidR="00EF4972">
        <w:tab/>
      </w:r>
      <w:r w:rsidR="00EF4972" w:rsidRPr="005B07A6">
        <w:t>JUSTIFICATION</w:t>
      </w:r>
      <w:r w:rsidR="00EF4972" w:rsidRPr="005B07A6">
        <w:tab/>
      </w:r>
      <w:r w:rsidR="00EF4972">
        <w:t>3</w:t>
      </w:r>
    </w:p>
    <w:p w:rsidR="00EF4972" w:rsidRPr="005B04FF" w:rsidRDefault="00EF4972" w:rsidP="009D4398">
      <w:pPr>
        <w:pStyle w:val="TOC2"/>
        <w:rPr>
          <w:noProof/>
          <w:sz w:val="24"/>
          <w:szCs w:val="24"/>
        </w:rPr>
      </w:pPr>
      <w:r w:rsidRPr="005B07A6">
        <w:rPr>
          <w:noProof/>
          <w:sz w:val="24"/>
          <w:szCs w:val="24"/>
        </w:rPr>
        <w:t>A.1</w:t>
      </w:r>
      <w:r w:rsidRPr="005B07A6">
        <w:rPr>
          <w:noProof/>
          <w:sz w:val="24"/>
          <w:szCs w:val="24"/>
        </w:rPr>
        <w:tab/>
        <w:t>Circumstances Making the Collection of Information Necessary</w:t>
      </w:r>
      <w:r w:rsidRPr="005B07A6">
        <w:rPr>
          <w:noProof/>
          <w:sz w:val="24"/>
          <w:szCs w:val="24"/>
        </w:rPr>
        <w:tab/>
      </w:r>
      <w:r w:rsidRPr="005B04FF">
        <w:rPr>
          <w:noProof/>
          <w:sz w:val="24"/>
          <w:szCs w:val="24"/>
        </w:rPr>
        <w:t>3</w:t>
      </w:r>
    </w:p>
    <w:p w:rsidR="00EF4972" w:rsidRPr="005B04FF" w:rsidRDefault="00EF4972" w:rsidP="009D4398">
      <w:pPr>
        <w:pStyle w:val="TOC2"/>
        <w:rPr>
          <w:noProof/>
          <w:sz w:val="24"/>
          <w:szCs w:val="24"/>
        </w:rPr>
      </w:pPr>
      <w:r w:rsidRPr="005B07A6">
        <w:rPr>
          <w:noProof/>
          <w:sz w:val="24"/>
          <w:szCs w:val="24"/>
        </w:rPr>
        <w:t>A.2.</w:t>
      </w:r>
      <w:r w:rsidRPr="005B07A6">
        <w:rPr>
          <w:noProof/>
          <w:sz w:val="24"/>
          <w:szCs w:val="24"/>
        </w:rPr>
        <w:tab/>
        <w:t xml:space="preserve">Purpose and Use of the Information </w:t>
      </w:r>
      <w:r>
        <w:rPr>
          <w:noProof/>
          <w:sz w:val="24"/>
          <w:szCs w:val="24"/>
        </w:rPr>
        <w:t>collection</w:t>
      </w:r>
      <w:r w:rsidRPr="005B07A6">
        <w:rPr>
          <w:noProof/>
          <w:sz w:val="24"/>
          <w:szCs w:val="24"/>
        </w:rPr>
        <w:tab/>
      </w:r>
      <w:r w:rsidRPr="005B04FF">
        <w:rPr>
          <w:noProof/>
          <w:sz w:val="24"/>
          <w:szCs w:val="24"/>
        </w:rPr>
        <w:t>4</w:t>
      </w:r>
    </w:p>
    <w:p w:rsidR="00EF4972" w:rsidRPr="005B07A6" w:rsidRDefault="00EF4972" w:rsidP="009D4398">
      <w:pPr>
        <w:pStyle w:val="TOC2"/>
        <w:rPr>
          <w:noProof/>
          <w:sz w:val="24"/>
          <w:szCs w:val="24"/>
        </w:rPr>
      </w:pPr>
      <w:r w:rsidRPr="005B07A6">
        <w:rPr>
          <w:noProof/>
          <w:sz w:val="24"/>
          <w:szCs w:val="24"/>
        </w:rPr>
        <w:t>A.3</w:t>
      </w:r>
      <w:r w:rsidRPr="005B07A6">
        <w:rPr>
          <w:noProof/>
          <w:sz w:val="24"/>
          <w:szCs w:val="24"/>
        </w:rPr>
        <w:tab/>
        <w:t>Use of Information Technology and Burden Reduction</w:t>
      </w:r>
      <w:r w:rsidRPr="005B07A6">
        <w:rPr>
          <w:noProof/>
          <w:sz w:val="24"/>
          <w:szCs w:val="24"/>
        </w:rPr>
        <w:tab/>
      </w:r>
      <w:r w:rsidR="008574CB">
        <w:rPr>
          <w:noProof/>
          <w:sz w:val="24"/>
          <w:szCs w:val="24"/>
        </w:rPr>
        <w:t>5</w:t>
      </w:r>
    </w:p>
    <w:p w:rsidR="00EF4972" w:rsidRPr="005B07A6" w:rsidRDefault="00EF4972" w:rsidP="009D4398">
      <w:pPr>
        <w:pStyle w:val="TOC2"/>
        <w:rPr>
          <w:noProof/>
          <w:sz w:val="24"/>
          <w:szCs w:val="24"/>
        </w:rPr>
      </w:pPr>
      <w:r w:rsidRPr="005B07A6">
        <w:rPr>
          <w:noProof/>
          <w:sz w:val="24"/>
          <w:szCs w:val="24"/>
        </w:rPr>
        <w:t>A.4</w:t>
      </w:r>
      <w:r w:rsidRPr="005B07A6">
        <w:rPr>
          <w:noProof/>
          <w:sz w:val="24"/>
          <w:szCs w:val="24"/>
        </w:rPr>
        <w:tab/>
        <w:t>Efforts to Identify Duplication and Use of Similar Information</w:t>
      </w:r>
      <w:r w:rsidRPr="005B07A6">
        <w:rPr>
          <w:noProof/>
          <w:sz w:val="24"/>
          <w:szCs w:val="24"/>
        </w:rPr>
        <w:tab/>
      </w:r>
      <w:r w:rsidR="008574CB">
        <w:rPr>
          <w:noProof/>
          <w:sz w:val="24"/>
          <w:szCs w:val="24"/>
        </w:rPr>
        <w:t>6</w:t>
      </w:r>
    </w:p>
    <w:p w:rsidR="00EF4972" w:rsidRPr="005B04FF" w:rsidRDefault="00EF4972" w:rsidP="009D4398">
      <w:pPr>
        <w:pStyle w:val="TOC2"/>
        <w:rPr>
          <w:noProof/>
          <w:sz w:val="24"/>
          <w:szCs w:val="24"/>
        </w:rPr>
      </w:pPr>
      <w:r w:rsidRPr="005B07A6">
        <w:rPr>
          <w:noProof/>
          <w:sz w:val="24"/>
          <w:szCs w:val="24"/>
        </w:rPr>
        <w:t>A.5</w:t>
      </w:r>
      <w:r w:rsidRPr="005B07A6">
        <w:rPr>
          <w:noProof/>
          <w:sz w:val="24"/>
          <w:szCs w:val="24"/>
        </w:rPr>
        <w:tab/>
        <w:t>Impact on Small Businesses or Other Small Entities</w:t>
      </w:r>
      <w:r w:rsidRPr="005B07A6">
        <w:rPr>
          <w:noProof/>
          <w:sz w:val="24"/>
          <w:szCs w:val="24"/>
        </w:rPr>
        <w:tab/>
      </w:r>
      <w:r w:rsidR="008574CB">
        <w:rPr>
          <w:noProof/>
          <w:sz w:val="24"/>
          <w:szCs w:val="24"/>
        </w:rPr>
        <w:t>6</w:t>
      </w:r>
    </w:p>
    <w:p w:rsidR="00EF4972" w:rsidRPr="005B07A6" w:rsidRDefault="00EF4972" w:rsidP="009D4398">
      <w:pPr>
        <w:pStyle w:val="TOC2"/>
        <w:rPr>
          <w:noProof/>
          <w:sz w:val="24"/>
          <w:szCs w:val="24"/>
        </w:rPr>
      </w:pPr>
      <w:r w:rsidRPr="005B07A6">
        <w:rPr>
          <w:noProof/>
          <w:sz w:val="24"/>
          <w:szCs w:val="24"/>
        </w:rPr>
        <w:t>A.6</w:t>
      </w:r>
      <w:r w:rsidRPr="005B07A6">
        <w:rPr>
          <w:noProof/>
          <w:sz w:val="24"/>
          <w:szCs w:val="24"/>
        </w:rPr>
        <w:tab/>
        <w:t>Consequences of Collecting the Information Less Frequently</w:t>
      </w:r>
      <w:r w:rsidRPr="005B07A6">
        <w:rPr>
          <w:noProof/>
          <w:sz w:val="24"/>
          <w:szCs w:val="24"/>
        </w:rPr>
        <w:tab/>
      </w:r>
      <w:r w:rsidR="008574CB">
        <w:rPr>
          <w:noProof/>
          <w:sz w:val="24"/>
          <w:szCs w:val="24"/>
        </w:rPr>
        <w:t>6</w:t>
      </w:r>
    </w:p>
    <w:p w:rsidR="00EF4972" w:rsidRPr="005B04FF" w:rsidRDefault="00EF4972" w:rsidP="009D4398">
      <w:pPr>
        <w:pStyle w:val="TOC2"/>
        <w:rPr>
          <w:noProof/>
          <w:sz w:val="24"/>
          <w:szCs w:val="24"/>
        </w:rPr>
      </w:pPr>
      <w:r w:rsidRPr="005B07A6">
        <w:rPr>
          <w:noProof/>
          <w:sz w:val="24"/>
          <w:szCs w:val="24"/>
        </w:rPr>
        <w:t>A.7</w:t>
      </w:r>
      <w:r w:rsidRPr="005B07A6">
        <w:rPr>
          <w:noProof/>
          <w:sz w:val="24"/>
          <w:szCs w:val="24"/>
        </w:rPr>
        <w:tab/>
        <w:t>Special Circumstances Relating to the Guidelines of 5 CFR 1320.5</w:t>
      </w:r>
      <w:r w:rsidRPr="005B07A6">
        <w:rPr>
          <w:noProof/>
          <w:sz w:val="24"/>
          <w:szCs w:val="24"/>
        </w:rPr>
        <w:tab/>
      </w:r>
      <w:r w:rsidR="008574CB">
        <w:rPr>
          <w:noProof/>
          <w:sz w:val="24"/>
          <w:szCs w:val="24"/>
        </w:rPr>
        <w:t>6</w:t>
      </w:r>
    </w:p>
    <w:p w:rsidR="00EF4972" w:rsidRPr="005B04FF" w:rsidRDefault="00EF4972" w:rsidP="009D4398">
      <w:pPr>
        <w:pStyle w:val="TOC2"/>
        <w:rPr>
          <w:noProof/>
          <w:sz w:val="24"/>
          <w:szCs w:val="24"/>
        </w:rPr>
      </w:pPr>
      <w:r w:rsidRPr="005B07A6">
        <w:rPr>
          <w:noProof/>
          <w:sz w:val="24"/>
          <w:szCs w:val="24"/>
        </w:rPr>
        <w:t>A.8</w:t>
      </w:r>
      <w:r w:rsidRPr="005B07A6">
        <w:rPr>
          <w:noProof/>
          <w:sz w:val="24"/>
          <w:szCs w:val="24"/>
        </w:rPr>
        <w:tab/>
        <w:t xml:space="preserve">Comments in Response to the Federal Register Notice and Efforts to Consult </w:t>
      </w:r>
      <w:r w:rsidRPr="00C966D2">
        <w:rPr>
          <w:noProof/>
          <w:sz w:val="24"/>
          <w:szCs w:val="24"/>
        </w:rPr>
        <w:t>Outside Agency</w:t>
      </w:r>
      <w:r w:rsidRPr="00C966D2">
        <w:rPr>
          <w:noProof/>
          <w:sz w:val="24"/>
          <w:szCs w:val="24"/>
        </w:rPr>
        <w:tab/>
      </w:r>
      <w:r w:rsidR="008574CB">
        <w:rPr>
          <w:noProof/>
          <w:sz w:val="24"/>
          <w:szCs w:val="24"/>
        </w:rPr>
        <w:t>6</w:t>
      </w:r>
    </w:p>
    <w:p w:rsidR="00EF4972" w:rsidRPr="005B04FF" w:rsidRDefault="00EF4972" w:rsidP="009D4398">
      <w:pPr>
        <w:pStyle w:val="TOC2"/>
        <w:rPr>
          <w:noProof/>
          <w:sz w:val="24"/>
          <w:szCs w:val="24"/>
        </w:rPr>
      </w:pPr>
      <w:r w:rsidRPr="005B07A6">
        <w:rPr>
          <w:noProof/>
          <w:sz w:val="24"/>
          <w:szCs w:val="24"/>
        </w:rPr>
        <w:t>A.9</w:t>
      </w:r>
      <w:r w:rsidRPr="005B07A6">
        <w:rPr>
          <w:noProof/>
          <w:sz w:val="24"/>
          <w:szCs w:val="24"/>
        </w:rPr>
        <w:tab/>
        <w:t>Explanation of Any Payment of Gift to Respondents</w:t>
      </w:r>
      <w:r w:rsidRPr="005B07A6">
        <w:rPr>
          <w:noProof/>
          <w:sz w:val="24"/>
          <w:szCs w:val="24"/>
        </w:rPr>
        <w:tab/>
      </w:r>
      <w:r w:rsidR="00C718D7">
        <w:rPr>
          <w:noProof/>
          <w:sz w:val="24"/>
          <w:szCs w:val="24"/>
        </w:rPr>
        <w:t>7</w:t>
      </w:r>
    </w:p>
    <w:p w:rsidR="00EF4972" w:rsidRPr="005B07A6" w:rsidRDefault="00EF4972" w:rsidP="009D4398">
      <w:pPr>
        <w:pStyle w:val="TOC2"/>
        <w:rPr>
          <w:noProof/>
          <w:sz w:val="24"/>
          <w:szCs w:val="24"/>
        </w:rPr>
      </w:pPr>
      <w:r w:rsidRPr="005B07A6">
        <w:rPr>
          <w:noProof/>
          <w:sz w:val="24"/>
          <w:szCs w:val="24"/>
        </w:rPr>
        <w:t>A.10</w:t>
      </w:r>
      <w:r w:rsidRPr="005B07A6">
        <w:rPr>
          <w:noProof/>
          <w:sz w:val="24"/>
          <w:szCs w:val="24"/>
        </w:rPr>
        <w:tab/>
        <w:t>Assurance of Confidentiality Provided to Respondents</w:t>
      </w:r>
      <w:r w:rsidRPr="005B07A6">
        <w:rPr>
          <w:noProof/>
          <w:sz w:val="24"/>
          <w:szCs w:val="24"/>
        </w:rPr>
        <w:tab/>
      </w:r>
      <w:r w:rsidR="008574CB">
        <w:rPr>
          <w:noProof/>
          <w:sz w:val="24"/>
          <w:szCs w:val="24"/>
        </w:rPr>
        <w:t>7</w:t>
      </w:r>
    </w:p>
    <w:p w:rsidR="00EF4972" w:rsidRPr="005B07A6" w:rsidRDefault="00EF4972" w:rsidP="009D4398">
      <w:pPr>
        <w:pStyle w:val="TOC2"/>
        <w:rPr>
          <w:noProof/>
          <w:sz w:val="24"/>
          <w:szCs w:val="24"/>
        </w:rPr>
      </w:pPr>
      <w:r w:rsidRPr="005B07A6">
        <w:rPr>
          <w:noProof/>
          <w:sz w:val="24"/>
          <w:szCs w:val="24"/>
        </w:rPr>
        <w:t>A.11</w:t>
      </w:r>
      <w:r w:rsidRPr="005B07A6">
        <w:rPr>
          <w:noProof/>
          <w:sz w:val="24"/>
          <w:szCs w:val="24"/>
        </w:rPr>
        <w:tab/>
        <w:t>Justification for Sensitive Questions</w:t>
      </w:r>
      <w:r w:rsidRPr="005B07A6">
        <w:rPr>
          <w:noProof/>
          <w:sz w:val="24"/>
          <w:szCs w:val="24"/>
        </w:rPr>
        <w:tab/>
      </w:r>
      <w:r w:rsidR="008574CB">
        <w:rPr>
          <w:noProof/>
          <w:sz w:val="24"/>
          <w:szCs w:val="24"/>
        </w:rPr>
        <w:t>7</w:t>
      </w:r>
    </w:p>
    <w:p w:rsidR="00EF4972" w:rsidRPr="005B04FF" w:rsidRDefault="00EF4972" w:rsidP="009D4398">
      <w:pPr>
        <w:pStyle w:val="TOC2"/>
        <w:rPr>
          <w:noProof/>
          <w:sz w:val="24"/>
          <w:szCs w:val="24"/>
        </w:rPr>
      </w:pPr>
      <w:r w:rsidRPr="005B07A6">
        <w:rPr>
          <w:noProof/>
          <w:sz w:val="24"/>
          <w:szCs w:val="24"/>
        </w:rPr>
        <w:t>A.12</w:t>
      </w:r>
      <w:r w:rsidRPr="005B07A6">
        <w:rPr>
          <w:noProof/>
          <w:sz w:val="24"/>
          <w:szCs w:val="24"/>
        </w:rPr>
        <w:tab/>
        <w:t>Estimates of Hour Burden Including Annualized Hourly Costs</w:t>
      </w:r>
      <w:r w:rsidRPr="005B07A6">
        <w:rPr>
          <w:noProof/>
          <w:sz w:val="24"/>
          <w:szCs w:val="24"/>
        </w:rPr>
        <w:tab/>
      </w:r>
      <w:r w:rsidR="008574CB">
        <w:rPr>
          <w:noProof/>
          <w:sz w:val="24"/>
          <w:szCs w:val="24"/>
        </w:rPr>
        <w:t>7</w:t>
      </w:r>
    </w:p>
    <w:p w:rsidR="00EF4972" w:rsidRPr="005B07A6" w:rsidRDefault="00EF4972" w:rsidP="009D4398">
      <w:pPr>
        <w:pStyle w:val="TOC2"/>
        <w:rPr>
          <w:noProof/>
          <w:sz w:val="24"/>
          <w:szCs w:val="24"/>
        </w:rPr>
      </w:pPr>
      <w:r w:rsidRPr="005B07A6">
        <w:rPr>
          <w:noProof/>
          <w:sz w:val="24"/>
          <w:szCs w:val="24"/>
        </w:rPr>
        <w:t>A.13</w:t>
      </w:r>
      <w:r w:rsidRPr="005B07A6">
        <w:rPr>
          <w:noProof/>
          <w:sz w:val="24"/>
          <w:szCs w:val="24"/>
        </w:rPr>
        <w:tab/>
        <w:t>Estimate of Other Total Annual Cost Burden to Respondents or Record</w:t>
      </w:r>
    </w:p>
    <w:p w:rsidR="00EF4972" w:rsidRPr="005B07A6" w:rsidRDefault="00EF4972" w:rsidP="009D4398">
      <w:pPr>
        <w:pStyle w:val="TOC2"/>
        <w:rPr>
          <w:noProof/>
          <w:sz w:val="24"/>
          <w:szCs w:val="24"/>
        </w:rPr>
      </w:pPr>
      <w:r w:rsidRPr="005B07A6">
        <w:rPr>
          <w:noProof/>
          <w:sz w:val="24"/>
          <w:szCs w:val="24"/>
        </w:rPr>
        <w:tab/>
        <w:t xml:space="preserve"> keepers</w:t>
      </w:r>
      <w:r w:rsidRPr="005B07A6">
        <w:rPr>
          <w:noProof/>
          <w:sz w:val="24"/>
          <w:szCs w:val="24"/>
        </w:rPr>
        <w:tab/>
      </w:r>
      <w:r w:rsidR="008574CB">
        <w:rPr>
          <w:noProof/>
          <w:sz w:val="24"/>
          <w:szCs w:val="24"/>
        </w:rPr>
        <w:t>8</w:t>
      </w:r>
    </w:p>
    <w:p w:rsidR="00EF4972" w:rsidRPr="005B07A6" w:rsidRDefault="00EF4972" w:rsidP="009D4398">
      <w:pPr>
        <w:pStyle w:val="TOC2"/>
        <w:rPr>
          <w:noProof/>
          <w:sz w:val="24"/>
          <w:szCs w:val="24"/>
        </w:rPr>
      </w:pPr>
      <w:r w:rsidRPr="005B07A6">
        <w:rPr>
          <w:noProof/>
          <w:sz w:val="24"/>
          <w:szCs w:val="24"/>
        </w:rPr>
        <w:t>A.14</w:t>
      </w:r>
      <w:r w:rsidRPr="005B07A6">
        <w:rPr>
          <w:noProof/>
          <w:sz w:val="24"/>
          <w:szCs w:val="24"/>
        </w:rPr>
        <w:tab/>
        <w:t>Annualized Cost to the Federal Government</w:t>
      </w:r>
      <w:r w:rsidRPr="005B07A6">
        <w:rPr>
          <w:noProof/>
          <w:sz w:val="24"/>
          <w:szCs w:val="24"/>
        </w:rPr>
        <w:tab/>
      </w:r>
      <w:r w:rsidR="00C718D7">
        <w:rPr>
          <w:noProof/>
          <w:sz w:val="24"/>
          <w:szCs w:val="24"/>
        </w:rPr>
        <w:t>9</w:t>
      </w:r>
    </w:p>
    <w:p w:rsidR="00EF4972" w:rsidRPr="005B07A6" w:rsidRDefault="00EF4972" w:rsidP="009D4398">
      <w:pPr>
        <w:pStyle w:val="TOC2"/>
        <w:rPr>
          <w:noProof/>
          <w:sz w:val="24"/>
          <w:szCs w:val="24"/>
        </w:rPr>
      </w:pPr>
      <w:r w:rsidRPr="005B07A6">
        <w:rPr>
          <w:noProof/>
          <w:sz w:val="24"/>
          <w:szCs w:val="24"/>
        </w:rPr>
        <w:t>A.15</w:t>
      </w:r>
      <w:r w:rsidRPr="005B07A6">
        <w:rPr>
          <w:noProof/>
          <w:sz w:val="24"/>
          <w:szCs w:val="24"/>
        </w:rPr>
        <w:tab/>
        <w:t>Explanation for Program Changes or Adjustments</w:t>
      </w:r>
      <w:r w:rsidRPr="005B07A6">
        <w:rPr>
          <w:noProof/>
          <w:sz w:val="24"/>
          <w:szCs w:val="24"/>
        </w:rPr>
        <w:tab/>
      </w:r>
      <w:r w:rsidR="00C718D7">
        <w:rPr>
          <w:noProof/>
          <w:sz w:val="24"/>
          <w:szCs w:val="24"/>
        </w:rPr>
        <w:t>9</w:t>
      </w:r>
    </w:p>
    <w:p w:rsidR="00EF4972" w:rsidRPr="005B07A6" w:rsidRDefault="00EF4972" w:rsidP="009D4398">
      <w:pPr>
        <w:pStyle w:val="TOC2"/>
        <w:rPr>
          <w:noProof/>
          <w:sz w:val="24"/>
          <w:szCs w:val="24"/>
        </w:rPr>
      </w:pPr>
      <w:r w:rsidRPr="005B07A6">
        <w:rPr>
          <w:noProof/>
          <w:sz w:val="24"/>
          <w:szCs w:val="24"/>
        </w:rPr>
        <w:t>A.16</w:t>
      </w:r>
      <w:r w:rsidRPr="005B07A6">
        <w:rPr>
          <w:noProof/>
          <w:sz w:val="24"/>
          <w:szCs w:val="24"/>
        </w:rPr>
        <w:tab/>
        <w:t>Plans for Tabulation and Publication and Project Time Schedule</w:t>
      </w:r>
      <w:r w:rsidRPr="005B07A6">
        <w:rPr>
          <w:noProof/>
          <w:sz w:val="24"/>
          <w:szCs w:val="24"/>
        </w:rPr>
        <w:tab/>
      </w:r>
      <w:r w:rsidR="00A250DD">
        <w:rPr>
          <w:noProof/>
          <w:sz w:val="24"/>
          <w:szCs w:val="24"/>
        </w:rPr>
        <w:t>10</w:t>
      </w:r>
    </w:p>
    <w:p w:rsidR="00EF4972" w:rsidRPr="005B07A6" w:rsidRDefault="00EF4972" w:rsidP="009D4398">
      <w:pPr>
        <w:pStyle w:val="TOC2"/>
        <w:rPr>
          <w:noProof/>
          <w:sz w:val="24"/>
          <w:szCs w:val="24"/>
        </w:rPr>
      </w:pPr>
      <w:r w:rsidRPr="005B07A6">
        <w:rPr>
          <w:noProof/>
          <w:sz w:val="24"/>
          <w:szCs w:val="24"/>
        </w:rPr>
        <w:t>A.17</w:t>
      </w:r>
      <w:r w:rsidRPr="005B07A6">
        <w:rPr>
          <w:noProof/>
          <w:sz w:val="24"/>
          <w:szCs w:val="24"/>
        </w:rPr>
        <w:tab/>
        <w:t>Reason(s) Display of OMB Expiration Date is Inappropriate</w:t>
      </w:r>
      <w:r w:rsidRPr="005B07A6">
        <w:rPr>
          <w:noProof/>
          <w:sz w:val="24"/>
          <w:szCs w:val="24"/>
        </w:rPr>
        <w:tab/>
      </w:r>
      <w:r w:rsidR="00D84EB7">
        <w:rPr>
          <w:noProof/>
          <w:sz w:val="24"/>
          <w:szCs w:val="24"/>
        </w:rPr>
        <w:t>10</w:t>
      </w:r>
    </w:p>
    <w:p w:rsidR="00EF4972" w:rsidRPr="005B04FF" w:rsidRDefault="00EF4972" w:rsidP="009D4398">
      <w:pPr>
        <w:pStyle w:val="TOC2"/>
        <w:rPr>
          <w:noProof/>
          <w:sz w:val="24"/>
          <w:szCs w:val="24"/>
        </w:rPr>
      </w:pPr>
      <w:r w:rsidRPr="005B07A6">
        <w:rPr>
          <w:noProof/>
          <w:sz w:val="24"/>
          <w:szCs w:val="24"/>
        </w:rPr>
        <w:t>A.18</w:t>
      </w:r>
      <w:r w:rsidRPr="005B07A6">
        <w:rPr>
          <w:noProof/>
          <w:sz w:val="24"/>
          <w:szCs w:val="24"/>
        </w:rPr>
        <w:tab/>
        <w:t>Exceptions to Certification for Paperwork Reduction Act Submissions</w:t>
      </w:r>
      <w:r w:rsidRPr="005B07A6">
        <w:rPr>
          <w:noProof/>
          <w:sz w:val="24"/>
          <w:szCs w:val="24"/>
        </w:rPr>
        <w:tab/>
      </w:r>
      <w:r w:rsidR="00C718D7">
        <w:rPr>
          <w:noProof/>
          <w:sz w:val="24"/>
          <w:szCs w:val="24"/>
        </w:rPr>
        <w:t>10</w:t>
      </w:r>
    </w:p>
    <w:p w:rsidR="00EF4972" w:rsidRDefault="00796FFA" w:rsidP="009D4398">
      <w:pPr>
        <w:rPr>
          <w:caps/>
          <w:noProof/>
        </w:rPr>
      </w:pPr>
      <w:r w:rsidRPr="005B07A6">
        <w:fldChar w:fldCharType="end"/>
      </w:r>
    </w:p>
    <w:p w:rsidR="00EF4972" w:rsidRPr="001611D9" w:rsidRDefault="00EF4972" w:rsidP="009D4398">
      <w:pPr>
        <w:rPr>
          <w:b/>
          <w:caps/>
          <w:noProof/>
          <w:sz w:val="20"/>
          <w:szCs w:val="20"/>
        </w:rPr>
      </w:pPr>
      <w:r w:rsidRPr="001611D9">
        <w:rPr>
          <w:b/>
          <w:caps/>
          <w:noProof/>
          <w:sz w:val="20"/>
          <w:szCs w:val="20"/>
        </w:rPr>
        <w:t xml:space="preserve">List of Attachments: </w:t>
      </w:r>
    </w:p>
    <w:p w:rsidR="00410FA7" w:rsidRPr="001611D9" w:rsidRDefault="00410FA7" w:rsidP="009D4398">
      <w:pPr>
        <w:rPr>
          <w:sz w:val="20"/>
          <w:szCs w:val="20"/>
        </w:rPr>
      </w:pPr>
    </w:p>
    <w:p w:rsidR="00846DD8" w:rsidRDefault="00EF4972" w:rsidP="009D4398">
      <w:r w:rsidRPr="001611D9">
        <w:t>Attachment 1 -   Example of approved NLM Survey</w:t>
      </w:r>
      <w:r w:rsidR="00252EC6">
        <w:t xml:space="preserve"> </w:t>
      </w:r>
      <w:r w:rsidRPr="001611D9">
        <w:t xml:space="preserve"> </w:t>
      </w:r>
    </w:p>
    <w:p w:rsidR="00EF4972" w:rsidRPr="001611D9" w:rsidRDefault="00EF4972" w:rsidP="009D4398">
      <w:r w:rsidRPr="001611D9">
        <w:t>Attachment 2 -   Example of approved NLM Survey Instrument</w:t>
      </w:r>
    </w:p>
    <w:p w:rsidR="00EF4972" w:rsidRPr="001611D9" w:rsidRDefault="00EF4972" w:rsidP="009D4398">
      <w:pPr>
        <w:rPr>
          <w:sz w:val="20"/>
          <w:szCs w:val="20"/>
        </w:rPr>
      </w:pPr>
    </w:p>
    <w:p w:rsidR="005B11E3" w:rsidRDefault="005B11E3" w:rsidP="009D4398"/>
    <w:p w:rsidR="0083354F" w:rsidRDefault="0083354F" w:rsidP="009D4398"/>
    <w:p w:rsidR="005B11E3" w:rsidRDefault="005B11E3" w:rsidP="009D4398"/>
    <w:p w:rsidR="00EF4972" w:rsidRDefault="00EF4972" w:rsidP="009D4398"/>
    <w:p w:rsidR="00EF4972" w:rsidRDefault="00EF4972" w:rsidP="00144914">
      <w:pPr>
        <w:tabs>
          <w:tab w:val="left" w:pos="3510"/>
        </w:tabs>
        <w:jc w:val="center"/>
        <w:rPr>
          <w:b/>
          <w:sz w:val="28"/>
          <w:szCs w:val="28"/>
        </w:rPr>
      </w:pPr>
      <w:r w:rsidRPr="00144914">
        <w:rPr>
          <w:b/>
          <w:sz w:val="28"/>
          <w:szCs w:val="28"/>
        </w:rPr>
        <w:t>Generic Clearance to Conduct Voluntary Customer/Partner Surveys (NLM)</w:t>
      </w:r>
    </w:p>
    <w:p w:rsidR="008856D9" w:rsidRPr="00144914" w:rsidRDefault="008856D9" w:rsidP="00144914">
      <w:pPr>
        <w:tabs>
          <w:tab w:val="left" w:pos="3510"/>
        </w:tabs>
        <w:jc w:val="center"/>
        <w:rPr>
          <w:b/>
          <w:sz w:val="28"/>
          <w:szCs w:val="28"/>
        </w:rPr>
      </w:pPr>
    </w:p>
    <w:p w:rsidR="00EF4972" w:rsidRPr="00144914" w:rsidRDefault="00EF4972" w:rsidP="00144914">
      <w:pPr>
        <w:tabs>
          <w:tab w:val="left" w:pos="3510"/>
        </w:tabs>
        <w:jc w:val="center"/>
        <w:rPr>
          <w:b/>
          <w:sz w:val="28"/>
          <w:szCs w:val="28"/>
        </w:rPr>
      </w:pPr>
    </w:p>
    <w:p w:rsidR="008856D9" w:rsidRDefault="00EF4972" w:rsidP="008856D9">
      <w:pPr>
        <w:spacing w:after="240"/>
        <w:rPr>
          <w:b/>
        </w:rPr>
      </w:pPr>
      <w:r w:rsidRPr="009170C5">
        <w:rPr>
          <w:b/>
        </w:rPr>
        <w:t xml:space="preserve">A. </w:t>
      </w:r>
      <w:r w:rsidRPr="009170C5">
        <w:rPr>
          <w:b/>
        </w:rPr>
        <w:tab/>
      </w:r>
      <w:r>
        <w:rPr>
          <w:b/>
        </w:rPr>
        <w:t>JUSTIFICATION</w:t>
      </w:r>
    </w:p>
    <w:p w:rsidR="00EF4972" w:rsidRDefault="00EF4972" w:rsidP="008856D9">
      <w:pPr>
        <w:spacing w:after="240"/>
      </w:pPr>
      <w:r>
        <w:br/>
      </w:r>
      <w:r>
        <w:rPr>
          <w:rStyle w:val="Strong"/>
        </w:rPr>
        <w:t>A.1</w:t>
      </w:r>
      <w:r>
        <w:rPr>
          <w:rStyle w:val="Strong"/>
        </w:rPr>
        <w:tab/>
        <w:t>Circumstances Making the Collection of Information Necessary</w:t>
      </w:r>
    </w:p>
    <w:p w:rsidR="00EF4972" w:rsidRDefault="00EF4972" w:rsidP="00973C55">
      <w:pPr>
        <w:pStyle w:val="NormalWeb"/>
        <w:ind w:left="720"/>
      </w:pPr>
      <w:r w:rsidRPr="003A3BED">
        <w:rPr>
          <w:highlight w:val="yellow"/>
        </w:rPr>
        <w:t xml:space="preserve">This is a request that the Office of Management and Budget (OMB) approve, under the Paperwork Reduction Act, an </w:t>
      </w:r>
      <w:r w:rsidRPr="003A3BED">
        <w:rPr>
          <w:b/>
          <w:highlight w:val="yellow"/>
        </w:rPr>
        <w:t>extension</w:t>
      </w:r>
      <w:r w:rsidRPr="003A3BED">
        <w:rPr>
          <w:highlight w:val="yellow"/>
        </w:rPr>
        <w:t xml:space="preserve"> of generic clearance </w:t>
      </w:r>
      <w:r w:rsidRPr="003A3BED">
        <w:rPr>
          <w:b/>
          <w:highlight w:val="yellow"/>
        </w:rPr>
        <w:t>OMB 0925-0476</w:t>
      </w:r>
      <w:r w:rsidRPr="003A3BED">
        <w:rPr>
          <w:highlight w:val="yellow"/>
        </w:rPr>
        <w:t xml:space="preserve"> for the National Library of Medicine (NLM) to conduct a number of customer satisfaction surveys to implement Executive Order 12862.</w:t>
      </w:r>
      <w:r>
        <w:t>  This order directs federal agencies that provide significant services directly to the public to survey customers to determine the kind and quality of services they want and their level of satisfaction with existing services.  The order also requires future surveys to continually assess the level of customer satisfaction.  </w:t>
      </w:r>
      <w:r w:rsidRPr="00D229E8">
        <w:t xml:space="preserve">The current OMB authorization to conduct surveys approved under this generic clearance will expire on </w:t>
      </w:r>
      <w:r w:rsidR="00AD1C74">
        <w:t>July 31</w:t>
      </w:r>
      <w:r w:rsidRPr="00D229E8">
        <w:t>, 20</w:t>
      </w:r>
      <w:r w:rsidR="003A6EE4">
        <w:t>1</w:t>
      </w:r>
      <w:r w:rsidR="00AD1C74">
        <w:t>5</w:t>
      </w:r>
      <w:r w:rsidRPr="00D229E8">
        <w:t>.</w:t>
      </w:r>
      <w:r>
        <w:t xml:space="preserve">    </w:t>
      </w:r>
    </w:p>
    <w:p w:rsidR="00EF4972" w:rsidRDefault="00EF4972" w:rsidP="00973C55">
      <w:pPr>
        <w:pStyle w:val="NormalWeb"/>
        <w:ind w:left="720"/>
      </w:pPr>
      <w:r>
        <w:t>In addition to the Executive Order, the NLM is legislatively mandated by 42 USC 286 to assist the advancement of medical and related sciences and to aid the dissemination and exchange of scientific and other information important to the progress of medicine and to the public health</w:t>
      </w:r>
      <w:r w:rsidRPr="007E458F">
        <w:t>.</w:t>
      </w:r>
      <w:r>
        <w:t xml:space="preserve"> This mandate specifically directs the NLM to promote the use of computers and telecommunications by health professionals (including health professionals in rural areas) for the purpose of improving access to biomedical information for health care delivery and medical research.</w:t>
      </w:r>
    </w:p>
    <w:p w:rsidR="00EF4972" w:rsidRDefault="00EF4972" w:rsidP="00973C55">
      <w:pPr>
        <w:pStyle w:val="NormalWeb"/>
        <w:ind w:left="720"/>
      </w:pPr>
      <w:r>
        <w:t>In 1994, the NLM was designated a "Federal Reinvention Laboratory" with a major objective of improving its methods of delivering information to the public.  At a minimum, necessary elements in improving the delivery of information include; (1) development of easy-to-use access and delivery mechanisms that promote the public's understanding of health information, drawing on research in lay terminology, graphical and multimedia presentations;   (2) assisting those providing health information to the public to make effective use of electronic services through Internet connections, training, and other means, with an emphasis on those serving</w:t>
      </w:r>
      <w:r w:rsidR="006D5A9F">
        <w:t xml:space="preserve"> </w:t>
      </w:r>
      <w:r>
        <w:t xml:space="preserve">low income populations and seniors;  (3) promoting integrations of NLM services with other electronic services covering regional, state, or local health information; and  (4) conducting and supporting research, development, and evaluation of the public's health information needs, information seeking behavior and learning styles, information systems that meet the public's needs, and the impact of access to information. </w:t>
      </w:r>
    </w:p>
    <w:p w:rsidR="00EF4972" w:rsidRDefault="00EF4972" w:rsidP="00973C55">
      <w:pPr>
        <w:pStyle w:val="NormalWeb"/>
        <w:ind w:left="720"/>
      </w:pPr>
      <w:r>
        <w:t xml:space="preserve">NLM has become an international leader in health informatics research and development, especially in consumer health informatics. As a result, NLM needs to remain contemporary in consumer health informatics research by utilizing research methods that yield a better understanding of the predictors of consumer satisfaction. Without ongoing </w:t>
      </w:r>
      <w:r>
        <w:lastRenderedPageBreak/>
        <w:t>insights into the predictors of consumer satisfaction, NLM will lack the research findings to make evidence-based changes in the content, design and editorial management of its consumer Web sites and will not optimally serve the pu</w:t>
      </w:r>
      <w:r w:rsidRPr="00C91909">
        <w:t>bli</w:t>
      </w:r>
      <w:r>
        <w:t xml:space="preserve">c. </w:t>
      </w:r>
    </w:p>
    <w:p w:rsidR="00BB1F78" w:rsidRPr="00EF6063" w:rsidRDefault="00974EF4" w:rsidP="00974EF4">
      <w:pPr>
        <w:pStyle w:val="NormalWeb"/>
        <w:ind w:left="720"/>
        <w:rPr>
          <w:color w:val="000000" w:themeColor="text1"/>
        </w:rPr>
      </w:pPr>
      <w:r w:rsidRPr="00EF6063">
        <w:rPr>
          <w:color w:val="000000" w:themeColor="text1"/>
        </w:rPr>
        <w:t xml:space="preserve">On January 21, 2009, the President issued a memorandum calling for the establishment of “a system of transparency, public participation, and collaboration.” </w:t>
      </w:r>
      <w:r w:rsidR="00BB1F78" w:rsidRPr="00EF6063">
        <w:rPr>
          <w:color w:val="000000" w:themeColor="text1"/>
        </w:rPr>
        <w:t xml:space="preserve"> </w:t>
      </w:r>
      <w:r w:rsidRPr="00EF6063">
        <w:rPr>
          <w:color w:val="000000" w:themeColor="text1"/>
        </w:rPr>
        <w:t>The memorandum required an Open Government Directive to be issued by the Director of the Office of Management and Budget (OMB)</w:t>
      </w:r>
      <w:r w:rsidR="00BB1F78" w:rsidRPr="00EF6063">
        <w:rPr>
          <w:color w:val="000000" w:themeColor="text1"/>
        </w:rPr>
        <w:t xml:space="preserve">.  </w:t>
      </w:r>
      <w:r w:rsidRPr="00EF6063">
        <w:rPr>
          <w:color w:val="000000" w:themeColor="text1"/>
        </w:rPr>
        <w:t>Following the President’s memorandum, OMB’s Open Government Directive require</w:t>
      </w:r>
      <w:r w:rsidR="00BB1F78" w:rsidRPr="00EF6063">
        <w:rPr>
          <w:color w:val="000000" w:themeColor="text1"/>
        </w:rPr>
        <w:t>d</w:t>
      </w:r>
      <w:r w:rsidRPr="00EF6063">
        <w:rPr>
          <w:color w:val="000000" w:themeColor="text1"/>
        </w:rPr>
        <w:t xml:space="preserve"> a series of measures to promote the commitments to transparency, participation, and collaboration</w:t>
      </w:r>
      <w:r w:rsidR="00BB1F78" w:rsidRPr="00EF6063">
        <w:rPr>
          <w:color w:val="000000" w:themeColor="text1"/>
        </w:rPr>
        <w:t xml:space="preserve"> to include th</w:t>
      </w:r>
      <w:r w:rsidRPr="00EF6063">
        <w:rPr>
          <w:color w:val="000000" w:themeColor="text1"/>
        </w:rPr>
        <w:t xml:space="preserve">e availability and uses of “generic” Information Collection Requests (ICRs). </w:t>
      </w:r>
    </w:p>
    <w:p w:rsidR="00974EF4" w:rsidRPr="00EF6063" w:rsidRDefault="00BB1F78" w:rsidP="00974EF4">
      <w:pPr>
        <w:pStyle w:val="NormalWeb"/>
        <w:ind w:left="720"/>
        <w:rPr>
          <w:color w:val="000000" w:themeColor="text1"/>
        </w:rPr>
      </w:pPr>
      <w:r w:rsidRPr="00EF6063">
        <w:rPr>
          <w:color w:val="000000" w:themeColor="text1"/>
        </w:rPr>
        <w:t>In later guidance issued under the Open Government Directive, it was made clear that c</w:t>
      </w:r>
      <w:r w:rsidR="00974EF4" w:rsidRPr="00EF6063">
        <w:rPr>
          <w:color w:val="000000" w:themeColor="text1"/>
        </w:rPr>
        <w:t xml:space="preserve">learances of generic ICRs </w:t>
      </w:r>
      <w:r w:rsidRPr="00EF6063">
        <w:rPr>
          <w:color w:val="000000" w:themeColor="text1"/>
        </w:rPr>
        <w:t xml:space="preserve">do </w:t>
      </w:r>
      <w:r w:rsidR="00974EF4" w:rsidRPr="00EF6063">
        <w:rPr>
          <w:color w:val="000000" w:themeColor="text1"/>
        </w:rPr>
        <w:t>provide a significantly streamlined process by which agencies may obtain OMB’s approval for particular information collections</w:t>
      </w:r>
      <w:r w:rsidRPr="00EF6063">
        <w:rPr>
          <w:color w:val="000000" w:themeColor="text1"/>
        </w:rPr>
        <w:t xml:space="preserve"> </w:t>
      </w:r>
      <w:r w:rsidR="00D746D0" w:rsidRPr="00EF6063">
        <w:rPr>
          <w:color w:val="000000" w:themeColor="text1"/>
        </w:rPr>
        <w:t>including customer</w:t>
      </w:r>
      <w:r w:rsidR="00974EF4" w:rsidRPr="00EF6063">
        <w:rPr>
          <w:color w:val="000000" w:themeColor="text1"/>
        </w:rPr>
        <w:t xml:space="preserve"> satisfaction surveys, focus groups, contests, and website satisfaction surveys.</w:t>
      </w:r>
    </w:p>
    <w:p w:rsidR="00EF4972" w:rsidRDefault="00EF4972" w:rsidP="00973C55">
      <w:pPr>
        <w:pStyle w:val="NormalWeb"/>
        <w:ind w:left="720"/>
      </w:pPr>
      <w:bookmarkStart w:id="2" w:name="OLE_LINK1"/>
      <w:bookmarkStart w:id="3" w:name="OLE_LINK2"/>
      <w:r>
        <w:t>One of the most effective means of determining if NLM is providing satisfactory services to its customers or partners is through periodic voluntary satisfaction surveys that can be activated quickly.  Getting customer/partner input has and will continue to facilitate resource allocation.  </w:t>
      </w:r>
    </w:p>
    <w:bookmarkEnd w:id="2"/>
    <w:bookmarkEnd w:id="3"/>
    <w:p w:rsidR="00EF4972" w:rsidRPr="00E929F0" w:rsidRDefault="00EF4972" w:rsidP="00E929F0">
      <w:pPr>
        <w:spacing w:after="240"/>
        <w:rPr>
          <w:b/>
          <w:bCs/>
        </w:rPr>
      </w:pPr>
      <w:r>
        <w:rPr>
          <w:rStyle w:val="Strong"/>
        </w:rPr>
        <w:t>A.2</w:t>
      </w:r>
      <w:r>
        <w:rPr>
          <w:rStyle w:val="Strong"/>
        </w:rPr>
        <w:tab/>
      </w:r>
      <w:r w:rsidRPr="00E929F0">
        <w:rPr>
          <w:b/>
          <w:bCs/>
        </w:rPr>
        <w:t>Purpose and Use of the Information Collection</w:t>
      </w:r>
    </w:p>
    <w:p w:rsidR="00EF4972" w:rsidRDefault="00872173" w:rsidP="00872173">
      <w:pPr>
        <w:pStyle w:val="NormalWeb"/>
        <w:spacing w:before="0" w:beforeAutospacing="0" w:after="0" w:afterAutospacing="0"/>
        <w:ind w:left="720"/>
      </w:pPr>
      <w:r w:rsidRPr="0056297A">
        <w:t>This is a request for an extension of NLM’s current generic clearance authorization</w:t>
      </w:r>
      <w:r w:rsidR="00AF4894">
        <w:t xml:space="preserve">. </w:t>
      </w:r>
      <w:r w:rsidR="00EF4972">
        <w:t xml:space="preserve">NLM will </w:t>
      </w:r>
      <w:r w:rsidR="00CA1373">
        <w:t xml:space="preserve">continue to </w:t>
      </w:r>
      <w:r w:rsidR="00EF4972">
        <w:t>collect and use information gathered through these surveys to identify strengths and weaknesses in current service provisions and to make improvements that are practical and feasible.  Information from the customer and/or partner surveys will be used to plan and direct resources and efforts to improve or maintain NLM's high quality of service to affected public.  To assess the needs of rurally situated health care providers, NLM needs to conduct periodic surveys to ensure that these providers have the ability to access the wealth of information in the Library's many databases and programs.  If this information is not collected, vital feedback, regarding customer and/or partner satisfaction with various aspects of NLM's services will be unavailabl</w:t>
      </w:r>
      <w:r w:rsidR="00EF4972" w:rsidRPr="004C2156">
        <w:t>e.</w:t>
      </w:r>
      <w:r w:rsidR="00092D8F" w:rsidRPr="004C2156">
        <w:t xml:space="preserve"> As</w:t>
      </w:r>
      <w:r w:rsidR="00092D8F" w:rsidRPr="00E0557D">
        <w:t xml:space="preserve"> part of NLM’s mission to provide ongoing outreach programs in collaboration with our customers and partners, distance education learning has been developed for school students interested in careers in healthcare professions.</w:t>
      </w:r>
      <w:r w:rsidR="00092D8F" w:rsidRPr="00092D8F">
        <w:t xml:space="preserve">  </w:t>
      </w:r>
    </w:p>
    <w:p w:rsidR="00EF4972" w:rsidRDefault="00EF4972" w:rsidP="00496555">
      <w:pPr>
        <w:pStyle w:val="NormalWeb"/>
        <w:ind w:left="720"/>
      </w:pPr>
      <w:r>
        <w:t xml:space="preserve">Without ongoing insights into the predictors of consumer satisfaction, NLM will lack the research findings to make evidence-based changes in the content, design and editorial management of its consumer Web sites and cannot optimally serve the public. Some of the predictors of consumer satisfaction identified include content quality, usability and design; consumer health information seeking habits on the Internet; prior online experience and health knowledge; as well as demographic information. </w:t>
      </w:r>
      <w:r w:rsidR="00FE2544">
        <w:t>T</w:t>
      </w:r>
      <w:r>
        <w:t xml:space="preserve">he </w:t>
      </w:r>
      <w:r w:rsidR="00FE2544">
        <w:t>ongoing a</w:t>
      </w:r>
      <w:r>
        <w:t xml:space="preserve">ssessments of broad consumer attitudes about health, wellness and motivational inclinations </w:t>
      </w:r>
      <w:r w:rsidR="00FE2544">
        <w:t>remain</w:t>
      </w:r>
      <w:r>
        <w:t xml:space="preserve"> </w:t>
      </w:r>
      <w:r w:rsidR="00FE2544">
        <w:t xml:space="preserve">highly </w:t>
      </w:r>
      <w:r>
        <w:t xml:space="preserve">important </w:t>
      </w:r>
      <w:r w:rsidR="00FE2544">
        <w:t>in</w:t>
      </w:r>
      <w:r>
        <w:t xml:space="preserve"> predict</w:t>
      </w:r>
      <w:r w:rsidR="00FE2544">
        <w:t>ing</w:t>
      </w:r>
      <w:r>
        <w:t xml:space="preserve"> consumer satisfaction of consumer informatics websites as more traditional demographic variables such as gender, education </w:t>
      </w:r>
      <w:r>
        <w:lastRenderedPageBreak/>
        <w:t xml:space="preserve">level, age and geographic location. </w:t>
      </w:r>
      <w:r w:rsidR="00092D8F">
        <w:t xml:space="preserve"> </w:t>
      </w:r>
      <w:r w:rsidR="00092D8F" w:rsidRPr="00E0557D">
        <w:t>To better assess the effectiveness and customer/partner satisfaction in administering our distance education outreach engagements, NLM will collect baseline career information from students during the course of their education mentoring programs. These measures or survey instruments will typically be student career essays, a health career knowledge-interest inventory, and general career inventories.</w:t>
      </w:r>
      <w:r w:rsidR="00092D8F" w:rsidRPr="00092D8F">
        <w:t xml:space="preserve">  </w:t>
      </w:r>
    </w:p>
    <w:p w:rsidR="00EF4972" w:rsidRDefault="00EF4972" w:rsidP="00496555">
      <w:pPr>
        <w:pStyle w:val="NormalWeb"/>
        <w:ind w:left="720"/>
      </w:pPr>
      <w:r>
        <w:t>To explore consumer attitudes as predictors of consumer satisfaction, NLM may employ some social science methods that are widely advocated within the health communication, mass communication and consumer health informatics research literature. These methods may include occasionally asking respondents to sort through opinion statements with which they agree or disagree and then, specify what opinion statements they agree or disagree with the most.  NLM will use a second level discrimination in surveys where the selected sample is derived from experienced computer users.  The discrimination approach to measure attitudes is most simplified by web-based software, therefore NLM will use this approach for online or computer work station-based consumer satisfaction surveys. The use of this approach provides better insights into the attitudes that predict consumer satisfaction of health information Web sites, which keeps NLM at the forefront of consumer health informatics research and development.</w:t>
      </w:r>
    </w:p>
    <w:p w:rsidR="009941E7" w:rsidRDefault="00EF4972" w:rsidP="00EC1399">
      <w:pPr>
        <w:autoSpaceDE w:val="0"/>
        <w:autoSpaceDN w:val="0"/>
        <w:adjustRightInd w:val="0"/>
        <w:ind w:left="720"/>
      </w:pPr>
      <w:r w:rsidRPr="00E93A2F">
        <w:t>One example</w:t>
      </w:r>
      <w:r w:rsidRPr="00E93A2F">
        <w:rPr>
          <w:b/>
        </w:rPr>
        <w:t xml:space="preserve"> </w:t>
      </w:r>
      <w:r w:rsidRPr="00E93A2F">
        <w:t xml:space="preserve">of how NLM staff used feedback from customers and partners to </w:t>
      </w:r>
      <w:r w:rsidR="006C6253" w:rsidRPr="00E93A2F">
        <w:t>improve services</w:t>
      </w:r>
      <w:r w:rsidR="00F52464" w:rsidRPr="00E93A2F">
        <w:t xml:space="preserve"> </w:t>
      </w:r>
      <w:r w:rsidR="006C6253" w:rsidRPr="00E93A2F">
        <w:t>w</w:t>
      </w:r>
      <w:r w:rsidR="00F52464" w:rsidRPr="00E93A2F">
        <w:t>as the</w:t>
      </w:r>
      <w:r w:rsidR="009941E7" w:rsidRPr="00E93A2F">
        <w:t xml:space="preserve"> </w:t>
      </w:r>
      <w:r w:rsidR="00EC1399" w:rsidRPr="00E93A2F">
        <w:t>WHR Consumer Focus Group survey</w:t>
      </w:r>
      <w:r w:rsidR="00EC1399" w:rsidRPr="00E93A2F">
        <w:rPr>
          <w:b/>
        </w:rPr>
        <w:t>.</w:t>
      </w:r>
      <w:r w:rsidR="00EC1399">
        <w:rPr>
          <w:b/>
        </w:rPr>
        <w:t xml:space="preserve"> </w:t>
      </w:r>
      <w:r w:rsidR="00EC1399" w:rsidRPr="00EC1399">
        <w:t>The Women’s Health Resources (WHR) Consumer Focus Group Survey results were used to make enhancements to the Women’s Health Resources Web Portal by better understanding the information needs of consumers.  The WHR was developed 4 years ago and has not done any user studies or evaluations. It was important to NLM that this study was conducted to ensure we are meeting the information needs of consumers that typically contact NIH for research information for themselves, their families or loved ones.  As a result of this focus group, NLM was able to more effectively serve this population by highlighting background materials and major reports so they can better understand the role of sex differences research at NIH.</w:t>
      </w:r>
    </w:p>
    <w:p w:rsidR="001A3B6D" w:rsidRDefault="00EF4972" w:rsidP="004B08D3">
      <w:pPr>
        <w:pStyle w:val="NormalWeb"/>
        <w:ind w:left="720"/>
      </w:pPr>
      <w:r w:rsidRPr="00E93A2F">
        <w:t xml:space="preserve">An example of </w:t>
      </w:r>
      <w:r w:rsidR="00F52464" w:rsidRPr="00E93A2F">
        <w:t>this</w:t>
      </w:r>
      <w:r w:rsidRPr="00E93A2F">
        <w:t xml:space="preserve"> approved generic survey conducted under the current clearance is provided (</w:t>
      </w:r>
      <w:r w:rsidRPr="00CC652B">
        <w:t>Attachment 1</w:t>
      </w:r>
      <w:r w:rsidRPr="00E93A2F">
        <w:t>) a</w:t>
      </w:r>
      <w:r w:rsidR="00E43832" w:rsidRPr="00E93A2F">
        <w:t xml:space="preserve">long with </w:t>
      </w:r>
      <w:r w:rsidR="00153EDC" w:rsidRPr="00E93A2F">
        <w:t>the</w:t>
      </w:r>
      <w:r w:rsidRPr="00E93A2F">
        <w:t xml:space="preserve"> </w:t>
      </w:r>
      <w:r w:rsidR="00153EDC" w:rsidRPr="00E93A2F">
        <w:t xml:space="preserve">sample </w:t>
      </w:r>
      <w:r w:rsidRPr="00E93A2F">
        <w:t xml:space="preserve">survey instrument </w:t>
      </w:r>
      <w:r w:rsidRPr="00E93A2F">
        <w:rPr>
          <w:b/>
        </w:rPr>
        <w:t>(</w:t>
      </w:r>
      <w:r w:rsidRPr="00CC652B">
        <w:t>Attachment 2</w:t>
      </w:r>
      <w:r w:rsidRPr="00E93A2F">
        <w:t>).</w:t>
      </w:r>
      <w:r w:rsidRPr="00A04F19">
        <w:t> </w:t>
      </w:r>
    </w:p>
    <w:p w:rsidR="00EF4972" w:rsidRDefault="00EF4972" w:rsidP="004B08D3">
      <w:pPr>
        <w:pStyle w:val="NormalWeb"/>
        <w:ind w:left="720"/>
      </w:pPr>
      <w:r>
        <w:t xml:space="preserve">According to OMB guidelines for generic clearances for voluntary customer/partner satisfaction surveys, the NLM will establish an independent review process to assure the development and implementation of high quality customer/partner surveys within the NLM.  It is understood that if OMB approves this request for extension of generic clearance, individual survey instruments must be submitted to OMB prior to actual use. </w:t>
      </w:r>
    </w:p>
    <w:p w:rsidR="003A3BED" w:rsidRDefault="003A3BED" w:rsidP="004B08D3">
      <w:pPr>
        <w:pStyle w:val="NormalWeb"/>
        <w:ind w:left="720"/>
      </w:pPr>
      <w:r w:rsidRPr="003A3BED">
        <w:rPr>
          <w:highlight w:val="yellow"/>
        </w:rPr>
        <w:t>Four sub-studies have been approved since the last submission</w:t>
      </w:r>
      <w:r w:rsidRPr="00EC13C1">
        <w:rPr>
          <w:highlight w:val="yellow"/>
        </w:rPr>
        <w:t>.</w:t>
      </w:r>
      <w:r w:rsidR="00EC13C1" w:rsidRPr="00EC13C1">
        <w:rPr>
          <w:highlight w:val="yellow"/>
        </w:rPr>
        <w:t xml:space="preserve"> In September 2014, a non-substantive change request was submitted to expand the current scope of the existing generic clearance to allow for the public collection of information from respondents consisting primarily of students who may be advancing their education in a health-related field.</w:t>
      </w:r>
      <w:r w:rsidR="00EC13C1" w:rsidRPr="00EC13C1">
        <w:t xml:space="preserve">   </w:t>
      </w:r>
    </w:p>
    <w:p w:rsidR="00EF4972" w:rsidRDefault="00EF4972" w:rsidP="006F1F71">
      <w:pPr>
        <w:tabs>
          <w:tab w:val="left" w:pos="720"/>
        </w:tabs>
        <w:rPr>
          <w:b/>
        </w:rPr>
      </w:pPr>
      <w:r>
        <w:rPr>
          <w:rStyle w:val="Strong"/>
        </w:rPr>
        <w:lastRenderedPageBreak/>
        <w:t>A.3</w:t>
      </w:r>
      <w:r>
        <w:rPr>
          <w:rStyle w:val="Strong"/>
        </w:rPr>
        <w:tab/>
      </w:r>
      <w:r>
        <w:rPr>
          <w:b/>
        </w:rPr>
        <w:t xml:space="preserve">Use of </w:t>
      </w:r>
      <w:r w:rsidRPr="003529E6">
        <w:rPr>
          <w:b/>
        </w:rPr>
        <w:t>Improved Information Technology and Burden Reduction</w:t>
      </w:r>
    </w:p>
    <w:p w:rsidR="00EF4972" w:rsidRDefault="00EF4972" w:rsidP="006F1F71">
      <w:pPr>
        <w:tabs>
          <w:tab w:val="left" w:pos="720"/>
        </w:tabs>
        <w:rPr>
          <w:b/>
        </w:rPr>
      </w:pPr>
    </w:p>
    <w:p w:rsidR="003A6EE4" w:rsidRDefault="00EF4972" w:rsidP="00C911B4">
      <w:pPr>
        <w:spacing w:after="240"/>
        <w:ind w:left="720"/>
      </w:pPr>
      <w:r>
        <w:t xml:space="preserve">As appropriate, automated information technology will be used to collect and process information for these surveys to reduce the burden on the public.  For example, the use of secondary discrimination techniques to better assess consumer attitudes is dependent on the use of information technology to reduce the burden on the respondent and as aforementioned, often shortens the length of survey instruments. The majority of the surveys will be </w:t>
      </w:r>
      <w:r w:rsidR="00E65853">
        <w:t>web-based or using focus groups</w:t>
      </w:r>
      <w:r>
        <w:t xml:space="preserve"> involv</w:t>
      </w:r>
      <w:r w:rsidR="00E65853">
        <w:t>ing</w:t>
      </w:r>
      <w:r>
        <w:t xml:space="preserve"> written or oral responses to brief questionnaires</w:t>
      </w:r>
      <w:r w:rsidR="00C911B4">
        <w:t>.</w:t>
      </w:r>
    </w:p>
    <w:p w:rsidR="00EF4972" w:rsidRDefault="00EF4972" w:rsidP="00275ECF">
      <w:pPr>
        <w:spacing w:after="240"/>
      </w:pPr>
      <w:r>
        <w:rPr>
          <w:rStyle w:val="Strong"/>
        </w:rPr>
        <w:t xml:space="preserve">A.4 </w:t>
      </w:r>
      <w:r>
        <w:rPr>
          <w:rStyle w:val="Strong"/>
        </w:rPr>
        <w:tab/>
      </w:r>
      <w:r>
        <w:rPr>
          <w:b/>
        </w:rPr>
        <w:t xml:space="preserve">Efforts </w:t>
      </w:r>
      <w:r w:rsidRPr="003529E6">
        <w:rPr>
          <w:b/>
        </w:rPr>
        <w:t>to Identify Duplication and Use of Similar Information</w:t>
      </w:r>
    </w:p>
    <w:p w:rsidR="00EF4972" w:rsidRDefault="00EF4972" w:rsidP="00496555">
      <w:pPr>
        <w:pStyle w:val="NormalWeb"/>
        <w:ind w:left="720"/>
      </w:pPr>
      <w:r>
        <w:t>NLM information collection surveys conducted after the approval of previous generic clearance under OMB 0925-0476 were designed to address specific programs and databases and to obtain feedback for desired improvements to present systems and programs.  There is a need for continual input from customers and partners and as NLM has incorporated suggestions from earlier surveys into procedures, it is necessary to ask if the improvements are efficacious.  The extension of this generic clearance will enable NLM to determine if there have been improvements in service that resulted from the previous feedback customers provided.</w:t>
      </w:r>
    </w:p>
    <w:p w:rsidR="00EF4972" w:rsidRDefault="00EF4972" w:rsidP="006F1F71">
      <w:pPr>
        <w:spacing w:after="240"/>
      </w:pPr>
      <w:r>
        <w:rPr>
          <w:rStyle w:val="Strong"/>
        </w:rPr>
        <w:t>A.5</w:t>
      </w:r>
      <w:r>
        <w:rPr>
          <w:rStyle w:val="Strong"/>
        </w:rPr>
        <w:tab/>
        <w:t xml:space="preserve"> </w:t>
      </w:r>
      <w:r>
        <w:rPr>
          <w:b/>
        </w:rPr>
        <w:t xml:space="preserve">Impact on Small Businesses </w:t>
      </w:r>
      <w:r w:rsidRPr="003529E6">
        <w:rPr>
          <w:b/>
        </w:rPr>
        <w:t>or Other Small Entities</w:t>
      </w:r>
      <w:r>
        <w:t xml:space="preserve"> </w:t>
      </w:r>
    </w:p>
    <w:p w:rsidR="00EF4972" w:rsidRDefault="00EF4972" w:rsidP="006F1F71">
      <w:pPr>
        <w:spacing w:after="240"/>
        <w:ind w:left="720"/>
      </w:pPr>
      <w:r>
        <w:t xml:space="preserve">Small businesses or other small entities may be involved in these efforts, but NLM will keep the burden on them to a minimum with short, user-friendly surveys that will be strictly voluntary.  Therefore, there will not be a significant impact on small businesses. </w:t>
      </w:r>
    </w:p>
    <w:p w:rsidR="00EF4972" w:rsidRDefault="00EF4972" w:rsidP="005C65EA">
      <w:pPr>
        <w:rPr>
          <w:b/>
        </w:rPr>
      </w:pPr>
      <w:r>
        <w:rPr>
          <w:rStyle w:val="Strong"/>
        </w:rPr>
        <w:t xml:space="preserve">A.6 </w:t>
      </w:r>
      <w:r>
        <w:rPr>
          <w:rStyle w:val="Strong"/>
        </w:rPr>
        <w:tab/>
      </w:r>
      <w:r>
        <w:rPr>
          <w:b/>
        </w:rPr>
        <w:t xml:space="preserve">Consequences </w:t>
      </w:r>
      <w:r w:rsidRPr="00AA7D9A">
        <w:rPr>
          <w:b/>
        </w:rPr>
        <w:t>of Collecting the Information Less Frequently</w:t>
      </w:r>
    </w:p>
    <w:p w:rsidR="00EF4972" w:rsidRDefault="00EF4972" w:rsidP="005C3793">
      <w:pPr>
        <w:pStyle w:val="NormalWeb"/>
        <w:ind w:left="720"/>
      </w:pPr>
      <w:r>
        <w:t xml:space="preserve">NLM will conduct surveys only at intervals considered appropriate to measure the impact of changes because of initial satisfaction surveys and to monitor the level of performance.   In most cases, the NLM likely will conduct satisfaction surveys annually or biennially after the establishment of a baseline.  </w:t>
      </w:r>
      <w:proofErr w:type="gramStart"/>
      <w:r>
        <w:t>Collection on a less frequent basis than annually or biennially might reduce the practical utility of the information and inhibit the NLM's ability to monitor changes.</w:t>
      </w:r>
      <w:proofErr w:type="gramEnd"/>
    </w:p>
    <w:p w:rsidR="00EF4972" w:rsidRDefault="00EF4972" w:rsidP="00E76C4B">
      <w:pPr>
        <w:pStyle w:val="NormalWeb"/>
      </w:pPr>
      <w:r>
        <w:t> </w:t>
      </w:r>
      <w:r>
        <w:rPr>
          <w:rStyle w:val="Strong"/>
        </w:rPr>
        <w:t xml:space="preserve">A.7 </w:t>
      </w:r>
      <w:r>
        <w:rPr>
          <w:rStyle w:val="Strong"/>
        </w:rPr>
        <w:tab/>
        <w:t>Special Circumstances Relating to the Guidelines of 5 CFR 1320.5</w:t>
      </w:r>
    </w:p>
    <w:p w:rsidR="00EF4972" w:rsidRDefault="00EF4972" w:rsidP="005C3793">
      <w:pPr>
        <w:pStyle w:val="NormalWeb"/>
        <w:ind w:left="720"/>
      </w:pPr>
      <w:r>
        <w:t xml:space="preserve">These surveys will be implemented in a manner that fully complies with 5 CFR 1320.5. </w:t>
      </w:r>
    </w:p>
    <w:p w:rsidR="00EF4972" w:rsidRDefault="00EF4972" w:rsidP="00006DAF">
      <w:pPr>
        <w:pStyle w:val="NormalWeb"/>
      </w:pPr>
      <w:r>
        <w:t> </w:t>
      </w:r>
      <w:r>
        <w:rPr>
          <w:rStyle w:val="Strong"/>
        </w:rPr>
        <w:t xml:space="preserve">A.8 </w:t>
      </w:r>
      <w:r>
        <w:rPr>
          <w:rStyle w:val="Strong"/>
        </w:rPr>
        <w:tab/>
      </w:r>
      <w:r>
        <w:rPr>
          <w:b/>
        </w:rPr>
        <w:t xml:space="preserve">Comments </w:t>
      </w:r>
      <w:r w:rsidRPr="00AA7D9A">
        <w:rPr>
          <w:b/>
        </w:rPr>
        <w:t xml:space="preserve">in Response to the Federal Register Notice and Efforts to Consult </w:t>
      </w:r>
      <w:r>
        <w:rPr>
          <w:b/>
        </w:rPr>
        <w:t xml:space="preserve">                  </w:t>
      </w:r>
      <w:r>
        <w:rPr>
          <w:b/>
        </w:rPr>
        <w:tab/>
        <w:t xml:space="preserve">Outside </w:t>
      </w:r>
      <w:r w:rsidRPr="00AA7D9A">
        <w:rPr>
          <w:b/>
        </w:rPr>
        <w:t>the Agency</w:t>
      </w:r>
    </w:p>
    <w:p w:rsidR="006D5A9F" w:rsidRDefault="006D5A9F" w:rsidP="006D5A9F">
      <w:pPr>
        <w:ind w:left="720"/>
      </w:pPr>
      <w:r w:rsidRPr="006D5A9F">
        <w:t xml:space="preserve">A 60-day notice for public comment was published in the Federal Register (Vol. 80, No. 77, Pg. 22542) on April 22, 2015.  One public comment was received </w:t>
      </w:r>
      <w:r w:rsidR="00482A44">
        <w:t xml:space="preserve">concerning one of the intended purposes for the proposed information collection </w:t>
      </w:r>
      <w:r w:rsidRPr="006D5A9F">
        <w:t xml:space="preserve">which did not </w:t>
      </w:r>
      <w:r w:rsidR="00482A44">
        <w:t xml:space="preserve">impact </w:t>
      </w:r>
      <w:r w:rsidRPr="006D5A9F">
        <w:t xml:space="preserve">the estimated cost or burden </w:t>
      </w:r>
      <w:r w:rsidR="00482A44">
        <w:t xml:space="preserve">being projected </w:t>
      </w:r>
      <w:r w:rsidRPr="006D5A9F">
        <w:t xml:space="preserve">for </w:t>
      </w:r>
      <w:r w:rsidR="00482A44">
        <w:t xml:space="preserve">this </w:t>
      </w:r>
      <w:r w:rsidRPr="006D5A9F">
        <w:t>extension</w:t>
      </w:r>
      <w:r w:rsidR="00482A44">
        <w:t>.</w:t>
      </w:r>
      <w:r w:rsidRPr="006D5A9F">
        <w:t xml:space="preserve"> A response was sent to the </w:t>
      </w:r>
      <w:r w:rsidRPr="006D5A9F">
        <w:lastRenderedPageBreak/>
        <w:t>responder on April 24, 2015</w:t>
      </w:r>
      <w:r w:rsidR="00482A44">
        <w:t xml:space="preserve"> acknowledging receipt of the comment for consideration of further review</w:t>
      </w:r>
      <w:r w:rsidRPr="006D5A9F">
        <w:t>.</w:t>
      </w:r>
    </w:p>
    <w:p w:rsidR="00EF4972" w:rsidRDefault="00EF4972" w:rsidP="005C3793">
      <w:pPr>
        <w:pStyle w:val="NormalWeb"/>
        <w:ind w:left="720"/>
      </w:pPr>
      <w:r>
        <w:t>NLM programs will use routine contacts with customers and partners and other qualitative information collection activities to identify areas of interest and concern to customers.  NLM will utilize in-house staff with expertise in statistics and the staff of contractors in developing survey plans.  As needed, NLM may also utilize the statistical resources of the National Center for Health Statistics, which has a questionnaire design laboratory.  Additional support may be sought from outside experts to help in design and implementation of the surveys.</w:t>
      </w:r>
      <w:r w:rsidR="00907C19">
        <w:t xml:space="preserve"> </w:t>
      </w:r>
    </w:p>
    <w:p w:rsidR="00EF4972" w:rsidRDefault="00EF4972" w:rsidP="00275ECF">
      <w:pPr>
        <w:spacing w:after="240"/>
      </w:pPr>
      <w:r>
        <w:rPr>
          <w:rStyle w:val="Strong"/>
        </w:rPr>
        <w:t>A.9</w:t>
      </w:r>
      <w:r>
        <w:rPr>
          <w:rStyle w:val="Strong"/>
        </w:rPr>
        <w:tab/>
        <w:t xml:space="preserve"> Explanation of Any Payment or Gift to Respondents</w:t>
      </w:r>
    </w:p>
    <w:p w:rsidR="00EF4972" w:rsidRDefault="003C04C1" w:rsidP="004A6B0D">
      <w:pPr>
        <w:pStyle w:val="NormalWeb"/>
        <w:ind w:firstLine="720"/>
      </w:pPr>
      <w:r>
        <w:t>There may be a need for nominal remuneration to survey participants (e.g., focus groups).</w:t>
      </w:r>
    </w:p>
    <w:p w:rsidR="00AE5BF3" w:rsidRDefault="003C04C1" w:rsidP="00A91306">
      <w:pPr>
        <w:pStyle w:val="NormalWeb"/>
        <w:ind w:left="720"/>
      </w:pPr>
      <w:r w:rsidRPr="003C04C1">
        <w:t xml:space="preserve">The level of remuneration will depend on the amount of respondent time and projected </w:t>
      </w:r>
      <w:r>
        <w:t xml:space="preserve">expenses </w:t>
      </w:r>
      <w:r w:rsidRPr="003C04C1">
        <w:t>for each</w:t>
      </w:r>
      <w:r>
        <w:t xml:space="preserve"> survey participant.</w:t>
      </w:r>
    </w:p>
    <w:p w:rsidR="00EF4972" w:rsidRDefault="00EF4972" w:rsidP="00275ECF">
      <w:pPr>
        <w:spacing w:after="240"/>
      </w:pPr>
      <w:r>
        <w:rPr>
          <w:rStyle w:val="Strong"/>
        </w:rPr>
        <w:t xml:space="preserve">A.10 </w:t>
      </w:r>
      <w:r>
        <w:rPr>
          <w:rStyle w:val="Strong"/>
        </w:rPr>
        <w:tab/>
        <w:t>Assurance of Confidentiality Provided to Respondents</w:t>
      </w:r>
    </w:p>
    <w:p w:rsidR="00EF4972" w:rsidRDefault="00EF4972" w:rsidP="004A6B0D">
      <w:pPr>
        <w:pStyle w:val="NormalWeb"/>
        <w:ind w:left="720"/>
      </w:pPr>
      <w:r>
        <w:t xml:space="preserve">Individual respondents will not be identified and participation will be strictly voluntary. Respondents will be assured that neither their participation/non-participation nor any responses to items will have any effect on their eligibility for or receipt of services. </w:t>
      </w:r>
    </w:p>
    <w:p w:rsidR="00EF4972" w:rsidRDefault="00EF4972" w:rsidP="00275ECF">
      <w:pPr>
        <w:spacing w:after="240"/>
      </w:pPr>
      <w:r>
        <w:rPr>
          <w:rStyle w:val="Strong"/>
        </w:rPr>
        <w:t xml:space="preserve">A.11 </w:t>
      </w:r>
      <w:r>
        <w:rPr>
          <w:rStyle w:val="Strong"/>
        </w:rPr>
        <w:tab/>
        <w:t>Justification for Sensitive Questions</w:t>
      </w:r>
    </w:p>
    <w:p w:rsidR="00EF4972" w:rsidRDefault="00EF4972" w:rsidP="004A6B0D">
      <w:pPr>
        <w:pStyle w:val="NormalWeb"/>
        <w:ind w:firstLine="720"/>
      </w:pPr>
      <w:r>
        <w:t xml:space="preserve">No questions will be asked of a personal or sensitive nature. </w:t>
      </w:r>
    </w:p>
    <w:p w:rsidR="00EF4972" w:rsidRDefault="00EF4972" w:rsidP="00FD5285">
      <w:pPr>
        <w:pStyle w:val="NormalWeb"/>
        <w:rPr>
          <w:rStyle w:val="Strong"/>
        </w:rPr>
      </w:pPr>
      <w:r>
        <w:t> </w:t>
      </w:r>
      <w:r>
        <w:rPr>
          <w:rStyle w:val="Strong"/>
        </w:rPr>
        <w:t xml:space="preserve">A.12 </w:t>
      </w:r>
      <w:r>
        <w:rPr>
          <w:rStyle w:val="Strong"/>
        </w:rPr>
        <w:tab/>
      </w:r>
      <w:r w:rsidRPr="00C15EDB">
        <w:rPr>
          <w:b/>
          <w:noProof/>
        </w:rPr>
        <w:t>Estimates of Hour Burden Including Annualized Hourly Costs</w:t>
      </w:r>
    </w:p>
    <w:p w:rsidR="00EF4972" w:rsidRDefault="00EF4972" w:rsidP="00423CD5">
      <w:pPr>
        <w:pStyle w:val="NormalWeb"/>
        <w:ind w:left="720"/>
      </w:pPr>
      <w:r w:rsidRPr="00260545">
        <w:t xml:space="preserve">The total estimated </w:t>
      </w:r>
      <w:r>
        <w:t>burden hours</w:t>
      </w:r>
      <w:r w:rsidRPr="00260545">
        <w:t xml:space="preserve"> imposed by the </w:t>
      </w:r>
      <w:r>
        <w:t xml:space="preserve">proposed </w:t>
      </w:r>
      <w:r w:rsidRPr="00260545">
        <w:t xml:space="preserve">collections </w:t>
      </w:r>
      <w:r w:rsidRPr="00A9715C">
        <w:t xml:space="preserve">is </w:t>
      </w:r>
      <w:r>
        <w:t xml:space="preserve">provided in Table A. 12-1 below. </w:t>
      </w:r>
      <w:r w:rsidRPr="00AE6793">
        <w:t>NLM projects</w:t>
      </w:r>
      <w:r>
        <w:t xml:space="preserve"> up to </w:t>
      </w:r>
      <w:r w:rsidR="00C15EDB" w:rsidRPr="00EB15C8">
        <w:t>30</w:t>
      </w:r>
      <w:r w:rsidR="0098737B" w:rsidRPr="00EB15C8">
        <w:rPr>
          <w:color w:val="C00000"/>
        </w:rPr>
        <w:t xml:space="preserve"> </w:t>
      </w:r>
      <w:r w:rsidRPr="00EB15C8">
        <w:t>customer surveys</w:t>
      </w:r>
      <w:r w:rsidRPr="00263302">
        <w:t xml:space="preserve"> will be conducted over the duration of the 3-year clearance period with a </w:t>
      </w:r>
      <w:r w:rsidRPr="007B322D">
        <w:t>sample size ranging between</w:t>
      </w:r>
      <w:r w:rsidR="00263302" w:rsidRPr="007B322D">
        <w:rPr>
          <w:color w:val="C00000"/>
        </w:rPr>
        <w:t xml:space="preserve"> </w:t>
      </w:r>
      <w:r w:rsidR="0007397A" w:rsidRPr="007B322D">
        <w:t>15</w:t>
      </w:r>
      <w:r w:rsidRPr="007B322D">
        <w:t xml:space="preserve"> and </w:t>
      </w:r>
      <w:r w:rsidR="00CA2B70" w:rsidRPr="00CA2B70">
        <w:t>20</w:t>
      </w:r>
      <w:r w:rsidR="003B1DC0" w:rsidRPr="00CA2B70">
        <w:t>0</w:t>
      </w:r>
      <w:r w:rsidRPr="00CA2B70">
        <w:t xml:space="preserve"> c</w:t>
      </w:r>
      <w:r w:rsidRPr="007B322D">
        <w:t>ustomers</w:t>
      </w:r>
      <w:r w:rsidR="0007397A" w:rsidRPr="007B322D">
        <w:t xml:space="preserve"> </w:t>
      </w:r>
      <w:r w:rsidRPr="007B322D">
        <w:t>total</w:t>
      </w:r>
      <w:r w:rsidR="0007397A" w:rsidRPr="007B322D">
        <w:t>ing approximately</w:t>
      </w:r>
      <w:r w:rsidR="00D54BD6">
        <w:t xml:space="preserve"> </w:t>
      </w:r>
      <w:r w:rsidR="00477DCE">
        <w:t>2</w:t>
      </w:r>
      <w:r w:rsidR="00D54BD6">
        <w:t>,500</w:t>
      </w:r>
      <w:r w:rsidRPr="00B64FEF">
        <w:t xml:space="preserve"> r</w:t>
      </w:r>
      <w:r w:rsidRPr="007B322D">
        <w:t>espondents</w:t>
      </w:r>
      <w:r w:rsidR="00445C37">
        <w:t xml:space="preserve"> </w:t>
      </w:r>
      <w:r w:rsidR="00E61DA8">
        <w:t xml:space="preserve">with an </w:t>
      </w:r>
      <w:r w:rsidR="00E61DA8" w:rsidRPr="00445C37">
        <w:t xml:space="preserve">estimated total burden </w:t>
      </w:r>
      <w:r w:rsidR="008B43EB" w:rsidRPr="00984FB7">
        <w:t>of</w:t>
      </w:r>
      <w:r w:rsidR="00CA2B70">
        <w:rPr>
          <w:b/>
          <w:color w:val="C00000"/>
        </w:rPr>
        <w:t xml:space="preserve"> </w:t>
      </w:r>
      <w:r w:rsidR="004A5CAA">
        <w:t>750</w:t>
      </w:r>
      <w:r w:rsidR="000B1EDB" w:rsidRPr="0011185E">
        <w:rPr>
          <w:b/>
          <w:color w:val="C00000"/>
        </w:rPr>
        <w:t xml:space="preserve"> </w:t>
      </w:r>
      <w:r w:rsidR="000B1EDB" w:rsidRPr="0011185E">
        <w:t>h</w:t>
      </w:r>
      <w:r w:rsidR="00984FB7" w:rsidRPr="0011185E">
        <w:t>ou</w:t>
      </w:r>
      <w:r w:rsidR="00984FB7" w:rsidRPr="00984FB7">
        <w:t>rs.</w:t>
      </w:r>
      <w:r w:rsidRPr="00984FB7">
        <w:t>  </w:t>
      </w:r>
      <w:r w:rsidRPr="00C15ED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9"/>
        <w:gridCol w:w="1731"/>
        <w:gridCol w:w="1894"/>
        <w:gridCol w:w="1894"/>
        <w:gridCol w:w="1898"/>
      </w:tblGrid>
      <w:tr w:rsidR="00CA1E17" w:rsidTr="00647BC7">
        <w:trPr>
          <w:trHeight w:val="171"/>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CA1E17" w:rsidRDefault="00CA1E17" w:rsidP="00705AC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b/>
              </w:rPr>
            </w:pPr>
            <w:r>
              <w:rPr>
                <w:b/>
              </w:rPr>
              <w:t xml:space="preserve">Table A.12-1  Estimates of Annual Burden Hours </w:t>
            </w:r>
          </w:p>
        </w:tc>
      </w:tr>
      <w:tr w:rsidR="00CA1E17" w:rsidTr="00647BC7">
        <w:trPr>
          <w:trHeight w:val="1083"/>
        </w:trPr>
        <w:tc>
          <w:tcPr>
            <w:tcW w:w="1127" w:type="pct"/>
            <w:tcBorders>
              <w:top w:val="single" w:sz="4" w:space="0" w:color="auto"/>
              <w:left w:val="single" w:sz="4" w:space="0" w:color="auto"/>
              <w:bottom w:val="single" w:sz="4" w:space="0" w:color="auto"/>
              <w:right w:val="single" w:sz="4" w:space="0" w:color="auto"/>
            </w:tcBorders>
            <w:vAlign w:val="center"/>
            <w:hideMark/>
          </w:tcPr>
          <w:p w:rsidR="00CA1E17" w:rsidRDefault="00CA1E17" w:rsidP="00705AC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Type of Respondents</w:t>
            </w:r>
          </w:p>
        </w:tc>
        <w:tc>
          <w:tcPr>
            <w:tcW w:w="904" w:type="pct"/>
            <w:tcBorders>
              <w:top w:val="single" w:sz="4" w:space="0" w:color="auto"/>
              <w:left w:val="single" w:sz="4" w:space="0" w:color="auto"/>
              <w:bottom w:val="single" w:sz="4" w:space="0" w:color="auto"/>
              <w:right w:val="single" w:sz="4" w:space="0" w:color="auto"/>
            </w:tcBorders>
            <w:vAlign w:val="center"/>
            <w:hideMark/>
          </w:tcPr>
          <w:p w:rsidR="00CA1E17" w:rsidRDefault="00CA1E17" w:rsidP="00705AC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Number of Respondents</w:t>
            </w:r>
          </w:p>
        </w:tc>
        <w:tc>
          <w:tcPr>
            <w:tcW w:w="989" w:type="pct"/>
            <w:tcBorders>
              <w:top w:val="single" w:sz="4" w:space="0" w:color="auto"/>
              <w:left w:val="single" w:sz="4" w:space="0" w:color="auto"/>
              <w:bottom w:val="single" w:sz="4" w:space="0" w:color="auto"/>
              <w:right w:val="single" w:sz="4" w:space="0" w:color="auto"/>
            </w:tcBorders>
            <w:vAlign w:val="center"/>
            <w:hideMark/>
          </w:tcPr>
          <w:p w:rsidR="00CA1E17" w:rsidRDefault="00CA1E17" w:rsidP="00705AC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Frequency of Response</w:t>
            </w:r>
          </w:p>
        </w:tc>
        <w:tc>
          <w:tcPr>
            <w:tcW w:w="989" w:type="pct"/>
            <w:tcBorders>
              <w:top w:val="single" w:sz="4" w:space="0" w:color="auto"/>
              <w:left w:val="single" w:sz="4" w:space="0" w:color="auto"/>
              <w:bottom w:val="single" w:sz="4" w:space="0" w:color="auto"/>
              <w:right w:val="single" w:sz="4" w:space="0" w:color="auto"/>
            </w:tcBorders>
            <w:vAlign w:val="center"/>
            <w:hideMark/>
          </w:tcPr>
          <w:p w:rsidR="00CA1E17" w:rsidRDefault="00CA1E17" w:rsidP="00705AC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Average Time per Response</w:t>
            </w:r>
          </w:p>
          <w:p w:rsidR="00CA1E17" w:rsidRDefault="00CA1E17" w:rsidP="00705AC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(Minutes/Hour)</w:t>
            </w:r>
          </w:p>
        </w:tc>
        <w:tc>
          <w:tcPr>
            <w:tcW w:w="991" w:type="pct"/>
            <w:tcBorders>
              <w:top w:val="single" w:sz="4" w:space="0" w:color="auto"/>
              <w:left w:val="single" w:sz="4" w:space="0" w:color="auto"/>
              <w:bottom w:val="single" w:sz="4" w:space="0" w:color="auto"/>
              <w:right w:val="single" w:sz="4" w:space="0" w:color="auto"/>
            </w:tcBorders>
            <w:vAlign w:val="center"/>
            <w:hideMark/>
          </w:tcPr>
          <w:p w:rsidR="00CA1E17" w:rsidRDefault="00CA1E17" w:rsidP="00705AC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Total Burden Hours</w:t>
            </w:r>
          </w:p>
        </w:tc>
      </w:tr>
      <w:tr w:rsidR="00CA1E17" w:rsidTr="00647BC7">
        <w:trPr>
          <w:trHeight w:val="773"/>
        </w:trPr>
        <w:tc>
          <w:tcPr>
            <w:tcW w:w="1127" w:type="pct"/>
            <w:tcBorders>
              <w:top w:val="single" w:sz="4" w:space="0" w:color="auto"/>
              <w:left w:val="single" w:sz="4" w:space="0" w:color="auto"/>
              <w:bottom w:val="single" w:sz="4" w:space="0" w:color="auto"/>
              <w:right w:val="single" w:sz="4" w:space="0" w:color="auto"/>
            </w:tcBorders>
            <w:vAlign w:val="center"/>
          </w:tcPr>
          <w:p w:rsidR="00CA1E17" w:rsidRDefault="00CA1E17" w:rsidP="00705AC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General Public</w:t>
            </w:r>
          </w:p>
          <w:p w:rsidR="00CA1E17" w:rsidRDefault="00CA1E17" w:rsidP="00705AC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p>
        </w:tc>
        <w:tc>
          <w:tcPr>
            <w:tcW w:w="904" w:type="pct"/>
            <w:tcBorders>
              <w:top w:val="single" w:sz="4" w:space="0" w:color="auto"/>
              <w:left w:val="single" w:sz="4" w:space="0" w:color="auto"/>
              <w:bottom w:val="single" w:sz="4" w:space="0" w:color="auto"/>
              <w:right w:val="single" w:sz="4" w:space="0" w:color="auto"/>
            </w:tcBorders>
            <w:vAlign w:val="center"/>
            <w:hideMark/>
          </w:tcPr>
          <w:p w:rsidR="00CA1E17" w:rsidRDefault="00462329" w:rsidP="00647BC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10</w:t>
            </w:r>
            <w:r w:rsidR="00A6574B">
              <w:t>00</w:t>
            </w:r>
          </w:p>
        </w:tc>
        <w:tc>
          <w:tcPr>
            <w:tcW w:w="989" w:type="pct"/>
            <w:tcBorders>
              <w:top w:val="single" w:sz="4" w:space="0" w:color="auto"/>
              <w:left w:val="single" w:sz="4" w:space="0" w:color="auto"/>
              <w:bottom w:val="single" w:sz="4" w:space="0" w:color="auto"/>
              <w:right w:val="single" w:sz="4" w:space="0" w:color="auto"/>
            </w:tcBorders>
            <w:vAlign w:val="center"/>
            <w:hideMark/>
          </w:tcPr>
          <w:p w:rsidR="00CA1E17" w:rsidRDefault="00CA1E17" w:rsidP="00705AC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1</w:t>
            </w:r>
          </w:p>
        </w:tc>
        <w:tc>
          <w:tcPr>
            <w:tcW w:w="989" w:type="pct"/>
            <w:tcBorders>
              <w:top w:val="single" w:sz="4" w:space="0" w:color="auto"/>
              <w:left w:val="single" w:sz="4" w:space="0" w:color="auto"/>
              <w:bottom w:val="single" w:sz="4" w:space="0" w:color="auto"/>
              <w:right w:val="single" w:sz="4" w:space="0" w:color="auto"/>
            </w:tcBorders>
            <w:vAlign w:val="center"/>
          </w:tcPr>
          <w:p w:rsidR="00947783" w:rsidRDefault="00947783" w:rsidP="0094778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CA1E17" w:rsidRDefault="00E357C2" w:rsidP="0094778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20</w:t>
            </w:r>
            <w:r w:rsidR="00CA1E17" w:rsidRPr="00983D0F">
              <w:t>/60</w:t>
            </w:r>
          </w:p>
          <w:p w:rsidR="00CA1E17" w:rsidRDefault="00CA1E17" w:rsidP="0094778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p>
        </w:tc>
        <w:tc>
          <w:tcPr>
            <w:tcW w:w="991" w:type="pct"/>
            <w:tcBorders>
              <w:top w:val="single" w:sz="4" w:space="0" w:color="auto"/>
              <w:left w:val="single" w:sz="4" w:space="0" w:color="auto"/>
              <w:bottom w:val="single" w:sz="4" w:space="0" w:color="auto"/>
              <w:right w:val="single" w:sz="4" w:space="0" w:color="auto"/>
            </w:tcBorders>
            <w:vAlign w:val="center"/>
            <w:hideMark/>
          </w:tcPr>
          <w:p w:rsidR="00CA1E17" w:rsidRDefault="00E357C2" w:rsidP="00705AC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333</w:t>
            </w:r>
          </w:p>
        </w:tc>
      </w:tr>
      <w:tr w:rsidR="00CA1E17" w:rsidTr="00647BC7">
        <w:trPr>
          <w:trHeight w:val="326"/>
        </w:trPr>
        <w:tc>
          <w:tcPr>
            <w:tcW w:w="1127" w:type="pct"/>
            <w:tcBorders>
              <w:top w:val="single" w:sz="4" w:space="0" w:color="auto"/>
              <w:left w:val="single" w:sz="4" w:space="0" w:color="auto"/>
              <w:bottom w:val="single" w:sz="4" w:space="0" w:color="auto"/>
              <w:right w:val="single" w:sz="4" w:space="0" w:color="auto"/>
            </w:tcBorders>
            <w:vAlign w:val="center"/>
          </w:tcPr>
          <w:p w:rsidR="00CA1E17" w:rsidRDefault="00CA1E17" w:rsidP="00705AC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Health Professionals</w:t>
            </w:r>
          </w:p>
          <w:p w:rsidR="00CA1E17" w:rsidRDefault="00CA1E17" w:rsidP="00705AC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p>
        </w:tc>
        <w:tc>
          <w:tcPr>
            <w:tcW w:w="904" w:type="pct"/>
            <w:tcBorders>
              <w:top w:val="single" w:sz="4" w:space="0" w:color="auto"/>
              <w:left w:val="single" w:sz="4" w:space="0" w:color="auto"/>
              <w:bottom w:val="single" w:sz="4" w:space="0" w:color="auto"/>
              <w:right w:val="single" w:sz="4" w:space="0" w:color="auto"/>
            </w:tcBorders>
            <w:vAlign w:val="center"/>
            <w:hideMark/>
          </w:tcPr>
          <w:p w:rsidR="00CA1E17" w:rsidRDefault="00582E13" w:rsidP="00647BC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lastRenderedPageBreak/>
              <w:t>5</w:t>
            </w:r>
            <w:r w:rsidR="00A6574B">
              <w:t>00</w:t>
            </w:r>
          </w:p>
        </w:tc>
        <w:tc>
          <w:tcPr>
            <w:tcW w:w="989" w:type="pct"/>
            <w:tcBorders>
              <w:top w:val="single" w:sz="4" w:space="0" w:color="auto"/>
              <w:left w:val="single" w:sz="4" w:space="0" w:color="auto"/>
              <w:bottom w:val="single" w:sz="4" w:space="0" w:color="auto"/>
              <w:right w:val="single" w:sz="4" w:space="0" w:color="auto"/>
            </w:tcBorders>
            <w:vAlign w:val="center"/>
            <w:hideMark/>
          </w:tcPr>
          <w:p w:rsidR="00CA1E17" w:rsidRDefault="00CA1E17" w:rsidP="00705AC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1</w:t>
            </w:r>
          </w:p>
        </w:tc>
        <w:tc>
          <w:tcPr>
            <w:tcW w:w="989" w:type="pct"/>
            <w:tcBorders>
              <w:top w:val="single" w:sz="4" w:space="0" w:color="auto"/>
              <w:left w:val="single" w:sz="4" w:space="0" w:color="auto"/>
              <w:bottom w:val="single" w:sz="4" w:space="0" w:color="auto"/>
              <w:right w:val="single" w:sz="4" w:space="0" w:color="auto"/>
            </w:tcBorders>
            <w:vAlign w:val="center"/>
            <w:hideMark/>
          </w:tcPr>
          <w:p w:rsidR="00CA1E17" w:rsidRDefault="00CA1E17" w:rsidP="00E357C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983D0F">
              <w:t>1</w:t>
            </w:r>
            <w:r w:rsidR="00E357C2">
              <w:t>5</w:t>
            </w:r>
            <w:r w:rsidRPr="00983D0F">
              <w:t>/60</w:t>
            </w:r>
          </w:p>
        </w:tc>
        <w:tc>
          <w:tcPr>
            <w:tcW w:w="991" w:type="pct"/>
            <w:tcBorders>
              <w:top w:val="single" w:sz="4" w:space="0" w:color="auto"/>
              <w:left w:val="single" w:sz="4" w:space="0" w:color="auto"/>
              <w:bottom w:val="single" w:sz="4" w:space="0" w:color="auto"/>
              <w:right w:val="single" w:sz="4" w:space="0" w:color="auto"/>
            </w:tcBorders>
            <w:vAlign w:val="center"/>
            <w:hideMark/>
          </w:tcPr>
          <w:p w:rsidR="00CA1E17" w:rsidRDefault="00E357C2" w:rsidP="00705AC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125</w:t>
            </w:r>
          </w:p>
        </w:tc>
      </w:tr>
      <w:tr w:rsidR="00CA1E17" w:rsidTr="00647BC7">
        <w:trPr>
          <w:trHeight w:val="326"/>
        </w:trPr>
        <w:tc>
          <w:tcPr>
            <w:tcW w:w="1127" w:type="pct"/>
            <w:tcBorders>
              <w:top w:val="single" w:sz="4" w:space="0" w:color="auto"/>
              <w:left w:val="single" w:sz="4" w:space="0" w:color="auto"/>
              <w:bottom w:val="single" w:sz="4" w:space="0" w:color="auto"/>
              <w:right w:val="single" w:sz="4" w:space="0" w:color="auto"/>
            </w:tcBorders>
            <w:vAlign w:val="center"/>
            <w:hideMark/>
          </w:tcPr>
          <w:p w:rsidR="00CA1E17" w:rsidRDefault="00CA1E17" w:rsidP="00705AC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lastRenderedPageBreak/>
              <w:t>Librarians</w:t>
            </w:r>
          </w:p>
          <w:p w:rsidR="00014736" w:rsidRDefault="00014736" w:rsidP="00705AC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tcPr>
          <w:p w:rsidR="00CA1E17" w:rsidRPr="009D4338" w:rsidRDefault="00582E13" w:rsidP="00647BC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highlight w:val="yellow"/>
              </w:rPr>
            </w:pPr>
            <w:r>
              <w:t>50</w:t>
            </w:r>
            <w:r w:rsidR="00A6574B" w:rsidRPr="00A6574B">
              <w:t>0</w:t>
            </w: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rsidR="00CA1E17" w:rsidRPr="009D4338" w:rsidRDefault="00A37A7B" w:rsidP="00705AC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highlight w:val="yellow"/>
              </w:rPr>
            </w:pPr>
            <w:r w:rsidRPr="00A37A7B">
              <w:t>1</w:t>
            </w:r>
          </w:p>
        </w:tc>
        <w:tc>
          <w:tcPr>
            <w:tcW w:w="989" w:type="pct"/>
            <w:tcBorders>
              <w:top w:val="single" w:sz="4" w:space="0" w:color="auto"/>
              <w:left w:val="single" w:sz="4" w:space="0" w:color="auto"/>
              <w:bottom w:val="single" w:sz="4" w:space="0" w:color="auto"/>
              <w:right w:val="single" w:sz="4" w:space="0" w:color="auto"/>
            </w:tcBorders>
            <w:vAlign w:val="center"/>
          </w:tcPr>
          <w:p w:rsidR="00CA1E17" w:rsidRPr="009D4338" w:rsidRDefault="00E357C2" w:rsidP="00E357C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highlight w:val="yellow"/>
              </w:rPr>
            </w:pPr>
            <w:r>
              <w:t>20</w:t>
            </w:r>
            <w:r w:rsidR="00CA1E17" w:rsidRPr="00CA1E17">
              <w:t>/60</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1E17" w:rsidRPr="009D4338" w:rsidRDefault="004A5CAA" w:rsidP="00562E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highlight w:val="yellow"/>
              </w:rPr>
            </w:pPr>
            <w:r>
              <w:t>167</w:t>
            </w:r>
          </w:p>
        </w:tc>
      </w:tr>
      <w:tr w:rsidR="00A70C82" w:rsidTr="00BD551E">
        <w:trPr>
          <w:trHeight w:val="692"/>
        </w:trPr>
        <w:tc>
          <w:tcPr>
            <w:tcW w:w="1127" w:type="pct"/>
            <w:tcBorders>
              <w:top w:val="single" w:sz="4" w:space="0" w:color="auto"/>
              <w:left w:val="single" w:sz="4" w:space="0" w:color="auto"/>
              <w:bottom w:val="single" w:sz="4" w:space="0" w:color="auto"/>
              <w:right w:val="single" w:sz="4" w:space="0" w:color="auto"/>
            </w:tcBorders>
            <w:vAlign w:val="center"/>
          </w:tcPr>
          <w:p w:rsidR="00A70C82" w:rsidRDefault="00A70C82" w:rsidP="00705AC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Health Educators</w:t>
            </w:r>
          </w:p>
          <w:p w:rsidR="00A70C82" w:rsidRDefault="00A70C82" w:rsidP="00705AC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tcPr>
          <w:p w:rsidR="00A70C82" w:rsidRPr="009D4338" w:rsidRDefault="00582E13" w:rsidP="00647BC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highlight w:val="yellow"/>
              </w:rPr>
            </w:pPr>
            <w:r>
              <w:t>5</w:t>
            </w:r>
            <w:r w:rsidR="005B300A">
              <w:t>00</w:t>
            </w: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rsidR="00A70C82" w:rsidRPr="00A37A7B" w:rsidRDefault="00A70C82" w:rsidP="00705AC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1</w:t>
            </w:r>
          </w:p>
        </w:tc>
        <w:tc>
          <w:tcPr>
            <w:tcW w:w="989" w:type="pct"/>
            <w:tcBorders>
              <w:top w:val="single" w:sz="4" w:space="0" w:color="auto"/>
              <w:left w:val="single" w:sz="4" w:space="0" w:color="auto"/>
              <w:bottom w:val="single" w:sz="4" w:space="0" w:color="auto"/>
              <w:right w:val="single" w:sz="4" w:space="0" w:color="auto"/>
            </w:tcBorders>
            <w:vAlign w:val="center"/>
          </w:tcPr>
          <w:p w:rsidR="00A70C82" w:rsidRPr="00A37A7B" w:rsidRDefault="00A70C82" w:rsidP="0094778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highlight w:val="yellow"/>
              </w:rPr>
            </w:pPr>
            <w:r w:rsidRPr="00983D0F">
              <w:t>1</w:t>
            </w:r>
            <w:r w:rsidR="00BB7903" w:rsidRPr="00983D0F">
              <w:t>5</w:t>
            </w:r>
            <w:r w:rsidRPr="00983D0F">
              <w:t>/60</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A70C82" w:rsidRPr="009D4338" w:rsidRDefault="00BD551E" w:rsidP="00705AC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highlight w:val="yellow"/>
              </w:rPr>
            </w:pPr>
            <w:r>
              <w:t>125</w:t>
            </w:r>
          </w:p>
        </w:tc>
      </w:tr>
      <w:tr w:rsidR="00CA1E17" w:rsidTr="000C5CF3">
        <w:trPr>
          <w:trHeight w:val="249"/>
        </w:trPr>
        <w:tc>
          <w:tcPr>
            <w:tcW w:w="1127" w:type="pct"/>
            <w:tcBorders>
              <w:top w:val="single" w:sz="4" w:space="0" w:color="auto"/>
              <w:left w:val="single" w:sz="4" w:space="0" w:color="auto"/>
              <w:bottom w:val="single" w:sz="4" w:space="0" w:color="auto"/>
              <w:right w:val="single" w:sz="4" w:space="0" w:color="auto"/>
            </w:tcBorders>
            <w:vAlign w:val="center"/>
          </w:tcPr>
          <w:p w:rsidR="00CA1E17" w:rsidRPr="00175708" w:rsidRDefault="005B267A" w:rsidP="00705AC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rPr>
            </w:pPr>
            <w:r>
              <w:t xml:space="preserve">     </w:t>
            </w:r>
            <w:r w:rsidR="00CA1E17">
              <w:t xml:space="preserve"> </w:t>
            </w:r>
            <w:r w:rsidR="00CA1E17" w:rsidRPr="00175708">
              <w:rPr>
                <w:b/>
              </w:rPr>
              <w:t>TOTAL</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tcPr>
          <w:p w:rsidR="00CA1E17" w:rsidRPr="00725A8A" w:rsidRDefault="00477DCE" w:rsidP="00477DC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b/>
                <w:highlight w:val="yellow"/>
              </w:rPr>
            </w:pPr>
            <w:r>
              <w:rPr>
                <w:b/>
              </w:rPr>
              <w:t>2</w:t>
            </w:r>
            <w:r w:rsidR="00582E13" w:rsidRPr="000C5CF3">
              <w:rPr>
                <w:b/>
              </w:rPr>
              <w:t>,</w:t>
            </w:r>
            <w:r>
              <w:rPr>
                <w:b/>
              </w:rPr>
              <w:t>5</w:t>
            </w:r>
            <w:r w:rsidR="00582E13" w:rsidRPr="000C5CF3">
              <w:rPr>
                <w:b/>
              </w:rPr>
              <w:t>00</w:t>
            </w:r>
          </w:p>
        </w:tc>
        <w:tc>
          <w:tcPr>
            <w:tcW w:w="989" w:type="pct"/>
            <w:tcBorders>
              <w:top w:val="single" w:sz="4" w:space="0" w:color="auto"/>
              <w:left w:val="single" w:sz="4" w:space="0" w:color="auto"/>
              <w:bottom w:val="single" w:sz="4" w:space="0" w:color="auto"/>
              <w:right w:val="single" w:sz="4" w:space="0" w:color="auto"/>
            </w:tcBorders>
            <w:vAlign w:val="center"/>
          </w:tcPr>
          <w:p w:rsidR="00CA1E17" w:rsidRPr="009D4338" w:rsidRDefault="00CA1E17" w:rsidP="00705AC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highlight w:val="yellow"/>
              </w:rPr>
            </w:pPr>
          </w:p>
        </w:tc>
        <w:tc>
          <w:tcPr>
            <w:tcW w:w="989" w:type="pct"/>
            <w:tcBorders>
              <w:top w:val="single" w:sz="4" w:space="0" w:color="auto"/>
              <w:left w:val="single" w:sz="4" w:space="0" w:color="auto"/>
              <w:bottom w:val="single" w:sz="4" w:space="0" w:color="auto"/>
              <w:right w:val="single" w:sz="4" w:space="0" w:color="auto"/>
            </w:tcBorders>
            <w:vAlign w:val="center"/>
          </w:tcPr>
          <w:p w:rsidR="00CA1E17" w:rsidRPr="009D4338" w:rsidRDefault="00CA1E17" w:rsidP="00705AC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highlight w:val="yellow"/>
              </w:rPr>
            </w:pPr>
          </w:p>
        </w:tc>
        <w:tc>
          <w:tcPr>
            <w:tcW w:w="991" w:type="pct"/>
            <w:tcBorders>
              <w:top w:val="single" w:sz="4" w:space="0" w:color="auto"/>
              <w:left w:val="single" w:sz="4" w:space="0" w:color="auto"/>
              <w:bottom w:val="single" w:sz="4" w:space="0" w:color="auto"/>
              <w:right w:val="single" w:sz="4" w:space="0" w:color="auto"/>
            </w:tcBorders>
            <w:vAlign w:val="center"/>
          </w:tcPr>
          <w:p w:rsidR="00CA1E17" w:rsidRPr="00725A8A" w:rsidRDefault="004A5CAA" w:rsidP="00F76AC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b/>
                <w:highlight w:val="yellow"/>
              </w:rPr>
            </w:pPr>
            <w:r>
              <w:rPr>
                <w:b/>
              </w:rPr>
              <w:t>750</w:t>
            </w:r>
          </w:p>
        </w:tc>
      </w:tr>
    </w:tbl>
    <w:p w:rsidR="00DD6D8F" w:rsidRDefault="00DD6D8F" w:rsidP="00D16CB4">
      <w:pPr>
        <w:ind w:firstLine="720"/>
      </w:pPr>
    </w:p>
    <w:p w:rsidR="0011271A" w:rsidRDefault="00211F8A" w:rsidP="00D16CB4">
      <w:pPr>
        <w:ind w:firstLine="720"/>
      </w:pPr>
      <w:r w:rsidRPr="00211F8A">
        <w:t>The total estimated cost to respondents is</w:t>
      </w:r>
      <w:r w:rsidRPr="009B22F6">
        <w:rPr>
          <w:color w:val="C00000"/>
        </w:rPr>
        <w:t xml:space="preserve"> </w:t>
      </w:r>
      <w:r w:rsidRPr="00894CB7">
        <w:t>$</w:t>
      </w:r>
      <w:r w:rsidR="00894CB7" w:rsidRPr="00894CB7">
        <w:t>202,650</w:t>
      </w:r>
      <w:r w:rsidRPr="006313EA">
        <w:rPr>
          <w:b/>
          <w:color w:val="FF0000"/>
        </w:rPr>
        <w:t xml:space="preserve"> </w:t>
      </w:r>
      <w:r w:rsidRPr="006313EA">
        <w:t>o</w:t>
      </w:r>
      <w:r w:rsidRPr="00F86537">
        <w:t>v</w:t>
      </w:r>
      <w:r w:rsidR="0011271A">
        <w:t xml:space="preserve">er a 3-year period.  </w:t>
      </w:r>
    </w:p>
    <w:p w:rsidR="0011271A" w:rsidRDefault="00211F8A" w:rsidP="0011271A">
      <w:r w:rsidRPr="00211F8A">
        <w:t xml:space="preserve"> </w:t>
      </w:r>
    </w:p>
    <w:p w:rsidR="003200F8" w:rsidRPr="00D1694F" w:rsidRDefault="0011271A" w:rsidP="005B319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D1694F">
        <w:t xml:space="preserve">Table A.12-2 presents the approximate cost to respondents over the three year span of this generic clearance. These estimates are based on the following data from the Bureau of Labor Statistics: </w:t>
      </w:r>
      <w:r w:rsidR="008D757F" w:rsidRPr="00D1694F">
        <w:t xml:space="preserve">the </w:t>
      </w:r>
      <w:r w:rsidR="008D757F" w:rsidRPr="00104709">
        <w:t xml:space="preserve">General </w:t>
      </w:r>
      <w:r w:rsidR="00464F92" w:rsidRPr="00104709">
        <w:t>P</w:t>
      </w:r>
      <w:r w:rsidR="008D757F" w:rsidRPr="00104709">
        <w:t>ublic</w:t>
      </w:r>
      <w:r w:rsidR="008D757F" w:rsidRPr="00104709">
        <w:rPr>
          <w:color w:val="FF0000"/>
        </w:rPr>
        <w:t xml:space="preserve"> </w:t>
      </w:r>
      <w:r w:rsidR="008D757F" w:rsidRPr="00D1694F">
        <w:t xml:space="preserve">rate was obtained from the </w:t>
      </w:r>
      <w:hyperlink r:id="rId9" w:anchor="00-0000" w:history="1">
        <w:r w:rsidR="008D757F" w:rsidRPr="00D1694F">
          <w:rPr>
            <w:rStyle w:val="Hyperlink"/>
          </w:rPr>
          <w:t>http://www.bls.gov/oes/2013/may/oes_nat.htm#00-0000</w:t>
        </w:r>
      </w:hyperlink>
      <w:r w:rsidR="008D757F" w:rsidRPr="00D1694F">
        <w:t xml:space="preserve"> occupation title “All occupations” occupation code 00-0000.  T</w:t>
      </w:r>
      <w:r w:rsidRPr="00D1694F">
        <w:t xml:space="preserve">he </w:t>
      </w:r>
      <w:r w:rsidR="008D757F" w:rsidRPr="00104709">
        <w:t>H</w:t>
      </w:r>
      <w:r w:rsidRPr="00104709">
        <w:t xml:space="preserve">ealth </w:t>
      </w:r>
      <w:r w:rsidR="008D757F" w:rsidRPr="00104709">
        <w:t>P</w:t>
      </w:r>
      <w:r w:rsidRPr="00104709">
        <w:t>rofessionals</w:t>
      </w:r>
      <w:r w:rsidRPr="00D1694F">
        <w:t xml:space="preserve"> wage rate was obtained from </w:t>
      </w:r>
      <w:hyperlink r:id="rId10" w:history="1">
        <w:r w:rsidR="003200F8" w:rsidRPr="00D1694F">
          <w:rPr>
            <w:rStyle w:val="Hyperlink"/>
          </w:rPr>
          <w:t>http://www.bls.gov/oes/2013/may/oes290000.htm</w:t>
        </w:r>
      </w:hyperlink>
    </w:p>
    <w:p w:rsidR="0011271A" w:rsidRDefault="0011271A" w:rsidP="005B319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D1694F">
        <w:t xml:space="preserve"> occupation title “Healthcare Practitioners and Technical Occupations”, occupation code 29-0000; </w:t>
      </w:r>
      <w:r w:rsidR="009B2F55" w:rsidRPr="00D1694F">
        <w:t>t</w:t>
      </w:r>
      <w:r w:rsidRPr="00D1694F">
        <w:t xml:space="preserve">he wage rate for </w:t>
      </w:r>
      <w:r w:rsidR="00F95BC0" w:rsidRPr="00104709">
        <w:t>L</w:t>
      </w:r>
      <w:r w:rsidRPr="00104709">
        <w:t>ibrarian</w:t>
      </w:r>
      <w:r w:rsidR="00F95BC0" w:rsidRPr="00104709">
        <w:t>s</w:t>
      </w:r>
      <w:r w:rsidR="00F95BC0" w:rsidRPr="00D1694F">
        <w:rPr>
          <w:b/>
        </w:rPr>
        <w:t xml:space="preserve"> </w:t>
      </w:r>
      <w:r w:rsidRPr="00D1694F">
        <w:t xml:space="preserve">was obtained from </w:t>
      </w:r>
      <w:r w:rsidR="00706CEB" w:rsidRPr="00D1694F">
        <w:t xml:space="preserve">occupation code 25-4021 </w:t>
      </w:r>
      <w:hyperlink r:id="rId11" w:history="1">
        <w:r w:rsidR="005B3194" w:rsidRPr="00D1694F">
          <w:rPr>
            <w:rStyle w:val="Hyperlink"/>
          </w:rPr>
          <w:t>http://www.bls.gov/oes/current/oes254021.htm</w:t>
        </w:r>
      </w:hyperlink>
      <w:r w:rsidR="005B3194" w:rsidRPr="00D1694F">
        <w:t xml:space="preserve">, and the </w:t>
      </w:r>
      <w:r w:rsidR="005B3194" w:rsidRPr="00104709">
        <w:t xml:space="preserve">Health Educators </w:t>
      </w:r>
      <w:r w:rsidR="005B3194" w:rsidRPr="00D1694F">
        <w:t xml:space="preserve">wage rate was obtained from </w:t>
      </w:r>
      <w:hyperlink r:id="rId12" w:history="1">
        <w:r w:rsidR="005B3194" w:rsidRPr="00D1694F">
          <w:rPr>
            <w:rStyle w:val="Hyperlink"/>
          </w:rPr>
          <w:t>http://www.bls.gov/oes/current/oes211091.htm</w:t>
        </w:r>
      </w:hyperlink>
      <w:r w:rsidR="005B3194" w:rsidRPr="00D1694F">
        <w:t>, occupation code</w:t>
      </w:r>
      <w:r w:rsidR="00A46E3B" w:rsidRPr="00D1694F">
        <w:t xml:space="preserve"> 21-1091</w:t>
      </w:r>
    </w:p>
    <w:p w:rsidR="00CC006F" w:rsidRDefault="00CC006F" w:rsidP="005B319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1271A" w:rsidRDefault="0011271A" w:rsidP="0011271A"/>
    <w:tbl>
      <w:tblPr>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0"/>
        <w:gridCol w:w="2031"/>
        <w:gridCol w:w="2306"/>
        <w:gridCol w:w="2121"/>
        <w:gridCol w:w="1203"/>
      </w:tblGrid>
      <w:tr w:rsidR="0011271A" w:rsidTr="0057290C">
        <w:trPr>
          <w:trHeight w:val="236"/>
        </w:trPr>
        <w:tc>
          <w:tcPr>
            <w:tcW w:w="9801" w:type="dxa"/>
            <w:gridSpan w:val="5"/>
            <w:tcBorders>
              <w:top w:val="single" w:sz="4" w:space="0" w:color="auto"/>
              <w:left w:val="single" w:sz="4" w:space="0" w:color="auto"/>
              <w:bottom w:val="single" w:sz="4" w:space="0" w:color="auto"/>
              <w:right w:val="single" w:sz="4" w:space="0" w:color="auto"/>
            </w:tcBorders>
            <w:vAlign w:val="center"/>
            <w:hideMark/>
          </w:tcPr>
          <w:p w:rsidR="0011271A" w:rsidRDefault="001127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outlineLvl w:val="0"/>
              <w:rPr>
                <w:b/>
              </w:rPr>
            </w:pPr>
            <w:r>
              <w:rPr>
                <w:b/>
              </w:rPr>
              <w:t>Table A.12-2 Cost to Respondents</w:t>
            </w:r>
          </w:p>
        </w:tc>
      </w:tr>
      <w:tr w:rsidR="0011271A" w:rsidTr="0057290C">
        <w:trPr>
          <w:trHeight w:val="708"/>
        </w:trPr>
        <w:tc>
          <w:tcPr>
            <w:tcW w:w="2140" w:type="dxa"/>
            <w:tcBorders>
              <w:top w:val="single" w:sz="4" w:space="0" w:color="auto"/>
              <w:left w:val="single" w:sz="4" w:space="0" w:color="auto"/>
              <w:bottom w:val="single" w:sz="4" w:space="0" w:color="auto"/>
              <w:right w:val="single" w:sz="4" w:space="0" w:color="auto"/>
            </w:tcBorders>
            <w:hideMark/>
          </w:tcPr>
          <w:p w:rsidR="0011271A" w:rsidRDefault="001127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Type of Respondents</w:t>
            </w:r>
          </w:p>
        </w:tc>
        <w:tc>
          <w:tcPr>
            <w:tcW w:w="2031" w:type="dxa"/>
            <w:tcBorders>
              <w:top w:val="single" w:sz="4" w:space="0" w:color="auto"/>
              <w:left w:val="single" w:sz="4" w:space="0" w:color="auto"/>
              <w:bottom w:val="single" w:sz="4" w:space="0" w:color="auto"/>
              <w:right w:val="single" w:sz="4" w:space="0" w:color="auto"/>
            </w:tcBorders>
            <w:hideMark/>
          </w:tcPr>
          <w:p w:rsidR="0011271A" w:rsidRDefault="001127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Total Burden Hours</w:t>
            </w:r>
          </w:p>
        </w:tc>
        <w:tc>
          <w:tcPr>
            <w:tcW w:w="2306" w:type="dxa"/>
            <w:tcBorders>
              <w:top w:val="single" w:sz="4" w:space="0" w:color="auto"/>
              <w:left w:val="single" w:sz="4" w:space="0" w:color="auto"/>
              <w:bottom w:val="single" w:sz="4" w:space="0" w:color="auto"/>
              <w:right w:val="single" w:sz="4" w:space="0" w:color="auto"/>
            </w:tcBorders>
            <w:hideMark/>
          </w:tcPr>
          <w:p w:rsidR="0011271A" w:rsidRDefault="001127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Hourly Respondent Wage Rate</w:t>
            </w:r>
          </w:p>
        </w:tc>
        <w:tc>
          <w:tcPr>
            <w:tcW w:w="2121" w:type="dxa"/>
            <w:tcBorders>
              <w:top w:val="single" w:sz="4" w:space="0" w:color="auto"/>
              <w:left w:val="single" w:sz="4" w:space="0" w:color="auto"/>
              <w:bottom w:val="single" w:sz="4" w:space="0" w:color="auto"/>
              <w:right w:val="single" w:sz="4" w:space="0" w:color="auto"/>
            </w:tcBorders>
            <w:hideMark/>
          </w:tcPr>
          <w:p w:rsidR="0011271A" w:rsidRDefault="001127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Annual Cost</w:t>
            </w:r>
          </w:p>
        </w:tc>
        <w:tc>
          <w:tcPr>
            <w:tcW w:w="1202" w:type="dxa"/>
            <w:tcBorders>
              <w:top w:val="single" w:sz="4" w:space="0" w:color="auto"/>
              <w:left w:val="single" w:sz="4" w:space="0" w:color="auto"/>
              <w:bottom w:val="single" w:sz="4" w:space="0" w:color="auto"/>
              <w:right w:val="single" w:sz="4" w:space="0" w:color="auto"/>
            </w:tcBorders>
            <w:hideMark/>
          </w:tcPr>
          <w:p w:rsidR="0011271A" w:rsidRPr="003F7860" w:rsidRDefault="001127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3F7860">
              <w:t>Three Year Cost</w:t>
            </w:r>
          </w:p>
        </w:tc>
      </w:tr>
      <w:tr w:rsidR="0011271A" w:rsidTr="0057290C">
        <w:trPr>
          <w:trHeight w:val="791"/>
        </w:trPr>
        <w:tc>
          <w:tcPr>
            <w:tcW w:w="2140" w:type="dxa"/>
            <w:tcBorders>
              <w:top w:val="single" w:sz="4" w:space="0" w:color="auto"/>
              <w:left w:val="single" w:sz="4" w:space="0" w:color="auto"/>
              <w:bottom w:val="single" w:sz="4" w:space="0" w:color="auto"/>
              <w:right w:val="single" w:sz="4" w:space="0" w:color="auto"/>
            </w:tcBorders>
          </w:tcPr>
          <w:p w:rsidR="00AE5CF5" w:rsidRDefault="00AE5CF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p>
          <w:p w:rsidR="0011271A" w:rsidRDefault="00AE5CF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General Public</w:t>
            </w:r>
          </w:p>
        </w:tc>
        <w:tc>
          <w:tcPr>
            <w:tcW w:w="2031" w:type="dxa"/>
            <w:tcBorders>
              <w:top w:val="single" w:sz="4" w:space="0" w:color="auto"/>
              <w:left w:val="single" w:sz="4" w:space="0" w:color="auto"/>
              <w:bottom w:val="single" w:sz="4" w:space="0" w:color="auto"/>
              <w:right w:val="single" w:sz="4" w:space="0" w:color="auto"/>
            </w:tcBorders>
            <w:vAlign w:val="center"/>
            <w:hideMark/>
          </w:tcPr>
          <w:p w:rsidR="0011271A" w:rsidRDefault="00462329" w:rsidP="00AE5CF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10</w:t>
            </w:r>
            <w:r w:rsidR="00DA26A2">
              <w:t>00</w:t>
            </w:r>
          </w:p>
        </w:tc>
        <w:tc>
          <w:tcPr>
            <w:tcW w:w="2306" w:type="dxa"/>
            <w:tcBorders>
              <w:top w:val="single" w:sz="4" w:space="0" w:color="auto"/>
              <w:left w:val="single" w:sz="4" w:space="0" w:color="auto"/>
              <w:bottom w:val="single" w:sz="4" w:space="0" w:color="auto"/>
              <w:right w:val="single" w:sz="4" w:space="0" w:color="auto"/>
            </w:tcBorders>
            <w:vAlign w:val="center"/>
            <w:hideMark/>
          </w:tcPr>
          <w:p w:rsidR="0011271A" w:rsidRDefault="00792161" w:rsidP="00AE5CF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792161">
              <w:t>$22.33</w:t>
            </w:r>
          </w:p>
        </w:tc>
        <w:tc>
          <w:tcPr>
            <w:tcW w:w="2121" w:type="dxa"/>
            <w:tcBorders>
              <w:top w:val="single" w:sz="4" w:space="0" w:color="auto"/>
              <w:left w:val="single" w:sz="4" w:space="0" w:color="auto"/>
              <w:bottom w:val="single" w:sz="4" w:space="0" w:color="auto"/>
              <w:right w:val="single" w:sz="4" w:space="0" w:color="auto"/>
            </w:tcBorders>
            <w:vAlign w:val="center"/>
            <w:hideMark/>
          </w:tcPr>
          <w:p w:rsidR="00AE5CF5" w:rsidRDefault="00AE5CF5" w:rsidP="00AE5CF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p>
          <w:p w:rsidR="0011271A" w:rsidRDefault="00194B58" w:rsidP="00AE5CF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w:t>
            </w:r>
            <w:r w:rsidR="00C83023">
              <w:t>22</w:t>
            </w:r>
            <w:r w:rsidR="00B46FAB">
              <w:t>,</w:t>
            </w:r>
            <w:r w:rsidR="00C83023">
              <w:t>330</w:t>
            </w:r>
          </w:p>
          <w:p w:rsidR="00194B58" w:rsidRDefault="00194B58" w:rsidP="00AE5CF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p>
        </w:tc>
        <w:tc>
          <w:tcPr>
            <w:tcW w:w="1202" w:type="dxa"/>
            <w:tcBorders>
              <w:top w:val="single" w:sz="4" w:space="0" w:color="auto"/>
              <w:left w:val="single" w:sz="4" w:space="0" w:color="auto"/>
              <w:bottom w:val="single" w:sz="4" w:space="0" w:color="auto"/>
              <w:right w:val="single" w:sz="4" w:space="0" w:color="auto"/>
            </w:tcBorders>
            <w:vAlign w:val="center"/>
            <w:hideMark/>
          </w:tcPr>
          <w:p w:rsidR="0011271A" w:rsidRDefault="00194B58" w:rsidP="00AE5CF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w:t>
            </w:r>
            <w:r w:rsidR="00C83023">
              <w:t>66</w:t>
            </w:r>
            <w:r w:rsidR="00B46FAB">
              <w:t>,</w:t>
            </w:r>
            <w:r w:rsidR="00C83023">
              <w:t>990</w:t>
            </w:r>
          </w:p>
        </w:tc>
      </w:tr>
      <w:tr w:rsidR="0011271A" w:rsidTr="0057290C">
        <w:trPr>
          <w:trHeight w:val="658"/>
        </w:trPr>
        <w:tc>
          <w:tcPr>
            <w:tcW w:w="2140" w:type="dxa"/>
            <w:tcBorders>
              <w:top w:val="single" w:sz="4" w:space="0" w:color="auto"/>
              <w:left w:val="single" w:sz="4" w:space="0" w:color="auto"/>
              <w:bottom w:val="single" w:sz="4" w:space="0" w:color="auto"/>
              <w:right w:val="single" w:sz="4" w:space="0" w:color="auto"/>
            </w:tcBorders>
          </w:tcPr>
          <w:p w:rsidR="00AE5CF5" w:rsidRDefault="00AE5CF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11271A" w:rsidRDefault="001127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 xml:space="preserve">Health Professionals </w:t>
            </w:r>
          </w:p>
          <w:p w:rsidR="0011271A" w:rsidRDefault="001127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p>
        </w:tc>
        <w:tc>
          <w:tcPr>
            <w:tcW w:w="2031" w:type="dxa"/>
            <w:tcBorders>
              <w:top w:val="single" w:sz="4" w:space="0" w:color="auto"/>
              <w:left w:val="single" w:sz="4" w:space="0" w:color="auto"/>
              <w:bottom w:val="single" w:sz="4" w:space="0" w:color="auto"/>
              <w:right w:val="single" w:sz="4" w:space="0" w:color="auto"/>
            </w:tcBorders>
            <w:vAlign w:val="center"/>
            <w:hideMark/>
          </w:tcPr>
          <w:p w:rsidR="0011271A" w:rsidRDefault="0029335D" w:rsidP="00AE5CF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5</w:t>
            </w:r>
            <w:r w:rsidR="00DA26A2">
              <w:t>00</w:t>
            </w:r>
          </w:p>
        </w:tc>
        <w:tc>
          <w:tcPr>
            <w:tcW w:w="2306" w:type="dxa"/>
            <w:tcBorders>
              <w:top w:val="single" w:sz="4" w:space="0" w:color="auto"/>
              <w:left w:val="single" w:sz="4" w:space="0" w:color="auto"/>
              <w:bottom w:val="single" w:sz="4" w:space="0" w:color="auto"/>
              <w:right w:val="single" w:sz="4" w:space="0" w:color="auto"/>
            </w:tcBorders>
            <w:vAlign w:val="center"/>
            <w:hideMark/>
          </w:tcPr>
          <w:p w:rsidR="0011271A" w:rsidRDefault="00A15743" w:rsidP="00AE5CF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A15743">
              <w:t>$35.93</w:t>
            </w:r>
          </w:p>
        </w:tc>
        <w:tc>
          <w:tcPr>
            <w:tcW w:w="2121" w:type="dxa"/>
            <w:tcBorders>
              <w:top w:val="single" w:sz="4" w:space="0" w:color="auto"/>
              <w:left w:val="single" w:sz="4" w:space="0" w:color="auto"/>
              <w:bottom w:val="single" w:sz="4" w:space="0" w:color="auto"/>
              <w:right w:val="single" w:sz="4" w:space="0" w:color="auto"/>
            </w:tcBorders>
            <w:vAlign w:val="center"/>
            <w:hideMark/>
          </w:tcPr>
          <w:p w:rsidR="0011271A" w:rsidRDefault="004655D5" w:rsidP="00E65EE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w:t>
            </w:r>
            <w:r w:rsidR="00305A46">
              <w:t>1</w:t>
            </w:r>
            <w:r w:rsidR="00E65EE7">
              <w:t>7</w:t>
            </w:r>
            <w:r w:rsidR="00C83023">
              <w:t>,</w:t>
            </w:r>
            <w:r w:rsidR="00E65EE7">
              <w:t>965</w:t>
            </w:r>
          </w:p>
        </w:tc>
        <w:tc>
          <w:tcPr>
            <w:tcW w:w="1202" w:type="dxa"/>
            <w:tcBorders>
              <w:top w:val="single" w:sz="4" w:space="0" w:color="auto"/>
              <w:left w:val="single" w:sz="4" w:space="0" w:color="auto"/>
              <w:bottom w:val="single" w:sz="4" w:space="0" w:color="auto"/>
              <w:right w:val="single" w:sz="4" w:space="0" w:color="auto"/>
            </w:tcBorders>
            <w:vAlign w:val="center"/>
            <w:hideMark/>
          </w:tcPr>
          <w:p w:rsidR="0011271A" w:rsidRDefault="004655D5" w:rsidP="00E65EE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w:t>
            </w:r>
            <w:r w:rsidR="00E65EE7">
              <w:t>5</w:t>
            </w:r>
            <w:r w:rsidR="00C83023">
              <w:t>3,</w:t>
            </w:r>
            <w:r w:rsidR="00E65EE7">
              <w:t>895</w:t>
            </w:r>
          </w:p>
        </w:tc>
      </w:tr>
      <w:tr w:rsidR="0011271A" w:rsidTr="0057290C">
        <w:trPr>
          <w:trHeight w:val="236"/>
        </w:trPr>
        <w:tc>
          <w:tcPr>
            <w:tcW w:w="2140" w:type="dxa"/>
            <w:tcBorders>
              <w:top w:val="single" w:sz="4" w:space="0" w:color="auto"/>
              <w:left w:val="single" w:sz="4" w:space="0" w:color="auto"/>
              <w:bottom w:val="single" w:sz="4" w:space="0" w:color="auto"/>
              <w:right w:val="single" w:sz="4" w:space="0" w:color="auto"/>
            </w:tcBorders>
          </w:tcPr>
          <w:p w:rsidR="00AE5CF5" w:rsidRDefault="00AE5CF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p>
          <w:p w:rsidR="0011271A" w:rsidRDefault="001127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 xml:space="preserve">Librarians </w:t>
            </w:r>
          </w:p>
          <w:p w:rsidR="00014736" w:rsidRDefault="000147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p>
        </w:tc>
        <w:tc>
          <w:tcPr>
            <w:tcW w:w="2031" w:type="dxa"/>
            <w:tcBorders>
              <w:top w:val="single" w:sz="4" w:space="0" w:color="auto"/>
              <w:left w:val="single" w:sz="4" w:space="0" w:color="auto"/>
              <w:bottom w:val="single" w:sz="4" w:space="0" w:color="auto"/>
              <w:right w:val="single" w:sz="4" w:space="0" w:color="auto"/>
            </w:tcBorders>
            <w:vAlign w:val="center"/>
          </w:tcPr>
          <w:p w:rsidR="0011271A" w:rsidRDefault="0029335D" w:rsidP="00AE5CF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5</w:t>
            </w:r>
            <w:r w:rsidR="00DA26A2">
              <w:t>00</w:t>
            </w:r>
          </w:p>
        </w:tc>
        <w:tc>
          <w:tcPr>
            <w:tcW w:w="2306" w:type="dxa"/>
            <w:tcBorders>
              <w:top w:val="single" w:sz="4" w:space="0" w:color="auto"/>
              <w:left w:val="single" w:sz="4" w:space="0" w:color="auto"/>
              <w:bottom w:val="single" w:sz="4" w:space="0" w:color="auto"/>
              <w:right w:val="single" w:sz="4" w:space="0" w:color="auto"/>
            </w:tcBorders>
            <w:vAlign w:val="center"/>
          </w:tcPr>
          <w:p w:rsidR="0011271A" w:rsidRDefault="004D3611" w:rsidP="00AE5CF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4D3611">
              <w:t>$27.94</w:t>
            </w:r>
          </w:p>
        </w:tc>
        <w:tc>
          <w:tcPr>
            <w:tcW w:w="2121" w:type="dxa"/>
            <w:tcBorders>
              <w:top w:val="single" w:sz="4" w:space="0" w:color="auto"/>
              <w:left w:val="single" w:sz="4" w:space="0" w:color="auto"/>
              <w:bottom w:val="single" w:sz="4" w:space="0" w:color="auto"/>
              <w:right w:val="single" w:sz="4" w:space="0" w:color="auto"/>
            </w:tcBorders>
            <w:vAlign w:val="center"/>
          </w:tcPr>
          <w:p w:rsidR="0011271A" w:rsidRDefault="004655D5" w:rsidP="00E65EE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w:t>
            </w:r>
            <w:r w:rsidR="00E65EE7">
              <w:t>13</w:t>
            </w:r>
            <w:r w:rsidR="00421359">
              <w:t>,</w:t>
            </w:r>
            <w:r w:rsidR="00E65EE7">
              <w:t>970</w:t>
            </w:r>
          </w:p>
        </w:tc>
        <w:tc>
          <w:tcPr>
            <w:tcW w:w="1202" w:type="dxa"/>
            <w:tcBorders>
              <w:top w:val="single" w:sz="4" w:space="0" w:color="auto"/>
              <w:left w:val="single" w:sz="4" w:space="0" w:color="auto"/>
              <w:bottom w:val="single" w:sz="4" w:space="0" w:color="auto"/>
              <w:right w:val="single" w:sz="4" w:space="0" w:color="auto"/>
            </w:tcBorders>
            <w:vAlign w:val="center"/>
          </w:tcPr>
          <w:p w:rsidR="0011271A" w:rsidRDefault="004655D5" w:rsidP="00E65EE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w:t>
            </w:r>
            <w:r w:rsidR="00E65EE7">
              <w:t>41</w:t>
            </w:r>
            <w:r w:rsidR="00421359">
              <w:t>,</w:t>
            </w:r>
            <w:r w:rsidR="00E65EE7">
              <w:t>910</w:t>
            </w:r>
          </w:p>
        </w:tc>
      </w:tr>
      <w:tr w:rsidR="007121C1" w:rsidTr="0057290C">
        <w:trPr>
          <w:trHeight w:val="236"/>
        </w:trPr>
        <w:tc>
          <w:tcPr>
            <w:tcW w:w="2140" w:type="dxa"/>
            <w:tcBorders>
              <w:top w:val="single" w:sz="4" w:space="0" w:color="auto"/>
              <w:left w:val="single" w:sz="4" w:space="0" w:color="auto"/>
              <w:bottom w:val="single" w:sz="4" w:space="0" w:color="auto"/>
              <w:right w:val="single" w:sz="4" w:space="0" w:color="auto"/>
            </w:tcBorders>
          </w:tcPr>
          <w:p w:rsidR="00AE5CF5" w:rsidRDefault="00AE5CF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p>
          <w:p w:rsidR="007121C1" w:rsidRDefault="007121C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Health Educators</w:t>
            </w:r>
          </w:p>
          <w:p w:rsidR="007121C1" w:rsidRDefault="007121C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p>
        </w:tc>
        <w:tc>
          <w:tcPr>
            <w:tcW w:w="2031" w:type="dxa"/>
            <w:tcBorders>
              <w:top w:val="single" w:sz="4" w:space="0" w:color="auto"/>
              <w:left w:val="single" w:sz="4" w:space="0" w:color="auto"/>
              <w:bottom w:val="single" w:sz="4" w:space="0" w:color="auto"/>
              <w:right w:val="single" w:sz="4" w:space="0" w:color="auto"/>
            </w:tcBorders>
            <w:vAlign w:val="center"/>
          </w:tcPr>
          <w:p w:rsidR="007121C1" w:rsidRDefault="0029335D" w:rsidP="00AE5CF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5</w:t>
            </w:r>
            <w:r w:rsidR="00DA26A2">
              <w:t>00</w:t>
            </w:r>
          </w:p>
        </w:tc>
        <w:tc>
          <w:tcPr>
            <w:tcW w:w="2306" w:type="dxa"/>
            <w:tcBorders>
              <w:top w:val="single" w:sz="4" w:space="0" w:color="auto"/>
              <w:left w:val="single" w:sz="4" w:space="0" w:color="auto"/>
              <w:bottom w:val="single" w:sz="4" w:space="0" w:color="auto"/>
              <w:right w:val="single" w:sz="4" w:space="0" w:color="auto"/>
            </w:tcBorders>
            <w:vAlign w:val="center"/>
          </w:tcPr>
          <w:p w:rsidR="007121C1" w:rsidRPr="001123F9" w:rsidRDefault="001C4007" w:rsidP="00AE5CF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color w:val="FF0000"/>
                <w:highlight w:val="yellow"/>
              </w:rPr>
            </w:pPr>
            <w:r w:rsidRPr="001C4007">
              <w:t>$26.57</w:t>
            </w:r>
          </w:p>
        </w:tc>
        <w:tc>
          <w:tcPr>
            <w:tcW w:w="2121" w:type="dxa"/>
            <w:tcBorders>
              <w:top w:val="single" w:sz="4" w:space="0" w:color="auto"/>
              <w:left w:val="single" w:sz="4" w:space="0" w:color="auto"/>
              <w:bottom w:val="single" w:sz="4" w:space="0" w:color="auto"/>
              <w:right w:val="single" w:sz="4" w:space="0" w:color="auto"/>
            </w:tcBorders>
            <w:vAlign w:val="center"/>
          </w:tcPr>
          <w:p w:rsidR="007121C1" w:rsidRDefault="004B0464" w:rsidP="006918C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w:t>
            </w:r>
            <w:r w:rsidR="006918C3">
              <w:t>13,285</w:t>
            </w:r>
          </w:p>
        </w:tc>
        <w:tc>
          <w:tcPr>
            <w:tcW w:w="1202" w:type="dxa"/>
            <w:tcBorders>
              <w:top w:val="single" w:sz="4" w:space="0" w:color="auto"/>
              <w:left w:val="single" w:sz="4" w:space="0" w:color="auto"/>
              <w:bottom w:val="single" w:sz="4" w:space="0" w:color="auto"/>
              <w:right w:val="single" w:sz="4" w:space="0" w:color="auto"/>
            </w:tcBorders>
            <w:vAlign w:val="center"/>
          </w:tcPr>
          <w:p w:rsidR="007121C1" w:rsidRDefault="00305A46" w:rsidP="006918C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w:t>
            </w:r>
            <w:r w:rsidR="006918C3">
              <w:t>39,855</w:t>
            </w:r>
          </w:p>
        </w:tc>
      </w:tr>
      <w:tr w:rsidR="0011271A" w:rsidTr="0057290C">
        <w:trPr>
          <w:trHeight w:val="289"/>
        </w:trPr>
        <w:tc>
          <w:tcPr>
            <w:tcW w:w="2140" w:type="dxa"/>
            <w:tcBorders>
              <w:top w:val="single" w:sz="4" w:space="0" w:color="auto"/>
              <w:left w:val="single" w:sz="4" w:space="0" w:color="auto"/>
              <w:bottom w:val="single" w:sz="4" w:space="0" w:color="auto"/>
              <w:right w:val="single" w:sz="4" w:space="0" w:color="auto"/>
            </w:tcBorders>
            <w:hideMark/>
          </w:tcPr>
          <w:p w:rsidR="0011271A" w:rsidRPr="007121C1" w:rsidRDefault="001127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b/>
              </w:rPr>
            </w:pPr>
            <w:r w:rsidRPr="007121C1">
              <w:rPr>
                <w:b/>
              </w:rPr>
              <w:t>TOTAL</w:t>
            </w:r>
          </w:p>
        </w:tc>
        <w:tc>
          <w:tcPr>
            <w:tcW w:w="2031" w:type="dxa"/>
            <w:tcBorders>
              <w:top w:val="single" w:sz="4" w:space="0" w:color="auto"/>
              <w:left w:val="single" w:sz="4" w:space="0" w:color="auto"/>
              <w:bottom w:val="single" w:sz="4" w:space="0" w:color="auto"/>
              <w:right w:val="single" w:sz="4" w:space="0" w:color="auto"/>
            </w:tcBorders>
            <w:hideMark/>
          </w:tcPr>
          <w:p w:rsidR="0011271A" w:rsidRPr="003F7860" w:rsidRDefault="0034772F" w:rsidP="003477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b/>
              </w:rPr>
            </w:pPr>
            <w:r>
              <w:rPr>
                <w:b/>
              </w:rPr>
              <w:t>2</w:t>
            </w:r>
            <w:r w:rsidR="00400438" w:rsidRPr="00710EBC">
              <w:rPr>
                <w:b/>
              </w:rPr>
              <w:t>,</w:t>
            </w:r>
            <w:r>
              <w:rPr>
                <w:b/>
              </w:rPr>
              <w:t>5</w:t>
            </w:r>
            <w:r w:rsidR="00400438" w:rsidRPr="00710EBC">
              <w:rPr>
                <w:b/>
              </w:rPr>
              <w:t>00</w:t>
            </w:r>
          </w:p>
        </w:tc>
        <w:tc>
          <w:tcPr>
            <w:tcW w:w="2306" w:type="dxa"/>
            <w:tcBorders>
              <w:top w:val="single" w:sz="4" w:space="0" w:color="auto"/>
              <w:left w:val="single" w:sz="4" w:space="0" w:color="auto"/>
              <w:bottom w:val="single" w:sz="4" w:space="0" w:color="auto"/>
              <w:right w:val="single" w:sz="4" w:space="0" w:color="auto"/>
            </w:tcBorders>
          </w:tcPr>
          <w:p w:rsidR="0011271A" w:rsidRDefault="001127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p>
        </w:tc>
        <w:tc>
          <w:tcPr>
            <w:tcW w:w="2121" w:type="dxa"/>
            <w:tcBorders>
              <w:top w:val="single" w:sz="4" w:space="0" w:color="auto"/>
              <w:left w:val="single" w:sz="4" w:space="0" w:color="auto"/>
              <w:bottom w:val="single" w:sz="4" w:space="0" w:color="auto"/>
              <w:right w:val="single" w:sz="4" w:space="0" w:color="auto"/>
            </w:tcBorders>
            <w:hideMark/>
          </w:tcPr>
          <w:p w:rsidR="0011271A" w:rsidRPr="00F71F40" w:rsidRDefault="004478E3" w:rsidP="006918C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b/>
              </w:rPr>
            </w:pPr>
            <w:r>
              <w:rPr>
                <w:b/>
              </w:rPr>
              <w:t>$</w:t>
            </w:r>
            <w:r w:rsidR="006918C3">
              <w:rPr>
                <w:b/>
              </w:rPr>
              <w:t>67,550</w:t>
            </w:r>
          </w:p>
        </w:tc>
        <w:tc>
          <w:tcPr>
            <w:tcW w:w="1202" w:type="dxa"/>
            <w:tcBorders>
              <w:top w:val="single" w:sz="4" w:space="0" w:color="auto"/>
              <w:left w:val="single" w:sz="4" w:space="0" w:color="auto"/>
              <w:bottom w:val="single" w:sz="4" w:space="0" w:color="auto"/>
              <w:right w:val="single" w:sz="4" w:space="0" w:color="auto"/>
            </w:tcBorders>
            <w:hideMark/>
          </w:tcPr>
          <w:p w:rsidR="0011271A" w:rsidRPr="00E62826" w:rsidRDefault="00F70E92" w:rsidP="006918C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b/>
              </w:rPr>
            </w:pPr>
            <w:r w:rsidRPr="00E62826">
              <w:rPr>
                <w:b/>
              </w:rPr>
              <w:t>$</w:t>
            </w:r>
            <w:r w:rsidR="006918C3">
              <w:rPr>
                <w:b/>
              </w:rPr>
              <w:t>202,650</w:t>
            </w:r>
          </w:p>
        </w:tc>
      </w:tr>
    </w:tbl>
    <w:p w:rsidR="0011271A" w:rsidRDefault="0011271A" w:rsidP="00BB5F82"/>
    <w:p w:rsidR="00EF4972" w:rsidRDefault="00100E14" w:rsidP="001E6446">
      <w:r>
        <w:t xml:space="preserve">           </w:t>
      </w:r>
    </w:p>
    <w:p w:rsidR="00EF4972" w:rsidRDefault="00EF4972" w:rsidP="00423CD5">
      <w:pPr>
        <w:ind w:left="720" w:right="576" w:hanging="720"/>
        <w:rPr>
          <w:rStyle w:val="Strong"/>
        </w:rPr>
      </w:pPr>
      <w:r>
        <w:rPr>
          <w:rStyle w:val="Strong"/>
        </w:rPr>
        <w:t xml:space="preserve">A.13 </w:t>
      </w:r>
      <w:r>
        <w:rPr>
          <w:rStyle w:val="Strong"/>
        </w:rPr>
        <w:tab/>
      </w:r>
      <w:r>
        <w:rPr>
          <w:b/>
        </w:rPr>
        <w:t xml:space="preserve">Estimates </w:t>
      </w:r>
      <w:r w:rsidRPr="008D4E43">
        <w:rPr>
          <w:b/>
        </w:rPr>
        <w:t xml:space="preserve">of Other Total Annual Cost Burden to Respondents and </w:t>
      </w:r>
      <w:r>
        <w:rPr>
          <w:b/>
        </w:rPr>
        <w:t>R</w:t>
      </w:r>
      <w:r w:rsidRPr="008D4E43">
        <w:rPr>
          <w:b/>
        </w:rPr>
        <w:t>ecord Keepers</w:t>
      </w:r>
      <w:r>
        <w:rPr>
          <w:rStyle w:val="Strong"/>
        </w:rPr>
        <w:tab/>
      </w:r>
    </w:p>
    <w:p w:rsidR="00EF4972" w:rsidRPr="00370833" w:rsidRDefault="00EF4972" w:rsidP="001E6446">
      <w:pPr>
        <w:rPr>
          <w:b/>
        </w:rPr>
      </w:pPr>
    </w:p>
    <w:p w:rsidR="00EF4972" w:rsidRDefault="00EF4972" w:rsidP="001E41E2">
      <w:pPr>
        <w:ind w:left="720"/>
      </w:pPr>
      <w:r>
        <w:t>There is no other annual cost burden to report for respondents or record keepers for this collection.</w:t>
      </w:r>
    </w:p>
    <w:p w:rsidR="00EF4972" w:rsidRDefault="00EF4972" w:rsidP="001E41E2">
      <w:pPr>
        <w:ind w:left="720"/>
      </w:pPr>
    </w:p>
    <w:p w:rsidR="00EF4972" w:rsidRDefault="00EF4972" w:rsidP="006E3187">
      <w:pPr>
        <w:spacing w:after="240"/>
        <w:ind w:left="720"/>
      </w:pPr>
      <w:r>
        <w:t xml:space="preserve">There are no capital and startup costs/operation and maintenance costs associated with these surveys. </w:t>
      </w:r>
    </w:p>
    <w:p w:rsidR="00EF4972" w:rsidRDefault="00EF4972" w:rsidP="000428BD">
      <w:pPr>
        <w:rPr>
          <w:b/>
        </w:rPr>
      </w:pPr>
      <w:r>
        <w:t> </w:t>
      </w:r>
      <w:r>
        <w:rPr>
          <w:rStyle w:val="Strong"/>
        </w:rPr>
        <w:t xml:space="preserve">A.14 </w:t>
      </w:r>
      <w:r>
        <w:rPr>
          <w:rStyle w:val="Strong"/>
        </w:rPr>
        <w:tab/>
      </w:r>
      <w:r>
        <w:rPr>
          <w:b/>
        </w:rPr>
        <w:t>Annualized Cost to the Federal Government</w:t>
      </w:r>
    </w:p>
    <w:p w:rsidR="00EF4972" w:rsidRDefault="00EF4972" w:rsidP="00887E26">
      <w:pPr>
        <w:rPr>
          <w:rFonts w:ascii="DIGNJA+TimesNewRoman" w:hAnsi="DIGNJA+TimesNewRoman"/>
          <w:sz w:val="22"/>
          <w:szCs w:val="22"/>
        </w:rPr>
      </w:pPr>
    </w:p>
    <w:p w:rsidR="00841E4A" w:rsidRDefault="00AC5815" w:rsidP="00873F9F">
      <w:pPr>
        <w:ind w:left="720"/>
        <w:rPr>
          <w:b/>
        </w:rPr>
      </w:pPr>
      <w:r w:rsidRPr="00865EE9">
        <w:t>The estimated annualized cost to the federal government is approximately $</w:t>
      </w:r>
      <w:r w:rsidR="00061791" w:rsidRPr="00A863DD">
        <w:t>78,942</w:t>
      </w:r>
      <w:r w:rsidRPr="00A863DD">
        <w:t xml:space="preserve">, </w:t>
      </w:r>
      <w:r w:rsidRPr="00865EE9">
        <w:t>which amounts to a total estimated cost of</w:t>
      </w:r>
      <w:r w:rsidRPr="00A863DD">
        <w:rPr>
          <w:b/>
        </w:rPr>
        <w:t xml:space="preserve"> </w:t>
      </w:r>
      <w:r w:rsidRPr="00A863DD">
        <w:t>$</w:t>
      </w:r>
      <w:r w:rsidR="00061791" w:rsidRPr="00A863DD">
        <w:t>236,826</w:t>
      </w:r>
      <w:r w:rsidRPr="00A863DD">
        <w:rPr>
          <w:b/>
        </w:rPr>
        <w:t xml:space="preserve"> </w:t>
      </w:r>
      <w:r w:rsidRPr="004A6ABE">
        <w:t>o</w:t>
      </w:r>
      <w:r w:rsidRPr="00865EE9">
        <w:t>ver the duration of three years.  Table A.14</w:t>
      </w:r>
      <w:r>
        <w:t>-1</w:t>
      </w:r>
      <w:r w:rsidRPr="00865EE9">
        <w:t xml:space="preserve"> contains estimated costs by category of cost.  </w:t>
      </w:r>
      <w:r w:rsidR="00873F9F" w:rsidRPr="00873F9F">
        <w:rPr>
          <w:b/>
        </w:rPr>
        <w:t xml:space="preserve"> </w:t>
      </w:r>
    </w:p>
    <w:p w:rsidR="000A24CC" w:rsidRDefault="000A24CC" w:rsidP="00873F9F">
      <w:pPr>
        <w:ind w:left="720"/>
        <w:rPr>
          <w:b/>
        </w:rPr>
      </w:pPr>
    </w:p>
    <w:p w:rsidR="00873F9F" w:rsidRDefault="00873F9F" w:rsidP="00873F9F">
      <w:pPr>
        <w:ind w:left="720"/>
        <w:rPr>
          <w:b/>
        </w:rPr>
      </w:pPr>
      <w:r w:rsidRPr="00873F9F">
        <w:rPr>
          <w: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88"/>
        <w:gridCol w:w="1648"/>
        <w:gridCol w:w="2338"/>
        <w:gridCol w:w="1102"/>
      </w:tblGrid>
      <w:tr w:rsidR="004476CB" w:rsidRPr="00C14AEE" w:rsidTr="00D337E4">
        <w:tc>
          <w:tcPr>
            <w:tcW w:w="9576" w:type="dxa"/>
            <w:gridSpan w:val="4"/>
          </w:tcPr>
          <w:p w:rsidR="004476CB" w:rsidRPr="00C14AEE" w:rsidRDefault="00DE2DE7" w:rsidP="00D337E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
              <w:rPr>
                <w:b/>
              </w:rPr>
              <w:t xml:space="preserve">                       </w:t>
            </w:r>
            <w:r w:rsidR="004476CB" w:rsidRPr="00865EE9">
              <w:rPr>
                <w:b/>
              </w:rPr>
              <w:t>Table A.14-1 Annualized Costs to the Federal Government</w:t>
            </w:r>
          </w:p>
        </w:tc>
      </w:tr>
      <w:tr w:rsidR="0095793B" w:rsidRPr="00C14AEE" w:rsidTr="002009C9">
        <w:tc>
          <w:tcPr>
            <w:tcW w:w="4570" w:type="dxa"/>
            <w:vMerge w:val="restart"/>
          </w:tcPr>
          <w:p w:rsidR="004476CB" w:rsidRPr="00C14AEE" w:rsidRDefault="004476CB" w:rsidP="00D337E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 w:rsidRPr="00C14AEE">
              <w:t>Annual costs for N</w:t>
            </w:r>
            <w:r w:rsidR="009A502E">
              <w:t>LM</w:t>
            </w:r>
            <w:r w:rsidRPr="00C14AEE">
              <w:t xml:space="preserve"> staff to plan, conduct, </w:t>
            </w:r>
            <w:r w:rsidR="009A502E">
              <w:t>and analyze the outcomes of the information collections</w:t>
            </w:r>
            <w:r w:rsidRPr="00C14AEE">
              <w:t>:</w:t>
            </w:r>
          </w:p>
          <w:p w:rsidR="004476CB" w:rsidRPr="00C14AEE" w:rsidRDefault="004476CB" w:rsidP="00D337E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p>
        </w:tc>
        <w:tc>
          <w:tcPr>
            <w:tcW w:w="1579" w:type="dxa"/>
          </w:tcPr>
          <w:p w:rsidR="004476CB" w:rsidRPr="00C14AEE" w:rsidRDefault="004476CB" w:rsidP="00D337E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 w:rsidRPr="00C14AEE">
              <w:t>Managerial</w:t>
            </w:r>
          </w:p>
        </w:tc>
        <w:tc>
          <w:tcPr>
            <w:tcW w:w="2311" w:type="dxa"/>
          </w:tcPr>
          <w:p w:rsidR="004476CB" w:rsidRPr="001B52E0" w:rsidRDefault="004476CB" w:rsidP="009579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 w:rsidRPr="001B52E0">
              <w:t>0.10 FTE GS-14/</w:t>
            </w:r>
            <w:r w:rsidR="004F680D" w:rsidRPr="001B52E0">
              <w:t>10</w:t>
            </w:r>
            <w:r w:rsidRPr="001B52E0">
              <w:t xml:space="preserve"> ($1</w:t>
            </w:r>
            <w:r w:rsidR="0095793B" w:rsidRPr="001B52E0">
              <w:t>39</w:t>
            </w:r>
            <w:r w:rsidRPr="001B52E0">
              <w:t>,</w:t>
            </w:r>
            <w:r w:rsidR="0095793B" w:rsidRPr="001B52E0">
              <w:t>523</w:t>
            </w:r>
            <w:r w:rsidRPr="001B52E0">
              <w:t>)</w:t>
            </w:r>
          </w:p>
        </w:tc>
        <w:tc>
          <w:tcPr>
            <w:tcW w:w="0" w:type="auto"/>
          </w:tcPr>
          <w:p w:rsidR="004476CB" w:rsidRPr="001B52E0" w:rsidRDefault="004476CB" w:rsidP="001B52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 w:rsidRPr="001B52E0">
              <w:t xml:space="preserve">  $1</w:t>
            </w:r>
            <w:r w:rsidR="001B52E0" w:rsidRPr="001B52E0">
              <w:t>3</w:t>
            </w:r>
            <w:r w:rsidRPr="001B52E0">
              <w:t>,</w:t>
            </w:r>
            <w:r w:rsidR="001B52E0" w:rsidRPr="001B52E0">
              <w:t>952</w:t>
            </w:r>
          </w:p>
        </w:tc>
      </w:tr>
      <w:tr w:rsidR="0095793B" w:rsidRPr="00C14AEE" w:rsidTr="004F680D">
        <w:tc>
          <w:tcPr>
            <w:tcW w:w="4570" w:type="dxa"/>
            <w:vMerge/>
          </w:tcPr>
          <w:p w:rsidR="004476CB" w:rsidRPr="00C14AEE" w:rsidRDefault="004476CB" w:rsidP="00D337E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p>
        </w:tc>
        <w:tc>
          <w:tcPr>
            <w:tcW w:w="1579" w:type="dxa"/>
            <w:shd w:val="clear" w:color="auto" w:fill="auto"/>
          </w:tcPr>
          <w:p w:rsidR="004476CB" w:rsidRPr="00C14AEE" w:rsidRDefault="004476CB" w:rsidP="00D337E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 w:rsidRPr="004F680D">
              <w:t>Research Staff</w:t>
            </w:r>
          </w:p>
        </w:tc>
        <w:tc>
          <w:tcPr>
            <w:tcW w:w="2311" w:type="dxa"/>
          </w:tcPr>
          <w:p w:rsidR="004476CB" w:rsidRPr="001B52E0" w:rsidRDefault="004476CB" w:rsidP="009579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 w:rsidRPr="001B52E0">
              <w:t>0.</w:t>
            </w:r>
            <w:r w:rsidR="00D8721B" w:rsidRPr="001B52E0">
              <w:t>3</w:t>
            </w:r>
            <w:r w:rsidRPr="001B52E0">
              <w:t>0 FTE GS-14/</w:t>
            </w:r>
            <w:r w:rsidR="004F680D" w:rsidRPr="001B52E0">
              <w:t>5</w:t>
            </w:r>
            <w:r w:rsidRPr="001B52E0">
              <w:t xml:space="preserve">  ($1</w:t>
            </w:r>
            <w:r w:rsidR="0095793B" w:rsidRPr="001B52E0">
              <w:t>21</w:t>
            </w:r>
            <w:r w:rsidRPr="001B52E0">
              <w:t>,</w:t>
            </w:r>
            <w:r w:rsidR="0095793B" w:rsidRPr="001B52E0">
              <w:t>635</w:t>
            </w:r>
            <w:r w:rsidRPr="001B52E0">
              <w:t>)</w:t>
            </w:r>
          </w:p>
        </w:tc>
        <w:tc>
          <w:tcPr>
            <w:tcW w:w="0" w:type="auto"/>
          </w:tcPr>
          <w:p w:rsidR="004476CB" w:rsidRPr="001B52E0" w:rsidRDefault="004476CB" w:rsidP="001B52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 w:rsidRPr="001B52E0">
              <w:t xml:space="preserve">  $</w:t>
            </w:r>
            <w:r w:rsidR="001B52E0" w:rsidRPr="001B52E0">
              <w:t>36</w:t>
            </w:r>
            <w:r w:rsidRPr="001B52E0">
              <w:t>,</w:t>
            </w:r>
            <w:r w:rsidR="001B52E0" w:rsidRPr="001B52E0">
              <w:t>490</w:t>
            </w:r>
          </w:p>
        </w:tc>
      </w:tr>
      <w:tr w:rsidR="0095793B" w:rsidRPr="00C14AEE" w:rsidTr="002009C9">
        <w:trPr>
          <w:trHeight w:val="287"/>
        </w:trPr>
        <w:tc>
          <w:tcPr>
            <w:tcW w:w="4570" w:type="dxa"/>
            <w:vMerge/>
          </w:tcPr>
          <w:p w:rsidR="004476CB" w:rsidRPr="00C14AEE" w:rsidRDefault="004476CB" w:rsidP="00D337E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p>
        </w:tc>
        <w:tc>
          <w:tcPr>
            <w:tcW w:w="1579" w:type="dxa"/>
          </w:tcPr>
          <w:p w:rsidR="004476CB" w:rsidRPr="00C14AEE" w:rsidRDefault="004476CB" w:rsidP="00D337E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p>
        </w:tc>
        <w:tc>
          <w:tcPr>
            <w:tcW w:w="2311" w:type="dxa"/>
          </w:tcPr>
          <w:p w:rsidR="004476CB" w:rsidRPr="00C14AEE" w:rsidRDefault="004476CB" w:rsidP="00D337E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p>
        </w:tc>
        <w:tc>
          <w:tcPr>
            <w:tcW w:w="0" w:type="auto"/>
          </w:tcPr>
          <w:p w:rsidR="004476CB" w:rsidRPr="006D29C1" w:rsidRDefault="004476CB" w:rsidP="00D337E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highlight w:val="yellow"/>
              </w:rPr>
            </w:pPr>
          </w:p>
        </w:tc>
      </w:tr>
      <w:tr w:rsidR="004476CB" w:rsidRPr="00C14AEE" w:rsidTr="00D337E4">
        <w:trPr>
          <w:trHeight w:val="575"/>
        </w:trPr>
        <w:tc>
          <w:tcPr>
            <w:tcW w:w="0" w:type="auto"/>
            <w:gridSpan w:val="3"/>
          </w:tcPr>
          <w:p w:rsidR="004476CB" w:rsidRPr="00C14AEE" w:rsidRDefault="004476CB" w:rsidP="00AC72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
              <w:t>Incentives to</w:t>
            </w:r>
            <w:r w:rsidRPr="00C14AEE">
              <w:t xml:space="preserve"> participants</w:t>
            </w:r>
            <w:r w:rsidR="00AC7229">
              <w:t xml:space="preserve"> (see section A.9)</w:t>
            </w:r>
          </w:p>
        </w:tc>
        <w:tc>
          <w:tcPr>
            <w:tcW w:w="0" w:type="auto"/>
          </w:tcPr>
          <w:p w:rsidR="004476CB" w:rsidRPr="00C14AEE" w:rsidRDefault="004476CB" w:rsidP="00D337E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 w:rsidRPr="00C14AEE">
              <w:t xml:space="preserve"> </w:t>
            </w:r>
            <w:r w:rsidR="00AC7229">
              <w:t xml:space="preserve">  </w:t>
            </w:r>
            <w:r w:rsidRPr="00C14AEE">
              <w:t xml:space="preserve"> </w:t>
            </w:r>
            <w:r>
              <w:t>$</w:t>
            </w:r>
            <w:r w:rsidR="00AC7229">
              <w:t>500</w:t>
            </w:r>
          </w:p>
          <w:p w:rsidR="004476CB" w:rsidRPr="00C14AEE" w:rsidRDefault="004476CB" w:rsidP="00D337E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p>
        </w:tc>
      </w:tr>
      <w:tr w:rsidR="004476CB" w:rsidRPr="00C14AEE" w:rsidTr="00D337E4">
        <w:tc>
          <w:tcPr>
            <w:tcW w:w="0" w:type="auto"/>
            <w:gridSpan w:val="3"/>
          </w:tcPr>
          <w:p w:rsidR="004476CB" w:rsidRPr="00C14AEE" w:rsidRDefault="004476CB" w:rsidP="00D337E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 w:rsidRPr="00C14AEE">
              <w:t xml:space="preserve">Payment, under contract, for assistance with </w:t>
            </w:r>
          </w:p>
          <w:p w:rsidR="004476CB" w:rsidRPr="00C14AEE" w:rsidRDefault="004476CB" w:rsidP="00D337E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 w:rsidRPr="00C14AEE">
              <w:t>activities/research</w:t>
            </w:r>
          </w:p>
        </w:tc>
        <w:tc>
          <w:tcPr>
            <w:tcW w:w="0" w:type="auto"/>
          </w:tcPr>
          <w:p w:rsidR="004476CB" w:rsidRPr="00C14AEE" w:rsidRDefault="004476CB" w:rsidP="00D337E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 w:rsidRPr="00C14AEE">
              <w:t>$</w:t>
            </w:r>
            <w:r w:rsidR="002E03AA">
              <w:t>25</w:t>
            </w:r>
            <w:r w:rsidRPr="00C14AEE">
              <w:t>,000</w:t>
            </w:r>
          </w:p>
          <w:p w:rsidR="004476CB" w:rsidRPr="00C14AEE" w:rsidRDefault="004476CB" w:rsidP="00D337E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p>
        </w:tc>
      </w:tr>
      <w:tr w:rsidR="009A502E" w:rsidRPr="00C14AEE" w:rsidTr="00D337E4">
        <w:tc>
          <w:tcPr>
            <w:tcW w:w="0" w:type="auto"/>
            <w:gridSpan w:val="3"/>
          </w:tcPr>
          <w:p w:rsidR="009A502E" w:rsidRDefault="009A502E">
            <w:r w:rsidRPr="008C78AD">
              <w:t>Other Contractual costs for data collection, non-labor</w:t>
            </w:r>
          </w:p>
        </w:tc>
        <w:tc>
          <w:tcPr>
            <w:tcW w:w="0" w:type="auto"/>
          </w:tcPr>
          <w:p w:rsidR="009A502E" w:rsidRDefault="008A031B">
            <w:r>
              <w:t>n/a</w:t>
            </w:r>
          </w:p>
        </w:tc>
      </w:tr>
      <w:tr w:rsidR="004476CB" w:rsidRPr="00C14AEE" w:rsidTr="00D337E4">
        <w:tc>
          <w:tcPr>
            <w:tcW w:w="0" w:type="auto"/>
            <w:gridSpan w:val="3"/>
          </w:tcPr>
          <w:p w:rsidR="004476CB" w:rsidRPr="00C14AEE" w:rsidRDefault="009A502E" w:rsidP="00D337E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 w:rsidRPr="003F64C2">
              <w:t>Operational Costs for Data Collection Activities –Printing, eq</w:t>
            </w:r>
            <w:r>
              <w:t>uipment, overhead</w:t>
            </w:r>
            <w:r w:rsidRPr="003F64C2">
              <w:t>)</w:t>
            </w:r>
            <w:r>
              <w:t>, non-labor</w:t>
            </w:r>
          </w:p>
        </w:tc>
        <w:tc>
          <w:tcPr>
            <w:tcW w:w="0" w:type="auto"/>
          </w:tcPr>
          <w:p w:rsidR="004476CB" w:rsidRPr="00C14AEE" w:rsidRDefault="004476CB" w:rsidP="00D337E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 w:rsidRPr="00C14AEE">
              <w:t xml:space="preserve">    $2,000</w:t>
            </w:r>
          </w:p>
        </w:tc>
      </w:tr>
      <w:tr w:rsidR="002009C9" w:rsidRPr="00C14AEE" w:rsidTr="00A9252E">
        <w:trPr>
          <w:trHeight w:val="70"/>
        </w:trPr>
        <w:tc>
          <w:tcPr>
            <w:tcW w:w="0" w:type="auto"/>
            <w:gridSpan w:val="3"/>
          </w:tcPr>
          <w:p w:rsidR="002009C9" w:rsidRDefault="002009C9">
            <w:r w:rsidRPr="009F15F6">
              <w:t>Travel costs associated with data collection</w:t>
            </w:r>
          </w:p>
        </w:tc>
        <w:tc>
          <w:tcPr>
            <w:tcW w:w="0" w:type="auto"/>
          </w:tcPr>
          <w:p w:rsidR="002009C9" w:rsidRDefault="008A031B">
            <w:r>
              <w:t>n/a</w:t>
            </w:r>
          </w:p>
        </w:tc>
      </w:tr>
      <w:tr w:rsidR="002009C9" w:rsidRPr="00C14AEE" w:rsidTr="00D337E4">
        <w:tc>
          <w:tcPr>
            <w:tcW w:w="0" w:type="auto"/>
            <w:gridSpan w:val="3"/>
          </w:tcPr>
          <w:p w:rsidR="002009C9" w:rsidRDefault="002009C9">
            <w:r w:rsidRPr="00F17B02">
              <w:t>Other costs, non-labor</w:t>
            </w:r>
          </w:p>
        </w:tc>
        <w:tc>
          <w:tcPr>
            <w:tcW w:w="0" w:type="auto"/>
          </w:tcPr>
          <w:p w:rsidR="002009C9" w:rsidRDefault="00A9252E">
            <w:r>
              <w:t xml:space="preserve">    $1,000</w:t>
            </w:r>
          </w:p>
        </w:tc>
      </w:tr>
      <w:tr w:rsidR="004476CB" w:rsidRPr="00F8286B" w:rsidTr="00D337E4">
        <w:tc>
          <w:tcPr>
            <w:tcW w:w="0" w:type="auto"/>
            <w:gridSpan w:val="3"/>
          </w:tcPr>
          <w:p w:rsidR="004476CB" w:rsidRPr="00F8286B" w:rsidRDefault="004476CB" w:rsidP="00D337E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rPr>
            </w:pPr>
            <w:r w:rsidRPr="00F8286B">
              <w:rPr>
                <w:b/>
              </w:rPr>
              <w:t>TOTAL</w:t>
            </w:r>
          </w:p>
        </w:tc>
        <w:tc>
          <w:tcPr>
            <w:tcW w:w="0" w:type="auto"/>
          </w:tcPr>
          <w:p w:rsidR="004476CB" w:rsidRPr="00F8286B" w:rsidRDefault="004476CB" w:rsidP="002009C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rPr>
            </w:pPr>
            <w:r w:rsidRPr="00F8286B">
              <w:rPr>
                <w:b/>
              </w:rPr>
              <w:t>$</w:t>
            </w:r>
            <w:r w:rsidR="00F8286B" w:rsidRPr="00F8286B">
              <w:rPr>
                <w:b/>
              </w:rPr>
              <w:t>78,942</w:t>
            </w:r>
          </w:p>
        </w:tc>
      </w:tr>
    </w:tbl>
    <w:p w:rsidR="00AC5815" w:rsidRDefault="00AC5815" w:rsidP="00873F9F">
      <w:pPr>
        <w:ind w:left="720"/>
        <w:rPr>
          <w:b/>
        </w:rPr>
      </w:pPr>
    </w:p>
    <w:p w:rsidR="00EF4972" w:rsidRDefault="00EF4972" w:rsidP="000428BD">
      <w:pPr>
        <w:pStyle w:val="NormalWeb"/>
      </w:pPr>
      <w:r>
        <w:rPr>
          <w:rStyle w:val="Strong"/>
        </w:rPr>
        <w:t>A.15</w:t>
      </w:r>
      <w:r>
        <w:rPr>
          <w:rStyle w:val="Strong"/>
        </w:rPr>
        <w:tab/>
      </w:r>
      <w:r w:rsidRPr="007764FF">
        <w:rPr>
          <w:b/>
        </w:rPr>
        <w:t>Explanation for Pr</w:t>
      </w:r>
      <w:bookmarkStart w:id="4" w:name="_GoBack"/>
      <w:bookmarkEnd w:id="4"/>
      <w:r w:rsidRPr="007764FF">
        <w:rPr>
          <w:b/>
        </w:rPr>
        <w:t>ogram Changes or Adjustments</w:t>
      </w:r>
      <w:r w:rsidRPr="007764FF">
        <w:t xml:space="preserve"> </w:t>
      </w:r>
    </w:p>
    <w:p w:rsidR="002C1DAD" w:rsidRPr="008177C2" w:rsidRDefault="00EF4972" w:rsidP="00887A85">
      <w:pPr>
        <w:pStyle w:val="NormalWeb"/>
        <w:spacing w:before="0" w:beforeAutospacing="0" w:after="0" w:afterAutospacing="0"/>
        <w:ind w:firstLine="720"/>
      </w:pPr>
      <w:r w:rsidRPr="0056297A">
        <w:t>This is a request for an extension of NLM’s generic clearance authorization</w:t>
      </w:r>
      <w:r w:rsidR="00D655D2">
        <w:t xml:space="preserve">.  </w:t>
      </w:r>
      <w:r w:rsidR="0064576C">
        <w:t>T</w:t>
      </w:r>
      <w:r w:rsidR="0064576C" w:rsidRPr="0064576C">
        <w:t xml:space="preserve">here are no changes to the </w:t>
      </w:r>
      <w:r w:rsidR="00D655D2">
        <w:t xml:space="preserve">   </w:t>
      </w:r>
      <w:r w:rsidR="0064576C" w:rsidRPr="0064576C">
        <w:t>purpose/scope of this submission from the previously approved submission.</w:t>
      </w:r>
      <w:r w:rsidR="006502DD">
        <w:t xml:space="preserve"> </w:t>
      </w:r>
      <w:r w:rsidR="004D0F99" w:rsidRPr="00EF6063">
        <w:rPr>
          <w:highlight w:val="yellow"/>
        </w:rPr>
        <w:t>A</w:t>
      </w:r>
      <w:r w:rsidR="004D0F99" w:rsidRPr="005F5B43">
        <w:rPr>
          <w:highlight w:val="yellow"/>
        </w:rPr>
        <w:t xml:space="preserve"> reduction of</w:t>
      </w:r>
      <w:r w:rsidR="004D0F99" w:rsidRPr="00582E13">
        <w:rPr>
          <w:color w:val="FF0000"/>
          <w:highlight w:val="yellow"/>
        </w:rPr>
        <w:t xml:space="preserve"> </w:t>
      </w:r>
      <w:r w:rsidR="00201663">
        <w:rPr>
          <w:highlight w:val="yellow"/>
        </w:rPr>
        <w:t>b</w:t>
      </w:r>
      <w:r w:rsidRPr="00EF6063">
        <w:rPr>
          <w:highlight w:val="yellow"/>
        </w:rPr>
        <w:t>urden hours</w:t>
      </w:r>
      <w:r w:rsidR="004D0F99" w:rsidRPr="00EF6063">
        <w:rPr>
          <w:highlight w:val="yellow"/>
        </w:rPr>
        <w:t xml:space="preserve"> is</w:t>
      </w:r>
      <w:r w:rsidRPr="00EF6063">
        <w:rPr>
          <w:highlight w:val="yellow"/>
        </w:rPr>
        <w:t xml:space="preserve"> being requested to accommodate the proposed surveys to be conducted during the next 3-year period</w:t>
      </w:r>
      <w:r w:rsidRPr="002926FD">
        <w:rPr>
          <w:color w:val="C00000"/>
          <w:highlight w:val="yellow"/>
        </w:rPr>
        <w:t>.</w:t>
      </w:r>
      <w:r w:rsidR="008177C2" w:rsidRPr="008177C2">
        <w:rPr>
          <w:b/>
          <w:bCs/>
          <w:color w:val="C00000"/>
          <w:shd w:val="clear" w:color="auto" w:fill="FFFF00"/>
        </w:rPr>
        <w:t xml:space="preserve"> </w:t>
      </w:r>
      <w:r w:rsidR="008177C2" w:rsidRPr="008177C2">
        <w:rPr>
          <w:bCs/>
          <w:shd w:val="clear" w:color="auto" w:fill="FFFF00"/>
        </w:rPr>
        <w:t xml:space="preserve">The significant reduction in the estimated burden hours for this clearance extension is based on a dramatic decline in the total number of ICR submitted during the clearance period of 2012-2015, largely due to the shifting of customer satisfaction surveys to the NIH Fast Track clearance </w:t>
      </w:r>
      <w:r w:rsidR="00685D98" w:rsidRPr="00685D98">
        <w:rPr>
          <w:bCs/>
          <w:shd w:val="clear" w:color="auto" w:fill="FFFF00"/>
        </w:rPr>
        <w:t>(OMB#:</w:t>
      </w:r>
      <w:r w:rsidR="00685D98">
        <w:rPr>
          <w:bCs/>
          <w:shd w:val="clear" w:color="auto" w:fill="FFFF00"/>
        </w:rPr>
        <w:t xml:space="preserve"> </w:t>
      </w:r>
      <w:r w:rsidR="00685D98" w:rsidRPr="00685D98">
        <w:rPr>
          <w:bCs/>
          <w:shd w:val="clear" w:color="auto" w:fill="FFFF00"/>
        </w:rPr>
        <w:t>0925-0648 Exp. Date: 03/31/2018)</w:t>
      </w:r>
      <w:r w:rsidR="008177C2" w:rsidRPr="008177C2">
        <w:rPr>
          <w:bCs/>
          <w:shd w:val="clear" w:color="auto" w:fill="FFFF00"/>
        </w:rPr>
        <w:t xml:space="preserve"> which provides a much more efficient means to addressing these types of information collections.</w:t>
      </w:r>
    </w:p>
    <w:p w:rsidR="00A250DD" w:rsidRDefault="00EF4972" w:rsidP="00CE4DDC">
      <w:pPr>
        <w:pStyle w:val="NormalWeb"/>
        <w:spacing w:before="0" w:beforeAutospacing="0" w:after="0" w:afterAutospacing="0"/>
        <w:rPr>
          <w:rStyle w:val="Strong"/>
        </w:rPr>
      </w:pPr>
      <w:r>
        <w:t xml:space="preserve">                                                                                  </w:t>
      </w:r>
      <w:r>
        <w:br/>
      </w:r>
    </w:p>
    <w:p w:rsidR="00A250DD" w:rsidRDefault="00A250DD" w:rsidP="00CE4DDC">
      <w:pPr>
        <w:pStyle w:val="NormalWeb"/>
        <w:spacing w:before="0" w:beforeAutospacing="0" w:after="0" w:afterAutospacing="0"/>
        <w:rPr>
          <w:rStyle w:val="Strong"/>
        </w:rPr>
      </w:pPr>
    </w:p>
    <w:p w:rsidR="00A250DD" w:rsidRDefault="00A250DD" w:rsidP="00CE4DDC">
      <w:pPr>
        <w:pStyle w:val="NormalWeb"/>
        <w:spacing w:before="0" w:beforeAutospacing="0" w:after="0" w:afterAutospacing="0"/>
        <w:rPr>
          <w:rStyle w:val="Strong"/>
        </w:rPr>
      </w:pPr>
    </w:p>
    <w:p w:rsidR="00EF4972" w:rsidRDefault="00EF4972" w:rsidP="00CE4DDC">
      <w:pPr>
        <w:pStyle w:val="NormalWeb"/>
        <w:spacing w:before="0" w:beforeAutospacing="0" w:after="0" w:afterAutospacing="0"/>
      </w:pPr>
      <w:r>
        <w:rPr>
          <w:rStyle w:val="Strong"/>
        </w:rPr>
        <w:t>A.16</w:t>
      </w:r>
      <w:r>
        <w:rPr>
          <w:rStyle w:val="Strong"/>
        </w:rPr>
        <w:tab/>
      </w:r>
      <w:r>
        <w:rPr>
          <w:b/>
        </w:rPr>
        <w:t>Plans for Tabulation and Publication and Project Time Schedule</w:t>
      </w:r>
    </w:p>
    <w:p w:rsidR="00EF4972" w:rsidRDefault="00EF4972" w:rsidP="004A6B0D">
      <w:pPr>
        <w:pStyle w:val="NormalWeb"/>
        <w:ind w:left="720"/>
      </w:pPr>
      <w:r>
        <w:rPr>
          <w:szCs w:val="20"/>
        </w:rPr>
        <w:lastRenderedPageBreak/>
        <w:t>NLM tabulates results immediately after completion of future surveys and strives to publish selected findings in pertinent refereed journals and other edited publications within a timely fashion in order to contribute to the literature in consumer health informatics.</w:t>
      </w:r>
      <w:r>
        <w:t xml:space="preserve"> </w:t>
      </w:r>
    </w:p>
    <w:p w:rsidR="00EF4972" w:rsidRDefault="00EF4972" w:rsidP="00E76C4B">
      <w:pPr>
        <w:pStyle w:val="NormalWeb"/>
      </w:pPr>
      <w:r>
        <w:t> </w:t>
      </w:r>
      <w:r>
        <w:rPr>
          <w:rStyle w:val="Strong"/>
        </w:rPr>
        <w:t xml:space="preserve">A.17 </w:t>
      </w:r>
      <w:r>
        <w:rPr>
          <w:rStyle w:val="Strong"/>
        </w:rPr>
        <w:tab/>
      </w:r>
      <w:r>
        <w:rPr>
          <w:b/>
        </w:rPr>
        <w:t>Reason</w:t>
      </w:r>
      <w:r w:rsidRPr="00370833">
        <w:rPr>
          <w:b/>
        </w:rPr>
        <w:t>(s) Display of OMB Expiration Date is Inappropriate</w:t>
      </w:r>
    </w:p>
    <w:p w:rsidR="00EE2BAA" w:rsidRDefault="00EF4972" w:rsidP="00EE2BAA">
      <w:pPr>
        <w:pStyle w:val="NormalWeb"/>
        <w:ind w:firstLine="720"/>
      </w:pPr>
      <w:r>
        <w:t>We are not requesting an exemption to the display of the OMB Expiration date.</w:t>
      </w:r>
    </w:p>
    <w:p w:rsidR="00EF4972" w:rsidRDefault="00EF4972" w:rsidP="00E76C4B">
      <w:pPr>
        <w:pStyle w:val="NormalWeb"/>
      </w:pPr>
      <w:r>
        <w:rPr>
          <w:rStyle w:val="Strong"/>
        </w:rPr>
        <w:t xml:space="preserve">A.18 </w:t>
      </w:r>
      <w:r>
        <w:rPr>
          <w:rStyle w:val="Strong"/>
        </w:rPr>
        <w:tab/>
      </w:r>
      <w:r>
        <w:rPr>
          <w:b/>
        </w:rPr>
        <w:t>Exceptions to Certification for Paperwork Reduction Act Submissions</w:t>
      </w:r>
    </w:p>
    <w:p w:rsidR="00EF4972" w:rsidRDefault="00EF4972" w:rsidP="00EE2BAA">
      <w:pPr>
        <w:spacing w:after="240"/>
        <w:ind w:left="720"/>
      </w:pPr>
      <w:r w:rsidRPr="002E1D37">
        <w:t>This collection of information involves no exceptions to the Certification for Paperwork Reduction Act Submissions</w:t>
      </w:r>
      <w:r w:rsidR="008856D9">
        <w:t>.</w:t>
      </w:r>
      <w:r>
        <w:br/>
      </w:r>
    </w:p>
    <w:sectPr w:rsidR="00EF4972" w:rsidSect="00A0526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81D" w:rsidRDefault="001D781D" w:rsidP="00973C55">
      <w:r>
        <w:separator/>
      </w:r>
    </w:p>
  </w:endnote>
  <w:endnote w:type="continuationSeparator" w:id="0">
    <w:p w:rsidR="001D781D" w:rsidRDefault="001D781D" w:rsidP="0097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imes New Roman PS MT">
    <w:altName w:val="Times New Roman PS 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GNJA+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A3B" w:rsidRDefault="00FE3A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862" w:rsidRDefault="00F5051E">
    <w:pPr>
      <w:pStyle w:val="Footer"/>
      <w:jc w:val="center"/>
    </w:pPr>
    <w:r>
      <w:fldChar w:fldCharType="begin"/>
    </w:r>
    <w:r>
      <w:instrText xml:space="preserve"> PAGE   \* MERGEFORMAT </w:instrText>
    </w:r>
    <w:r>
      <w:fldChar w:fldCharType="separate"/>
    </w:r>
    <w:r w:rsidR="00887A85">
      <w:rPr>
        <w:noProof/>
      </w:rPr>
      <w:t>9</w:t>
    </w:r>
    <w:r>
      <w:rPr>
        <w:noProof/>
      </w:rPr>
      <w:fldChar w:fldCharType="end"/>
    </w:r>
  </w:p>
  <w:p w:rsidR="00661862" w:rsidRDefault="006618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A3B" w:rsidRDefault="00FE3A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81D" w:rsidRDefault="001D781D" w:rsidP="00973C55">
      <w:r>
        <w:separator/>
      </w:r>
    </w:p>
  </w:footnote>
  <w:footnote w:type="continuationSeparator" w:id="0">
    <w:p w:rsidR="001D781D" w:rsidRDefault="001D781D" w:rsidP="00973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A3B" w:rsidRDefault="00FE3A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A3B" w:rsidRDefault="00FE3A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A3B" w:rsidRDefault="00FE3A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F5314"/>
    <w:multiLevelType w:val="hybridMultilevel"/>
    <w:tmpl w:val="9D04277C"/>
    <w:lvl w:ilvl="0" w:tplc="9ACE7B8E">
      <w:start w:val="1"/>
      <w:numFmt w:val="bullet"/>
      <w:lvlText w:val=""/>
      <w:lvlJc w:val="left"/>
      <w:pPr>
        <w:ind w:left="1425" w:hanging="360"/>
      </w:pPr>
      <w:rPr>
        <w:rFonts w:ascii="Symbol" w:eastAsia="Times New Roman" w:hAnsi="Symbol" w:hint="default"/>
      </w:rPr>
    </w:lvl>
    <w:lvl w:ilvl="1" w:tplc="04090003" w:tentative="1">
      <w:start w:val="1"/>
      <w:numFmt w:val="bullet"/>
      <w:lvlText w:val="o"/>
      <w:lvlJc w:val="left"/>
      <w:pPr>
        <w:ind w:left="2145" w:hanging="360"/>
      </w:pPr>
      <w:rPr>
        <w:rFonts w:ascii="Courier New" w:hAnsi="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hint="default"/>
      </w:rPr>
    </w:lvl>
    <w:lvl w:ilvl="8" w:tplc="04090005" w:tentative="1">
      <w:start w:val="1"/>
      <w:numFmt w:val="bullet"/>
      <w:lvlText w:val=""/>
      <w:lvlJc w:val="left"/>
      <w:pPr>
        <w:ind w:left="71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ECF"/>
    <w:rsid w:val="00002761"/>
    <w:rsid w:val="00004696"/>
    <w:rsid w:val="00006B0D"/>
    <w:rsid w:val="00006DAF"/>
    <w:rsid w:val="00014736"/>
    <w:rsid w:val="00015DF8"/>
    <w:rsid w:val="000312CD"/>
    <w:rsid w:val="0003345A"/>
    <w:rsid w:val="000428BD"/>
    <w:rsid w:val="000440D0"/>
    <w:rsid w:val="00055F91"/>
    <w:rsid w:val="00056B23"/>
    <w:rsid w:val="00061791"/>
    <w:rsid w:val="00064C4A"/>
    <w:rsid w:val="0007360B"/>
    <w:rsid w:val="0007397A"/>
    <w:rsid w:val="00075730"/>
    <w:rsid w:val="00082906"/>
    <w:rsid w:val="00084956"/>
    <w:rsid w:val="00085D7A"/>
    <w:rsid w:val="00087F53"/>
    <w:rsid w:val="00092D8F"/>
    <w:rsid w:val="00095A21"/>
    <w:rsid w:val="000A0AAF"/>
    <w:rsid w:val="000A0F36"/>
    <w:rsid w:val="000A24CC"/>
    <w:rsid w:val="000A5B38"/>
    <w:rsid w:val="000A778C"/>
    <w:rsid w:val="000A7D54"/>
    <w:rsid w:val="000B1EDB"/>
    <w:rsid w:val="000C0543"/>
    <w:rsid w:val="000C3CC7"/>
    <w:rsid w:val="000C5CF3"/>
    <w:rsid w:val="000D2323"/>
    <w:rsid w:val="000D64D2"/>
    <w:rsid w:val="00100E14"/>
    <w:rsid w:val="00104709"/>
    <w:rsid w:val="00106A73"/>
    <w:rsid w:val="0011185E"/>
    <w:rsid w:val="001123F9"/>
    <w:rsid w:val="0011271A"/>
    <w:rsid w:val="00115916"/>
    <w:rsid w:val="001224B2"/>
    <w:rsid w:val="00123BFB"/>
    <w:rsid w:val="00130EF9"/>
    <w:rsid w:val="00141B2D"/>
    <w:rsid w:val="0014300D"/>
    <w:rsid w:val="00143DC1"/>
    <w:rsid w:val="00144914"/>
    <w:rsid w:val="001529A3"/>
    <w:rsid w:val="00153EDC"/>
    <w:rsid w:val="001555F0"/>
    <w:rsid w:val="00156824"/>
    <w:rsid w:val="001611D9"/>
    <w:rsid w:val="00175708"/>
    <w:rsid w:val="001835BB"/>
    <w:rsid w:val="00184D5D"/>
    <w:rsid w:val="00190A03"/>
    <w:rsid w:val="00194B58"/>
    <w:rsid w:val="00196463"/>
    <w:rsid w:val="0019745F"/>
    <w:rsid w:val="001A3B6D"/>
    <w:rsid w:val="001B1DF6"/>
    <w:rsid w:val="001B52E0"/>
    <w:rsid w:val="001C4007"/>
    <w:rsid w:val="001C4C3A"/>
    <w:rsid w:val="001D076E"/>
    <w:rsid w:val="001D1446"/>
    <w:rsid w:val="001D2D7B"/>
    <w:rsid w:val="001D781D"/>
    <w:rsid w:val="001E41E2"/>
    <w:rsid w:val="001E6446"/>
    <w:rsid w:val="001F36AE"/>
    <w:rsid w:val="001F73E8"/>
    <w:rsid w:val="002006CF"/>
    <w:rsid w:val="002009C9"/>
    <w:rsid w:val="00201663"/>
    <w:rsid w:val="00202B6A"/>
    <w:rsid w:val="00205FC7"/>
    <w:rsid w:val="00210CCE"/>
    <w:rsid w:val="00211F8A"/>
    <w:rsid w:val="002128F8"/>
    <w:rsid w:val="00213426"/>
    <w:rsid w:val="002141BA"/>
    <w:rsid w:val="00233A3E"/>
    <w:rsid w:val="00236D6E"/>
    <w:rsid w:val="002472E0"/>
    <w:rsid w:val="00252EC6"/>
    <w:rsid w:val="00253113"/>
    <w:rsid w:val="00257056"/>
    <w:rsid w:val="00260545"/>
    <w:rsid w:val="00260C4D"/>
    <w:rsid w:val="00263302"/>
    <w:rsid w:val="0026627C"/>
    <w:rsid w:val="00270BF7"/>
    <w:rsid w:val="00272CDA"/>
    <w:rsid w:val="00275ECF"/>
    <w:rsid w:val="0027658A"/>
    <w:rsid w:val="002926FD"/>
    <w:rsid w:val="0029335D"/>
    <w:rsid w:val="00293B04"/>
    <w:rsid w:val="002A325F"/>
    <w:rsid w:val="002C1DAD"/>
    <w:rsid w:val="002C5531"/>
    <w:rsid w:val="002C5DB2"/>
    <w:rsid w:val="002E03AA"/>
    <w:rsid w:val="002E1D37"/>
    <w:rsid w:val="002E5399"/>
    <w:rsid w:val="002F1643"/>
    <w:rsid w:val="002F4598"/>
    <w:rsid w:val="002F7B9F"/>
    <w:rsid w:val="00301FDC"/>
    <w:rsid w:val="00305A46"/>
    <w:rsid w:val="003079BC"/>
    <w:rsid w:val="003200F8"/>
    <w:rsid w:val="003228BF"/>
    <w:rsid w:val="00337F1C"/>
    <w:rsid w:val="0034171C"/>
    <w:rsid w:val="0034772F"/>
    <w:rsid w:val="00350B19"/>
    <w:rsid w:val="00350C11"/>
    <w:rsid w:val="003529E6"/>
    <w:rsid w:val="00370349"/>
    <w:rsid w:val="00370833"/>
    <w:rsid w:val="0037491B"/>
    <w:rsid w:val="00393D89"/>
    <w:rsid w:val="003A18C2"/>
    <w:rsid w:val="003A3BED"/>
    <w:rsid w:val="003A6EE4"/>
    <w:rsid w:val="003B1423"/>
    <w:rsid w:val="003B1801"/>
    <w:rsid w:val="003B1DC0"/>
    <w:rsid w:val="003B5B60"/>
    <w:rsid w:val="003C04C1"/>
    <w:rsid w:val="003C08BE"/>
    <w:rsid w:val="003C33E9"/>
    <w:rsid w:val="003C3AF6"/>
    <w:rsid w:val="003D294F"/>
    <w:rsid w:val="003E077A"/>
    <w:rsid w:val="003E0AAD"/>
    <w:rsid w:val="003F08A1"/>
    <w:rsid w:val="003F102F"/>
    <w:rsid w:val="003F6466"/>
    <w:rsid w:val="003F7860"/>
    <w:rsid w:val="00400438"/>
    <w:rsid w:val="004005FC"/>
    <w:rsid w:val="004035AA"/>
    <w:rsid w:val="00405A55"/>
    <w:rsid w:val="00407BFB"/>
    <w:rsid w:val="00407FEC"/>
    <w:rsid w:val="00410FA7"/>
    <w:rsid w:val="004126CE"/>
    <w:rsid w:val="0041527B"/>
    <w:rsid w:val="00421359"/>
    <w:rsid w:val="00421A07"/>
    <w:rsid w:val="0042339C"/>
    <w:rsid w:val="00423BC6"/>
    <w:rsid w:val="00423CD5"/>
    <w:rsid w:val="00425F2C"/>
    <w:rsid w:val="004431ED"/>
    <w:rsid w:val="0044390A"/>
    <w:rsid w:val="00443A6B"/>
    <w:rsid w:val="00443CCC"/>
    <w:rsid w:val="00445C37"/>
    <w:rsid w:val="004476CB"/>
    <w:rsid w:val="004478E3"/>
    <w:rsid w:val="004543DB"/>
    <w:rsid w:val="00462329"/>
    <w:rsid w:val="00462815"/>
    <w:rsid w:val="00464F92"/>
    <w:rsid w:val="004655D5"/>
    <w:rsid w:val="00474CDD"/>
    <w:rsid w:val="00476FD7"/>
    <w:rsid w:val="004776CC"/>
    <w:rsid w:val="00477D65"/>
    <w:rsid w:val="00477DCE"/>
    <w:rsid w:val="004806C8"/>
    <w:rsid w:val="0048129D"/>
    <w:rsid w:val="00482181"/>
    <w:rsid w:val="00482A44"/>
    <w:rsid w:val="00496555"/>
    <w:rsid w:val="004A2D41"/>
    <w:rsid w:val="004A5CAA"/>
    <w:rsid w:val="004A6ABE"/>
    <w:rsid w:val="004A6B0D"/>
    <w:rsid w:val="004A7081"/>
    <w:rsid w:val="004A7A71"/>
    <w:rsid w:val="004A7E9A"/>
    <w:rsid w:val="004B0464"/>
    <w:rsid w:val="004B08D3"/>
    <w:rsid w:val="004B10CA"/>
    <w:rsid w:val="004B6E12"/>
    <w:rsid w:val="004C2156"/>
    <w:rsid w:val="004C2BA5"/>
    <w:rsid w:val="004C3CF6"/>
    <w:rsid w:val="004C4675"/>
    <w:rsid w:val="004D0F99"/>
    <w:rsid w:val="004D2869"/>
    <w:rsid w:val="004D3611"/>
    <w:rsid w:val="004D7903"/>
    <w:rsid w:val="004E1B57"/>
    <w:rsid w:val="004E68D2"/>
    <w:rsid w:val="004F1F23"/>
    <w:rsid w:val="004F251B"/>
    <w:rsid w:val="004F680D"/>
    <w:rsid w:val="00501DF2"/>
    <w:rsid w:val="00514014"/>
    <w:rsid w:val="00531817"/>
    <w:rsid w:val="00534BCF"/>
    <w:rsid w:val="00535731"/>
    <w:rsid w:val="005571CF"/>
    <w:rsid w:val="0056060F"/>
    <w:rsid w:val="0056297A"/>
    <w:rsid w:val="00562E4B"/>
    <w:rsid w:val="00564ED1"/>
    <w:rsid w:val="005654E0"/>
    <w:rsid w:val="005665E6"/>
    <w:rsid w:val="005726AC"/>
    <w:rsid w:val="0057290C"/>
    <w:rsid w:val="00582E13"/>
    <w:rsid w:val="00583DD7"/>
    <w:rsid w:val="0058769E"/>
    <w:rsid w:val="0059136C"/>
    <w:rsid w:val="005915D0"/>
    <w:rsid w:val="005A0D82"/>
    <w:rsid w:val="005B04FF"/>
    <w:rsid w:val="005B07A6"/>
    <w:rsid w:val="005B11E3"/>
    <w:rsid w:val="005B267A"/>
    <w:rsid w:val="005B300A"/>
    <w:rsid w:val="005B3194"/>
    <w:rsid w:val="005B4106"/>
    <w:rsid w:val="005B4A02"/>
    <w:rsid w:val="005C34D3"/>
    <w:rsid w:val="005C3793"/>
    <w:rsid w:val="005C5FBA"/>
    <w:rsid w:val="005C65EA"/>
    <w:rsid w:val="005D2A86"/>
    <w:rsid w:val="005D2C1C"/>
    <w:rsid w:val="005E0662"/>
    <w:rsid w:val="005E602B"/>
    <w:rsid w:val="005E68BE"/>
    <w:rsid w:val="005F5B43"/>
    <w:rsid w:val="0060076B"/>
    <w:rsid w:val="00601521"/>
    <w:rsid w:val="006044E5"/>
    <w:rsid w:val="006102B2"/>
    <w:rsid w:val="00621AE5"/>
    <w:rsid w:val="00625651"/>
    <w:rsid w:val="006313EA"/>
    <w:rsid w:val="00637C2C"/>
    <w:rsid w:val="0064576C"/>
    <w:rsid w:val="00647083"/>
    <w:rsid w:val="00647BC7"/>
    <w:rsid w:val="006502DD"/>
    <w:rsid w:val="00651E61"/>
    <w:rsid w:val="00661862"/>
    <w:rsid w:val="006738AD"/>
    <w:rsid w:val="00680E77"/>
    <w:rsid w:val="00685D98"/>
    <w:rsid w:val="006861C8"/>
    <w:rsid w:val="006862A6"/>
    <w:rsid w:val="006918C3"/>
    <w:rsid w:val="006946C5"/>
    <w:rsid w:val="006A24F4"/>
    <w:rsid w:val="006A7F8B"/>
    <w:rsid w:val="006B173A"/>
    <w:rsid w:val="006B3DB4"/>
    <w:rsid w:val="006C383C"/>
    <w:rsid w:val="006C3D80"/>
    <w:rsid w:val="006C6253"/>
    <w:rsid w:val="006C69F7"/>
    <w:rsid w:val="006D2929"/>
    <w:rsid w:val="006D345D"/>
    <w:rsid w:val="006D36CA"/>
    <w:rsid w:val="006D3ADC"/>
    <w:rsid w:val="006D3C81"/>
    <w:rsid w:val="006D5A9F"/>
    <w:rsid w:val="006E2A2D"/>
    <w:rsid w:val="006E3187"/>
    <w:rsid w:val="006E36EC"/>
    <w:rsid w:val="006F13A1"/>
    <w:rsid w:val="006F1F71"/>
    <w:rsid w:val="006F41D5"/>
    <w:rsid w:val="006F5A5E"/>
    <w:rsid w:val="007041D7"/>
    <w:rsid w:val="00705696"/>
    <w:rsid w:val="00706CEB"/>
    <w:rsid w:val="00710EBC"/>
    <w:rsid w:val="00710FD6"/>
    <w:rsid w:val="007121C1"/>
    <w:rsid w:val="00712F65"/>
    <w:rsid w:val="0071315D"/>
    <w:rsid w:val="00717C50"/>
    <w:rsid w:val="00723312"/>
    <w:rsid w:val="00725A8A"/>
    <w:rsid w:val="00725B1B"/>
    <w:rsid w:val="00730A98"/>
    <w:rsid w:val="0073176E"/>
    <w:rsid w:val="00734E3D"/>
    <w:rsid w:val="00750C60"/>
    <w:rsid w:val="00753893"/>
    <w:rsid w:val="0076000C"/>
    <w:rsid w:val="00766CD2"/>
    <w:rsid w:val="00770700"/>
    <w:rsid w:val="007729EA"/>
    <w:rsid w:val="00774D7F"/>
    <w:rsid w:val="00775E75"/>
    <w:rsid w:val="00776282"/>
    <w:rsid w:val="007764FF"/>
    <w:rsid w:val="00782F83"/>
    <w:rsid w:val="00786368"/>
    <w:rsid w:val="0078665C"/>
    <w:rsid w:val="00792161"/>
    <w:rsid w:val="00794251"/>
    <w:rsid w:val="007952AF"/>
    <w:rsid w:val="00796FFA"/>
    <w:rsid w:val="007B1E8D"/>
    <w:rsid w:val="007B322D"/>
    <w:rsid w:val="007B3D2C"/>
    <w:rsid w:val="007C717B"/>
    <w:rsid w:val="007D4189"/>
    <w:rsid w:val="007D7A9B"/>
    <w:rsid w:val="007E30AE"/>
    <w:rsid w:val="007E458F"/>
    <w:rsid w:val="007E4DBC"/>
    <w:rsid w:val="007F1762"/>
    <w:rsid w:val="007F66B1"/>
    <w:rsid w:val="00801AFE"/>
    <w:rsid w:val="00803040"/>
    <w:rsid w:val="00804843"/>
    <w:rsid w:val="00805C28"/>
    <w:rsid w:val="008071F7"/>
    <w:rsid w:val="00814581"/>
    <w:rsid w:val="008177C2"/>
    <w:rsid w:val="00826CF0"/>
    <w:rsid w:val="0082757D"/>
    <w:rsid w:val="0083147E"/>
    <w:rsid w:val="008323AC"/>
    <w:rsid w:val="0083354F"/>
    <w:rsid w:val="00834FD7"/>
    <w:rsid w:val="00841E4A"/>
    <w:rsid w:val="00842A0C"/>
    <w:rsid w:val="00843C48"/>
    <w:rsid w:val="0084477C"/>
    <w:rsid w:val="00844D48"/>
    <w:rsid w:val="00846DD8"/>
    <w:rsid w:val="00855D1C"/>
    <w:rsid w:val="00855F88"/>
    <w:rsid w:val="00856B13"/>
    <w:rsid w:val="008574CB"/>
    <w:rsid w:val="00857666"/>
    <w:rsid w:val="008635B3"/>
    <w:rsid w:val="0086465D"/>
    <w:rsid w:val="0086525C"/>
    <w:rsid w:val="00872173"/>
    <w:rsid w:val="00873F9F"/>
    <w:rsid w:val="008856D9"/>
    <w:rsid w:val="00887A85"/>
    <w:rsid w:val="00887E26"/>
    <w:rsid w:val="0089017C"/>
    <w:rsid w:val="00892362"/>
    <w:rsid w:val="00894CB7"/>
    <w:rsid w:val="00895EDA"/>
    <w:rsid w:val="008964D1"/>
    <w:rsid w:val="008A031B"/>
    <w:rsid w:val="008B2E85"/>
    <w:rsid w:val="008B43EB"/>
    <w:rsid w:val="008C07D8"/>
    <w:rsid w:val="008D07FC"/>
    <w:rsid w:val="008D28CC"/>
    <w:rsid w:val="008D4105"/>
    <w:rsid w:val="008D4E43"/>
    <w:rsid w:val="008D757F"/>
    <w:rsid w:val="008E3F8D"/>
    <w:rsid w:val="008E7E81"/>
    <w:rsid w:val="008F2A4A"/>
    <w:rsid w:val="00907C19"/>
    <w:rsid w:val="009167FF"/>
    <w:rsid w:val="009170C5"/>
    <w:rsid w:val="00917DE2"/>
    <w:rsid w:val="00922A61"/>
    <w:rsid w:val="00925FB2"/>
    <w:rsid w:val="00946C20"/>
    <w:rsid w:val="00947783"/>
    <w:rsid w:val="009501AD"/>
    <w:rsid w:val="00951268"/>
    <w:rsid w:val="00951FED"/>
    <w:rsid w:val="0095549C"/>
    <w:rsid w:val="00956A5D"/>
    <w:rsid w:val="0095793B"/>
    <w:rsid w:val="0096087B"/>
    <w:rsid w:val="0096124D"/>
    <w:rsid w:val="00972322"/>
    <w:rsid w:val="00972D9D"/>
    <w:rsid w:val="00973C55"/>
    <w:rsid w:val="00974EF4"/>
    <w:rsid w:val="00975167"/>
    <w:rsid w:val="009810B9"/>
    <w:rsid w:val="00983D0F"/>
    <w:rsid w:val="00984FB7"/>
    <w:rsid w:val="0098737B"/>
    <w:rsid w:val="009932DF"/>
    <w:rsid w:val="009941E7"/>
    <w:rsid w:val="00994402"/>
    <w:rsid w:val="009A502E"/>
    <w:rsid w:val="009B22F6"/>
    <w:rsid w:val="009B2823"/>
    <w:rsid w:val="009B2F55"/>
    <w:rsid w:val="009B31C7"/>
    <w:rsid w:val="009B3322"/>
    <w:rsid w:val="009B3D1B"/>
    <w:rsid w:val="009C076D"/>
    <w:rsid w:val="009C3CDE"/>
    <w:rsid w:val="009D3929"/>
    <w:rsid w:val="009D4338"/>
    <w:rsid w:val="009D4398"/>
    <w:rsid w:val="009D787C"/>
    <w:rsid w:val="009E0E4A"/>
    <w:rsid w:val="009E4A3F"/>
    <w:rsid w:val="009E5192"/>
    <w:rsid w:val="009E6997"/>
    <w:rsid w:val="009E7EA4"/>
    <w:rsid w:val="009F2B13"/>
    <w:rsid w:val="00A04698"/>
    <w:rsid w:val="00A04F19"/>
    <w:rsid w:val="00A05268"/>
    <w:rsid w:val="00A15743"/>
    <w:rsid w:val="00A22A4D"/>
    <w:rsid w:val="00A22D9F"/>
    <w:rsid w:val="00A25098"/>
    <w:rsid w:val="00A250DD"/>
    <w:rsid w:val="00A25DDF"/>
    <w:rsid w:val="00A344EB"/>
    <w:rsid w:val="00A35C4F"/>
    <w:rsid w:val="00A35E3D"/>
    <w:rsid w:val="00A3798B"/>
    <w:rsid w:val="00A37A7B"/>
    <w:rsid w:val="00A41BBB"/>
    <w:rsid w:val="00A44AF9"/>
    <w:rsid w:val="00A46E3B"/>
    <w:rsid w:val="00A47E34"/>
    <w:rsid w:val="00A609E0"/>
    <w:rsid w:val="00A651BF"/>
    <w:rsid w:val="00A6574B"/>
    <w:rsid w:val="00A70C82"/>
    <w:rsid w:val="00A743D1"/>
    <w:rsid w:val="00A74DE8"/>
    <w:rsid w:val="00A802C3"/>
    <w:rsid w:val="00A832F0"/>
    <w:rsid w:val="00A86378"/>
    <w:rsid w:val="00A863DD"/>
    <w:rsid w:val="00A86654"/>
    <w:rsid w:val="00A91306"/>
    <w:rsid w:val="00A9252E"/>
    <w:rsid w:val="00A93500"/>
    <w:rsid w:val="00A93E99"/>
    <w:rsid w:val="00A9715C"/>
    <w:rsid w:val="00AA1800"/>
    <w:rsid w:val="00AA2D80"/>
    <w:rsid w:val="00AA4D8A"/>
    <w:rsid w:val="00AA5191"/>
    <w:rsid w:val="00AA6362"/>
    <w:rsid w:val="00AA7D9A"/>
    <w:rsid w:val="00AB02B1"/>
    <w:rsid w:val="00AB047F"/>
    <w:rsid w:val="00AB1250"/>
    <w:rsid w:val="00AC3EB0"/>
    <w:rsid w:val="00AC5815"/>
    <w:rsid w:val="00AC7229"/>
    <w:rsid w:val="00AD1C74"/>
    <w:rsid w:val="00AD4CAB"/>
    <w:rsid w:val="00AE28D6"/>
    <w:rsid w:val="00AE5BF3"/>
    <w:rsid w:val="00AE5CF5"/>
    <w:rsid w:val="00AE6793"/>
    <w:rsid w:val="00AF031C"/>
    <w:rsid w:val="00AF084C"/>
    <w:rsid w:val="00AF2E2F"/>
    <w:rsid w:val="00AF4894"/>
    <w:rsid w:val="00AF6EE5"/>
    <w:rsid w:val="00B06119"/>
    <w:rsid w:val="00B072CC"/>
    <w:rsid w:val="00B12705"/>
    <w:rsid w:val="00B13328"/>
    <w:rsid w:val="00B14AB8"/>
    <w:rsid w:val="00B20A94"/>
    <w:rsid w:val="00B2593A"/>
    <w:rsid w:val="00B347B3"/>
    <w:rsid w:val="00B35E3F"/>
    <w:rsid w:val="00B43939"/>
    <w:rsid w:val="00B450E5"/>
    <w:rsid w:val="00B46FAB"/>
    <w:rsid w:val="00B5244D"/>
    <w:rsid w:val="00B56A08"/>
    <w:rsid w:val="00B64FEF"/>
    <w:rsid w:val="00B667F0"/>
    <w:rsid w:val="00B70396"/>
    <w:rsid w:val="00B7091B"/>
    <w:rsid w:val="00B717DB"/>
    <w:rsid w:val="00B71B4C"/>
    <w:rsid w:val="00B81950"/>
    <w:rsid w:val="00B8502A"/>
    <w:rsid w:val="00B935F5"/>
    <w:rsid w:val="00B947B6"/>
    <w:rsid w:val="00BA763B"/>
    <w:rsid w:val="00BB0289"/>
    <w:rsid w:val="00BB1DA9"/>
    <w:rsid w:val="00BB1F78"/>
    <w:rsid w:val="00BB5F82"/>
    <w:rsid w:val="00BB6AFB"/>
    <w:rsid w:val="00BB7903"/>
    <w:rsid w:val="00BC2F3F"/>
    <w:rsid w:val="00BD43F1"/>
    <w:rsid w:val="00BD5238"/>
    <w:rsid w:val="00BD551E"/>
    <w:rsid w:val="00BD652E"/>
    <w:rsid w:val="00BE2DD6"/>
    <w:rsid w:val="00BE6BDD"/>
    <w:rsid w:val="00BF2CE7"/>
    <w:rsid w:val="00C04757"/>
    <w:rsid w:val="00C15EDB"/>
    <w:rsid w:val="00C21955"/>
    <w:rsid w:val="00C252E9"/>
    <w:rsid w:val="00C31334"/>
    <w:rsid w:val="00C34CD9"/>
    <w:rsid w:val="00C376D0"/>
    <w:rsid w:val="00C41908"/>
    <w:rsid w:val="00C41E15"/>
    <w:rsid w:val="00C4564A"/>
    <w:rsid w:val="00C46C5D"/>
    <w:rsid w:val="00C53E71"/>
    <w:rsid w:val="00C63565"/>
    <w:rsid w:val="00C664E0"/>
    <w:rsid w:val="00C677A9"/>
    <w:rsid w:val="00C718D7"/>
    <w:rsid w:val="00C726A1"/>
    <w:rsid w:val="00C74696"/>
    <w:rsid w:val="00C83023"/>
    <w:rsid w:val="00C86B9B"/>
    <w:rsid w:val="00C911B4"/>
    <w:rsid w:val="00C91909"/>
    <w:rsid w:val="00C91EBD"/>
    <w:rsid w:val="00C9451D"/>
    <w:rsid w:val="00C94A28"/>
    <w:rsid w:val="00C966D2"/>
    <w:rsid w:val="00CA1373"/>
    <w:rsid w:val="00CA1E17"/>
    <w:rsid w:val="00CA2B70"/>
    <w:rsid w:val="00CA469B"/>
    <w:rsid w:val="00CA5B93"/>
    <w:rsid w:val="00CB2411"/>
    <w:rsid w:val="00CB5F4C"/>
    <w:rsid w:val="00CB7271"/>
    <w:rsid w:val="00CC006F"/>
    <w:rsid w:val="00CC109F"/>
    <w:rsid w:val="00CC22B4"/>
    <w:rsid w:val="00CC64DA"/>
    <w:rsid w:val="00CC652B"/>
    <w:rsid w:val="00CD13DE"/>
    <w:rsid w:val="00CD3D64"/>
    <w:rsid w:val="00CE3F79"/>
    <w:rsid w:val="00CE4DDC"/>
    <w:rsid w:val="00CE54EE"/>
    <w:rsid w:val="00CE5A72"/>
    <w:rsid w:val="00CF05A9"/>
    <w:rsid w:val="00CF0715"/>
    <w:rsid w:val="00CF4F21"/>
    <w:rsid w:val="00CF55A1"/>
    <w:rsid w:val="00CF68B2"/>
    <w:rsid w:val="00D00DD4"/>
    <w:rsid w:val="00D03428"/>
    <w:rsid w:val="00D05A36"/>
    <w:rsid w:val="00D06DD2"/>
    <w:rsid w:val="00D10C52"/>
    <w:rsid w:val="00D11D40"/>
    <w:rsid w:val="00D1694F"/>
    <w:rsid w:val="00D16CB4"/>
    <w:rsid w:val="00D229E8"/>
    <w:rsid w:val="00D23BA0"/>
    <w:rsid w:val="00D2565C"/>
    <w:rsid w:val="00D31059"/>
    <w:rsid w:val="00D4247D"/>
    <w:rsid w:val="00D46223"/>
    <w:rsid w:val="00D50A93"/>
    <w:rsid w:val="00D54BD6"/>
    <w:rsid w:val="00D55C84"/>
    <w:rsid w:val="00D56E72"/>
    <w:rsid w:val="00D614CD"/>
    <w:rsid w:val="00D655D2"/>
    <w:rsid w:val="00D746D0"/>
    <w:rsid w:val="00D82B11"/>
    <w:rsid w:val="00D84D04"/>
    <w:rsid w:val="00D84EB7"/>
    <w:rsid w:val="00D86E33"/>
    <w:rsid w:val="00D8721B"/>
    <w:rsid w:val="00D91944"/>
    <w:rsid w:val="00D95D1C"/>
    <w:rsid w:val="00DA0F81"/>
    <w:rsid w:val="00DA105F"/>
    <w:rsid w:val="00DA26A2"/>
    <w:rsid w:val="00DA3C4D"/>
    <w:rsid w:val="00DA487C"/>
    <w:rsid w:val="00DB5D53"/>
    <w:rsid w:val="00DB63F1"/>
    <w:rsid w:val="00DB6591"/>
    <w:rsid w:val="00DB7CA0"/>
    <w:rsid w:val="00DC2BA4"/>
    <w:rsid w:val="00DC3ED3"/>
    <w:rsid w:val="00DC7BF0"/>
    <w:rsid w:val="00DD6D8F"/>
    <w:rsid w:val="00DE0C59"/>
    <w:rsid w:val="00DE290E"/>
    <w:rsid w:val="00DE2DE7"/>
    <w:rsid w:val="00DE6512"/>
    <w:rsid w:val="00DE7A64"/>
    <w:rsid w:val="00DF0A6F"/>
    <w:rsid w:val="00DF3E90"/>
    <w:rsid w:val="00DF5928"/>
    <w:rsid w:val="00E0040D"/>
    <w:rsid w:val="00E02BEF"/>
    <w:rsid w:val="00E04ADE"/>
    <w:rsid w:val="00E0557D"/>
    <w:rsid w:val="00E14B80"/>
    <w:rsid w:val="00E160DA"/>
    <w:rsid w:val="00E16C53"/>
    <w:rsid w:val="00E225DA"/>
    <w:rsid w:val="00E243F5"/>
    <w:rsid w:val="00E24511"/>
    <w:rsid w:val="00E25E83"/>
    <w:rsid w:val="00E27039"/>
    <w:rsid w:val="00E30B02"/>
    <w:rsid w:val="00E33E98"/>
    <w:rsid w:val="00E357C2"/>
    <w:rsid w:val="00E412C2"/>
    <w:rsid w:val="00E43832"/>
    <w:rsid w:val="00E45AED"/>
    <w:rsid w:val="00E46DE2"/>
    <w:rsid w:val="00E50DC6"/>
    <w:rsid w:val="00E61805"/>
    <w:rsid w:val="00E61DA8"/>
    <w:rsid w:val="00E61FE0"/>
    <w:rsid w:val="00E62826"/>
    <w:rsid w:val="00E65853"/>
    <w:rsid w:val="00E65EE7"/>
    <w:rsid w:val="00E675AD"/>
    <w:rsid w:val="00E71B1C"/>
    <w:rsid w:val="00E7244C"/>
    <w:rsid w:val="00E76C4B"/>
    <w:rsid w:val="00E76DFE"/>
    <w:rsid w:val="00E91AC8"/>
    <w:rsid w:val="00E91D18"/>
    <w:rsid w:val="00E929F0"/>
    <w:rsid w:val="00E93A2F"/>
    <w:rsid w:val="00EB15C8"/>
    <w:rsid w:val="00EB4852"/>
    <w:rsid w:val="00EC1399"/>
    <w:rsid w:val="00EC13C1"/>
    <w:rsid w:val="00ED4A5B"/>
    <w:rsid w:val="00ED7BDB"/>
    <w:rsid w:val="00EE2BAA"/>
    <w:rsid w:val="00EE48BC"/>
    <w:rsid w:val="00EE6BB9"/>
    <w:rsid w:val="00EE7533"/>
    <w:rsid w:val="00EF08F8"/>
    <w:rsid w:val="00EF4972"/>
    <w:rsid w:val="00EF56C2"/>
    <w:rsid w:val="00EF5D60"/>
    <w:rsid w:val="00EF6063"/>
    <w:rsid w:val="00F056E2"/>
    <w:rsid w:val="00F07FE4"/>
    <w:rsid w:val="00F107B4"/>
    <w:rsid w:val="00F13DCC"/>
    <w:rsid w:val="00F24985"/>
    <w:rsid w:val="00F31286"/>
    <w:rsid w:val="00F315DB"/>
    <w:rsid w:val="00F37D73"/>
    <w:rsid w:val="00F44102"/>
    <w:rsid w:val="00F46D67"/>
    <w:rsid w:val="00F5051E"/>
    <w:rsid w:val="00F52464"/>
    <w:rsid w:val="00F541EE"/>
    <w:rsid w:val="00F54524"/>
    <w:rsid w:val="00F54648"/>
    <w:rsid w:val="00F56AA4"/>
    <w:rsid w:val="00F63AAF"/>
    <w:rsid w:val="00F65F95"/>
    <w:rsid w:val="00F66A83"/>
    <w:rsid w:val="00F70E92"/>
    <w:rsid w:val="00F71F40"/>
    <w:rsid w:val="00F73C9A"/>
    <w:rsid w:val="00F7451A"/>
    <w:rsid w:val="00F74792"/>
    <w:rsid w:val="00F76AC9"/>
    <w:rsid w:val="00F76C4B"/>
    <w:rsid w:val="00F818DA"/>
    <w:rsid w:val="00F81D03"/>
    <w:rsid w:val="00F8286B"/>
    <w:rsid w:val="00F84977"/>
    <w:rsid w:val="00F86537"/>
    <w:rsid w:val="00F91C9C"/>
    <w:rsid w:val="00F95BC0"/>
    <w:rsid w:val="00F96F19"/>
    <w:rsid w:val="00F97CAE"/>
    <w:rsid w:val="00FB0A91"/>
    <w:rsid w:val="00FB1CEF"/>
    <w:rsid w:val="00FB1E68"/>
    <w:rsid w:val="00FB3C5A"/>
    <w:rsid w:val="00FC03B8"/>
    <w:rsid w:val="00FC4576"/>
    <w:rsid w:val="00FD02E8"/>
    <w:rsid w:val="00FD36D6"/>
    <w:rsid w:val="00FD451D"/>
    <w:rsid w:val="00FD5285"/>
    <w:rsid w:val="00FE2544"/>
    <w:rsid w:val="00FE2642"/>
    <w:rsid w:val="00FE3A3B"/>
    <w:rsid w:val="00FF2FE0"/>
    <w:rsid w:val="00FF3269"/>
    <w:rsid w:val="00FF65C8"/>
    <w:rsid w:val="00FF7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6CE"/>
    <w:rPr>
      <w:sz w:val="24"/>
      <w:szCs w:val="24"/>
    </w:rPr>
  </w:style>
  <w:style w:type="paragraph" w:styleId="Heading3">
    <w:name w:val="heading 3"/>
    <w:basedOn w:val="Normal"/>
    <w:next w:val="Normal"/>
    <w:link w:val="Heading3Char"/>
    <w:uiPriority w:val="99"/>
    <w:qFormat/>
    <w:rsid w:val="009D4398"/>
    <w:pPr>
      <w:keepNext/>
      <w:outlineLvl w:val="2"/>
    </w:pPr>
    <w:rPr>
      <w:b/>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9D4398"/>
    <w:rPr>
      <w:rFonts w:cs="Times New Roman"/>
      <w:b/>
      <w:kern w:val="28"/>
      <w:sz w:val="24"/>
    </w:rPr>
  </w:style>
  <w:style w:type="character" w:styleId="Strong">
    <w:name w:val="Strong"/>
    <w:basedOn w:val="DefaultParagraphFont"/>
    <w:uiPriority w:val="99"/>
    <w:qFormat/>
    <w:rsid w:val="00275ECF"/>
    <w:rPr>
      <w:rFonts w:cs="Times New Roman"/>
      <w:b/>
      <w:bCs/>
    </w:rPr>
  </w:style>
  <w:style w:type="paragraph" w:styleId="NormalWeb">
    <w:name w:val="Normal (Web)"/>
    <w:basedOn w:val="Normal"/>
    <w:uiPriority w:val="99"/>
    <w:rsid w:val="00275ECF"/>
    <w:pPr>
      <w:spacing w:before="100" w:beforeAutospacing="1" w:after="100" w:afterAutospacing="1"/>
    </w:pPr>
  </w:style>
  <w:style w:type="character" w:styleId="Hyperlink">
    <w:name w:val="Hyperlink"/>
    <w:basedOn w:val="DefaultParagraphFont"/>
    <w:uiPriority w:val="99"/>
    <w:rsid w:val="009D4398"/>
    <w:rPr>
      <w:rFonts w:cs="Times New Roman"/>
      <w:color w:val="0000FF"/>
      <w:u w:val="single"/>
    </w:rPr>
  </w:style>
  <w:style w:type="paragraph" w:styleId="TOC1">
    <w:name w:val="toc 1"/>
    <w:basedOn w:val="Normal"/>
    <w:autoRedefine/>
    <w:uiPriority w:val="99"/>
    <w:rsid w:val="009D4398"/>
    <w:pPr>
      <w:tabs>
        <w:tab w:val="left" w:pos="0"/>
        <w:tab w:val="left" w:pos="720"/>
        <w:tab w:val="right" w:leader="dot" w:pos="9494"/>
      </w:tabs>
      <w:spacing w:before="120" w:after="120" w:line="480" w:lineRule="auto"/>
      <w:jc w:val="both"/>
    </w:pPr>
    <w:rPr>
      <w:b/>
      <w:caps/>
      <w:noProof/>
    </w:rPr>
  </w:style>
  <w:style w:type="paragraph" w:styleId="TOC2">
    <w:name w:val="toc 2"/>
    <w:basedOn w:val="Normal"/>
    <w:autoRedefine/>
    <w:uiPriority w:val="99"/>
    <w:rsid w:val="009D4398"/>
    <w:pPr>
      <w:tabs>
        <w:tab w:val="left" w:pos="720"/>
        <w:tab w:val="right" w:leader="dot" w:pos="9494"/>
      </w:tabs>
      <w:spacing w:before="120" w:after="120" w:line="240" w:lineRule="atLeast"/>
      <w:ind w:left="720" w:hanging="720"/>
    </w:pPr>
    <w:rPr>
      <w:smallCaps/>
      <w:sz w:val="20"/>
      <w:szCs w:val="20"/>
    </w:rPr>
  </w:style>
  <w:style w:type="paragraph" w:styleId="Header">
    <w:name w:val="header"/>
    <w:basedOn w:val="Normal"/>
    <w:link w:val="HeaderChar"/>
    <w:uiPriority w:val="99"/>
    <w:rsid w:val="00973C55"/>
    <w:pPr>
      <w:tabs>
        <w:tab w:val="center" w:pos="4680"/>
        <w:tab w:val="right" w:pos="9360"/>
      </w:tabs>
    </w:pPr>
  </w:style>
  <w:style w:type="character" w:customStyle="1" w:styleId="HeaderChar">
    <w:name w:val="Header Char"/>
    <w:basedOn w:val="DefaultParagraphFont"/>
    <w:link w:val="Header"/>
    <w:uiPriority w:val="99"/>
    <w:locked/>
    <w:rsid w:val="00973C55"/>
    <w:rPr>
      <w:rFonts w:cs="Times New Roman"/>
      <w:sz w:val="24"/>
      <w:szCs w:val="24"/>
    </w:rPr>
  </w:style>
  <w:style w:type="paragraph" w:styleId="Footer">
    <w:name w:val="footer"/>
    <w:basedOn w:val="Normal"/>
    <w:link w:val="FooterChar"/>
    <w:uiPriority w:val="99"/>
    <w:rsid w:val="00973C55"/>
    <w:pPr>
      <w:tabs>
        <w:tab w:val="center" w:pos="4680"/>
        <w:tab w:val="right" w:pos="9360"/>
      </w:tabs>
    </w:pPr>
  </w:style>
  <w:style w:type="character" w:customStyle="1" w:styleId="FooterChar">
    <w:name w:val="Footer Char"/>
    <w:basedOn w:val="DefaultParagraphFont"/>
    <w:link w:val="Footer"/>
    <w:uiPriority w:val="99"/>
    <w:locked/>
    <w:rsid w:val="00973C55"/>
    <w:rPr>
      <w:rFonts w:cs="Times New Roman"/>
      <w:sz w:val="24"/>
      <w:szCs w:val="24"/>
    </w:rPr>
  </w:style>
  <w:style w:type="character" w:styleId="FollowedHyperlink">
    <w:name w:val="FollowedHyperlink"/>
    <w:basedOn w:val="DefaultParagraphFont"/>
    <w:uiPriority w:val="99"/>
    <w:rsid w:val="00BB5F82"/>
    <w:rPr>
      <w:rFonts w:cs="Times New Roman"/>
      <w:color w:val="800080"/>
      <w:u w:val="single"/>
    </w:rPr>
  </w:style>
  <w:style w:type="paragraph" w:styleId="PlainText">
    <w:name w:val="Plain Text"/>
    <w:basedOn w:val="Normal"/>
    <w:link w:val="PlainTextChar"/>
    <w:uiPriority w:val="99"/>
    <w:rsid w:val="00804843"/>
    <w:rPr>
      <w:rFonts w:ascii="Consolas" w:hAnsi="Consolas"/>
      <w:sz w:val="21"/>
      <w:szCs w:val="21"/>
    </w:rPr>
  </w:style>
  <w:style w:type="character" w:customStyle="1" w:styleId="PlainTextChar">
    <w:name w:val="Plain Text Char"/>
    <w:basedOn w:val="DefaultParagraphFont"/>
    <w:link w:val="PlainText"/>
    <w:uiPriority w:val="99"/>
    <w:locked/>
    <w:rsid w:val="00804843"/>
    <w:rPr>
      <w:rFonts w:ascii="Consolas" w:hAnsi="Consolas" w:cs="Times New Roman"/>
      <w:sz w:val="21"/>
      <w:szCs w:val="21"/>
    </w:rPr>
  </w:style>
  <w:style w:type="paragraph" w:styleId="ListParagraph">
    <w:name w:val="List Paragraph"/>
    <w:basedOn w:val="Normal"/>
    <w:uiPriority w:val="99"/>
    <w:qFormat/>
    <w:rsid w:val="00D11D40"/>
    <w:pPr>
      <w:ind w:left="720"/>
      <w:contextualSpacing/>
    </w:pPr>
  </w:style>
  <w:style w:type="paragraph" w:customStyle="1" w:styleId="Default">
    <w:name w:val="Default"/>
    <w:rsid w:val="00974EF4"/>
    <w:pPr>
      <w:autoSpaceDE w:val="0"/>
      <w:autoSpaceDN w:val="0"/>
      <w:adjustRightInd w:val="0"/>
    </w:pPr>
    <w:rPr>
      <w:rFonts w:ascii="Times New Roman PS MT" w:hAnsi="Times New Roman PS MT" w:cs="Times New Roman PS MT"/>
      <w:color w:val="000000"/>
      <w:sz w:val="24"/>
      <w:szCs w:val="24"/>
    </w:rPr>
  </w:style>
  <w:style w:type="table" w:styleId="TableGrid">
    <w:name w:val="Table Grid"/>
    <w:basedOn w:val="TableNormal"/>
    <w:locked/>
    <w:rsid w:val="0084477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5">
    <w:name w:val="H5"/>
    <w:basedOn w:val="Normal"/>
    <w:rsid w:val="004476CB"/>
    <w:pPr>
      <w:widowControl w:val="0"/>
      <w:overflowPunct w:val="0"/>
      <w:autoSpaceDE w:val="0"/>
      <w:autoSpaceDN w:val="0"/>
      <w:adjustRightInd w:val="0"/>
      <w:textAlignment w:val="baseline"/>
    </w:pPr>
    <w:rPr>
      <w:b/>
      <w:sz w:val="20"/>
      <w:szCs w:val="20"/>
    </w:rPr>
  </w:style>
  <w:style w:type="paragraph" w:styleId="BalloonText">
    <w:name w:val="Balloon Text"/>
    <w:basedOn w:val="Normal"/>
    <w:link w:val="BalloonTextChar"/>
    <w:uiPriority w:val="99"/>
    <w:semiHidden/>
    <w:unhideWhenUsed/>
    <w:rsid w:val="00FE3A3B"/>
    <w:rPr>
      <w:rFonts w:ascii="Tahoma" w:hAnsi="Tahoma" w:cs="Tahoma"/>
      <w:sz w:val="16"/>
      <w:szCs w:val="16"/>
    </w:rPr>
  </w:style>
  <w:style w:type="character" w:customStyle="1" w:styleId="BalloonTextChar">
    <w:name w:val="Balloon Text Char"/>
    <w:basedOn w:val="DefaultParagraphFont"/>
    <w:link w:val="BalloonText"/>
    <w:uiPriority w:val="99"/>
    <w:semiHidden/>
    <w:rsid w:val="00FE3A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6CE"/>
    <w:rPr>
      <w:sz w:val="24"/>
      <w:szCs w:val="24"/>
    </w:rPr>
  </w:style>
  <w:style w:type="paragraph" w:styleId="Heading3">
    <w:name w:val="heading 3"/>
    <w:basedOn w:val="Normal"/>
    <w:next w:val="Normal"/>
    <w:link w:val="Heading3Char"/>
    <w:uiPriority w:val="99"/>
    <w:qFormat/>
    <w:rsid w:val="009D4398"/>
    <w:pPr>
      <w:keepNext/>
      <w:outlineLvl w:val="2"/>
    </w:pPr>
    <w:rPr>
      <w:b/>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9D4398"/>
    <w:rPr>
      <w:rFonts w:cs="Times New Roman"/>
      <w:b/>
      <w:kern w:val="28"/>
      <w:sz w:val="24"/>
    </w:rPr>
  </w:style>
  <w:style w:type="character" w:styleId="Strong">
    <w:name w:val="Strong"/>
    <w:basedOn w:val="DefaultParagraphFont"/>
    <w:uiPriority w:val="99"/>
    <w:qFormat/>
    <w:rsid w:val="00275ECF"/>
    <w:rPr>
      <w:rFonts w:cs="Times New Roman"/>
      <w:b/>
      <w:bCs/>
    </w:rPr>
  </w:style>
  <w:style w:type="paragraph" w:styleId="NormalWeb">
    <w:name w:val="Normal (Web)"/>
    <w:basedOn w:val="Normal"/>
    <w:uiPriority w:val="99"/>
    <w:rsid w:val="00275ECF"/>
    <w:pPr>
      <w:spacing w:before="100" w:beforeAutospacing="1" w:after="100" w:afterAutospacing="1"/>
    </w:pPr>
  </w:style>
  <w:style w:type="character" w:styleId="Hyperlink">
    <w:name w:val="Hyperlink"/>
    <w:basedOn w:val="DefaultParagraphFont"/>
    <w:uiPriority w:val="99"/>
    <w:rsid w:val="009D4398"/>
    <w:rPr>
      <w:rFonts w:cs="Times New Roman"/>
      <w:color w:val="0000FF"/>
      <w:u w:val="single"/>
    </w:rPr>
  </w:style>
  <w:style w:type="paragraph" w:styleId="TOC1">
    <w:name w:val="toc 1"/>
    <w:basedOn w:val="Normal"/>
    <w:autoRedefine/>
    <w:uiPriority w:val="99"/>
    <w:rsid w:val="009D4398"/>
    <w:pPr>
      <w:tabs>
        <w:tab w:val="left" w:pos="0"/>
        <w:tab w:val="left" w:pos="720"/>
        <w:tab w:val="right" w:leader="dot" w:pos="9494"/>
      </w:tabs>
      <w:spacing w:before="120" w:after="120" w:line="480" w:lineRule="auto"/>
      <w:jc w:val="both"/>
    </w:pPr>
    <w:rPr>
      <w:b/>
      <w:caps/>
      <w:noProof/>
    </w:rPr>
  </w:style>
  <w:style w:type="paragraph" w:styleId="TOC2">
    <w:name w:val="toc 2"/>
    <w:basedOn w:val="Normal"/>
    <w:autoRedefine/>
    <w:uiPriority w:val="99"/>
    <w:rsid w:val="009D4398"/>
    <w:pPr>
      <w:tabs>
        <w:tab w:val="left" w:pos="720"/>
        <w:tab w:val="right" w:leader="dot" w:pos="9494"/>
      </w:tabs>
      <w:spacing w:before="120" w:after="120" w:line="240" w:lineRule="atLeast"/>
      <w:ind w:left="720" w:hanging="720"/>
    </w:pPr>
    <w:rPr>
      <w:smallCaps/>
      <w:sz w:val="20"/>
      <w:szCs w:val="20"/>
    </w:rPr>
  </w:style>
  <w:style w:type="paragraph" w:styleId="Header">
    <w:name w:val="header"/>
    <w:basedOn w:val="Normal"/>
    <w:link w:val="HeaderChar"/>
    <w:uiPriority w:val="99"/>
    <w:rsid w:val="00973C55"/>
    <w:pPr>
      <w:tabs>
        <w:tab w:val="center" w:pos="4680"/>
        <w:tab w:val="right" w:pos="9360"/>
      </w:tabs>
    </w:pPr>
  </w:style>
  <w:style w:type="character" w:customStyle="1" w:styleId="HeaderChar">
    <w:name w:val="Header Char"/>
    <w:basedOn w:val="DefaultParagraphFont"/>
    <w:link w:val="Header"/>
    <w:uiPriority w:val="99"/>
    <w:locked/>
    <w:rsid w:val="00973C55"/>
    <w:rPr>
      <w:rFonts w:cs="Times New Roman"/>
      <w:sz w:val="24"/>
      <w:szCs w:val="24"/>
    </w:rPr>
  </w:style>
  <w:style w:type="paragraph" w:styleId="Footer">
    <w:name w:val="footer"/>
    <w:basedOn w:val="Normal"/>
    <w:link w:val="FooterChar"/>
    <w:uiPriority w:val="99"/>
    <w:rsid w:val="00973C55"/>
    <w:pPr>
      <w:tabs>
        <w:tab w:val="center" w:pos="4680"/>
        <w:tab w:val="right" w:pos="9360"/>
      </w:tabs>
    </w:pPr>
  </w:style>
  <w:style w:type="character" w:customStyle="1" w:styleId="FooterChar">
    <w:name w:val="Footer Char"/>
    <w:basedOn w:val="DefaultParagraphFont"/>
    <w:link w:val="Footer"/>
    <w:uiPriority w:val="99"/>
    <w:locked/>
    <w:rsid w:val="00973C55"/>
    <w:rPr>
      <w:rFonts w:cs="Times New Roman"/>
      <w:sz w:val="24"/>
      <w:szCs w:val="24"/>
    </w:rPr>
  </w:style>
  <w:style w:type="character" w:styleId="FollowedHyperlink">
    <w:name w:val="FollowedHyperlink"/>
    <w:basedOn w:val="DefaultParagraphFont"/>
    <w:uiPriority w:val="99"/>
    <w:rsid w:val="00BB5F82"/>
    <w:rPr>
      <w:rFonts w:cs="Times New Roman"/>
      <w:color w:val="800080"/>
      <w:u w:val="single"/>
    </w:rPr>
  </w:style>
  <w:style w:type="paragraph" w:styleId="PlainText">
    <w:name w:val="Plain Text"/>
    <w:basedOn w:val="Normal"/>
    <w:link w:val="PlainTextChar"/>
    <w:uiPriority w:val="99"/>
    <w:rsid w:val="00804843"/>
    <w:rPr>
      <w:rFonts w:ascii="Consolas" w:hAnsi="Consolas"/>
      <w:sz w:val="21"/>
      <w:szCs w:val="21"/>
    </w:rPr>
  </w:style>
  <w:style w:type="character" w:customStyle="1" w:styleId="PlainTextChar">
    <w:name w:val="Plain Text Char"/>
    <w:basedOn w:val="DefaultParagraphFont"/>
    <w:link w:val="PlainText"/>
    <w:uiPriority w:val="99"/>
    <w:locked/>
    <w:rsid w:val="00804843"/>
    <w:rPr>
      <w:rFonts w:ascii="Consolas" w:hAnsi="Consolas" w:cs="Times New Roman"/>
      <w:sz w:val="21"/>
      <w:szCs w:val="21"/>
    </w:rPr>
  </w:style>
  <w:style w:type="paragraph" w:styleId="ListParagraph">
    <w:name w:val="List Paragraph"/>
    <w:basedOn w:val="Normal"/>
    <w:uiPriority w:val="99"/>
    <w:qFormat/>
    <w:rsid w:val="00D11D40"/>
    <w:pPr>
      <w:ind w:left="720"/>
      <w:contextualSpacing/>
    </w:pPr>
  </w:style>
  <w:style w:type="paragraph" w:customStyle="1" w:styleId="Default">
    <w:name w:val="Default"/>
    <w:rsid w:val="00974EF4"/>
    <w:pPr>
      <w:autoSpaceDE w:val="0"/>
      <w:autoSpaceDN w:val="0"/>
      <w:adjustRightInd w:val="0"/>
    </w:pPr>
    <w:rPr>
      <w:rFonts w:ascii="Times New Roman PS MT" w:hAnsi="Times New Roman PS MT" w:cs="Times New Roman PS MT"/>
      <w:color w:val="000000"/>
      <w:sz w:val="24"/>
      <w:szCs w:val="24"/>
    </w:rPr>
  </w:style>
  <w:style w:type="table" w:styleId="TableGrid">
    <w:name w:val="Table Grid"/>
    <w:basedOn w:val="TableNormal"/>
    <w:locked/>
    <w:rsid w:val="0084477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5">
    <w:name w:val="H5"/>
    <w:basedOn w:val="Normal"/>
    <w:rsid w:val="004476CB"/>
    <w:pPr>
      <w:widowControl w:val="0"/>
      <w:overflowPunct w:val="0"/>
      <w:autoSpaceDE w:val="0"/>
      <w:autoSpaceDN w:val="0"/>
      <w:adjustRightInd w:val="0"/>
      <w:textAlignment w:val="baseline"/>
    </w:pPr>
    <w:rPr>
      <w:b/>
      <w:sz w:val="20"/>
      <w:szCs w:val="20"/>
    </w:rPr>
  </w:style>
  <w:style w:type="paragraph" w:styleId="BalloonText">
    <w:name w:val="Balloon Text"/>
    <w:basedOn w:val="Normal"/>
    <w:link w:val="BalloonTextChar"/>
    <w:uiPriority w:val="99"/>
    <w:semiHidden/>
    <w:unhideWhenUsed/>
    <w:rsid w:val="00FE3A3B"/>
    <w:rPr>
      <w:rFonts w:ascii="Tahoma" w:hAnsi="Tahoma" w:cs="Tahoma"/>
      <w:sz w:val="16"/>
      <w:szCs w:val="16"/>
    </w:rPr>
  </w:style>
  <w:style w:type="character" w:customStyle="1" w:styleId="BalloonTextChar">
    <w:name w:val="Balloon Text Char"/>
    <w:basedOn w:val="DefaultParagraphFont"/>
    <w:link w:val="BalloonText"/>
    <w:uiPriority w:val="99"/>
    <w:semiHidden/>
    <w:rsid w:val="00FE3A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22197">
      <w:marLeft w:val="0"/>
      <w:marRight w:val="0"/>
      <w:marTop w:val="0"/>
      <w:marBottom w:val="0"/>
      <w:divBdr>
        <w:top w:val="none" w:sz="0" w:space="0" w:color="auto"/>
        <w:left w:val="none" w:sz="0" w:space="0" w:color="auto"/>
        <w:bottom w:val="none" w:sz="0" w:space="0" w:color="auto"/>
        <w:right w:val="none" w:sz="0" w:space="0" w:color="auto"/>
      </w:divBdr>
    </w:div>
    <w:div w:id="590622202">
      <w:marLeft w:val="0"/>
      <w:marRight w:val="0"/>
      <w:marTop w:val="0"/>
      <w:marBottom w:val="0"/>
      <w:divBdr>
        <w:top w:val="none" w:sz="0" w:space="0" w:color="auto"/>
        <w:left w:val="none" w:sz="0" w:space="0" w:color="auto"/>
        <w:bottom w:val="none" w:sz="0" w:space="0" w:color="auto"/>
        <w:right w:val="none" w:sz="0" w:space="0" w:color="auto"/>
      </w:divBdr>
      <w:divsChild>
        <w:div w:id="590622199">
          <w:marLeft w:val="0"/>
          <w:marRight w:val="0"/>
          <w:marTop w:val="0"/>
          <w:marBottom w:val="0"/>
          <w:divBdr>
            <w:top w:val="none" w:sz="0" w:space="0" w:color="auto"/>
            <w:left w:val="none" w:sz="0" w:space="0" w:color="auto"/>
            <w:bottom w:val="none" w:sz="0" w:space="0" w:color="auto"/>
            <w:right w:val="none" w:sz="0" w:space="0" w:color="auto"/>
          </w:divBdr>
          <w:divsChild>
            <w:div w:id="590622206">
              <w:marLeft w:val="0"/>
              <w:marRight w:val="0"/>
              <w:marTop w:val="0"/>
              <w:marBottom w:val="0"/>
              <w:divBdr>
                <w:top w:val="none" w:sz="0" w:space="0" w:color="auto"/>
                <w:left w:val="none" w:sz="0" w:space="0" w:color="auto"/>
                <w:bottom w:val="none" w:sz="0" w:space="0" w:color="auto"/>
                <w:right w:val="none" w:sz="0" w:space="0" w:color="auto"/>
              </w:divBdr>
              <w:divsChild>
                <w:div w:id="590622205">
                  <w:marLeft w:val="0"/>
                  <w:marRight w:val="0"/>
                  <w:marTop w:val="0"/>
                  <w:marBottom w:val="0"/>
                  <w:divBdr>
                    <w:top w:val="none" w:sz="0" w:space="0" w:color="auto"/>
                    <w:left w:val="none" w:sz="0" w:space="0" w:color="auto"/>
                    <w:bottom w:val="none" w:sz="0" w:space="0" w:color="auto"/>
                    <w:right w:val="none" w:sz="0" w:space="0" w:color="auto"/>
                  </w:divBdr>
                  <w:divsChild>
                    <w:div w:id="590622207">
                      <w:marLeft w:val="0"/>
                      <w:marRight w:val="0"/>
                      <w:marTop w:val="0"/>
                      <w:marBottom w:val="0"/>
                      <w:divBdr>
                        <w:top w:val="none" w:sz="0" w:space="0" w:color="auto"/>
                        <w:left w:val="none" w:sz="0" w:space="0" w:color="auto"/>
                        <w:bottom w:val="none" w:sz="0" w:space="0" w:color="auto"/>
                        <w:right w:val="none" w:sz="0" w:space="0" w:color="auto"/>
                      </w:divBdr>
                      <w:divsChild>
                        <w:div w:id="590622203">
                          <w:marLeft w:val="0"/>
                          <w:marRight w:val="0"/>
                          <w:marTop w:val="0"/>
                          <w:marBottom w:val="0"/>
                          <w:divBdr>
                            <w:top w:val="none" w:sz="0" w:space="0" w:color="auto"/>
                            <w:left w:val="none" w:sz="0" w:space="0" w:color="auto"/>
                            <w:bottom w:val="none" w:sz="0" w:space="0" w:color="auto"/>
                            <w:right w:val="none" w:sz="0" w:space="0" w:color="auto"/>
                          </w:divBdr>
                          <w:divsChild>
                            <w:div w:id="590622201">
                              <w:marLeft w:val="0"/>
                              <w:marRight w:val="0"/>
                              <w:marTop w:val="0"/>
                              <w:marBottom w:val="0"/>
                              <w:divBdr>
                                <w:top w:val="none" w:sz="0" w:space="0" w:color="auto"/>
                                <w:left w:val="none" w:sz="0" w:space="0" w:color="auto"/>
                                <w:bottom w:val="none" w:sz="0" w:space="0" w:color="auto"/>
                                <w:right w:val="none" w:sz="0" w:space="0" w:color="auto"/>
                              </w:divBdr>
                              <w:divsChild>
                                <w:div w:id="590622196">
                                  <w:marLeft w:val="0"/>
                                  <w:marRight w:val="0"/>
                                  <w:marTop w:val="0"/>
                                  <w:marBottom w:val="0"/>
                                  <w:divBdr>
                                    <w:top w:val="none" w:sz="0" w:space="0" w:color="auto"/>
                                    <w:left w:val="none" w:sz="0" w:space="0" w:color="auto"/>
                                    <w:bottom w:val="none" w:sz="0" w:space="0" w:color="auto"/>
                                    <w:right w:val="none" w:sz="0" w:space="0" w:color="auto"/>
                                  </w:divBdr>
                                </w:div>
                                <w:div w:id="590622198">
                                  <w:marLeft w:val="0"/>
                                  <w:marRight w:val="0"/>
                                  <w:marTop w:val="0"/>
                                  <w:marBottom w:val="0"/>
                                  <w:divBdr>
                                    <w:top w:val="none" w:sz="0" w:space="0" w:color="auto"/>
                                    <w:left w:val="none" w:sz="0" w:space="0" w:color="auto"/>
                                    <w:bottom w:val="none" w:sz="0" w:space="0" w:color="auto"/>
                                    <w:right w:val="none" w:sz="0" w:space="0" w:color="auto"/>
                                  </w:divBdr>
                                </w:div>
                                <w:div w:id="590622200">
                                  <w:marLeft w:val="0"/>
                                  <w:marRight w:val="0"/>
                                  <w:marTop w:val="0"/>
                                  <w:marBottom w:val="0"/>
                                  <w:divBdr>
                                    <w:top w:val="none" w:sz="0" w:space="0" w:color="auto"/>
                                    <w:left w:val="none" w:sz="0" w:space="0" w:color="auto"/>
                                    <w:bottom w:val="none" w:sz="0" w:space="0" w:color="auto"/>
                                    <w:right w:val="none" w:sz="0" w:space="0" w:color="auto"/>
                                  </w:divBdr>
                                </w:div>
                                <w:div w:id="59062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622208">
      <w:marLeft w:val="0"/>
      <w:marRight w:val="0"/>
      <w:marTop w:val="0"/>
      <w:marBottom w:val="0"/>
      <w:divBdr>
        <w:top w:val="none" w:sz="0" w:space="0" w:color="auto"/>
        <w:left w:val="none" w:sz="0" w:space="0" w:color="auto"/>
        <w:bottom w:val="none" w:sz="0" w:space="0" w:color="auto"/>
        <w:right w:val="none" w:sz="0" w:space="0" w:color="auto"/>
      </w:divBdr>
    </w:div>
    <w:div w:id="608271409">
      <w:bodyDiv w:val="1"/>
      <w:marLeft w:val="0"/>
      <w:marRight w:val="0"/>
      <w:marTop w:val="0"/>
      <w:marBottom w:val="0"/>
      <w:divBdr>
        <w:top w:val="none" w:sz="0" w:space="0" w:color="auto"/>
        <w:left w:val="none" w:sz="0" w:space="0" w:color="auto"/>
        <w:bottom w:val="none" w:sz="0" w:space="0" w:color="auto"/>
        <w:right w:val="none" w:sz="0" w:space="0" w:color="auto"/>
      </w:divBdr>
    </w:div>
    <w:div w:id="614213821">
      <w:bodyDiv w:val="1"/>
      <w:marLeft w:val="0"/>
      <w:marRight w:val="0"/>
      <w:marTop w:val="0"/>
      <w:marBottom w:val="0"/>
      <w:divBdr>
        <w:top w:val="none" w:sz="0" w:space="0" w:color="auto"/>
        <w:left w:val="none" w:sz="0" w:space="0" w:color="auto"/>
        <w:bottom w:val="none" w:sz="0" w:space="0" w:color="auto"/>
        <w:right w:val="none" w:sz="0" w:space="0" w:color="auto"/>
      </w:divBdr>
    </w:div>
    <w:div w:id="614869189">
      <w:bodyDiv w:val="1"/>
      <w:marLeft w:val="0"/>
      <w:marRight w:val="0"/>
      <w:marTop w:val="0"/>
      <w:marBottom w:val="0"/>
      <w:divBdr>
        <w:top w:val="none" w:sz="0" w:space="0" w:color="auto"/>
        <w:left w:val="none" w:sz="0" w:space="0" w:color="auto"/>
        <w:bottom w:val="none" w:sz="0" w:space="0" w:color="auto"/>
        <w:right w:val="none" w:sz="0" w:space="0" w:color="auto"/>
      </w:divBdr>
    </w:div>
    <w:div w:id="851380798">
      <w:bodyDiv w:val="1"/>
      <w:marLeft w:val="0"/>
      <w:marRight w:val="0"/>
      <w:marTop w:val="0"/>
      <w:marBottom w:val="0"/>
      <w:divBdr>
        <w:top w:val="none" w:sz="0" w:space="0" w:color="auto"/>
        <w:left w:val="none" w:sz="0" w:space="0" w:color="auto"/>
        <w:bottom w:val="none" w:sz="0" w:space="0" w:color="auto"/>
        <w:right w:val="none" w:sz="0" w:space="0" w:color="auto"/>
      </w:divBdr>
    </w:div>
    <w:div w:id="1412045989">
      <w:bodyDiv w:val="1"/>
      <w:marLeft w:val="0"/>
      <w:marRight w:val="0"/>
      <w:marTop w:val="0"/>
      <w:marBottom w:val="0"/>
      <w:divBdr>
        <w:top w:val="none" w:sz="0" w:space="0" w:color="auto"/>
        <w:left w:val="none" w:sz="0" w:space="0" w:color="auto"/>
        <w:bottom w:val="none" w:sz="0" w:space="0" w:color="auto"/>
        <w:right w:val="none" w:sz="0" w:space="0" w:color="auto"/>
      </w:divBdr>
    </w:div>
    <w:div w:id="1762485756">
      <w:bodyDiv w:val="1"/>
      <w:marLeft w:val="0"/>
      <w:marRight w:val="0"/>
      <w:marTop w:val="0"/>
      <w:marBottom w:val="0"/>
      <w:divBdr>
        <w:top w:val="none" w:sz="0" w:space="0" w:color="auto"/>
        <w:left w:val="none" w:sz="0" w:space="0" w:color="auto"/>
        <w:bottom w:val="none" w:sz="0" w:space="0" w:color="auto"/>
        <w:right w:val="none" w:sz="0" w:space="0" w:color="auto"/>
      </w:divBdr>
    </w:div>
    <w:div w:id="198168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arlipd@nlm.nih.gov"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ls.gov/oes/current/oes211091.ht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ls.gov/oes/current/oes254021.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ls.gov/oes/2013/may/oes2900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ls.gov/oes/2013/may/oes_nat.ht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3081</Words>
  <Characters>17564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OD</Company>
  <LinksUpToDate>false</LinksUpToDate>
  <CharactersWithSpaces>20604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NLM/dhs</dc:creator>
  <cp:lastModifiedBy>curriem</cp:lastModifiedBy>
  <cp:revision>2</cp:revision>
  <cp:lastPrinted>2015-04-09T18:08:00Z</cp:lastPrinted>
  <dcterms:created xsi:type="dcterms:W3CDTF">2015-08-26T18:11:00Z</dcterms:created>
  <dcterms:modified xsi:type="dcterms:W3CDTF">2015-08-26T18:11:00Z</dcterms:modified>
</cp:coreProperties>
</file>